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9A3A6E">
      <w:pPr>
        <w:tabs>
          <w:tab w:val="left" w:pos="390"/>
          <w:tab w:val="center" w:pos="4404"/>
        </w:tabs>
        <w:spacing w:line="700" w:lineRule="exact"/>
        <w:rPr>
          <w:rFonts w:hint="eastAsia" w:ascii="宋体" w:hAnsi="宋体" w:eastAsia="宋体" w:cs="宋体"/>
          <w:color w:val="000000" w:themeColor="text1"/>
          <w:sz w:val="48"/>
          <w:szCs w:val="48"/>
          <w:highlight w:val="none"/>
          <w14:textFill>
            <w14:solidFill>
              <w14:schemeClr w14:val="tx1"/>
            </w14:solidFill>
          </w14:textFill>
        </w:rPr>
      </w:pPr>
    </w:p>
    <w:p w14:paraId="091F1128">
      <w:pPr>
        <w:keepNext w:val="0"/>
        <w:keepLines w:val="0"/>
        <w:pageBreakBefore w:val="0"/>
        <w:widowControl w:val="0"/>
        <w:tabs>
          <w:tab w:val="left" w:pos="390"/>
          <w:tab w:val="center" w:pos="4404"/>
        </w:tabs>
        <w:kinsoku/>
        <w:wordWrap/>
        <w:overflowPunct/>
        <w:topLinePunct w:val="0"/>
        <w:autoSpaceDE/>
        <w:autoSpaceDN/>
        <w:bidi w:val="0"/>
        <w:adjustRightInd/>
        <w:snapToGrid/>
        <w:spacing w:line="900" w:lineRule="exact"/>
        <w:jc w:val="center"/>
        <w:textAlignment w:val="auto"/>
        <w:rPr>
          <w:rFonts w:hint="eastAsia" w:ascii="宋体" w:hAnsi="宋体" w:eastAsia="宋体" w:cs="宋体"/>
          <w:b/>
          <w:bCs/>
          <w:color w:val="000000" w:themeColor="text1"/>
          <w:sz w:val="48"/>
          <w:szCs w:val="48"/>
          <w:highlight w:val="none"/>
          <w14:textFill>
            <w14:solidFill>
              <w14:schemeClr w14:val="tx1"/>
            </w14:solidFill>
          </w14:textFill>
        </w:rPr>
      </w:pPr>
      <w:r>
        <w:rPr>
          <w:rFonts w:hint="eastAsia" w:ascii="宋体" w:hAnsi="宋体" w:eastAsia="宋体" w:cs="宋体"/>
          <w:b/>
          <w:bCs/>
          <w:color w:val="000000" w:themeColor="text1"/>
          <w:sz w:val="48"/>
          <w:szCs w:val="48"/>
          <w:highlight w:val="none"/>
          <w14:textFill>
            <w14:solidFill>
              <w14:schemeClr w14:val="tx1"/>
            </w14:solidFill>
          </w14:textFill>
        </w:rPr>
        <w:t>台州机场运行指挥中心数字化建设工程</w:t>
      </w:r>
    </w:p>
    <w:p w14:paraId="5C5234A5">
      <w:pPr>
        <w:keepNext w:val="0"/>
        <w:keepLines w:val="0"/>
        <w:pageBreakBefore w:val="0"/>
        <w:widowControl w:val="0"/>
        <w:tabs>
          <w:tab w:val="left" w:pos="390"/>
          <w:tab w:val="center" w:pos="4404"/>
        </w:tabs>
        <w:kinsoku/>
        <w:wordWrap/>
        <w:overflowPunct/>
        <w:topLinePunct w:val="0"/>
        <w:autoSpaceDE/>
        <w:autoSpaceDN/>
        <w:bidi w:val="0"/>
        <w:adjustRightInd/>
        <w:snapToGrid/>
        <w:spacing w:line="900" w:lineRule="exact"/>
        <w:jc w:val="center"/>
        <w:textAlignment w:val="auto"/>
        <w:rPr>
          <w:rFonts w:hint="eastAsia" w:ascii="宋体" w:hAnsi="宋体" w:eastAsia="宋体" w:cs="宋体"/>
          <w:b/>
          <w:bCs/>
          <w:color w:val="000000" w:themeColor="text1"/>
          <w:sz w:val="48"/>
          <w:szCs w:val="48"/>
          <w:highlight w:val="none"/>
          <w14:textFill>
            <w14:solidFill>
              <w14:schemeClr w14:val="tx1"/>
            </w14:solidFill>
          </w14:textFill>
        </w:rPr>
      </w:pPr>
      <w:r>
        <w:rPr>
          <w:rFonts w:hint="eastAsia" w:ascii="宋体" w:hAnsi="宋体" w:eastAsia="宋体" w:cs="宋体"/>
          <w:b/>
          <w:bCs/>
          <w:color w:val="000000" w:themeColor="text1"/>
          <w:sz w:val="48"/>
          <w:szCs w:val="48"/>
          <w:highlight w:val="none"/>
          <w14:textFill>
            <w14:solidFill>
              <w14:schemeClr w14:val="tx1"/>
            </w14:solidFill>
          </w14:textFill>
        </w:rPr>
        <w:t>（台州机场运行安全提升工程）</w:t>
      </w:r>
    </w:p>
    <w:p w14:paraId="00BF7E22">
      <w:pPr>
        <w:tabs>
          <w:tab w:val="left" w:pos="390"/>
          <w:tab w:val="center" w:pos="4404"/>
        </w:tabs>
        <w:spacing w:line="880" w:lineRule="exact"/>
        <w:jc w:val="center"/>
        <w:rPr>
          <w:rFonts w:hint="eastAsia" w:ascii="宋体" w:hAnsi="宋体" w:eastAsia="宋体" w:cs="宋体"/>
          <w:b/>
          <w:color w:val="000000" w:themeColor="text1"/>
          <w:sz w:val="84"/>
          <w:szCs w:val="84"/>
          <w:highlight w:val="none"/>
          <w14:textFill>
            <w14:solidFill>
              <w14:schemeClr w14:val="tx1"/>
            </w14:solidFill>
          </w14:textFill>
        </w:rPr>
      </w:pPr>
    </w:p>
    <w:p w14:paraId="26C3535C">
      <w:pPr>
        <w:tabs>
          <w:tab w:val="left" w:pos="390"/>
          <w:tab w:val="center" w:pos="4404"/>
        </w:tabs>
        <w:spacing w:line="880" w:lineRule="exact"/>
        <w:jc w:val="center"/>
        <w:rPr>
          <w:rFonts w:hint="eastAsia" w:ascii="宋体" w:hAnsi="宋体" w:eastAsia="宋体" w:cs="宋体"/>
          <w:b/>
          <w:color w:val="000000" w:themeColor="text1"/>
          <w:sz w:val="84"/>
          <w:szCs w:val="84"/>
          <w:highlight w:val="none"/>
          <w14:textFill>
            <w14:solidFill>
              <w14:schemeClr w14:val="tx1"/>
            </w14:solidFill>
          </w14:textFill>
        </w:rPr>
      </w:pPr>
    </w:p>
    <w:p w14:paraId="0E81C3A1">
      <w:pPr>
        <w:pStyle w:val="32"/>
        <w:rPr>
          <w:rFonts w:hint="eastAsia" w:ascii="宋体" w:hAnsi="宋体" w:eastAsia="宋体" w:cs="宋体"/>
          <w:color w:val="000000" w:themeColor="text1"/>
          <w:highlight w:val="none"/>
          <w14:textFill>
            <w14:solidFill>
              <w14:schemeClr w14:val="tx1"/>
            </w14:solidFill>
          </w14:textFill>
        </w:rPr>
      </w:pPr>
    </w:p>
    <w:p w14:paraId="7409873A">
      <w:pPr>
        <w:pStyle w:val="14"/>
        <w:rPr>
          <w:rFonts w:hint="eastAsia" w:ascii="宋体" w:hAnsi="宋体" w:eastAsia="宋体" w:cs="宋体"/>
          <w:color w:val="000000" w:themeColor="text1"/>
          <w:highlight w:val="none"/>
          <w14:textFill>
            <w14:solidFill>
              <w14:schemeClr w14:val="tx1"/>
            </w14:solidFill>
          </w14:textFill>
        </w:rPr>
      </w:pPr>
    </w:p>
    <w:p w14:paraId="2626D2A3">
      <w:pPr>
        <w:tabs>
          <w:tab w:val="left" w:pos="390"/>
          <w:tab w:val="center" w:pos="4404"/>
        </w:tabs>
        <w:spacing w:line="880" w:lineRule="exact"/>
        <w:jc w:val="center"/>
        <w:rPr>
          <w:rFonts w:hint="eastAsia" w:ascii="宋体" w:hAnsi="宋体" w:eastAsia="宋体" w:cs="宋体"/>
          <w:color w:val="000000" w:themeColor="text1"/>
          <w:sz w:val="84"/>
          <w:szCs w:val="84"/>
          <w:highlight w:val="none"/>
          <w14:textFill>
            <w14:solidFill>
              <w14:schemeClr w14:val="tx1"/>
            </w14:solidFill>
          </w14:textFill>
        </w:rPr>
      </w:pPr>
      <w:bookmarkStart w:id="0" w:name="_Toc37667000"/>
      <w:bookmarkStart w:id="1" w:name="_Toc7806"/>
      <w:r>
        <w:rPr>
          <w:rFonts w:hint="eastAsia" w:ascii="宋体" w:hAnsi="宋体" w:eastAsia="宋体" w:cs="宋体"/>
          <w:color w:val="000000" w:themeColor="text1"/>
          <w:sz w:val="84"/>
          <w:szCs w:val="84"/>
          <w:highlight w:val="none"/>
          <w14:textFill>
            <w14:solidFill>
              <w14:schemeClr w14:val="tx1"/>
            </w14:solidFill>
          </w14:textFill>
        </w:rPr>
        <w:t xml:space="preserve"> 采 购 文 件</w:t>
      </w:r>
      <w:bookmarkEnd w:id="0"/>
      <w:bookmarkEnd w:id="1"/>
    </w:p>
    <w:p w14:paraId="1E4598BE">
      <w:pPr>
        <w:tabs>
          <w:tab w:val="left" w:pos="390"/>
          <w:tab w:val="center" w:pos="4404"/>
        </w:tabs>
        <w:spacing w:line="880" w:lineRule="exact"/>
        <w:jc w:val="center"/>
        <w:rPr>
          <w:rFonts w:hint="eastAsia" w:ascii="宋体" w:hAnsi="宋体" w:eastAsia="宋体" w:cs="宋体"/>
          <w:color w:val="000000" w:themeColor="text1"/>
          <w:sz w:val="32"/>
          <w:szCs w:val="32"/>
          <w:highlight w:val="none"/>
          <w:lang w:val="en-US" w:eastAsia="zh-CN"/>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t xml:space="preserve">  项目编号：YDZC-GKZB-202</w:t>
      </w:r>
      <w:r>
        <w:rPr>
          <w:rFonts w:hint="eastAsia" w:ascii="宋体" w:hAnsi="宋体" w:eastAsia="宋体" w:cs="宋体"/>
          <w:color w:val="000000" w:themeColor="text1"/>
          <w:sz w:val="32"/>
          <w:szCs w:val="32"/>
          <w:highlight w:val="none"/>
          <w:lang w:val="en-US" w:eastAsia="zh-CN"/>
          <w14:textFill>
            <w14:solidFill>
              <w14:schemeClr w14:val="tx1"/>
            </w14:solidFill>
          </w14:textFill>
        </w:rPr>
        <w:t>50227</w:t>
      </w:r>
    </w:p>
    <w:p w14:paraId="1C0D537B">
      <w:pPr>
        <w:rPr>
          <w:rFonts w:hint="eastAsia" w:ascii="宋体" w:hAnsi="宋体" w:eastAsia="宋体" w:cs="宋体"/>
          <w:color w:val="000000" w:themeColor="text1"/>
          <w:sz w:val="28"/>
          <w:szCs w:val="28"/>
          <w:highlight w:val="none"/>
          <w14:textFill>
            <w14:solidFill>
              <w14:schemeClr w14:val="tx1"/>
            </w14:solidFill>
          </w14:textFill>
        </w:rPr>
      </w:pPr>
    </w:p>
    <w:p w14:paraId="16315E30">
      <w:pPr>
        <w:rPr>
          <w:rFonts w:hint="eastAsia" w:ascii="宋体" w:hAnsi="宋体" w:eastAsia="宋体" w:cs="宋体"/>
          <w:color w:val="000000" w:themeColor="text1"/>
          <w:sz w:val="28"/>
          <w:szCs w:val="28"/>
          <w:highlight w:val="none"/>
          <w14:textFill>
            <w14:solidFill>
              <w14:schemeClr w14:val="tx1"/>
            </w14:solidFill>
          </w14:textFill>
        </w:rPr>
      </w:pPr>
    </w:p>
    <w:p w14:paraId="775B7192">
      <w:pPr>
        <w:pStyle w:val="14"/>
        <w:rPr>
          <w:rFonts w:hint="eastAsia" w:ascii="宋体" w:hAnsi="宋体" w:eastAsia="宋体" w:cs="宋体"/>
          <w:color w:val="000000" w:themeColor="text1"/>
          <w:highlight w:val="none"/>
          <w14:textFill>
            <w14:solidFill>
              <w14:schemeClr w14:val="tx1"/>
            </w14:solidFill>
          </w14:textFill>
        </w:rPr>
      </w:pPr>
    </w:p>
    <w:p w14:paraId="3C1DC682">
      <w:pPr>
        <w:rPr>
          <w:rFonts w:hint="eastAsia" w:ascii="宋体" w:hAnsi="宋体" w:eastAsia="宋体" w:cs="宋体"/>
          <w:color w:val="000000" w:themeColor="text1"/>
          <w:sz w:val="28"/>
          <w:szCs w:val="28"/>
          <w:highlight w:val="none"/>
          <w14:textFill>
            <w14:solidFill>
              <w14:schemeClr w14:val="tx1"/>
            </w14:solidFill>
          </w14:textFill>
        </w:rPr>
      </w:pPr>
    </w:p>
    <w:p w14:paraId="2F072D5F">
      <w:pPr>
        <w:rPr>
          <w:rFonts w:hint="eastAsia" w:ascii="宋体" w:hAnsi="宋体" w:eastAsia="宋体" w:cs="宋体"/>
          <w:color w:val="000000" w:themeColor="text1"/>
          <w:sz w:val="28"/>
          <w:szCs w:val="28"/>
          <w:highlight w:val="none"/>
          <w14:textFill>
            <w14:solidFill>
              <w14:schemeClr w14:val="tx1"/>
            </w14:solidFill>
          </w14:textFill>
        </w:rPr>
      </w:pPr>
    </w:p>
    <w:p w14:paraId="2AF46CCD">
      <w:pPr>
        <w:spacing w:line="360" w:lineRule="auto"/>
        <w:ind w:firstLine="991" w:firstLineChars="354"/>
        <w:rPr>
          <w:rFonts w:hint="eastAsia" w:ascii="宋体" w:hAnsi="宋体" w:eastAsia="宋体" w:cs="宋体"/>
          <w:color w:val="000000" w:themeColor="text1"/>
          <w:sz w:val="28"/>
          <w:szCs w:val="28"/>
          <w:highlight w:val="none"/>
          <w14:textFill>
            <w14:solidFill>
              <w14:schemeClr w14:val="tx1"/>
            </w14:solidFill>
          </w14:textFill>
        </w:rPr>
      </w:pPr>
    </w:p>
    <w:tbl>
      <w:tblPr>
        <w:tblStyle w:val="34"/>
        <w:tblW w:w="9415" w:type="dxa"/>
        <w:jc w:val="center"/>
        <w:tblLayout w:type="fixed"/>
        <w:tblCellMar>
          <w:top w:w="0" w:type="dxa"/>
          <w:left w:w="28" w:type="dxa"/>
          <w:bottom w:w="0" w:type="dxa"/>
          <w:right w:w="28" w:type="dxa"/>
        </w:tblCellMar>
      </w:tblPr>
      <w:tblGrid>
        <w:gridCol w:w="2379"/>
        <w:gridCol w:w="7036"/>
      </w:tblGrid>
      <w:tr w14:paraId="29D4CB19">
        <w:tblPrEx>
          <w:tblCellMar>
            <w:top w:w="0" w:type="dxa"/>
            <w:left w:w="28" w:type="dxa"/>
            <w:bottom w:w="0" w:type="dxa"/>
            <w:right w:w="28" w:type="dxa"/>
          </w:tblCellMar>
        </w:tblPrEx>
        <w:trPr>
          <w:trHeight w:val="720" w:hRule="atLeast"/>
          <w:jc w:val="center"/>
        </w:trPr>
        <w:tc>
          <w:tcPr>
            <w:tcW w:w="2379" w:type="dxa"/>
            <w:vAlign w:val="center"/>
          </w:tcPr>
          <w:p w14:paraId="1E5AC68A">
            <w:pPr>
              <w:ind w:right="3"/>
              <w:jc w:val="distribute"/>
              <w:rPr>
                <w:rFonts w:hint="eastAsia" w:ascii="宋体" w:hAnsi="宋体" w:eastAsia="宋体" w:cs="宋体"/>
                <w:color w:val="000000" w:themeColor="text1"/>
                <w:w w:val="90"/>
                <w:sz w:val="32"/>
                <w:szCs w:val="32"/>
                <w:highlight w:val="none"/>
                <w14:textFill>
                  <w14:solidFill>
                    <w14:schemeClr w14:val="tx1"/>
                  </w14:solidFill>
                </w14:textFill>
              </w:rPr>
            </w:pPr>
            <w:r>
              <w:rPr>
                <w:rFonts w:hint="eastAsia" w:ascii="宋体" w:hAnsi="宋体" w:eastAsia="宋体" w:cs="宋体"/>
                <w:color w:val="000000" w:themeColor="text1"/>
                <w:w w:val="90"/>
                <w:sz w:val="32"/>
                <w:szCs w:val="32"/>
                <w:highlight w:val="none"/>
                <w14:textFill>
                  <w14:solidFill>
                    <w14:schemeClr w14:val="tx1"/>
                  </w14:solidFill>
                </w14:textFill>
              </w:rPr>
              <w:t>采 购 人：</w:t>
            </w:r>
          </w:p>
        </w:tc>
        <w:tc>
          <w:tcPr>
            <w:tcW w:w="7036" w:type="dxa"/>
            <w:vAlign w:val="center"/>
          </w:tcPr>
          <w:p w14:paraId="22BED89F">
            <w:pPr>
              <w:jc w:val="distribute"/>
              <w:rPr>
                <w:rFonts w:hint="eastAsia" w:ascii="宋体" w:hAnsi="宋体" w:eastAsia="宋体" w:cs="宋体"/>
                <w:color w:val="000000" w:themeColor="text1"/>
                <w:w w:val="90"/>
                <w:sz w:val="32"/>
                <w:szCs w:val="32"/>
                <w:highlight w:val="none"/>
                <w:lang w:eastAsia="zh-CN"/>
                <w14:textFill>
                  <w14:solidFill>
                    <w14:schemeClr w14:val="tx1"/>
                  </w14:solidFill>
                </w14:textFill>
              </w:rPr>
            </w:pPr>
            <w:r>
              <w:rPr>
                <w:rFonts w:hint="eastAsia" w:ascii="宋体" w:hAnsi="宋体" w:eastAsia="宋体" w:cs="宋体"/>
                <w:color w:val="000000" w:themeColor="text1"/>
                <w:w w:val="90"/>
                <w:sz w:val="32"/>
                <w:szCs w:val="32"/>
                <w:highlight w:val="none"/>
                <w:lang w:eastAsia="zh-CN"/>
                <w14:textFill>
                  <w14:solidFill>
                    <w14:schemeClr w14:val="tx1"/>
                  </w14:solidFill>
                </w14:textFill>
              </w:rPr>
              <w:t>台州市民航事务中心</w:t>
            </w:r>
          </w:p>
        </w:tc>
      </w:tr>
      <w:tr w14:paraId="709F6433">
        <w:tblPrEx>
          <w:tblCellMar>
            <w:top w:w="0" w:type="dxa"/>
            <w:left w:w="28" w:type="dxa"/>
            <w:bottom w:w="0" w:type="dxa"/>
            <w:right w:w="28" w:type="dxa"/>
          </w:tblCellMar>
        </w:tblPrEx>
        <w:trPr>
          <w:trHeight w:val="720" w:hRule="atLeast"/>
          <w:jc w:val="center"/>
        </w:trPr>
        <w:tc>
          <w:tcPr>
            <w:tcW w:w="2379" w:type="dxa"/>
            <w:vAlign w:val="center"/>
          </w:tcPr>
          <w:p w14:paraId="2B5AC470">
            <w:pPr>
              <w:tabs>
                <w:tab w:val="left" w:pos="1680"/>
              </w:tabs>
              <w:ind w:right="3"/>
              <w:jc w:val="distribute"/>
              <w:rPr>
                <w:rFonts w:hint="eastAsia" w:ascii="宋体" w:hAnsi="宋体" w:eastAsia="宋体" w:cs="宋体"/>
                <w:color w:val="000000" w:themeColor="text1"/>
                <w:w w:val="90"/>
                <w:sz w:val="32"/>
                <w:szCs w:val="32"/>
                <w:highlight w:val="none"/>
                <w14:textFill>
                  <w14:solidFill>
                    <w14:schemeClr w14:val="tx1"/>
                  </w14:solidFill>
                </w14:textFill>
              </w:rPr>
            </w:pPr>
            <w:r>
              <w:rPr>
                <w:rFonts w:hint="eastAsia" w:ascii="宋体" w:hAnsi="宋体" w:eastAsia="宋体" w:cs="宋体"/>
                <w:color w:val="000000" w:themeColor="text1"/>
                <w:w w:val="90"/>
                <w:sz w:val="32"/>
                <w:szCs w:val="32"/>
                <w:highlight w:val="none"/>
                <w14:textFill>
                  <w14:solidFill>
                    <w14:schemeClr w14:val="tx1"/>
                  </w14:solidFill>
                </w14:textFill>
              </w:rPr>
              <w:t>采购代理机构：</w:t>
            </w:r>
          </w:p>
        </w:tc>
        <w:tc>
          <w:tcPr>
            <w:tcW w:w="7036" w:type="dxa"/>
            <w:vAlign w:val="center"/>
          </w:tcPr>
          <w:p w14:paraId="5A0069FF">
            <w:pPr>
              <w:jc w:val="distribute"/>
              <w:rPr>
                <w:rFonts w:hint="eastAsia" w:ascii="宋体" w:hAnsi="宋体" w:eastAsia="宋体" w:cs="宋体"/>
                <w:color w:val="000000" w:themeColor="text1"/>
                <w:w w:val="90"/>
                <w:sz w:val="32"/>
                <w:szCs w:val="32"/>
                <w:highlight w:val="none"/>
                <w14:textFill>
                  <w14:solidFill>
                    <w14:schemeClr w14:val="tx1"/>
                  </w14:solidFill>
                </w14:textFill>
              </w:rPr>
            </w:pPr>
            <w:r>
              <w:rPr>
                <w:rFonts w:hint="eastAsia" w:ascii="宋体" w:hAnsi="宋体" w:eastAsia="宋体" w:cs="宋体"/>
                <w:color w:val="000000" w:themeColor="text1"/>
                <w:w w:val="90"/>
                <w:sz w:val="32"/>
                <w:szCs w:val="32"/>
                <w:highlight w:val="none"/>
                <w14:textFill>
                  <w14:solidFill>
                    <w14:schemeClr w14:val="tx1"/>
                  </w14:solidFill>
                </w14:textFill>
              </w:rPr>
              <w:t>浙江远大工程咨询有限公司</w:t>
            </w:r>
          </w:p>
        </w:tc>
      </w:tr>
      <w:tr w14:paraId="1F0BF48D">
        <w:tblPrEx>
          <w:tblCellMar>
            <w:top w:w="0" w:type="dxa"/>
            <w:left w:w="28" w:type="dxa"/>
            <w:bottom w:w="0" w:type="dxa"/>
            <w:right w:w="28" w:type="dxa"/>
          </w:tblCellMar>
        </w:tblPrEx>
        <w:trPr>
          <w:trHeight w:val="720" w:hRule="atLeast"/>
          <w:jc w:val="center"/>
        </w:trPr>
        <w:tc>
          <w:tcPr>
            <w:tcW w:w="9415" w:type="dxa"/>
            <w:gridSpan w:val="2"/>
            <w:vAlign w:val="center"/>
          </w:tcPr>
          <w:p w14:paraId="40CE4206">
            <w:pPr>
              <w:jc w:val="center"/>
              <w:rPr>
                <w:rFonts w:hint="eastAsia" w:ascii="宋体" w:hAnsi="宋体" w:eastAsia="宋体" w:cs="宋体"/>
                <w:color w:val="000000" w:themeColor="text1"/>
                <w:w w:val="90"/>
                <w:sz w:val="32"/>
                <w:szCs w:val="32"/>
                <w:highlight w:val="none"/>
                <w14:textFill>
                  <w14:solidFill>
                    <w14:schemeClr w14:val="tx1"/>
                  </w14:solidFill>
                </w14:textFill>
              </w:rPr>
            </w:pPr>
            <w:r>
              <w:rPr>
                <w:rFonts w:hint="eastAsia" w:ascii="宋体" w:hAnsi="宋体" w:eastAsia="宋体" w:cs="宋体"/>
                <w:color w:val="000000" w:themeColor="text1"/>
                <w:w w:val="90"/>
                <w:sz w:val="32"/>
                <w:szCs w:val="32"/>
                <w:highlight w:val="none"/>
                <w14:textFill>
                  <w14:solidFill>
                    <w14:schemeClr w14:val="tx1"/>
                  </w14:solidFill>
                </w14:textFill>
              </w:rPr>
              <w:t>二〇二</w:t>
            </w:r>
            <w:r>
              <w:rPr>
                <w:rFonts w:hint="eastAsia" w:ascii="宋体" w:hAnsi="宋体" w:eastAsia="宋体" w:cs="宋体"/>
                <w:color w:val="000000" w:themeColor="text1"/>
                <w:w w:val="90"/>
                <w:sz w:val="32"/>
                <w:szCs w:val="32"/>
                <w:highlight w:val="none"/>
                <w:lang w:val="en-US" w:eastAsia="zh-CN"/>
                <w14:textFill>
                  <w14:solidFill>
                    <w14:schemeClr w14:val="tx1"/>
                  </w14:solidFill>
                </w14:textFill>
              </w:rPr>
              <w:t>五</w:t>
            </w:r>
            <w:r>
              <w:rPr>
                <w:rFonts w:hint="eastAsia" w:ascii="宋体" w:hAnsi="宋体" w:eastAsia="宋体" w:cs="宋体"/>
                <w:color w:val="000000" w:themeColor="text1"/>
                <w:w w:val="90"/>
                <w:sz w:val="32"/>
                <w:szCs w:val="32"/>
                <w:highlight w:val="none"/>
                <w14:textFill>
                  <w14:solidFill>
                    <w14:schemeClr w14:val="tx1"/>
                  </w14:solidFill>
                </w14:textFill>
              </w:rPr>
              <w:t>年</w:t>
            </w:r>
            <w:r>
              <w:rPr>
                <w:rFonts w:hint="eastAsia" w:ascii="宋体" w:hAnsi="宋体" w:eastAsia="宋体" w:cs="宋体"/>
                <w:color w:val="000000" w:themeColor="text1"/>
                <w:w w:val="90"/>
                <w:sz w:val="32"/>
                <w:szCs w:val="32"/>
                <w:highlight w:val="none"/>
                <w:lang w:val="en-US" w:eastAsia="zh-CN"/>
                <w14:textFill>
                  <w14:solidFill>
                    <w14:schemeClr w14:val="tx1"/>
                  </w14:solidFill>
                </w14:textFill>
              </w:rPr>
              <w:t>二</w:t>
            </w:r>
            <w:r>
              <w:rPr>
                <w:rFonts w:hint="eastAsia" w:ascii="宋体" w:hAnsi="宋体" w:eastAsia="宋体" w:cs="宋体"/>
                <w:color w:val="000000" w:themeColor="text1"/>
                <w:w w:val="90"/>
                <w:sz w:val="32"/>
                <w:szCs w:val="32"/>
                <w:highlight w:val="none"/>
                <w14:textFill>
                  <w14:solidFill>
                    <w14:schemeClr w14:val="tx1"/>
                  </w14:solidFill>
                </w14:textFill>
              </w:rPr>
              <w:t>月</w:t>
            </w:r>
          </w:p>
        </w:tc>
      </w:tr>
    </w:tbl>
    <w:p w14:paraId="3D109770">
      <w:pPr>
        <w:widowControl/>
        <w:jc w:val="left"/>
        <w:rPr>
          <w:rFonts w:hint="eastAsia" w:ascii="宋体" w:hAnsi="宋体" w:eastAsia="宋体" w:cs="宋体"/>
          <w:b/>
          <w:color w:val="000000" w:themeColor="text1"/>
          <w:kern w:val="0"/>
          <w:sz w:val="72"/>
          <w:szCs w:val="72"/>
          <w:highlight w:val="none"/>
          <w14:textFill>
            <w14:solidFill>
              <w14:schemeClr w14:val="tx1"/>
            </w14:solidFill>
          </w14:textFill>
        </w:rPr>
        <w:sectPr>
          <w:headerReference r:id="rId3" w:type="default"/>
          <w:pgSz w:w="11906" w:h="16838"/>
          <w:pgMar w:top="1440" w:right="1080" w:bottom="1440" w:left="1080" w:header="567" w:footer="851" w:gutter="0"/>
          <w:pgNumType w:start="1"/>
          <w:cols w:space="720" w:num="1"/>
          <w:docGrid w:linePitch="312" w:charSpace="0"/>
        </w:sectPr>
      </w:pPr>
    </w:p>
    <w:p w14:paraId="51733FD8">
      <w:pPr>
        <w:pStyle w:val="18"/>
        <w:tabs>
          <w:tab w:val="center" w:pos="4214"/>
          <w:tab w:val="left" w:pos="5990"/>
        </w:tabs>
        <w:spacing w:before="120" w:after="120" w:line="360" w:lineRule="auto"/>
        <w:jc w:val="center"/>
        <w:rPr>
          <w:rFonts w:hint="eastAsia" w:ascii="宋体" w:hAnsi="宋体" w:eastAsia="宋体" w:cs="宋体"/>
          <w:b/>
          <w:color w:val="000000" w:themeColor="text1"/>
          <w:sz w:val="56"/>
          <w:szCs w:val="56"/>
          <w:highlight w:val="none"/>
          <w14:textFill>
            <w14:solidFill>
              <w14:schemeClr w14:val="tx1"/>
            </w14:solidFill>
          </w14:textFill>
        </w:rPr>
      </w:pPr>
      <w:r>
        <w:rPr>
          <w:rFonts w:hint="eastAsia" w:ascii="宋体" w:hAnsi="宋体" w:eastAsia="宋体" w:cs="宋体"/>
          <w:b/>
          <w:color w:val="000000" w:themeColor="text1"/>
          <w:sz w:val="56"/>
          <w:szCs w:val="56"/>
          <w:highlight w:val="none"/>
          <w14:textFill>
            <w14:solidFill>
              <w14:schemeClr w14:val="tx1"/>
            </w14:solidFill>
          </w14:textFill>
        </w:rPr>
        <w:t>目  录</w:t>
      </w:r>
    </w:p>
    <w:p w14:paraId="39680B05">
      <w:pPr>
        <w:pStyle w:val="25"/>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4"/>
          <w:highlight w:val="none"/>
        </w:rPr>
      </w:pPr>
      <w:r>
        <w:rPr>
          <w:rFonts w:hint="eastAsia" w:ascii="宋体" w:hAnsi="宋体" w:eastAsia="宋体" w:cs="宋体"/>
          <w:b/>
          <w:color w:val="000000" w:themeColor="text1"/>
          <w:sz w:val="36"/>
          <w:szCs w:val="36"/>
          <w:highlight w:val="none"/>
          <w14:textFill>
            <w14:solidFill>
              <w14:schemeClr w14:val="tx1"/>
            </w14:solidFill>
          </w14:textFill>
        </w:rPr>
        <w:fldChar w:fldCharType="begin"/>
      </w:r>
      <w:r>
        <w:rPr>
          <w:rFonts w:hint="eastAsia" w:ascii="宋体" w:hAnsi="宋体" w:eastAsia="宋体" w:cs="宋体"/>
          <w:b/>
          <w:color w:val="000000" w:themeColor="text1"/>
          <w:sz w:val="36"/>
          <w:szCs w:val="36"/>
          <w:highlight w:val="none"/>
          <w14:textFill>
            <w14:solidFill>
              <w14:schemeClr w14:val="tx1"/>
            </w14:solidFill>
          </w14:textFill>
        </w:rPr>
        <w:instrText xml:space="preserve"> TOC \h \z \u \t "副标题,2,标题,1" </w:instrText>
      </w:r>
      <w:r>
        <w:rPr>
          <w:rFonts w:hint="eastAsia" w:ascii="宋体" w:hAnsi="宋体" w:eastAsia="宋体" w:cs="宋体"/>
          <w:b/>
          <w:color w:val="000000" w:themeColor="text1"/>
          <w:sz w:val="36"/>
          <w:szCs w:val="36"/>
          <w:highlight w:val="none"/>
          <w14:textFill>
            <w14:solidFill>
              <w14:schemeClr w14:val="tx1"/>
            </w14:solidFill>
          </w14:textFill>
        </w:rPr>
        <w:fldChar w:fldCharType="separate"/>
      </w:r>
      <w:r>
        <w:rPr>
          <w:rFonts w:hint="eastAsia" w:ascii="宋体" w:hAnsi="宋体" w:eastAsia="宋体" w:cs="宋体"/>
          <w:color w:val="000000" w:themeColor="text1"/>
          <w:sz w:val="22"/>
          <w:szCs w:val="36"/>
          <w:highlight w:val="none"/>
          <w14:textFill>
            <w14:solidFill>
              <w14:schemeClr w14:val="tx1"/>
            </w14:solidFill>
          </w14:textFill>
        </w:rPr>
        <w:fldChar w:fldCharType="begin"/>
      </w:r>
      <w:r>
        <w:rPr>
          <w:rFonts w:hint="eastAsia" w:ascii="宋体" w:hAnsi="宋体" w:eastAsia="宋体" w:cs="宋体"/>
          <w:sz w:val="22"/>
          <w:szCs w:val="36"/>
          <w:highlight w:val="none"/>
        </w:rPr>
        <w:instrText xml:space="preserve"> HYPERLINK \l _Toc23425 </w:instrText>
      </w:r>
      <w:r>
        <w:rPr>
          <w:rFonts w:hint="eastAsia" w:ascii="宋体" w:hAnsi="宋体" w:eastAsia="宋体" w:cs="宋体"/>
          <w:sz w:val="22"/>
          <w:szCs w:val="36"/>
          <w:highlight w:val="none"/>
        </w:rPr>
        <w:fldChar w:fldCharType="separate"/>
      </w:r>
      <w:r>
        <w:rPr>
          <w:rFonts w:hint="eastAsia" w:ascii="宋体" w:hAnsi="宋体" w:eastAsia="宋体" w:cs="宋体"/>
          <w:bCs w:val="0"/>
          <w:kern w:val="2"/>
          <w:sz w:val="22"/>
          <w:szCs w:val="48"/>
          <w:highlight w:val="none"/>
        </w:rPr>
        <w:t>第一章 采购公告</w:t>
      </w:r>
      <w:r>
        <w:rPr>
          <w:rFonts w:hint="eastAsia" w:ascii="宋体" w:hAnsi="宋体" w:eastAsia="宋体" w:cs="宋体"/>
          <w:sz w:val="22"/>
          <w:szCs w:val="24"/>
          <w:highlight w:val="none"/>
        </w:rPr>
        <w:tab/>
      </w:r>
      <w:r>
        <w:rPr>
          <w:rFonts w:hint="eastAsia" w:ascii="宋体" w:hAnsi="宋体" w:eastAsia="宋体" w:cs="宋体"/>
          <w:sz w:val="22"/>
          <w:szCs w:val="24"/>
          <w:highlight w:val="none"/>
        </w:rPr>
        <w:fldChar w:fldCharType="begin"/>
      </w:r>
      <w:r>
        <w:rPr>
          <w:rFonts w:hint="eastAsia" w:ascii="宋体" w:hAnsi="宋体" w:eastAsia="宋体" w:cs="宋体"/>
          <w:sz w:val="22"/>
          <w:szCs w:val="24"/>
          <w:highlight w:val="none"/>
        </w:rPr>
        <w:instrText xml:space="preserve"> PAGEREF _Toc23425 \h </w:instrText>
      </w:r>
      <w:r>
        <w:rPr>
          <w:rFonts w:hint="eastAsia" w:ascii="宋体" w:hAnsi="宋体" w:eastAsia="宋体" w:cs="宋体"/>
          <w:sz w:val="22"/>
          <w:szCs w:val="24"/>
          <w:highlight w:val="none"/>
        </w:rPr>
        <w:fldChar w:fldCharType="separate"/>
      </w:r>
      <w:r>
        <w:rPr>
          <w:rFonts w:hint="eastAsia" w:ascii="宋体" w:hAnsi="宋体" w:eastAsia="宋体" w:cs="宋体"/>
          <w:sz w:val="22"/>
          <w:szCs w:val="24"/>
          <w:highlight w:val="none"/>
        </w:rPr>
        <w:t>1</w:t>
      </w:r>
      <w:r>
        <w:rPr>
          <w:rFonts w:hint="eastAsia" w:ascii="宋体" w:hAnsi="宋体" w:eastAsia="宋体" w:cs="宋体"/>
          <w:sz w:val="22"/>
          <w:szCs w:val="24"/>
          <w:highlight w:val="none"/>
        </w:rPr>
        <w:fldChar w:fldCharType="end"/>
      </w:r>
      <w:r>
        <w:rPr>
          <w:rFonts w:hint="eastAsia" w:ascii="宋体" w:hAnsi="宋体" w:eastAsia="宋体" w:cs="宋体"/>
          <w:color w:val="000000" w:themeColor="text1"/>
          <w:sz w:val="22"/>
          <w:szCs w:val="36"/>
          <w:highlight w:val="none"/>
          <w14:textFill>
            <w14:solidFill>
              <w14:schemeClr w14:val="tx1"/>
            </w14:solidFill>
          </w14:textFill>
        </w:rPr>
        <w:fldChar w:fldCharType="end"/>
      </w:r>
    </w:p>
    <w:p w14:paraId="370F39F1">
      <w:pPr>
        <w:pStyle w:val="25"/>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4"/>
          <w:highlight w:val="none"/>
        </w:rPr>
      </w:pPr>
      <w:r>
        <w:rPr>
          <w:rFonts w:hint="eastAsia" w:ascii="宋体" w:hAnsi="宋体" w:eastAsia="宋体" w:cs="宋体"/>
          <w:color w:val="000000" w:themeColor="text1"/>
          <w:sz w:val="22"/>
          <w:szCs w:val="24"/>
          <w:highlight w:val="none"/>
          <w14:textFill>
            <w14:solidFill>
              <w14:schemeClr w14:val="tx1"/>
            </w14:solidFill>
          </w14:textFill>
        </w:rPr>
        <w:fldChar w:fldCharType="begin"/>
      </w:r>
      <w:r>
        <w:rPr>
          <w:rFonts w:hint="eastAsia" w:ascii="宋体" w:hAnsi="宋体" w:eastAsia="宋体" w:cs="宋体"/>
          <w:sz w:val="22"/>
          <w:szCs w:val="24"/>
          <w:highlight w:val="none"/>
        </w:rPr>
        <w:instrText xml:space="preserve"> HYPERLINK \l _Toc29734 </w:instrText>
      </w:r>
      <w:r>
        <w:rPr>
          <w:rFonts w:hint="eastAsia" w:ascii="宋体" w:hAnsi="宋体" w:eastAsia="宋体" w:cs="宋体"/>
          <w:sz w:val="22"/>
          <w:szCs w:val="24"/>
          <w:highlight w:val="none"/>
        </w:rPr>
        <w:fldChar w:fldCharType="separate"/>
      </w:r>
      <w:r>
        <w:rPr>
          <w:rFonts w:hint="eastAsia" w:ascii="宋体" w:hAnsi="宋体" w:eastAsia="宋体" w:cs="宋体"/>
          <w:bCs w:val="0"/>
          <w:kern w:val="2"/>
          <w:sz w:val="22"/>
          <w:szCs w:val="48"/>
          <w:highlight w:val="none"/>
        </w:rPr>
        <w:t>第二章 采购需求</w:t>
      </w:r>
      <w:r>
        <w:rPr>
          <w:rFonts w:hint="eastAsia" w:ascii="宋体" w:hAnsi="宋体" w:eastAsia="宋体" w:cs="宋体"/>
          <w:sz w:val="22"/>
          <w:szCs w:val="24"/>
          <w:highlight w:val="none"/>
        </w:rPr>
        <w:tab/>
      </w:r>
      <w:r>
        <w:rPr>
          <w:rFonts w:hint="eastAsia" w:ascii="宋体" w:hAnsi="宋体" w:eastAsia="宋体" w:cs="宋体"/>
          <w:sz w:val="22"/>
          <w:szCs w:val="24"/>
          <w:highlight w:val="none"/>
        </w:rPr>
        <w:fldChar w:fldCharType="begin"/>
      </w:r>
      <w:r>
        <w:rPr>
          <w:rFonts w:hint="eastAsia" w:ascii="宋体" w:hAnsi="宋体" w:eastAsia="宋体" w:cs="宋体"/>
          <w:sz w:val="22"/>
          <w:szCs w:val="24"/>
          <w:highlight w:val="none"/>
        </w:rPr>
        <w:instrText xml:space="preserve"> PAGEREF _Toc29734 \h </w:instrText>
      </w:r>
      <w:r>
        <w:rPr>
          <w:rFonts w:hint="eastAsia" w:ascii="宋体" w:hAnsi="宋体" w:eastAsia="宋体" w:cs="宋体"/>
          <w:sz w:val="22"/>
          <w:szCs w:val="24"/>
          <w:highlight w:val="none"/>
        </w:rPr>
        <w:fldChar w:fldCharType="separate"/>
      </w:r>
      <w:r>
        <w:rPr>
          <w:rFonts w:hint="eastAsia" w:ascii="宋体" w:hAnsi="宋体" w:eastAsia="宋体" w:cs="宋体"/>
          <w:sz w:val="22"/>
          <w:szCs w:val="24"/>
          <w:highlight w:val="none"/>
        </w:rPr>
        <w:t>5</w:t>
      </w:r>
      <w:r>
        <w:rPr>
          <w:rFonts w:hint="eastAsia" w:ascii="宋体" w:hAnsi="宋体" w:eastAsia="宋体" w:cs="宋体"/>
          <w:sz w:val="22"/>
          <w:szCs w:val="24"/>
          <w:highlight w:val="none"/>
        </w:rPr>
        <w:fldChar w:fldCharType="end"/>
      </w:r>
      <w:r>
        <w:rPr>
          <w:rFonts w:hint="eastAsia" w:ascii="宋体" w:hAnsi="宋体" w:eastAsia="宋体" w:cs="宋体"/>
          <w:color w:val="000000" w:themeColor="text1"/>
          <w:sz w:val="22"/>
          <w:szCs w:val="24"/>
          <w:highlight w:val="none"/>
          <w14:textFill>
            <w14:solidFill>
              <w14:schemeClr w14:val="tx1"/>
            </w14:solidFill>
          </w14:textFill>
        </w:rPr>
        <w:fldChar w:fldCharType="end"/>
      </w:r>
    </w:p>
    <w:p w14:paraId="7D4FA619">
      <w:pPr>
        <w:pStyle w:val="25"/>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4"/>
          <w:highlight w:val="none"/>
        </w:rPr>
      </w:pPr>
      <w:r>
        <w:rPr>
          <w:rFonts w:hint="eastAsia" w:ascii="宋体" w:hAnsi="宋体" w:eastAsia="宋体" w:cs="宋体"/>
          <w:color w:val="000000" w:themeColor="text1"/>
          <w:sz w:val="22"/>
          <w:szCs w:val="24"/>
          <w:highlight w:val="none"/>
          <w14:textFill>
            <w14:solidFill>
              <w14:schemeClr w14:val="tx1"/>
            </w14:solidFill>
          </w14:textFill>
        </w:rPr>
        <w:fldChar w:fldCharType="begin"/>
      </w:r>
      <w:r>
        <w:rPr>
          <w:rFonts w:hint="eastAsia" w:ascii="宋体" w:hAnsi="宋体" w:eastAsia="宋体" w:cs="宋体"/>
          <w:sz w:val="22"/>
          <w:szCs w:val="24"/>
          <w:highlight w:val="none"/>
        </w:rPr>
        <w:instrText xml:space="preserve"> HYPERLINK \l _Toc29038 </w:instrText>
      </w:r>
      <w:r>
        <w:rPr>
          <w:rFonts w:hint="eastAsia" w:ascii="宋体" w:hAnsi="宋体" w:eastAsia="宋体" w:cs="宋体"/>
          <w:sz w:val="22"/>
          <w:szCs w:val="24"/>
          <w:highlight w:val="none"/>
        </w:rPr>
        <w:fldChar w:fldCharType="separate"/>
      </w:r>
      <w:r>
        <w:rPr>
          <w:rFonts w:hint="eastAsia" w:ascii="宋体" w:hAnsi="宋体" w:eastAsia="宋体" w:cs="宋体"/>
          <w:bCs w:val="0"/>
          <w:kern w:val="2"/>
          <w:sz w:val="22"/>
          <w:szCs w:val="48"/>
          <w:highlight w:val="none"/>
        </w:rPr>
        <w:t>第三章 供应商须知</w:t>
      </w:r>
      <w:r>
        <w:rPr>
          <w:rFonts w:hint="eastAsia" w:ascii="宋体" w:hAnsi="宋体" w:eastAsia="宋体" w:cs="宋体"/>
          <w:sz w:val="22"/>
          <w:szCs w:val="24"/>
          <w:highlight w:val="none"/>
        </w:rPr>
        <w:tab/>
      </w:r>
      <w:r>
        <w:rPr>
          <w:rFonts w:hint="eastAsia" w:ascii="宋体" w:hAnsi="宋体" w:eastAsia="宋体" w:cs="宋体"/>
          <w:sz w:val="22"/>
          <w:szCs w:val="24"/>
          <w:highlight w:val="none"/>
        </w:rPr>
        <w:fldChar w:fldCharType="begin"/>
      </w:r>
      <w:r>
        <w:rPr>
          <w:rFonts w:hint="eastAsia" w:ascii="宋体" w:hAnsi="宋体" w:eastAsia="宋体" w:cs="宋体"/>
          <w:sz w:val="22"/>
          <w:szCs w:val="24"/>
          <w:highlight w:val="none"/>
        </w:rPr>
        <w:instrText xml:space="preserve"> PAGEREF _Toc29038 \h </w:instrText>
      </w:r>
      <w:r>
        <w:rPr>
          <w:rFonts w:hint="eastAsia" w:ascii="宋体" w:hAnsi="宋体" w:eastAsia="宋体" w:cs="宋体"/>
          <w:sz w:val="22"/>
          <w:szCs w:val="24"/>
          <w:highlight w:val="none"/>
        </w:rPr>
        <w:fldChar w:fldCharType="separate"/>
      </w:r>
      <w:r>
        <w:rPr>
          <w:rFonts w:hint="eastAsia" w:ascii="宋体" w:hAnsi="宋体" w:eastAsia="宋体" w:cs="宋体"/>
          <w:sz w:val="22"/>
          <w:szCs w:val="24"/>
          <w:highlight w:val="none"/>
        </w:rPr>
        <w:t>6</w:t>
      </w:r>
      <w:r>
        <w:rPr>
          <w:rFonts w:hint="eastAsia" w:ascii="宋体" w:hAnsi="宋体" w:eastAsia="宋体" w:cs="宋体"/>
          <w:sz w:val="22"/>
          <w:szCs w:val="24"/>
          <w:highlight w:val="none"/>
        </w:rPr>
        <w:fldChar w:fldCharType="end"/>
      </w:r>
      <w:r>
        <w:rPr>
          <w:rFonts w:hint="eastAsia" w:ascii="宋体" w:hAnsi="宋体" w:eastAsia="宋体" w:cs="宋体"/>
          <w:color w:val="000000" w:themeColor="text1"/>
          <w:sz w:val="22"/>
          <w:szCs w:val="24"/>
          <w:highlight w:val="none"/>
          <w14:textFill>
            <w14:solidFill>
              <w14:schemeClr w14:val="tx1"/>
            </w14:solidFill>
          </w14:textFill>
        </w:rPr>
        <w:fldChar w:fldCharType="end"/>
      </w:r>
    </w:p>
    <w:p w14:paraId="2666A94B">
      <w:pPr>
        <w:pStyle w:val="25"/>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4"/>
          <w:highlight w:val="none"/>
        </w:rPr>
      </w:pPr>
      <w:r>
        <w:rPr>
          <w:rFonts w:hint="eastAsia" w:ascii="宋体" w:hAnsi="宋体" w:eastAsia="宋体" w:cs="宋体"/>
          <w:color w:val="000000" w:themeColor="text1"/>
          <w:sz w:val="22"/>
          <w:szCs w:val="24"/>
          <w:highlight w:val="none"/>
          <w14:textFill>
            <w14:solidFill>
              <w14:schemeClr w14:val="tx1"/>
            </w14:solidFill>
          </w14:textFill>
        </w:rPr>
        <w:fldChar w:fldCharType="begin"/>
      </w:r>
      <w:r>
        <w:rPr>
          <w:rFonts w:hint="eastAsia" w:ascii="宋体" w:hAnsi="宋体" w:eastAsia="宋体" w:cs="宋体"/>
          <w:sz w:val="22"/>
          <w:szCs w:val="24"/>
          <w:highlight w:val="none"/>
        </w:rPr>
        <w:instrText xml:space="preserve"> HYPERLINK \l _Toc7331 </w:instrText>
      </w:r>
      <w:r>
        <w:rPr>
          <w:rFonts w:hint="eastAsia" w:ascii="宋体" w:hAnsi="宋体" w:eastAsia="宋体" w:cs="宋体"/>
          <w:sz w:val="22"/>
          <w:szCs w:val="24"/>
          <w:highlight w:val="none"/>
        </w:rPr>
        <w:fldChar w:fldCharType="separate"/>
      </w:r>
      <w:r>
        <w:rPr>
          <w:rFonts w:hint="eastAsia" w:ascii="宋体" w:hAnsi="宋体" w:eastAsia="宋体" w:cs="宋体"/>
          <w:bCs w:val="0"/>
          <w:kern w:val="2"/>
          <w:sz w:val="22"/>
          <w:szCs w:val="48"/>
          <w:highlight w:val="none"/>
        </w:rPr>
        <w:t>第四章 评标办法及评分标准</w:t>
      </w:r>
      <w:r>
        <w:rPr>
          <w:rFonts w:hint="eastAsia" w:ascii="宋体" w:hAnsi="宋体" w:eastAsia="宋体" w:cs="宋体"/>
          <w:sz w:val="22"/>
          <w:szCs w:val="24"/>
          <w:highlight w:val="none"/>
        </w:rPr>
        <w:tab/>
      </w:r>
      <w:r>
        <w:rPr>
          <w:rFonts w:hint="eastAsia" w:ascii="宋体" w:hAnsi="宋体" w:eastAsia="宋体" w:cs="宋体"/>
          <w:sz w:val="22"/>
          <w:szCs w:val="24"/>
          <w:highlight w:val="none"/>
        </w:rPr>
        <w:fldChar w:fldCharType="begin"/>
      </w:r>
      <w:r>
        <w:rPr>
          <w:rFonts w:hint="eastAsia" w:ascii="宋体" w:hAnsi="宋体" w:eastAsia="宋体" w:cs="宋体"/>
          <w:sz w:val="22"/>
          <w:szCs w:val="24"/>
          <w:highlight w:val="none"/>
        </w:rPr>
        <w:instrText xml:space="preserve"> PAGEREF _Toc7331 \h </w:instrText>
      </w:r>
      <w:r>
        <w:rPr>
          <w:rFonts w:hint="eastAsia" w:ascii="宋体" w:hAnsi="宋体" w:eastAsia="宋体" w:cs="宋体"/>
          <w:sz w:val="22"/>
          <w:szCs w:val="24"/>
          <w:highlight w:val="none"/>
        </w:rPr>
        <w:fldChar w:fldCharType="separate"/>
      </w:r>
      <w:r>
        <w:rPr>
          <w:rFonts w:hint="eastAsia" w:ascii="宋体" w:hAnsi="宋体" w:eastAsia="宋体" w:cs="宋体"/>
          <w:sz w:val="22"/>
          <w:szCs w:val="24"/>
          <w:highlight w:val="none"/>
        </w:rPr>
        <w:t>23</w:t>
      </w:r>
      <w:r>
        <w:rPr>
          <w:rFonts w:hint="eastAsia" w:ascii="宋体" w:hAnsi="宋体" w:eastAsia="宋体" w:cs="宋体"/>
          <w:sz w:val="22"/>
          <w:szCs w:val="24"/>
          <w:highlight w:val="none"/>
        </w:rPr>
        <w:fldChar w:fldCharType="end"/>
      </w:r>
      <w:r>
        <w:rPr>
          <w:rFonts w:hint="eastAsia" w:ascii="宋体" w:hAnsi="宋体" w:eastAsia="宋体" w:cs="宋体"/>
          <w:color w:val="000000" w:themeColor="text1"/>
          <w:sz w:val="22"/>
          <w:szCs w:val="24"/>
          <w:highlight w:val="none"/>
          <w14:textFill>
            <w14:solidFill>
              <w14:schemeClr w14:val="tx1"/>
            </w14:solidFill>
          </w14:textFill>
        </w:rPr>
        <w:fldChar w:fldCharType="end"/>
      </w:r>
    </w:p>
    <w:p w14:paraId="1078B5BF">
      <w:pPr>
        <w:pStyle w:val="25"/>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4"/>
          <w:highlight w:val="none"/>
        </w:rPr>
      </w:pPr>
      <w:r>
        <w:rPr>
          <w:rFonts w:hint="eastAsia" w:ascii="宋体" w:hAnsi="宋体" w:eastAsia="宋体" w:cs="宋体"/>
          <w:color w:val="000000" w:themeColor="text1"/>
          <w:sz w:val="22"/>
          <w:szCs w:val="24"/>
          <w:highlight w:val="none"/>
          <w14:textFill>
            <w14:solidFill>
              <w14:schemeClr w14:val="tx1"/>
            </w14:solidFill>
          </w14:textFill>
        </w:rPr>
        <w:fldChar w:fldCharType="begin"/>
      </w:r>
      <w:r>
        <w:rPr>
          <w:rFonts w:hint="eastAsia" w:ascii="宋体" w:hAnsi="宋体" w:eastAsia="宋体" w:cs="宋体"/>
          <w:sz w:val="22"/>
          <w:szCs w:val="24"/>
          <w:highlight w:val="none"/>
        </w:rPr>
        <w:instrText xml:space="preserve"> HYPERLINK \l _Toc7451 </w:instrText>
      </w:r>
      <w:r>
        <w:rPr>
          <w:rFonts w:hint="eastAsia" w:ascii="宋体" w:hAnsi="宋体" w:eastAsia="宋体" w:cs="宋体"/>
          <w:sz w:val="22"/>
          <w:szCs w:val="24"/>
          <w:highlight w:val="none"/>
        </w:rPr>
        <w:fldChar w:fldCharType="separate"/>
      </w:r>
      <w:r>
        <w:rPr>
          <w:rFonts w:hint="eastAsia" w:ascii="宋体" w:hAnsi="宋体" w:eastAsia="宋体" w:cs="宋体"/>
          <w:bCs w:val="0"/>
          <w:kern w:val="2"/>
          <w:sz w:val="22"/>
          <w:szCs w:val="48"/>
          <w:highlight w:val="none"/>
        </w:rPr>
        <w:t>第五章 采购合同条款</w:t>
      </w:r>
      <w:r>
        <w:rPr>
          <w:rFonts w:hint="eastAsia" w:ascii="宋体" w:hAnsi="宋体" w:eastAsia="宋体" w:cs="宋体"/>
          <w:sz w:val="22"/>
          <w:szCs w:val="24"/>
          <w:highlight w:val="none"/>
        </w:rPr>
        <w:tab/>
      </w:r>
      <w:r>
        <w:rPr>
          <w:rFonts w:hint="eastAsia" w:ascii="宋体" w:hAnsi="宋体" w:eastAsia="宋体" w:cs="宋体"/>
          <w:sz w:val="22"/>
          <w:szCs w:val="24"/>
          <w:highlight w:val="none"/>
        </w:rPr>
        <w:fldChar w:fldCharType="begin"/>
      </w:r>
      <w:r>
        <w:rPr>
          <w:rFonts w:hint="eastAsia" w:ascii="宋体" w:hAnsi="宋体" w:eastAsia="宋体" w:cs="宋体"/>
          <w:sz w:val="22"/>
          <w:szCs w:val="24"/>
          <w:highlight w:val="none"/>
        </w:rPr>
        <w:instrText xml:space="preserve"> PAGEREF _Toc7451 \h </w:instrText>
      </w:r>
      <w:r>
        <w:rPr>
          <w:rFonts w:hint="eastAsia" w:ascii="宋体" w:hAnsi="宋体" w:eastAsia="宋体" w:cs="宋体"/>
          <w:sz w:val="22"/>
          <w:szCs w:val="24"/>
          <w:highlight w:val="none"/>
        </w:rPr>
        <w:fldChar w:fldCharType="separate"/>
      </w:r>
      <w:r>
        <w:rPr>
          <w:rFonts w:hint="eastAsia" w:ascii="宋体" w:hAnsi="宋体" w:eastAsia="宋体" w:cs="宋体"/>
          <w:sz w:val="22"/>
          <w:szCs w:val="24"/>
          <w:highlight w:val="none"/>
        </w:rPr>
        <w:t>27</w:t>
      </w:r>
      <w:r>
        <w:rPr>
          <w:rFonts w:hint="eastAsia" w:ascii="宋体" w:hAnsi="宋体" w:eastAsia="宋体" w:cs="宋体"/>
          <w:sz w:val="22"/>
          <w:szCs w:val="24"/>
          <w:highlight w:val="none"/>
        </w:rPr>
        <w:fldChar w:fldCharType="end"/>
      </w:r>
      <w:r>
        <w:rPr>
          <w:rFonts w:hint="eastAsia" w:ascii="宋体" w:hAnsi="宋体" w:eastAsia="宋体" w:cs="宋体"/>
          <w:color w:val="000000" w:themeColor="text1"/>
          <w:sz w:val="22"/>
          <w:szCs w:val="24"/>
          <w:highlight w:val="none"/>
          <w14:textFill>
            <w14:solidFill>
              <w14:schemeClr w14:val="tx1"/>
            </w14:solidFill>
          </w14:textFill>
        </w:rPr>
        <w:fldChar w:fldCharType="end"/>
      </w:r>
    </w:p>
    <w:p w14:paraId="1101D7CC">
      <w:pPr>
        <w:pStyle w:val="25"/>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4"/>
          <w:highlight w:val="none"/>
        </w:rPr>
      </w:pPr>
      <w:r>
        <w:rPr>
          <w:rFonts w:hint="eastAsia" w:ascii="宋体" w:hAnsi="宋体" w:eastAsia="宋体" w:cs="宋体"/>
          <w:color w:val="000000" w:themeColor="text1"/>
          <w:sz w:val="22"/>
          <w:szCs w:val="24"/>
          <w:highlight w:val="none"/>
          <w14:textFill>
            <w14:solidFill>
              <w14:schemeClr w14:val="tx1"/>
            </w14:solidFill>
          </w14:textFill>
        </w:rPr>
        <w:fldChar w:fldCharType="begin"/>
      </w:r>
      <w:r>
        <w:rPr>
          <w:rFonts w:hint="eastAsia" w:ascii="宋体" w:hAnsi="宋体" w:eastAsia="宋体" w:cs="宋体"/>
          <w:sz w:val="22"/>
          <w:szCs w:val="24"/>
          <w:highlight w:val="none"/>
        </w:rPr>
        <w:instrText xml:space="preserve"> HYPERLINK \l _Toc57 </w:instrText>
      </w:r>
      <w:r>
        <w:rPr>
          <w:rFonts w:hint="eastAsia" w:ascii="宋体" w:hAnsi="宋体" w:eastAsia="宋体" w:cs="宋体"/>
          <w:sz w:val="22"/>
          <w:szCs w:val="24"/>
          <w:highlight w:val="none"/>
        </w:rPr>
        <w:fldChar w:fldCharType="separate"/>
      </w:r>
      <w:r>
        <w:rPr>
          <w:rFonts w:hint="eastAsia" w:ascii="宋体" w:hAnsi="宋体" w:eastAsia="宋体" w:cs="宋体"/>
          <w:sz w:val="22"/>
          <w:szCs w:val="48"/>
          <w:highlight w:val="none"/>
        </w:rPr>
        <w:t xml:space="preserve">第六章 </w:t>
      </w:r>
      <w:r>
        <w:rPr>
          <w:rFonts w:hint="eastAsia" w:ascii="宋体" w:hAnsi="宋体" w:eastAsia="宋体" w:cs="宋体"/>
          <w:sz w:val="22"/>
          <w:szCs w:val="48"/>
          <w:highlight w:val="none"/>
          <w:lang w:eastAsia="zh-CN"/>
        </w:rPr>
        <w:t>响应文件</w:t>
      </w:r>
      <w:r>
        <w:rPr>
          <w:rFonts w:hint="eastAsia" w:ascii="宋体" w:hAnsi="宋体" w:eastAsia="宋体" w:cs="宋体"/>
          <w:sz w:val="22"/>
          <w:szCs w:val="48"/>
          <w:highlight w:val="none"/>
        </w:rPr>
        <w:t>格式</w:t>
      </w:r>
      <w:r>
        <w:rPr>
          <w:rFonts w:hint="eastAsia" w:ascii="宋体" w:hAnsi="宋体" w:eastAsia="宋体" w:cs="宋体"/>
          <w:sz w:val="22"/>
          <w:szCs w:val="24"/>
          <w:highlight w:val="none"/>
        </w:rPr>
        <w:tab/>
      </w:r>
      <w:r>
        <w:rPr>
          <w:rFonts w:hint="eastAsia" w:ascii="宋体" w:hAnsi="宋体" w:eastAsia="宋体" w:cs="宋体"/>
          <w:sz w:val="22"/>
          <w:szCs w:val="24"/>
          <w:highlight w:val="none"/>
        </w:rPr>
        <w:fldChar w:fldCharType="begin"/>
      </w:r>
      <w:r>
        <w:rPr>
          <w:rFonts w:hint="eastAsia" w:ascii="宋体" w:hAnsi="宋体" w:eastAsia="宋体" w:cs="宋体"/>
          <w:sz w:val="22"/>
          <w:szCs w:val="24"/>
          <w:highlight w:val="none"/>
        </w:rPr>
        <w:instrText xml:space="preserve"> PAGEREF _Toc57 \h </w:instrText>
      </w:r>
      <w:r>
        <w:rPr>
          <w:rFonts w:hint="eastAsia" w:ascii="宋体" w:hAnsi="宋体" w:eastAsia="宋体" w:cs="宋体"/>
          <w:sz w:val="22"/>
          <w:szCs w:val="24"/>
          <w:highlight w:val="none"/>
        </w:rPr>
        <w:fldChar w:fldCharType="separate"/>
      </w:r>
      <w:r>
        <w:rPr>
          <w:rFonts w:hint="eastAsia" w:ascii="宋体" w:hAnsi="宋体" w:eastAsia="宋体" w:cs="宋体"/>
          <w:sz w:val="22"/>
          <w:szCs w:val="24"/>
          <w:highlight w:val="none"/>
        </w:rPr>
        <w:t>33</w:t>
      </w:r>
      <w:r>
        <w:rPr>
          <w:rFonts w:hint="eastAsia" w:ascii="宋体" w:hAnsi="宋体" w:eastAsia="宋体" w:cs="宋体"/>
          <w:sz w:val="22"/>
          <w:szCs w:val="24"/>
          <w:highlight w:val="none"/>
        </w:rPr>
        <w:fldChar w:fldCharType="end"/>
      </w:r>
      <w:r>
        <w:rPr>
          <w:rFonts w:hint="eastAsia" w:ascii="宋体" w:hAnsi="宋体" w:eastAsia="宋体" w:cs="宋体"/>
          <w:color w:val="000000" w:themeColor="text1"/>
          <w:sz w:val="22"/>
          <w:szCs w:val="24"/>
          <w:highlight w:val="none"/>
          <w14:textFill>
            <w14:solidFill>
              <w14:schemeClr w14:val="tx1"/>
            </w14:solidFill>
          </w14:textFill>
        </w:rPr>
        <w:fldChar w:fldCharType="end"/>
      </w:r>
    </w:p>
    <w:p w14:paraId="2743D35E">
      <w:pPr>
        <w:pStyle w:val="25"/>
        <w:keepNext w:val="0"/>
        <w:keepLines w:val="0"/>
        <w:pageBreakBefore w:val="0"/>
        <w:widowControl w:val="0"/>
        <w:tabs>
          <w:tab w:val="right" w:leader="dot" w:pos="9070"/>
        </w:tabs>
        <w:kinsoku/>
        <w:wordWrap/>
        <w:overflowPunct/>
        <w:topLinePunct w:val="0"/>
        <w:autoSpaceDE/>
        <w:autoSpaceDN/>
        <w:bidi w:val="0"/>
        <w:adjustRightInd/>
        <w:snapToGrid/>
        <w:spacing w:line="360" w:lineRule="auto"/>
        <w:textAlignment w:val="auto"/>
        <w:rPr>
          <w:rFonts w:hint="eastAsia" w:ascii="宋体" w:hAnsi="宋体" w:eastAsia="宋体" w:cs="宋体"/>
          <w:sz w:val="22"/>
          <w:szCs w:val="24"/>
          <w:highlight w:val="none"/>
        </w:rPr>
      </w:pPr>
      <w:r>
        <w:rPr>
          <w:rFonts w:hint="eastAsia" w:ascii="宋体" w:hAnsi="宋体" w:eastAsia="宋体" w:cs="宋体"/>
          <w:color w:val="000000" w:themeColor="text1"/>
          <w:sz w:val="22"/>
          <w:szCs w:val="24"/>
          <w:highlight w:val="none"/>
          <w14:textFill>
            <w14:solidFill>
              <w14:schemeClr w14:val="tx1"/>
            </w14:solidFill>
          </w14:textFill>
        </w:rPr>
        <w:fldChar w:fldCharType="begin"/>
      </w:r>
      <w:r>
        <w:rPr>
          <w:rFonts w:hint="eastAsia" w:ascii="宋体" w:hAnsi="宋体" w:eastAsia="宋体" w:cs="宋体"/>
          <w:sz w:val="22"/>
          <w:szCs w:val="24"/>
          <w:highlight w:val="none"/>
        </w:rPr>
        <w:instrText xml:space="preserve"> HYPERLINK \l _Toc32655 </w:instrText>
      </w:r>
      <w:r>
        <w:rPr>
          <w:rFonts w:hint="eastAsia" w:ascii="宋体" w:hAnsi="宋体" w:eastAsia="宋体" w:cs="宋体"/>
          <w:sz w:val="22"/>
          <w:szCs w:val="24"/>
          <w:highlight w:val="none"/>
        </w:rPr>
        <w:fldChar w:fldCharType="separate"/>
      </w:r>
      <w:r>
        <w:rPr>
          <w:rFonts w:hint="eastAsia" w:ascii="宋体" w:hAnsi="宋体" w:eastAsia="宋体" w:cs="宋体"/>
          <w:sz w:val="22"/>
          <w:szCs w:val="48"/>
          <w:highlight w:val="none"/>
          <w:lang w:val="en-US" w:eastAsia="zh-CN"/>
        </w:rPr>
        <w:t>第七章 技术标准和要求</w:t>
      </w:r>
      <w:r>
        <w:rPr>
          <w:rFonts w:hint="eastAsia" w:ascii="宋体" w:hAnsi="宋体" w:eastAsia="宋体" w:cs="宋体"/>
          <w:sz w:val="22"/>
          <w:szCs w:val="24"/>
          <w:highlight w:val="none"/>
        </w:rPr>
        <w:tab/>
      </w:r>
      <w:r>
        <w:rPr>
          <w:rFonts w:hint="eastAsia" w:ascii="宋体" w:hAnsi="宋体" w:eastAsia="宋体" w:cs="宋体"/>
          <w:sz w:val="22"/>
          <w:szCs w:val="24"/>
          <w:highlight w:val="none"/>
        </w:rPr>
        <w:fldChar w:fldCharType="begin"/>
      </w:r>
      <w:r>
        <w:rPr>
          <w:rFonts w:hint="eastAsia" w:ascii="宋体" w:hAnsi="宋体" w:eastAsia="宋体" w:cs="宋体"/>
          <w:sz w:val="22"/>
          <w:szCs w:val="24"/>
          <w:highlight w:val="none"/>
        </w:rPr>
        <w:instrText xml:space="preserve"> PAGEREF _Toc32655 \h </w:instrText>
      </w:r>
      <w:r>
        <w:rPr>
          <w:rFonts w:hint="eastAsia" w:ascii="宋体" w:hAnsi="宋体" w:eastAsia="宋体" w:cs="宋体"/>
          <w:sz w:val="22"/>
          <w:szCs w:val="24"/>
          <w:highlight w:val="none"/>
        </w:rPr>
        <w:fldChar w:fldCharType="separate"/>
      </w:r>
      <w:r>
        <w:rPr>
          <w:rFonts w:hint="eastAsia" w:ascii="宋体" w:hAnsi="宋体" w:eastAsia="宋体" w:cs="宋体"/>
          <w:sz w:val="22"/>
          <w:szCs w:val="24"/>
          <w:highlight w:val="none"/>
        </w:rPr>
        <w:t>102</w:t>
      </w:r>
      <w:r>
        <w:rPr>
          <w:rFonts w:hint="eastAsia" w:ascii="宋体" w:hAnsi="宋体" w:eastAsia="宋体" w:cs="宋体"/>
          <w:sz w:val="22"/>
          <w:szCs w:val="24"/>
          <w:highlight w:val="none"/>
        </w:rPr>
        <w:fldChar w:fldCharType="end"/>
      </w:r>
      <w:r>
        <w:rPr>
          <w:rFonts w:hint="eastAsia" w:ascii="宋体" w:hAnsi="宋体" w:eastAsia="宋体" w:cs="宋体"/>
          <w:color w:val="000000" w:themeColor="text1"/>
          <w:sz w:val="22"/>
          <w:szCs w:val="24"/>
          <w:highlight w:val="none"/>
          <w14:textFill>
            <w14:solidFill>
              <w14:schemeClr w14:val="tx1"/>
            </w14:solidFill>
          </w14:textFill>
        </w:rPr>
        <w:fldChar w:fldCharType="end"/>
      </w:r>
    </w:p>
    <w:p w14:paraId="10417241">
      <w:pPr>
        <w:pStyle w:val="30"/>
        <w:keepNext w:val="0"/>
        <w:keepLines w:val="0"/>
        <w:pageBreakBefore w:val="0"/>
        <w:widowControl w:val="0"/>
        <w:kinsoku/>
        <w:wordWrap/>
        <w:overflowPunct/>
        <w:topLinePunct w:val="0"/>
        <w:autoSpaceDE/>
        <w:autoSpaceDN/>
        <w:bidi w:val="0"/>
        <w:adjustRightInd/>
        <w:snapToGrid/>
        <w:spacing w:before="260" w:after="260" w:line="360" w:lineRule="auto"/>
        <w:textAlignment w:val="auto"/>
        <w:rPr>
          <w:rFonts w:hint="eastAsia" w:ascii="宋体" w:hAnsi="宋体" w:eastAsia="宋体" w:cs="宋体"/>
          <w:color w:val="000000" w:themeColor="text1"/>
          <w:highlight w:val="none"/>
          <w14:textFill>
            <w14:solidFill>
              <w14:schemeClr w14:val="tx1"/>
            </w14:solidFill>
          </w14:textFill>
        </w:rPr>
        <w:sectPr>
          <w:footerReference r:id="rId4" w:type="default"/>
          <w:pgSz w:w="11906" w:h="16838"/>
          <w:pgMar w:top="1588" w:right="1418" w:bottom="1588" w:left="1418" w:header="851" w:footer="992" w:gutter="0"/>
          <w:cols w:space="720" w:num="1"/>
          <w:docGrid w:linePitch="312" w:charSpace="0"/>
        </w:sectPr>
      </w:pPr>
      <w:r>
        <w:rPr>
          <w:rFonts w:hint="eastAsia" w:ascii="宋体" w:hAnsi="宋体" w:eastAsia="宋体" w:cs="宋体"/>
          <w:color w:val="000000" w:themeColor="text1"/>
          <w:sz w:val="36"/>
          <w:szCs w:val="36"/>
          <w:highlight w:val="none"/>
          <w14:textFill>
            <w14:solidFill>
              <w14:schemeClr w14:val="tx1"/>
            </w14:solidFill>
          </w14:textFill>
        </w:rPr>
        <w:fldChar w:fldCharType="end"/>
      </w:r>
      <w:bookmarkStart w:id="2" w:name="_Toc406402982"/>
    </w:p>
    <w:p w14:paraId="2E91DBDC">
      <w:pPr>
        <w:pStyle w:val="30"/>
        <w:spacing w:before="260" w:after="260" w:line="500" w:lineRule="exact"/>
        <w:rPr>
          <w:rFonts w:hint="eastAsia" w:ascii="宋体" w:hAnsi="宋体" w:eastAsia="宋体" w:cs="宋体"/>
          <w:b w:val="0"/>
          <w:bCs w:val="0"/>
          <w:color w:val="000000" w:themeColor="text1"/>
          <w:kern w:val="2"/>
          <w:sz w:val="44"/>
          <w:szCs w:val="44"/>
          <w:highlight w:val="none"/>
          <w14:textFill>
            <w14:solidFill>
              <w14:schemeClr w14:val="tx1"/>
            </w14:solidFill>
          </w14:textFill>
        </w:rPr>
      </w:pPr>
      <w:bookmarkStart w:id="3" w:name="_Toc23425"/>
      <w:r>
        <w:rPr>
          <w:rFonts w:hint="eastAsia" w:ascii="宋体" w:hAnsi="宋体" w:eastAsia="宋体" w:cs="宋体"/>
          <w:b w:val="0"/>
          <w:bCs w:val="0"/>
          <w:color w:val="000000" w:themeColor="text1"/>
          <w:kern w:val="2"/>
          <w:sz w:val="44"/>
          <w:szCs w:val="44"/>
          <w:highlight w:val="none"/>
          <w14:textFill>
            <w14:solidFill>
              <w14:schemeClr w14:val="tx1"/>
            </w14:solidFill>
          </w14:textFill>
        </w:rPr>
        <w:t>第一章</w:t>
      </w:r>
      <w:bookmarkEnd w:id="2"/>
      <w:r>
        <w:rPr>
          <w:rFonts w:hint="eastAsia" w:ascii="宋体" w:hAnsi="宋体" w:eastAsia="宋体" w:cs="宋体"/>
          <w:b w:val="0"/>
          <w:bCs w:val="0"/>
          <w:color w:val="000000" w:themeColor="text1"/>
          <w:kern w:val="2"/>
          <w:sz w:val="44"/>
          <w:szCs w:val="44"/>
          <w:highlight w:val="none"/>
          <w14:textFill>
            <w14:solidFill>
              <w14:schemeClr w14:val="tx1"/>
            </w14:solidFill>
          </w14:textFill>
        </w:rPr>
        <w:t xml:space="preserve"> 采购公告</w:t>
      </w:r>
      <w:bookmarkEnd w:id="3"/>
    </w:p>
    <w:p w14:paraId="012F815D">
      <w:pPr>
        <w:snapToGrid w:val="0"/>
        <w:spacing w:line="360" w:lineRule="auto"/>
        <w:ind w:left="-65" w:leftChars="-31"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中华人民共和国政府采购法》、《中华人民共和国政府采购法实施条例》和《政府采购货物和服务招标投标管理办法》、《浙江省政府采购活动现场组织管理办法》、《台州市公平竞争审查工作部联合会议办公室关于印发招标投标、政府采购领域公平竞争审查操作指引的通知》（台公竞办[2023]2号文）等规定，浙江远大工程咨询有限公司受</w:t>
      </w:r>
      <w:r>
        <w:rPr>
          <w:rFonts w:hint="eastAsia" w:ascii="宋体" w:hAnsi="宋体" w:eastAsia="宋体" w:cs="宋体"/>
          <w:color w:val="000000" w:themeColor="text1"/>
          <w:sz w:val="24"/>
          <w:szCs w:val="24"/>
          <w:highlight w:val="none"/>
          <w:lang w:eastAsia="zh-CN"/>
          <w14:textFill>
            <w14:solidFill>
              <w14:schemeClr w14:val="tx1"/>
            </w14:solidFill>
          </w14:textFill>
        </w:rPr>
        <w:t>台州市民航事务中心</w:t>
      </w:r>
      <w:r>
        <w:rPr>
          <w:rFonts w:hint="eastAsia" w:ascii="宋体" w:hAnsi="宋体" w:eastAsia="宋体" w:cs="宋体"/>
          <w:color w:val="000000" w:themeColor="text1"/>
          <w:sz w:val="24"/>
          <w:szCs w:val="24"/>
          <w:highlight w:val="none"/>
          <w14:textFill>
            <w14:solidFill>
              <w14:schemeClr w14:val="tx1"/>
            </w14:solidFill>
          </w14:textFill>
        </w:rPr>
        <w:t>委托，经台州市财政局</w:t>
      </w:r>
      <w:r>
        <w:rPr>
          <w:rFonts w:hint="eastAsia" w:ascii="宋体" w:hAnsi="宋体" w:eastAsia="宋体" w:cs="宋体"/>
          <w:color w:val="000000" w:themeColor="text1"/>
          <w:sz w:val="24"/>
          <w:szCs w:val="24"/>
          <w:highlight w:val="none"/>
          <w:u w:val="single"/>
          <w14:textFill>
            <w14:solidFill>
              <w14:schemeClr w14:val="tx1"/>
            </w14:solidFill>
          </w14:textFill>
        </w:rPr>
        <w:t>台财采确临[2025]329号</w:t>
      </w:r>
      <w:r>
        <w:rPr>
          <w:rFonts w:hint="eastAsia" w:ascii="宋体" w:hAnsi="宋体" w:eastAsia="宋体" w:cs="宋体"/>
          <w:color w:val="000000" w:themeColor="text1"/>
          <w:sz w:val="24"/>
          <w:szCs w:val="24"/>
          <w:highlight w:val="none"/>
          <w14:textFill>
            <w14:solidFill>
              <w14:schemeClr w14:val="tx1"/>
            </w14:solidFill>
          </w14:textFill>
        </w:rPr>
        <w:t>（采购计划文号）确认书批准，现就</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台州机场运行指挥中心数字化建设工程（台州机场运行安全提升工程）</w:t>
      </w:r>
      <w:r>
        <w:rPr>
          <w:rFonts w:hint="eastAsia" w:ascii="宋体" w:hAnsi="宋体" w:eastAsia="宋体" w:cs="宋体"/>
          <w:color w:val="000000" w:themeColor="text1"/>
          <w:sz w:val="24"/>
          <w:szCs w:val="24"/>
          <w:highlight w:val="none"/>
          <w14:textFill>
            <w14:solidFill>
              <w14:schemeClr w14:val="tx1"/>
            </w14:solidFill>
          </w14:textFill>
        </w:rPr>
        <w:t>进行公开招标采购，欢迎国内合格供应商前来投标，现将有关事项公告如下：</w:t>
      </w:r>
    </w:p>
    <w:p w14:paraId="32CF3341">
      <w:pPr>
        <w:snapToGrid w:val="0"/>
        <w:spacing w:line="360" w:lineRule="auto"/>
        <w:ind w:left="-65" w:leftChars="-31" w:firstLine="482"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一、</w:t>
      </w:r>
      <w:r>
        <w:rPr>
          <w:rFonts w:hint="eastAsia" w:ascii="宋体" w:hAnsi="宋体" w:eastAsia="宋体" w:cs="宋体"/>
          <w:b/>
          <w:color w:val="000000" w:themeColor="text1"/>
          <w:sz w:val="24"/>
          <w:szCs w:val="24"/>
          <w:highlight w:val="none"/>
          <w:lang w:val="en-US" w:eastAsia="zh-CN"/>
          <w14:textFill>
            <w14:solidFill>
              <w14:schemeClr w14:val="tx1"/>
            </w14:solidFill>
          </w14:textFill>
        </w:rPr>
        <w:t>采购</w:t>
      </w:r>
      <w:r>
        <w:rPr>
          <w:rFonts w:hint="eastAsia" w:ascii="宋体" w:hAnsi="宋体" w:eastAsia="宋体" w:cs="宋体"/>
          <w:b/>
          <w:color w:val="000000" w:themeColor="text1"/>
          <w:sz w:val="24"/>
          <w:szCs w:val="24"/>
          <w:highlight w:val="none"/>
          <w14:textFill>
            <w14:solidFill>
              <w14:schemeClr w14:val="tx1"/>
            </w14:solidFill>
          </w14:textFill>
        </w:rPr>
        <w:t>项目编号</w:t>
      </w:r>
      <w:r>
        <w:rPr>
          <w:rFonts w:hint="eastAsia" w:ascii="宋体" w:hAnsi="宋体" w:eastAsia="宋体" w:cs="宋体"/>
          <w:color w:val="000000" w:themeColor="text1"/>
          <w:sz w:val="24"/>
          <w:szCs w:val="24"/>
          <w:highlight w:val="none"/>
          <w14:textFill>
            <w14:solidFill>
              <w14:schemeClr w14:val="tx1"/>
            </w14:solidFill>
          </w14:textFill>
        </w:rPr>
        <w:t>：YDZC-GKZB-202</w:t>
      </w:r>
      <w:r>
        <w:rPr>
          <w:rFonts w:hint="eastAsia" w:ascii="宋体" w:hAnsi="宋体" w:eastAsia="宋体" w:cs="宋体"/>
          <w:color w:val="000000" w:themeColor="text1"/>
          <w:sz w:val="24"/>
          <w:szCs w:val="24"/>
          <w:highlight w:val="none"/>
          <w:lang w:val="en-US" w:eastAsia="zh-CN"/>
          <w14:textFill>
            <w14:solidFill>
              <w14:schemeClr w14:val="tx1"/>
            </w14:solidFill>
          </w14:textFill>
        </w:rPr>
        <w:t>50227</w:t>
      </w:r>
    </w:p>
    <w:p w14:paraId="5360D658">
      <w:pPr>
        <w:snapToGrid w:val="0"/>
        <w:spacing w:line="360" w:lineRule="auto"/>
        <w:ind w:left="-65" w:leftChars="-31"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二、采购组织类型</w:t>
      </w:r>
      <w:r>
        <w:rPr>
          <w:rFonts w:hint="eastAsia" w:ascii="宋体" w:hAnsi="宋体" w:eastAsia="宋体" w:cs="宋体"/>
          <w:color w:val="000000" w:themeColor="text1"/>
          <w:sz w:val="24"/>
          <w:szCs w:val="24"/>
          <w:highlight w:val="none"/>
          <w14:textFill>
            <w14:solidFill>
              <w14:schemeClr w14:val="tx1"/>
            </w14:solidFill>
          </w14:textFill>
        </w:rPr>
        <w:t>：分散采购委托代理</w:t>
      </w:r>
    </w:p>
    <w:p w14:paraId="49DFBD9C">
      <w:pPr>
        <w:snapToGrid w:val="0"/>
        <w:spacing w:line="360" w:lineRule="auto"/>
        <w:ind w:left="-65" w:leftChars="-31" w:firstLine="482"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三、采购方式</w:t>
      </w:r>
      <w:r>
        <w:rPr>
          <w:rFonts w:hint="eastAsia" w:ascii="宋体" w:hAnsi="宋体" w:eastAsia="宋体" w:cs="宋体"/>
          <w:color w:val="000000" w:themeColor="text1"/>
          <w:sz w:val="24"/>
          <w:szCs w:val="24"/>
          <w:highlight w:val="none"/>
          <w14:textFill>
            <w14:solidFill>
              <w14:schemeClr w14:val="tx1"/>
            </w14:solidFill>
          </w14:textFill>
        </w:rPr>
        <w:t>：公开招标</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w:t>
      </w:r>
    </w:p>
    <w:p w14:paraId="3FAD04E2">
      <w:pPr>
        <w:snapToGrid w:val="0"/>
        <w:spacing w:line="360" w:lineRule="auto"/>
        <w:ind w:left="-65" w:leftChars="-31"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四、</w:t>
      </w:r>
      <w:r>
        <w:rPr>
          <w:rFonts w:hint="eastAsia" w:ascii="宋体" w:hAnsi="宋体" w:eastAsia="宋体" w:cs="宋体"/>
          <w:b/>
          <w:color w:val="000000" w:themeColor="text1"/>
          <w:sz w:val="24"/>
          <w:szCs w:val="24"/>
          <w:highlight w:val="none"/>
          <w:lang w:val="en-US" w:eastAsia="zh-CN"/>
          <w14:textFill>
            <w14:solidFill>
              <w14:schemeClr w14:val="tx1"/>
            </w14:solidFill>
          </w14:textFill>
        </w:rPr>
        <w:t>采购</w:t>
      </w:r>
      <w:r>
        <w:rPr>
          <w:rFonts w:hint="eastAsia" w:ascii="宋体" w:hAnsi="宋体" w:eastAsia="宋体" w:cs="宋体"/>
          <w:b/>
          <w:color w:val="000000" w:themeColor="text1"/>
          <w:sz w:val="24"/>
          <w:szCs w:val="24"/>
          <w:highlight w:val="none"/>
          <w14:textFill>
            <w14:solidFill>
              <w14:schemeClr w14:val="tx1"/>
            </w14:solidFill>
          </w14:textFill>
        </w:rPr>
        <w:t>项目</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台州机场运行指挥中心数字化建设工程（台州机场运行安全提升工程）</w:t>
      </w:r>
    </w:p>
    <w:p w14:paraId="2DD483CE">
      <w:pPr>
        <w:snapToGrid w:val="0"/>
        <w:spacing w:line="360" w:lineRule="auto"/>
        <w:ind w:left="-65" w:leftChars="-31"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五、采购内容及数量</w:t>
      </w:r>
      <w:r>
        <w:rPr>
          <w:rFonts w:hint="eastAsia" w:ascii="宋体" w:hAnsi="宋体" w:eastAsia="宋体" w:cs="宋体"/>
          <w:color w:val="000000" w:themeColor="text1"/>
          <w:sz w:val="24"/>
          <w:szCs w:val="24"/>
          <w:highlight w:val="none"/>
          <w14:textFill>
            <w14:solidFill>
              <w14:schemeClr w14:val="tx1"/>
            </w14:solidFill>
          </w14:textFill>
        </w:rPr>
        <w:t>：</w:t>
      </w:r>
    </w:p>
    <w:tbl>
      <w:tblPr>
        <w:tblStyle w:val="34"/>
        <w:tblW w:w="8838"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57" w:type="dxa"/>
          <w:left w:w="57" w:type="dxa"/>
          <w:bottom w:w="57" w:type="dxa"/>
          <w:right w:w="57" w:type="dxa"/>
        </w:tblCellMar>
      </w:tblPr>
      <w:tblGrid>
        <w:gridCol w:w="796"/>
        <w:gridCol w:w="2733"/>
        <w:gridCol w:w="848"/>
        <w:gridCol w:w="758"/>
        <w:gridCol w:w="1568"/>
        <w:gridCol w:w="2135"/>
      </w:tblGrid>
      <w:tr w14:paraId="2F44332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57" w:type="dxa"/>
            <w:left w:w="57" w:type="dxa"/>
            <w:bottom w:w="57" w:type="dxa"/>
            <w:right w:w="57" w:type="dxa"/>
          </w:tblCellMar>
        </w:tblPrEx>
        <w:trPr>
          <w:trHeight w:val="1117" w:hRule="atLeast"/>
          <w:jc w:val="center"/>
        </w:trPr>
        <w:tc>
          <w:tcPr>
            <w:tcW w:w="796" w:type="dxa"/>
            <w:vAlign w:val="center"/>
          </w:tcPr>
          <w:p w14:paraId="126232EC">
            <w:pPr>
              <w:snapToGrid w:val="0"/>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2733" w:type="dxa"/>
            <w:vAlign w:val="center"/>
          </w:tcPr>
          <w:p w14:paraId="035E0F5A">
            <w:pPr>
              <w:snapToGrid w:val="0"/>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tc>
        <w:tc>
          <w:tcPr>
            <w:tcW w:w="848" w:type="dxa"/>
            <w:vAlign w:val="center"/>
          </w:tcPr>
          <w:p w14:paraId="3C26FCDC">
            <w:pPr>
              <w:snapToGrid w:val="0"/>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数量</w:t>
            </w:r>
          </w:p>
        </w:tc>
        <w:tc>
          <w:tcPr>
            <w:tcW w:w="758" w:type="dxa"/>
            <w:vAlign w:val="center"/>
          </w:tcPr>
          <w:p w14:paraId="08C8BBE3">
            <w:pPr>
              <w:snapToGrid w:val="0"/>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w:t>
            </w:r>
          </w:p>
        </w:tc>
        <w:tc>
          <w:tcPr>
            <w:tcW w:w="1568" w:type="dxa"/>
            <w:vAlign w:val="center"/>
          </w:tcPr>
          <w:p w14:paraId="1C3A5308">
            <w:pPr>
              <w:snapToGrid w:val="0"/>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预算金额</w:t>
            </w:r>
          </w:p>
          <w:p w14:paraId="449ED365">
            <w:pPr>
              <w:snapToGrid w:val="0"/>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（最高限价）</w:t>
            </w:r>
          </w:p>
        </w:tc>
        <w:tc>
          <w:tcPr>
            <w:tcW w:w="2135" w:type="dxa"/>
            <w:vAlign w:val="center"/>
          </w:tcPr>
          <w:p w14:paraId="7D8B6562">
            <w:pPr>
              <w:snapToGrid w:val="0"/>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简要技术要求、用途</w:t>
            </w:r>
          </w:p>
        </w:tc>
      </w:tr>
      <w:tr w14:paraId="04D33DA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57" w:type="dxa"/>
            <w:left w:w="57" w:type="dxa"/>
            <w:bottom w:w="57" w:type="dxa"/>
            <w:right w:w="57" w:type="dxa"/>
          </w:tblCellMar>
        </w:tblPrEx>
        <w:trPr>
          <w:trHeight w:val="1243" w:hRule="atLeast"/>
          <w:jc w:val="center"/>
        </w:trPr>
        <w:tc>
          <w:tcPr>
            <w:tcW w:w="796" w:type="dxa"/>
            <w:vAlign w:val="center"/>
          </w:tcPr>
          <w:p w14:paraId="5A888409">
            <w:pPr>
              <w:snapToGrid w:val="0"/>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标项1</w:t>
            </w:r>
          </w:p>
        </w:tc>
        <w:tc>
          <w:tcPr>
            <w:tcW w:w="2733" w:type="dxa"/>
            <w:vAlign w:val="center"/>
          </w:tcPr>
          <w:p w14:paraId="1B54E136">
            <w:pPr>
              <w:tabs>
                <w:tab w:val="left" w:pos="390"/>
                <w:tab w:val="center" w:pos="4404"/>
              </w:tabs>
              <w:spacing w:line="400" w:lineRule="exact"/>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台州机场运行指挥中心数字化建设工程（台州机场运行安全提升工程）</w:t>
            </w:r>
          </w:p>
        </w:tc>
        <w:tc>
          <w:tcPr>
            <w:tcW w:w="848" w:type="dxa"/>
            <w:vAlign w:val="center"/>
          </w:tcPr>
          <w:p w14:paraId="2103D388">
            <w:pPr>
              <w:snapToGrid w:val="0"/>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758" w:type="dxa"/>
            <w:vAlign w:val="center"/>
          </w:tcPr>
          <w:p w14:paraId="4EE04A39">
            <w:pPr>
              <w:snapToGrid w:val="0"/>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w:t>
            </w:r>
          </w:p>
        </w:tc>
        <w:tc>
          <w:tcPr>
            <w:tcW w:w="1568" w:type="dxa"/>
            <w:vAlign w:val="center"/>
          </w:tcPr>
          <w:p w14:paraId="638A603E">
            <w:pPr>
              <w:snapToGrid w:val="0"/>
              <w:jc w:val="center"/>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956.79万元</w:t>
            </w:r>
          </w:p>
        </w:tc>
        <w:tc>
          <w:tcPr>
            <w:tcW w:w="2135" w:type="dxa"/>
            <w:vAlign w:val="center"/>
          </w:tcPr>
          <w:p w14:paraId="74908CD6">
            <w:pPr>
              <w:snapToGrid w:val="0"/>
              <w:spacing w:line="440" w:lineRule="exact"/>
              <w:jc w:val="center"/>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详见第二章</w:t>
            </w:r>
            <w:r>
              <w:rPr>
                <w:rFonts w:hint="eastAsia" w:ascii="宋体" w:hAnsi="宋体" w:eastAsia="宋体" w:cs="宋体"/>
                <w:color w:val="000000" w:themeColor="text1"/>
                <w:sz w:val="24"/>
                <w:szCs w:val="24"/>
                <w:highlight w:val="none"/>
                <w:lang w:eastAsia="zh-CN"/>
                <w14:textFill>
                  <w14:solidFill>
                    <w14:schemeClr w14:val="tx1"/>
                  </w14:solidFill>
                </w14:textFill>
              </w:rPr>
              <w:t>采购需求</w:t>
            </w:r>
          </w:p>
        </w:tc>
      </w:tr>
    </w:tbl>
    <w:p w14:paraId="5597E088">
      <w:pPr>
        <w:spacing w:line="360" w:lineRule="auto"/>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六、合格供应商的资格要求:</w:t>
      </w:r>
    </w:p>
    <w:p w14:paraId="7C0CDD81">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1、符合政府采购法第二十二条（</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 1 \* GB3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①</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具有独立承担民事责任的能力；</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 2 \* GB3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②</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具有良好的商业信誉和健全的财务会计制度；</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 3 \* GB3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③</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具有履行合同所必需的设备和专业技术能力；</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 4 \* GB3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④</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有依法缴纳税收和社会保障资金的良好记录；</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 5 \* GB3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⑤</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参加政府采购活动前三年内，在经营活动中没有重大违法记录；</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 6 \* GB3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⑥</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法律、行政法规规定的其他条件）对供应商主体资格的要求；</w:t>
      </w:r>
    </w:p>
    <w:p w14:paraId="7E38B0B9">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符合浙财采监【2013】24号《关于规范政府采购供应商资格设定及资格审查的通知》规定,且未被“信用中国”（www.creditchina.gov.cn）、“信用中国（浙江）”（http://credit.zj.gov.cn）、中国政府采购网（www.ccgp.gov.cn）列入失信被执行人、重大税收违法案件当事人名单、失信黑名单、政府采购严重违法失信行为记录名单。</w:t>
      </w:r>
    </w:p>
    <w:p w14:paraId="4DD063A0">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3、与采购人存在利害关系可能影响</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w:t>
      </w:r>
      <w:r>
        <w:rPr>
          <w:rFonts w:hint="eastAsia" w:ascii="宋体" w:hAnsi="宋体" w:eastAsia="宋体" w:cs="宋体"/>
          <w:color w:val="000000" w:themeColor="text1"/>
          <w:sz w:val="24"/>
          <w:szCs w:val="24"/>
          <w:highlight w:val="none"/>
          <w14:textFill>
            <w14:solidFill>
              <w14:schemeClr w14:val="tx1"/>
            </w14:solidFill>
          </w14:textFill>
        </w:rPr>
        <w:t>公正性的法人、其他组织或者个人，不得参加投标；单位负责人为同一人或者存在控股（含法定代表人控股）、管理关系的不同单位，不得同时参加本标段投标，否则均按否决投标处理。</w:t>
      </w:r>
    </w:p>
    <w:p w14:paraId="7CC432F7">
      <w:pPr>
        <w:spacing w:line="360" w:lineRule="auto"/>
        <w:ind w:firstLine="482"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特定条件：</w:t>
      </w:r>
    </w:p>
    <w:p w14:paraId="0AC67C3B">
      <w:pPr>
        <w:pStyle w:val="18"/>
        <w:numPr>
          <w:ilvl w:val="0"/>
          <w:numId w:val="0"/>
        </w:numPr>
        <w:spacing w:beforeLines="0" w:afterLines="0" w:line="360" w:lineRule="auto"/>
        <w:ind w:firstLine="482" w:firstLineChars="200"/>
        <w:jc w:val="left"/>
        <w:rPr>
          <w:rFonts w:hint="eastAsia" w:ascii="宋体" w:hAnsi="宋体" w:eastAsia="宋体" w:cs="宋体"/>
          <w:highlight w:val="none"/>
          <w:lang w:val="en-US" w:eastAsia="zh-CN"/>
        </w:rPr>
      </w:pPr>
      <w:r>
        <w:rPr>
          <w:rFonts w:hint="eastAsia" w:ascii="宋体" w:hAnsi="宋体" w:eastAsia="宋体" w:cs="宋体"/>
          <w:b/>
          <w:bCs/>
          <w:color w:val="000000" w:themeColor="text1"/>
          <w:kern w:val="2"/>
          <w:highlight w:val="none"/>
          <w:lang w:val="en-US" w:eastAsia="zh-CN"/>
          <w14:textFill>
            <w14:solidFill>
              <w14:schemeClr w14:val="tx1"/>
            </w14:solidFill>
          </w14:textFill>
        </w:rPr>
        <w:t>1.供应商须</w:t>
      </w:r>
      <w:r>
        <w:rPr>
          <w:rFonts w:hint="eastAsia" w:ascii="宋体" w:hAnsi="宋体" w:eastAsia="宋体" w:cs="宋体"/>
          <w:b/>
          <w:bCs/>
          <w:highlight w:val="none"/>
          <w:lang w:val="en-US" w:eastAsia="zh-CN"/>
        </w:rPr>
        <w:t>具有建设行政主管部门核发的民航空管工程及机场弱电系统工程专业承包二级及以上资质，并具有建设行政主管部门颁发的在有效期内的安全生产许可证</w:t>
      </w:r>
      <w:r>
        <w:rPr>
          <w:rFonts w:hint="eastAsia" w:ascii="宋体" w:hAnsi="宋体" w:eastAsia="宋体" w:cs="宋体"/>
          <w:highlight w:val="none"/>
          <w:lang w:val="en-US" w:eastAsia="zh-CN"/>
        </w:rPr>
        <w:t>。</w:t>
      </w:r>
    </w:p>
    <w:p w14:paraId="0BDA8DDB">
      <w:pPr>
        <w:pStyle w:val="18"/>
        <w:numPr>
          <w:ilvl w:val="0"/>
          <w:numId w:val="0"/>
        </w:numPr>
        <w:spacing w:beforeLines="0" w:afterLines="0" w:line="360" w:lineRule="auto"/>
        <w:ind w:firstLine="482" w:firstLineChars="200"/>
        <w:jc w:val="left"/>
        <w:rPr>
          <w:rFonts w:hint="eastAsia" w:ascii="宋体" w:hAnsi="宋体" w:eastAsia="宋体" w:cs="宋体"/>
          <w:b/>
          <w:bCs/>
          <w:color w:val="000000" w:themeColor="text1"/>
          <w:kern w:val="2"/>
          <w:highlight w:val="none"/>
          <w:lang w:val="en-US" w:eastAsia="zh-CN"/>
          <w14:textFill>
            <w14:solidFill>
              <w14:schemeClr w14:val="tx1"/>
            </w14:solidFill>
          </w14:textFill>
        </w:rPr>
      </w:pPr>
      <w:r>
        <w:rPr>
          <w:rFonts w:hint="eastAsia" w:ascii="宋体" w:hAnsi="宋体" w:eastAsia="宋体" w:cs="宋体"/>
          <w:b/>
          <w:bCs/>
          <w:color w:val="000000" w:themeColor="text1"/>
          <w:kern w:val="2"/>
          <w:highlight w:val="none"/>
          <w:lang w:val="en-US" w:eastAsia="zh-CN"/>
          <w14:textFill>
            <w14:solidFill>
              <w14:schemeClr w14:val="tx1"/>
            </w14:solidFill>
          </w14:textFill>
        </w:rPr>
        <w:t>2.拟投入项目负责人须具有在本单位注册的一级建造师（注册专业为民航机场工程或机电工程或通信与广电工程）,并持有有效的安全生产考核合格证书（B证）。</w:t>
      </w:r>
    </w:p>
    <w:p w14:paraId="5495FED0">
      <w:pPr>
        <w:spacing w:line="360" w:lineRule="auto"/>
        <w:ind w:firstLine="482" w:firstLineChars="200"/>
        <w:rPr>
          <w:rFonts w:hint="eastAsia" w:ascii="宋体" w:hAnsi="宋体" w:eastAsia="宋体" w:cs="宋体"/>
          <w:b/>
          <w:bCs/>
          <w:highlight w:val="none"/>
        </w:rPr>
      </w:pPr>
      <w:r>
        <w:rPr>
          <w:rFonts w:hint="eastAsia" w:ascii="宋体" w:hAnsi="宋体" w:eastAsia="宋体" w:cs="宋体"/>
          <w:b/>
          <w:bCs/>
          <w:color w:val="000000" w:themeColor="text1"/>
          <w:sz w:val="24"/>
          <w:szCs w:val="24"/>
          <w:highlight w:val="none"/>
          <w14:textFill>
            <w14:solidFill>
              <w14:schemeClr w14:val="tx1"/>
            </w14:solidFill>
          </w14:textFill>
        </w:rPr>
        <w:t>3.本标项</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不</w:t>
      </w:r>
      <w:r>
        <w:rPr>
          <w:rFonts w:hint="eastAsia" w:ascii="宋体" w:hAnsi="宋体" w:eastAsia="宋体" w:cs="宋体"/>
          <w:b/>
          <w:bCs/>
          <w:color w:val="000000" w:themeColor="text1"/>
          <w:sz w:val="24"/>
          <w:szCs w:val="24"/>
          <w:highlight w:val="none"/>
          <w14:textFill>
            <w14:solidFill>
              <w14:schemeClr w14:val="tx1"/>
            </w14:solidFill>
          </w14:textFill>
        </w:rPr>
        <w:t>接受联合体投标</w:t>
      </w:r>
      <w:r>
        <w:rPr>
          <w:rFonts w:hint="eastAsia" w:ascii="宋体" w:hAnsi="宋体" w:eastAsia="宋体" w:cs="宋体"/>
          <w:b/>
          <w:bCs/>
          <w:color w:val="000000" w:themeColor="text1"/>
          <w:sz w:val="24"/>
          <w:szCs w:val="24"/>
          <w:highlight w:val="none"/>
          <w:lang w:val="zh-CN"/>
          <w14:textFill>
            <w14:solidFill>
              <w14:schemeClr w14:val="tx1"/>
            </w14:solidFill>
          </w14:textFill>
        </w:rPr>
        <w:t>。</w:t>
      </w:r>
    </w:p>
    <w:p w14:paraId="5D17B39E">
      <w:pPr>
        <w:spacing w:line="360" w:lineRule="auto"/>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七、投标说明：</w:t>
      </w:r>
    </w:p>
    <w:p w14:paraId="0BD03354">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1、本项目实行电子投标，应按照本项目</w:t>
      </w:r>
      <w:r>
        <w:rPr>
          <w:rFonts w:hint="eastAsia" w:ascii="宋体" w:hAnsi="宋体" w:eastAsia="宋体" w:cs="宋体"/>
          <w:color w:val="000000" w:themeColor="text1"/>
          <w:sz w:val="24"/>
          <w:szCs w:val="24"/>
          <w:highlight w:val="none"/>
          <w:lang w:eastAsia="zh-CN"/>
          <w14:textFill>
            <w14:solidFill>
              <w14:schemeClr w14:val="tx1"/>
            </w14:solidFill>
          </w14:textFill>
        </w:rPr>
        <w:t>采购文件</w:t>
      </w:r>
      <w:r>
        <w:rPr>
          <w:rFonts w:hint="eastAsia" w:ascii="宋体" w:hAnsi="宋体" w:eastAsia="宋体" w:cs="宋体"/>
          <w:color w:val="000000" w:themeColor="text1"/>
          <w:sz w:val="24"/>
          <w:szCs w:val="24"/>
          <w:highlight w:val="none"/>
          <w14:textFill>
            <w14:solidFill>
              <w14:schemeClr w14:val="tx1"/>
            </w14:solidFill>
          </w14:textFill>
        </w:rPr>
        <w:t>和政采云平台的要求编制、加密并递交</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。供应商在使用系统进行投标的过程中遇到涉及平台使用的任何问题，可致电政采云平台技术支持热线咨询，联系方式：95763。</w:t>
      </w:r>
    </w:p>
    <w:p w14:paraId="0A484071">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2、注册网址：</w:t>
      </w:r>
    </w:p>
    <w:p w14:paraId="4AC29E53">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浙江政府采购网：https://middle.zcygov.cn/settle-front/#/registry，政采云咨询电话：95763；</w:t>
      </w:r>
    </w:p>
    <w:p w14:paraId="7640CD63">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3、获取采购文件（报名）：</w:t>
      </w:r>
    </w:p>
    <w:p w14:paraId="0CF39E10">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获取方式：采购公告发布后，在政采云平台已完成注册的供应商登录系统，申请获取采购文件，待审核通过后，可下载采购文件。如果“已申请”标签页显示状态为“审核通过”即为报名成功。路径：用户中心——项目采购——获取采购文件管理。在“已获取”的状态下，供应商可下载查看采购文件。</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 xml:space="preserve">    3.2获取网址：浙江政府采购网</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"https://login.zcygov.cn/login" \t "_blank" </w:instrText>
      </w:r>
      <w:r>
        <w:rPr>
          <w:rFonts w:hint="eastAsia" w:ascii="宋体" w:hAnsi="宋体" w:eastAsia="宋体" w:cs="宋体"/>
          <w:highlight w:val="none"/>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https://login.zcygov.cn/login</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 xml:space="preserve">    3.3获取时间：自</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采购公告发布之日</w:t>
      </w:r>
      <w:r>
        <w:rPr>
          <w:rFonts w:hint="eastAsia" w:ascii="宋体" w:hAnsi="宋体" w:eastAsia="宋体" w:cs="宋体"/>
          <w:color w:val="000000" w:themeColor="text1"/>
          <w:sz w:val="24"/>
          <w:szCs w:val="24"/>
          <w:highlight w:val="none"/>
          <w14:textFill>
            <w14:solidFill>
              <w14:schemeClr w14:val="tx1"/>
            </w14:solidFill>
          </w14:textFill>
        </w:rPr>
        <w:t>起供应商可在浙江政府采购网上自行获取采购文件。</w:t>
      </w:r>
    </w:p>
    <w:p w14:paraId="54F0AFAB">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制作注意事项</w:t>
      </w:r>
    </w:p>
    <w:p w14:paraId="55BDCD6C">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供应商将政采云电子交易客户端下载、安装完成后，可通过账号密码或CA登录客户端进行</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制作。</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　　注：供应商先要申领CA，拿到CA后需要在政采云平台进行绑定，CA相关操作可参考《CA申领操作指南》和《CA管理操作指南》。完成CA数字证书办理在资料齐全的情况下预计7个工作日左右，建议供应商获取采购文件后立即办理。</w:t>
      </w:r>
    </w:p>
    <w:p w14:paraId="126EB07E">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供应商-政府采购项目电子交易操作指南：</w:t>
      </w:r>
    </w:p>
    <w:p w14:paraId="665A7464">
      <w:pPr>
        <w:spacing w:line="360" w:lineRule="auto"/>
        <w:ind w:firstLine="42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"https://help.zcygov.cn/web/site_2/2018/12-28/2573.html" \t "_blank" </w:instrText>
      </w:r>
      <w:r>
        <w:rPr>
          <w:rFonts w:hint="eastAsia" w:ascii="宋体" w:hAnsi="宋体" w:eastAsia="宋体" w:cs="宋体"/>
          <w:highlight w:val="none"/>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https://help.zcygov.cn/web/site_2/2018/12-28/2573.html</w:t>
      </w:r>
      <w:r>
        <w:rPr>
          <w:rFonts w:hint="eastAsia" w:ascii="宋体" w:hAnsi="宋体" w:eastAsia="宋体" w:cs="宋体"/>
          <w:color w:val="000000" w:themeColor="text1"/>
          <w:sz w:val="24"/>
          <w:szCs w:val="24"/>
          <w:highlight w:val="none"/>
          <w14:textFill>
            <w14:solidFill>
              <w14:schemeClr w14:val="tx1"/>
            </w14:solidFill>
          </w14:textFill>
        </w:rPr>
        <w:fldChar w:fldCharType="end"/>
      </w:r>
    </w:p>
    <w:p w14:paraId="7657BFEF">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《CA申领操作指南》：</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"https://help.zcygov.cn/web/site_2/2018/11-29/2452.html" \t "_blank" </w:instrText>
      </w:r>
      <w:r>
        <w:rPr>
          <w:rFonts w:hint="eastAsia" w:ascii="宋体" w:hAnsi="宋体" w:eastAsia="宋体" w:cs="宋体"/>
          <w:highlight w:val="none"/>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https://help.zcygov.cn/web/site_2/2018/11-29/2452.html</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《CA管理操作指南》：</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"https://help.zcygov.cn/web/site_2/2019/08-20/3405.html" \t "_blank" </w:instrText>
      </w:r>
      <w:r>
        <w:rPr>
          <w:rFonts w:hint="eastAsia" w:ascii="宋体" w:hAnsi="宋体" w:eastAsia="宋体" w:cs="宋体"/>
          <w:highlight w:val="none"/>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https://help.zcygov.cn/web/site_2/2019/08-20/3405.html</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《CA驱动和申领流程》</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"http://www.zjzfcg.gov.cn/bidClientTemplate/2019-05-27/12945.html" \t "_blank" </w:instrText>
      </w:r>
      <w:r>
        <w:rPr>
          <w:rFonts w:hint="eastAsia" w:ascii="宋体" w:hAnsi="宋体" w:eastAsia="宋体" w:cs="宋体"/>
          <w:highlight w:val="none"/>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http://www.zjzfcg.gov.cn/bidClientTemplate/2019-05-27/12945.html</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在使用政采云投标客户端时，建议使用WIN7及以上操作系统。</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 xml:space="preserve">    5、政采云咨询电话：95763；</w:t>
      </w:r>
      <w:r>
        <w:rPr>
          <w:rFonts w:hint="eastAsia" w:ascii="宋体" w:hAnsi="宋体" w:eastAsia="宋体" w:cs="宋体"/>
          <w:color w:val="000000" w:themeColor="text1"/>
          <w:sz w:val="24"/>
          <w:szCs w:val="24"/>
          <w:highlight w:val="none"/>
          <w14:textFill>
            <w14:solidFill>
              <w14:schemeClr w14:val="tx1"/>
            </w14:solidFill>
          </w14:textFill>
        </w:rPr>
        <w:br w:type="textWrapping"/>
      </w:r>
      <w:r>
        <w:rPr>
          <w:rFonts w:hint="eastAsia" w:ascii="宋体" w:hAnsi="宋体" w:eastAsia="宋体" w:cs="宋体"/>
          <w:color w:val="000000" w:themeColor="text1"/>
          <w:sz w:val="24"/>
          <w:szCs w:val="24"/>
          <w:highlight w:val="none"/>
          <w14:textFill>
            <w14:solidFill>
              <w14:schemeClr w14:val="tx1"/>
            </w14:solidFill>
          </w14:textFill>
        </w:rPr>
        <w:t xml:space="preserve">       政采云平台服务中心：</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"https://service.zcygov.cn/" \l "/" \t "_blank" </w:instrText>
      </w:r>
      <w:r>
        <w:rPr>
          <w:rFonts w:hint="eastAsia" w:ascii="宋体" w:hAnsi="宋体" w:eastAsia="宋体" w:cs="宋体"/>
          <w:highlight w:val="none"/>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https://service.zcygov.cn/#/</w:t>
      </w:r>
      <w:r>
        <w:rPr>
          <w:rFonts w:hint="eastAsia" w:ascii="宋体" w:hAnsi="宋体" w:eastAsia="宋体" w:cs="宋体"/>
          <w:color w:val="000000" w:themeColor="text1"/>
          <w:sz w:val="24"/>
          <w:szCs w:val="24"/>
          <w:highlight w:val="none"/>
          <w14:textFill>
            <w14:solidFill>
              <w14:schemeClr w14:val="tx1"/>
            </w14:solidFill>
          </w14:textFill>
        </w:rPr>
        <w:fldChar w:fldCharType="end"/>
      </w:r>
    </w:p>
    <w:p w14:paraId="7D0B4727">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6、汇信客服电话：400-888-4636</w:t>
      </w:r>
    </w:p>
    <w:p w14:paraId="4DFE85BC">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目前只涉及CA新领证，如果证书遗失要补办、延期、解锁、质保等，同时也可以在联连客户端上进行处理。</w:t>
      </w:r>
    </w:p>
    <w:p w14:paraId="1E6A9E19">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答疑与澄清：潜在供应商如认为采购文件表述不清晰、存在歧视性、排他性或者其他违法内容的，可以自收到采购文件之日或者采购文件公告期限届满之日（自本公告发布之日起至第6个工作日24时止）起7个工作日内，以书面递交或邮箱形式要求采购人作出书面解释、澄清或者向采购人提出书面质疑；本项目不组织答疑会。</w:t>
      </w:r>
    </w:p>
    <w:p w14:paraId="6830BFF5">
      <w:pPr>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采购人的答疑内容和书面澄清文件是采购文件的组成部份，采购人的书面澄清（更正）文件会在浙江政府采购网上发布</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更正</w:t>
      </w:r>
      <w:r>
        <w:rPr>
          <w:rFonts w:hint="eastAsia" w:ascii="宋体" w:hAnsi="宋体" w:eastAsia="宋体" w:cs="宋体"/>
          <w:b/>
          <w:bCs/>
          <w:color w:val="000000" w:themeColor="text1"/>
          <w:sz w:val="24"/>
          <w:szCs w:val="24"/>
          <w:highlight w:val="none"/>
          <w14:textFill>
            <w14:solidFill>
              <w14:schemeClr w14:val="tx1"/>
            </w14:solidFill>
          </w14:textFill>
        </w:rPr>
        <w:t>公告，潜在供应商自行到浙江政府采购网上下载澄清（更正）文件，潜在供应商在收到该澄清（更正）文件后应于1日内，以书面或邮箱形式（签署意见并加盖公章）向采购代理机构回函给予确认。过期未回复的，视为默认接受。</w:t>
      </w:r>
    </w:p>
    <w:p w14:paraId="22E18873">
      <w:pPr>
        <w:spacing w:line="360" w:lineRule="auto"/>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八、投标保证金：</w:t>
      </w:r>
      <w:r>
        <w:rPr>
          <w:rFonts w:hint="eastAsia" w:ascii="宋体" w:hAnsi="宋体" w:eastAsia="宋体" w:cs="宋体"/>
          <w:color w:val="000000" w:themeColor="text1"/>
          <w:sz w:val="24"/>
          <w:szCs w:val="24"/>
          <w:highlight w:val="none"/>
          <w14:textFill>
            <w14:solidFill>
              <w14:schemeClr w14:val="tx1"/>
            </w14:solidFill>
          </w14:textFill>
        </w:rPr>
        <w:t>无。</w:t>
      </w:r>
    </w:p>
    <w:p w14:paraId="43771C9C">
      <w:pPr>
        <w:spacing w:line="360" w:lineRule="auto"/>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九、投标截止时间及递交注意事项：</w:t>
      </w:r>
    </w:p>
    <w:p w14:paraId="7EB75D85">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9.1投标截止时间：202</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03</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cs="宋体"/>
          <w:color w:val="000000" w:themeColor="text1"/>
          <w:sz w:val="24"/>
          <w:szCs w:val="24"/>
          <w:highlight w:val="none"/>
          <w:u w:val="single"/>
          <w:lang w:val="en-US" w:eastAsia="zh-CN"/>
          <w14:textFill>
            <w14:solidFill>
              <w14:schemeClr w14:val="tx1"/>
            </w14:solidFill>
          </w14:textFill>
        </w:rPr>
        <w:t>20</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09</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时</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00</w:t>
      </w:r>
      <w:r>
        <w:rPr>
          <w:rFonts w:hint="eastAsia" w:ascii="宋体" w:hAnsi="宋体" w:eastAsia="宋体" w:cs="宋体"/>
          <w:color w:val="000000" w:themeColor="text1"/>
          <w:sz w:val="24"/>
          <w:szCs w:val="24"/>
          <w:highlight w:val="none"/>
          <w14:textFill>
            <w14:solidFill>
              <w14:schemeClr w14:val="tx1"/>
            </w14:solidFill>
          </w14:textFill>
        </w:rPr>
        <w:t>分</w:t>
      </w:r>
    </w:p>
    <w:p w14:paraId="1D5FE0EA">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9.2 开标地点：</w:t>
      </w:r>
      <w:r>
        <w:rPr>
          <w:rFonts w:hint="eastAsia" w:ascii="宋体" w:hAnsi="宋体" w:eastAsia="宋体" w:cs="宋体"/>
          <w:color w:val="000000" w:themeColor="text1"/>
          <w:sz w:val="24"/>
          <w:szCs w:val="24"/>
          <w:highlight w:val="none"/>
          <w:lang w:val="en-US" w:eastAsia="zh-CN"/>
          <w14:textFill>
            <w14:solidFill>
              <w14:schemeClr w14:val="tx1"/>
            </w14:solidFill>
          </w14:textFill>
        </w:rPr>
        <w:t>以浙江政府采购网发布的本项目采购公告为准</w:t>
      </w:r>
      <w:r>
        <w:rPr>
          <w:rFonts w:hint="eastAsia" w:ascii="宋体" w:hAnsi="宋体" w:eastAsia="宋体" w:cs="宋体"/>
          <w:color w:val="000000" w:themeColor="text1"/>
          <w:sz w:val="24"/>
          <w:szCs w:val="24"/>
          <w:highlight w:val="none"/>
          <w14:textFill>
            <w14:solidFill>
              <w14:schemeClr w14:val="tx1"/>
            </w14:solidFill>
          </w14:textFill>
        </w:rPr>
        <w:t>。</w:t>
      </w:r>
    </w:p>
    <w:p w14:paraId="4ADCDA89">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9.3递交注意事项</w:t>
      </w:r>
    </w:p>
    <w:p w14:paraId="74900790">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供应商应当在投标截止时间前</w:t>
      </w:r>
      <w:bookmarkStart w:id="345" w:name="_GoBack"/>
      <w:bookmarkEnd w:id="345"/>
      <w:r>
        <w:rPr>
          <w:rFonts w:hint="eastAsia" w:ascii="宋体" w:hAnsi="宋体" w:eastAsia="宋体" w:cs="宋体"/>
          <w:color w:val="000000" w:themeColor="text1"/>
          <w:sz w:val="24"/>
          <w:szCs w:val="24"/>
          <w:highlight w:val="none"/>
          <w14:textFill>
            <w14:solidFill>
              <w14:schemeClr w14:val="tx1"/>
            </w14:solidFill>
          </w14:textFill>
        </w:rPr>
        <w:t>完成电子交易文件的传输递交，投标截止时间前可以补充、修改或者撤回电子交易文件。补充或者修改电子交易文件的，应当先行撤回原文件，补充、修改后重新传输递交。投标截止时间前未完成传输的，视为放弃投标。</w:t>
      </w:r>
    </w:p>
    <w:p w14:paraId="699B75BD">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现阶段为电子交易试运行阶段，为保障项目顺利开展，供应商在电子交易平台传输提交</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后，将政采云平台上最后生成的具备电子签章的备份电子</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1份下载至U盘，邮寄或直接送达至</w:t>
      </w:r>
      <w:r>
        <w:rPr>
          <w:rFonts w:hint="eastAsia" w:ascii="宋体" w:hAnsi="宋体" w:eastAsia="宋体" w:cs="宋体"/>
          <w:color w:val="000000" w:themeColor="text1"/>
          <w:sz w:val="24"/>
          <w:szCs w:val="24"/>
          <w:highlight w:val="none"/>
          <w:u w:val="single"/>
          <w14:textFill>
            <w14:solidFill>
              <w14:schemeClr w14:val="tx1"/>
            </w14:solidFill>
          </w14:textFill>
        </w:rPr>
        <w:t xml:space="preserve"> 杭州市拱墅区朝晖路203号绿城深蓝广场1305室 </w:t>
      </w:r>
      <w:r>
        <w:rPr>
          <w:rFonts w:hint="eastAsia" w:ascii="宋体" w:hAnsi="宋体" w:eastAsia="宋体" w:cs="宋体"/>
          <w:color w:val="000000" w:themeColor="text1"/>
          <w:sz w:val="24"/>
          <w:szCs w:val="24"/>
          <w:highlight w:val="none"/>
          <w14:textFill>
            <w14:solidFill>
              <w14:schemeClr w14:val="tx1"/>
            </w14:solidFill>
          </w14:textFill>
        </w:rPr>
        <w:t>浙江远大工程咨询有限公司，收件人：蒋瑶，联系电话：15058173020。说明：快递请选用顺丰速运，并必须确保在投标截止时间1天前送达。</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"mailto:快递寄出后请将寄件单据拍照后发送到邮箱809175093@qq.com,,m" </w:instrText>
      </w:r>
      <w:r>
        <w:rPr>
          <w:rFonts w:hint="eastAsia" w:ascii="宋体" w:hAnsi="宋体" w:eastAsia="宋体" w:cs="宋体"/>
          <w:highlight w:val="none"/>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快递寄出后请将寄件单据拍照后发送到邮箱626722117@qq.com</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，同时电话告知以便查收。如供应商选择快递费到付，代理机构将拒收。</w:t>
      </w:r>
    </w:p>
    <w:p w14:paraId="330C4DCB">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不按要求寄送备份电子</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的，如遇因供应商电子</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解密失败等情况造成无效标，由此造成的后果及责任由供应商自行承担。</w:t>
      </w:r>
    </w:p>
    <w:p w14:paraId="16573D37">
      <w:pPr>
        <w:spacing w:line="360" w:lineRule="auto"/>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十、</w:t>
      </w:r>
      <w:r>
        <w:rPr>
          <w:rFonts w:hint="eastAsia" w:ascii="宋体" w:hAnsi="宋体" w:eastAsia="宋体" w:cs="宋体"/>
          <w:b/>
          <w:color w:val="000000" w:themeColor="text1"/>
          <w:sz w:val="24"/>
          <w:szCs w:val="24"/>
          <w:highlight w:val="none"/>
          <w:lang w:val="en-US" w:eastAsia="zh-CN"/>
          <w14:textFill>
            <w14:solidFill>
              <w14:schemeClr w14:val="tx1"/>
            </w14:solidFill>
          </w14:textFill>
        </w:rPr>
        <w:t>采购</w:t>
      </w:r>
      <w:r>
        <w:rPr>
          <w:rFonts w:hint="eastAsia" w:ascii="宋体" w:hAnsi="宋体" w:eastAsia="宋体" w:cs="宋体"/>
          <w:b/>
          <w:color w:val="000000" w:themeColor="text1"/>
          <w:sz w:val="24"/>
          <w:szCs w:val="24"/>
          <w:highlight w:val="none"/>
          <w14:textFill>
            <w14:solidFill>
              <w14:schemeClr w14:val="tx1"/>
            </w14:solidFill>
          </w14:textFill>
        </w:rPr>
        <w:t>公告发布于：</w:t>
      </w:r>
    </w:p>
    <w:p w14:paraId="3BC2A168">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浙江省政府采购网(</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"http://zfcg.czt.zj.gov.cn/" </w:instrText>
      </w:r>
      <w:r>
        <w:rPr>
          <w:rFonts w:hint="eastAsia" w:ascii="宋体" w:hAnsi="宋体" w:eastAsia="宋体" w:cs="宋体"/>
          <w:highlight w:val="none"/>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http://zfcg.czt.zj.gov.cn/</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w:t>
      </w:r>
    </w:p>
    <w:p w14:paraId="59724E87">
      <w:pPr>
        <w:spacing w:line="360" w:lineRule="auto"/>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十一、业务咨询：</w:t>
      </w:r>
    </w:p>
    <w:p w14:paraId="35B9A49A">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采购单位：</w:t>
      </w:r>
      <w:r>
        <w:rPr>
          <w:rFonts w:hint="eastAsia" w:ascii="宋体" w:hAnsi="宋体" w:eastAsia="宋体" w:cs="宋体"/>
          <w:color w:val="000000" w:themeColor="text1"/>
          <w:sz w:val="24"/>
          <w:szCs w:val="24"/>
          <w:highlight w:val="none"/>
          <w:lang w:eastAsia="zh-CN"/>
          <w14:textFill>
            <w14:solidFill>
              <w14:schemeClr w14:val="tx1"/>
            </w14:solidFill>
          </w14:textFill>
        </w:rPr>
        <w:t>台州市民航事务中心</w:t>
      </w:r>
    </w:p>
    <w:p w14:paraId="25392194">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采购单位联系人：梁怡婷  </w:t>
      </w:r>
    </w:p>
    <w:p w14:paraId="21EC6D82">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联系电话：0576-81875906  </w:t>
      </w:r>
    </w:p>
    <w:p w14:paraId="49E332A2">
      <w:pPr>
        <w:pStyle w:val="14"/>
        <w:rPr>
          <w:rFonts w:hint="eastAsia" w:ascii="宋体" w:hAnsi="宋体" w:eastAsia="宋体" w:cs="宋体"/>
          <w:color w:val="000000" w:themeColor="text1"/>
          <w:sz w:val="28"/>
          <w:szCs w:val="28"/>
          <w:highlight w:val="none"/>
          <w14:textFill>
            <w14:solidFill>
              <w14:schemeClr w14:val="tx1"/>
            </w14:solidFill>
          </w14:textFill>
        </w:rPr>
      </w:pPr>
    </w:p>
    <w:p w14:paraId="1B5723FD">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代理机构：浙江远大工程咨询有限公司</w:t>
      </w:r>
    </w:p>
    <w:p w14:paraId="276652ED">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联系人：蒋瑶</w:t>
      </w:r>
    </w:p>
    <w:p w14:paraId="4B1C756D">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联系电话：15058173020</w:t>
      </w:r>
    </w:p>
    <w:p w14:paraId="79AD2D51">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邮箱：626722117@qq.com</w:t>
      </w:r>
    </w:p>
    <w:p w14:paraId="6D75E630">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72ED47F5">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政府采购监督管理部门：台州市财政局政府采购监管处</w:t>
      </w:r>
    </w:p>
    <w:p w14:paraId="37A8D776">
      <w:pPr>
        <w:widowControl/>
        <w:spacing w:line="360" w:lineRule="auto"/>
        <w:ind w:firstLine="480" w:firstLineChars="200"/>
        <w:jc w:val="left"/>
        <w:rPr>
          <w:rFonts w:hint="eastAsia" w:ascii="宋体" w:hAnsi="宋体" w:eastAsia="宋体" w:cs="宋体"/>
          <w:b/>
          <w:bCs/>
          <w:color w:val="000000" w:themeColor="text1"/>
          <w:kern w:val="0"/>
          <w:sz w:val="32"/>
          <w:szCs w:val="32"/>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联系电话：0576-88206705</w:t>
      </w:r>
    </w:p>
    <w:p w14:paraId="2A868608">
      <w:pPr>
        <w:widowControl/>
        <w:jc w:val="left"/>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b/>
          <w:bCs/>
          <w:color w:val="000000" w:themeColor="text1"/>
          <w:sz w:val="44"/>
          <w:szCs w:val="44"/>
          <w:highlight w:val="none"/>
          <w14:textFill>
            <w14:solidFill>
              <w14:schemeClr w14:val="tx1"/>
            </w14:solidFill>
          </w14:textFill>
        </w:rPr>
        <w:br w:type="page"/>
      </w:r>
    </w:p>
    <w:p w14:paraId="36A1A832">
      <w:pPr>
        <w:pStyle w:val="30"/>
        <w:spacing w:before="260" w:after="260" w:line="500" w:lineRule="exact"/>
        <w:rPr>
          <w:rFonts w:hint="eastAsia" w:ascii="宋体" w:hAnsi="宋体" w:eastAsia="宋体" w:cs="宋体"/>
          <w:b w:val="0"/>
          <w:bCs w:val="0"/>
          <w:color w:val="000000" w:themeColor="text1"/>
          <w:kern w:val="2"/>
          <w:sz w:val="44"/>
          <w:szCs w:val="44"/>
          <w:highlight w:val="none"/>
          <w14:textFill>
            <w14:solidFill>
              <w14:schemeClr w14:val="tx1"/>
            </w14:solidFill>
          </w14:textFill>
        </w:rPr>
      </w:pPr>
      <w:bookmarkStart w:id="4" w:name="_Toc29734"/>
      <w:r>
        <w:rPr>
          <w:rFonts w:hint="eastAsia" w:ascii="宋体" w:hAnsi="宋体" w:eastAsia="宋体" w:cs="宋体"/>
          <w:b w:val="0"/>
          <w:bCs w:val="0"/>
          <w:color w:val="000000" w:themeColor="text1"/>
          <w:kern w:val="2"/>
          <w:sz w:val="44"/>
          <w:szCs w:val="44"/>
          <w:highlight w:val="none"/>
          <w14:textFill>
            <w14:solidFill>
              <w14:schemeClr w14:val="tx1"/>
            </w14:solidFill>
          </w14:textFill>
        </w:rPr>
        <w:t>第二章 采购需求</w:t>
      </w:r>
      <w:bookmarkEnd w:id="4"/>
    </w:p>
    <w:p w14:paraId="78BB462A">
      <w:pPr>
        <w:pStyle w:val="18"/>
        <w:spacing w:beforeLines="0" w:afterLines="0" w:line="500" w:lineRule="exact"/>
        <w:jc w:val="left"/>
        <w:outlineLvl w:val="2"/>
        <w:rPr>
          <w:rFonts w:hint="eastAsia" w:ascii="宋体" w:hAnsi="宋体" w:eastAsia="宋体" w:cs="宋体"/>
          <w:b/>
          <w:color w:val="000000" w:themeColor="text1"/>
          <w:highlight w:val="none"/>
          <w14:textFill>
            <w14:solidFill>
              <w14:schemeClr w14:val="tx1"/>
            </w14:solidFill>
          </w14:textFill>
        </w:rPr>
      </w:pPr>
      <w:bookmarkStart w:id="5" w:name="_Toc30772"/>
      <w:r>
        <w:rPr>
          <w:rFonts w:hint="eastAsia" w:ascii="宋体" w:hAnsi="宋体" w:eastAsia="宋体" w:cs="宋体"/>
          <w:b/>
          <w:color w:val="000000" w:themeColor="text1"/>
          <w:highlight w:val="none"/>
          <w14:textFill>
            <w14:solidFill>
              <w14:schemeClr w14:val="tx1"/>
            </w14:solidFill>
          </w14:textFill>
        </w:rPr>
        <w:t>一、项目背景</w:t>
      </w:r>
      <w:bookmarkEnd w:id="5"/>
    </w:p>
    <w:p w14:paraId="00DBA766">
      <w:pPr>
        <w:pStyle w:val="44"/>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台州机场运行安全提升工程能够整合机场数据资源，加强数据赋能，实现数据的统一汇聚、融合、治理、共享和服务，充分发挥数据的综合作用，创新运行机制，提升机场运行保障能力和管理效能。为台州机场运行指挥起到重要的促进作用，提升机场应对突发事件的能力，对机场的运行提供重要的安全保障，同时使得机场各运行部门的管理能力和效率大幅度提升。</w:t>
      </w:r>
    </w:p>
    <w:p w14:paraId="3A793C58">
      <w:pPr>
        <w:pStyle w:val="44"/>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台州机场运行指挥中心数字化建设工程（台州机场运行安全提升工程）的目标是通过数字化转型和技术创新，全面提升台州机场的运行安全和管理效率。</w:t>
      </w:r>
      <w:r>
        <w:rPr>
          <w:rFonts w:hint="eastAsia" w:ascii="宋体" w:hAnsi="宋体" w:eastAsia="宋体" w:cs="宋体"/>
          <w:color w:val="000000" w:themeColor="text1"/>
          <w:sz w:val="24"/>
          <w:szCs w:val="24"/>
          <w:highlight w:val="none"/>
          <w:lang w:val="en-US" w:eastAsia="zh-CN"/>
          <w14:textFill>
            <w14:solidFill>
              <w14:schemeClr w14:val="tx1"/>
            </w14:solidFill>
          </w14:textFill>
        </w:rPr>
        <w:t>本</w:t>
      </w:r>
      <w:r>
        <w:rPr>
          <w:rFonts w:hint="eastAsia" w:ascii="宋体" w:hAnsi="宋体" w:eastAsia="宋体" w:cs="宋体"/>
          <w:color w:val="000000" w:themeColor="text1"/>
          <w:sz w:val="24"/>
          <w:szCs w:val="24"/>
          <w:highlight w:val="none"/>
          <w14:textFill>
            <w14:solidFill>
              <w14:schemeClr w14:val="tx1"/>
            </w14:solidFill>
          </w14:textFill>
        </w:rPr>
        <w:t>项目将通过实施无人机防控系统、机坪安全管理系统、应急会商系统等，加强机场的安全管理和应急响应能力。同时，通过机场智能交通管理系统的建设，实现机场陆侧运营的智能化和自动化，提高资源利用效率和服务质量，提升旅客服务体验，进而打造一个安全、绿色、智慧、人文的现代化机场，满足未来航空运输业的发展需求。</w:t>
      </w:r>
    </w:p>
    <w:p w14:paraId="2A2A329B">
      <w:pPr>
        <w:pStyle w:val="18"/>
        <w:spacing w:beforeLines="0" w:afterLines="0" w:line="500" w:lineRule="exact"/>
        <w:jc w:val="left"/>
        <w:outlineLvl w:val="2"/>
        <w:rPr>
          <w:rFonts w:hint="eastAsia" w:ascii="宋体" w:hAnsi="宋体" w:eastAsia="宋体" w:cs="宋体"/>
          <w:b/>
          <w:color w:val="000000" w:themeColor="text1"/>
          <w:highlight w:val="none"/>
          <w14:textFill>
            <w14:solidFill>
              <w14:schemeClr w14:val="tx1"/>
            </w14:solidFill>
          </w14:textFill>
        </w:rPr>
      </w:pPr>
      <w:bookmarkStart w:id="6" w:name="_Toc17860"/>
      <w:r>
        <w:rPr>
          <w:rFonts w:hint="eastAsia" w:ascii="宋体" w:hAnsi="宋体" w:eastAsia="宋体" w:cs="宋体"/>
          <w:b/>
          <w:color w:val="000000" w:themeColor="text1"/>
          <w:highlight w:val="none"/>
          <w14:textFill>
            <w14:solidFill>
              <w14:schemeClr w14:val="tx1"/>
            </w14:solidFill>
          </w14:textFill>
        </w:rPr>
        <w:t>二、服务内容及要求</w:t>
      </w:r>
      <w:bookmarkEnd w:id="6"/>
    </w:p>
    <w:p w14:paraId="72D01647">
      <w:pPr>
        <w:pStyle w:val="29"/>
        <w:spacing w:line="500" w:lineRule="exact"/>
        <w:ind w:firstLine="480" w:firstLineChars="200"/>
        <w:rPr>
          <w:rFonts w:hint="eastAsia" w:ascii="宋体" w:hAnsi="宋体" w:eastAsia="宋体" w:cs="宋体"/>
          <w:color w:val="000000" w:themeColor="text1"/>
          <w:highlight w:val="none"/>
          <w:lang w:bidi="ar"/>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（一）服务内容：</w:t>
      </w:r>
    </w:p>
    <w:p w14:paraId="272C015A">
      <w:pPr>
        <w:pStyle w:val="29"/>
        <w:spacing w:line="500" w:lineRule="exact"/>
        <w:ind w:firstLine="480" w:firstLineChars="200"/>
        <w:rPr>
          <w:rFonts w:hint="eastAsia" w:ascii="宋体" w:hAnsi="宋体" w:eastAsia="宋体" w:cs="宋体"/>
          <w:color w:val="000000" w:themeColor="text1"/>
          <w:highlight w:val="none"/>
          <w:lang w:eastAsia="zh-CN" w:bidi="ar"/>
          <w14:textFill>
            <w14:solidFill>
              <w14:schemeClr w14:val="tx1"/>
            </w14:solidFill>
          </w14:textFill>
        </w:rPr>
      </w:pPr>
      <w:r>
        <w:rPr>
          <w:rFonts w:hint="eastAsia" w:ascii="宋体" w:hAnsi="宋体" w:eastAsia="宋体" w:cs="宋体"/>
          <w:color w:val="000000" w:themeColor="text1"/>
          <w:highlight w:val="none"/>
          <w:lang w:eastAsia="zh-CN" w:bidi="ar"/>
          <w14:textFill>
            <w14:solidFill>
              <w14:schemeClr w14:val="tx1"/>
            </w14:solidFill>
          </w14:textFill>
        </w:rPr>
        <w:t>本项目主要围绕“3</w:t>
      </w:r>
      <w:r>
        <w:rPr>
          <w:rFonts w:hint="eastAsia" w:ascii="宋体" w:hAnsi="宋体" w:eastAsia="宋体" w:cs="宋体"/>
          <w:color w:val="000000" w:themeColor="text1"/>
          <w:highlight w:val="none"/>
          <w:lang w:val="en-US" w:eastAsia="zh-CN" w:bidi="ar"/>
          <w14:textFill>
            <w14:solidFill>
              <w14:schemeClr w14:val="tx1"/>
            </w14:solidFill>
          </w14:textFill>
        </w:rPr>
        <w:t>大</w:t>
      </w:r>
      <w:r>
        <w:rPr>
          <w:rFonts w:hint="eastAsia" w:ascii="宋体" w:hAnsi="宋体" w:eastAsia="宋体" w:cs="宋体"/>
          <w:color w:val="000000" w:themeColor="text1"/>
          <w:highlight w:val="none"/>
          <w:lang w:eastAsia="zh-CN" w:bidi="ar"/>
          <w14:textFill>
            <w14:solidFill>
              <w14:schemeClr w14:val="tx1"/>
            </w14:solidFill>
          </w14:textFill>
        </w:rPr>
        <w:t>业务、</w:t>
      </w:r>
      <w:r>
        <w:rPr>
          <w:rFonts w:hint="eastAsia" w:ascii="宋体" w:hAnsi="宋体" w:eastAsia="宋体" w:cs="宋体"/>
          <w:color w:val="000000" w:themeColor="text1"/>
          <w:highlight w:val="none"/>
          <w:lang w:val="en-US" w:eastAsia="zh-CN" w:bidi="ar"/>
          <w14:textFill>
            <w14:solidFill>
              <w14:schemeClr w14:val="tx1"/>
            </w14:solidFill>
          </w14:textFill>
        </w:rPr>
        <w:t>4大</w:t>
      </w:r>
      <w:r>
        <w:rPr>
          <w:rFonts w:hint="eastAsia" w:ascii="宋体" w:hAnsi="宋体" w:eastAsia="宋体" w:cs="宋体"/>
          <w:color w:val="000000" w:themeColor="text1"/>
          <w:highlight w:val="none"/>
          <w:lang w:eastAsia="zh-CN" w:bidi="ar"/>
          <w14:textFill>
            <w14:solidFill>
              <w14:schemeClr w14:val="tx1"/>
            </w14:solidFill>
          </w14:textFill>
        </w:rPr>
        <w:t>应用”进行软硬件建设，即通过建设无人机防控系统、应急救援会商系统、机坪安全运行管理系统以及机场智能交通管理系统，为台州机场的安全、运营、服务3大业务提供支撑。</w:t>
      </w:r>
      <w:r>
        <w:rPr>
          <w:rFonts w:hint="eastAsia" w:ascii="宋体" w:hAnsi="宋体" w:eastAsia="宋体" w:cs="宋体"/>
          <w:color w:val="000000" w:themeColor="text1"/>
          <w:highlight w:val="none"/>
          <w:lang w:val="en-US" w:eastAsia="zh-CN" w:bidi="ar"/>
          <w14:textFill>
            <w14:solidFill>
              <w14:schemeClr w14:val="tx1"/>
            </w14:solidFill>
          </w14:textFill>
        </w:rPr>
        <w:t>主要工作内容为：</w:t>
      </w:r>
      <w:r>
        <w:rPr>
          <w:rFonts w:hint="eastAsia" w:ascii="宋体" w:hAnsi="宋体" w:eastAsia="宋体" w:cs="宋体"/>
          <w:color w:val="000000" w:themeColor="text1"/>
          <w:highlight w:val="none"/>
          <w:lang w:eastAsia="zh-CN" w:bidi="ar"/>
          <w14:textFill>
            <w14:solidFill>
              <w14:schemeClr w14:val="tx1"/>
            </w14:solidFill>
          </w14:textFill>
        </w:rPr>
        <w:t>无人机防控系统、应急救援会商系统、机坪安全运行管理系统、</w:t>
      </w:r>
      <w:r>
        <w:rPr>
          <w:rFonts w:hint="eastAsia" w:ascii="宋体" w:hAnsi="宋体" w:eastAsia="宋体" w:cs="宋体"/>
          <w:color w:val="000000" w:themeColor="text1"/>
          <w:highlight w:val="none"/>
          <w:lang w:val="en-US" w:eastAsia="zh-CN" w:bidi="ar"/>
          <w14:textFill>
            <w14:solidFill>
              <w14:schemeClr w14:val="tx1"/>
            </w14:solidFill>
          </w14:textFill>
        </w:rPr>
        <w:t>机场智能交通管理系统的</w:t>
      </w:r>
      <w:r>
        <w:rPr>
          <w:rFonts w:hint="eastAsia" w:ascii="宋体" w:hAnsi="宋体" w:eastAsia="宋体" w:cs="宋体"/>
          <w:color w:val="000000" w:themeColor="text1"/>
          <w:highlight w:val="none"/>
          <w:lang w:eastAsia="zh-CN" w:bidi="ar"/>
          <w14:textFill>
            <w14:solidFill>
              <w14:schemeClr w14:val="tx1"/>
            </w14:solidFill>
          </w14:textFill>
        </w:rPr>
        <w:t>软硬件建设。具体工作内容详见</w:t>
      </w:r>
      <w:r>
        <w:rPr>
          <w:rFonts w:hint="eastAsia" w:ascii="宋体" w:hAnsi="宋体" w:eastAsia="宋体" w:cs="宋体"/>
          <w:color w:val="000000" w:themeColor="text1"/>
          <w:highlight w:val="none"/>
          <w:lang w:val="en-US" w:eastAsia="zh-CN" w:bidi="ar"/>
          <w14:textFill>
            <w14:solidFill>
              <w14:schemeClr w14:val="tx1"/>
            </w14:solidFill>
          </w14:textFill>
        </w:rPr>
        <w:t>技术标准和</w:t>
      </w:r>
      <w:r>
        <w:rPr>
          <w:rFonts w:hint="eastAsia" w:ascii="宋体" w:hAnsi="宋体" w:eastAsia="宋体" w:cs="宋体"/>
          <w:color w:val="000000" w:themeColor="text1"/>
          <w:highlight w:val="none"/>
          <w:lang w:eastAsia="zh-CN" w:bidi="ar"/>
          <w14:textFill>
            <w14:solidFill>
              <w14:schemeClr w14:val="tx1"/>
            </w14:solidFill>
          </w14:textFill>
        </w:rPr>
        <w:t>清单。</w:t>
      </w:r>
    </w:p>
    <w:p w14:paraId="4857FFA2">
      <w:pPr>
        <w:pStyle w:val="29"/>
        <w:spacing w:line="50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（二）服务要求：必须符合现行国家有关工程施工质量验收规范和标准的要求</w:t>
      </w:r>
      <w:r>
        <w:rPr>
          <w:rFonts w:hint="eastAsia" w:ascii="宋体" w:hAnsi="宋体" w:eastAsia="宋体" w:cs="宋体"/>
          <w:color w:val="000000" w:themeColor="text1"/>
          <w:highlight w:val="none"/>
          <w:lang w:eastAsia="zh-CN" w:bidi="ar"/>
          <w14:textFill>
            <w14:solidFill>
              <w14:schemeClr w14:val="tx1"/>
            </w14:solidFill>
          </w14:textFill>
        </w:rPr>
        <w:t>，</w:t>
      </w:r>
      <w:r>
        <w:rPr>
          <w:rFonts w:hint="eastAsia" w:ascii="宋体" w:hAnsi="宋体" w:eastAsia="宋体" w:cs="宋体"/>
          <w:color w:val="000000" w:themeColor="text1"/>
          <w:highlight w:val="none"/>
          <w:lang w:bidi="ar"/>
          <w14:textFill>
            <w14:solidFill>
              <w14:schemeClr w14:val="tx1"/>
            </w14:solidFill>
          </w14:textFill>
        </w:rPr>
        <w:t>有关工程质量的特殊标准或要求由合同当事人在合同条款中约定。</w:t>
      </w:r>
    </w:p>
    <w:p w14:paraId="2208D8C6">
      <w:pPr>
        <w:pStyle w:val="29"/>
        <w:spacing w:line="50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bidi="ar"/>
          <w14:textFill>
            <w14:solidFill>
              <w14:schemeClr w14:val="tx1"/>
            </w14:solidFill>
          </w14:textFill>
        </w:rPr>
        <w:t>（三）</w:t>
      </w:r>
      <w:r>
        <w:rPr>
          <w:rFonts w:hint="eastAsia" w:ascii="宋体" w:hAnsi="宋体" w:eastAsia="宋体" w:cs="宋体"/>
          <w:color w:val="000000" w:themeColor="text1"/>
          <w:highlight w:val="none"/>
          <w:lang w:val="en-US" w:eastAsia="zh-CN" w:bidi="ar"/>
          <w14:textFill>
            <w14:solidFill>
              <w14:schemeClr w14:val="tx1"/>
            </w14:solidFill>
          </w14:textFill>
        </w:rPr>
        <w:t>服务</w:t>
      </w:r>
      <w:r>
        <w:rPr>
          <w:rFonts w:hint="eastAsia" w:ascii="宋体" w:hAnsi="宋体" w:eastAsia="宋体" w:cs="宋体"/>
          <w:color w:val="000000" w:themeColor="text1"/>
          <w:highlight w:val="none"/>
          <w:lang w:bidi="ar"/>
          <w14:textFill>
            <w14:solidFill>
              <w14:schemeClr w14:val="tx1"/>
            </w14:solidFill>
          </w14:textFill>
        </w:rPr>
        <w:t>期：12个月，具体开工日期</w:t>
      </w:r>
      <w:r>
        <w:rPr>
          <w:rFonts w:hint="eastAsia" w:ascii="宋体" w:hAnsi="宋体" w:eastAsia="宋体" w:cs="宋体"/>
          <w:color w:val="000000" w:themeColor="text1"/>
          <w:highlight w:val="none"/>
          <w:lang w:val="en-US" w:eastAsia="zh-CN" w:bidi="ar"/>
          <w14:textFill>
            <w14:solidFill>
              <w14:schemeClr w14:val="tx1"/>
            </w14:solidFill>
          </w14:textFill>
        </w:rPr>
        <w:t>以</w:t>
      </w:r>
      <w:r>
        <w:rPr>
          <w:rFonts w:hint="eastAsia" w:ascii="宋体" w:hAnsi="宋体" w:eastAsia="宋体" w:cs="宋体"/>
          <w:color w:val="000000" w:themeColor="text1"/>
          <w:highlight w:val="none"/>
          <w:lang w:bidi="ar"/>
          <w14:textFill>
            <w14:solidFill>
              <w14:schemeClr w14:val="tx1"/>
            </w14:solidFill>
          </w14:textFill>
        </w:rPr>
        <w:t>开工令通知为准。</w:t>
      </w:r>
    </w:p>
    <w:p w14:paraId="698A37E7">
      <w:pPr>
        <w:pStyle w:val="18"/>
        <w:spacing w:beforeLines="0" w:afterLines="0" w:line="500" w:lineRule="exact"/>
        <w:jc w:val="left"/>
        <w:outlineLvl w:val="2"/>
        <w:rPr>
          <w:rFonts w:hint="eastAsia" w:ascii="宋体" w:hAnsi="宋体" w:eastAsia="宋体" w:cs="宋体"/>
          <w:b/>
          <w:color w:val="000000" w:themeColor="text1"/>
          <w:highlight w:val="none"/>
          <w14:textFill>
            <w14:solidFill>
              <w14:schemeClr w14:val="tx1"/>
            </w14:solidFill>
          </w14:textFill>
        </w:rPr>
      </w:pPr>
      <w:bookmarkStart w:id="7" w:name="_Toc17628"/>
      <w:r>
        <w:rPr>
          <w:rFonts w:hint="eastAsia" w:ascii="宋体" w:hAnsi="宋体" w:eastAsia="宋体" w:cs="宋体"/>
          <w:b/>
          <w:color w:val="000000" w:themeColor="text1"/>
          <w:highlight w:val="none"/>
          <w14:textFill>
            <w14:solidFill>
              <w14:schemeClr w14:val="tx1"/>
            </w14:solidFill>
          </w14:textFill>
        </w:rPr>
        <w:t>三、相关资料获取</w:t>
      </w:r>
      <w:bookmarkEnd w:id="7"/>
    </w:p>
    <w:p w14:paraId="4416F995">
      <w:pPr>
        <w:pStyle w:val="44"/>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关于</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w:t>
      </w:r>
      <w:r>
        <w:rPr>
          <w:rFonts w:hint="eastAsia" w:ascii="宋体" w:hAnsi="宋体" w:eastAsia="宋体" w:cs="宋体"/>
          <w:color w:val="000000" w:themeColor="text1"/>
          <w:sz w:val="24"/>
          <w:szCs w:val="24"/>
          <w:highlight w:val="none"/>
          <w14:textFill>
            <w14:solidFill>
              <w14:schemeClr w14:val="tx1"/>
            </w14:solidFill>
          </w14:textFill>
        </w:rPr>
        <w:t>项目相关参阅资料可通过以下途经获取：</w:t>
      </w:r>
    </w:p>
    <w:p w14:paraId="06DE293B">
      <w:pPr>
        <w:pStyle w:val="44"/>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政府采购云平台 </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"https://login.zcygov.cn/login" \t "_blank" </w:instrText>
      </w:r>
      <w:r>
        <w:rPr>
          <w:rFonts w:hint="eastAsia" w:ascii="宋体" w:hAnsi="宋体" w:eastAsia="宋体" w:cs="宋体"/>
          <w:highlight w:val="none"/>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https://login.zcygov.cn/login</w:t>
      </w:r>
      <w:r>
        <w:rPr>
          <w:rFonts w:hint="eastAsia" w:ascii="宋体" w:hAnsi="宋体" w:eastAsia="宋体" w:cs="宋体"/>
          <w:color w:val="000000" w:themeColor="text1"/>
          <w:sz w:val="24"/>
          <w:szCs w:val="24"/>
          <w:highlight w:val="none"/>
          <w14:textFill>
            <w14:solidFill>
              <w14:schemeClr w14:val="tx1"/>
            </w14:solidFill>
          </w14:textFill>
        </w:rPr>
        <w:fldChar w:fldCharType="end"/>
      </w:r>
    </w:p>
    <w:p w14:paraId="31439AFB">
      <w:pPr>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color w:val="000000" w:themeColor="text1"/>
          <w:sz w:val="44"/>
          <w:szCs w:val="44"/>
          <w:highlight w:val="none"/>
          <w14:textFill>
            <w14:solidFill>
              <w14:schemeClr w14:val="tx1"/>
            </w14:solidFill>
          </w14:textFill>
        </w:rPr>
        <w:br w:type="page"/>
      </w:r>
    </w:p>
    <w:p w14:paraId="28C2F512">
      <w:pPr>
        <w:pStyle w:val="30"/>
        <w:spacing w:before="260" w:after="260" w:line="500" w:lineRule="exact"/>
        <w:rPr>
          <w:rFonts w:hint="eastAsia" w:ascii="宋体" w:hAnsi="宋体" w:eastAsia="宋体" w:cs="宋体"/>
          <w:b w:val="0"/>
          <w:bCs w:val="0"/>
          <w:color w:val="000000" w:themeColor="text1"/>
          <w:kern w:val="2"/>
          <w:sz w:val="44"/>
          <w:szCs w:val="44"/>
          <w:highlight w:val="none"/>
          <w14:textFill>
            <w14:solidFill>
              <w14:schemeClr w14:val="tx1"/>
            </w14:solidFill>
          </w14:textFill>
        </w:rPr>
      </w:pPr>
      <w:bookmarkStart w:id="8" w:name="_Toc29038"/>
      <w:r>
        <w:rPr>
          <w:rFonts w:hint="eastAsia" w:ascii="宋体" w:hAnsi="宋体" w:eastAsia="宋体" w:cs="宋体"/>
          <w:b w:val="0"/>
          <w:bCs w:val="0"/>
          <w:color w:val="000000" w:themeColor="text1"/>
          <w:kern w:val="2"/>
          <w:sz w:val="44"/>
          <w:szCs w:val="44"/>
          <w:highlight w:val="none"/>
          <w14:textFill>
            <w14:solidFill>
              <w14:schemeClr w14:val="tx1"/>
            </w14:solidFill>
          </w14:textFill>
        </w:rPr>
        <w:t>第三章 供应商须知</w:t>
      </w:r>
      <w:bookmarkEnd w:id="8"/>
    </w:p>
    <w:p w14:paraId="7BB34698">
      <w:pPr>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供应商须知前附表</w:t>
      </w:r>
    </w:p>
    <w:tbl>
      <w:tblPr>
        <w:tblStyle w:val="34"/>
        <w:tblW w:w="9079"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670"/>
        <w:gridCol w:w="1586"/>
        <w:gridCol w:w="6823"/>
      </w:tblGrid>
      <w:tr w14:paraId="37D6C8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58" w:hRule="atLeast"/>
          <w:jc w:val="center"/>
        </w:trPr>
        <w:tc>
          <w:tcPr>
            <w:tcW w:w="670" w:type="dxa"/>
            <w:tcBorders>
              <w:tl2br w:val="nil"/>
              <w:tr2bl w:val="nil"/>
            </w:tcBorders>
            <w:vAlign w:val="center"/>
          </w:tcPr>
          <w:p w14:paraId="505CEA10">
            <w:pPr>
              <w:snapToGrid w:val="0"/>
              <w:spacing w:line="360" w:lineRule="exact"/>
              <w:jc w:val="center"/>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序号</w:t>
            </w:r>
          </w:p>
        </w:tc>
        <w:tc>
          <w:tcPr>
            <w:tcW w:w="1586" w:type="dxa"/>
            <w:tcBorders>
              <w:tl2br w:val="nil"/>
              <w:tr2bl w:val="nil"/>
            </w:tcBorders>
            <w:vAlign w:val="center"/>
          </w:tcPr>
          <w:p w14:paraId="3A82DF99">
            <w:pPr>
              <w:snapToGrid w:val="0"/>
              <w:spacing w:line="360" w:lineRule="exact"/>
              <w:jc w:val="center"/>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内容</w:t>
            </w:r>
          </w:p>
        </w:tc>
        <w:tc>
          <w:tcPr>
            <w:tcW w:w="6823" w:type="dxa"/>
            <w:tcBorders>
              <w:tl2br w:val="nil"/>
              <w:tr2bl w:val="nil"/>
            </w:tcBorders>
            <w:vAlign w:val="center"/>
          </w:tcPr>
          <w:p w14:paraId="0171E3D0">
            <w:pPr>
              <w:snapToGrid w:val="0"/>
              <w:spacing w:line="360" w:lineRule="exact"/>
              <w:jc w:val="center"/>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说明与要求</w:t>
            </w:r>
          </w:p>
        </w:tc>
      </w:tr>
      <w:tr w14:paraId="7B8D288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6" w:hRule="atLeast"/>
          <w:jc w:val="center"/>
        </w:trPr>
        <w:tc>
          <w:tcPr>
            <w:tcW w:w="670" w:type="dxa"/>
            <w:tcBorders>
              <w:tl2br w:val="nil"/>
              <w:tr2bl w:val="nil"/>
            </w:tcBorders>
            <w:vAlign w:val="center"/>
          </w:tcPr>
          <w:p w14:paraId="5BFF6A68">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1586" w:type="dxa"/>
            <w:tcBorders>
              <w:tl2br w:val="nil"/>
              <w:tr2bl w:val="nil"/>
            </w:tcBorders>
            <w:vAlign w:val="center"/>
          </w:tcPr>
          <w:p w14:paraId="7258693A">
            <w:pPr>
              <w:tabs>
                <w:tab w:val="left" w:pos="390"/>
                <w:tab w:val="center" w:pos="4404"/>
              </w:tabs>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采购人</w:t>
            </w:r>
          </w:p>
        </w:tc>
        <w:tc>
          <w:tcPr>
            <w:tcW w:w="6823" w:type="dxa"/>
            <w:tcBorders>
              <w:tl2br w:val="nil"/>
              <w:tr2bl w:val="nil"/>
            </w:tcBorders>
            <w:vAlign w:val="center"/>
          </w:tcPr>
          <w:p w14:paraId="769A2F32">
            <w:pPr>
              <w:tabs>
                <w:tab w:val="left" w:pos="390"/>
                <w:tab w:val="center" w:pos="4404"/>
              </w:tabs>
              <w:spacing w:line="360" w:lineRule="exact"/>
              <w:ind w:firstLine="210" w:firstLineChars="100"/>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台州市民航事务中心</w:t>
            </w:r>
          </w:p>
        </w:tc>
      </w:tr>
      <w:tr w14:paraId="275EB9A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73" w:hRule="atLeast"/>
          <w:jc w:val="center"/>
        </w:trPr>
        <w:tc>
          <w:tcPr>
            <w:tcW w:w="670" w:type="dxa"/>
            <w:tcBorders>
              <w:tl2br w:val="nil"/>
              <w:tr2bl w:val="nil"/>
            </w:tcBorders>
            <w:vAlign w:val="center"/>
          </w:tcPr>
          <w:p w14:paraId="526C9D15">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1586" w:type="dxa"/>
            <w:tcBorders>
              <w:tl2br w:val="nil"/>
              <w:tr2bl w:val="nil"/>
            </w:tcBorders>
            <w:vAlign w:val="center"/>
          </w:tcPr>
          <w:p w14:paraId="5E535C38">
            <w:pPr>
              <w:tabs>
                <w:tab w:val="left" w:pos="390"/>
                <w:tab w:val="center" w:pos="4404"/>
              </w:tabs>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项目名称</w:t>
            </w:r>
          </w:p>
        </w:tc>
        <w:tc>
          <w:tcPr>
            <w:tcW w:w="6823" w:type="dxa"/>
            <w:tcBorders>
              <w:tl2br w:val="nil"/>
              <w:tr2bl w:val="nil"/>
            </w:tcBorders>
            <w:vAlign w:val="center"/>
          </w:tcPr>
          <w:p w14:paraId="4FB41EEC">
            <w:pPr>
              <w:tabs>
                <w:tab w:val="left" w:pos="390"/>
                <w:tab w:val="center" w:pos="4404"/>
              </w:tabs>
              <w:spacing w:line="360" w:lineRule="exact"/>
              <w:ind w:firstLine="210" w:firstLineChars="1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台州机场运行指挥中心数字化建设工程（台州机场运行安全提升工程）</w:t>
            </w:r>
          </w:p>
        </w:tc>
      </w:tr>
      <w:tr w14:paraId="21C9EA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233" w:hRule="atLeast"/>
          <w:jc w:val="center"/>
        </w:trPr>
        <w:tc>
          <w:tcPr>
            <w:tcW w:w="670" w:type="dxa"/>
            <w:tcBorders>
              <w:tl2br w:val="nil"/>
              <w:tr2bl w:val="nil"/>
            </w:tcBorders>
            <w:vAlign w:val="center"/>
          </w:tcPr>
          <w:p w14:paraId="307A119B">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1586" w:type="dxa"/>
            <w:tcBorders>
              <w:tl2br w:val="nil"/>
              <w:tr2bl w:val="nil"/>
            </w:tcBorders>
            <w:vAlign w:val="center"/>
          </w:tcPr>
          <w:p w14:paraId="4435CE46">
            <w:pPr>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递交份数及要求</w:t>
            </w:r>
          </w:p>
        </w:tc>
        <w:tc>
          <w:tcPr>
            <w:tcW w:w="6823" w:type="dxa"/>
            <w:tcBorders>
              <w:tl2br w:val="nil"/>
              <w:tr2bl w:val="nil"/>
            </w:tcBorders>
            <w:vAlign w:val="center"/>
          </w:tcPr>
          <w:p w14:paraId="6602502C">
            <w:pPr>
              <w:snapToGrid w:val="0"/>
              <w:spacing w:line="360" w:lineRule="exact"/>
              <w:ind w:firstLine="210" w:firstLineChars="1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电子版一份</w:t>
            </w:r>
          </w:p>
          <w:p w14:paraId="4283DE58">
            <w:pPr>
              <w:snapToGrid w:val="0"/>
              <w:spacing w:line="360" w:lineRule="exact"/>
              <w:ind w:firstLine="210" w:firstLineChars="1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供应商请准备电子</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、电子备份</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U盘：</w:t>
            </w:r>
          </w:p>
          <w:p w14:paraId="7B3B3915">
            <w:pPr>
              <w:snapToGrid w:val="0"/>
              <w:spacing w:line="360" w:lineRule="exact"/>
              <w:ind w:firstLine="210" w:firstLineChars="1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（1）电子</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，按政采云平台供应商项目采购-电子招投标操作指南及本采购文件要求递交。</w:t>
            </w:r>
          </w:p>
          <w:p w14:paraId="5730F1CC">
            <w:pPr>
              <w:snapToGrid w:val="0"/>
              <w:spacing w:line="360" w:lineRule="exact"/>
              <w:ind w:firstLine="210" w:firstLineChars="1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（2）电子备份</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按政采云平台供应商项目采购-电子招投标操作指南中上传的电子</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格式文档，以U盘形式递交，数量为1份。</w:t>
            </w:r>
          </w:p>
        </w:tc>
      </w:tr>
      <w:tr w14:paraId="09D458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40" w:hRule="atLeast"/>
          <w:jc w:val="center"/>
        </w:trPr>
        <w:tc>
          <w:tcPr>
            <w:tcW w:w="670" w:type="dxa"/>
            <w:tcBorders>
              <w:tl2br w:val="nil"/>
              <w:tr2bl w:val="nil"/>
            </w:tcBorders>
            <w:vAlign w:val="center"/>
          </w:tcPr>
          <w:p w14:paraId="4CE02D9C">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1586" w:type="dxa"/>
            <w:tcBorders>
              <w:tl2br w:val="nil"/>
              <w:tr2bl w:val="nil"/>
            </w:tcBorders>
            <w:vAlign w:val="center"/>
          </w:tcPr>
          <w:p w14:paraId="08FBCAF8">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转包或分包</w:t>
            </w:r>
          </w:p>
        </w:tc>
        <w:tc>
          <w:tcPr>
            <w:tcW w:w="6823" w:type="dxa"/>
            <w:tcBorders>
              <w:tl2br w:val="nil"/>
              <w:tr2bl w:val="nil"/>
            </w:tcBorders>
            <w:vAlign w:val="center"/>
          </w:tcPr>
          <w:p w14:paraId="34DD6674">
            <w:pPr>
              <w:snapToGrid w:val="0"/>
              <w:spacing w:line="360" w:lineRule="exact"/>
              <w:ind w:firstLine="210" w:firstLineChars="100"/>
              <w:jc w:val="left"/>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本项目不允许分包、转包</w:t>
            </w:r>
            <w:r>
              <w:rPr>
                <w:rFonts w:hint="eastAsia" w:ascii="宋体" w:hAnsi="宋体" w:eastAsia="宋体" w:cs="宋体"/>
                <w:color w:val="000000" w:themeColor="text1"/>
                <w:szCs w:val="21"/>
                <w:highlight w:val="none"/>
                <w:lang w:eastAsia="zh-CN"/>
                <w14:textFill>
                  <w14:solidFill>
                    <w14:schemeClr w14:val="tx1"/>
                  </w14:solidFill>
                </w14:textFill>
              </w:rPr>
              <w:t>。</w:t>
            </w:r>
          </w:p>
        </w:tc>
      </w:tr>
      <w:tr w14:paraId="61D4C5C8">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37" w:hRule="atLeast"/>
          <w:jc w:val="center"/>
        </w:trPr>
        <w:tc>
          <w:tcPr>
            <w:tcW w:w="670" w:type="dxa"/>
            <w:tcBorders>
              <w:tl2br w:val="nil"/>
              <w:tr2bl w:val="nil"/>
            </w:tcBorders>
            <w:vAlign w:val="center"/>
          </w:tcPr>
          <w:p w14:paraId="0EDC141B">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1586" w:type="dxa"/>
            <w:tcBorders>
              <w:tl2br w:val="nil"/>
              <w:tr2bl w:val="nil"/>
            </w:tcBorders>
            <w:vAlign w:val="center"/>
          </w:tcPr>
          <w:p w14:paraId="784C4A6E">
            <w:pPr>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投标有效期</w:t>
            </w:r>
          </w:p>
        </w:tc>
        <w:tc>
          <w:tcPr>
            <w:tcW w:w="6823" w:type="dxa"/>
            <w:tcBorders>
              <w:tl2br w:val="nil"/>
              <w:tr2bl w:val="nil"/>
            </w:tcBorders>
            <w:vAlign w:val="center"/>
          </w:tcPr>
          <w:p w14:paraId="50EB1E1E">
            <w:pPr>
              <w:spacing w:line="360" w:lineRule="exact"/>
              <w:ind w:firstLine="210" w:firstLineChars="1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递交截止之日起90天</w:t>
            </w:r>
          </w:p>
        </w:tc>
      </w:tr>
      <w:tr w14:paraId="5DFAFE1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1" w:hRule="atLeast"/>
          <w:jc w:val="center"/>
        </w:trPr>
        <w:tc>
          <w:tcPr>
            <w:tcW w:w="670" w:type="dxa"/>
            <w:tcBorders>
              <w:tl2br w:val="nil"/>
              <w:tr2bl w:val="nil"/>
            </w:tcBorders>
            <w:vAlign w:val="center"/>
          </w:tcPr>
          <w:p w14:paraId="1D8F2FCC">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p>
        </w:tc>
        <w:tc>
          <w:tcPr>
            <w:tcW w:w="1586" w:type="dxa"/>
            <w:tcBorders>
              <w:tl2br w:val="nil"/>
              <w:tr2bl w:val="nil"/>
            </w:tcBorders>
            <w:vAlign w:val="center"/>
          </w:tcPr>
          <w:p w14:paraId="196FBE2A">
            <w:pPr>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答疑时间</w:t>
            </w:r>
          </w:p>
        </w:tc>
        <w:tc>
          <w:tcPr>
            <w:tcW w:w="6823" w:type="dxa"/>
            <w:tcBorders>
              <w:tl2br w:val="nil"/>
              <w:tr2bl w:val="nil"/>
            </w:tcBorders>
            <w:vAlign w:val="center"/>
          </w:tcPr>
          <w:p w14:paraId="6AD846B1">
            <w:pPr>
              <w:spacing w:line="360" w:lineRule="exact"/>
              <w:ind w:firstLine="210" w:firstLineChars="1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潜在供应商如认为采购文件表述不清晰、存在歧视性、排他性或者其他违法内容的，可以自收到采购文件之日或者采购文件公告期限届满之日（自本公告发布之日起至第6个工作日24时止）起7个工作日内，以书面递交或传真形式要求采购人作出书面解释、澄清或者向采购人提出书面质疑；本项目不组织答疑会；</w:t>
            </w:r>
          </w:p>
          <w:p w14:paraId="0BCCEBEE">
            <w:pPr>
              <w:spacing w:line="360" w:lineRule="exact"/>
              <w:ind w:firstLine="211" w:firstLineChars="1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采购人的答疑内容和书面澄清文件是采购文件的组成部份，采购人的书面澄清（更正）文件会在浙江政府采购网上发布公告，潜在供应商自行到浙江政府采购网上下载澄清（更正）文件，潜在供应商在收到该澄清（更正）文件后应于1日内，以书面或邮箱形式（签署意见并加盖公章）向采购代理机构回函给予确认。过期未回复的，视为默认接受。</w:t>
            </w:r>
          </w:p>
        </w:tc>
      </w:tr>
      <w:tr w14:paraId="3A983A0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21" w:hRule="atLeast"/>
          <w:jc w:val="center"/>
        </w:trPr>
        <w:tc>
          <w:tcPr>
            <w:tcW w:w="670" w:type="dxa"/>
            <w:tcBorders>
              <w:tl2br w:val="nil"/>
              <w:tr2bl w:val="nil"/>
            </w:tcBorders>
            <w:vAlign w:val="center"/>
          </w:tcPr>
          <w:p w14:paraId="3ABD5BD6">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1586" w:type="dxa"/>
            <w:tcBorders>
              <w:tl2br w:val="nil"/>
              <w:tr2bl w:val="nil"/>
            </w:tcBorders>
            <w:vAlign w:val="center"/>
          </w:tcPr>
          <w:p w14:paraId="0BAC4E13">
            <w:pPr>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投标保证金</w:t>
            </w:r>
          </w:p>
        </w:tc>
        <w:tc>
          <w:tcPr>
            <w:tcW w:w="6823" w:type="dxa"/>
            <w:tcBorders>
              <w:tl2br w:val="nil"/>
              <w:tr2bl w:val="nil"/>
            </w:tcBorders>
            <w:vAlign w:val="center"/>
          </w:tcPr>
          <w:p w14:paraId="189F69A6">
            <w:pPr>
              <w:spacing w:line="360" w:lineRule="exact"/>
              <w:ind w:firstLine="210" w:firstLineChars="1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本项目不适用</w:t>
            </w:r>
          </w:p>
        </w:tc>
      </w:tr>
      <w:tr w14:paraId="749124E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72" w:hRule="atLeast"/>
          <w:jc w:val="center"/>
        </w:trPr>
        <w:tc>
          <w:tcPr>
            <w:tcW w:w="670" w:type="dxa"/>
            <w:tcBorders>
              <w:tl2br w:val="nil"/>
              <w:tr2bl w:val="nil"/>
            </w:tcBorders>
            <w:vAlign w:val="center"/>
          </w:tcPr>
          <w:p w14:paraId="740219EE">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586" w:type="dxa"/>
            <w:tcBorders>
              <w:tl2br w:val="nil"/>
              <w:tr2bl w:val="nil"/>
            </w:tcBorders>
            <w:vAlign w:val="center"/>
          </w:tcPr>
          <w:p w14:paraId="246DC4E8">
            <w:pPr>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递交截止时间</w:t>
            </w:r>
          </w:p>
        </w:tc>
        <w:tc>
          <w:tcPr>
            <w:tcW w:w="6823" w:type="dxa"/>
            <w:tcBorders>
              <w:tl2br w:val="nil"/>
              <w:tr2bl w:val="nil"/>
            </w:tcBorders>
            <w:vAlign w:val="center"/>
          </w:tcPr>
          <w:p w14:paraId="386C2152">
            <w:pPr>
              <w:spacing w:line="360" w:lineRule="exact"/>
              <w:ind w:firstLine="210" w:firstLineChars="1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详见采购公告</w:t>
            </w:r>
          </w:p>
        </w:tc>
      </w:tr>
      <w:tr w14:paraId="1BF61F7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72" w:hRule="atLeast"/>
          <w:jc w:val="center"/>
        </w:trPr>
        <w:tc>
          <w:tcPr>
            <w:tcW w:w="670" w:type="dxa"/>
            <w:tcBorders>
              <w:tl2br w:val="nil"/>
              <w:tr2bl w:val="nil"/>
            </w:tcBorders>
            <w:vAlign w:val="center"/>
          </w:tcPr>
          <w:p w14:paraId="514D1BA5">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p>
        </w:tc>
        <w:tc>
          <w:tcPr>
            <w:tcW w:w="1586" w:type="dxa"/>
            <w:tcBorders>
              <w:tl2br w:val="nil"/>
              <w:tr2bl w:val="nil"/>
            </w:tcBorders>
            <w:vAlign w:val="center"/>
          </w:tcPr>
          <w:p w14:paraId="23AD1E83">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递交方式</w:t>
            </w:r>
          </w:p>
        </w:tc>
        <w:tc>
          <w:tcPr>
            <w:tcW w:w="6823" w:type="dxa"/>
            <w:tcBorders>
              <w:tl2br w:val="nil"/>
              <w:tr2bl w:val="nil"/>
            </w:tcBorders>
            <w:vAlign w:val="center"/>
          </w:tcPr>
          <w:p w14:paraId="6E5A1CCF">
            <w:pPr>
              <w:snapToGrid w:val="0"/>
              <w:spacing w:line="360" w:lineRule="exact"/>
              <w:ind w:firstLine="210" w:firstLineChars="1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供应商无需到开标现场，但须准时在线参加，直至评审结束。</w:t>
            </w:r>
          </w:p>
        </w:tc>
      </w:tr>
      <w:tr w14:paraId="11B30D1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213" w:hRule="atLeast"/>
          <w:jc w:val="center"/>
        </w:trPr>
        <w:tc>
          <w:tcPr>
            <w:tcW w:w="670" w:type="dxa"/>
            <w:tcBorders>
              <w:tl2br w:val="nil"/>
              <w:tr2bl w:val="nil"/>
            </w:tcBorders>
            <w:vAlign w:val="center"/>
          </w:tcPr>
          <w:p w14:paraId="3F690B2F">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c>
          <w:tcPr>
            <w:tcW w:w="1586" w:type="dxa"/>
            <w:tcBorders>
              <w:tl2br w:val="nil"/>
              <w:tr2bl w:val="nil"/>
            </w:tcBorders>
            <w:vAlign w:val="center"/>
          </w:tcPr>
          <w:p w14:paraId="6AFA4FE2">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评标结果公告</w:t>
            </w:r>
          </w:p>
        </w:tc>
        <w:tc>
          <w:tcPr>
            <w:tcW w:w="6823" w:type="dxa"/>
            <w:tcBorders>
              <w:tl2br w:val="nil"/>
              <w:tr2bl w:val="nil"/>
            </w:tcBorders>
            <w:vAlign w:val="center"/>
          </w:tcPr>
          <w:p w14:paraId="3645216B">
            <w:pPr>
              <w:snapToGrid w:val="0"/>
              <w:spacing w:line="360" w:lineRule="exact"/>
              <w:ind w:firstLine="210" w:firstLineChars="1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自中标（成交）供应商确定之日起2个工作日内，评标结果公告于浙江政府采购网(</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"http://zfcg.czt.zj.gov.cn/" </w:instrText>
            </w:r>
            <w:r>
              <w:rPr>
                <w:rFonts w:hint="eastAsia" w:ascii="宋体" w:hAnsi="宋体" w:eastAsia="宋体" w:cs="宋体"/>
                <w:highlight w:val="none"/>
              </w:rPr>
              <w:fldChar w:fldCharType="separate"/>
            </w:r>
            <w:r>
              <w:rPr>
                <w:rFonts w:hint="eastAsia" w:ascii="宋体" w:hAnsi="宋体" w:eastAsia="宋体" w:cs="宋体"/>
                <w:color w:val="000000" w:themeColor="text1"/>
                <w:szCs w:val="21"/>
                <w:highlight w:val="none"/>
                <w14:textFill>
                  <w14:solidFill>
                    <w14:schemeClr w14:val="tx1"/>
                  </w14:solidFill>
                </w14:textFill>
              </w:rPr>
              <w:t>http://zfcg.czt.zj.gov.cn/</w:t>
            </w:r>
            <w:r>
              <w:rPr>
                <w:rFonts w:hint="eastAsia" w:ascii="宋体" w:hAnsi="宋体" w:eastAsia="宋体" w:cs="宋体"/>
                <w:color w:val="000000" w:themeColor="text1"/>
                <w:szCs w:val="21"/>
                <w:highlight w:val="none"/>
                <w14:textFill>
                  <w14:solidFill>
                    <w14:schemeClr w14:val="tx1"/>
                  </w14:solidFill>
                </w14:textFill>
              </w:rPr>
              <w:fldChar w:fldCharType="end"/>
            </w:r>
            <w:r>
              <w:rPr>
                <w:rFonts w:hint="eastAsia" w:ascii="宋体" w:hAnsi="宋体" w:eastAsia="宋体" w:cs="宋体"/>
                <w:color w:val="000000" w:themeColor="text1"/>
                <w:szCs w:val="21"/>
                <w:highlight w:val="none"/>
                <w14:textFill>
                  <w14:solidFill>
                    <w14:schemeClr w14:val="tx1"/>
                  </w14:solidFill>
                </w14:textFill>
              </w:rPr>
              <w:t>)公布。本项目公告期限为1个工作日，各参加政府采购活动的供应商认为该中标结果和采购过程等使自己的权益受到损害的，可以自本公告期限届满之日（本公告发布之日后第2个工作日）起7个工作日内，以书面形式向采购人或受其委托的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tc>
      </w:tr>
      <w:tr w14:paraId="79A0D9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878" w:hRule="atLeast"/>
          <w:jc w:val="center"/>
        </w:trPr>
        <w:tc>
          <w:tcPr>
            <w:tcW w:w="670" w:type="dxa"/>
            <w:tcBorders>
              <w:tl2br w:val="nil"/>
              <w:tr2bl w:val="nil"/>
            </w:tcBorders>
            <w:vAlign w:val="center"/>
          </w:tcPr>
          <w:p w14:paraId="46749943">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11</w:t>
            </w:r>
          </w:p>
        </w:tc>
        <w:tc>
          <w:tcPr>
            <w:tcW w:w="1586" w:type="dxa"/>
            <w:tcBorders>
              <w:tl2br w:val="nil"/>
              <w:tr2bl w:val="nil"/>
            </w:tcBorders>
            <w:vAlign w:val="center"/>
          </w:tcPr>
          <w:p w14:paraId="144AF250">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中标公告及中标通知书</w:t>
            </w:r>
          </w:p>
        </w:tc>
        <w:tc>
          <w:tcPr>
            <w:tcW w:w="6823" w:type="dxa"/>
            <w:tcBorders>
              <w:tl2br w:val="nil"/>
              <w:tr2bl w:val="nil"/>
            </w:tcBorders>
            <w:vAlign w:val="center"/>
          </w:tcPr>
          <w:p w14:paraId="169CDFAE">
            <w:pPr>
              <w:snapToGrid w:val="0"/>
              <w:spacing w:line="360" w:lineRule="exact"/>
              <w:ind w:firstLine="210" w:firstLineChars="1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中标公告期限为1个工作日。在公告中标结果的同时，向中标人发出中标通知书。</w:t>
            </w:r>
          </w:p>
        </w:tc>
      </w:tr>
      <w:tr w14:paraId="25668F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07" w:hRule="atLeast"/>
          <w:jc w:val="center"/>
        </w:trPr>
        <w:tc>
          <w:tcPr>
            <w:tcW w:w="670" w:type="dxa"/>
            <w:tcBorders>
              <w:tl2br w:val="nil"/>
              <w:tr2bl w:val="nil"/>
            </w:tcBorders>
            <w:vAlign w:val="center"/>
          </w:tcPr>
          <w:p w14:paraId="1EC72F08">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12</w:t>
            </w:r>
          </w:p>
        </w:tc>
        <w:tc>
          <w:tcPr>
            <w:tcW w:w="1586" w:type="dxa"/>
            <w:tcBorders>
              <w:tl2br w:val="nil"/>
              <w:tr2bl w:val="nil"/>
            </w:tcBorders>
            <w:vAlign w:val="center"/>
          </w:tcPr>
          <w:p w14:paraId="1F2CE4A0">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采购公告、更正公告、中标公示发布网址</w:t>
            </w:r>
          </w:p>
        </w:tc>
        <w:tc>
          <w:tcPr>
            <w:tcW w:w="6823" w:type="dxa"/>
            <w:tcBorders>
              <w:tl2br w:val="nil"/>
              <w:tr2bl w:val="nil"/>
            </w:tcBorders>
            <w:vAlign w:val="center"/>
          </w:tcPr>
          <w:p w14:paraId="72098F70">
            <w:pPr>
              <w:widowControl/>
              <w:autoSpaceDE w:val="0"/>
              <w:autoSpaceDN w:val="0"/>
              <w:snapToGrid w:val="0"/>
              <w:spacing w:line="360" w:lineRule="exact"/>
              <w:ind w:firstLine="210" w:firstLineChars="100"/>
              <w:jc w:val="left"/>
              <w:textAlignment w:val="baseline"/>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浙江政府采购网https://zfcg.czt.zj.gov.cn/</w:t>
            </w:r>
          </w:p>
        </w:tc>
      </w:tr>
      <w:tr w14:paraId="2805ADE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69" w:hRule="atLeast"/>
          <w:jc w:val="center"/>
        </w:trPr>
        <w:tc>
          <w:tcPr>
            <w:tcW w:w="670" w:type="dxa"/>
            <w:tcBorders>
              <w:tl2br w:val="nil"/>
              <w:tr2bl w:val="nil"/>
            </w:tcBorders>
            <w:vAlign w:val="center"/>
          </w:tcPr>
          <w:p w14:paraId="58B21A41">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13</w:t>
            </w:r>
          </w:p>
        </w:tc>
        <w:tc>
          <w:tcPr>
            <w:tcW w:w="1586" w:type="dxa"/>
            <w:tcBorders>
              <w:tl2br w:val="nil"/>
              <w:tr2bl w:val="nil"/>
            </w:tcBorders>
            <w:vAlign w:val="center"/>
          </w:tcPr>
          <w:p w14:paraId="42A48920">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履约保证金</w:t>
            </w:r>
          </w:p>
        </w:tc>
        <w:tc>
          <w:tcPr>
            <w:tcW w:w="6823" w:type="dxa"/>
            <w:tcBorders>
              <w:tl2br w:val="nil"/>
              <w:tr2bl w:val="nil"/>
            </w:tcBorders>
            <w:vAlign w:val="center"/>
          </w:tcPr>
          <w:p w14:paraId="49646828">
            <w:pPr>
              <w:autoSpaceDE w:val="0"/>
              <w:autoSpaceDN w:val="0"/>
              <w:snapToGrid w:val="0"/>
              <w:spacing w:line="360" w:lineRule="exact"/>
              <w:ind w:firstLine="210" w:firstLineChars="100"/>
              <w:jc w:val="left"/>
              <w:textAlignment w:val="bottom"/>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履约担保金额：签约合同价的1%</w:t>
            </w:r>
          </w:p>
          <w:p w14:paraId="4BED8075">
            <w:pPr>
              <w:autoSpaceDE w:val="0"/>
              <w:autoSpaceDN w:val="0"/>
              <w:snapToGrid w:val="0"/>
              <w:spacing w:line="360" w:lineRule="exact"/>
              <w:ind w:firstLine="210" w:firstLineChars="100"/>
              <w:jc w:val="left"/>
              <w:textAlignment w:val="bottom"/>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履约担保形式：银行保函或者保险公司保函或融资担保公司保函；</w:t>
            </w:r>
          </w:p>
          <w:p w14:paraId="2BDF4781">
            <w:pPr>
              <w:autoSpaceDE w:val="0"/>
              <w:autoSpaceDN w:val="0"/>
              <w:snapToGrid w:val="0"/>
              <w:spacing w:line="360" w:lineRule="exact"/>
              <w:ind w:firstLine="210" w:firstLineChars="100"/>
              <w:jc w:val="left"/>
              <w:textAlignment w:val="bottom"/>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若采用银行保函，国有或股份制商业银行或城市商业银行县（区、市）级及以上银行。</w:t>
            </w:r>
          </w:p>
          <w:p w14:paraId="39A97B93">
            <w:pPr>
              <w:autoSpaceDE w:val="0"/>
              <w:autoSpaceDN w:val="0"/>
              <w:snapToGrid w:val="0"/>
              <w:spacing w:line="360" w:lineRule="exact"/>
              <w:ind w:firstLine="210" w:firstLineChars="100"/>
              <w:jc w:val="left"/>
              <w:textAlignment w:val="bottom"/>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若采用保险公司保函，应具有相应的偿付能力，且格式及内容符合发包人的要求。</w:t>
            </w:r>
          </w:p>
          <w:p w14:paraId="6842F7B6">
            <w:pPr>
              <w:autoSpaceDE w:val="0"/>
              <w:autoSpaceDN w:val="0"/>
              <w:snapToGrid w:val="0"/>
              <w:spacing w:line="360" w:lineRule="exact"/>
              <w:ind w:firstLine="210" w:firstLineChars="100"/>
              <w:jc w:val="left"/>
              <w:textAlignment w:val="bottom"/>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若采用融资担保公司保函，应具有相应的偿付能力，且格式及内容符合发包人的要求。</w:t>
            </w:r>
          </w:p>
          <w:p w14:paraId="70BD7316">
            <w:pPr>
              <w:autoSpaceDE w:val="0"/>
              <w:autoSpaceDN w:val="0"/>
              <w:snapToGrid w:val="0"/>
              <w:spacing w:line="360" w:lineRule="exact"/>
              <w:ind w:firstLine="211" w:firstLineChars="100"/>
              <w:jc w:val="left"/>
              <w:textAlignment w:val="bottom"/>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在签订合同前，中标供应商应按上述规定的形式、金额或事先经过采购人书面认可的履约保证金格式向采购人提交履约保证金。</w:t>
            </w:r>
          </w:p>
        </w:tc>
      </w:tr>
      <w:tr w14:paraId="2AF7DD5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515" w:hRule="atLeast"/>
          <w:jc w:val="center"/>
        </w:trPr>
        <w:tc>
          <w:tcPr>
            <w:tcW w:w="670" w:type="dxa"/>
            <w:tcBorders>
              <w:tl2br w:val="nil"/>
              <w:tr2bl w:val="nil"/>
            </w:tcBorders>
            <w:vAlign w:val="center"/>
          </w:tcPr>
          <w:p w14:paraId="02930C51">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14</w:t>
            </w:r>
          </w:p>
        </w:tc>
        <w:tc>
          <w:tcPr>
            <w:tcW w:w="1586" w:type="dxa"/>
            <w:tcBorders>
              <w:tl2br w:val="nil"/>
              <w:tr2bl w:val="nil"/>
            </w:tcBorders>
            <w:vAlign w:val="center"/>
          </w:tcPr>
          <w:p w14:paraId="79EC6A22">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签订合同</w:t>
            </w:r>
          </w:p>
        </w:tc>
        <w:tc>
          <w:tcPr>
            <w:tcW w:w="6823" w:type="dxa"/>
            <w:tcBorders>
              <w:tl2br w:val="nil"/>
              <w:tr2bl w:val="nil"/>
            </w:tcBorders>
            <w:vAlign w:val="center"/>
          </w:tcPr>
          <w:p w14:paraId="628A2332">
            <w:pPr>
              <w:autoSpaceDE w:val="0"/>
              <w:autoSpaceDN w:val="0"/>
              <w:snapToGrid w:val="0"/>
              <w:spacing w:line="360" w:lineRule="exact"/>
              <w:ind w:firstLine="210" w:firstLineChars="100"/>
              <w:jc w:val="left"/>
              <w:textAlignment w:val="bottom"/>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中标通知书发出后30天内签订合同</w:t>
            </w:r>
          </w:p>
        </w:tc>
      </w:tr>
      <w:tr w14:paraId="69E995B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730" w:hRule="atLeast"/>
          <w:jc w:val="center"/>
        </w:trPr>
        <w:tc>
          <w:tcPr>
            <w:tcW w:w="670" w:type="dxa"/>
            <w:tcBorders>
              <w:tl2br w:val="nil"/>
              <w:tr2bl w:val="nil"/>
            </w:tcBorders>
            <w:vAlign w:val="center"/>
          </w:tcPr>
          <w:p w14:paraId="090F1A35">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15</w:t>
            </w:r>
          </w:p>
        </w:tc>
        <w:tc>
          <w:tcPr>
            <w:tcW w:w="1586" w:type="dxa"/>
            <w:tcBorders>
              <w:tl2br w:val="nil"/>
              <w:tr2bl w:val="nil"/>
            </w:tcBorders>
            <w:vAlign w:val="center"/>
          </w:tcPr>
          <w:p w14:paraId="7F1BF236">
            <w:pPr>
              <w:snapToGrid w:val="0"/>
              <w:spacing w:line="360" w:lineRule="exact"/>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rPr>
              <w:t>预算</w:t>
            </w:r>
            <w:r>
              <w:rPr>
                <w:rFonts w:hint="eastAsia" w:ascii="宋体" w:hAnsi="宋体" w:eastAsia="宋体" w:cs="宋体"/>
                <w:szCs w:val="21"/>
                <w:highlight w:val="none"/>
                <w:lang w:val="en-US" w:eastAsia="zh-CN"/>
              </w:rPr>
              <w:t>金额</w:t>
            </w:r>
          </w:p>
          <w:p w14:paraId="2125249B">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szCs w:val="21"/>
                <w:highlight w:val="none"/>
                <w:lang w:val="en-US" w:eastAsia="zh-CN"/>
              </w:rPr>
              <w:t>（最高限价）</w:t>
            </w:r>
          </w:p>
        </w:tc>
        <w:tc>
          <w:tcPr>
            <w:tcW w:w="6823" w:type="dxa"/>
            <w:tcBorders>
              <w:tl2br w:val="nil"/>
              <w:tr2bl w:val="nil"/>
            </w:tcBorders>
            <w:vAlign w:val="center"/>
          </w:tcPr>
          <w:p w14:paraId="60D3EEBD">
            <w:pPr>
              <w:autoSpaceDE w:val="0"/>
              <w:autoSpaceDN w:val="0"/>
              <w:snapToGrid w:val="0"/>
              <w:spacing w:line="360" w:lineRule="exact"/>
              <w:ind w:firstLine="211" w:firstLineChars="100"/>
              <w:jc w:val="left"/>
              <w:textAlignment w:val="bottom"/>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人民币：</w:t>
            </w:r>
            <w:r>
              <w:rPr>
                <w:rFonts w:hint="eastAsia" w:ascii="宋体" w:hAnsi="宋体" w:eastAsia="宋体" w:cs="宋体"/>
                <w:b/>
                <w:bCs/>
                <w:color w:val="000000" w:themeColor="text1"/>
                <w:szCs w:val="21"/>
                <w:highlight w:val="none"/>
                <w:lang w:val="en-US" w:eastAsia="zh-CN"/>
                <w14:textFill>
                  <w14:solidFill>
                    <w14:schemeClr w14:val="tx1"/>
                  </w14:solidFill>
                </w14:textFill>
              </w:rPr>
              <w:t>9567900</w:t>
            </w:r>
            <w:r>
              <w:rPr>
                <w:rFonts w:hint="eastAsia" w:ascii="宋体" w:hAnsi="宋体" w:eastAsia="宋体" w:cs="宋体"/>
                <w:b/>
                <w:bCs/>
                <w:color w:val="000000" w:themeColor="text1"/>
                <w:szCs w:val="21"/>
                <w:highlight w:val="none"/>
                <w14:textFill>
                  <w14:solidFill>
                    <w14:schemeClr w14:val="tx1"/>
                  </w14:solidFill>
                </w14:textFill>
              </w:rPr>
              <w:t>元（</w:t>
            </w:r>
            <w:r>
              <w:rPr>
                <w:rFonts w:hint="eastAsia" w:ascii="宋体" w:hAnsi="宋体" w:eastAsia="宋体" w:cs="宋体"/>
                <w:b/>
                <w:bCs/>
                <w:color w:val="000000" w:themeColor="text1"/>
                <w:szCs w:val="21"/>
                <w:highlight w:val="none"/>
                <w:lang w:val="en-US" w:eastAsia="zh-CN"/>
                <w14:textFill>
                  <w14:solidFill>
                    <w14:schemeClr w14:val="tx1"/>
                  </w14:solidFill>
                </w14:textFill>
              </w:rPr>
              <w:t>玖佰伍拾陆万柒仟玖佰元整</w:t>
            </w:r>
            <w:r>
              <w:rPr>
                <w:rFonts w:hint="eastAsia" w:ascii="宋体" w:hAnsi="宋体" w:eastAsia="宋体" w:cs="宋体"/>
                <w:b/>
                <w:bCs/>
                <w:color w:val="000000" w:themeColor="text1"/>
                <w:szCs w:val="21"/>
                <w:highlight w:val="none"/>
                <w14:textFill>
                  <w14:solidFill>
                    <w14:schemeClr w14:val="tx1"/>
                  </w14:solidFill>
                </w14:textFill>
              </w:rPr>
              <w:t>）</w:t>
            </w:r>
          </w:p>
          <w:p w14:paraId="6053838E">
            <w:pPr>
              <w:autoSpaceDE w:val="0"/>
              <w:autoSpaceDN w:val="0"/>
              <w:snapToGrid w:val="0"/>
              <w:spacing w:line="360" w:lineRule="exact"/>
              <w:ind w:firstLine="210" w:firstLineChars="100"/>
              <w:jc w:val="left"/>
              <w:textAlignment w:val="bottom"/>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（超预算</w:t>
            </w:r>
            <w:r>
              <w:rPr>
                <w:rFonts w:hint="eastAsia" w:ascii="宋体" w:hAnsi="宋体" w:eastAsia="宋体" w:cs="宋体"/>
                <w:color w:val="000000" w:themeColor="text1"/>
                <w:szCs w:val="21"/>
                <w:highlight w:val="none"/>
                <w:lang w:val="en-US" w:eastAsia="zh-CN"/>
                <w14:textFill>
                  <w14:solidFill>
                    <w14:schemeClr w14:val="tx1"/>
                  </w14:solidFill>
                </w14:textFill>
              </w:rPr>
              <w:t>金额</w:t>
            </w:r>
            <w:r>
              <w:rPr>
                <w:rFonts w:hint="eastAsia" w:ascii="宋体" w:hAnsi="宋体" w:eastAsia="宋体" w:cs="宋体"/>
                <w:color w:val="000000" w:themeColor="text1"/>
                <w:szCs w:val="21"/>
                <w:highlight w:val="none"/>
                <w14:textFill>
                  <w14:solidFill>
                    <w14:schemeClr w14:val="tx1"/>
                  </w14:solidFill>
                </w14:textFill>
              </w:rPr>
              <w:t>的</w:t>
            </w:r>
            <w:r>
              <w:rPr>
                <w:rFonts w:hint="eastAsia" w:ascii="宋体" w:hAnsi="宋体" w:eastAsia="宋体" w:cs="宋体"/>
                <w:color w:val="000000" w:themeColor="text1"/>
                <w:szCs w:val="21"/>
                <w:highlight w:val="none"/>
                <w:lang w:eastAsia="zh-CN"/>
                <w14:textFill>
                  <w14:solidFill>
                    <w14:schemeClr w14:val="tx1"/>
                  </w14:solidFill>
                </w14:textFill>
              </w:rPr>
              <w:t>响应文件</w:t>
            </w:r>
            <w:r>
              <w:rPr>
                <w:rFonts w:hint="eastAsia" w:ascii="宋体" w:hAnsi="宋体" w:eastAsia="宋体" w:cs="宋体"/>
                <w:color w:val="000000" w:themeColor="text1"/>
                <w:szCs w:val="21"/>
                <w:highlight w:val="none"/>
                <w14:textFill>
                  <w14:solidFill>
                    <w14:schemeClr w14:val="tx1"/>
                  </w14:solidFill>
                </w14:textFill>
              </w:rPr>
              <w:t>无效）</w:t>
            </w:r>
          </w:p>
        </w:tc>
      </w:tr>
      <w:tr w14:paraId="707943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085" w:hRule="atLeast"/>
          <w:jc w:val="center"/>
        </w:trPr>
        <w:tc>
          <w:tcPr>
            <w:tcW w:w="670" w:type="dxa"/>
            <w:tcBorders>
              <w:tl2br w:val="nil"/>
              <w:tr2bl w:val="nil"/>
            </w:tcBorders>
            <w:vAlign w:val="center"/>
          </w:tcPr>
          <w:p w14:paraId="6B073653">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16</w:t>
            </w:r>
          </w:p>
        </w:tc>
        <w:tc>
          <w:tcPr>
            <w:tcW w:w="1586" w:type="dxa"/>
            <w:tcBorders>
              <w:tl2br w:val="nil"/>
              <w:tr2bl w:val="nil"/>
            </w:tcBorders>
            <w:vAlign w:val="center"/>
          </w:tcPr>
          <w:p w14:paraId="214FC8EE">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投标报价及费用</w:t>
            </w:r>
          </w:p>
        </w:tc>
        <w:tc>
          <w:tcPr>
            <w:tcW w:w="6823" w:type="dxa"/>
            <w:tcBorders>
              <w:tl2br w:val="nil"/>
              <w:tr2bl w:val="nil"/>
            </w:tcBorders>
            <w:vAlign w:val="center"/>
          </w:tcPr>
          <w:p w14:paraId="2C6FC799">
            <w:pPr>
              <w:tabs>
                <w:tab w:val="left" w:pos="390"/>
                <w:tab w:val="center" w:pos="4404"/>
              </w:tabs>
              <w:spacing w:line="360" w:lineRule="exact"/>
              <w:ind w:firstLine="210" w:firstLineChars="1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1、本项目投标应以人民币报价；</w:t>
            </w:r>
          </w:p>
          <w:p w14:paraId="698D723A">
            <w:pPr>
              <w:tabs>
                <w:tab w:val="left" w:pos="390"/>
                <w:tab w:val="center" w:pos="4404"/>
              </w:tabs>
              <w:spacing w:line="360" w:lineRule="exact"/>
              <w:ind w:firstLine="210" w:firstLineChars="1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2、不论投标结果如何，供应商均应自行承担所有与投标有关的全部费用。</w:t>
            </w:r>
          </w:p>
        </w:tc>
      </w:tr>
      <w:tr w14:paraId="036578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047" w:hRule="atLeast"/>
          <w:jc w:val="center"/>
        </w:trPr>
        <w:tc>
          <w:tcPr>
            <w:tcW w:w="670" w:type="dxa"/>
            <w:tcBorders>
              <w:tl2br w:val="nil"/>
              <w:tr2bl w:val="nil"/>
            </w:tcBorders>
            <w:vAlign w:val="center"/>
          </w:tcPr>
          <w:p w14:paraId="11A9B4A8">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17</w:t>
            </w:r>
          </w:p>
        </w:tc>
        <w:tc>
          <w:tcPr>
            <w:tcW w:w="1586" w:type="dxa"/>
            <w:tcBorders>
              <w:tl2br w:val="nil"/>
              <w:tr2bl w:val="nil"/>
            </w:tcBorders>
            <w:vAlign w:val="center"/>
          </w:tcPr>
          <w:p w14:paraId="268CFBAA">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代理服务费</w:t>
            </w:r>
          </w:p>
        </w:tc>
        <w:tc>
          <w:tcPr>
            <w:tcW w:w="6823" w:type="dxa"/>
            <w:tcBorders>
              <w:tl2br w:val="nil"/>
              <w:tr2bl w:val="nil"/>
            </w:tcBorders>
            <w:vAlign w:val="center"/>
          </w:tcPr>
          <w:p w14:paraId="6598369E">
            <w:pPr>
              <w:pStyle w:val="48"/>
              <w:adjustRightInd/>
              <w:spacing w:line="360" w:lineRule="exact"/>
              <w:ind w:firstLine="210" w:firstLineChars="100"/>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本项目</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采购</w:t>
            </w:r>
            <w:r>
              <w:rPr>
                <w:rFonts w:hint="eastAsia" w:ascii="宋体" w:hAnsi="宋体" w:eastAsia="宋体" w:cs="宋体"/>
                <w:color w:val="000000" w:themeColor="text1"/>
                <w:kern w:val="2"/>
                <w:sz w:val="21"/>
                <w:szCs w:val="21"/>
                <w:highlight w:val="none"/>
                <w14:textFill>
                  <w14:solidFill>
                    <w14:schemeClr w14:val="tx1"/>
                  </w14:solidFill>
                </w14:textFill>
              </w:rPr>
              <w:t>代理费用由中标人支付。中标人在收到中标通知书</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前</w:t>
            </w:r>
            <w:r>
              <w:rPr>
                <w:rFonts w:hint="eastAsia" w:ascii="宋体" w:hAnsi="宋体" w:eastAsia="宋体" w:cs="宋体"/>
                <w:color w:val="000000" w:themeColor="text1"/>
                <w:kern w:val="2"/>
                <w:sz w:val="21"/>
                <w:szCs w:val="21"/>
                <w:highlight w:val="none"/>
                <w14:textFill>
                  <w14:solidFill>
                    <w14:schemeClr w14:val="tx1"/>
                  </w14:solidFill>
                </w14:textFill>
              </w:rPr>
              <w:t>，需向采购代理机构支付￥</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40000.00（肆万元整）</w:t>
            </w:r>
            <w:r>
              <w:rPr>
                <w:rFonts w:hint="eastAsia" w:ascii="宋体" w:hAnsi="宋体" w:eastAsia="宋体" w:cs="宋体"/>
                <w:color w:val="000000" w:themeColor="text1"/>
                <w:kern w:val="2"/>
                <w:sz w:val="21"/>
                <w:szCs w:val="21"/>
                <w:highlight w:val="none"/>
                <w14:textFill>
                  <w14:solidFill>
                    <w14:schemeClr w14:val="tx1"/>
                  </w14:solidFill>
                </w14:textFill>
              </w:rPr>
              <w:t>人民币的</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采购</w:t>
            </w:r>
            <w:r>
              <w:rPr>
                <w:rFonts w:hint="eastAsia" w:ascii="宋体" w:hAnsi="宋体" w:eastAsia="宋体" w:cs="宋体"/>
                <w:color w:val="000000" w:themeColor="text1"/>
                <w:kern w:val="2"/>
                <w:sz w:val="21"/>
                <w:szCs w:val="21"/>
                <w:highlight w:val="none"/>
                <w14:textFill>
                  <w14:solidFill>
                    <w14:schemeClr w14:val="tx1"/>
                  </w14:solidFill>
                </w14:textFill>
              </w:rPr>
              <w:t>代理服务费。</w:t>
            </w:r>
          </w:p>
          <w:p w14:paraId="72474A8A">
            <w:pPr>
              <w:pStyle w:val="48"/>
              <w:adjustRightInd/>
              <w:spacing w:line="360" w:lineRule="exact"/>
              <w:ind w:firstLine="210" w:firstLineChars="1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账户信息如下：</w:t>
            </w:r>
          </w:p>
          <w:p w14:paraId="2C79071D">
            <w:pPr>
              <w:pStyle w:val="48"/>
              <w:adjustRightInd/>
              <w:spacing w:line="360" w:lineRule="exact"/>
              <w:ind w:firstLine="210" w:firstLineChars="1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户  名：浙江远大工程咨询有限公司</w:t>
            </w:r>
          </w:p>
          <w:p w14:paraId="060932F3">
            <w:pPr>
              <w:pStyle w:val="48"/>
              <w:adjustRightInd/>
              <w:spacing w:line="360" w:lineRule="exact"/>
              <w:ind w:firstLine="210" w:firstLineChars="1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开户行：中国工商银行杭州武林支行</w:t>
            </w:r>
          </w:p>
          <w:p w14:paraId="0DF6C47A">
            <w:pPr>
              <w:autoSpaceDE w:val="0"/>
              <w:autoSpaceDN w:val="0"/>
              <w:snapToGrid w:val="0"/>
              <w:spacing w:line="360" w:lineRule="exact"/>
              <w:ind w:firstLine="210" w:firstLineChars="100"/>
              <w:jc w:val="left"/>
              <w:textAlignment w:val="bottom"/>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账  号：1202021219900376463</w:t>
            </w:r>
          </w:p>
        </w:tc>
      </w:tr>
      <w:tr w14:paraId="1B739B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440" w:hRule="atLeast"/>
          <w:jc w:val="center"/>
        </w:trPr>
        <w:tc>
          <w:tcPr>
            <w:tcW w:w="670" w:type="dxa"/>
            <w:tcBorders>
              <w:tl2br w:val="nil"/>
              <w:tr2bl w:val="nil"/>
            </w:tcBorders>
            <w:vAlign w:val="center"/>
          </w:tcPr>
          <w:p w14:paraId="52C2A1E6">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18</w:t>
            </w:r>
          </w:p>
        </w:tc>
        <w:tc>
          <w:tcPr>
            <w:tcW w:w="1586" w:type="dxa"/>
            <w:tcBorders>
              <w:tl2br w:val="nil"/>
              <w:tr2bl w:val="nil"/>
            </w:tcBorders>
            <w:vAlign w:val="center"/>
          </w:tcPr>
          <w:p w14:paraId="18834D85">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网上注册</w:t>
            </w:r>
          </w:p>
        </w:tc>
        <w:tc>
          <w:tcPr>
            <w:tcW w:w="6823" w:type="dxa"/>
            <w:tcBorders>
              <w:tl2br w:val="nil"/>
              <w:tr2bl w:val="nil"/>
            </w:tcBorders>
            <w:vAlign w:val="center"/>
          </w:tcPr>
          <w:p w14:paraId="61821057">
            <w:pPr>
              <w:autoSpaceDE w:val="0"/>
              <w:autoSpaceDN w:val="0"/>
              <w:spacing w:line="360" w:lineRule="exact"/>
              <w:ind w:firstLine="210" w:firstLineChars="100"/>
              <w:jc w:val="left"/>
              <w:textAlignment w:val="bottom"/>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根据《浙江省政府采购供应商注册及诚信管理暂行办法》的规定，政府采购中标或成交供应商必须在“浙江政府采购网(</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"http://zfcg.czt.zj.gov.cn/" </w:instrText>
            </w:r>
            <w:r>
              <w:rPr>
                <w:rFonts w:hint="eastAsia" w:ascii="宋体" w:hAnsi="宋体" w:eastAsia="宋体" w:cs="宋体"/>
                <w:highlight w:val="none"/>
              </w:rPr>
              <w:fldChar w:fldCharType="separate"/>
            </w:r>
            <w:r>
              <w:rPr>
                <w:rStyle w:val="38"/>
                <w:rFonts w:hint="eastAsia" w:ascii="宋体" w:hAnsi="宋体" w:eastAsia="宋体" w:cs="宋体"/>
                <w:color w:val="000000" w:themeColor="text1"/>
                <w:szCs w:val="21"/>
                <w:highlight w:val="none"/>
                <w14:textFill>
                  <w14:solidFill>
                    <w14:schemeClr w14:val="tx1"/>
                  </w14:solidFill>
                </w14:textFill>
              </w:rPr>
              <w:t>http://zfcg.czt.zj.gov.cn/</w:t>
            </w:r>
            <w:r>
              <w:rPr>
                <w:rStyle w:val="38"/>
                <w:rFonts w:hint="eastAsia" w:ascii="宋体" w:hAnsi="宋体" w:eastAsia="宋体" w:cs="宋体"/>
                <w:color w:val="000000" w:themeColor="text1"/>
                <w:szCs w:val="21"/>
                <w:highlight w:val="none"/>
                <w14:textFill>
                  <w14:solidFill>
                    <w14:schemeClr w14:val="tx1"/>
                  </w14:solidFill>
                </w14:textFill>
              </w:rPr>
              <w:fldChar w:fldCharType="end"/>
            </w:r>
            <w:r>
              <w:rPr>
                <w:rFonts w:hint="eastAsia" w:ascii="宋体" w:hAnsi="宋体" w:eastAsia="宋体" w:cs="宋体"/>
                <w:color w:val="000000" w:themeColor="text1"/>
                <w:szCs w:val="21"/>
                <w:highlight w:val="none"/>
                <w14:textFill>
                  <w14:solidFill>
                    <w14:schemeClr w14:val="tx1"/>
                  </w14:solidFill>
                </w14:textFill>
              </w:rPr>
              <w:t>)”上进行正式供应商注册登记。中标供应商在签订合同前，如不注册，视为放弃。</w:t>
            </w:r>
          </w:p>
        </w:tc>
      </w:tr>
      <w:tr w14:paraId="3E38FB2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149" w:hRule="atLeast"/>
          <w:jc w:val="center"/>
        </w:trPr>
        <w:tc>
          <w:tcPr>
            <w:tcW w:w="670" w:type="dxa"/>
            <w:tcBorders>
              <w:tl2br w:val="nil"/>
              <w:tr2bl w:val="nil"/>
            </w:tcBorders>
            <w:vAlign w:val="center"/>
          </w:tcPr>
          <w:p w14:paraId="4B5A39C2">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19</w:t>
            </w:r>
          </w:p>
        </w:tc>
        <w:tc>
          <w:tcPr>
            <w:tcW w:w="1586" w:type="dxa"/>
            <w:tcBorders>
              <w:tl2br w:val="nil"/>
              <w:tr2bl w:val="nil"/>
            </w:tcBorders>
            <w:vAlign w:val="center"/>
          </w:tcPr>
          <w:p w14:paraId="78AFDD2E">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信用记录</w:t>
            </w:r>
          </w:p>
        </w:tc>
        <w:tc>
          <w:tcPr>
            <w:tcW w:w="6823" w:type="dxa"/>
            <w:tcBorders>
              <w:tl2br w:val="nil"/>
              <w:tr2bl w:val="nil"/>
            </w:tcBorders>
            <w:vAlign w:val="center"/>
          </w:tcPr>
          <w:p w14:paraId="6D95A9E4">
            <w:pPr>
              <w:autoSpaceDE w:val="0"/>
              <w:autoSpaceDN w:val="0"/>
              <w:snapToGrid w:val="0"/>
              <w:spacing w:line="360" w:lineRule="exact"/>
              <w:ind w:firstLine="210" w:firstLineChars="100"/>
              <w:jc w:val="left"/>
              <w:textAlignment w:val="bottom"/>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根据财库[2016]125号文件，通过“信用中国”网站（www.creditchina.gov.cn）、“信用中国（浙江）”网站（http://credit.zj.gov.cn）、中国政府采购网（www.ccgp.gov.cn），以开标当日网页查询记录为准。对列入失信被执行人、重大税收违法案件当事人名单、失信黑名单、政府采购严重违法失信行为记录名单的供应商，其投标将作无效标处理。</w:t>
            </w:r>
          </w:p>
        </w:tc>
      </w:tr>
      <w:tr w14:paraId="04FD999C">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9184" w:hRule="atLeast"/>
          <w:jc w:val="center"/>
        </w:trPr>
        <w:tc>
          <w:tcPr>
            <w:tcW w:w="670" w:type="dxa"/>
            <w:tcBorders>
              <w:tl2br w:val="nil"/>
              <w:tr2bl w:val="nil"/>
            </w:tcBorders>
            <w:vAlign w:val="center"/>
          </w:tcPr>
          <w:p w14:paraId="42ABEE58">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20</w:t>
            </w:r>
          </w:p>
        </w:tc>
        <w:tc>
          <w:tcPr>
            <w:tcW w:w="1586" w:type="dxa"/>
            <w:tcBorders>
              <w:tl2br w:val="nil"/>
              <w:tr2bl w:val="nil"/>
            </w:tcBorders>
            <w:vAlign w:val="center"/>
          </w:tcPr>
          <w:p w14:paraId="120EA4AB">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其他</w:t>
            </w:r>
          </w:p>
        </w:tc>
        <w:tc>
          <w:tcPr>
            <w:tcW w:w="6823" w:type="dxa"/>
            <w:tcBorders>
              <w:tl2br w:val="nil"/>
              <w:tr2bl w:val="nil"/>
            </w:tcBorders>
            <w:vAlign w:val="center"/>
          </w:tcPr>
          <w:p w14:paraId="78FF4CA0">
            <w:pPr>
              <w:numPr>
                <w:ilvl w:val="0"/>
                <w:numId w:val="0"/>
              </w:numPr>
              <w:autoSpaceDE w:val="0"/>
              <w:autoSpaceDN w:val="0"/>
              <w:snapToGrid w:val="0"/>
              <w:spacing w:line="360" w:lineRule="exact"/>
              <w:ind w:firstLine="202" w:firstLineChars="100"/>
              <w:jc w:val="left"/>
              <w:textAlignment w:val="bottom"/>
              <w:rPr>
                <w:rFonts w:hint="eastAsia" w:ascii="宋体" w:hAnsi="宋体" w:eastAsia="宋体" w:cs="宋体"/>
                <w:bCs/>
                <w:color w:val="000000" w:themeColor="text1"/>
                <w:spacing w:val="-4"/>
                <w:szCs w:val="21"/>
                <w:highlight w:val="none"/>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一、</w:t>
            </w:r>
            <w:r>
              <w:rPr>
                <w:rFonts w:hint="eastAsia" w:ascii="宋体" w:hAnsi="宋体" w:eastAsia="宋体" w:cs="宋体"/>
                <w:bCs/>
                <w:color w:val="000000" w:themeColor="text1"/>
                <w:spacing w:val="-4"/>
                <w:szCs w:val="21"/>
                <w:highlight w:val="none"/>
                <w14:textFill>
                  <w14:solidFill>
                    <w14:schemeClr w14:val="tx1"/>
                  </w14:solidFill>
                </w14:textFill>
              </w:rPr>
              <w:t>本采购文件未明确之处，按《中华人民共和国政府采购法》、《中华人民共和国政府采购法实施条例》和《政府采购货物和服务招标投标管理办法》、《浙江省政府采购活动现场组织管理办法》等规定办理。</w:t>
            </w:r>
          </w:p>
          <w:p w14:paraId="426CDDD4">
            <w:pPr>
              <w:numPr>
                <w:ilvl w:val="0"/>
                <w:numId w:val="0"/>
              </w:numPr>
              <w:autoSpaceDE w:val="0"/>
              <w:autoSpaceDN w:val="0"/>
              <w:snapToGrid w:val="0"/>
              <w:spacing w:line="360" w:lineRule="exact"/>
              <w:ind w:firstLine="202" w:firstLineChars="100"/>
              <w:jc w:val="left"/>
              <w:textAlignment w:val="bottom"/>
              <w:rPr>
                <w:rFonts w:hint="eastAsia" w:ascii="宋体" w:hAnsi="宋体" w:eastAsia="宋体" w:cs="宋体"/>
                <w:bCs/>
                <w:color w:val="000000" w:themeColor="text1"/>
                <w:spacing w:val="-4"/>
                <w:szCs w:val="21"/>
                <w:highlight w:val="none"/>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二、否决投标的情形</w:t>
            </w:r>
          </w:p>
          <w:p w14:paraId="0040AE5C">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凡评标委员会拟作出否决投标决定的，应先向</w:t>
            </w:r>
            <w:r>
              <w:rPr>
                <w:rFonts w:hint="eastAsia" w:ascii="宋体" w:hAnsi="宋体" w:eastAsia="宋体" w:cs="宋体"/>
                <w:szCs w:val="21"/>
                <w:highlight w:val="none"/>
                <w:lang w:val="en-US" w:eastAsia="zh-CN"/>
              </w:rPr>
              <w:t>供应商</w:t>
            </w:r>
            <w:r>
              <w:rPr>
                <w:rFonts w:hint="eastAsia" w:ascii="宋体" w:hAnsi="宋体" w:eastAsia="宋体" w:cs="宋体"/>
                <w:szCs w:val="21"/>
                <w:highlight w:val="none"/>
              </w:rPr>
              <w:t>进行询问核实。未进行询问核实程序的，不得做出否决投标决定，</w:t>
            </w:r>
            <w:r>
              <w:rPr>
                <w:rFonts w:hint="eastAsia" w:ascii="宋体" w:hAnsi="宋体" w:eastAsia="宋体" w:cs="宋体"/>
                <w:szCs w:val="21"/>
                <w:highlight w:val="none"/>
                <w:lang w:val="en-US" w:eastAsia="zh-CN"/>
              </w:rPr>
              <w:t>供应商</w:t>
            </w:r>
            <w:r>
              <w:rPr>
                <w:rFonts w:hint="eastAsia" w:ascii="宋体" w:hAnsi="宋体" w:eastAsia="宋体" w:cs="宋体"/>
                <w:szCs w:val="21"/>
                <w:highlight w:val="none"/>
              </w:rPr>
              <w:t>放弃接受询问核实机会（即</w:t>
            </w:r>
            <w:r>
              <w:rPr>
                <w:rFonts w:hint="eastAsia" w:ascii="宋体" w:hAnsi="宋体" w:eastAsia="宋体" w:cs="宋体"/>
                <w:szCs w:val="21"/>
                <w:highlight w:val="none"/>
                <w:lang w:val="en-US" w:eastAsia="zh-CN"/>
              </w:rPr>
              <w:t>供应商</w:t>
            </w:r>
            <w:r>
              <w:rPr>
                <w:rFonts w:hint="eastAsia" w:ascii="宋体" w:hAnsi="宋体" w:eastAsia="宋体" w:cs="宋体"/>
                <w:szCs w:val="21"/>
                <w:highlight w:val="none"/>
              </w:rPr>
              <w:t>所留联系方式无法联系上、在规定的时限内</w:t>
            </w:r>
            <w:r>
              <w:rPr>
                <w:rFonts w:hint="eastAsia" w:ascii="宋体" w:hAnsi="宋体" w:eastAsia="宋体" w:cs="宋体"/>
                <w:szCs w:val="21"/>
                <w:highlight w:val="none"/>
                <w:lang w:val="en-US" w:eastAsia="zh-CN"/>
              </w:rPr>
              <w:t>供应商</w:t>
            </w:r>
            <w:r>
              <w:rPr>
                <w:rFonts w:hint="eastAsia" w:ascii="宋体" w:hAnsi="宋体" w:eastAsia="宋体" w:cs="宋体"/>
                <w:szCs w:val="21"/>
                <w:highlight w:val="none"/>
              </w:rPr>
              <w:t>不参加询问核实或不予答复的）的除外。</w:t>
            </w:r>
            <w:r>
              <w:rPr>
                <w:rFonts w:hint="eastAsia" w:ascii="宋体" w:hAnsi="宋体" w:eastAsia="宋体" w:cs="宋体"/>
                <w:szCs w:val="21"/>
                <w:highlight w:val="none"/>
                <w:lang w:val="en-US" w:eastAsia="zh-CN"/>
              </w:rPr>
              <w:t>供应商</w:t>
            </w:r>
            <w:r>
              <w:rPr>
                <w:rFonts w:hint="eastAsia" w:ascii="宋体" w:hAnsi="宋体" w:eastAsia="宋体" w:cs="宋体"/>
                <w:szCs w:val="21"/>
                <w:highlight w:val="none"/>
              </w:rPr>
              <w:t>自行承担放弃询问核实机会的后果。</w:t>
            </w:r>
          </w:p>
          <w:p w14:paraId="6EB65956">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2）响应文件不符合以下情形之一的，由评标委员会审核并经过询标程序，其响应文件将被否决：</w:t>
            </w:r>
          </w:p>
          <w:p w14:paraId="1671E76D">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1.</w:t>
            </w:r>
            <w:r>
              <w:rPr>
                <w:rFonts w:hint="eastAsia" w:ascii="宋体" w:hAnsi="宋体" w:eastAsia="宋体" w:cs="宋体"/>
                <w:szCs w:val="21"/>
                <w:highlight w:val="none"/>
                <w:lang w:val="en-US" w:eastAsia="zh-CN"/>
              </w:rPr>
              <w:t>供应商</w:t>
            </w: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的资格条件满足采购公告“六、合格供应商的资格要求”的；</w:t>
            </w:r>
          </w:p>
          <w:p w14:paraId="4D7497F3">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2.响应文件按采购文件的要求加盖供应商单位电子公章，且供应商的法定代表人或其委托代理人按采购文件要求签字（或盖章）；</w:t>
            </w:r>
          </w:p>
          <w:p w14:paraId="595A489D">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3.若供应商法定代表人授权委托代理人签署响应文件的，需提交授权委托书，且授权人在授权书上签字（或盖章），授权书加盖供应商单位电子公章；</w:t>
            </w:r>
          </w:p>
          <w:p w14:paraId="25F8A82F">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4.投标报价（包含算术性修正后投标报价）未超过采购文件设定的最高限价或采购预算金额；</w:t>
            </w:r>
          </w:p>
          <w:p w14:paraId="7C07562F">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5.同一供应商未提交两个以上不同的响应文件或者投标报价（采购文件要求提交备选投标的除外）；</w:t>
            </w:r>
          </w:p>
          <w:p w14:paraId="7A1E3BF5">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6.响应文件按照采购文件规定的格式、内容填写，字迹清晰可辨，且</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组成齐全完整。</w:t>
            </w:r>
          </w:p>
          <w:p w14:paraId="49AE9B31">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7.报价评审时，供应商未拒绝按错误修正条款进行修正；</w:t>
            </w:r>
          </w:p>
          <w:p w14:paraId="5A4C5343">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szCs w:val="21"/>
                <w:highlight w:val="none"/>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8.供应商</w:t>
            </w:r>
            <w:r>
              <w:rPr>
                <w:rFonts w:hint="eastAsia" w:ascii="宋体" w:hAnsi="宋体" w:eastAsia="宋体" w:cs="宋体"/>
                <w:szCs w:val="21"/>
                <w:highlight w:val="none"/>
              </w:rPr>
              <w:t>按</w:t>
            </w:r>
            <w:r>
              <w:rPr>
                <w:rFonts w:hint="eastAsia" w:ascii="宋体" w:hAnsi="宋体" w:eastAsia="宋体" w:cs="宋体"/>
                <w:szCs w:val="21"/>
                <w:highlight w:val="none"/>
                <w:lang w:val="en-US" w:eastAsia="zh-CN"/>
              </w:rPr>
              <w:t>采购</w:t>
            </w:r>
            <w:r>
              <w:rPr>
                <w:rFonts w:hint="eastAsia" w:ascii="宋体" w:hAnsi="宋体" w:eastAsia="宋体" w:cs="宋体"/>
                <w:szCs w:val="21"/>
                <w:highlight w:val="none"/>
              </w:rPr>
              <w:t>文件要求进行报价；</w:t>
            </w:r>
          </w:p>
          <w:p w14:paraId="3E2D6597">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9.供应商是独家投标；</w:t>
            </w:r>
          </w:p>
          <w:p w14:paraId="708347F9">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10.供应商未提交分包计划；</w:t>
            </w:r>
          </w:p>
          <w:p w14:paraId="794D338B">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11.响应文件中对采购人的权利未提出削弱性或限制性要求，或未对供应商的责任和义务提出实质性修改；</w:t>
            </w:r>
          </w:p>
          <w:p w14:paraId="4D0249CB">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12.响应文件中未附有采购人不能接受的条件；</w:t>
            </w:r>
          </w:p>
          <w:p w14:paraId="0C5F2D3A">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13.供应商不存在串通投标、弄虚作假、行贿等违法行为；</w:t>
            </w:r>
          </w:p>
          <w:p w14:paraId="6B41C8BC">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14.不存在法律、法规、规章规定的其它无效投标情况。</w:t>
            </w:r>
          </w:p>
          <w:p w14:paraId="7C6FD3E8">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15.响应文件存在第二章供应商须知及第三章评标办法各条款所列否决投标情形之一的；</w:t>
            </w:r>
          </w:p>
          <w:p w14:paraId="56AC3F07">
            <w:pPr>
              <w:keepNext w:val="0"/>
              <w:keepLines w:val="0"/>
              <w:pageBreakBefore w:val="0"/>
              <w:widowControl w:val="0"/>
              <w:kinsoku/>
              <w:wordWrap/>
              <w:overflowPunct/>
              <w:topLinePunct w:val="0"/>
              <w:autoSpaceDE/>
              <w:autoSpaceDN/>
              <w:bidi w:val="0"/>
              <w:adjustRightInd/>
              <w:snapToGrid/>
              <w:spacing w:line="340" w:lineRule="exact"/>
              <w:ind w:firstLine="420" w:firstLineChars="200"/>
              <w:jc w:val="both"/>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三、评标委员会评标中，发现供应商有下列情形之一的，且经询标澄清供应商无令人信服的理由和可靠证据证明其合理性的，经半数以上成员确认，其响应文件按否决投标处理，供应商参与多个标段投标的，本项目其余标段响应文件也做否决投标处理。评标结束后，评标委员会应将有串通投标嫌疑的响应文件以及相关评标分析材料及时移交本项目监督部门作进一步的调查处理，即使最终无法认定串通投标行为成立，也不影响对其按否决投标处理的结果。</w:t>
            </w:r>
          </w:p>
          <w:p w14:paraId="1C4EE687">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1.不同供应商的响应文件由同一单位或者个人编制；</w:t>
            </w:r>
          </w:p>
          <w:p w14:paraId="1D516C20">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2.不同供应商的响应文件的文件制作机器码（MAC地址）相同；</w:t>
            </w:r>
          </w:p>
          <w:p w14:paraId="1C77CFB8">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3.不同供应商的响应文件载明的项目管理成员为同一人；</w:t>
            </w:r>
          </w:p>
          <w:p w14:paraId="0CFE62CC">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4.不同供应商从同一投标单位或者同一自然人的IP地址下载采购文件、上传响应文件或参加投标的人员为同一标段其他供应商的在职人员。</w:t>
            </w:r>
          </w:p>
          <w:p w14:paraId="528EA178">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5.不同供应商委托同一单位或者个人办理投标事宜；</w:t>
            </w:r>
          </w:p>
          <w:p w14:paraId="5D08B0CC">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6.不同供应商的响应文件异常一致或者投标报价呈规律性差异；</w:t>
            </w:r>
          </w:p>
          <w:p w14:paraId="070A93F4">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7.不同供应商的响应文件相互混装；</w:t>
            </w:r>
          </w:p>
          <w:p w14:paraId="407742FC">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8.不同供应商的投标保证金从同一单位或者个人的账户转出或者通过同一单位或者个人的账户购买电子保函；</w:t>
            </w:r>
          </w:p>
          <w:p w14:paraId="0CBC10DA">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9.供应商之间协商投标报价等响应文件的实质性内容；</w:t>
            </w:r>
          </w:p>
          <w:p w14:paraId="41A39917">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10.供应商之间约定中标人；</w:t>
            </w:r>
          </w:p>
          <w:p w14:paraId="0087D408">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11.供应商之间约定部分供应商放弃投标或者中标；</w:t>
            </w:r>
          </w:p>
          <w:p w14:paraId="37BF12E9">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12.属于同一集团、协会、商会等组织成员的供应商按照该组织要求协同投标；</w:t>
            </w:r>
          </w:p>
          <w:p w14:paraId="48B198FD">
            <w:pPr>
              <w:keepNext w:val="0"/>
              <w:keepLines w:val="0"/>
              <w:pageBreakBefore w:val="0"/>
              <w:widowControl w:val="0"/>
              <w:kinsoku/>
              <w:wordWrap/>
              <w:overflowPunct/>
              <w:topLinePunct w:val="0"/>
              <w:autoSpaceDE/>
              <w:autoSpaceDN/>
              <w:bidi w:val="0"/>
              <w:adjustRightInd/>
              <w:snapToGrid/>
              <w:spacing w:line="340" w:lineRule="exact"/>
              <w:ind w:firstLine="404" w:firstLineChars="200"/>
              <w:jc w:val="both"/>
              <w:textAlignment w:val="auto"/>
              <w:rPr>
                <w:rFonts w:hint="eastAsia" w:ascii="宋体" w:hAnsi="宋体" w:eastAsia="宋体" w:cs="宋体"/>
                <w:bCs/>
                <w:color w:val="000000" w:themeColor="text1"/>
                <w:spacing w:val="-4"/>
                <w:szCs w:val="21"/>
                <w:highlight w:val="none"/>
                <w:lang w:val="en-US" w:eastAsia="zh-CN"/>
                <w14:textFill>
                  <w14:solidFill>
                    <w14:schemeClr w14:val="tx1"/>
                  </w14:solidFill>
                </w14:textFill>
              </w:rPr>
            </w:pPr>
            <w:r>
              <w:rPr>
                <w:rFonts w:hint="eastAsia" w:ascii="宋体" w:hAnsi="宋体" w:eastAsia="宋体" w:cs="宋体"/>
                <w:bCs/>
                <w:color w:val="000000" w:themeColor="text1"/>
                <w:spacing w:val="-4"/>
                <w:szCs w:val="21"/>
                <w:highlight w:val="none"/>
                <w:lang w:val="en-US" w:eastAsia="zh-CN"/>
                <w14:textFill>
                  <w14:solidFill>
                    <w14:schemeClr w14:val="tx1"/>
                  </w14:solidFill>
                </w14:textFill>
              </w:rPr>
              <w:t>13.供应商之间为谋取中标或者排斥特定供应商而采取的其他联合行动。</w:t>
            </w:r>
          </w:p>
        </w:tc>
      </w:tr>
      <w:tr w14:paraId="0358816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3" w:hRule="atLeast"/>
          <w:jc w:val="center"/>
        </w:trPr>
        <w:tc>
          <w:tcPr>
            <w:tcW w:w="670" w:type="dxa"/>
            <w:tcBorders>
              <w:tl2br w:val="nil"/>
              <w:tr2bl w:val="nil"/>
            </w:tcBorders>
            <w:vAlign w:val="center"/>
          </w:tcPr>
          <w:p w14:paraId="1B1826EC">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21</w:t>
            </w:r>
          </w:p>
        </w:tc>
        <w:tc>
          <w:tcPr>
            <w:tcW w:w="1586" w:type="dxa"/>
            <w:tcBorders>
              <w:tl2br w:val="nil"/>
              <w:tr2bl w:val="nil"/>
            </w:tcBorders>
            <w:vAlign w:val="center"/>
          </w:tcPr>
          <w:p w14:paraId="36D31465">
            <w:pPr>
              <w:snapToGrid w:val="0"/>
              <w:spacing w:line="360" w:lineRule="exact"/>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解释</w:t>
            </w:r>
          </w:p>
        </w:tc>
        <w:tc>
          <w:tcPr>
            <w:tcW w:w="6823" w:type="dxa"/>
            <w:tcBorders>
              <w:tl2br w:val="nil"/>
              <w:tr2bl w:val="nil"/>
            </w:tcBorders>
            <w:vAlign w:val="center"/>
          </w:tcPr>
          <w:p w14:paraId="56FC67FF">
            <w:pPr>
              <w:autoSpaceDE w:val="0"/>
              <w:autoSpaceDN w:val="0"/>
              <w:snapToGrid w:val="0"/>
              <w:spacing w:line="360" w:lineRule="exact"/>
              <w:ind w:firstLine="202" w:firstLineChars="100"/>
              <w:jc w:val="left"/>
              <w:textAlignment w:val="bottom"/>
              <w:rPr>
                <w:rFonts w:hint="eastAsia" w:ascii="宋体" w:hAnsi="宋体" w:eastAsia="宋体" w:cs="宋体"/>
                <w:bCs/>
                <w:color w:val="000000" w:themeColor="text1"/>
                <w:spacing w:val="-4"/>
                <w:szCs w:val="21"/>
                <w:highlight w:val="none"/>
                <w14:textFill>
                  <w14:solidFill>
                    <w14:schemeClr w14:val="tx1"/>
                  </w14:solidFill>
                </w14:textFill>
              </w:rPr>
            </w:pPr>
            <w:r>
              <w:rPr>
                <w:rFonts w:hint="eastAsia" w:ascii="宋体" w:hAnsi="宋体" w:eastAsia="宋体" w:cs="宋体"/>
                <w:bCs/>
                <w:color w:val="000000" w:themeColor="text1"/>
                <w:spacing w:val="-4"/>
                <w:szCs w:val="21"/>
                <w:highlight w:val="none"/>
                <w14:textFill>
                  <w14:solidFill>
                    <w14:schemeClr w14:val="tx1"/>
                  </w14:solidFill>
                </w14:textFill>
              </w:rPr>
              <w:t>本采购文件的解释权属于采购人。</w:t>
            </w:r>
          </w:p>
        </w:tc>
      </w:tr>
    </w:tbl>
    <w:p w14:paraId="044F3862">
      <w:pPr>
        <w:widowControl/>
        <w:spacing w:before="120" w:after="120" w:line="500" w:lineRule="exact"/>
        <w:jc w:val="center"/>
        <w:outlineLvl w:val="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br w:type="page"/>
      </w:r>
      <w:bookmarkStart w:id="9" w:name="_Toc2707"/>
      <w:r>
        <w:rPr>
          <w:rFonts w:hint="eastAsia" w:ascii="宋体" w:hAnsi="宋体" w:eastAsia="宋体" w:cs="宋体"/>
          <w:b/>
          <w:color w:val="000000" w:themeColor="text1"/>
          <w:sz w:val="36"/>
          <w:szCs w:val="36"/>
          <w:highlight w:val="none"/>
          <w14:textFill>
            <w14:solidFill>
              <w14:schemeClr w14:val="tx1"/>
            </w14:solidFill>
          </w14:textFill>
        </w:rPr>
        <w:t>一、总则</w:t>
      </w:r>
      <w:bookmarkEnd w:id="9"/>
    </w:p>
    <w:p w14:paraId="2477E500">
      <w:pPr>
        <w:snapToGrid w:val="0"/>
        <w:spacing w:line="500" w:lineRule="exact"/>
        <w:ind w:firstLine="472" w:firstLineChars="196"/>
        <w:jc w:val="left"/>
        <w:outlineLvl w:val="2"/>
        <w:rPr>
          <w:rFonts w:hint="eastAsia" w:ascii="宋体" w:hAnsi="宋体" w:eastAsia="宋体" w:cs="宋体"/>
          <w:b/>
          <w:color w:val="000000" w:themeColor="text1"/>
          <w:sz w:val="24"/>
          <w:szCs w:val="24"/>
          <w:highlight w:val="none"/>
          <w14:textFill>
            <w14:solidFill>
              <w14:schemeClr w14:val="tx1"/>
            </w14:solidFill>
          </w14:textFill>
        </w:rPr>
      </w:pPr>
      <w:bookmarkStart w:id="10" w:name="_Toc19781"/>
      <w:bookmarkStart w:id="11" w:name="_Toc177825120"/>
      <w:bookmarkStart w:id="12" w:name="_Toc417992875"/>
      <w:bookmarkStart w:id="13" w:name="_Toc177870537"/>
      <w:bookmarkStart w:id="14" w:name="_Toc177824872"/>
      <w:bookmarkStart w:id="15" w:name="_Toc177824939"/>
      <w:r>
        <w:rPr>
          <w:rFonts w:hint="eastAsia" w:ascii="宋体" w:hAnsi="宋体" w:eastAsia="宋体" w:cs="宋体"/>
          <w:b/>
          <w:color w:val="000000" w:themeColor="text1"/>
          <w:sz w:val="24"/>
          <w:szCs w:val="24"/>
          <w:highlight w:val="none"/>
          <w14:textFill>
            <w14:solidFill>
              <w14:schemeClr w14:val="tx1"/>
            </w14:solidFill>
          </w14:textFill>
        </w:rPr>
        <w:t>1、适用范围</w:t>
      </w:r>
      <w:bookmarkEnd w:id="10"/>
      <w:bookmarkEnd w:id="11"/>
      <w:bookmarkEnd w:id="12"/>
      <w:bookmarkEnd w:id="13"/>
      <w:bookmarkEnd w:id="14"/>
      <w:bookmarkEnd w:id="15"/>
    </w:p>
    <w:p w14:paraId="04F07053">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1.1、</w:t>
      </w:r>
      <w:bookmarkStart w:id="16" w:name="_Toc177825121"/>
      <w:bookmarkStart w:id="17" w:name="_Toc177870538"/>
      <w:bookmarkStart w:id="18" w:name="_Toc417992876"/>
      <w:bookmarkStart w:id="19" w:name="_Toc177824873"/>
      <w:bookmarkStart w:id="20" w:name="_Toc177824940"/>
      <w:r>
        <w:rPr>
          <w:rFonts w:hint="eastAsia" w:ascii="宋体" w:hAnsi="宋体" w:eastAsia="宋体" w:cs="宋体"/>
          <w:bCs/>
          <w:color w:val="000000" w:themeColor="text1"/>
          <w:spacing w:val="-4"/>
          <w:sz w:val="24"/>
          <w:szCs w:val="24"/>
          <w:highlight w:val="none"/>
          <w14:textFill>
            <w14:solidFill>
              <w14:schemeClr w14:val="tx1"/>
            </w14:solidFill>
          </w14:textFill>
        </w:rPr>
        <w:t>本</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适用于该项目的</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采购</w:t>
      </w:r>
      <w:r>
        <w:rPr>
          <w:rFonts w:hint="eastAsia" w:ascii="宋体" w:hAnsi="宋体" w:eastAsia="宋体" w:cs="宋体"/>
          <w:bCs/>
          <w:color w:val="000000" w:themeColor="text1"/>
          <w:spacing w:val="-4"/>
          <w:sz w:val="24"/>
          <w:szCs w:val="24"/>
          <w:highlight w:val="none"/>
          <w14:textFill>
            <w14:solidFill>
              <w14:schemeClr w14:val="tx1"/>
            </w14:solidFill>
          </w14:textFill>
        </w:rPr>
        <w:t>、投标、评标、定标、验收、合同履约、付款等行为（法律、法规另有规定的，从其规定）。</w:t>
      </w:r>
    </w:p>
    <w:p w14:paraId="70AF6DB7">
      <w:pPr>
        <w:snapToGrid w:val="0"/>
        <w:spacing w:line="500" w:lineRule="exact"/>
        <w:ind w:firstLine="472" w:firstLineChars="196"/>
        <w:jc w:val="left"/>
        <w:outlineLvl w:val="2"/>
        <w:rPr>
          <w:rFonts w:hint="eastAsia" w:ascii="宋体" w:hAnsi="宋体" w:eastAsia="宋体" w:cs="宋体"/>
          <w:b/>
          <w:color w:val="000000" w:themeColor="text1"/>
          <w:sz w:val="24"/>
          <w:szCs w:val="24"/>
          <w:highlight w:val="none"/>
          <w14:textFill>
            <w14:solidFill>
              <w14:schemeClr w14:val="tx1"/>
            </w14:solidFill>
          </w14:textFill>
        </w:rPr>
      </w:pPr>
      <w:bookmarkStart w:id="21" w:name="_Toc23231"/>
      <w:r>
        <w:rPr>
          <w:rFonts w:hint="eastAsia" w:ascii="宋体" w:hAnsi="宋体" w:eastAsia="宋体" w:cs="宋体"/>
          <w:b/>
          <w:color w:val="000000" w:themeColor="text1"/>
          <w:sz w:val="24"/>
          <w:szCs w:val="24"/>
          <w:highlight w:val="none"/>
          <w14:textFill>
            <w14:solidFill>
              <w14:schemeClr w14:val="tx1"/>
            </w14:solidFill>
          </w14:textFill>
        </w:rPr>
        <w:t>2、定义</w:t>
      </w:r>
      <w:bookmarkEnd w:id="16"/>
      <w:bookmarkEnd w:id="17"/>
      <w:bookmarkEnd w:id="18"/>
      <w:bookmarkEnd w:id="19"/>
      <w:bookmarkEnd w:id="20"/>
      <w:bookmarkEnd w:id="21"/>
    </w:p>
    <w:p w14:paraId="4C5CA44D">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2.1、“招标采购单位”系指组织本次招标活动的采购人或</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采购</w:t>
      </w:r>
      <w:r>
        <w:rPr>
          <w:rFonts w:hint="eastAsia" w:ascii="宋体" w:hAnsi="宋体" w:eastAsia="宋体" w:cs="宋体"/>
          <w:bCs/>
          <w:color w:val="000000" w:themeColor="text1"/>
          <w:spacing w:val="-4"/>
          <w:sz w:val="24"/>
          <w:szCs w:val="24"/>
          <w:highlight w:val="none"/>
          <w14:textFill>
            <w14:solidFill>
              <w14:schemeClr w14:val="tx1"/>
            </w14:solidFill>
          </w14:textFill>
        </w:rPr>
        <w:t>代理机构。</w:t>
      </w:r>
    </w:p>
    <w:p w14:paraId="751A1536">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2.2、“</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”系指向</w:t>
      </w:r>
      <w:r>
        <w:rPr>
          <w:rFonts w:hint="eastAsia" w:ascii="宋体" w:hAnsi="宋体" w:eastAsia="宋体" w:cs="宋体"/>
          <w:bCs/>
          <w:spacing w:val="-4"/>
          <w:szCs w:val="21"/>
          <w:highlight w:val="none"/>
        </w:rPr>
        <w:t>招标采购单位</w:t>
      </w:r>
      <w:r>
        <w:rPr>
          <w:rFonts w:hint="eastAsia" w:ascii="宋体" w:hAnsi="宋体" w:eastAsia="宋体" w:cs="宋体"/>
          <w:bCs/>
          <w:color w:val="000000" w:themeColor="text1"/>
          <w:spacing w:val="-4"/>
          <w:sz w:val="24"/>
          <w:szCs w:val="24"/>
          <w:highlight w:val="none"/>
          <w14:textFill>
            <w14:solidFill>
              <w14:schemeClr w14:val="tx1"/>
            </w14:solidFill>
          </w14:textFill>
        </w:rPr>
        <w:t>提交</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的供应商。</w:t>
      </w:r>
    </w:p>
    <w:p w14:paraId="7373D785">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2.3、“产品”系指供方按</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规定，须向采购人提供的一切设备、保险、税金、备品备件、工具、手册及其它有关技术资料和材料。</w:t>
      </w:r>
    </w:p>
    <w:p w14:paraId="0FB785AE">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2.4、“服务”系指</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规定</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须承担的安装、调试、技术协助、校准、培训、技术指导以及其他类似的义务。</w:t>
      </w:r>
    </w:p>
    <w:p w14:paraId="7755BC52">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2.5、“项目”系指</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按</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规定向采购人提供的产品和服务。</w:t>
      </w:r>
    </w:p>
    <w:p w14:paraId="67A79EA4">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2.6、“书面形式”包括信函、传真、电报、电子文档等。</w:t>
      </w:r>
    </w:p>
    <w:p w14:paraId="3185FCFB">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2.7、</w:t>
      </w:r>
      <w:bookmarkStart w:id="22" w:name="_Toc177870539"/>
      <w:bookmarkStart w:id="23" w:name="_Toc417992877"/>
      <w:r>
        <w:rPr>
          <w:rFonts w:hint="eastAsia" w:ascii="宋体" w:hAnsi="宋体" w:eastAsia="宋体" w:cs="宋体"/>
          <w:bCs/>
          <w:color w:val="000000" w:themeColor="text1"/>
          <w:spacing w:val="-4"/>
          <w:sz w:val="24"/>
          <w:szCs w:val="24"/>
          <w:highlight w:val="none"/>
          <w14:textFill>
            <w14:solidFill>
              <w14:schemeClr w14:val="tx1"/>
            </w14:solidFill>
          </w14:textFill>
        </w:rPr>
        <w:t>“▲”系指实质性要求条款，</w:t>
      </w:r>
      <w:bookmarkStart w:id="24" w:name="_Hlk11356090"/>
      <w:r>
        <w:rPr>
          <w:rFonts w:hint="eastAsia" w:ascii="宋体" w:hAnsi="宋体" w:eastAsia="宋体" w:cs="宋体"/>
          <w:bCs/>
          <w:color w:val="000000" w:themeColor="text1"/>
          <w:spacing w:val="-4"/>
          <w:sz w:val="24"/>
          <w:szCs w:val="24"/>
          <w:highlight w:val="none"/>
          <w14:textFill>
            <w14:solidFill>
              <w14:schemeClr w14:val="tx1"/>
            </w14:solidFill>
          </w14:textFill>
        </w:rPr>
        <w:t>不满足实行性要求条款的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无效。</w:t>
      </w:r>
      <w:bookmarkEnd w:id="24"/>
    </w:p>
    <w:p w14:paraId="05C7127B">
      <w:pPr>
        <w:snapToGrid w:val="0"/>
        <w:spacing w:line="500" w:lineRule="exact"/>
        <w:ind w:firstLine="472" w:firstLineChars="196"/>
        <w:jc w:val="left"/>
        <w:outlineLvl w:val="2"/>
        <w:rPr>
          <w:rFonts w:hint="eastAsia" w:ascii="宋体" w:hAnsi="宋体" w:eastAsia="宋体" w:cs="宋体"/>
          <w:b/>
          <w:color w:val="000000" w:themeColor="text1"/>
          <w:sz w:val="24"/>
          <w:szCs w:val="24"/>
          <w:highlight w:val="none"/>
          <w14:textFill>
            <w14:solidFill>
              <w14:schemeClr w14:val="tx1"/>
            </w14:solidFill>
          </w14:textFill>
        </w:rPr>
      </w:pPr>
      <w:bookmarkStart w:id="25" w:name="_Toc29131"/>
      <w:r>
        <w:rPr>
          <w:rFonts w:hint="eastAsia" w:ascii="宋体" w:hAnsi="宋体" w:eastAsia="宋体" w:cs="宋体"/>
          <w:b/>
          <w:color w:val="000000" w:themeColor="text1"/>
          <w:sz w:val="24"/>
          <w:szCs w:val="24"/>
          <w:highlight w:val="none"/>
          <w14:textFill>
            <w14:solidFill>
              <w14:schemeClr w14:val="tx1"/>
            </w14:solidFill>
          </w14:textFill>
        </w:rPr>
        <w:t>3、</w:t>
      </w:r>
      <w:r>
        <w:rPr>
          <w:rFonts w:hint="eastAsia" w:ascii="宋体" w:hAnsi="宋体" w:eastAsia="宋体" w:cs="宋体"/>
          <w:b/>
          <w:color w:val="000000" w:themeColor="text1"/>
          <w:sz w:val="24"/>
          <w:szCs w:val="24"/>
          <w:highlight w:val="none"/>
          <w:lang w:val="en-US" w:eastAsia="zh-CN"/>
          <w14:textFill>
            <w14:solidFill>
              <w14:schemeClr w14:val="tx1"/>
            </w14:solidFill>
          </w14:textFill>
        </w:rPr>
        <w:t>采购</w:t>
      </w:r>
      <w:r>
        <w:rPr>
          <w:rFonts w:hint="eastAsia" w:ascii="宋体" w:hAnsi="宋体" w:eastAsia="宋体" w:cs="宋体"/>
          <w:b/>
          <w:color w:val="000000" w:themeColor="text1"/>
          <w:sz w:val="24"/>
          <w:szCs w:val="24"/>
          <w:highlight w:val="none"/>
          <w14:textFill>
            <w14:solidFill>
              <w14:schemeClr w14:val="tx1"/>
            </w14:solidFill>
          </w14:textFill>
        </w:rPr>
        <w:t>方式</w:t>
      </w:r>
      <w:bookmarkEnd w:id="22"/>
      <w:bookmarkEnd w:id="23"/>
      <w:bookmarkEnd w:id="25"/>
    </w:p>
    <w:p w14:paraId="6919BC23">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3.1、本次</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采购</w:t>
      </w:r>
      <w:r>
        <w:rPr>
          <w:rFonts w:hint="eastAsia" w:ascii="宋体" w:hAnsi="宋体" w:eastAsia="宋体" w:cs="宋体"/>
          <w:bCs/>
          <w:color w:val="000000" w:themeColor="text1"/>
          <w:spacing w:val="-4"/>
          <w:sz w:val="24"/>
          <w:szCs w:val="24"/>
          <w:highlight w:val="none"/>
          <w14:textFill>
            <w14:solidFill>
              <w14:schemeClr w14:val="tx1"/>
            </w14:solidFill>
          </w14:textFill>
        </w:rPr>
        <w:t>采用公开</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采购</w:t>
      </w:r>
      <w:r>
        <w:rPr>
          <w:rFonts w:hint="eastAsia" w:ascii="宋体" w:hAnsi="宋体" w:eastAsia="宋体" w:cs="宋体"/>
          <w:bCs/>
          <w:color w:val="000000" w:themeColor="text1"/>
          <w:spacing w:val="-4"/>
          <w:sz w:val="24"/>
          <w:szCs w:val="24"/>
          <w:highlight w:val="none"/>
          <w14:textFill>
            <w14:solidFill>
              <w14:schemeClr w14:val="tx1"/>
            </w14:solidFill>
          </w14:textFill>
        </w:rPr>
        <w:t>方式进行；</w:t>
      </w:r>
      <w:bookmarkStart w:id="26" w:name="_Toc177824874"/>
      <w:bookmarkStart w:id="27" w:name="_Toc177825122"/>
      <w:bookmarkStart w:id="28" w:name="_Toc177870540"/>
      <w:bookmarkStart w:id="29" w:name="_Toc177824941"/>
    </w:p>
    <w:p w14:paraId="4BF35885">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3.2、本次</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采购</w:t>
      </w:r>
      <w:r>
        <w:rPr>
          <w:rFonts w:hint="eastAsia" w:ascii="宋体" w:hAnsi="宋体" w:eastAsia="宋体" w:cs="宋体"/>
          <w:bCs/>
          <w:color w:val="000000" w:themeColor="text1"/>
          <w:spacing w:val="-4"/>
          <w:sz w:val="24"/>
          <w:szCs w:val="24"/>
          <w:highlight w:val="none"/>
          <w14:textFill>
            <w14:solidFill>
              <w14:schemeClr w14:val="tx1"/>
            </w14:solidFill>
          </w14:textFill>
        </w:rPr>
        <w:t>设定上限价，上限价为预算价。</w:t>
      </w:r>
      <w:bookmarkStart w:id="30" w:name="_Toc417992878"/>
    </w:p>
    <w:p w14:paraId="237B83EE">
      <w:pPr>
        <w:snapToGrid w:val="0"/>
        <w:spacing w:line="500" w:lineRule="exact"/>
        <w:ind w:firstLine="472" w:firstLineChars="196"/>
        <w:jc w:val="left"/>
        <w:outlineLvl w:val="2"/>
        <w:rPr>
          <w:rFonts w:hint="eastAsia" w:ascii="宋体" w:hAnsi="宋体" w:eastAsia="宋体" w:cs="宋体"/>
          <w:b/>
          <w:color w:val="000000" w:themeColor="text1"/>
          <w:sz w:val="24"/>
          <w:szCs w:val="24"/>
          <w:highlight w:val="none"/>
          <w14:textFill>
            <w14:solidFill>
              <w14:schemeClr w14:val="tx1"/>
            </w14:solidFill>
          </w14:textFill>
        </w:rPr>
      </w:pPr>
      <w:bookmarkStart w:id="31" w:name="_Toc28078"/>
      <w:r>
        <w:rPr>
          <w:rFonts w:hint="eastAsia" w:ascii="宋体" w:hAnsi="宋体" w:eastAsia="宋体" w:cs="宋体"/>
          <w:b/>
          <w:color w:val="000000" w:themeColor="text1"/>
          <w:sz w:val="24"/>
          <w:szCs w:val="24"/>
          <w:highlight w:val="none"/>
          <w14:textFill>
            <w14:solidFill>
              <w14:schemeClr w14:val="tx1"/>
            </w14:solidFill>
          </w14:textFill>
        </w:rPr>
        <w:t>4、投标</w:t>
      </w:r>
      <w:bookmarkEnd w:id="26"/>
      <w:bookmarkEnd w:id="27"/>
      <w:bookmarkEnd w:id="28"/>
      <w:bookmarkEnd w:id="29"/>
      <w:bookmarkEnd w:id="30"/>
      <w:r>
        <w:rPr>
          <w:rFonts w:hint="eastAsia" w:ascii="宋体" w:hAnsi="宋体" w:eastAsia="宋体" w:cs="宋体"/>
          <w:b/>
          <w:color w:val="000000" w:themeColor="text1"/>
          <w:sz w:val="24"/>
          <w:szCs w:val="24"/>
          <w:highlight w:val="none"/>
          <w14:textFill>
            <w14:solidFill>
              <w14:schemeClr w14:val="tx1"/>
            </w14:solidFill>
          </w14:textFill>
        </w:rPr>
        <w:t>方式</w:t>
      </w:r>
      <w:bookmarkEnd w:id="31"/>
      <w:bookmarkStart w:id="32" w:name="_Toc417992879"/>
      <w:bookmarkStart w:id="33" w:name="_Toc177870541"/>
      <w:bookmarkStart w:id="34" w:name="_Toc177825123"/>
      <w:bookmarkStart w:id="35" w:name="_Toc177824875"/>
      <w:bookmarkStart w:id="36" w:name="_Toc177824942"/>
    </w:p>
    <w:p w14:paraId="536E3AE0">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本项目采用不见面开标形式，</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无需到场。</w:t>
      </w:r>
    </w:p>
    <w:p w14:paraId="357E4240">
      <w:pPr>
        <w:snapToGrid w:val="0"/>
        <w:spacing w:line="500" w:lineRule="exact"/>
        <w:ind w:firstLine="472" w:firstLineChars="196"/>
        <w:jc w:val="left"/>
        <w:outlineLvl w:val="2"/>
        <w:rPr>
          <w:rFonts w:hint="eastAsia" w:ascii="宋体" w:hAnsi="宋体" w:eastAsia="宋体" w:cs="宋体"/>
          <w:color w:val="000000" w:themeColor="text1"/>
          <w:sz w:val="24"/>
          <w:szCs w:val="24"/>
          <w:highlight w:val="none"/>
          <w14:textFill>
            <w14:solidFill>
              <w14:schemeClr w14:val="tx1"/>
            </w14:solidFill>
          </w14:textFill>
        </w:rPr>
      </w:pPr>
      <w:bookmarkStart w:id="37" w:name="_Toc30887"/>
      <w:r>
        <w:rPr>
          <w:rFonts w:hint="eastAsia" w:ascii="宋体" w:hAnsi="宋体" w:eastAsia="宋体" w:cs="宋体"/>
          <w:b/>
          <w:color w:val="000000" w:themeColor="text1"/>
          <w:sz w:val="24"/>
          <w:szCs w:val="24"/>
          <w:highlight w:val="none"/>
          <w14:textFill>
            <w14:solidFill>
              <w14:schemeClr w14:val="tx1"/>
            </w14:solidFill>
          </w14:textFill>
        </w:rPr>
        <w:t>5、投标费用</w:t>
      </w:r>
      <w:bookmarkEnd w:id="37"/>
    </w:p>
    <w:bookmarkEnd w:id="32"/>
    <w:bookmarkEnd w:id="33"/>
    <w:bookmarkEnd w:id="34"/>
    <w:bookmarkEnd w:id="35"/>
    <w:bookmarkEnd w:id="36"/>
    <w:p w14:paraId="5321AC94">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不论投标结果如何，</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均应自行承担所有与投标有关的全部费用（</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有相反规定除外）</w:t>
      </w:r>
    </w:p>
    <w:p w14:paraId="6042978F">
      <w:pPr>
        <w:snapToGrid w:val="0"/>
        <w:spacing w:line="500" w:lineRule="exact"/>
        <w:ind w:firstLine="472" w:firstLineChars="196"/>
        <w:jc w:val="left"/>
        <w:outlineLvl w:val="2"/>
        <w:rPr>
          <w:rFonts w:hint="eastAsia" w:ascii="宋体" w:hAnsi="宋体" w:eastAsia="宋体" w:cs="宋体"/>
          <w:b/>
          <w:color w:val="000000" w:themeColor="text1"/>
          <w:sz w:val="24"/>
          <w:szCs w:val="24"/>
          <w:highlight w:val="none"/>
          <w14:textFill>
            <w14:solidFill>
              <w14:schemeClr w14:val="tx1"/>
            </w14:solidFill>
          </w14:textFill>
        </w:rPr>
      </w:pPr>
      <w:bookmarkStart w:id="38" w:name="_Toc22213"/>
      <w:r>
        <w:rPr>
          <w:rFonts w:hint="eastAsia" w:ascii="宋体" w:hAnsi="宋体" w:eastAsia="宋体" w:cs="宋体"/>
          <w:b/>
          <w:color w:val="000000" w:themeColor="text1"/>
          <w:sz w:val="24"/>
          <w:szCs w:val="24"/>
          <w:highlight w:val="none"/>
          <w14:textFill>
            <w14:solidFill>
              <w14:schemeClr w14:val="tx1"/>
            </w14:solidFill>
          </w14:textFill>
        </w:rPr>
        <w:t>6、联合体投标</w:t>
      </w:r>
      <w:bookmarkEnd w:id="38"/>
    </w:p>
    <w:p w14:paraId="5AC0CD86">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本项目不适用。</w:t>
      </w:r>
    </w:p>
    <w:p w14:paraId="3F80F51E">
      <w:pPr>
        <w:snapToGrid w:val="0"/>
        <w:spacing w:line="500" w:lineRule="exact"/>
        <w:ind w:firstLine="472" w:firstLineChars="196"/>
        <w:jc w:val="left"/>
        <w:outlineLvl w:val="2"/>
        <w:rPr>
          <w:rFonts w:hint="eastAsia" w:ascii="宋体" w:hAnsi="宋体" w:eastAsia="宋体" w:cs="宋体"/>
          <w:b/>
          <w:color w:val="000000" w:themeColor="text1"/>
          <w:sz w:val="24"/>
          <w:szCs w:val="24"/>
          <w:highlight w:val="none"/>
          <w14:textFill>
            <w14:solidFill>
              <w14:schemeClr w14:val="tx1"/>
            </w14:solidFill>
          </w14:textFill>
        </w:rPr>
      </w:pPr>
      <w:bookmarkStart w:id="39" w:name="_Toc3708"/>
      <w:r>
        <w:rPr>
          <w:rFonts w:hint="eastAsia" w:ascii="宋体" w:hAnsi="宋体" w:eastAsia="宋体" w:cs="宋体"/>
          <w:b/>
          <w:color w:val="000000" w:themeColor="text1"/>
          <w:sz w:val="24"/>
          <w:szCs w:val="24"/>
          <w:highlight w:val="none"/>
          <w14:textFill>
            <w14:solidFill>
              <w14:schemeClr w14:val="tx1"/>
            </w14:solidFill>
          </w14:textFill>
        </w:rPr>
        <w:t>7、关联企业投标</w:t>
      </w:r>
      <w:bookmarkEnd w:id="39"/>
    </w:p>
    <w:p w14:paraId="6543DC0F">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bookmarkStart w:id="40" w:name="_Hlk11356122"/>
      <w:r>
        <w:rPr>
          <w:rFonts w:hint="eastAsia" w:ascii="宋体" w:hAnsi="宋体" w:eastAsia="宋体" w:cs="宋体"/>
          <w:bCs/>
          <w:color w:val="000000" w:themeColor="text1"/>
          <w:spacing w:val="-4"/>
          <w:sz w:val="24"/>
          <w:szCs w:val="24"/>
          <w:highlight w:val="none"/>
          <w14:textFill>
            <w14:solidFill>
              <w14:schemeClr w14:val="tx1"/>
            </w14:solidFill>
          </w14:textFill>
        </w:rPr>
        <w:t>7.1、本</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所称关联企业,是指存在“关联关系”的企业；“关联关系”的界定适用《中华人民共和国公司法》217条之规定。</w:t>
      </w:r>
    </w:p>
    <w:p w14:paraId="604252CB">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7.2、关联企业中，法定代表人为同一个的两个及两个以上法人，母公司、全资子公司及其控股公司，都不得同时投标，一经发现，将导致投标同时被拒绝。</w:t>
      </w:r>
    </w:p>
    <w:p w14:paraId="18B7DEFA">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7.3、多家代理商或经销商参加采购活动，如其中两家或两家以上供应商存在分级代理或代销关系，且提供的是其所代理品牌的产品的，评审时，取其中通过资格审查后的报价最低一家为有效供应商；当报价相同时，则以技术标最优一家为有效供应商；均相同时，由评标委员会集体决定。</w:t>
      </w:r>
      <w:bookmarkEnd w:id="40"/>
    </w:p>
    <w:p w14:paraId="71E9FBD9">
      <w:pPr>
        <w:snapToGrid w:val="0"/>
        <w:spacing w:line="500" w:lineRule="exact"/>
        <w:ind w:firstLine="472" w:firstLineChars="196"/>
        <w:jc w:val="left"/>
        <w:outlineLvl w:val="2"/>
        <w:rPr>
          <w:rFonts w:hint="eastAsia" w:ascii="宋体" w:hAnsi="宋体" w:eastAsia="宋体" w:cs="宋体"/>
          <w:b/>
          <w:color w:val="000000" w:themeColor="text1"/>
          <w:sz w:val="24"/>
          <w:szCs w:val="24"/>
          <w:highlight w:val="none"/>
          <w14:textFill>
            <w14:solidFill>
              <w14:schemeClr w14:val="tx1"/>
            </w14:solidFill>
          </w14:textFill>
        </w:rPr>
      </w:pPr>
      <w:bookmarkStart w:id="41" w:name="_Toc17297"/>
      <w:r>
        <w:rPr>
          <w:rFonts w:hint="eastAsia" w:ascii="宋体" w:hAnsi="宋体" w:eastAsia="宋体" w:cs="宋体"/>
          <w:b/>
          <w:color w:val="000000" w:themeColor="text1"/>
          <w:sz w:val="24"/>
          <w:szCs w:val="24"/>
          <w:highlight w:val="none"/>
          <w14:textFill>
            <w14:solidFill>
              <w14:schemeClr w14:val="tx1"/>
            </w14:solidFill>
          </w14:textFill>
        </w:rPr>
        <w:t>8、转包与分包</w:t>
      </w:r>
      <w:bookmarkEnd w:id="41"/>
    </w:p>
    <w:p w14:paraId="622F1797">
      <w:pPr>
        <w:snapToGrid w:val="0"/>
        <w:spacing w:line="500" w:lineRule="exact"/>
        <w:ind w:firstLine="477" w:firstLineChars="199"/>
        <w:jc w:val="left"/>
        <w:rPr>
          <w:rFonts w:hint="eastAsia" w:ascii="宋体" w:hAnsi="宋体" w:eastAsia="宋体" w:cs="宋体"/>
          <w:color w:val="000000" w:themeColor="text1"/>
          <w:kern w:val="0"/>
          <w:sz w:val="24"/>
          <w:szCs w:val="24"/>
          <w:highlight w:val="none"/>
          <w14:textFill>
            <w14:solidFill>
              <w14:schemeClr w14:val="tx1"/>
            </w14:solidFill>
          </w14:textFill>
        </w:rPr>
      </w:pPr>
      <w:bookmarkStart w:id="42" w:name="_Toc177870542"/>
      <w:bookmarkStart w:id="43" w:name="_Toc417992880"/>
      <w:r>
        <w:rPr>
          <w:rFonts w:hint="eastAsia" w:ascii="宋体" w:hAnsi="宋体" w:eastAsia="宋体" w:cs="宋体"/>
          <w:color w:val="000000" w:themeColor="text1"/>
          <w:kern w:val="0"/>
          <w:sz w:val="24"/>
          <w:szCs w:val="24"/>
          <w:highlight w:val="none"/>
          <w14:textFill>
            <w14:solidFill>
              <w14:schemeClr w14:val="tx1"/>
            </w14:solidFill>
          </w14:textFill>
        </w:rPr>
        <w:t>本项目不允许转包</w:t>
      </w:r>
      <w:r>
        <w:rPr>
          <w:rFonts w:hint="eastAsia" w:ascii="宋体" w:hAnsi="宋体" w:eastAsia="宋体" w:cs="宋体"/>
          <w:color w:val="000000" w:themeColor="text1"/>
          <w:kern w:val="0"/>
          <w:sz w:val="24"/>
          <w:szCs w:val="24"/>
          <w:highlight w:val="none"/>
          <w:lang w:eastAsia="zh-CN"/>
          <w14:textFill>
            <w14:solidFill>
              <w14:schemeClr w14:val="tx1"/>
            </w14:solidFill>
          </w14:textFill>
        </w:rPr>
        <w:t>、</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分包</w:t>
      </w:r>
      <w:r>
        <w:rPr>
          <w:rFonts w:hint="eastAsia" w:ascii="宋体" w:hAnsi="宋体" w:eastAsia="宋体" w:cs="宋体"/>
          <w:color w:val="000000" w:themeColor="text1"/>
          <w:kern w:val="0"/>
          <w:sz w:val="24"/>
          <w:szCs w:val="24"/>
          <w:highlight w:val="none"/>
          <w14:textFill>
            <w14:solidFill>
              <w14:schemeClr w14:val="tx1"/>
            </w14:solidFill>
          </w14:textFill>
        </w:rPr>
        <w:t>。</w:t>
      </w:r>
    </w:p>
    <w:p w14:paraId="7EC00C4A">
      <w:pPr>
        <w:snapToGrid w:val="0"/>
        <w:spacing w:line="500" w:lineRule="exact"/>
        <w:ind w:firstLine="472" w:firstLineChars="196"/>
        <w:jc w:val="left"/>
        <w:outlineLvl w:val="2"/>
        <w:rPr>
          <w:rFonts w:hint="eastAsia" w:ascii="宋体" w:hAnsi="宋体" w:eastAsia="宋体" w:cs="宋体"/>
          <w:b/>
          <w:color w:val="000000" w:themeColor="text1"/>
          <w:sz w:val="24"/>
          <w:szCs w:val="24"/>
          <w:highlight w:val="none"/>
          <w14:textFill>
            <w14:solidFill>
              <w14:schemeClr w14:val="tx1"/>
            </w14:solidFill>
          </w14:textFill>
        </w:rPr>
      </w:pPr>
      <w:bookmarkStart w:id="44" w:name="_Toc22610"/>
      <w:r>
        <w:rPr>
          <w:rFonts w:hint="eastAsia" w:ascii="宋体" w:hAnsi="宋体" w:eastAsia="宋体" w:cs="宋体"/>
          <w:b/>
          <w:color w:val="000000" w:themeColor="text1"/>
          <w:sz w:val="24"/>
          <w:szCs w:val="24"/>
          <w:highlight w:val="none"/>
          <w14:textFill>
            <w14:solidFill>
              <w14:schemeClr w14:val="tx1"/>
            </w14:solidFill>
          </w14:textFill>
        </w:rPr>
        <w:t>9、是否允许采购进口产品</w:t>
      </w:r>
      <w:bookmarkEnd w:id="44"/>
    </w:p>
    <w:p w14:paraId="69AAE67F">
      <w:pPr>
        <w:snapToGrid w:val="0"/>
        <w:spacing w:line="500" w:lineRule="exact"/>
        <w:ind w:firstLine="477" w:firstLineChars="199"/>
        <w:jc w:val="left"/>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本项目不适用。</w:t>
      </w:r>
    </w:p>
    <w:p w14:paraId="78F9A302">
      <w:pPr>
        <w:snapToGrid w:val="0"/>
        <w:spacing w:line="500" w:lineRule="exact"/>
        <w:ind w:firstLine="472" w:firstLineChars="196"/>
        <w:jc w:val="left"/>
        <w:outlineLvl w:val="2"/>
        <w:rPr>
          <w:rFonts w:hint="eastAsia" w:ascii="宋体" w:hAnsi="宋体" w:eastAsia="宋体" w:cs="宋体"/>
          <w:b/>
          <w:color w:val="000000" w:themeColor="text1"/>
          <w:sz w:val="24"/>
          <w:szCs w:val="24"/>
          <w:highlight w:val="none"/>
          <w14:textFill>
            <w14:solidFill>
              <w14:schemeClr w14:val="tx1"/>
            </w14:solidFill>
          </w14:textFill>
        </w:rPr>
      </w:pPr>
      <w:bookmarkStart w:id="45" w:name="_Toc25597"/>
      <w:r>
        <w:rPr>
          <w:rFonts w:hint="eastAsia" w:ascii="宋体" w:hAnsi="宋体" w:eastAsia="宋体" w:cs="宋体"/>
          <w:b/>
          <w:color w:val="000000" w:themeColor="text1"/>
          <w:sz w:val="24"/>
          <w:szCs w:val="24"/>
          <w:highlight w:val="none"/>
          <w14:textFill>
            <w14:solidFill>
              <w14:schemeClr w14:val="tx1"/>
            </w14:solidFill>
          </w14:textFill>
        </w:rPr>
        <w:t>10、特别说明</w:t>
      </w:r>
      <w:bookmarkEnd w:id="42"/>
      <w:bookmarkEnd w:id="43"/>
      <w:bookmarkEnd w:id="45"/>
    </w:p>
    <w:p w14:paraId="4480B924">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10.1、采用最低评标价法的采购项目，提供相同品牌产品的不同</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参加同一合同项下投标的，以其中通过资格审查、符合性审查且报价最低的参加评标;报价相同的，由采购人或者采购人委托评标委员会按照</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规定的方式确定一个参加评标的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未规定的采取随机抽取方式确定，其他投标无效。</w:t>
      </w:r>
    </w:p>
    <w:p w14:paraId="1DF29285">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使用综合评分法的采购项目，提供相同品牌产品且通过资格审查、符合性审查的不同</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参加同一合同项下投标的，按一家</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计算，评审后得分最高的同品牌</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获得中标人推荐资格;评审得分相同的，由采购人或者采购人委托评标委员会按照</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规定的方式确定一个</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获得中标人推荐资格，</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未规定的采取随机抽取方式确定，其他同品牌</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不作为中标候选人。</w:t>
      </w:r>
    </w:p>
    <w:p w14:paraId="54E00C13">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非单一产品采购项目，采购人应当根据采购项目技术构成、产品价格比重等合理确定核心产品，并在</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中载明。多家</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提供的核心产品品牌相同的，按前两款规定处理。</w:t>
      </w:r>
    </w:p>
    <w:p w14:paraId="7E69661C">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10.2、</w:t>
      </w:r>
      <w:bookmarkStart w:id="46" w:name="_Hlk11356294"/>
      <w:r>
        <w:rPr>
          <w:rFonts w:hint="eastAsia" w:ascii="宋体" w:hAnsi="宋体" w:eastAsia="宋体" w:cs="宋体"/>
          <w:bCs/>
          <w:color w:val="000000" w:themeColor="text1"/>
          <w:spacing w:val="-4"/>
          <w:sz w:val="24"/>
          <w:szCs w:val="24"/>
          <w:highlight w:val="none"/>
          <w14:textFill>
            <w14:solidFill>
              <w14:schemeClr w14:val="tx1"/>
            </w14:solidFill>
          </w14:textFill>
        </w:rPr>
        <w:t>▲</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投标所使用的资格、信誉、荣誉、业绩与企业认证必须为本法人所拥有。</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投标所使用的采购项目实施人员必须为本法人员工（或必须为本法人或控股公司正式员工）。</w:t>
      </w:r>
      <w:bookmarkEnd w:id="46"/>
    </w:p>
    <w:p w14:paraId="09A3F17F">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10.3、</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应仔细阅读</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的所有内容，按照</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的要求提交</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，并对所提供的全部资料的真实性承担法律责任。</w:t>
      </w:r>
    </w:p>
    <w:p w14:paraId="225A5DC8">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10.4、▲</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在投标活动中提供任何虚假材料,其投标无效，并报监管部门查处；中标后发现的, 根据《浙江省政府采购供应商注册及诚信管理暂行办法的通知》规定进行处罚，还须依照《中华人民共和国消费者权益保护法》第49条之规定双倍赔偿采购人。民事上之赔偿不免除作假</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之行政与刑事责任。</w:t>
      </w:r>
      <w:bookmarkStart w:id="47" w:name="_Toc177870543"/>
      <w:bookmarkStart w:id="48" w:name="_Toc417992881"/>
    </w:p>
    <w:p w14:paraId="032E9EF1">
      <w:pPr>
        <w:snapToGrid w:val="0"/>
        <w:spacing w:line="500" w:lineRule="exact"/>
        <w:ind w:firstLine="457" w:firstLineChars="196"/>
        <w:jc w:val="left"/>
        <w:outlineLvl w:val="2"/>
        <w:rPr>
          <w:rFonts w:hint="eastAsia" w:ascii="宋体" w:hAnsi="宋体" w:eastAsia="宋体" w:cs="宋体"/>
          <w:b/>
          <w:bCs/>
          <w:color w:val="000000" w:themeColor="text1"/>
          <w:spacing w:val="-4"/>
          <w:sz w:val="24"/>
          <w:szCs w:val="24"/>
          <w:highlight w:val="none"/>
          <w14:textFill>
            <w14:solidFill>
              <w14:schemeClr w14:val="tx1"/>
            </w14:solidFill>
          </w14:textFill>
        </w:rPr>
      </w:pPr>
      <w:bookmarkStart w:id="49" w:name="_Toc29028"/>
      <w:r>
        <w:rPr>
          <w:rFonts w:hint="eastAsia" w:ascii="宋体" w:hAnsi="宋体" w:eastAsia="宋体" w:cs="宋体"/>
          <w:b/>
          <w:bCs/>
          <w:color w:val="000000" w:themeColor="text1"/>
          <w:spacing w:val="-4"/>
          <w:sz w:val="24"/>
          <w:szCs w:val="24"/>
          <w:highlight w:val="none"/>
          <w14:textFill>
            <w14:solidFill>
              <w14:schemeClr w14:val="tx1"/>
            </w14:solidFill>
          </w14:textFill>
        </w:rPr>
        <w:t>11、质疑</w:t>
      </w:r>
      <w:bookmarkEnd w:id="47"/>
      <w:bookmarkEnd w:id="48"/>
      <w:bookmarkEnd w:id="49"/>
    </w:p>
    <w:p w14:paraId="2A5D3147">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11.1、</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认为</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采购</w:t>
      </w:r>
      <w:r>
        <w:rPr>
          <w:rFonts w:hint="eastAsia" w:ascii="宋体" w:hAnsi="宋体" w:eastAsia="宋体" w:cs="宋体"/>
          <w:bCs/>
          <w:color w:val="000000" w:themeColor="text1"/>
          <w:spacing w:val="-4"/>
          <w:sz w:val="24"/>
          <w:szCs w:val="24"/>
          <w:highlight w:val="none"/>
          <w14:textFill>
            <w14:solidFill>
              <w14:schemeClr w14:val="tx1"/>
            </w14:solidFill>
          </w14:textFill>
        </w:rPr>
        <w:t>过程或中标结果使自己的合法权益受到损害的，应当在知道或者应知其权益受到损害之日起七个工作日内，以书面形式向采购人、代理机构提出质疑。</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供应商对招标采购单位的质疑答复不满意或者招标采购单位未在规定时间内作出答复的，可以在答复期满后十五个工作日内向同级采购监管部门投诉。</w:t>
      </w:r>
    </w:p>
    <w:p w14:paraId="0816DD5E">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11.2、质疑、投诉应当采用书面形式，质疑书、投诉书均应明确阐述</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采购</w:t>
      </w:r>
      <w:r>
        <w:rPr>
          <w:rFonts w:hint="eastAsia" w:ascii="宋体" w:hAnsi="宋体" w:eastAsia="宋体" w:cs="宋体"/>
          <w:bCs/>
          <w:color w:val="000000" w:themeColor="text1"/>
          <w:spacing w:val="-4"/>
          <w:sz w:val="24"/>
          <w:szCs w:val="24"/>
          <w:highlight w:val="none"/>
          <w14:textFill>
            <w14:solidFill>
              <w14:schemeClr w14:val="tx1"/>
            </w14:solidFill>
          </w14:textFill>
        </w:rPr>
        <w:t>过程或中标结果中使自己合法权益受到损害的实质性内容，提供相关事实、依据和证据及其来源或线索，便于有关单位调查、答复和处理。</w:t>
      </w:r>
    </w:p>
    <w:p w14:paraId="0E9EF440">
      <w:pPr>
        <w:pStyle w:val="18"/>
        <w:spacing w:before="120" w:beforeLines="0" w:after="120" w:afterLines="0" w:line="500" w:lineRule="exact"/>
        <w:ind w:firstLine="601"/>
        <w:jc w:val="center"/>
        <w:outlineLvl w:val="1"/>
        <w:rPr>
          <w:rFonts w:hint="eastAsia" w:ascii="宋体" w:hAnsi="宋体" w:eastAsia="宋体" w:cs="宋体"/>
          <w:b/>
          <w:color w:val="000000" w:themeColor="text1"/>
          <w:kern w:val="2"/>
          <w:sz w:val="36"/>
          <w:szCs w:val="36"/>
          <w:highlight w:val="none"/>
          <w:lang w:eastAsia="zh-CN"/>
          <w14:textFill>
            <w14:solidFill>
              <w14:schemeClr w14:val="tx1"/>
            </w14:solidFill>
          </w14:textFill>
        </w:rPr>
      </w:pPr>
      <w:bookmarkStart w:id="50" w:name="_Toc19818"/>
      <w:r>
        <w:rPr>
          <w:rFonts w:hint="eastAsia" w:ascii="宋体" w:hAnsi="宋体" w:eastAsia="宋体" w:cs="宋体"/>
          <w:b/>
          <w:color w:val="000000" w:themeColor="text1"/>
          <w:kern w:val="2"/>
          <w:sz w:val="36"/>
          <w:szCs w:val="36"/>
          <w:highlight w:val="none"/>
          <w14:textFill>
            <w14:solidFill>
              <w14:schemeClr w14:val="tx1"/>
            </w14:solidFill>
          </w14:textFill>
        </w:rPr>
        <w:t>二、</w:t>
      </w:r>
      <w:r>
        <w:rPr>
          <w:rFonts w:hint="eastAsia" w:ascii="宋体" w:hAnsi="宋体" w:eastAsia="宋体" w:cs="宋体"/>
          <w:b/>
          <w:color w:val="000000" w:themeColor="text1"/>
          <w:kern w:val="2"/>
          <w:sz w:val="36"/>
          <w:szCs w:val="36"/>
          <w:highlight w:val="none"/>
          <w:lang w:eastAsia="zh-CN"/>
          <w14:textFill>
            <w14:solidFill>
              <w14:schemeClr w14:val="tx1"/>
            </w14:solidFill>
          </w14:textFill>
        </w:rPr>
        <w:t>采购文件</w:t>
      </w:r>
      <w:bookmarkEnd w:id="50"/>
    </w:p>
    <w:p w14:paraId="0FC2FAD5">
      <w:pPr>
        <w:snapToGrid w:val="0"/>
        <w:spacing w:line="500" w:lineRule="exact"/>
        <w:ind w:firstLine="457" w:firstLineChars="196"/>
        <w:jc w:val="left"/>
        <w:rPr>
          <w:rFonts w:hint="eastAsia" w:ascii="宋体" w:hAnsi="宋体" w:eastAsia="宋体" w:cs="宋体"/>
          <w:b/>
          <w:bCs/>
          <w:color w:val="000000" w:themeColor="text1"/>
          <w:spacing w:val="-4"/>
          <w:sz w:val="24"/>
          <w:szCs w:val="24"/>
          <w:highlight w:val="none"/>
          <w14:textFill>
            <w14:solidFill>
              <w14:schemeClr w14:val="tx1"/>
            </w14:solidFill>
          </w14:textFill>
        </w:rPr>
      </w:pPr>
      <w:r>
        <w:rPr>
          <w:rFonts w:hint="eastAsia" w:ascii="宋体" w:hAnsi="宋体" w:eastAsia="宋体" w:cs="宋体"/>
          <w:b/>
          <w:bCs/>
          <w:color w:val="000000" w:themeColor="text1"/>
          <w:spacing w:val="-4"/>
          <w:sz w:val="24"/>
          <w:szCs w:val="24"/>
          <w:highlight w:val="none"/>
          <w14:textFill>
            <w14:solidFill>
              <w14:schemeClr w14:val="tx1"/>
            </w14:solidFill>
          </w14:textFill>
        </w:rPr>
        <w:t>1、</w:t>
      </w:r>
      <w:r>
        <w:rPr>
          <w:rFonts w:hint="eastAsia" w:ascii="宋体" w:hAnsi="宋体" w:eastAsia="宋体" w:cs="宋体"/>
          <w:b/>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
          <w:bCs/>
          <w:color w:val="000000" w:themeColor="text1"/>
          <w:spacing w:val="-4"/>
          <w:sz w:val="24"/>
          <w:szCs w:val="24"/>
          <w:highlight w:val="none"/>
          <w14:textFill>
            <w14:solidFill>
              <w14:schemeClr w14:val="tx1"/>
            </w14:solidFill>
          </w14:textFill>
        </w:rPr>
        <w:t>的构成</w:t>
      </w:r>
    </w:p>
    <w:p w14:paraId="327201AE">
      <w:pPr>
        <w:autoSpaceDE w:val="0"/>
        <w:autoSpaceDN w:val="0"/>
        <w:snapToGrid w:val="0"/>
        <w:spacing w:line="500" w:lineRule="exact"/>
        <w:ind w:firstLine="464" w:firstLineChars="200"/>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1.1、采购公告</w:t>
      </w:r>
    </w:p>
    <w:p w14:paraId="3E885B8C">
      <w:pPr>
        <w:autoSpaceDE w:val="0"/>
        <w:autoSpaceDN w:val="0"/>
        <w:snapToGrid w:val="0"/>
        <w:spacing w:line="500" w:lineRule="exact"/>
        <w:ind w:firstLine="464" w:firstLineChars="200"/>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1.2、</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采购</w:t>
      </w:r>
      <w:r>
        <w:rPr>
          <w:rFonts w:hint="eastAsia" w:ascii="宋体" w:hAnsi="宋体" w:eastAsia="宋体" w:cs="宋体"/>
          <w:bCs/>
          <w:color w:val="000000" w:themeColor="text1"/>
          <w:spacing w:val="-4"/>
          <w:sz w:val="24"/>
          <w:szCs w:val="24"/>
          <w:highlight w:val="none"/>
          <w14:textFill>
            <w14:solidFill>
              <w14:schemeClr w14:val="tx1"/>
            </w14:solidFill>
          </w14:textFill>
        </w:rPr>
        <w:t>需求</w:t>
      </w:r>
    </w:p>
    <w:p w14:paraId="72EA8996">
      <w:pPr>
        <w:autoSpaceDE w:val="0"/>
        <w:autoSpaceDN w:val="0"/>
        <w:snapToGrid w:val="0"/>
        <w:spacing w:line="500" w:lineRule="exact"/>
        <w:ind w:firstLine="464" w:firstLineChars="200"/>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1.3、</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须知</w:t>
      </w:r>
    </w:p>
    <w:p w14:paraId="6EBD0B3E">
      <w:pPr>
        <w:autoSpaceDE w:val="0"/>
        <w:autoSpaceDN w:val="0"/>
        <w:snapToGrid w:val="0"/>
        <w:spacing w:line="500" w:lineRule="exact"/>
        <w:ind w:firstLine="464" w:firstLineChars="200"/>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1.4、评标办法及评分标准</w:t>
      </w:r>
    </w:p>
    <w:p w14:paraId="5CFDA0E3">
      <w:pPr>
        <w:autoSpaceDE w:val="0"/>
        <w:autoSpaceDN w:val="0"/>
        <w:snapToGrid w:val="0"/>
        <w:spacing w:line="500" w:lineRule="exact"/>
        <w:ind w:firstLine="464" w:firstLineChars="200"/>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1.5、采购合同条款</w:t>
      </w:r>
    </w:p>
    <w:p w14:paraId="60D59002">
      <w:pPr>
        <w:autoSpaceDE w:val="0"/>
        <w:autoSpaceDN w:val="0"/>
        <w:snapToGrid w:val="0"/>
        <w:spacing w:line="500" w:lineRule="exact"/>
        <w:ind w:firstLine="464" w:firstLineChars="200"/>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1.6、</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格式</w:t>
      </w:r>
    </w:p>
    <w:p w14:paraId="3420B834">
      <w:pPr>
        <w:autoSpaceDE w:val="0"/>
        <w:autoSpaceDN w:val="0"/>
        <w:snapToGrid w:val="0"/>
        <w:spacing w:line="500" w:lineRule="exact"/>
        <w:ind w:firstLine="464" w:firstLineChars="200"/>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1.7、本项目</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的澄清、答复、修改、补充的内容</w:t>
      </w:r>
    </w:p>
    <w:p w14:paraId="7E52E8EF">
      <w:pPr>
        <w:snapToGrid w:val="0"/>
        <w:spacing w:line="500" w:lineRule="exact"/>
        <w:ind w:firstLine="457" w:firstLineChars="196"/>
        <w:jc w:val="left"/>
        <w:rPr>
          <w:rFonts w:hint="eastAsia" w:ascii="宋体" w:hAnsi="宋体" w:eastAsia="宋体" w:cs="宋体"/>
          <w:b/>
          <w:bCs/>
          <w:color w:val="000000" w:themeColor="text1"/>
          <w:spacing w:val="-4"/>
          <w:sz w:val="24"/>
          <w:szCs w:val="24"/>
          <w:highlight w:val="none"/>
          <w14:textFill>
            <w14:solidFill>
              <w14:schemeClr w14:val="tx1"/>
            </w14:solidFill>
          </w14:textFill>
        </w:rPr>
      </w:pPr>
      <w:r>
        <w:rPr>
          <w:rFonts w:hint="eastAsia" w:ascii="宋体" w:hAnsi="宋体" w:eastAsia="宋体" w:cs="宋体"/>
          <w:b/>
          <w:bCs/>
          <w:color w:val="000000" w:themeColor="text1"/>
          <w:spacing w:val="-4"/>
          <w:sz w:val="24"/>
          <w:szCs w:val="24"/>
          <w:highlight w:val="none"/>
          <w14:textFill>
            <w14:solidFill>
              <w14:schemeClr w14:val="tx1"/>
            </w14:solidFill>
          </w14:textFill>
        </w:rPr>
        <w:t>2、存在的风险</w:t>
      </w:r>
    </w:p>
    <w:p w14:paraId="150D8362">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没有按照</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要求提供全部资料，或者</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没有对</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在各方面作出实质性响应是</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的风险，并可能导致其投标无效。</w:t>
      </w:r>
    </w:p>
    <w:p w14:paraId="1E2475B0">
      <w:pPr>
        <w:snapToGrid w:val="0"/>
        <w:spacing w:line="500" w:lineRule="exact"/>
        <w:ind w:firstLine="457" w:firstLineChars="196"/>
        <w:jc w:val="left"/>
        <w:rPr>
          <w:rFonts w:hint="eastAsia" w:ascii="宋体" w:hAnsi="宋体" w:eastAsia="宋体" w:cs="宋体"/>
          <w:b/>
          <w:bCs/>
          <w:color w:val="000000" w:themeColor="text1"/>
          <w:spacing w:val="-4"/>
          <w:sz w:val="24"/>
          <w:szCs w:val="24"/>
          <w:highlight w:val="none"/>
          <w14:textFill>
            <w14:solidFill>
              <w14:schemeClr w14:val="tx1"/>
            </w14:solidFill>
          </w14:textFill>
        </w:rPr>
      </w:pPr>
      <w:r>
        <w:rPr>
          <w:rFonts w:hint="eastAsia" w:ascii="宋体" w:hAnsi="宋体" w:eastAsia="宋体" w:cs="宋体"/>
          <w:b/>
          <w:bCs/>
          <w:color w:val="000000" w:themeColor="text1"/>
          <w:spacing w:val="-4"/>
          <w:sz w:val="24"/>
          <w:szCs w:val="24"/>
          <w:highlight w:val="none"/>
          <w14:textFill>
            <w14:solidFill>
              <w14:schemeClr w14:val="tx1"/>
            </w14:solidFill>
          </w14:textFill>
        </w:rPr>
        <w:t>3、</w:t>
      </w:r>
      <w:r>
        <w:rPr>
          <w:rFonts w:hint="eastAsia" w:ascii="宋体" w:hAnsi="宋体" w:eastAsia="宋体" w:cs="宋体"/>
          <w:b/>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
          <w:bCs/>
          <w:color w:val="000000" w:themeColor="text1"/>
          <w:spacing w:val="-4"/>
          <w:sz w:val="24"/>
          <w:szCs w:val="24"/>
          <w:highlight w:val="none"/>
          <w14:textFill>
            <w14:solidFill>
              <w14:schemeClr w14:val="tx1"/>
            </w14:solidFill>
          </w14:textFill>
        </w:rPr>
        <w:t>的澄清与修改</w:t>
      </w:r>
    </w:p>
    <w:p w14:paraId="6A0C82B0">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bookmarkStart w:id="51" w:name="_Hlk11356763"/>
      <w:r>
        <w:rPr>
          <w:rFonts w:hint="eastAsia" w:ascii="宋体" w:hAnsi="宋体" w:eastAsia="宋体" w:cs="宋体"/>
          <w:bCs/>
          <w:color w:val="000000" w:themeColor="text1"/>
          <w:spacing w:val="-4"/>
          <w:sz w:val="24"/>
          <w:szCs w:val="24"/>
          <w:highlight w:val="none"/>
          <w14:textFill>
            <w14:solidFill>
              <w14:schemeClr w14:val="tx1"/>
            </w14:solidFill>
          </w14:textFill>
        </w:rPr>
        <w:t>3.1、</w:t>
      </w:r>
      <w:bookmarkStart w:id="52" w:name="_Hlk11356817"/>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应认真阅读本</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，发现其中有误或有要求不合理的，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必须在知道或者应当知道之日起七个工作日内以书面形式要求采购代理机构澄清，否则，由此产生的后果由</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负责。</w:t>
      </w:r>
      <w:bookmarkEnd w:id="52"/>
    </w:p>
    <w:p w14:paraId="5E58DC66">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3.2、</w:t>
      </w:r>
      <w:bookmarkStart w:id="53" w:name="_Hlk11356826"/>
      <w:r>
        <w:rPr>
          <w:rFonts w:hint="eastAsia" w:ascii="宋体" w:hAnsi="宋体" w:eastAsia="宋体" w:cs="宋体"/>
          <w:bCs/>
          <w:color w:val="000000" w:themeColor="text1"/>
          <w:spacing w:val="-4"/>
          <w:sz w:val="24"/>
          <w:szCs w:val="24"/>
          <w:highlight w:val="none"/>
          <w14:textFill>
            <w14:solidFill>
              <w14:schemeClr w14:val="tx1"/>
            </w14:solidFill>
          </w14:textFill>
        </w:rPr>
        <w:t>采购代理机构必须以书面形式答复所有报名并获取</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（答复中不包含问题的来源）要求澄清的问题，同时认定其他澄清方式为无效。</w:t>
      </w:r>
      <w:bookmarkEnd w:id="53"/>
    </w:p>
    <w:p w14:paraId="551C9ED1">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3.3、</w:t>
      </w:r>
      <w:bookmarkStart w:id="54" w:name="_Hlk11356834"/>
      <w:r>
        <w:rPr>
          <w:rFonts w:hint="eastAsia" w:ascii="宋体" w:hAnsi="宋体" w:eastAsia="宋体" w:cs="宋体"/>
          <w:bCs/>
          <w:color w:val="000000" w:themeColor="text1"/>
          <w:spacing w:val="-4"/>
          <w:sz w:val="24"/>
          <w:szCs w:val="24"/>
          <w:highlight w:val="none"/>
          <w14:textFill>
            <w14:solidFill>
              <w14:schemeClr w14:val="tx1"/>
            </w14:solidFill>
          </w14:textFill>
        </w:rPr>
        <w:t>采购代理机构对已发出的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进行必要澄清或者修改的，应当在</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要求提交</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截止时间十五日前，在财政部门指定的政府采购信息发布媒体上发布更正公告。该澄清或者修改的内容为</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的组成部分。当</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与澄清或者修改就同一内容的表述不一致时，以最后发出的书面文件为准。</w:t>
      </w:r>
      <w:bookmarkEnd w:id="54"/>
    </w:p>
    <w:p w14:paraId="08FF3C3A">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3.4、</w:t>
      </w:r>
      <w:bookmarkStart w:id="55" w:name="_Hlk11356845"/>
      <w:r>
        <w:rPr>
          <w:rFonts w:hint="eastAsia" w:ascii="宋体" w:hAnsi="宋体" w:eastAsia="宋体" w:cs="宋体"/>
          <w:bCs/>
          <w:color w:val="000000" w:themeColor="text1"/>
          <w:spacing w:val="-4"/>
          <w:sz w:val="24"/>
          <w:szCs w:val="24"/>
          <w:highlight w:val="none"/>
          <w14:textFill>
            <w14:solidFill>
              <w14:schemeClr w14:val="tx1"/>
            </w14:solidFill>
          </w14:textFill>
        </w:rPr>
        <w:t>采购代理机构和采购单位可以视采购具体情况，延长投标截止时间和开标时间，但至少应当在</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要求提交</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的截止时间三日前，将变更时间书面通知所有</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收受人，并在财政部门指定的政府采购信息发布媒体上发布变更公告</w:t>
      </w:r>
      <w:bookmarkEnd w:id="55"/>
      <w:r>
        <w:rPr>
          <w:rFonts w:hint="eastAsia" w:ascii="宋体" w:hAnsi="宋体" w:eastAsia="宋体" w:cs="宋体"/>
          <w:bCs/>
          <w:color w:val="000000" w:themeColor="text1"/>
          <w:spacing w:val="-4"/>
          <w:sz w:val="24"/>
          <w:szCs w:val="24"/>
          <w:highlight w:val="none"/>
          <w14:textFill>
            <w14:solidFill>
              <w14:schemeClr w14:val="tx1"/>
            </w14:solidFill>
          </w14:textFill>
        </w:rPr>
        <w:t>。</w:t>
      </w:r>
    </w:p>
    <w:p w14:paraId="0137509C">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3.5、</w:t>
      </w:r>
      <w:bookmarkStart w:id="56" w:name="_Hlk11356851"/>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的澄清或者修改都应该通过本代理机构以法定形式发布，采购人非通过本机构，不得擅自澄清或者修改</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w:t>
      </w:r>
      <w:bookmarkEnd w:id="56"/>
    </w:p>
    <w:bookmarkEnd w:id="51"/>
    <w:p w14:paraId="51C1A250">
      <w:pPr>
        <w:pStyle w:val="18"/>
        <w:spacing w:before="120" w:beforeLines="0" w:after="120" w:afterLines="0" w:line="500" w:lineRule="exact"/>
        <w:ind w:firstLine="601"/>
        <w:jc w:val="center"/>
        <w:outlineLvl w:val="1"/>
        <w:rPr>
          <w:rFonts w:hint="eastAsia" w:ascii="宋体" w:hAnsi="宋体" w:eastAsia="宋体" w:cs="宋体"/>
          <w:b/>
          <w:color w:val="000000" w:themeColor="text1"/>
          <w:sz w:val="36"/>
          <w:szCs w:val="36"/>
          <w:highlight w:val="none"/>
          <w14:textFill>
            <w14:solidFill>
              <w14:schemeClr w14:val="tx1"/>
            </w14:solidFill>
          </w14:textFill>
        </w:rPr>
      </w:pPr>
      <w:bookmarkStart w:id="57" w:name="_Toc11350"/>
      <w:bookmarkStart w:id="58" w:name="_Toc417992891"/>
      <w:r>
        <w:rPr>
          <w:rFonts w:hint="eastAsia" w:ascii="宋体" w:hAnsi="宋体" w:eastAsia="宋体" w:cs="宋体"/>
          <w:b/>
          <w:color w:val="000000" w:themeColor="text1"/>
          <w:sz w:val="36"/>
          <w:szCs w:val="36"/>
          <w:highlight w:val="none"/>
          <w14:textFill>
            <w14:solidFill>
              <w14:schemeClr w14:val="tx1"/>
            </w14:solidFill>
          </w14:textFill>
        </w:rPr>
        <w:t>三、</w:t>
      </w:r>
      <w:r>
        <w:rPr>
          <w:rFonts w:hint="eastAsia" w:ascii="宋体" w:hAnsi="宋体" w:eastAsia="宋体" w:cs="宋体"/>
          <w:b/>
          <w:color w:val="000000" w:themeColor="text1"/>
          <w:sz w:val="36"/>
          <w:szCs w:val="36"/>
          <w:highlight w:val="none"/>
          <w:lang w:eastAsia="zh-CN"/>
          <w14:textFill>
            <w14:solidFill>
              <w14:schemeClr w14:val="tx1"/>
            </w14:solidFill>
          </w14:textFill>
        </w:rPr>
        <w:t>响应文件</w:t>
      </w:r>
      <w:r>
        <w:rPr>
          <w:rFonts w:hint="eastAsia" w:ascii="宋体" w:hAnsi="宋体" w:eastAsia="宋体" w:cs="宋体"/>
          <w:b/>
          <w:color w:val="000000" w:themeColor="text1"/>
          <w:sz w:val="36"/>
          <w:szCs w:val="36"/>
          <w:highlight w:val="none"/>
          <w14:textFill>
            <w14:solidFill>
              <w14:schemeClr w14:val="tx1"/>
            </w14:solidFill>
          </w14:textFill>
        </w:rPr>
        <w:t>的编制</w:t>
      </w:r>
      <w:bookmarkEnd w:id="57"/>
      <w:bookmarkStart w:id="59" w:name="_Toc417992884"/>
    </w:p>
    <w:p w14:paraId="56223631">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本项目所涉</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格式详见第六章，未给出的格式请自拟。</w:t>
      </w:r>
    </w:p>
    <w:p w14:paraId="3DC75441">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1、供应商应仔细阅读</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的所有内容，按本文件的要求提供</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，并保证所提供的全部资料的真实性，以使其</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对</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作出实质性响应，否则，</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可能视为无效</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w:t>
      </w:r>
    </w:p>
    <w:p w14:paraId="038365AE">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及供应商与采购有关的来往通知，函件和文件均应使用中文。</w:t>
      </w:r>
    </w:p>
    <w:p w14:paraId="5F2F48A1">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3、供应商应按本文件中提供的文件格式、内容和要求制作</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w:t>
      </w:r>
    </w:p>
    <w:p w14:paraId="1B13CE9A">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4、</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的效力：</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的启用，按先后顺位分别为电子</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、电子备份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。通过“政府采购云平台”成功上传递交的“电子加密</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”无法按时解密，投标供应商如按规定递交了“备份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”的，以“备份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”为依据（由采购组织机构按“政府采购云平台”操作规范将“备份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”上传至“政府采购云平台”，上传成功后，“电子加密</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”自动失效），否则视为</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撤回。</w:t>
      </w:r>
    </w:p>
    <w:p w14:paraId="15C25D9B">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5、</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的组成</w:t>
      </w:r>
      <w:bookmarkEnd w:id="59"/>
    </w:p>
    <w:p w14:paraId="1064D694">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（一）投标函</w:t>
      </w:r>
    </w:p>
    <w:p w14:paraId="46C0B7B3">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（二）法定代表人</w:t>
      </w:r>
      <w:r>
        <w:rPr>
          <w:rFonts w:hint="eastAsia" w:ascii="宋体" w:hAnsi="宋体" w:eastAsia="宋体" w:cs="宋体"/>
          <w:color w:val="000000" w:themeColor="text1"/>
          <w:sz w:val="24"/>
          <w:szCs w:val="24"/>
          <w:highlight w:val="none"/>
          <w:lang w:val="en-US" w:eastAsia="zh-CN"/>
          <w14:textFill>
            <w14:solidFill>
              <w14:schemeClr w14:val="tx1"/>
            </w14:solidFill>
          </w14:textFill>
        </w:rPr>
        <w:t>身份证明及法定代表人</w:t>
      </w:r>
      <w:r>
        <w:rPr>
          <w:rFonts w:hint="eastAsia" w:ascii="宋体" w:hAnsi="宋体" w:eastAsia="宋体" w:cs="宋体"/>
          <w:color w:val="000000" w:themeColor="text1"/>
          <w:sz w:val="24"/>
          <w:szCs w:val="24"/>
          <w:highlight w:val="none"/>
          <w14:textFill>
            <w14:solidFill>
              <w14:schemeClr w14:val="tx1"/>
            </w14:solidFill>
          </w14:textFill>
        </w:rPr>
        <w:t>授权委托书</w:t>
      </w:r>
    </w:p>
    <w:p w14:paraId="3A78C82C">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（三）其他声明</w:t>
      </w:r>
    </w:p>
    <w:p w14:paraId="247035A2">
      <w:pPr>
        <w:keepNext w:val="0"/>
        <w:keepLines w:val="0"/>
        <w:pageBreakBefore w:val="0"/>
        <w:widowControl w:val="0"/>
        <w:kinsoku/>
        <w:wordWrap/>
        <w:overflowPunct/>
        <w:topLinePunct w:val="0"/>
        <w:autoSpaceDE/>
        <w:autoSpaceDN/>
        <w:bidi w:val="0"/>
        <w:adjustRightInd/>
        <w:snapToGrid w:val="0"/>
        <w:spacing w:line="50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（1）政府采购活动现场确认声明书</w:t>
      </w:r>
    </w:p>
    <w:p w14:paraId="70015268">
      <w:pPr>
        <w:keepNext w:val="0"/>
        <w:keepLines w:val="0"/>
        <w:pageBreakBefore w:val="0"/>
        <w:widowControl w:val="0"/>
        <w:kinsoku/>
        <w:wordWrap/>
        <w:overflowPunct/>
        <w:topLinePunct w:val="0"/>
        <w:autoSpaceDE/>
        <w:autoSpaceDN/>
        <w:bidi w:val="0"/>
        <w:adjustRightInd/>
        <w:snapToGrid w:val="0"/>
        <w:spacing w:line="50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（2）投标声明书</w:t>
      </w:r>
    </w:p>
    <w:p w14:paraId="67BEF579">
      <w:pPr>
        <w:keepNext w:val="0"/>
        <w:keepLines w:val="0"/>
        <w:pageBreakBefore w:val="0"/>
        <w:widowControl w:val="0"/>
        <w:kinsoku/>
        <w:wordWrap/>
        <w:overflowPunct/>
        <w:topLinePunct w:val="0"/>
        <w:autoSpaceDE/>
        <w:autoSpaceDN/>
        <w:bidi w:val="0"/>
        <w:adjustRightInd/>
        <w:snapToGrid w:val="0"/>
        <w:spacing w:line="50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（3）诚信承诺书</w:t>
      </w:r>
    </w:p>
    <w:p w14:paraId="0940166F">
      <w:pPr>
        <w:keepNext w:val="0"/>
        <w:keepLines w:val="0"/>
        <w:pageBreakBefore w:val="0"/>
        <w:widowControl w:val="0"/>
        <w:kinsoku/>
        <w:wordWrap/>
        <w:overflowPunct/>
        <w:topLinePunct w:val="0"/>
        <w:autoSpaceDE/>
        <w:autoSpaceDN/>
        <w:bidi w:val="0"/>
        <w:adjustRightInd/>
        <w:snapToGrid w:val="0"/>
        <w:spacing w:line="50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（4）中小企业声明函</w:t>
      </w:r>
    </w:p>
    <w:p w14:paraId="4F837D17">
      <w:pPr>
        <w:keepNext w:val="0"/>
        <w:keepLines w:val="0"/>
        <w:pageBreakBefore w:val="0"/>
        <w:widowControl w:val="0"/>
        <w:kinsoku/>
        <w:wordWrap/>
        <w:overflowPunct/>
        <w:topLinePunct w:val="0"/>
        <w:autoSpaceDE/>
        <w:autoSpaceDN/>
        <w:bidi w:val="0"/>
        <w:adjustRightInd/>
        <w:snapToGrid w:val="0"/>
        <w:spacing w:line="50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（5）残疾人福利性单位声明函</w:t>
      </w:r>
    </w:p>
    <w:p w14:paraId="1C7D6164">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（四）商务响应表</w:t>
      </w:r>
    </w:p>
    <w:p w14:paraId="3B6C6E54">
      <w:pPr>
        <w:keepNext w:val="0"/>
        <w:keepLines w:val="0"/>
        <w:pageBreakBefore w:val="0"/>
        <w:widowControl w:val="0"/>
        <w:kinsoku/>
        <w:wordWrap/>
        <w:overflowPunct/>
        <w:topLinePunct w:val="0"/>
        <w:autoSpaceDE/>
        <w:autoSpaceDN/>
        <w:bidi w:val="0"/>
        <w:adjustRightInd/>
        <w:snapToGrid w:val="0"/>
        <w:spacing w:line="50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基本情况表</w:t>
      </w:r>
    </w:p>
    <w:p w14:paraId="390C96BC">
      <w:pPr>
        <w:keepNext w:val="0"/>
        <w:keepLines w:val="0"/>
        <w:pageBreakBefore w:val="0"/>
        <w:widowControl w:val="0"/>
        <w:kinsoku/>
        <w:wordWrap/>
        <w:overflowPunct/>
        <w:topLinePunct w:val="0"/>
        <w:autoSpaceDE/>
        <w:autoSpaceDN/>
        <w:bidi w:val="0"/>
        <w:adjustRightInd/>
        <w:snapToGrid w:val="0"/>
        <w:spacing w:line="50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(2)年月日以来完成或承接过的类似项目情况表</w:t>
      </w:r>
    </w:p>
    <w:p w14:paraId="1934B383">
      <w:pPr>
        <w:keepNext w:val="0"/>
        <w:keepLines w:val="0"/>
        <w:pageBreakBefore w:val="0"/>
        <w:widowControl w:val="0"/>
        <w:kinsoku/>
        <w:wordWrap/>
        <w:overflowPunct/>
        <w:topLinePunct w:val="0"/>
        <w:autoSpaceDE/>
        <w:autoSpaceDN/>
        <w:bidi w:val="0"/>
        <w:adjustRightInd/>
        <w:snapToGrid w:val="0"/>
        <w:spacing w:line="50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(3)拟委任的主要人员汇总表</w:t>
      </w:r>
    </w:p>
    <w:p w14:paraId="53345CCC">
      <w:pPr>
        <w:keepNext w:val="0"/>
        <w:keepLines w:val="0"/>
        <w:pageBreakBefore w:val="0"/>
        <w:widowControl w:val="0"/>
        <w:kinsoku/>
        <w:wordWrap/>
        <w:overflowPunct/>
        <w:topLinePunct w:val="0"/>
        <w:autoSpaceDE/>
        <w:autoSpaceDN/>
        <w:bidi w:val="0"/>
        <w:adjustRightInd/>
        <w:snapToGrid w:val="0"/>
        <w:spacing w:line="500" w:lineRule="exact"/>
        <w:ind w:firstLine="960" w:firstLineChars="4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(4)拟委任的主要人员资历表</w:t>
      </w:r>
    </w:p>
    <w:p w14:paraId="426D0616">
      <w:pPr>
        <w:snapToGrid w:val="0"/>
        <w:spacing w:line="50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w:t>
      </w:r>
      <w:r>
        <w:rPr>
          <w:rFonts w:hint="eastAsia" w:ascii="宋体" w:hAnsi="宋体" w:eastAsia="宋体" w:cs="宋体"/>
          <w:color w:val="000000" w:themeColor="text1"/>
          <w:sz w:val="24"/>
          <w:szCs w:val="24"/>
          <w:highlight w:val="none"/>
          <w:lang w:val="en-US" w:eastAsia="zh-CN"/>
          <w14:textFill>
            <w14:solidFill>
              <w14:schemeClr w14:val="tx1"/>
            </w14:solidFill>
          </w14:textFill>
        </w:rPr>
        <w:t>技术响应文件</w:t>
      </w:r>
    </w:p>
    <w:p w14:paraId="11179E11">
      <w:pPr>
        <w:snapToGrid w:val="0"/>
        <w:spacing w:line="50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w:t>
      </w:r>
      <w:r>
        <w:rPr>
          <w:rFonts w:hint="eastAsia" w:ascii="宋体" w:hAnsi="宋体" w:eastAsia="宋体" w:cs="宋体"/>
          <w:color w:val="000000" w:themeColor="text1"/>
          <w:sz w:val="24"/>
          <w:szCs w:val="24"/>
          <w:highlight w:val="none"/>
          <w:lang w:val="en-US" w:eastAsia="zh-CN"/>
          <w14:textFill>
            <w14:solidFill>
              <w14:schemeClr w14:val="tx1"/>
            </w14:solidFill>
          </w14:textFill>
        </w:rPr>
        <w:t>报价清单</w:t>
      </w:r>
    </w:p>
    <w:p w14:paraId="676C9378">
      <w:pPr>
        <w:keepNext w:val="0"/>
        <w:keepLines w:val="0"/>
        <w:pageBreakBefore w:val="0"/>
        <w:widowControl w:val="0"/>
        <w:kinsoku/>
        <w:wordWrap/>
        <w:overflowPunct/>
        <w:topLinePunct w:val="0"/>
        <w:autoSpaceDE/>
        <w:autoSpaceDN/>
        <w:bidi w:val="0"/>
        <w:adjustRightInd/>
        <w:snapToGrid w:val="0"/>
        <w:spacing w:line="500" w:lineRule="exact"/>
        <w:ind w:firstLine="960" w:firstLineChars="4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投标报价汇总表</w:t>
      </w:r>
    </w:p>
    <w:p w14:paraId="6594B8CB">
      <w:pPr>
        <w:keepNext w:val="0"/>
        <w:keepLines w:val="0"/>
        <w:pageBreakBefore w:val="0"/>
        <w:widowControl w:val="0"/>
        <w:kinsoku/>
        <w:wordWrap/>
        <w:overflowPunct/>
        <w:topLinePunct w:val="0"/>
        <w:autoSpaceDE/>
        <w:autoSpaceDN/>
        <w:bidi w:val="0"/>
        <w:adjustRightInd/>
        <w:snapToGrid w:val="0"/>
        <w:spacing w:line="500" w:lineRule="exact"/>
        <w:ind w:firstLine="960" w:firstLineChars="40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报价清单表</w:t>
      </w:r>
    </w:p>
    <w:p w14:paraId="49427BDE">
      <w:pPr>
        <w:snapToGrid w:val="0"/>
        <w:spacing w:line="50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w:t>
      </w:r>
      <w:r>
        <w:rPr>
          <w:rFonts w:hint="eastAsia" w:ascii="宋体" w:hAnsi="宋体" w:eastAsia="宋体" w:cs="宋体"/>
          <w:color w:val="000000" w:themeColor="text1"/>
          <w:sz w:val="24"/>
          <w:szCs w:val="24"/>
          <w:highlight w:val="none"/>
          <w:lang w:val="en-US" w:eastAsia="zh-CN"/>
          <w14:textFill>
            <w14:solidFill>
              <w14:schemeClr w14:val="tx1"/>
            </w14:solidFill>
          </w14:textFill>
        </w:rPr>
        <w:t>其他材料</w:t>
      </w:r>
    </w:p>
    <w:p w14:paraId="34317471">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6、</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的语言及计量</w:t>
      </w:r>
    </w:p>
    <w:p w14:paraId="5490738B">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6.1、▲</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以及</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与</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采购人</w:t>
      </w:r>
      <w:r>
        <w:rPr>
          <w:rFonts w:hint="eastAsia" w:ascii="宋体" w:hAnsi="宋体" w:eastAsia="宋体" w:cs="宋体"/>
          <w:bCs/>
          <w:color w:val="000000" w:themeColor="text1"/>
          <w:spacing w:val="-4"/>
          <w:sz w:val="24"/>
          <w:szCs w:val="24"/>
          <w:highlight w:val="none"/>
          <w14:textFill>
            <w14:solidFill>
              <w14:schemeClr w14:val="tx1"/>
            </w14:solidFill>
          </w14:textFill>
        </w:rPr>
        <w:t>就有关投标事宜的所有来往函电，均应以中文书写。</w:t>
      </w:r>
    </w:p>
    <w:p w14:paraId="36ACEC7D">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6.2、▲投标计量单位，除</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中有特殊要求外，应采用中华人民共和国法定计量单位，货币单位：人民币元。</w:t>
      </w:r>
      <w:bookmarkStart w:id="60" w:name="_Toc417992885"/>
      <w:bookmarkStart w:id="61" w:name="_Toc177824945"/>
      <w:bookmarkStart w:id="62" w:name="_Toc177824878"/>
      <w:bookmarkStart w:id="63" w:name="_Toc177870548"/>
      <w:bookmarkStart w:id="64" w:name="_Toc177825126"/>
    </w:p>
    <w:p w14:paraId="70F8A4DA">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7、投标报价</w:t>
      </w:r>
      <w:bookmarkEnd w:id="60"/>
      <w:bookmarkEnd w:id="61"/>
      <w:bookmarkEnd w:id="62"/>
      <w:bookmarkEnd w:id="63"/>
      <w:bookmarkEnd w:id="64"/>
    </w:p>
    <w:p w14:paraId="5B77C846">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7.1、投标报价应按</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中相关附表格式填写。</w:t>
      </w:r>
    </w:p>
    <w:p w14:paraId="2FFD0303">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7.2、▲报价应包括按</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要求所完成本项目所需费用，包括提供本项目服务工作所需的人员工资、奖金、加班费、社会保险、管理费用、税费、利润、</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采购</w:t>
      </w:r>
      <w:r>
        <w:rPr>
          <w:rFonts w:hint="eastAsia" w:ascii="宋体" w:hAnsi="宋体" w:eastAsia="宋体" w:cs="宋体"/>
          <w:bCs/>
          <w:color w:val="000000" w:themeColor="text1"/>
          <w:spacing w:val="-4"/>
          <w:sz w:val="24"/>
          <w:szCs w:val="24"/>
          <w:highlight w:val="none"/>
          <w14:textFill>
            <w14:solidFill>
              <w14:schemeClr w14:val="tx1"/>
            </w14:solidFill>
          </w14:textFill>
        </w:rPr>
        <w:t>服务费、规划成果专家评审费以及完成合同所需的一切本身和不可或缺的所有工作开支、政策性文件规定及合同包含的所有风险、责任等各项全部费用</w:t>
      </w:r>
    </w:p>
    <w:p w14:paraId="6DC3755A">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7.3、▲投标报价只允许有一个报价，有选择的报价将不予接受。</w:t>
      </w:r>
    </w:p>
    <w:p w14:paraId="61D632C7">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8、</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的有效期</w:t>
      </w:r>
    </w:p>
    <w:p w14:paraId="411C5DFF">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8.1、▲自投标截止日起90天投标书应保持有效。如采购人认为必要，可延长至总计最长不超过90天。有效期短于这个规定期限的投标将被拒绝。</w:t>
      </w:r>
    </w:p>
    <w:p w14:paraId="1389FB84">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8.2、在特殊情况下，</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采购</w:t>
      </w:r>
      <w:r>
        <w:rPr>
          <w:rFonts w:hint="eastAsia" w:ascii="宋体" w:hAnsi="宋体" w:eastAsia="宋体" w:cs="宋体"/>
          <w:bCs/>
          <w:color w:val="000000" w:themeColor="text1"/>
          <w:spacing w:val="-4"/>
          <w:sz w:val="24"/>
          <w:szCs w:val="24"/>
          <w:highlight w:val="none"/>
          <w14:textFill>
            <w14:solidFill>
              <w14:schemeClr w14:val="tx1"/>
            </w14:solidFill>
          </w14:textFill>
        </w:rPr>
        <w:t>人可与</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协商延长投标书的有效期，这种要求和答复均以书面形式进行。</w:t>
      </w:r>
      <w:bookmarkStart w:id="65" w:name="_Toc417992886"/>
      <w:bookmarkStart w:id="66" w:name="_Toc177824879"/>
      <w:bookmarkStart w:id="67" w:name="_Toc177870549"/>
      <w:bookmarkStart w:id="68" w:name="_Toc177824946"/>
      <w:bookmarkStart w:id="69" w:name="_Toc177825127"/>
    </w:p>
    <w:p w14:paraId="0EC542DF">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8.3、</w:t>
      </w:r>
      <w:bookmarkEnd w:id="65"/>
      <w:bookmarkEnd w:id="66"/>
      <w:bookmarkEnd w:id="67"/>
      <w:bookmarkEnd w:id="68"/>
      <w:bookmarkEnd w:id="69"/>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可拒绝接受延期要求。同意延长有效期的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不能修改</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w:t>
      </w:r>
      <w:bookmarkStart w:id="70" w:name="_Toc177825128"/>
      <w:bookmarkStart w:id="71" w:name="_Toc177824880"/>
      <w:bookmarkStart w:id="72" w:name="_Toc417992887"/>
      <w:bookmarkStart w:id="73" w:name="_Toc177870550"/>
      <w:bookmarkStart w:id="74" w:name="_Toc177824947"/>
    </w:p>
    <w:p w14:paraId="4386B652">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8.4.中标人的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自开标之日起至合同履行完毕止均应保持有效。</w:t>
      </w:r>
    </w:p>
    <w:p w14:paraId="34003A4D">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9、</w:t>
      </w:r>
      <w:bookmarkEnd w:id="70"/>
      <w:bookmarkEnd w:id="71"/>
      <w:bookmarkEnd w:id="72"/>
      <w:bookmarkEnd w:id="73"/>
      <w:bookmarkEnd w:id="74"/>
      <w:r>
        <w:rPr>
          <w:rFonts w:hint="eastAsia" w:ascii="宋体" w:hAnsi="宋体" w:eastAsia="宋体" w:cs="宋体"/>
          <w:bCs/>
          <w:color w:val="000000" w:themeColor="text1"/>
          <w:spacing w:val="-4"/>
          <w:sz w:val="24"/>
          <w:szCs w:val="24"/>
          <w:highlight w:val="none"/>
          <w14:textFill>
            <w14:solidFill>
              <w14:schemeClr w14:val="tx1"/>
            </w14:solidFill>
          </w14:textFill>
        </w:rPr>
        <w:t>本项目无需提供投标保证金。</w:t>
      </w:r>
    </w:p>
    <w:p w14:paraId="7534370C">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10、</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的签署和份数</w:t>
      </w:r>
    </w:p>
    <w:p w14:paraId="7DE237A7">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的形式：☑电子</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（包括“电子加密</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”和“备份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”，在</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编制完成后同时生成）；</w:t>
      </w:r>
    </w:p>
    <w:p w14:paraId="4CA8DCFC">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10.1、“电子加密</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”是指通过“政采云电子交易客户端”完成</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编制后生成并加密的数据电文形式的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w:t>
      </w:r>
    </w:p>
    <w:p w14:paraId="36D838BE">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10.2、“备份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”是指与“电子加密</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”同时生成的数据电文形式的电子文件（备份标书），其他方式编制的备份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视为无效备份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w:t>
      </w:r>
    </w:p>
    <w:p w14:paraId="11BEAB81">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11、</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的上传和递交</w:t>
      </w:r>
    </w:p>
    <w:p w14:paraId="710AB9AB">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11.1、“电子加密</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”的上传、递交：投标供应商应在投标截止时间前将“电子加密</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”成功上传递交至“政府采购云平台”，否则投标无效。</w:t>
      </w:r>
    </w:p>
    <w:p w14:paraId="6F37178B">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11.2、“备份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”的密封包装、递交：</w:t>
      </w:r>
    </w:p>
    <w:p w14:paraId="5DFD460F">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a.投标供应商在“政府采购云平台”完成“电子加密</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”的上传递交后，还可以（邮寄形式）在投标截止时间前递交以介质（U盘）存储的“备份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”（一份）；</w:t>
      </w:r>
    </w:p>
    <w:p w14:paraId="6B791D7A">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b.“备份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”应当密封包装，并在包装上标注投标项目名称、投标单位名称并加盖公章。没有密封包装或者逾期邮寄送达至邮寄接收地点的“备份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”将不予接收；</w:t>
      </w:r>
    </w:p>
    <w:p w14:paraId="5AF32A3F">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c.通过“政府采购云平台”成功上传递交的“电子加密</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”已按时解密的，“备份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”自动失效。投标截止时间前，投标供应商仅递交了“备份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”而未将“电子加密</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”成功上传至“政府采购云平台”的，投标无效。</w:t>
      </w:r>
    </w:p>
    <w:p w14:paraId="0700EF56">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12、投标无效的情形</w:t>
      </w:r>
    </w:p>
    <w:p w14:paraId="436787A8">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bookmarkStart w:id="75" w:name="_Hlk11357745"/>
      <w:r>
        <w:rPr>
          <w:rFonts w:hint="eastAsia" w:ascii="宋体" w:hAnsi="宋体" w:eastAsia="宋体" w:cs="宋体"/>
          <w:bCs/>
          <w:color w:val="000000" w:themeColor="text1"/>
          <w:spacing w:val="-4"/>
          <w:sz w:val="24"/>
          <w:szCs w:val="24"/>
          <w:highlight w:val="none"/>
          <w14:textFill>
            <w14:solidFill>
              <w14:schemeClr w14:val="tx1"/>
            </w14:solidFill>
          </w14:textFill>
        </w:rPr>
        <w:t>根据《政府采购货物和服务招标投标管理办法》有下列情形之一的，视为</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串通投标，其投标无效：</w:t>
      </w:r>
    </w:p>
    <w:p w14:paraId="7B291F39">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(一)不同</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由同一单位或者个人编制;</w:t>
      </w:r>
    </w:p>
    <w:p w14:paraId="12366B4C">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(二)不同</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委托同一单位或者个人办理投标事宜;</w:t>
      </w:r>
    </w:p>
    <w:p w14:paraId="485C4BA5">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(三)不同</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载明的项目管理成员或者联系人员为同一人;</w:t>
      </w:r>
    </w:p>
    <w:p w14:paraId="0AB52BF9">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(四)不同</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异常一致或者投标报价呈规律性差异;</w:t>
      </w:r>
    </w:p>
    <w:p w14:paraId="1A41F29F">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(五)不同</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相互混装;</w:t>
      </w:r>
    </w:p>
    <w:bookmarkEnd w:id="75"/>
    <w:p w14:paraId="291633FB">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实质上没有响应</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要求的投标将被视为无效投标。</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不得通过修正或撤消不合要求的偏离或保留从而使其投标成为实质上响应的投标，但经评标委员会认定属于</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疏忽、笔误所造成的差错，应当允许其在评标结束之前进行修改或者补正（可以是复印件、传真件等，原件必须加盖单位公章）。修改或者补正</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必须以书面形式进行，并应在中标结果公告之前查核原件。限期内不补正或经补正后仍不符合</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要求的，应认定其投标无效。</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修改、补正</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后，不影响评标委员会对其</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所作的评价和评分结果。</w:t>
      </w:r>
    </w:p>
    <w:p w14:paraId="7313B73F">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1.电子</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解密失败的，且未在规定时间内提交备份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w:t>
      </w:r>
    </w:p>
    <w:p w14:paraId="44BA1FD8">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2.没有通过资格审查的，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将被视为无效。</w:t>
      </w:r>
    </w:p>
    <w:p w14:paraId="24493EF5">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3.在符合性审查和商务评审时，如发现下列情形之一的，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将被视为无效：</w:t>
      </w:r>
    </w:p>
    <w:p w14:paraId="0B8956A0">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bookmarkStart w:id="76" w:name="_Hlk11357822"/>
      <w:r>
        <w:rPr>
          <w:rFonts w:hint="eastAsia" w:ascii="宋体" w:hAnsi="宋体" w:eastAsia="宋体" w:cs="宋体"/>
          <w:bCs/>
          <w:color w:val="000000" w:themeColor="text1"/>
          <w:spacing w:val="-4"/>
          <w:sz w:val="24"/>
          <w:szCs w:val="24"/>
          <w:highlight w:val="none"/>
          <w14:textFill>
            <w14:solidFill>
              <w14:schemeClr w14:val="tx1"/>
            </w14:solidFill>
          </w14:textFill>
        </w:rPr>
        <w:t>（1）电子</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未按规定要求提供电子签章的；</w:t>
      </w:r>
    </w:p>
    <w:bookmarkEnd w:id="76"/>
    <w:p w14:paraId="2D48A6E7">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（2）资格证明文件不全的，或者不符合</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标明的资格要求的；</w:t>
      </w:r>
    </w:p>
    <w:p w14:paraId="6A378F54">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无法定代表人签字（或盖章）,或未提供法定代表人授权委托书、投标声明书或者填写项目不齐全的；</w:t>
      </w:r>
    </w:p>
    <w:p w14:paraId="20BE5A54">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（4）投标代表人未能出具身份证明或与法定代表人授权委托人身份不符的；</w:t>
      </w:r>
    </w:p>
    <w:p w14:paraId="15182A69">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（5）</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格式不规范、项目不齐全或者内容虚假的；</w:t>
      </w:r>
    </w:p>
    <w:p w14:paraId="3FB330BD">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（6）</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的实质性内容未使用中文表述、意思表述不明确、前后矛盾或者使用计量单位不符合</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要求的（经评标委员会认定并允许其当场更正的笔误除外）</w:t>
      </w:r>
    </w:p>
    <w:p w14:paraId="2B847B78">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（7）投标有效期、成果提交时间等商务条款不能满足</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要求的；</w:t>
      </w:r>
    </w:p>
    <w:p w14:paraId="53CBFA45">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（8）未实质性响应</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要求或者</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有</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采购人</w:t>
      </w:r>
      <w:r>
        <w:rPr>
          <w:rFonts w:hint="eastAsia" w:ascii="宋体" w:hAnsi="宋体" w:eastAsia="宋体" w:cs="宋体"/>
          <w:bCs/>
          <w:color w:val="000000" w:themeColor="text1"/>
          <w:spacing w:val="-4"/>
          <w:sz w:val="24"/>
          <w:szCs w:val="24"/>
          <w:highlight w:val="none"/>
          <w14:textFill>
            <w14:solidFill>
              <w14:schemeClr w14:val="tx1"/>
            </w14:solidFill>
          </w14:textFill>
        </w:rPr>
        <w:t>不能接受的附加条件的；</w:t>
      </w:r>
    </w:p>
    <w:p w14:paraId="18C49615">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4、在技术评审时，如发现下列情形之一的，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将被视为无效：</w:t>
      </w:r>
    </w:p>
    <w:p w14:paraId="3C31FE4B">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（1）未提供或未如实提供投标货物的技术参数，或者</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标明的响应或偏离与事实不符或虚假投标的；</w:t>
      </w:r>
    </w:p>
    <w:p w14:paraId="79484178">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（2）明显不符合</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要求的规格型号、质量标准，或者与</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中标“▲”的技术指标、主要功能项目发生实质性偏离的；</w:t>
      </w:r>
    </w:p>
    <w:p w14:paraId="0C9DA3B1">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（3）投标技术方案不明确，存在一个或一个以上备选（替代）投标方案的。</w:t>
      </w:r>
    </w:p>
    <w:p w14:paraId="29F854A0">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（4）与其他参加本次投标供应商的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（技术文件）的文字表述内容相同连续20行以上或者差错相同2处以上的；</w:t>
      </w:r>
    </w:p>
    <w:p w14:paraId="6F0DD0B3">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5、在报价评审时，如发现下列情形之一的，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将被视为无效：</w:t>
      </w:r>
    </w:p>
    <w:p w14:paraId="2E51DD7C">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（1）未采用人民币报价或者未按照</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标明的币种报价的；</w:t>
      </w:r>
    </w:p>
    <w:p w14:paraId="6A05AFCB">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（2）报价超出最高限价，或者超出采购预算金额(自主创新产品除外)，采购人不能支付的；</w:t>
      </w:r>
    </w:p>
    <w:p w14:paraId="480523FE">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（3）投标报价具有选择性，或者开标价格与</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承诺的优惠（折扣）价格不一致的。</w:t>
      </w:r>
    </w:p>
    <w:p w14:paraId="4FE9259F">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（4）投标报价明细表总额与开标一览表总价不一致，且高于总价5％的。</w:t>
      </w:r>
    </w:p>
    <w:p w14:paraId="38A1FFCC">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bookmarkStart w:id="77" w:name="_Toc417992890"/>
      <w:r>
        <w:rPr>
          <w:rFonts w:hint="eastAsia" w:ascii="宋体" w:hAnsi="宋体" w:eastAsia="宋体" w:cs="宋体"/>
          <w:bCs/>
          <w:color w:val="000000" w:themeColor="text1"/>
          <w:spacing w:val="-4"/>
          <w:sz w:val="24"/>
          <w:szCs w:val="24"/>
          <w:highlight w:val="none"/>
          <w14:textFill>
            <w14:solidFill>
              <w14:schemeClr w14:val="tx1"/>
            </w14:solidFill>
          </w14:textFill>
        </w:rPr>
        <w:t>6、被拒绝的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为无效。</w:t>
      </w:r>
      <w:bookmarkEnd w:id="77"/>
    </w:p>
    <w:p w14:paraId="0ABB6CA7">
      <w:pPr>
        <w:autoSpaceDE w:val="0"/>
        <w:autoSpaceDN w:val="0"/>
        <w:snapToGrid w:val="0"/>
        <w:spacing w:before="120" w:after="120" w:line="500" w:lineRule="exact"/>
        <w:ind w:firstLine="386"/>
        <w:jc w:val="center"/>
        <w:textAlignment w:val="bottom"/>
        <w:outlineLvl w:val="1"/>
        <w:rPr>
          <w:rFonts w:hint="eastAsia" w:ascii="宋体" w:hAnsi="宋体" w:eastAsia="宋体" w:cs="宋体"/>
          <w:b/>
          <w:bCs/>
          <w:color w:val="000000" w:themeColor="text1"/>
          <w:spacing w:val="-4"/>
          <w:sz w:val="36"/>
          <w:szCs w:val="36"/>
          <w:highlight w:val="none"/>
          <w14:textFill>
            <w14:solidFill>
              <w14:schemeClr w14:val="tx1"/>
            </w14:solidFill>
          </w14:textFill>
        </w:rPr>
      </w:pPr>
      <w:bookmarkStart w:id="78" w:name="_Toc30607"/>
      <w:r>
        <w:rPr>
          <w:rFonts w:hint="eastAsia" w:ascii="宋体" w:hAnsi="宋体" w:eastAsia="宋体" w:cs="宋体"/>
          <w:b/>
          <w:bCs/>
          <w:color w:val="000000" w:themeColor="text1"/>
          <w:spacing w:val="-4"/>
          <w:sz w:val="36"/>
          <w:szCs w:val="36"/>
          <w:highlight w:val="none"/>
          <w14:textFill>
            <w14:solidFill>
              <w14:schemeClr w14:val="tx1"/>
            </w14:solidFill>
          </w14:textFill>
        </w:rPr>
        <w:t>四、开标</w:t>
      </w:r>
      <w:bookmarkEnd w:id="58"/>
      <w:bookmarkEnd w:id="78"/>
    </w:p>
    <w:p w14:paraId="647973D0">
      <w:pPr>
        <w:autoSpaceDE w:val="0"/>
        <w:autoSpaceDN w:val="0"/>
        <w:snapToGrid w:val="0"/>
        <w:spacing w:line="500" w:lineRule="exact"/>
        <w:ind w:firstLine="386"/>
        <w:textAlignment w:val="bottom"/>
        <w:rPr>
          <w:rFonts w:hint="eastAsia" w:ascii="宋体" w:hAnsi="宋体" w:eastAsia="宋体" w:cs="宋体"/>
          <w:b/>
          <w:bCs/>
          <w:color w:val="000000" w:themeColor="text1"/>
          <w:spacing w:val="-4"/>
          <w:sz w:val="24"/>
          <w:szCs w:val="24"/>
          <w:highlight w:val="none"/>
          <w14:textFill>
            <w14:solidFill>
              <w14:schemeClr w14:val="tx1"/>
            </w14:solidFill>
          </w14:textFill>
        </w:rPr>
      </w:pPr>
      <w:bookmarkStart w:id="79" w:name="_Toc417992892"/>
      <w:bookmarkStart w:id="80" w:name="_Toc177870554"/>
      <w:r>
        <w:rPr>
          <w:rFonts w:hint="eastAsia" w:ascii="宋体" w:hAnsi="宋体" w:eastAsia="宋体" w:cs="宋体"/>
          <w:b/>
          <w:bCs/>
          <w:color w:val="000000" w:themeColor="text1"/>
          <w:spacing w:val="-4"/>
          <w:sz w:val="24"/>
          <w:szCs w:val="24"/>
          <w:highlight w:val="none"/>
          <w14:textFill>
            <w14:solidFill>
              <w14:schemeClr w14:val="tx1"/>
            </w14:solidFill>
          </w14:textFill>
        </w:rPr>
        <w:t>（一）开标准备</w:t>
      </w:r>
    </w:p>
    <w:p w14:paraId="1A3E1C6B">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1、开标的准备工作由采购组织机构负责落实；</w:t>
      </w:r>
    </w:p>
    <w:p w14:paraId="4B690E86">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2、采购组织机构将按照</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规定的时间通过“政府采购云平台”组织开标、开启</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，所有供应商均应当准时在线参加。投标供应商如不参加开标大会的，视同认可开标结果，事后不得对采购相关人员、开标过程和开标结果提出异议，同时投标供应商因未在线参加开标而导致</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无法按时解密等一切后果由供应商自己承担。</w:t>
      </w:r>
    </w:p>
    <w:p w14:paraId="120E9029">
      <w:pPr>
        <w:autoSpaceDE w:val="0"/>
        <w:autoSpaceDN w:val="0"/>
        <w:snapToGrid w:val="0"/>
        <w:spacing w:line="500" w:lineRule="exact"/>
        <w:ind w:firstLine="386"/>
        <w:textAlignment w:val="bottom"/>
        <w:rPr>
          <w:rFonts w:hint="eastAsia" w:ascii="宋体" w:hAnsi="宋体" w:eastAsia="宋体" w:cs="宋体"/>
          <w:b/>
          <w:bCs/>
          <w:color w:val="000000" w:themeColor="text1"/>
          <w:spacing w:val="-4"/>
          <w:sz w:val="24"/>
          <w:szCs w:val="24"/>
          <w:highlight w:val="none"/>
          <w14:textFill>
            <w14:solidFill>
              <w14:schemeClr w14:val="tx1"/>
            </w14:solidFill>
          </w14:textFill>
        </w:rPr>
      </w:pPr>
      <w:r>
        <w:rPr>
          <w:rFonts w:hint="eastAsia" w:ascii="宋体" w:hAnsi="宋体" w:eastAsia="宋体" w:cs="宋体"/>
          <w:b/>
          <w:bCs/>
          <w:color w:val="000000" w:themeColor="text1"/>
          <w:spacing w:val="-4"/>
          <w:sz w:val="24"/>
          <w:szCs w:val="24"/>
          <w:highlight w:val="none"/>
          <w14:textFill>
            <w14:solidFill>
              <w14:schemeClr w14:val="tx1"/>
            </w14:solidFill>
          </w14:textFill>
        </w:rPr>
        <w:t>（二）采购人或者采购代理机构职责</w:t>
      </w:r>
    </w:p>
    <w:p w14:paraId="190F02C1">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采购人或者采购代理机构负责组织评标工作，并履行下列职责：</w:t>
      </w:r>
    </w:p>
    <w:p w14:paraId="2626F211">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1、核对评审专家身份和采购人代表授权函，对评审专家在政府采购活动中的职责履行情况予以记录，并及时将有关违法违规行为向财政部门报告；</w:t>
      </w:r>
    </w:p>
    <w:p w14:paraId="5B49DD21">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2、宣布评标纪律；</w:t>
      </w:r>
    </w:p>
    <w:p w14:paraId="17097103">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3、公布</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名单，告知评审专家应当回避的情形；</w:t>
      </w:r>
    </w:p>
    <w:p w14:paraId="20F0B635">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4、组织评标委员会推选评标组长，采购人代表不得担任组长；</w:t>
      </w:r>
    </w:p>
    <w:p w14:paraId="4215BF4D">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5、在评标期间采取必要的通讯管理措施，保证评标活动不受外界干扰；</w:t>
      </w:r>
    </w:p>
    <w:p w14:paraId="2CCB5B56">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6、根据评标委员会的要求介绍政府采购相关政策法规、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w:t>
      </w:r>
    </w:p>
    <w:p w14:paraId="5477113E">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7、维护评标秩序，监督评标委员会依照</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规定的评标程序、方法和标准进行独立评审，及时制止和纠正采购人代表、评审专家的倾向性言论或者违法违规行为；</w:t>
      </w:r>
    </w:p>
    <w:p w14:paraId="0E40CB8B">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8、核对评标结果，有本办法第六十四条规定情形的，要求评标委员会复核或者书面说明理由，评标委员会拒绝的，应予记录并向本级财政部门报告；</w:t>
      </w:r>
    </w:p>
    <w:p w14:paraId="1E6B2C25">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9、评审工作完成后，按照规定向评审专家支付劳务报酬和异地评审差旅费，不得向评审专家以外的其他人员支付评审劳务报酬；</w:t>
      </w:r>
    </w:p>
    <w:p w14:paraId="78A173DE">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10、处理与评标有关的其他事项。</w:t>
      </w:r>
    </w:p>
    <w:p w14:paraId="134983C4">
      <w:pPr>
        <w:autoSpaceDE w:val="0"/>
        <w:autoSpaceDN w:val="0"/>
        <w:snapToGrid w:val="0"/>
        <w:spacing w:line="500" w:lineRule="exact"/>
        <w:ind w:firstLine="386"/>
        <w:textAlignment w:val="bottom"/>
        <w:rPr>
          <w:rFonts w:hint="eastAsia" w:ascii="宋体" w:hAnsi="宋体" w:eastAsia="宋体" w:cs="宋体"/>
          <w:b/>
          <w:bCs/>
          <w:color w:val="000000" w:themeColor="text1"/>
          <w:spacing w:val="-4"/>
          <w:sz w:val="24"/>
          <w:szCs w:val="24"/>
          <w:highlight w:val="none"/>
          <w14:textFill>
            <w14:solidFill>
              <w14:schemeClr w14:val="tx1"/>
            </w14:solidFill>
          </w14:textFill>
        </w:rPr>
      </w:pPr>
      <w:r>
        <w:rPr>
          <w:rFonts w:hint="eastAsia" w:ascii="宋体" w:hAnsi="宋体" w:eastAsia="宋体" w:cs="宋体"/>
          <w:b/>
          <w:bCs/>
          <w:color w:val="000000" w:themeColor="text1"/>
          <w:spacing w:val="-4"/>
          <w:sz w:val="24"/>
          <w:szCs w:val="24"/>
          <w:highlight w:val="none"/>
          <w14:textFill>
            <w14:solidFill>
              <w14:schemeClr w14:val="tx1"/>
            </w14:solidFill>
          </w14:textFill>
        </w:rPr>
        <w:t>（三） 开标程序</w:t>
      </w:r>
    </w:p>
    <w:p w14:paraId="4F1F3647">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（1）向各投标供应商发出电子加密</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【开始解密】通知，由供应商按</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规定的时间内自行进行</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解密。投标供应商在规定的时间内无法完成已递交的“电子加密</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”解密的，如已按规定递交了备份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的，将由采购组织机构按“政府采购云平台”操作规范将备份</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上传至“政府采购云平台”，上传成功后，“电子加密</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”自动失效；</w:t>
      </w:r>
    </w:p>
    <w:p w14:paraId="397785E0">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解密，解密成功后，代理公司将根据需要建立各</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针对本项目招投标的钉钉群（也可能不建）；（如建群，请各投标单位在投标截止时间前注册完成钉钉联系方式）</w:t>
      </w:r>
    </w:p>
    <w:p w14:paraId="69010FF3">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（3）开启</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w:t>
      </w:r>
    </w:p>
    <w:p w14:paraId="1775565B">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（4）开标结束。</w:t>
      </w:r>
    </w:p>
    <w:p w14:paraId="790FF12C">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备注：开标大会的结束后，采购人或采购代理机构将对依法对投标供应商的报价、资格进行审查，资格审查结束后进入符合性审查和商务和技术的评审工作。</w:t>
      </w:r>
    </w:p>
    <w:p w14:paraId="0A6AA229">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特别说明：如遇“政府采购云平台”电子化开标或评审程序调整的，按调整后程序执行。</w:t>
      </w:r>
    </w:p>
    <w:p w14:paraId="2B7B9F1A">
      <w:pPr>
        <w:autoSpaceDE w:val="0"/>
        <w:autoSpaceDN w:val="0"/>
        <w:snapToGrid w:val="0"/>
        <w:spacing w:line="500" w:lineRule="exact"/>
        <w:ind w:firstLine="386"/>
        <w:textAlignment w:val="bottom"/>
        <w:rPr>
          <w:rFonts w:hint="eastAsia" w:ascii="宋体" w:hAnsi="宋体" w:eastAsia="宋体" w:cs="宋体"/>
          <w:b/>
          <w:bCs/>
          <w:color w:val="000000" w:themeColor="text1"/>
          <w:spacing w:val="-4"/>
          <w:sz w:val="24"/>
          <w:szCs w:val="24"/>
          <w:highlight w:val="none"/>
          <w14:textFill>
            <w14:solidFill>
              <w14:schemeClr w14:val="tx1"/>
            </w14:solidFill>
          </w14:textFill>
        </w:rPr>
      </w:pPr>
      <w:bookmarkStart w:id="81" w:name="_Toc33194393"/>
      <w:bookmarkStart w:id="82" w:name="_Toc24550037"/>
      <w:r>
        <w:rPr>
          <w:rFonts w:hint="eastAsia" w:ascii="宋体" w:hAnsi="宋体" w:eastAsia="宋体" w:cs="宋体"/>
          <w:b/>
          <w:bCs/>
          <w:color w:val="000000" w:themeColor="text1"/>
          <w:spacing w:val="-4"/>
          <w:sz w:val="24"/>
          <w:szCs w:val="24"/>
          <w:highlight w:val="none"/>
          <w14:textFill>
            <w14:solidFill>
              <w14:schemeClr w14:val="tx1"/>
            </w14:solidFill>
          </w14:textFill>
        </w:rPr>
        <w:t>（四）资格审查</w:t>
      </w:r>
      <w:bookmarkEnd w:id="81"/>
      <w:bookmarkEnd w:id="82"/>
    </w:p>
    <w:p w14:paraId="31DEBF4F">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4.1采购人或采购代理机构首先依法对各投标供应商的资格进行审查，审查各投标供应商的资格是否满足</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的要求。采购人或采购代理机构对投标供应商所提交的资格证明材料仅负审核的责任。如发现投标供应商所提交的资格证明材料不合法或与事实不符，采购人可取消其中标资格并追究投标供应商的法律责任。</w:t>
      </w:r>
    </w:p>
    <w:p w14:paraId="255E7EF2">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4.2投标供应商提交的资格证明材料无法证明其符合</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规定的“投标供应商资格要求”的，采购人或采购代理机构将对其作资格审查不通过处理（无效投标），并不再将其投标提交评标委员会进行后续评审。</w:t>
      </w:r>
    </w:p>
    <w:p w14:paraId="0994822F">
      <w:pPr>
        <w:autoSpaceDE w:val="0"/>
        <w:autoSpaceDN w:val="0"/>
        <w:snapToGrid w:val="0"/>
        <w:spacing w:line="500" w:lineRule="exact"/>
        <w:ind w:firstLine="386"/>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4.3单位负责人为同一人或者存在直接控股、管理关系的不同供应商参加同一合同项下的政府采购活动的，相关投标供应商均作资格无效处理。</w:t>
      </w:r>
    </w:p>
    <w:p w14:paraId="1BCA8072">
      <w:pPr>
        <w:autoSpaceDE w:val="0"/>
        <w:autoSpaceDN w:val="0"/>
        <w:snapToGrid w:val="0"/>
        <w:spacing w:before="120" w:after="120" w:line="500" w:lineRule="exact"/>
        <w:ind w:firstLine="386"/>
        <w:jc w:val="center"/>
        <w:textAlignment w:val="bottom"/>
        <w:outlineLvl w:val="1"/>
        <w:rPr>
          <w:rFonts w:hint="eastAsia" w:ascii="宋体" w:hAnsi="宋体" w:eastAsia="宋体" w:cs="宋体"/>
          <w:b/>
          <w:color w:val="000000" w:themeColor="text1"/>
          <w:sz w:val="36"/>
          <w:szCs w:val="36"/>
          <w:highlight w:val="none"/>
          <w14:textFill>
            <w14:solidFill>
              <w14:schemeClr w14:val="tx1"/>
            </w14:solidFill>
          </w14:textFill>
        </w:rPr>
      </w:pPr>
      <w:bookmarkStart w:id="83" w:name="_Toc23321"/>
      <w:r>
        <w:rPr>
          <w:rFonts w:hint="eastAsia" w:ascii="宋体" w:hAnsi="宋体" w:eastAsia="宋体" w:cs="宋体"/>
          <w:b/>
          <w:color w:val="000000" w:themeColor="text1"/>
          <w:sz w:val="36"/>
          <w:szCs w:val="36"/>
          <w:highlight w:val="none"/>
          <w14:textFill>
            <w14:solidFill>
              <w14:schemeClr w14:val="tx1"/>
            </w14:solidFill>
          </w14:textFill>
        </w:rPr>
        <w:t>五、评标</w:t>
      </w:r>
      <w:bookmarkEnd w:id="79"/>
      <w:bookmarkEnd w:id="80"/>
      <w:bookmarkEnd w:id="83"/>
    </w:p>
    <w:p w14:paraId="1CF1E116">
      <w:pPr>
        <w:pStyle w:val="18"/>
        <w:snapToGrid w:val="0"/>
        <w:spacing w:beforeLines="0" w:afterLines="0" w:line="500" w:lineRule="exact"/>
        <w:ind w:firstLine="482" w:firstLineChars="200"/>
        <w:rPr>
          <w:rFonts w:hint="eastAsia" w:ascii="宋体" w:hAnsi="宋体" w:eastAsia="宋体" w:cs="宋体"/>
          <w:b/>
          <w:color w:val="000000" w:themeColor="text1"/>
          <w:highlight w:val="none"/>
          <w14:textFill>
            <w14:solidFill>
              <w14:schemeClr w14:val="tx1"/>
            </w14:solidFill>
          </w14:textFill>
        </w:rPr>
      </w:pPr>
      <w:bookmarkStart w:id="84" w:name="_Toc417992893"/>
      <w:bookmarkStart w:id="85" w:name="_Toc177870555"/>
      <w:r>
        <w:rPr>
          <w:rFonts w:hint="eastAsia" w:ascii="宋体" w:hAnsi="宋体" w:eastAsia="宋体" w:cs="宋体"/>
          <w:b/>
          <w:color w:val="000000" w:themeColor="text1"/>
          <w:highlight w:val="none"/>
          <w14:textFill>
            <w14:solidFill>
              <w14:schemeClr w14:val="tx1"/>
            </w14:solidFill>
          </w14:textFill>
        </w:rPr>
        <w:t>（一）组建评标委员会</w:t>
      </w:r>
    </w:p>
    <w:p w14:paraId="10571256">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评标委员会由采购人代表和评审专家组成，政府采购评审专家</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4</w:t>
      </w:r>
      <w:r>
        <w:rPr>
          <w:rFonts w:hint="eastAsia" w:ascii="宋体" w:hAnsi="宋体" w:eastAsia="宋体" w:cs="宋体"/>
          <w:bCs/>
          <w:color w:val="000000" w:themeColor="text1"/>
          <w:spacing w:val="-4"/>
          <w:sz w:val="24"/>
          <w:szCs w:val="24"/>
          <w:highlight w:val="none"/>
          <w14:textFill>
            <w14:solidFill>
              <w14:schemeClr w14:val="tx1"/>
            </w14:solidFill>
          </w14:textFill>
        </w:rPr>
        <w:t>人和采购人代表</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1</w:t>
      </w:r>
      <w:r>
        <w:rPr>
          <w:rFonts w:hint="eastAsia" w:ascii="宋体" w:hAnsi="宋体" w:eastAsia="宋体" w:cs="宋体"/>
          <w:bCs/>
          <w:color w:val="000000" w:themeColor="text1"/>
          <w:spacing w:val="-4"/>
          <w:sz w:val="24"/>
          <w:szCs w:val="24"/>
          <w:highlight w:val="none"/>
          <w14:textFill>
            <w14:solidFill>
              <w14:schemeClr w14:val="tx1"/>
            </w14:solidFill>
          </w14:textFill>
        </w:rPr>
        <w:t xml:space="preserve">人,共 </w:t>
      </w:r>
      <w:r>
        <w:rPr>
          <w:rFonts w:hint="eastAsia" w:ascii="宋体" w:hAnsi="宋体" w:eastAsia="宋体" w:cs="宋体"/>
          <w:bCs/>
          <w:color w:val="000000" w:themeColor="text1"/>
          <w:spacing w:val="-4"/>
          <w:sz w:val="24"/>
          <w:szCs w:val="24"/>
          <w:highlight w:val="none"/>
          <w:lang w:val="en-US" w:eastAsia="zh-CN"/>
          <w14:textFill>
            <w14:solidFill>
              <w14:schemeClr w14:val="tx1"/>
            </w14:solidFill>
          </w14:textFill>
        </w:rPr>
        <w:t>5</w:t>
      </w:r>
      <w:r>
        <w:rPr>
          <w:rFonts w:hint="eastAsia" w:ascii="宋体" w:hAnsi="宋体" w:eastAsia="宋体" w:cs="宋体"/>
          <w:bCs/>
          <w:color w:val="000000" w:themeColor="text1"/>
          <w:spacing w:val="-4"/>
          <w:sz w:val="24"/>
          <w:szCs w:val="24"/>
          <w:highlight w:val="none"/>
          <w14:textFill>
            <w14:solidFill>
              <w14:schemeClr w14:val="tx1"/>
            </w14:solidFill>
          </w14:textFill>
        </w:rPr>
        <w:t>人组成。</w:t>
      </w:r>
    </w:p>
    <w:p w14:paraId="447A9A23">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评标委员会负责具体评标事务，并独立履行下列职责：</w:t>
      </w:r>
    </w:p>
    <w:p w14:paraId="5385F573">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1、审查、评价</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是否符合</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采购文件</w:t>
      </w:r>
      <w:r>
        <w:rPr>
          <w:rFonts w:hint="eastAsia" w:ascii="宋体" w:hAnsi="宋体" w:eastAsia="宋体" w:cs="宋体"/>
          <w:bCs/>
          <w:color w:val="000000" w:themeColor="text1"/>
          <w:spacing w:val="-4"/>
          <w:sz w:val="24"/>
          <w:szCs w:val="24"/>
          <w:highlight w:val="none"/>
          <w14:textFill>
            <w14:solidFill>
              <w14:schemeClr w14:val="tx1"/>
            </w14:solidFill>
          </w14:textFill>
        </w:rPr>
        <w:t>的商务、技术等实质性要求；</w:t>
      </w:r>
    </w:p>
    <w:p w14:paraId="1CEB6D78">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2、要求</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pacing w:val="-4"/>
          <w:sz w:val="24"/>
          <w:szCs w:val="24"/>
          <w:highlight w:val="none"/>
          <w14:textFill>
            <w14:solidFill>
              <w14:schemeClr w14:val="tx1"/>
            </w14:solidFill>
          </w14:textFill>
        </w:rPr>
        <w:t>对</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有关事项作出澄清或者说明；</w:t>
      </w:r>
    </w:p>
    <w:p w14:paraId="5B023EB3">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3、对</w:t>
      </w:r>
      <w:r>
        <w:rPr>
          <w:rFonts w:hint="eastAsia" w:ascii="宋体" w:hAnsi="宋体" w:eastAsia="宋体" w:cs="宋体"/>
          <w:bCs/>
          <w:color w:val="000000" w:themeColor="text1"/>
          <w:spacing w:val="-4"/>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pacing w:val="-4"/>
          <w:sz w:val="24"/>
          <w:szCs w:val="24"/>
          <w:highlight w:val="none"/>
          <w14:textFill>
            <w14:solidFill>
              <w14:schemeClr w14:val="tx1"/>
            </w14:solidFill>
          </w14:textFill>
        </w:rPr>
        <w:t>进行比较和评价；</w:t>
      </w:r>
    </w:p>
    <w:p w14:paraId="45D289AA">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4、确定中标候选人名单，以及根据采购人委托直接确定中标人；</w:t>
      </w:r>
    </w:p>
    <w:p w14:paraId="2A3C0224">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5、向采购人、采购代理机构或者有关部门报告评标中发现的违法行为。</w:t>
      </w:r>
    </w:p>
    <w:p w14:paraId="430861EA">
      <w:pPr>
        <w:autoSpaceDE w:val="0"/>
        <w:autoSpaceDN w:val="0"/>
        <w:snapToGrid w:val="0"/>
        <w:spacing w:line="500" w:lineRule="exact"/>
        <w:ind w:firstLine="388"/>
        <w:textAlignment w:val="bottom"/>
        <w:rPr>
          <w:rFonts w:hint="eastAsia" w:ascii="宋体" w:hAnsi="宋体" w:eastAsia="宋体" w:cs="宋体"/>
          <w:bCs/>
          <w:color w:val="000000" w:themeColor="text1"/>
          <w:spacing w:val="-4"/>
          <w:sz w:val="24"/>
          <w:szCs w:val="24"/>
          <w:highlight w:val="none"/>
          <w14:textFill>
            <w14:solidFill>
              <w14:schemeClr w14:val="tx1"/>
            </w14:solidFill>
          </w14:textFill>
        </w:rPr>
      </w:pPr>
      <w:r>
        <w:rPr>
          <w:rFonts w:hint="eastAsia" w:ascii="宋体" w:hAnsi="宋体" w:eastAsia="宋体" w:cs="宋体"/>
          <w:bCs/>
          <w:color w:val="000000" w:themeColor="text1"/>
          <w:spacing w:val="-4"/>
          <w:sz w:val="24"/>
          <w:szCs w:val="24"/>
          <w:highlight w:val="none"/>
          <w14:textFill>
            <w14:solidFill>
              <w14:schemeClr w14:val="tx1"/>
            </w14:solidFill>
          </w14:textFill>
        </w:rPr>
        <w:t>除采购人代表、评标现场组织人员外，采购人的其他工作人员以及与评标工作无关的人员不得进入评标现场。</w:t>
      </w:r>
    </w:p>
    <w:p w14:paraId="7C285171">
      <w:pPr>
        <w:pStyle w:val="18"/>
        <w:snapToGrid w:val="0"/>
        <w:spacing w:beforeLines="0" w:afterLines="0" w:line="500" w:lineRule="exact"/>
        <w:ind w:firstLine="48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（二）评标的方式</w:t>
      </w:r>
    </w:p>
    <w:p w14:paraId="2AF45EFE">
      <w:pPr>
        <w:pStyle w:val="18"/>
        <w:snapToGrid w:val="0"/>
        <w:spacing w:beforeLines="0" w:afterLines="0" w:line="50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本项目采用不公开方式评标，评标的依据为</w:t>
      </w:r>
      <w:r>
        <w:rPr>
          <w:rFonts w:hint="eastAsia" w:ascii="宋体" w:hAnsi="宋体" w:eastAsia="宋体" w:cs="宋体"/>
          <w:color w:val="000000" w:themeColor="text1"/>
          <w:highlight w:val="none"/>
          <w:lang w:eastAsia="zh-CN"/>
          <w14:textFill>
            <w14:solidFill>
              <w14:schemeClr w14:val="tx1"/>
            </w14:solidFill>
          </w14:textFill>
        </w:rPr>
        <w:t>采购文件</w:t>
      </w:r>
      <w:r>
        <w:rPr>
          <w:rFonts w:hint="eastAsia" w:ascii="宋体" w:hAnsi="宋体" w:eastAsia="宋体" w:cs="宋体"/>
          <w:color w:val="000000" w:themeColor="text1"/>
          <w:highlight w:val="none"/>
          <w14:textFill>
            <w14:solidFill>
              <w14:schemeClr w14:val="tx1"/>
            </w14:solidFill>
          </w14:textFill>
        </w:rPr>
        <w:t>和</w:t>
      </w:r>
      <w:r>
        <w:rPr>
          <w:rFonts w:hint="eastAsia" w:ascii="宋体" w:hAnsi="宋体" w:eastAsia="宋体" w:cs="宋体"/>
          <w:color w:val="000000" w:themeColor="text1"/>
          <w:highlight w:val="none"/>
          <w:lang w:eastAsia="zh-CN"/>
          <w14:textFill>
            <w14:solidFill>
              <w14:schemeClr w14:val="tx1"/>
            </w14:solidFill>
          </w14:textFill>
        </w:rPr>
        <w:t>响应文件</w:t>
      </w:r>
      <w:r>
        <w:rPr>
          <w:rFonts w:hint="eastAsia" w:ascii="宋体" w:hAnsi="宋体" w:eastAsia="宋体" w:cs="宋体"/>
          <w:color w:val="000000" w:themeColor="text1"/>
          <w:highlight w:val="none"/>
          <w14:textFill>
            <w14:solidFill>
              <w14:schemeClr w14:val="tx1"/>
            </w14:solidFill>
          </w14:textFill>
        </w:rPr>
        <w:t>。</w:t>
      </w:r>
    </w:p>
    <w:p w14:paraId="1FE63AB3">
      <w:pPr>
        <w:pStyle w:val="18"/>
        <w:snapToGrid w:val="0"/>
        <w:spacing w:beforeLines="0" w:afterLines="0" w:line="500" w:lineRule="exact"/>
        <w:ind w:firstLine="48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（三）评标程序</w:t>
      </w:r>
    </w:p>
    <w:p w14:paraId="76B43DE8">
      <w:pPr>
        <w:pStyle w:val="18"/>
        <w:snapToGrid w:val="0"/>
        <w:spacing w:beforeLines="0" w:afterLines="0" w:line="500" w:lineRule="exact"/>
        <w:ind w:firstLine="480" w:firstLineChars="200"/>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采购人可以在评标前说明项目背景和采购需求，说明内容不得含有歧视性、倾向性意见，不得超出</w:t>
      </w:r>
      <w:r>
        <w:rPr>
          <w:rFonts w:hint="eastAsia" w:ascii="宋体" w:hAnsi="宋体" w:eastAsia="宋体" w:cs="宋体"/>
          <w:bCs/>
          <w:color w:val="000000" w:themeColor="text1"/>
          <w:highlight w:val="none"/>
          <w:lang w:eastAsia="zh-CN"/>
          <w14:textFill>
            <w14:solidFill>
              <w14:schemeClr w14:val="tx1"/>
            </w14:solidFill>
          </w14:textFill>
        </w:rPr>
        <w:t>采购文件</w:t>
      </w:r>
      <w:r>
        <w:rPr>
          <w:rFonts w:hint="eastAsia" w:ascii="宋体" w:hAnsi="宋体" w:eastAsia="宋体" w:cs="宋体"/>
          <w:bCs/>
          <w:color w:val="000000" w:themeColor="text1"/>
          <w:highlight w:val="none"/>
          <w14:textFill>
            <w14:solidFill>
              <w14:schemeClr w14:val="tx1"/>
            </w14:solidFill>
          </w14:textFill>
        </w:rPr>
        <w:t>所述范围。说明应当提交书面材料，并随采购文件一并存档。</w:t>
      </w:r>
    </w:p>
    <w:p w14:paraId="1E3734E9">
      <w:pPr>
        <w:snapToGrid w:val="0"/>
        <w:spacing w:line="500" w:lineRule="exact"/>
        <w:ind w:firstLine="480" w:firstLineChars="200"/>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1.形式审查</w:t>
      </w:r>
    </w:p>
    <w:p w14:paraId="6DB123F6">
      <w:pPr>
        <w:snapToGrid w:val="0"/>
        <w:spacing w:line="500" w:lineRule="exact"/>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形式审查包括资格审查（除符合性审查以外的关于</w:t>
      </w:r>
      <w:r>
        <w:rPr>
          <w:rFonts w:hint="eastAsia" w:ascii="宋体" w:hAnsi="宋体" w:eastAsia="宋体" w:cs="宋体"/>
          <w:bCs/>
          <w:color w:val="000000" w:themeColor="text1"/>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z w:val="24"/>
          <w:szCs w:val="24"/>
          <w:highlight w:val="none"/>
          <w14:textFill>
            <w14:solidFill>
              <w14:schemeClr w14:val="tx1"/>
            </w14:solidFill>
          </w14:textFill>
        </w:rPr>
        <w:t>资格条件等内容）和符合性审查，即对</w:t>
      </w:r>
      <w:r>
        <w:rPr>
          <w:rFonts w:hint="eastAsia" w:ascii="宋体" w:hAnsi="宋体" w:eastAsia="宋体" w:cs="宋体"/>
          <w:bCs/>
          <w:color w:val="000000" w:themeColor="text1"/>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z w:val="24"/>
          <w:szCs w:val="24"/>
          <w:highlight w:val="none"/>
          <w14:textFill>
            <w14:solidFill>
              <w14:schemeClr w14:val="tx1"/>
            </w14:solidFill>
          </w14:textFill>
        </w:rPr>
        <w:t>的资格和</w:t>
      </w:r>
      <w:r>
        <w:rPr>
          <w:rFonts w:hint="eastAsia" w:ascii="宋体" w:hAnsi="宋体" w:eastAsia="宋体" w:cs="宋体"/>
          <w:bCs/>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z w:val="24"/>
          <w:szCs w:val="24"/>
          <w:highlight w:val="none"/>
          <w14:textFill>
            <w14:solidFill>
              <w14:schemeClr w14:val="tx1"/>
            </w14:solidFill>
          </w14:textFill>
        </w:rPr>
        <w:t>的完整性、合法性等进行审查。</w:t>
      </w:r>
      <w:r>
        <w:rPr>
          <w:rFonts w:hint="eastAsia" w:ascii="宋体" w:hAnsi="宋体" w:eastAsia="宋体" w:cs="宋体"/>
          <w:bCs/>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z w:val="24"/>
          <w:szCs w:val="24"/>
          <w:highlight w:val="none"/>
          <w14:textFill>
            <w14:solidFill>
              <w14:schemeClr w14:val="tx1"/>
            </w14:solidFill>
          </w14:textFill>
        </w:rPr>
        <w:t>形式审查未通过的</w:t>
      </w:r>
      <w:r>
        <w:rPr>
          <w:rFonts w:hint="eastAsia" w:ascii="宋体" w:hAnsi="宋体" w:eastAsia="宋体" w:cs="宋体"/>
          <w:bCs/>
          <w:color w:val="000000" w:themeColor="text1"/>
          <w:sz w:val="24"/>
          <w:szCs w:val="24"/>
          <w:highlight w:val="none"/>
          <w:lang w:eastAsia="zh-CN"/>
          <w14:textFill>
            <w14:solidFill>
              <w14:schemeClr w14:val="tx1"/>
            </w14:solidFill>
          </w14:textFill>
        </w:rPr>
        <w:t>供应商</w:t>
      </w:r>
      <w:r>
        <w:rPr>
          <w:rFonts w:hint="eastAsia" w:ascii="宋体" w:hAnsi="宋体" w:eastAsia="宋体" w:cs="宋体"/>
          <w:bCs/>
          <w:color w:val="000000" w:themeColor="text1"/>
          <w:sz w:val="24"/>
          <w:szCs w:val="24"/>
          <w:highlight w:val="none"/>
          <w14:textFill>
            <w14:solidFill>
              <w14:schemeClr w14:val="tx1"/>
            </w14:solidFill>
          </w14:textFill>
        </w:rPr>
        <w:t>，其</w:t>
      </w:r>
      <w:r>
        <w:rPr>
          <w:rFonts w:hint="eastAsia" w:ascii="宋体" w:hAnsi="宋体" w:eastAsia="宋体" w:cs="宋体"/>
          <w:bCs/>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bCs/>
          <w:color w:val="000000" w:themeColor="text1"/>
          <w:sz w:val="24"/>
          <w:szCs w:val="24"/>
          <w:highlight w:val="none"/>
          <w14:textFill>
            <w14:solidFill>
              <w14:schemeClr w14:val="tx1"/>
            </w14:solidFill>
          </w14:textFill>
        </w:rPr>
        <w:t>将不再评审。</w:t>
      </w:r>
    </w:p>
    <w:p w14:paraId="27E17AEC">
      <w:pPr>
        <w:snapToGrid w:val="0"/>
        <w:spacing w:line="500" w:lineRule="exact"/>
        <w:ind w:firstLine="480" w:firstLineChars="200"/>
        <w:rPr>
          <w:rFonts w:hint="eastAsia" w:ascii="宋体" w:hAnsi="宋体" w:eastAsia="宋体" w:cs="宋体"/>
          <w:bCs/>
          <w:color w:val="000000" w:themeColor="text1"/>
          <w:kern w:val="0"/>
          <w:sz w:val="24"/>
          <w:szCs w:val="24"/>
          <w:highlight w:val="none"/>
          <w14:textFill>
            <w14:solidFill>
              <w14:schemeClr w14:val="tx1"/>
            </w14:solidFill>
          </w14:textFill>
        </w:rPr>
      </w:pPr>
      <w:r>
        <w:rPr>
          <w:rFonts w:hint="eastAsia" w:ascii="宋体" w:hAnsi="宋体" w:eastAsia="宋体" w:cs="宋体"/>
          <w:bCs/>
          <w:color w:val="000000" w:themeColor="text1"/>
          <w:kern w:val="0"/>
          <w:sz w:val="24"/>
          <w:szCs w:val="24"/>
          <w:highlight w:val="none"/>
          <w14:textFill>
            <w14:solidFill>
              <w14:schemeClr w14:val="tx1"/>
            </w14:solidFill>
          </w14:textFill>
        </w:rPr>
        <w:t>2.实质审查与比较</w:t>
      </w:r>
    </w:p>
    <w:p w14:paraId="562706BB">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（1）评标委员会审查</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的实质性内容是否符合</w:t>
      </w:r>
      <w:r>
        <w:rPr>
          <w:rFonts w:hint="eastAsia" w:ascii="宋体" w:hAnsi="宋体" w:eastAsia="宋体" w:cs="宋体"/>
          <w:color w:val="000000" w:themeColor="text1"/>
          <w:sz w:val="24"/>
          <w:szCs w:val="24"/>
          <w:highlight w:val="none"/>
          <w:lang w:eastAsia="zh-CN"/>
          <w14:textFill>
            <w14:solidFill>
              <w14:schemeClr w14:val="tx1"/>
            </w14:solidFill>
          </w14:textFill>
        </w:rPr>
        <w:t>采购文件</w:t>
      </w:r>
      <w:r>
        <w:rPr>
          <w:rFonts w:hint="eastAsia" w:ascii="宋体" w:hAnsi="宋体" w:eastAsia="宋体" w:cs="宋体"/>
          <w:color w:val="000000" w:themeColor="text1"/>
          <w:sz w:val="24"/>
          <w:szCs w:val="24"/>
          <w:highlight w:val="none"/>
          <w14:textFill>
            <w14:solidFill>
              <w14:schemeClr w14:val="tx1"/>
            </w14:solidFill>
          </w14:textFill>
        </w:rPr>
        <w:t>的实质性要求。</w:t>
      </w:r>
    </w:p>
    <w:p w14:paraId="2114D279">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（2）评标委员会将根据</w:t>
      </w: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的</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进行审查、核对,如有疑问,将对</w:t>
      </w: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进行询标,</w:t>
      </w: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要向评标委员会澄清有关问题,并最终以书面形式进行答复。</w:t>
      </w:r>
    </w:p>
    <w:p w14:paraId="0C1B92D4">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询标时，</w:t>
      </w: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代表未到场或者拒绝澄清或者澄清的内容改变了</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的实质性内容的，评标委员会有权对该</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作出不利于</w:t>
      </w: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的评判。</w:t>
      </w:r>
    </w:p>
    <w:p w14:paraId="3DBC6651">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（3）各</w:t>
      </w: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的资信商务及技术分按照评标委员会成员的独立评分结果汇后的算术平均分计算。</w:t>
      </w:r>
    </w:p>
    <w:p w14:paraId="4F5610C8">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（4）采购代理机构工作人员协助评标委员会根据本项目的评分标准操作政府采购业务系统，由系统计算各</w:t>
      </w:r>
      <w:r>
        <w:rPr>
          <w:rFonts w:hint="eastAsia" w:ascii="宋体" w:hAnsi="宋体" w:eastAsia="宋体" w:cs="宋体"/>
          <w:color w:val="000000" w:themeColor="text1"/>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的商务报价得分。</w:t>
      </w:r>
    </w:p>
    <w:p w14:paraId="30D9A3F2">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（5）评标委员会完成评标后,评委对各部分得分汇总,计算出本项目最终得分、性价比、评标价等。评标委员会按评标原则推荐中标候选人同时起草评标报告。</w:t>
      </w:r>
    </w:p>
    <w:p w14:paraId="73A038AE">
      <w:pPr>
        <w:snapToGrid w:val="0"/>
        <w:spacing w:line="500" w:lineRule="exact"/>
        <w:ind w:firstLine="482" w:firstLineChars="200"/>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（四）澄清问题的形式</w:t>
      </w:r>
    </w:p>
    <w:p w14:paraId="1497A993">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（1）对于</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中含义不明确、同类问题表述不一致或者有明显文字和计算错误的内容，评标委员会将以书面形式（或通过“政府采购云平台”在线询标）的形式要求投标供应商在规定的时间内作出必要的澄清、说明或者补正，投标供应商澄清、说明或补正时间为30分钟。</w:t>
      </w:r>
    </w:p>
    <w:p w14:paraId="3C491F5E">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（2）投标供应商的澄清、说明或者补正应当采用书面（或通过“政府采购云平台”在线答复）形式提交，并加盖公章，或者由法定代表人或其授权的代表签字。投标供应商的澄清、说明或者补正不得超出</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的范围或者改变</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的实质性内容。</w:t>
      </w:r>
    </w:p>
    <w:p w14:paraId="5AFA2DC8">
      <w:pPr>
        <w:pStyle w:val="18"/>
        <w:snapToGrid w:val="0"/>
        <w:spacing w:beforeLines="0" w:afterLines="0" w:line="500" w:lineRule="exact"/>
        <w:ind w:firstLine="48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（五）错误修正</w:t>
      </w:r>
    </w:p>
    <w:p w14:paraId="5FEA221C">
      <w:pPr>
        <w:pStyle w:val="18"/>
        <w:snapToGrid w:val="0"/>
        <w:spacing w:beforeLines="0" w:afterLines="0" w:line="50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响应文件</w:t>
      </w:r>
      <w:r>
        <w:rPr>
          <w:rFonts w:hint="eastAsia" w:ascii="宋体" w:hAnsi="宋体" w:eastAsia="宋体" w:cs="宋体"/>
          <w:color w:val="000000" w:themeColor="text1"/>
          <w:highlight w:val="none"/>
          <w14:textFill>
            <w14:solidFill>
              <w14:schemeClr w14:val="tx1"/>
            </w14:solidFill>
          </w14:textFill>
        </w:rPr>
        <w:t>如果出现计算或表达上的错误，修正错误的原则如下：</w:t>
      </w:r>
    </w:p>
    <w:p w14:paraId="396FE3D0">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1.开标一览表总价与投标报价明细表汇总数不一致的，</w:t>
      </w:r>
      <w:r>
        <w:rPr>
          <w:rFonts w:hint="eastAsia" w:ascii="宋体" w:hAnsi="宋体" w:eastAsia="宋体" w:cs="宋体"/>
          <w:color w:val="000000" w:themeColor="text1"/>
          <w:kern w:val="0"/>
          <w:sz w:val="24"/>
          <w:szCs w:val="24"/>
          <w:highlight w:val="none"/>
          <w14:textFill>
            <w14:solidFill>
              <w14:schemeClr w14:val="tx1"/>
            </w14:solidFill>
          </w14:textFill>
        </w:rPr>
        <w:t>以开标一览表为准；</w:t>
      </w:r>
    </w:p>
    <w:p w14:paraId="0B2578D3">
      <w:pPr>
        <w:pStyle w:val="18"/>
        <w:snapToGrid w:val="0"/>
        <w:spacing w:beforeLines="0" w:afterLines="0" w:line="50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响应文件</w:t>
      </w:r>
      <w:r>
        <w:rPr>
          <w:rFonts w:hint="eastAsia" w:ascii="宋体" w:hAnsi="宋体" w:eastAsia="宋体" w:cs="宋体"/>
          <w:color w:val="000000" w:themeColor="text1"/>
          <w:highlight w:val="none"/>
          <w14:textFill>
            <w14:solidFill>
              <w14:schemeClr w14:val="tx1"/>
            </w14:solidFill>
          </w14:textFill>
        </w:rPr>
        <w:t>的大写金额和小写金额不一致的，以大写金额为准；</w:t>
      </w:r>
    </w:p>
    <w:p w14:paraId="26DA148F">
      <w:pPr>
        <w:pStyle w:val="18"/>
        <w:snapToGrid w:val="0"/>
        <w:spacing w:beforeLines="0" w:afterLines="0" w:line="50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3.总价金额与按单价汇总金额不一致的，以单价金额计算结果为准；</w:t>
      </w:r>
    </w:p>
    <w:p w14:paraId="1A3AE4F4">
      <w:pPr>
        <w:pStyle w:val="18"/>
        <w:snapToGrid w:val="0"/>
        <w:spacing w:beforeLines="0" w:afterLines="0" w:line="50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4.对不同文字文本</w:t>
      </w:r>
      <w:r>
        <w:rPr>
          <w:rFonts w:hint="eastAsia" w:ascii="宋体" w:hAnsi="宋体" w:eastAsia="宋体" w:cs="宋体"/>
          <w:color w:val="000000" w:themeColor="text1"/>
          <w:highlight w:val="none"/>
          <w:lang w:eastAsia="zh-CN"/>
          <w14:textFill>
            <w14:solidFill>
              <w14:schemeClr w14:val="tx1"/>
            </w14:solidFill>
          </w14:textFill>
        </w:rPr>
        <w:t>响应文件</w:t>
      </w:r>
      <w:r>
        <w:rPr>
          <w:rFonts w:hint="eastAsia" w:ascii="宋体" w:hAnsi="宋体" w:eastAsia="宋体" w:cs="宋体"/>
          <w:color w:val="000000" w:themeColor="text1"/>
          <w:highlight w:val="none"/>
          <w14:textFill>
            <w14:solidFill>
              <w14:schemeClr w14:val="tx1"/>
            </w14:solidFill>
          </w14:textFill>
        </w:rPr>
        <w:t>的解释发生异议的，以中文文本为准。</w:t>
      </w:r>
    </w:p>
    <w:p w14:paraId="305CB41D">
      <w:pPr>
        <w:pStyle w:val="18"/>
        <w:snapToGrid w:val="0"/>
        <w:spacing w:beforeLines="0" w:afterLines="0" w:line="500" w:lineRule="exact"/>
        <w:ind w:firstLine="480" w:firstLineChars="20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按上述修正错误的原则及方法调整或修正</w:t>
      </w:r>
      <w:r>
        <w:rPr>
          <w:rFonts w:hint="eastAsia" w:ascii="宋体" w:hAnsi="宋体" w:eastAsia="宋体" w:cs="宋体"/>
          <w:color w:val="000000" w:themeColor="text1"/>
          <w:highlight w:val="none"/>
          <w:lang w:eastAsia="zh-CN"/>
          <w14:textFill>
            <w14:solidFill>
              <w14:schemeClr w14:val="tx1"/>
            </w14:solidFill>
          </w14:textFill>
        </w:rPr>
        <w:t>响应文件</w:t>
      </w:r>
      <w:r>
        <w:rPr>
          <w:rFonts w:hint="eastAsia" w:ascii="宋体" w:hAnsi="宋体" w:eastAsia="宋体" w:cs="宋体"/>
          <w:color w:val="000000" w:themeColor="text1"/>
          <w:highlight w:val="none"/>
          <w14:textFill>
            <w14:solidFill>
              <w14:schemeClr w14:val="tx1"/>
            </w14:solidFill>
          </w14:textFill>
        </w:rPr>
        <w:t>的投标报价，</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同意并签字确认后，调整后的投标报价对</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具有约束作用。如果</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不接受修正后的报价，则其投标将作为无效投标处理。</w:t>
      </w:r>
    </w:p>
    <w:p w14:paraId="559CA759">
      <w:pPr>
        <w:pStyle w:val="18"/>
        <w:tabs>
          <w:tab w:val="left" w:pos="630"/>
        </w:tabs>
        <w:snapToGrid w:val="0"/>
        <w:spacing w:beforeLines="0" w:afterLines="0" w:line="500" w:lineRule="exact"/>
        <w:ind w:firstLine="48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（六）评标原则和评标办法</w:t>
      </w:r>
    </w:p>
    <w:p w14:paraId="01B811AA">
      <w:pPr>
        <w:pStyle w:val="18"/>
        <w:snapToGrid w:val="0"/>
        <w:spacing w:beforeLines="0" w:afterLines="0" w:line="50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1.评标原则。评标委员会必须公平、公正、客观，不带任何倾向性和启发性；不得向外界透露任何与评标有关的内容；任何单位和个人不得干扰、影响评标的正常进行；评标委员会及有关工作人员不得私下与</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接触。</w:t>
      </w:r>
    </w:p>
    <w:p w14:paraId="4BFDF47C">
      <w:pPr>
        <w:pStyle w:val="18"/>
        <w:snapToGrid w:val="0"/>
        <w:spacing w:beforeLines="0" w:afterLines="0" w:line="50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2.评标办法。本项目评标办法采用的是综合评标法 ，具体评标内容及评分标准等详见《第四章：评标办法及评分标准》。</w:t>
      </w:r>
    </w:p>
    <w:p w14:paraId="078CD16A">
      <w:pPr>
        <w:pStyle w:val="18"/>
        <w:snapToGrid w:val="0"/>
        <w:spacing w:beforeLines="0" w:afterLines="0" w:line="500" w:lineRule="exact"/>
        <w:ind w:firstLine="48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（七）评标过程的监控</w:t>
      </w:r>
    </w:p>
    <w:p w14:paraId="37F62E43">
      <w:pPr>
        <w:pStyle w:val="18"/>
        <w:snapToGrid w:val="0"/>
        <w:spacing w:beforeLines="0" w:afterLines="0" w:line="50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本项目评标过程实行全程录音、录像监控。</w:t>
      </w:r>
      <w:r>
        <w:rPr>
          <w:rFonts w:hint="eastAsia" w:ascii="宋体" w:hAnsi="宋体" w:eastAsia="宋体" w:cs="宋体"/>
          <w:color w:val="000000" w:themeColor="text1"/>
          <w:highlight w:val="none"/>
          <w:lang w:eastAsia="zh-CN"/>
          <w14:textFill>
            <w14:solidFill>
              <w14:schemeClr w14:val="tx1"/>
            </w14:solidFill>
          </w14:textFill>
        </w:rPr>
        <w:t>供应商</w:t>
      </w:r>
      <w:r>
        <w:rPr>
          <w:rFonts w:hint="eastAsia" w:ascii="宋体" w:hAnsi="宋体" w:eastAsia="宋体" w:cs="宋体"/>
          <w:color w:val="000000" w:themeColor="text1"/>
          <w:highlight w:val="none"/>
          <w14:textFill>
            <w14:solidFill>
              <w14:schemeClr w14:val="tx1"/>
            </w14:solidFill>
          </w14:textFill>
        </w:rPr>
        <w:t>在评标过程中所进行的试图影响评标结果的不公正活动，可能导致其投标被拒绝。</w:t>
      </w:r>
    </w:p>
    <w:p w14:paraId="39A639E1">
      <w:pPr>
        <w:autoSpaceDE w:val="0"/>
        <w:autoSpaceDN w:val="0"/>
        <w:snapToGrid w:val="0"/>
        <w:spacing w:before="120" w:after="120" w:line="500" w:lineRule="exact"/>
        <w:ind w:firstLine="386"/>
        <w:jc w:val="center"/>
        <w:textAlignment w:val="bottom"/>
        <w:outlineLvl w:val="1"/>
        <w:rPr>
          <w:rFonts w:hint="eastAsia" w:ascii="宋体" w:hAnsi="宋体" w:eastAsia="宋体" w:cs="宋体"/>
          <w:b/>
          <w:color w:val="000000" w:themeColor="text1"/>
          <w:sz w:val="36"/>
          <w:szCs w:val="36"/>
          <w:highlight w:val="none"/>
          <w14:textFill>
            <w14:solidFill>
              <w14:schemeClr w14:val="tx1"/>
            </w14:solidFill>
          </w14:textFill>
        </w:rPr>
      </w:pPr>
      <w:bookmarkStart w:id="86" w:name="_Toc10565"/>
      <w:r>
        <w:rPr>
          <w:rFonts w:hint="eastAsia" w:ascii="宋体" w:hAnsi="宋体" w:eastAsia="宋体" w:cs="宋体"/>
          <w:b/>
          <w:color w:val="000000" w:themeColor="text1"/>
          <w:sz w:val="36"/>
          <w:szCs w:val="36"/>
          <w:highlight w:val="none"/>
          <w14:textFill>
            <w14:solidFill>
              <w14:schemeClr w14:val="tx1"/>
            </w14:solidFill>
          </w14:textFill>
        </w:rPr>
        <w:t>六、定标</w:t>
      </w:r>
      <w:bookmarkEnd w:id="84"/>
      <w:bookmarkEnd w:id="85"/>
      <w:bookmarkEnd w:id="86"/>
    </w:p>
    <w:p w14:paraId="3F0227B8">
      <w:pPr>
        <w:spacing w:line="500" w:lineRule="exact"/>
        <w:ind w:firstLine="420"/>
        <w:rPr>
          <w:rFonts w:hint="eastAsia" w:ascii="宋体" w:hAnsi="宋体" w:eastAsia="宋体" w:cs="宋体"/>
          <w:color w:val="000000" w:themeColor="text1"/>
          <w:sz w:val="24"/>
          <w:szCs w:val="24"/>
          <w:highlight w:val="none"/>
          <w14:textFill>
            <w14:solidFill>
              <w14:schemeClr w14:val="tx1"/>
            </w14:solidFill>
          </w14:textFill>
        </w:rPr>
      </w:pPr>
      <w:bookmarkStart w:id="87" w:name="_Hlk11360673"/>
      <w:r>
        <w:rPr>
          <w:rFonts w:hint="eastAsia" w:ascii="宋体" w:hAnsi="宋体" w:eastAsia="宋体" w:cs="宋体"/>
          <w:color w:val="000000" w:themeColor="text1"/>
          <w:sz w:val="24"/>
          <w:szCs w:val="24"/>
          <w:highlight w:val="none"/>
          <w14:textFill>
            <w14:solidFill>
              <w14:schemeClr w14:val="tx1"/>
            </w14:solidFill>
          </w14:textFill>
        </w:rPr>
        <w:t>1、采购代理机构在评标结束后2个工作日内将评标结果交采购人确认。采购人应在收到后5个工作日内对评标结果进行确认。</w:t>
      </w:r>
    </w:p>
    <w:p w14:paraId="1830F1D7">
      <w:pPr>
        <w:spacing w:line="500" w:lineRule="exact"/>
        <w:ind w:firstLine="42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2、自中标、成交供应商确定之日起2个工作日内，采购代理机构将在发布</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w:t>
      </w:r>
      <w:r>
        <w:rPr>
          <w:rFonts w:hint="eastAsia" w:ascii="宋体" w:hAnsi="宋体" w:eastAsia="宋体" w:cs="宋体"/>
          <w:color w:val="000000" w:themeColor="text1"/>
          <w:sz w:val="24"/>
          <w:szCs w:val="24"/>
          <w:highlight w:val="none"/>
          <w14:textFill>
            <w14:solidFill>
              <w14:schemeClr w14:val="tx1"/>
            </w14:solidFill>
          </w14:textFill>
        </w:rPr>
        <w:t>公告的网站上对中标结果进行公告，同时以书面形式发出中标通知书。</w:t>
      </w:r>
    </w:p>
    <w:bookmarkEnd w:id="87"/>
    <w:p w14:paraId="54654EA8">
      <w:pPr>
        <w:autoSpaceDE w:val="0"/>
        <w:autoSpaceDN w:val="0"/>
        <w:snapToGrid w:val="0"/>
        <w:spacing w:before="120" w:after="120" w:line="500" w:lineRule="exact"/>
        <w:ind w:firstLine="386"/>
        <w:jc w:val="center"/>
        <w:textAlignment w:val="bottom"/>
        <w:outlineLvl w:val="1"/>
        <w:rPr>
          <w:rFonts w:hint="eastAsia" w:ascii="宋体" w:hAnsi="宋体" w:eastAsia="宋体" w:cs="宋体"/>
          <w:b/>
          <w:color w:val="000000" w:themeColor="text1"/>
          <w:sz w:val="36"/>
          <w:szCs w:val="36"/>
          <w:highlight w:val="none"/>
          <w14:textFill>
            <w14:solidFill>
              <w14:schemeClr w14:val="tx1"/>
            </w14:solidFill>
          </w14:textFill>
        </w:rPr>
      </w:pPr>
      <w:bookmarkStart w:id="88" w:name="_Toc15123"/>
      <w:r>
        <w:rPr>
          <w:rFonts w:hint="eastAsia" w:ascii="宋体" w:hAnsi="宋体" w:eastAsia="宋体" w:cs="宋体"/>
          <w:b/>
          <w:color w:val="000000" w:themeColor="text1"/>
          <w:sz w:val="36"/>
          <w:szCs w:val="36"/>
          <w:highlight w:val="none"/>
          <w14:textFill>
            <w14:solidFill>
              <w14:schemeClr w14:val="tx1"/>
            </w14:solidFill>
          </w14:textFill>
        </w:rPr>
        <w:t>七、合同授予</w:t>
      </w:r>
      <w:bookmarkEnd w:id="88"/>
    </w:p>
    <w:p w14:paraId="43F9EF37">
      <w:pPr>
        <w:pStyle w:val="18"/>
        <w:snapToGrid w:val="0"/>
        <w:spacing w:beforeLines="0" w:afterLines="0" w:line="500" w:lineRule="exact"/>
        <w:ind w:firstLine="482" w:firstLineChars="20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t>1、签订合同</w:t>
      </w:r>
    </w:p>
    <w:p w14:paraId="1A33368A">
      <w:pPr>
        <w:spacing w:line="500" w:lineRule="exact"/>
        <w:ind w:firstLine="42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1.1、中标人自接到中标通知书后30日内与采购单位签订的政府采购合同。同时采购代理机构对合同内容进行审查，如发现与采购结果和投标承诺内容不一致的，应予以纠正。</w:t>
      </w:r>
    </w:p>
    <w:p w14:paraId="26A617F1">
      <w:pPr>
        <w:spacing w:line="500" w:lineRule="exact"/>
        <w:ind w:firstLine="42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1.2、中标人拖延、拒签合同的，将被取消中标资格；</w:t>
      </w:r>
      <w:bookmarkStart w:id="89" w:name="_Hlk11360751"/>
      <w:r>
        <w:rPr>
          <w:rFonts w:hint="eastAsia" w:ascii="宋体" w:hAnsi="宋体" w:eastAsia="宋体" w:cs="宋体"/>
          <w:color w:val="000000" w:themeColor="text1"/>
          <w:sz w:val="24"/>
          <w:szCs w:val="24"/>
          <w:highlight w:val="none"/>
          <w14:textFill>
            <w14:solidFill>
              <w14:schemeClr w14:val="tx1"/>
            </w14:solidFill>
          </w14:textFill>
        </w:rPr>
        <w:t>造成</w:t>
      </w:r>
      <w:r>
        <w:rPr>
          <w:rFonts w:hint="eastAsia" w:ascii="宋体" w:hAnsi="宋体" w:eastAsia="宋体" w:cs="宋体"/>
          <w:color w:val="000000" w:themeColor="text1"/>
          <w:sz w:val="24"/>
          <w:szCs w:val="24"/>
          <w:highlight w:val="none"/>
          <w:lang w:val="en-US" w:eastAsia="zh-CN"/>
          <w14:textFill>
            <w14:solidFill>
              <w14:schemeClr w14:val="tx1"/>
            </w14:solidFill>
          </w14:textFill>
        </w:rPr>
        <w:t>采购</w:t>
      </w:r>
      <w:r>
        <w:rPr>
          <w:rFonts w:hint="eastAsia" w:ascii="宋体" w:hAnsi="宋体" w:eastAsia="宋体" w:cs="宋体"/>
          <w:color w:val="000000" w:themeColor="text1"/>
          <w:sz w:val="24"/>
          <w:szCs w:val="24"/>
          <w:highlight w:val="none"/>
          <w14:textFill>
            <w14:solidFill>
              <w14:schemeClr w14:val="tx1"/>
            </w14:solidFill>
          </w14:textFill>
        </w:rPr>
        <w:t>人损失的，按实际损失赔偿。</w:t>
      </w:r>
      <w:bookmarkEnd w:id="89"/>
    </w:p>
    <w:p w14:paraId="248C0D34">
      <w:pPr>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bookmarkStart w:id="90" w:name="_Hlk11360765"/>
      <w:r>
        <w:rPr>
          <w:rFonts w:hint="eastAsia" w:ascii="宋体" w:hAnsi="宋体" w:eastAsia="宋体" w:cs="宋体"/>
          <w:color w:val="000000" w:themeColor="text1"/>
          <w:sz w:val="24"/>
          <w:szCs w:val="24"/>
          <w:highlight w:val="none"/>
          <w14:textFill>
            <w14:solidFill>
              <w14:schemeClr w14:val="tx1"/>
            </w14:solidFill>
          </w14:textFill>
        </w:rPr>
        <w:t>采购人应当自政府采购合同签订之日起2个工作日内，将政府采购合同在省级以上人民政府财政部门指定的媒体上公告，但政府采购合同中涉及国家秘密、商业秘密的内容除外。</w:t>
      </w:r>
      <w:bookmarkEnd w:id="90"/>
    </w:p>
    <w:p w14:paraId="6574C16B">
      <w:pPr>
        <w:widowControl/>
        <w:jc w:val="left"/>
        <w:rPr>
          <w:rFonts w:hint="eastAsia" w:ascii="宋体" w:hAnsi="宋体" w:eastAsia="宋体" w:cs="宋体"/>
          <w:b/>
          <w:bCs/>
          <w:color w:val="000000" w:themeColor="text1"/>
          <w:kern w:val="0"/>
          <w:sz w:val="32"/>
          <w:szCs w:val="32"/>
          <w:highlight w:val="none"/>
          <w14:textFill>
            <w14:solidFill>
              <w14:schemeClr w14:val="tx1"/>
            </w14:solidFill>
          </w14:textFill>
        </w:rPr>
      </w:pPr>
    </w:p>
    <w:p w14:paraId="7DDA6C0D">
      <w:pPr>
        <w:pStyle w:val="14"/>
        <w:rPr>
          <w:rFonts w:hint="eastAsia" w:ascii="宋体" w:hAnsi="宋体" w:eastAsia="宋体" w:cs="宋体"/>
          <w:color w:val="000000" w:themeColor="text1"/>
          <w:highlight w:val="none"/>
          <w14:textFill>
            <w14:solidFill>
              <w14:schemeClr w14:val="tx1"/>
            </w14:solidFill>
          </w14:textFill>
        </w:rPr>
      </w:pPr>
    </w:p>
    <w:p w14:paraId="026FC741">
      <w:pPr>
        <w:widowControl/>
        <w:jc w:val="left"/>
        <w:rPr>
          <w:rFonts w:hint="eastAsia" w:ascii="宋体" w:hAnsi="宋体" w:eastAsia="宋体" w:cs="宋体"/>
          <w:color w:val="000000" w:themeColor="text1"/>
          <w:highlight w:val="none"/>
          <w14:textFill>
            <w14:solidFill>
              <w14:schemeClr w14:val="tx1"/>
            </w14:solidFill>
          </w14:textFill>
        </w:rPr>
      </w:pPr>
    </w:p>
    <w:p w14:paraId="7D81AD47">
      <w:pPr>
        <w:rPr>
          <w:rFonts w:hint="eastAsia" w:ascii="宋体" w:hAnsi="宋体" w:eastAsia="宋体" w:cs="宋体"/>
          <w:color w:val="000000" w:themeColor="text1"/>
          <w:highlight w:val="none"/>
          <w14:textFill>
            <w14:solidFill>
              <w14:schemeClr w14:val="tx1"/>
            </w14:solidFill>
          </w14:textFill>
        </w:rPr>
      </w:pPr>
    </w:p>
    <w:p w14:paraId="4BC8BB59">
      <w:pPr>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color w:val="000000" w:themeColor="text1"/>
          <w:sz w:val="44"/>
          <w:szCs w:val="44"/>
          <w:highlight w:val="none"/>
          <w14:textFill>
            <w14:solidFill>
              <w14:schemeClr w14:val="tx1"/>
            </w14:solidFill>
          </w14:textFill>
        </w:rPr>
        <w:br w:type="page"/>
      </w:r>
    </w:p>
    <w:p w14:paraId="1EB25AF0">
      <w:pPr>
        <w:pStyle w:val="30"/>
        <w:spacing w:before="260" w:after="260" w:line="500" w:lineRule="exact"/>
        <w:rPr>
          <w:rFonts w:hint="eastAsia" w:ascii="宋体" w:hAnsi="宋体" w:eastAsia="宋体" w:cs="宋体"/>
          <w:b w:val="0"/>
          <w:bCs w:val="0"/>
          <w:color w:val="000000" w:themeColor="text1"/>
          <w:kern w:val="2"/>
          <w:sz w:val="44"/>
          <w:szCs w:val="44"/>
          <w:highlight w:val="none"/>
          <w14:textFill>
            <w14:solidFill>
              <w14:schemeClr w14:val="tx1"/>
            </w14:solidFill>
          </w14:textFill>
        </w:rPr>
      </w:pPr>
      <w:bookmarkStart w:id="91" w:name="_Toc7331"/>
      <w:r>
        <w:rPr>
          <w:rFonts w:hint="eastAsia" w:ascii="宋体" w:hAnsi="宋体" w:eastAsia="宋体" w:cs="宋体"/>
          <w:b w:val="0"/>
          <w:bCs w:val="0"/>
          <w:color w:val="000000" w:themeColor="text1"/>
          <w:kern w:val="2"/>
          <w:sz w:val="44"/>
          <w:szCs w:val="44"/>
          <w:highlight w:val="none"/>
          <w14:textFill>
            <w14:solidFill>
              <w14:schemeClr w14:val="tx1"/>
            </w14:solidFill>
          </w14:textFill>
        </w:rPr>
        <w:t>第四章 评标办法及评分标准</w:t>
      </w:r>
      <w:bookmarkEnd w:id="91"/>
    </w:p>
    <w:p w14:paraId="56B47C4E">
      <w:pPr>
        <w:snapToGrid w:val="0"/>
        <w:spacing w:line="360" w:lineRule="auto"/>
        <w:ind w:firstLine="559" w:firstLineChars="199"/>
        <w:jc w:val="center"/>
        <w:rPr>
          <w:rFonts w:hint="eastAsia" w:ascii="宋体" w:hAnsi="宋体" w:eastAsia="宋体" w:cs="宋体"/>
          <w:b/>
          <w:bCs/>
          <w:color w:val="000000" w:themeColor="text1"/>
          <w:kern w:val="44"/>
          <w:sz w:val="28"/>
          <w:szCs w:val="28"/>
          <w:highlight w:val="none"/>
          <w14:textFill>
            <w14:solidFill>
              <w14:schemeClr w14:val="tx1"/>
            </w14:solidFill>
          </w14:textFill>
        </w:rPr>
      </w:pPr>
    </w:p>
    <w:p w14:paraId="087E907C">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为公正、公平、科学地选择中标人，根据《中华人民共和国政府采购法》等有关法律法规的规定，并结合本项目的实际，制定本办法。</w:t>
      </w:r>
    </w:p>
    <w:p w14:paraId="36BDA859">
      <w:pPr>
        <w:widowControl/>
        <w:jc w:val="left"/>
        <w:rPr>
          <w:rFonts w:hint="eastAsia" w:ascii="宋体" w:hAnsi="宋体"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br w:type="page"/>
      </w:r>
    </w:p>
    <w:p w14:paraId="52CA9DAF">
      <w:pPr>
        <w:widowControl/>
        <w:spacing w:line="500" w:lineRule="exact"/>
        <w:jc w:val="center"/>
        <w:outlineLvl w:val="1"/>
        <w:rPr>
          <w:rFonts w:hint="eastAsia" w:ascii="宋体" w:hAnsi="宋体" w:eastAsia="宋体" w:cs="宋体"/>
          <w:b/>
          <w:bCs/>
          <w:kern w:val="0"/>
          <w:sz w:val="32"/>
          <w:szCs w:val="32"/>
          <w:highlight w:val="none"/>
        </w:rPr>
      </w:pPr>
      <w:bookmarkStart w:id="92" w:name="_Toc520898153"/>
      <w:r>
        <w:rPr>
          <w:rFonts w:hint="eastAsia" w:ascii="宋体" w:hAnsi="宋体" w:eastAsia="宋体" w:cs="宋体"/>
          <w:b/>
          <w:color w:val="000000" w:themeColor="text1"/>
          <w:sz w:val="30"/>
          <w:szCs w:val="30"/>
          <w:highlight w:val="none"/>
          <w14:textFill>
            <w14:solidFill>
              <w14:schemeClr w14:val="tx1"/>
            </w14:solidFill>
          </w14:textFill>
        </w:rPr>
        <w:t xml:space="preserve"> </w:t>
      </w:r>
      <w:bookmarkStart w:id="93" w:name="_Toc20281"/>
      <w:r>
        <w:rPr>
          <w:rFonts w:hint="eastAsia" w:ascii="宋体" w:hAnsi="宋体" w:eastAsia="宋体" w:cs="宋体"/>
          <w:b/>
          <w:sz w:val="30"/>
          <w:szCs w:val="30"/>
          <w:highlight w:val="none"/>
        </w:rPr>
        <w:t>评标办法</w:t>
      </w:r>
      <w:bookmarkEnd w:id="93"/>
    </w:p>
    <w:p w14:paraId="0165A9E3">
      <w:pPr>
        <w:pStyle w:val="18"/>
        <w:spacing w:before="120" w:after="120" w:line="440" w:lineRule="exact"/>
        <w:ind w:firstLine="420" w:firstLineChars="200"/>
        <w:jc w:val="left"/>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一、总则</w:t>
      </w:r>
    </w:p>
    <w:p w14:paraId="3BCFDEFC">
      <w:pPr>
        <w:spacing w:line="44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本次评标采用综合评分法，总分为100分。合格供应商的评标得分为各项目汇总得分，中标候选资格按评标得分由高到低顺序排列，得分相同的，按投标报价由低到高顺序排列；得分且投标报价相同的，按技术得分由高到低顺序排列，仍不能分出前后的，以投标签到先后顺序确定中标人。排名第一的供应商为中标候选人，排名第二的供应商为候补中标候选人，其他供应商中标候选资格依此类推。中标人拒绝与采购人签订合同的，采购人可以按照评审报告推荐的中标候选人名单顺序，确定下一候选人为中标人，也可以重新开展政府采购活动。</w:t>
      </w:r>
    </w:p>
    <w:p w14:paraId="600329BB">
      <w:pPr>
        <w:spacing w:line="44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分值构成：报价分</w:t>
      </w:r>
      <w:r>
        <w:rPr>
          <w:rFonts w:hint="eastAsia" w:ascii="宋体" w:hAnsi="宋体" w:eastAsia="宋体" w:cs="宋体"/>
          <w:szCs w:val="21"/>
          <w:highlight w:val="none"/>
          <w:lang w:val="en-US" w:eastAsia="zh-CN"/>
        </w:rPr>
        <w:t>10</w:t>
      </w:r>
      <w:r>
        <w:rPr>
          <w:rFonts w:hint="eastAsia" w:ascii="宋体" w:hAnsi="宋体" w:eastAsia="宋体" w:cs="宋体"/>
          <w:szCs w:val="21"/>
          <w:highlight w:val="none"/>
        </w:rPr>
        <w:t>分，商务资信及其他分</w:t>
      </w:r>
      <w:r>
        <w:rPr>
          <w:rFonts w:hint="eastAsia" w:ascii="宋体" w:hAnsi="宋体" w:eastAsia="宋体" w:cs="宋体"/>
          <w:szCs w:val="21"/>
          <w:highlight w:val="none"/>
          <w:lang w:val="en-US" w:eastAsia="zh-CN"/>
        </w:rPr>
        <w:t>20</w:t>
      </w:r>
      <w:r>
        <w:rPr>
          <w:rFonts w:hint="eastAsia" w:ascii="宋体" w:hAnsi="宋体" w:eastAsia="宋体" w:cs="宋体"/>
          <w:szCs w:val="21"/>
          <w:highlight w:val="none"/>
        </w:rPr>
        <w:t>分，技术文件</w:t>
      </w:r>
      <w:r>
        <w:rPr>
          <w:rFonts w:hint="eastAsia" w:ascii="宋体" w:hAnsi="宋体" w:eastAsia="宋体" w:cs="宋体"/>
          <w:szCs w:val="21"/>
          <w:highlight w:val="none"/>
          <w:lang w:val="en-US" w:eastAsia="zh-CN"/>
        </w:rPr>
        <w:t>70</w:t>
      </w:r>
      <w:r>
        <w:rPr>
          <w:rFonts w:hint="eastAsia" w:ascii="宋体" w:hAnsi="宋体" w:eastAsia="宋体" w:cs="宋体"/>
          <w:szCs w:val="21"/>
          <w:highlight w:val="none"/>
        </w:rPr>
        <w:t>分。</w:t>
      </w:r>
    </w:p>
    <w:p w14:paraId="50958239">
      <w:pPr>
        <w:pStyle w:val="18"/>
        <w:spacing w:beforeLines="0" w:afterLines="0" w:line="440" w:lineRule="exact"/>
        <w:ind w:firstLine="602"/>
        <w:jc w:val="left"/>
        <w:rPr>
          <w:rFonts w:hint="eastAsia" w:ascii="宋体" w:hAnsi="宋体" w:eastAsia="宋体" w:cs="宋体"/>
          <w:kern w:val="2"/>
          <w:sz w:val="21"/>
          <w:szCs w:val="21"/>
          <w:highlight w:val="none"/>
        </w:rPr>
      </w:pPr>
      <w:r>
        <w:rPr>
          <w:rFonts w:hint="eastAsia" w:ascii="宋体" w:hAnsi="宋体" w:eastAsia="宋体" w:cs="宋体"/>
          <w:kern w:val="2"/>
          <w:sz w:val="21"/>
          <w:szCs w:val="21"/>
          <w:highlight w:val="none"/>
        </w:rPr>
        <w:t>二、评标内容及标准</w:t>
      </w:r>
    </w:p>
    <w:p w14:paraId="2E527553">
      <w:pPr>
        <w:spacing w:line="440" w:lineRule="exact"/>
        <w:rPr>
          <w:rFonts w:hint="eastAsia" w:ascii="宋体" w:hAnsi="宋体" w:eastAsia="宋体" w:cs="宋体"/>
          <w:b/>
          <w:szCs w:val="21"/>
          <w:highlight w:val="none"/>
        </w:rPr>
      </w:pPr>
      <w:r>
        <w:rPr>
          <w:rFonts w:hint="eastAsia" w:ascii="宋体" w:hAnsi="宋体" w:eastAsia="宋体" w:cs="宋体"/>
          <w:b/>
          <w:szCs w:val="21"/>
          <w:highlight w:val="none"/>
        </w:rPr>
        <w:t>（一）报价分（</w:t>
      </w:r>
      <w:r>
        <w:rPr>
          <w:rFonts w:hint="eastAsia" w:ascii="宋体" w:hAnsi="宋体" w:eastAsia="宋体" w:cs="宋体"/>
          <w:b/>
          <w:szCs w:val="21"/>
          <w:highlight w:val="none"/>
          <w:lang w:val="en-US" w:eastAsia="zh-CN"/>
        </w:rPr>
        <w:t>1</w:t>
      </w:r>
      <w:r>
        <w:rPr>
          <w:rFonts w:hint="eastAsia" w:ascii="宋体" w:hAnsi="宋体" w:eastAsia="宋体" w:cs="宋体"/>
          <w:b/>
          <w:szCs w:val="21"/>
          <w:highlight w:val="none"/>
        </w:rPr>
        <w:t>0分）</w:t>
      </w:r>
    </w:p>
    <w:p w14:paraId="4278588C">
      <w:pPr>
        <w:spacing w:line="44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1.价格分采用低价优先法计算，即满足采购文件要求且投标价格最低的投标报价为评标基准价，其他供应商的价格分按照下列公式计算：</w:t>
      </w:r>
    </w:p>
    <w:p w14:paraId="310884EE">
      <w:pPr>
        <w:spacing w:line="44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价格分=（评标基准价/投标报价）×</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0</w:t>
      </w:r>
    </w:p>
    <w:p w14:paraId="3C2758C7">
      <w:pPr>
        <w:spacing w:line="44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2.供应商的投标报价超过采购人设定的</w:t>
      </w:r>
      <w:r>
        <w:rPr>
          <w:rFonts w:hint="eastAsia" w:ascii="宋体" w:hAnsi="宋体" w:eastAsia="宋体" w:cs="宋体"/>
          <w:szCs w:val="21"/>
          <w:highlight w:val="none"/>
          <w:lang w:val="en-US" w:eastAsia="zh-CN"/>
        </w:rPr>
        <w:t>采购预算金额（</w:t>
      </w:r>
      <w:r>
        <w:rPr>
          <w:rFonts w:hint="eastAsia" w:ascii="宋体" w:hAnsi="宋体" w:eastAsia="宋体" w:cs="宋体"/>
          <w:szCs w:val="21"/>
          <w:highlight w:val="none"/>
        </w:rPr>
        <w:t>最高限价</w:t>
      </w:r>
      <w:r>
        <w:rPr>
          <w:rFonts w:hint="eastAsia" w:ascii="宋体" w:hAnsi="宋体" w:eastAsia="宋体" w:cs="宋体"/>
          <w:szCs w:val="21"/>
          <w:highlight w:val="none"/>
          <w:lang w:val="en-US" w:eastAsia="zh-CN"/>
        </w:rPr>
        <w:t>）</w:t>
      </w:r>
      <w:r>
        <w:rPr>
          <w:rFonts w:hint="eastAsia" w:ascii="宋体" w:hAnsi="宋体" w:eastAsia="宋体" w:cs="宋体"/>
          <w:szCs w:val="21"/>
          <w:highlight w:val="none"/>
        </w:rPr>
        <w:t>，将作为无效标。</w:t>
      </w:r>
    </w:p>
    <w:p w14:paraId="35E94371">
      <w:pPr>
        <w:spacing w:line="440" w:lineRule="exact"/>
        <w:ind w:firstLine="420" w:firstLineChars="200"/>
        <w:rPr>
          <w:rFonts w:hint="eastAsia" w:ascii="宋体" w:hAnsi="宋体" w:eastAsia="宋体" w:cs="宋体"/>
          <w:szCs w:val="21"/>
          <w:highlight w:val="none"/>
        </w:rPr>
      </w:pPr>
      <w:r>
        <w:rPr>
          <w:rFonts w:hint="eastAsia" w:ascii="宋体" w:hAnsi="宋体" w:eastAsia="宋体" w:cs="宋体"/>
          <w:szCs w:val="21"/>
          <w:highlight w:val="none"/>
        </w:rPr>
        <w:t>3.评标委员会认为供应商的报价明显低于其他通过符合性审查供应商的报价，有可能影响产品质量或者不能诚信履约的，应当要求其在评标现场合理的时间内提供书面说明，必要时提交相关证明材料</w:t>
      </w:r>
      <w:r>
        <w:rPr>
          <w:rFonts w:hint="eastAsia" w:ascii="宋体" w:hAnsi="宋体" w:eastAsia="宋体" w:cs="宋体"/>
          <w:szCs w:val="21"/>
          <w:highlight w:val="none"/>
          <w:lang w:eastAsia="zh-CN"/>
        </w:rPr>
        <w:t>；</w:t>
      </w:r>
      <w:r>
        <w:rPr>
          <w:rFonts w:hint="eastAsia" w:ascii="宋体" w:hAnsi="宋体" w:eastAsia="宋体" w:cs="宋体"/>
          <w:szCs w:val="21"/>
          <w:highlight w:val="none"/>
        </w:rPr>
        <w:t>供应商不能证明其报价合理性的，评标委员会应当将其作为无效投标处理。</w:t>
      </w:r>
    </w:p>
    <w:p w14:paraId="5228670E">
      <w:pPr>
        <w:spacing w:line="440" w:lineRule="exact"/>
        <w:rPr>
          <w:rFonts w:hint="eastAsia" w:ascii="宋体" w:hAnsi="宋体" w:eastAsia="宋体" w:cs="宋体"/>
          <w:b/>
          <w:szCs w:val="21"/>
          <w:highlight w:val="none"/>
        </w:rPr>
      </w:pPr>
      <w:r>
        <w:rPr>
          <w:rFonts w:hint="eastAsia" w:ascii="宋体" w:hAnsi="宋体" w:eastAsia="宋体" w:cs="宋体"/>
          <w:b/>
          <w:szCs w:val="21"/>
          <w:highlight w:val="none"/>
        </w:rPr>
        <w:t>（二）商务资信及其他分（</w:t>
      </w:r>
      <w:r>
        <w:rPr>
          <w:rFonts w:hint="eastAsia" w:ascii="宋体" w:hAnsi="宋体" w:eastAsia="宋体" w:cs="宋体"/>
          <w:b/>
          <w:szCs w:val="21"/>
          <w:highlight w:val="none"/>
          <w:lang w:val="en-US" w:eastAsia="zh-CN"/>
        </w:rPr>
        <w:t>20</w:t>
      </w:r>
      <w:r>
        <w:rPr>
          <w:rFonts w:hint="eastAsia" w:ascii="宋体" w:hAnsi="宋体" w:eastAsia="宋体" w:cs="宋体"/>
          <w:b/>
          <w:szCs w:val="21"/>
          <w:highlight w:val="none"/>
        </w:rPr>
        <w:t>分）</w:t>
      </w:r>
    </w:p>
    <w:p w14:paraId="732340D3">
      <w:pPr>
        <w:spacing w:line="440" w:lineRule="exact"/>
        <w:ind w:firstLine="422" w:firstLineChars="200"/>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val="en-US" w:eastAsia="zh-CN"/>
          <w14:textFill>
            <w14:solidFill>
              <w14:schemeClr w14:val="tx1"/>
            </w14:solidFill>
          </w14:textFill>
        </w:rPr>
        <w:t>1、</w:t>
      </w:r>
      <w:r>
        <w:rPr>
          <w:rFonts w:hint="eastAsia" w:ascii="宋体" w:hAnsi="宋体" w:eastAsia="宋体" w:cs="宋体"/>
          <w:b/>
          <w:color w:val="000000" w:themeColor="text1"/>
          <w:szCs w:val="21"/>
          <w:highlight w:val="none"/>
          <w14:textFill>
            <w14:solidFill>
              <w14:schemeClr w14:val="tx1"/>
            </w14:solidFill>
          </w14:textFill>
        </w:rPr>
        <w:t>供应商业绩（</w:t>
      </w:r>
      <w:r>
        <w:rPr>
          <w:rFonts w:hint="eastAsia" w:ascii="宋体" w:hAnsi="宋体" w:eastAsia="宋体" w:cs="宋体"/>
          <w:b/>
          <w:color w:val="000000" w:themeColor="text1"/>
          <w:szCs w:val="21"/>
          <w:highlight w:val="none"/>
          <w:lang w:val="en-US" w:eastAsia="zh-CN"/>
          <w14:textFill>
            <w14:solidFill>
              <w14:schemeClr w14:val="tx1"/>
            </w14:solidFill>
          </w14:textFill>
        </w:rPr>
        <w:t>0.5</w:t>
      </w:r>
      <w:r>
        <w:rPr>
          <w:rFonts w:hint="eastAsia" w:ascii="宋体" w:hAnsi="宋体" w:eastAsia="宋体" w:cs="宋体"/>
          <w:b/>
          <w:color w:val="000000" w:themeColor="text1"/>
          <w:szCs w:val="21"/>
          <w:highlight w:val="none"/>
          <w14:textFill>
            <w14:solidFill>
              <w14:schemeClr w14:val="tx1"/>
            </w14:solidFill>
          </w14:textFill>
        </w:rPr>
        <w:t>分）</w:t>
      </w:r>
    </w:p>
    <w:p w14:paraId="08A76A0F">
      <w:pPr>
        <w:pStyle w:val="18"/>
        <w:spacing w:beforeLines="0" w:afterLines="0" w:line="480" w:lineRule="exact"/>
        <w:ind w:firstLine="420" w:firstLineChars="200"/>
        <w:jc w:val="left"/>
        <w:rPr>
          <w:rFonts w:hint="eastAsia" w:ascii="宋体" w:hAnsi="宋体" w:eastAsia="宋体" w:cs="宋体"/>
          <w:kern w:val="2"/>
          <w:sz w:val="21"/>
          <w:szCs w:val="21"/>
          <w:highlight w:val="none"/>
        </w:rPr>
      </w:pPr>
      <w:r>
        <w:rPr>
          <w:rFonts w:hint="eastAsia" w:ascii="宋体" w:hAnsi="宋体" w:eastAsia="宋体" w:cs="宋体"/>
          <w:sz w:val="21"/>
          <w:szCs w:val="21"/>
          <w:highlight w:val="none"/>
          <w:lang w:val="en-US" w:eastAsia="zh-CN"/>
        </w:rPr>
        <w:t>自</w:t>
      </w:r>
      <w:r>
        <w:rPr>
          <w:rFonts w:hint="eastAsia" w:ascii="宋体" w:hAnsi="宋体" w:eastAsia="宋体" w:cs="宋体"/>
          <w:sz w:val="21"/>
          <w:szCs w:val="21"/>
          <w:highlight w:val="none"/>
        </w:rPr>
        <w:t>20</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年</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月1日（以</w:t>
      </w:r>
      <w:r>
        <w:rPr>
          <w:rFonts w:hint="eastAsia" w:ascii="宋体" w:hAnsi="宋体" w:eastAsia="宋体" w:cs="宋体"/>
          <w:sz w:val="21"/>
          <w:szCs w:val="21"/>
          <w:highlight w:val="none"/>
          <w:lang w:val="en-US" w:eastAsia="zh-CN"/>
        </w:rPr>
        <w:t>竣工验收</w:t>
      </w:r>
      <w:r>
        <w:rPr>
          <w:rFonts w:hint="eastAsia" w:ascii="宋体" w:hAnsi="宋体" w:eastAsia="宋体" w:cs="宋体"/>
          <w:sz w:val="21"/>
          <w:szCs w:val="21"/>
          <w:highlight w:val="none"/>
        </w:rPr>
        <w:t>时间为准），</w:t>
      </w:r>
      <w:r>
        <w:rPr>
          <w:rFonts w:hint="eastAsia" w:ascii="宋体" w:hAnsi="宋体" w:eastAsia="宋体" w:cs="宋体"/>
          <w:sz w:val="21"/>
          <w:szCs w:val="21"/>
          <w:highlight w:val="none"/>
          <w:lang w:val="en-US" w:eastAsia="zh-CN"/>
        </w:rPr>
        <w:t>完成过</w:t>
      </w:r>
      <w:r>
        <w:rPr>
          <w:rFonts w:hint="eastAsia" w:ascii="宋体" w:hAnsi="宋体" w:eastAsia="宋体" w:cs="宋体"/>
          <w:strike w:val="0"/>
          <w:dstrike w:val="0"/>
          <w:sz w:val="21"/>
          <w:szCs w:val="21"/>
          <w:highlight w:val="none"/>
          <w:lang w:val="en-US" w:eastAsia="zh-CN"/>
        </w:rPr>
        <w:t>1个类似</w:t>
      </w:r>
      <w:r>
        <w:rPr>
          <w:rFonts w:hint="eastAsia" w:ascii="宋体" w:hAnsi="宋体" w:eastAsia="宋体" w:cs="宋体"/>
          <w:sz w:val="21"/>
          <w:szCs w:val="21"/>
          <w:highlight w:val="none"/>
          <w:lang w:val="en-US" w:eastAsia="zh-CN"/>
        </w:rPr>
        <w:t>项目实施业绩，得0.5分</w:t>
      </w:r>
      <w:r>
        <w:rPr>
          <w:rFonts w:hint="eastAsia" w:ascii="宋体" w:hAnsi="宋体" w:eastAsia="宋体" w:cs="宋体"/>
          <w:sz w:val="21"/>
          <w:szCs w:val="21"/>
          <w:highlight w:val="none"/>
        </w:rPr>
        <w:t>。</w:t>
      </w:r>
    </w:p>
    <w:p w14:paraId="3F32B01A">
      <w:pPr>
        <w:spacing w:line="440" w:lineRule="exact"/>
        <w:ind w:firstLine="422" w:firstLineChars="200"/>
        <w:rPr>
          <w:rFonts w:hint="eastAsia" w:ascii="宋体" w:hAnsi="宋体" w:eastAsia="宋体" w:cs="宋体"/>
          <w:b/>
          <w:color w:val="000000" w:themeColor="text1"/>
          <w:szCs w:val="21"/>
          <w:highlight w:val="none"/>
          <w:lang w:val="en-US" w:eastAsia="zh-CN"/>
          <w14:textFill>
            <w14:solidFill>
              <w14:schemeClr w14:val="tx1"/>
            </w14:solidFill>
          </w14:textFill>
        </w:rPr>
      </w:pPr>
      <w:r>
        <w:rPr>
          <w:rFonts w:hint="eastAsia" w:ascii="宋体" w:hAnsi="宋体" w:eastAsia="宋体" w:cs="宋体"/>
          <w:b/>
          <w:color w:val="000000" w:themeColor="text1"/>
          <w:szCs w:val="21"/>
          <w:highlight w:val="none"/>
          <w:lang w:val="en-US" w:eastAsia="zh-CN"/>
          <w14:textFill>
            <w14:solidFill>
              <w14:schemeClr w14:val="tx1"/>
            </w14:solidFill>
          </w14:textFill>
        </w:rPr>
        <w:t>2、投入本项目团队人员的配置实力</w:t>
      </w:r>
      <w:r>
        <w:rPr>
          <w:rFonts w:hint="eastAsia" w:ascii="宋体" w:hAnsi="宋体" w:eastAsia="宋体" w:cs="宋体"/>
          <w:b/>
          <w:bCs/>
          <w:highlight w:val="none"/>
          <w:lang w:val="en-US" w:eastAsia="zh-CN"/>
        </w:rPr>
        <w:t>（</w:t>
      </w:r>
      <w:r>
        <w:rPr>
          <w:rFonts w:hint="eastAsia" w:ascii="宋体" w:hAnsi="宋体" w:cs="宋体"/>
          <w:b/>
          <w:bCs/>
          <w:highlight w:val="none"/>
          <w:lang w:val="en-US" w:eastAsia="zh-CN"/>
        </w:rPr>
        <w:t>9</w:t>
      </w:r>
      <w:r>
        <w:rPr>
          <w:rFonts w:hint="eastAsia" w:ascii="宋体" w:hAnsi="宋体" w:eastAsia="宋体" w:cs="宋体"/>
          <w:b/>
          <w:bCs/>
          <w:highlight w:val="none"/>
          <w:lang w:val="en-US" w:eastAsia="zh-CN"/>
        </w:rPr>
        <w:t>.5分）</w:t>
      </w:r>
    </w:p>
    <w:p w14:paraId="35115072">
      <w:pPr>
        <w:numPr>
          <w:ilvl w:val="0"/>
          <w:numId w:val="0"/>
        </w:numPr>
        <w:tabs>
          <w:tab w:val="center" w:pos="4535"/>
        </w:tabs>
        <w:spacing w:line="440" w:lineRule="exact"/>
        <w:ind w:firstLine="422" w:firstLineChars="20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1）拟投入项目负责人（3.5分）</w:t>
      </w:r>
      <w:r>
        <w:rPr>
          <w:rFonts w:hint="eastAsia" w:ascii="宋体" w:hAnsi="宋体" w:eastAsia="宋体" w:cs="宋体"/>
          <w:b/>
          <w:bCs/>
          <w:highlight w:val="none"/>
          <w:lang w:val="en-US" w:eastAsia="zh-CN"/>
        </w:rPr>
        <w:tab/>
      </w:r>
    </w:p>
    <w:p w14:paraId="328AA980">
      <w:pPr>
        <w:numPr>
          <w:ilvl w:val="0"/>
          <w:numId w:val="0"/>
        </w:numPr>
        <w:spacing w:line="440" w:lineRule="exact"/>
        <w:ind w:firstLine="420" w:firstLineChars="200"/>
        <w:rPr>
          <w:rFonts w:hint="eastAsia" w:ascii="宋体" w:hAnsi="宋体" w:eastAsia="宋体" w:cs="宋体"/>
          <w:highlight w:val="none"/>
          <w:lang w:val="en-US" w:eastAsia="zh-CN"/>
        </w:rPr>
      </w:pPr>
      <w:r>
        <w:rPr>
          <w:rFonts w:hint="eastAsia" w:ascii="宋体" w:hAnsi="宋体" w:eastAsia="宋体" w:cs="宋体"/>
          <w:highlight w:val="none"/>
          <w:lang w:val="en-US" w:eastAsia="zh-CN"/>
        </w:rPr>
        <w:t>a.</w:t>
      </w:r>
      <w:r>
        <w:rPr>
          <w:rFonts w:hint="eastAsia" w:ascii="宋体" w:hAnsi="宋体" w:eastAsia="宋体" w:cs="宋体"/>
          <w:sz w:val="21"/>
          <w:szCs w:val="21"/>
          <w:highlight w:val="none"/>
          <w:lang w:val="en-US" w:eastAsia="zh-CN"/>
        </w:rPr>
        <w:t>自</w:t>
      </w:r>
      <w:r>
        <w:rPr>
          <w:rFonts w:hint="eastAsia" w:ascii="宋体" w:hAnsi="宋体" w:eastAsia="宋体" w:cs="宋体"/>
          <w:sz w:val="21"/>
          <w:szCs w:val="21"/>
          <w:highlight w:val="none"/>
        </w:rPr>
        <w:t>20</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年</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rPr>
        <w:t>月1日（以</w:t>
      </w:r>
      <w:r>
        <w:rPr>
          <w:rFonts w:hint="eastAsia" w:ascii="宋体" w:hAnsi="宋体" w:eastAsia="宋体" w:cs="宋体"/>
          <w:sz w:val="21"/>
          <w:szCs w:val="21"/>
          <w:highlight w:val="none"/>
          <w:lang w:val="en-US" w:eastAsia="zh-CN"/>
        </w:rPr>
        <w:t>竣工验收</w:t>
      </w:r>
      <w:r>
        <w:rPr>
          <w:rFonts w:hint="eastAsia" w:ascii="宋体" w:hAnsi="宋体" w:eastAsia="宋体" w:cs="宋体"/>
          <w:sz w:val="21"/>
          <w:szCs w:val="21"/>
          <w:highlight w:val="none"/>
        </w:rPr>
        <w:t>时间为准）</w:t>
      </w:r>
      <w:r>
        <w:rPr>
          <w:rFonts w:hint="eastAsia" w:ascii="宋体" w:hAnsi="宋体" w:eastAsia="宋体" w:cs="宋体"/>
          <w:sz w:val="21"/>
          <w:szCs w:val="21"/>
          <w:highlight w:val="none"/>
          <w:lang w:eastAsia="zh-CN"/>
        </w:rPr>
        <w:t>，</w:t>
      </w:r>
      <w:r>
        <w:rPr>
          <w:rFonts w:hint="eastAsia" w:ascii="宋体" w:hAnsi="宋体" w:eastAsia="宋体" w:cs="宋体"/>
          <w:highlight w:val="none"/>
          <w:lang w:val="en-US" w:eastAsia="zh-CN"/>
        </w:rPr>
        <w:t>以项目负责人身份完成过1个</w:t>
      </w:r>
      <w:r>
        <w:rPr>
          <w:rFonts w:hint="eastAsia" w:ascii="宋体" w:hAnsi="宋体" w:eastAsia="宋体" w:cs="宋体"/>
          <w:strike w:val="0"/>
          <w:dstrike w:val="0"/>
          <w:sz w:val="21"/>
          <w:szCs w:val="21"/>
          <w:highlight w:val="none"/>
          <w:lang w:val="en-US" w:eastAsia="zh-CN"/>
        </w:rPr>
        <w:t>类似</w:t>
      </w:r>
      <w:r>
        <w:rPr>
          <w:rFonts w:hint="eastAsia" w:ascii="宋体" w:hAnsi="宋体" w:eastAsia="宋体" w:cs="宋体"/>
          <w:sz w:val="21"/>
          <w:szCs w:val="21"/>
          <w:highlight w:val="none"/>
          <w:lang w:val="en-US" w:eastAsia="zh-CN"/>
        </w:rPr>
        <w:t>项目实施业绩的</w:t>
      </w:r>
      <w:r>
        <w:rPr>
          <w:rFonts w:hint="eastAsia" w:ascii="宋体" w:hAnsi="宋体" w:eastAsia="宋体" w:cs="宋体"/>
          <w:highlight w:val="none"/>
          <w:lang w:val="en-US" w:eastAsia="zh-CN"/>
        </w:rPr>
        <w:t>，得0.5分；</w:t>
      </w:r>
    </w:p>
    <w:p w14:paraId="76BA9FB1">
      <w:pPr>
        <w:pStyle w:val="18"/>
        <w:spacing w:beforeLines="0" w:afterLines="0" w:line="48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b.项目负责人具有高级及以上技术职称得3分；</w:t>
      </w:r>
    </w:p>
    <w:p w14:paraId="6C21889D">
      <w:pPr>
        <w:numPr>
          <w:ilvl w:val="0"/>
          <w:numId w:val="0"/>
        </w:numPr>
        <w:spacing w:line="440" w:lineRule="exact"/>
        <w:ind w:firstLine="422" w:firstLineChars="20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2）拟投入技术负责人（2分）</w:t>
      </w:r>
    </w:p>
    <w:p w14:paraId="1F1931F4">
      <w:pPr>
        <w:pStyle w:val="18"/>
        <w:spacing w:beforeLines="0" w:afterLines="0" w:line="480" w:lineRule="exact"/>
        <w:ind w:firstLine="420" w:firstLineChars="20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a.技术负责人具有高级及以上技术职称得2分；</w:t>
      </w:r>
    </w:p>
    <w:p w14:paraId="10652E94">
      <w:pPr>
        <w:numPr>
          <w:ilvl w:val="0"/>
          <w:numId w:val="0"/>
        </w:numPr>
        <w:spacing w:line="440" w:lineRule="exact"/>
        <w:ind w:firstLine="422" w:firstLineChars="20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3）拟投入项目组成员（4分）</w:t>
      </w:r>
    </w:p>
    <w:p w14:paraId="3DE3D631">
      <w:pPr>
        <w:numPr>
          <w:ilvl w:val="0"/>
          <w:numId w:val="0"/>
        </w:numPr>
        <w:spacing w:line="440" w:lineRule="exact"/>
        <w:ind w:firstLine="420" w:firstLineChars="200"/>
        <w:rPr>
          <w:rFonts w:hint="eastAsia" w:ascii="宋体" w:hAnsi="宋体" w:eastAsia="宋体" w:cs="宋体"/>
          <w:b/>
          <w:bCs/>
          <w:highlight w:val="none"/>
          <w:lang w:val="en-US" w:eastAsia="zh-CN"/>
        </w:rPr>
      </w:pPr>
      <w:r>
        <w:rPr>
          <w:rFonts w:hint="eastAsia" w:ascii="宋体" w:hAnsi="宋体" w:eastAsia="宋体" w:cs="宋体"/>
          <w:highlight w:val="none"/>
          <w:lang w:val="en-US" w:eastAsia="zh-CN"/>
        </w:rPr>
        <w:t>拟投入项目组成员每具有</w:t>
      </w:r>
      <w:r>
        <w:rPr>
          <w:rFonts w:hint="eastAsia" w:ascii="宋体" w:hAnsi="宋体" w:eastAsia="宋体" w:cs="宋体"/>
          <w:highlight w:val="none"/>
        </w:rPr>
        <w:t>IT服务工程师、IT运维工程师、信息安全管理工程师</w:t>
      </w:r>
      <w:r>
        <w:rPr>
          <w:rFonts w:hint="eastAsia" w:ascii="宋体" w:hAnsi="宋体" w:eastAsia="宋体" w:cs="宋体"/>
          <w:highlight w:val="none"/>
          <w:lang w:eastAsia="zh-CN"/>
        </w:rPr>
        <w:t>、造价工程师（安装专业）</w:t>
      </w:r>
      <w:r>
        <w:rPr>
          <w:rFonts w:hint="eastAsia" w:ascii="宋体" w:hAnsi="宋体" w:eastAsia="宋体" w:cs="宋体"/>
          <w:highlight w:val="none"/>
          <w:lang w:val="en-US" w:eastAsia="zh-CN"/>
        </w:rPr>
        <w:t>资格证书的，每个得1分，本项最高得4分。</w:t>
      </w:r>
      <w:r>
        <w:rPr>
          <w:rFonts w:hint="eastAsia" w:ascii="宋体" w:hAnsi="宋体" w:eastAsia="宋体" w:cs="宋体"/>
          <w:b/>
          <w:bCs/>
          <w:highlight w:val="none"/>
          <w:lang w:val="en-US" w:eastAsia="zh-CN"/>
        </w:rPr>
        <w:t>注：同一成员资格证书不可累计加分。</w:t>
      </w:r>
    </w:p>
    <w:p w14:paraId="174E843B">
      <w:pPr>
        <w:numPr>
          <w:ilvl w:val="0"/>
          <w:numId w:val="0"/>
        </w:numPr>
        <w:spacing w:line="440" w:lineRule="exact"/>
        <w:ind w:left="420" w:leftChars="0"/>
        <w:rPr>
          <w:rFonts w:hint="eastAsia" w:ascii="宋体" w:hAnsi="宋体" w:eastAsia="宋体" w:cs="宋体"/>
          <w:b/>
          <w:color w:val="000000" w:themeColor="text1"/>
          <w:szCs w:val="21"/>
          <w:highlight w:val="none"/>
          <w:lang w:val="en-US" w:eastAsia="zh-CN"/>
          <w14:textFill>
            <w14:solidFill>
              <w14:schemeClr w14:val="tx1"/>
            </w14:solidFill>
          </w14:textFill>
        </w:rPr>
      </w:pPr>
      <w:r>
        <w:rPr>
          <w:rFonts w:hint="eastAsia" w:ascii="宋体" w:hAnsi="宋体" w:eastAsia="宋体" w:cs="宋体"/>
          <w:b/>
          <w:color w:val="000000" w:themeColor="text1"/>
          <w:szCs w:val="21"/>
          <w:highlight w:val="none"/>
          <w:lang w:val="en-US" w:eastAsia="zh-CN"/>
          <w14:textFill>
            <w14:solidFill>
              <w14:schemeClr w14:val="tx1"/>
            </w14:solidFill>
          </w14:textFill>
        </w:rPr>
        <w:t>3、供应商信誉（5分）</w:t>
      </w:r>
    </w:p>
    <w:p w14:paraId="3959F669">
      <w:pPr>
        <w:numPr>
          <w:ilvl w:val="0"/>
          <w:numId w:val="0"/>
        </w:numPr>
        <w:spacing w:line="440" w:lineRule="exact"/>
        <w:ind w:firstLine="420" w:firstLineChars="200"/>
        <w:rPr>
          <w:rFonts w:hint="eastAsia" w:ascii="宋体" w:hAnsi="宋体" w:eastAsia="宋体" w:cs="宋体"/>
          <w:b/>
          <w:bCs/>
          <w:highlight w:val="none"/>
          <w:lang w:val="en-US" w:eastAsia="zh-CN"/>
        </w:rPr>
      </w:pPr>
      <w:r>
        <w:rPr>
          <w:rFonts w:hint="eastAsia" w:ascii="宋体" w:hAnsi="宋体" w:eastAsia="宋体" w:cs="宋体"/>
          <w:highlight w:val="none"/>
          <w:lang w:val="en-US" w:eastAsia="zh-CN"/>
        </w:rPr>
        <w:t>供应商具有信息安全管理体系认证证书、环境管理体系认证证书、职业健康安全管理体系认证、数据安全能力成熟度等级证书（DSMM2级及以上）认证证书、数据管理能力成熟度认证(DCMM2级及以上)认证证书且在有效期内的每项得1分，最高得5分</w:t>
      </w:r>
      <w:r>
        <w:rPr>
          <w:rFonts w:hint="eastAsia" w:ascii="宋体" w:hAnsi="宋体" w:eastAsia="宋体" w:cs="宋体"/>
          <w:b/>
          <w:bCs/>
          <w:highlight w:val="none"/>
          <w:lang w:val="en-US" w:eastAsia="zh-CN"/>
        </w:rPr>
        <w:t>（需提供相关证明材料扫描件或复印件，否则不予认可）。</w:t>
      </w:r>
    </w:p>
    <w:p w14:paraId="1370C1F6">
      <w:pPr>
        <w:numPr>
          <w:ilvl w:val="0"/>
          <w:numId w:val="0"/>
        </w:numPr>
        <w:spacing w:line="440" w:lineRule="exact"/>
        <w:ind w:firstLine="422" w:firstLineChars="200"/>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4、供应商售后服务（5分）</w:t>
      </w:r>
    </w:p>
    <w:p w14:paraId="55628EF0">
      <w:pPr>
        <w:numPr>
          <w:ilvl w:val="0"/>
          <w:numId w:val="0"/>
        </w:numPr>
        <w:spacing w:line="440" w:lineRule="exact"/>
        <w:rPr>
          <w:rFonts w:hint="eastAsia" w:ascii="宋体" w:hAnsi="宋体" w:eastAsia="宋体" w:cs="宋体"/>
          <w:b/>
          <w:bCs/>
          <w:highlight w:val="none"/>
          <w:lang w:val="en-US" w:eastAsia="zh-CN"/>
        </w:rPr>
      </w:pPr>
      <w:r>
        <w:rPr>
          <w:rFonts w:hint="eastAsia" w:ascii="宋体" w:hAnsi="宋体" w:eastAsia="宋体" w:cs="宋体"/>
          <w:b/>
          <w:bCs/>
          <w:highlight w:val="none"/>
          <w:lang w:val="en-US" w:eastAsia="zh-CN"/>
        </w:rPr>
        <w:t xml:space="preserve">    </w:t>
      </w:r>
      <w:r>
        <w:rPr>
          <w:rFonts w:hint="eastAsia" w:ascii="宋体" w:hAnsi="宋体" w:eastAsia="宋体" w:cs="宋体"/>
          <w:highlight w:val="none"/>
          <w:lang w:val="en-US" w:eastAsia="zh-CN"/>
        </w:rPr>
        <w:t>本项目竣工验收结束后，供应商承诺提供3年质保服务的得3分，提供4年质保服务的得4分，提供5年及以上质保服务的得5分</w:t>
      </w:r>
      <w:r>
        <w:rPr>
          <w:rFonts w:hint="eastAsia" w:ascii="宋体" w:hAnsi="宋体" w:eastAsia="宋体" w:cs="宋体"/>
          <w:b/>
          <w:bCs/>
          <w:highlight w:val="none"/>
          <w:lang w:val="en-US" w:eastAsia="zh-CN"/>
        </w:rPr>
        <w:t>（须附相关承诺文件，否则不予认可）</w:t>
      </w:r>
      <w:r>
        <w:rPr>
          <w:rFonts w:hint="eastAsia" w:ascii="宋体" w:hAnsi="宋体" w:eastAsia="宋体" w:cs="宋体"/>
          <w:highlight w:val="none"/>
          <w:lang w:val="en-US" w:eastAsia="zh-CN"/>
        </w:rPr>
        <w:t>。</w:t>
      </w:r>
    </w:p>
    <w:p w14:paraId="1F59B505">
      <w:pPr>
        <w:spacing w:line="480" w:lineRule="exact"/>
        <w:rPr>
          <w:rFonts w:hint="eastAsia" w:ascii="宋体" w:hAnsi="宋体" w:eastAsia="宋体" w:cs="宋体"/>
          <w:b/>
          <w:szCs w:val="21"/>
          <w:highlight w:val="none"/>
        </w:rPr>
      </w:pPr>
      <w:r>
        <w:rPr>
          <w:rFonts w:hint="eastAsia" w:ascii="宋体" w:hAnsi="宋体" w:eastAsia="宋体" w:cs="宋体"/>
          <w:b/>
          <w:szCs w:val="21"/>
          <w:highlight w:val="none"/>
        </w:rPr>
        <w:t>（三）技术分（</w:t>
      </w:r>
      <w:r>
        <w:rPr>
          <w:rFonts w:hint="eastAsia" w:ascii="宋体" w:hAnsi="宋体" w:eastAsia="宋体" w:cs="宋体"/>
          <w:b/>
          <w:szCs w:val="21"/>
          <w:highlight w:val="none"/>
          <w:lang w:val="en-US" w:eastAsia="zh-CN"/>
        </w:rPr>
        <w:t>70</w:t>
      </w:r>
      <w:r>
        <w:rPr>
          <w:rFonts w:hint="eastAsia" w:ascii="宋体" w:hAnsi="宋体" w:eastAsia="宋体" w:cs="宋体"/>
          <w:b/>
          <w:szCs w:val="21"/>
          <w:highlight w:val="none"/>
        </w:rPr>
        <w:t>分）</w:t>
      </w:r>
    </w:p>
    <w:p w14:paraId="07C7404F">
      <w:pPr>
        <w:pStyle w:val="41"/>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1.内容完整性和编制水平（14分）</w:t>
      </w:r>
    </w:p>
    <w:p w14:paraId="24528020">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宋体" w:eastAsia="宋体" w:cs="宋体"/>
          <w:highlight w:val="none"/>
          <w:lang w:val="en-US" w:eastAsia="zh-CN"/>
        </w:rPr>
      </w:pPr>
      <w:r>
        <w:rPr>
          <w:rFonts w:hint="eastAsia" w:ascii="宋体" w:hAnsi="宋体" w:eastAsia="宋体" w:cs="宋体"/>
          <w:highlight w:val="none"/>
          <w:lang w:val="en-US" w:eastAsia="zh-CN"/>
        </w:rPr>
        <w:t>结合对台州机场现场实际情况提供针对性的技术方案，如机场已建、在建系统构成情况、数据现状、数据范围及数据体量等维度提供完整详细的系统间数据融合对接方案，以及硬件选用品牌情况，并对方案和品牌的先进性、完整性、合理性、适用性等进行评分。</w:t>
      </w:r>
    </w:p>
    <w:tbl>
      <w:tblPr>
        <w:tblStyle w:val="35"/>
        <w:tblpPr w:leftFromText="180" w:rightFromText="180" w:vertAnchor="text" w:horzAnchor="page" w:tblpX="1522" w:tblpY="147"/>
        <w:tblOverlap w:val="never"/>
        <w:tblW w:w="91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82"/>
        <w:gridCol w:w="2406"/>
        <w:gridCol w:w="2576"/>
        <w:gridCol w:w="2055"/>
      </w:tblGrid>
      <w:tr w14:paraId="40899C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jc w:val="center"/>
        </w:trPr>
        <w:tc>
          <w:tcPr>
            <w:tcW w:w="2082" w:type="dxa"/>
            <w:vAlign w:val="center"/>
          </w:tcPr>
          <w:p w14:paraId="726F7C5D">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好：</w:t>
            </w:r>
            <w:r>
              <w:rPr>
                <w:rFonts w:hint="eastAsia" w:ascii="宋体" w:hAnsi="宋体" w:eastAsia="宋体" w:cs="宋体"/>
                <w:sz w:val="21"/>
                <w:szCs w:val="21"/>
                <w:highlight w:val="none"/>
                <w:lang w:val="en-US" w:eastAsia="zh-CN"/>
              </w:rPr>
              <w:t>13.6</w:t>
            </w: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.0分</w:t>
            </w:r>
          </w:p>
        </w:tc>
        <w:tc>
          <w:tcPr>
            <w:tcW w:w="2406" w:type="dxa"/>
            <w:vAlign w:val="center"/>
          </w:tcPr>
          <w:p w14:paraId="6E5B803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较好：</w:t>
            </w:r>
            <w:r>
              <w:rPr>
                <w:rFonts w:hint="eastAsia" w:ascii="宋体" w:hAnsi="宋体" w:eastAsia="宋体" w:cs="宋体"/>
                <w:sz w:val="21"/>
                <w:szCs w:val="21"/>
                <w:highlight w:val="none"/>
                <w:lang w:val="en-US" w:eastAsia="zh-CN"/>
              </w:rPr>
              <w:t>13.1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13.5</w:t>
            </w:r>
            <w:r>
              <w:rPr>
                <w:rFonts w:hint="eastAsia" w:ascii="宋体" w:hAnsi="宋体" w:eastAsia="宋体" w:cs="宋体"/>
                <w:sz w:val="21"/>
                <w:szCs w:val="21"/>
                <w:highlight w:val="none"/>
              </w:rPr>
              <w:t>分</w:t>
            </w:r>
          </w:p>
        </w:tc>
        <w:tc>
          <w:tcPr>
            <w:tcW w:w="2576" w:type="dxa"/>
            <w:vAlign w:val="center"/>
          </w:tcPr>
          <w:p w14:paraId="1E8AF1A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一般：</w:t>
            </w:r>
            <w:r>
              <w:rPr>
                <w:rFonts w:hint="eastAsia" w:ascii="宋体" w:hAnsi="宋体" w:eastAsia="宋体" w:cs="宋体"/>
                <w:sz w:val="21"/>
                <w:szCs w:val="21"/>
                <w:highlight w:val="none"/>
                <w:lang w:val="en-US" w:eastAsia="zh-CN"/>
              </w:rPr>
              <w:t>12.6</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13.0</w:t>
            </w:r>
            <w:r>
              <w:rPr>
                <w:rFonts w:hint="eastAsia" w:ascii="宋体" w:hAnsi="宋体" w:eastAsia="宋体" w:cs="宋体"/>
                <w:sz w:val="21"/>
                <w:szCs w:val="21"/>
                <w:highlight w:val="none"/>
              </w:rPr>
              <w:t>分</w:t>
            </w:r>
          </w:p>
        </w:tc>
        <w:tc>
          <w:tcPr>
            <w:tcW w:w="2055" w:type="dxa"/>
            <w:vAlign w:val="center"/>
          </w:tcPr>
          <w:p w14:paraId="57B24B7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差：</w:t>
            </w:r>
            <w:r>
              <w:rPr>
                <w:rFonts w:hint="eastAsia" w:ascii="宋体" w:hAnsi="宋体" w:eastAsia="宋体" w:cs="宋体"/>
                <w:sz w:val="21"/>
                <w:szCs w:val="21"/>
                <w:highlight w:val="none"/>
                <w:lang w:val="en-US" w:eastAsia="zh-CN"/>
              </w:rPr>
              <w:t>12.1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12.5</w:t>
            </w:r>
            <w:r>
              <w:rPr>
                <w:rFonts w:hint="eastAsia" w:ascii="宋体" w:hAnsi="宋体" w:eastAsia="宋体" w:cs="宋体"/>
                <w:sz w:val="21"/>
                <w:szCs w:val="21"/>
                <w:highlight w:val="none"/>
              </w:rPr>
              <w:t>分</w:t>
            </w:r>
          </w:p>
        </w:tc>
      </w:tr>
    </w:tbl>
    <w:p w14:paraId="38D51757">
      <w:pPr>
        <w:pStyle w:val="41"/>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2、对本项目技术方案与研发措施的理解（14分）</w:t>
      </w:r>
    </w:p>
    <w:p w14:paraId="51CDF901">
      <w:pPr>
        <w:pStyle w:val="41"/>
        <w:keepNext w:val="0"/>
        <w:keepLines w:val="0"/>
        <w:pageBreakBefore w:val="0"/>
        <w:widowControl w:val="0"/>
        <w:kinsoku/>
        <w:wordWrap/>
        <w:overflowPunct/>
        <w:topLinePunct w:val="0"/>
        <w:autoSpaceDE/>
        <w:autoSpaceDN/>
        <w:bidi w:val="0"/>
        <w:adjustRightInd/>
        <w:snapToGrid/>
        <w:spacing w:line="440" w:lineRule="exact"/>
        <w:ind w:left="-199" w:leftChars="-95" w:firstLine="409" w:firstLineChars="195"/>
        <w:textAlignment w:val="auto"/>
        <w:rPr>
          <w:rFonts w:hint="eastAsia" w:ascii="宋体" w:hAnsi="宋体" w:eastAsia="宋体" w:cs="宋体"/>
          <w:kern w:val="2"/>
          <w:sz w:val="21"/>
          <w:highlight w:val="none"/>
          <w:lang w:val="en-US" w:eastAsia="zh-CN" w:bidi="ar-SA"/>
        </w:rPr>
      </w:pPr>
      <w:r>
        <w:rPr>
          <w:rFonts w:hint="eastAsia" w:ascii="宋体" w:hAnsi="宋体" w:eastAsia="宋体" w:cs="宋体"/>
          <w:kern w:val="2"/>
          <w:sz w:val="21"/>
          <w:highlight w:val="none"/>
          <w:lang w:val="en-US" w:eastAsia="zh-CN" w:bidi="ar-SA"/>
        </w:rPr>
        <w:t>针对台州机场现场实际情况提供针对性的技术方案及研发措施，重点体现机坪安全运行管理系统、无人机防控系统、机场智能交通管理系统等方案等内容，并对方案的完整性、合理性、适用性等进行评分。</w:t>
      </w:r>
    </w:p>
    <w:tbl>
      <w:tblPr>
        <w:tblStyle w:val="35"/>
        <w:tblpPr w:leftFromText="180" w:rightFromText="180" w:vertAnchor="text" w:horzAnchor="page" w:tblpX="1522" w:tblpY="147"/>
        <w:tblOverlap w:val="never"/>
        <w:tblW w:w="911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082"/>
        <w:gridCol w:w="2406"/>
        <w:gridCol w:w="2576"/>
        <w:gridCol w:w="2055"/>
      </w:tblGrid>
      <w:tr w14:paraId="0EA566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7" w:hRule="atLeast"/>
          <w:jc w:val="center"/>
        </w:trPr>
        <w:tc>
          <w:tcPr>
            <w:tcW w:w="2082" w:type="dxa"/>
            <w:vAlign w:val="center"/>
          </w:tcPr>
          <w:p w14:paraId="15DABD3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好：</w:t>
            </w:r>
            <w:r>
              <w:rPr>
                <w:rFonts w:hint="eastAsia" w:ascii="宋体" w:hAnsi="宋体" w:eastAsia="宋体" w:cs="宋体"/>
                <w:sz w:val="21"/>
                <w:szCs w:val="21"/>
                <w:highlight w:val="none"/>
                <w:lang w:val="en-US" w:eastAsia="zh-CN"/>
              </w:rPr>
              <w:t>13.6</w:t>
            </w:r>
            <w:r>
              <w:rPr>
                <w:rFonts w:hint="eastAsia" w:ascii="宋体" w:hAnsi="宋体" w:eastAsia="宋体" w:cs="宋体"/>
                <w:sz w:val="21"/>
                <w:szCs w:val="21"/>
                <w:highlight w:val="none"/>
              </w:rPr>
              <w:t>～1</w:t>
            </w:r>
            <w:r>
              <w:rPr>
                <w:rFonts w:hint="eastAsia" w:ascii="宋体" w:hAnsi="宋体" w:eastAsia="宋体" w:cs="宋体"/>
                <w:sz w:val="21"/>
                <w:szCs w:val="21"/>
                <w:highlight w:val="none"/>
                <w:lang w:val="en-US" w:eastAsia="zh-CN"/>
              </w:rPr>
              <w:t>4</w:t>
            </w:r>
            <w:r>
              <w:rPr>
                <w:rFonts w:hint="eastAsia" w:ascii="宋体" w:hAnsi="宋体" w:eastAsia="宋体" w:cs="宋体"/>
                <w:sz w:val="21"/>
                <w:szCs w:val="21"/>
                <w:highlight w:val="none"/>
              </w:rPr>
              <w:t>.0分</w:t>
            </w:r>
          </w:p>
        </w:tc>
        <w:tc>
          <w:tcPr>
            <w:tcW w:w="2406" w:type="dxa"/>
            <w:vAlign w:val="center"/>
          </w:tcPr>
          <w:p w14:paraId="6E2BC23A">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较好：</w:t>
            </w:r>
            <w:r>
              <w:rPr>
                <w:rFonts w:hint="eastAsia" w:ascii="宋体" w:hAnsi="宋体" w:eastAsia="宋体" w:cs="宋体"/>
                <w:sz w:val="21"/>
                <w:szCs w:val="21"/>
                <w:highlight w:val="none"/>
                <w:lang w:val="en-US" w:eastAsia="zh-CN"/>
              </w:rPr>
              <w:t>13.1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13.5</w:t>
            </w:r>
            <w:r>
              <w:rPr>
                <w:rFonts w:hint="eastAsia" w:ascii="宋体" w:hAnsi="宋体" w:eastAsia="宋体" w:cs="宋体"/>
                <w:sz w:val="21"/>
                <w:szCs w:val="21"/>
                <w:highlight w:val="none"/>
              </w:rPr>
              <w:t>分</w:t>
            </w:r>
          </w:p>
        </w:tc>
        <w:tc>
          <w:tcPr>
            <w:tcW w:w="2576" w:type="dxa"/>
            <w:vAlign w:val="center"/>
          </w:tcPr>
          <w:p w14:paraId="2807106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一般：</w:t>
            </w:r>
            <w:r>
              <w:rPr>
                <w:rFonts w:hint="eastAsia" w:ascii="宋体" w:hAnsi="宋体" w:eastAsia="宋体" w:cs="宋体"/>
                <w:sz w:val="21"/>
                <w:szCs w:val="21"/>
                <w:highlight w:val="none"/>
                <w:lang w:val="en-US" w:eastAsia="zh-CN"/>
              </w:rPr>
              <w:t>12.6</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13.0</w:t>
            </w:r>
            <w:r>
              <w:rPr>
                <w:rFonts w:hint="eastAsia" w:ascii="宋体" w:hAnsi="宋体" w:eastAsia="宋体" w:cs="宋体"/>
                <w:sz w:val="21"/>
                <w:szCs w:val="21"/>
                <w:highlight w:val="none"/>
              </w:rPr>
              <w:t>分</w:t>
            </w:r>
          </w:p>
        </w:tc>
        <w:tc>
          <w:tcPr>
            <w:tcW w:w="2055" w:type="dxa"/>
            <w:vAlign w:val="center"/>
          </w:tcPr>
          <w:p w14:paraId="5F5552C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差：</w:t>
            </w:r>
            <w:r>
              <w:rPr>
                <w:rFonts w:hint="eastAsia" w:ascii="宋体" w:hAnsi="宋体" w:eastAsia="宋体" w:cs="宋体"/>
                <w:sz w:val="21"/>
                <w:szCs w:val="21"/>
                <w:highlight w:val="none"/>
                <w:lang w:val="en-US" w:eastAsia="zh-CN"/>
              </w:rPr>
              <w:t>12.1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12.5</w:t>
            </w:r>
            <w:r>
              <w:rPr>
                <w:rFonts w:hint="eastAsia" w:ascii="宋体" w:hAnsi="宋体" w:eastAsia="宋体" w:cs="宋体"/>
                <w:sz w:val="21"/>
                <w:szCs w:val="21"/>
                <w:highlight w:val="none"/>
              </w:rPr>
              <w:t>分</w:t>
            </w:r>
          </w:p>
        </w:tc>
      </w:tr>
    </w:tbl>
    <w:p w14:paraId="532BDC97">
      <w:pPr>
        <w:pStyle w:val="41"/>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22"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3、对台州机场安全能力提升相关系统的响应情况（20分）</w:t>
      </w:r>
    </w:p>
    <w:p w14:paraId="2D0E12E0">
      <w:pPr>
        <w:pStyle w:val="41"/>
        <w:keepNext w:val="0"/>
        <w:keepLines w:val="0"/>
        <w:pageBreakBefore w:val="0"/>
        <w:widowControl w:val="0"/>
        <w:kinsoku/>
        <w:wordWrap/>
        <w:overflowPunct/>
        <w:topLinePunct w:val="0"/>
        <w:autoSpaceDE/>
        <w:autoSpaceDN/>
        <w:bidi w:val="0"/>
        <w:adjustRightInd/>
        <w:snapToGrid/>
        <w:spacing w:line="440" w:lineRule="exact"/>
        <w:ind w:left="-199" w:leftChars="-95" w:firstLine="409" w:firstLineChars="195"/>
        <w:textAlignment w:val="auto"/>
        <w:rPr>
          <w:rFonts w:hint="eastAsia" w:ascii="宋体" w:hAnsi="宋体" w:eastAsia="宋体" w:cs="宋体"/>
          <w:kern w:val="2"/>
          <w:sz w:val="21"/>
          <w:highlight w:val="none"/>
          <w:lang w:val="en-US" w:eastAsia="zh-CN" w:bidi="ar-SA"/>
        </w:rPr>
      </w:pPr>
      <w:r>
        <w:rPr>
          <w:rFonts w:hint="eastAsia" w:ascii="宋体" w:hAnsi="宋体" w:eastAsia="宋体" w:cs="宋体"/>
          <w:kern w:val="2"/>
          <w:sz w:val="21"/>
          <w:highlight w:val="none"/>
          <w:lang w:val="en-US" w:eastAsia="zh-CN" w:bidi="ar-SA"/>
        </w:rPr>
        <w:t>根据供应商所提供的针对台州机场运行安全能力提升相关系统（供应商需提供厂家授权书或自主研发证明等材料用以佐证），对系统的成熟度、系统厂家在国内民航各类型机场的应用情况以及系统研发能力等综合实力横向比较进行评分。</w:t>
      </w:r>
    </w:p>
    <w:tbl>
      <w:tblPr>
        <w:tblStyle w:val="35"/>
        <w:tblpPr w:leftFromText="180" w:rightFromText="180" w:vertAnchor="text" w:horzAnchor="page" w:tblpXSpec="center" w:tblpY="16"/>
        <w:tblOverlap w:val="never"/>
        <w:tblW w:w="91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1"/>
        <w:gridCol w:w="2380"/>
        <w:gridCol w:w="2605"/>
        <w:gridCol w:w="2042"/>
      </w:tblGrid>
      <w:tr w14:paraId="41CC46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jc w:val="center"/>
        </w:trPr>
        <w:tc>
          <w:tcPr>
            <w:tcW w:w="2131" w:type="dxa"/>
            <w:vAlign w:val="center"/>
          </w:tcPr>
          <w:p w14:paraId="7021359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好：</w:t>
            </w:r>
            <w:r>
              <w:rPr>
                <w:rFonts w:hint="eastAsia" w:ascii="宋体" w:hAnsi="宋体" w:eastAsia="宋体" w:cs="宋体"/>
                <w:sz w:val="21"/>
                <w:szCs w:val="21"/>
                <w:highlight w:val="none"/>
                <w:lang w:val="en-US" w:eastAsia="zh-CN"/>
              </w:rPr>
              <w:t>19.1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20</w:t>
            </w:r>
            <w:r>
              <w:rPr>
                <w:rFonts w:hint="eastAsia" w:ascii="宋体" w:hAnsi="宋体" w:eastAsia="宋体" w:cs="宋体"/>
                <w:sz w:val="21"/>
                <w:szCs w:val="21"/>
                <w:highlight w:val="none"/>
              </w:rPr>
              <w:t>.0分</w:t>
            </w:r>
          </w:p>
        </w:tc>
        <w:tc>
          <w:tcPr>
            <w:tcW w:w="2380" w:type="dxa"/>
            <w:vAlign w:val="center"/>
          </w:tcPr>
          <w:p w14:paraId="3F734800">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较好：</w:t>
            </w:r>
            <w:r>
              <w:rPr>
                <w:rFonts w:hint="eastAsia" w:ascii="宋体" w:hAnsi="宋体" w:eastAsia="宋体" w:cs="宋体"/>
                <w:sz w:val="21"/>
                <w:szCs w:val="21"/>
                <w:highlight w:val="none"/>
                <w:lang w:val="en-US" w:eastAsia="zh-CN"/>
              </w:rPr>
              <w:t>18.1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19.0</w:t>
            </w:r>
            <w:r>
              <w:rPr>
                <w:rFonts w:hint="eastAsia" w:ascii="宋体" w:hAnsi="宋体" w:eastAsia="宋体" w:cs="宋体"/>
                <w:sz w:val="21"/>
                <w:szCs w:val="21"/>
                <w:highlight w:val="none"/>
              </w:rPr>
              <w:t>分</w:t>
            </w:r>
          </w:p>
        </w:tc>
        <w:tc>
          <w:tcPr>
            <w:tcW w:w="2605" w:type="dxa"/>
            <w:vAlign w:val="center"/>
          </w:tcPr>
          <w:p w14:paraId="3BC06CD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一般：</w:t>
            </w:r>
            <w:r>
              <w:rPr>
                <w:rFonts w:hint="eastAsia" w:ascii="宋体" w:hAnsi="宋体" w:eastAsia="宋体" w:cs="宋体"/>
                <w:sz w:val="21"/>
                <w:szCs w:val="21"/>
                <w:highlight w:val="none"/>
                <w:lang w:val="en-US" w:eastAsia="zh-CN"/>
              </w:rPr>
              <w:t>17.1</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18.0</w:t>
            </w:r>
            <w:r>
              <w:rPr>
                <w:rFonts w:hint="eastAsia" w:ascii="宋体" w:hAnsi="宋体" w:eastAsia="宋体" w:cs="宋体"/>
                <w:sz w:val="21"/>
                <w:szCs w:val="21"/>
                <w:highlight w:val="none"/>
              </w:rPr>
              <w:t>分</w:t>
            </w:r>
          </w:p>
        </w:tc>
        <w:tc>
          <w:tcPr>
            <w:tcW w:w="2042" w:type="dxa"/>
            <w:vAlign w:val="center"/>
          </w:tcPr>
          <w:p w14:paraId="7B8487DA">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差：</w:t>
            </w:r>
            <w:r>
              <w:rPr>
                <w:rFonts w:hint="eastAsia" w:ascii="宋体" w:hAnsi="宋体" w:eastAsia="宋体" w:cs="宋体"/>
                <w:sz w:val="21"/>
                <w:szCs w:val="21"/>
                <w:highlight w:val="none"/>
                <w:lang w:val="en-US" w:eastAsia="zh-CN"/>
              </w:rPr>
              <w:t>16.0</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17.0</w:t>
            </w:r>
            <w:r>
              <w:rPr>
                <w:rFonts w:hint="eastAsia" w:ascii="宋体" w:hAnsi="宋体" w:eastAsia="宋体" w:cs="宋体"/>
                <w:sz w:val="21"/>
                <w:szCs w:val="21"/>
                <w:highlight w:val="none"/>
              </w:rPr>
              <w:t>分</w:t>
            </w:r>
          </w:p>
        </w:tc>
      </w:tr>
    </w:tbl>
    <w:p w14:paraId="5E026275">
      <w:pPr>
        <w:pStyle w:val="41"/>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22"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4、质量管理、安全管理及环境保护体系与措施（12分）</w:t>
      </w:r>
    </w:p>
    <w:p w14:paraId="506BE96D">
      <w:pPr>
        <w:pStyle w:val="41"/>
        <w:keepNext w:val="0"/>
        <w:keepLines w:val="0"/>
        <w:pageBreakBefore w:val="0"/>
        <w:widowControl w:val="0"/>
        <w:kinsoku/>
        <w:wordWrap/>
        <w:overflowPunct/>
        <w:topLinePunct w:val="0"/>
        <w:autoSpaceDE/>
        <w:autoSpaceDN/>
        <w:bidi w:val="0"/>
        <w:adjustRightInd/>
        <w:snapToGrid/>
        <w:spacing w:line="440" w:lineRule="exact"/>
        <w:ind w:left="-199" w:leftChars="-95" w:firstLine="409" w:firstLineChars="195"/>
        <w:textAlignment w:val="auto"/>
        <w:rPr>
          <w:rFonts w:hint="eastAsia" w:ascii="宋体" w:hAnsi="宋体" w:eastAsia="宋体" w:cs="宋体"/>
          <w:kern w:val="2"/>
          <w:sz w:val="21"/>
          <w:highlight w:val="none"/>
          <w:lang w:val="en-US" w:eastAsia="zh-CN" w:bidi="ar-SA"/>
        </w:rPr>
      </w:pPr>
      <w:r>
        <w:rPr>
          <w:rFonts w:hint="eastAsia" w:ascii="宋体" w:hAnsi="宋体" w:eastAsia="宋体" w:cs="宋体"/>
          <w:kern w:val="2"/>
          <w:sz w:val="21"/>
          <w:highlight w:val="none"/>
          <w:lang w:val="en-US" w:eastAsia="zh-CN" w:bidi="ar-SA"/>
        </w:rPr>
        <w:t>供应商严格按采购文件及技术规范和标准编制质量保证措施、安全文明施工管理体系及实施保证措施和环境保护管理体系及实施保证措施</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对实施方案的</w:t>
      </w:r>
      <w:r>
        <w:rPr>
          <w:rFonts w:hint="eastAsia" w:ascii="宋体" w:hAnsi="宋体" w:eastAsia="宋体" w:cs="宋体"/>
          <w:kern w:val="2"/>
          <w:sz w:val="21"/>
          <w:highlight w:val="none"/>
          <w:lang w:val="en-US" w:eastAsia="zh-CN" w:bidi="ar-SA"/>
        </w:rPr>
        <w:t>具体性、完整性、合理性、可行性等进行评分。</w:t>
      </w:r>
    </w:p>
    <w:tbl>
      <w:tblPr>
        <w:tblStyle w:val="35"/>
        <w:tblpPr w:leftFromText="180" w:rightFromText="180" w:vertAnchor="text" w:horzAnchor="page" w:tblpXSpec="center" w:tblpY="16"/>
        <w:tblOverlap w:val="never"/>
        <w:tblW w:w="91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1"/>
        <w:gridCol w:w="2399"/>
        <w:gridCol w:w="2577"/>
        <w:gridCol w:w="2051"/>
      </w:tblGrid>
      <w:tr w14:paraId="190638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2131" w:type="dxa"/>
            <w:vAlign w:val="center"/>
          </w:tcPr>
          <w:p w14:paraId="3D8E97BE">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好：</w:t>
            </w:r>
            <w:r>
              <w:rPr>
                <w:rFonts w:hint="eastAsia" w:ascii="宋体" w:hAnsi="宋体" w:eastAsia="宋体" w:cs="宋体"/>
                <w:sz w:val="21"/>
                <w:szCs w:val="21"/>
                <w:highlight w:val="none"/>
                <w:lang w:val="en-US" w:eastAsia="zh-CN"/>
              </w:rPr>
              <w:t>11.9</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12</w:t>
            </w:r>
            <w:r>
              <w:rPr>
                <w:rFonts w:hint="eastAsia" w:ascii="宋体" w:hAnsi="宋体" w:eastAsia="宋体" w:cs="宋体"/>
                <w:sz w:val="21"/>
                <w:szCs w:val="21"/>
                <w:highlight w:val="none"/>
              </w:rPr>
              <w:t>.0分</w:t>
            </w:r>
          </w:p>
        </w:tc>
        <w:tc>
          <w:tcPr>
            <w:tcW w:w="2399" w:type="dxa"/>
            <w:vAlign w:val="center"/>
          </w:tcPr>
          <w:p w14:paraId="29892DB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较好：</w:t>
            </w:r>
            <w:r>
              <w:rPr>
                <w:rFonts w:hint="eastAsia" w:ascii="宋体" w:hAnsi="宋体" w:eastAsia="宋体" w:cs="宋体"/>
                <w:sz w:val="21"/>
                <w:szCs w:val="21"/>
                <w:highlight w:val="none"/>
                <w:lang w:val="en-US" w:eastAsia="zh-CN"/>
              </w:rPr>
              <w:t>11.7</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11.8</w:t>
            </w:r>
            <w:r>
              <w:rPr>
                <w:rFonts w:hint="eastAsia" w:ascii="宋体" w:hAnsi="宋体" w:eastAsia="宋体" w:cs="宋体"/>
                <w:sz w:val="21"/>
                <w:szCs w:val="21"/>
                <w:highlight w:val="none"/>
              </w:rPr>
              <w:t>分</w:t>
            </w:r>
          </w:p>
        </w:tc>
        <w:tc>
          <w:tcPr>
            <w:tcW w:w="2577" w:type="dxa"/>
            <w:vAlign w:val="center"/>
          </w:tcPr>
          <w:p w14:paraId="5CE2FA2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一般：</w:t>
            </w:r>
            <w:r>
              <w:rPr>
                <w:rFonts w:hint="eastAsia" w:ascii="宋体" w:hAnsi="宋体" w:eastAsia="宋体" w:cs="宋体"/>
                <w:sz w:val="21"/>
                <w:szCs w:val="21"/>
                <w:highlight w:val="none"/>
                <w:lang w:val="en-US" w:eastAsia="zh-CN"/>
              </w:rPr>
              <w:t>11.5</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11.6</w:t>
            </w:r>
            <w:r>
              <w:rPr>
                <w:rFonts w:hint="eastAsia" w:ascii="宋体" w:hAnsi="宋体" w:eastAsia="宋体" w:cs="宋体"/>
                <w:sz w:val="21"/>
                <w:szCs w:val="21"/>
                <w:highlight w:val="none"/>
              </w:rPr>
              <w:t>分</w:t>
            </w:r>
          </w:p>
        </w:tc>
        <w:tc>
          <w:tcPr>
            <w:tcW w:w="2051" w:type="dxa"/>
            <w:vAlign w:val="center"/>
          </w:tcPr>
          <w:p w14:paraId="3CD941D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差：</w:t>
            </w:r>
            <w:r>
              <w:rPr>
                <w:rFonts w:hint="eastAsia" w:ascii="宋体" w:hAnsi="宋体" w:eastAsia="宋体" w:cs="宋体"/>
                <w:sz w:val="21"/>
                <w:szCs w:val="21"/>
                <w:highlight w:val="none"/>
                <w:lang w:val="en-US" w:eastAsia="zh-CN"/>
              </w:rPr>
              <w:t>11.3</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11.4</w:t>
            </w:r>
            <w:r>
              <w:rPr>
                <w:rFonts w:hint="eastAsia" w:ascii="宋体" w:hAnsi="宋体" w:eastAsia="宋体" w:cs="宋体"/>
                <w:sz w:val="21"/>
                <w:szCs w:val="21"/>
                <w:highlight w:val="none"/>
              </w:rPr>
              <w:t>分</w:t>
            </w:r>
          </w:p>
        </w:tc>
      </w:tr>
    </w:tbl>
    <w:p w14:paraId="463EA6A3">
      <w:pPr>
        <w:pStyle w:val="41"/>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22"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5、工期保证体系及保证措施（5分）</w:t>
      </w:r>
    </w:p>
    <w:p w14:paraId="69EE5C49">
      <w:pPr>
        <w:pStyle w:val="41"/>
        <w:keepNext w:val="0"/>
        <w:keepLines w:val="0"/>
        <w:pageBreakBefore w:val="0"/>
        <w:widowControl w:val="0"/>
        <w:kinsoku/>
        <w:wordWrap/>
        <w:overflowPunct/>
        <w:topLinePunct w:val="0"/>
        <w:autoSpaceDE/>
        <w:autoSpaceDN/>
        <w:bidi w:val="0"/>
        <w:adjustRightInd/>
        <w:snapToGrid/>
        <w:spacing w:line="440" w:lineRule="exact"/>
        <w:ind w:left="-199" w:leftChars="-95" w:firstLine="409" w:firstLineChars="195"/>
        <w:textAlignment w:val="auto"/>
        <w:rPr>
          <w:rFonts w:hint="eastAsia" w:ascii="宋体" w:hAnsi="宋体" w:eastAsia="宋体" w:cs="宋体"/>
          <w:kern w:val="2"/>
          <w:sz w:val="21"/>
          <w:highlight w:val="none"/>
          <w:lang w:val="en-US" w:eastAsia="zh-CN" w:bidi="ar-SA"/>
        </w:rPr>
      </w:pPr>
      <w:r>
        <w:rPr>
          <w:rFonts w:hint="eastAsia" w:ascii="宋体" w:hAnsi="宋体" w:eastAsia="宋体" w:cs="宋体"/>
          <w:kern w:val="2"/>
          <w:sz w:val="21"/>
          <w:highlight w:val="none"/>
          <w:lang w:val="en-US" w:eastAsia="zh-CN" w:bidi="ar-SA"/>
        </w:rPr>
        <w:t>供应商严格按采购文件及技术规范和标准编制</w:t>
      </w:r>
      <w:r>
        <w:rPr>
          <w:rFonts w:hint="eastAsia" w:ascii="宋体" w:hAnsi="宋体" w:eastAsia="宋体" w:cs="宋体"/>
          <w:sz w:val="21"/>
          <w:szCs w:val="21"/>
          <w:highlight w:val="none"/>
          <w:lang w:eastAsia="zh-CN"/>
        </w:rPr>
        <w:t>工期保证措施，</w:t>
      </w:r>
      <w:r>
        <w:rPr>
          <w:rFonts w:hint="eastAsia" w:ascii="宋体" w:hAnsi="宋体" w:eastAsia="宋体" w:cs="宋体"/>
          <w:sz w:val="21"/>
          <w:szCs w:val="21"/>
          <w:highlight w:val="none"/>
          <w:lang w:val="en-US" w:eastAsia="zh-CN"/>
        </w:rPr>
        <w:t>对实施方案及施工进度计划的</w:t>
      </w:r>
      <w:r>
        <w:rPr>
          <w:rFonts w:hint="eastAsia" w:ascii="宋体" w:hAnsi="宋体" w:eastAsia="宋体" w:cs="宋体"/>
          <w:kern w:val="2"/>
          <w:sz w:val="21"/>
          <w:highlight w:val="none"/>
          <w:lang w:val="en-US" w:eastAsia="zh-CN" w:bidi="ar-SA"/>
        </w:rPr>
        <w:t>具体性、完整性、合理性、可行性等进行评分。</w:t>
      </w:r>
    </w:p>
    <w:tbl>
      <w:tblPr>
        <w:tblStyle w:val="35"/>
        <w:tblpPr w:leftFromText="180" w:rightFromText="180" w:vertAnchor="text" w:horzAnchor="page" w:tblpXSpec="center" w:tblpY="16"/>
        <w:tblOverlap w:val="never"/>
        <w:tblW w:w="91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1"/>
        <w:gridCol w:w="2399"/>
        <w:gridCol w:w="2577"/>
        <w:gridCol w:w="2051"/>
      </w:tblGrid>
      <w:tr w14:paraId="29943A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2131" w:type="dxa"/>
            <w:vAlign w:val="center"/>
          </w:tcPr>
          <w:p w14:paraId="22F8B7A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好：</w:t>
            </w:r>
            <w:r>
              <w:rPr>
                <w:rFonts w:hint="eastAsia" w:ascii="宋体" w:hAnsi="宋体" w:eastAsia="宋体" w:cs="宋体"/>
                <w:sz w:val="21"/>
                <w:szCs w:val="21"/>
                <w:highlight w:val="none"/>
                <w:lang w:val="en-US" w:eastAsia="zh-CN"/>
              </w:rPr>
              <w:t>4.9</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.0分</w:t>
            </w:r>
          </w:p>
        </w:tc>
        <w:tc>
          <w:tcPr>
            <w:tcW w:w="2399" w:type="dxa"/>
            <w:vAlign w:val="center"/>
          </w:tcPr>
          <w:p w14:paraId="2ADF726F">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较好：</w:t>
            </w:r>
            <w:r>
              <w:rPr>
                <w:rFonts w:hint="eastAsia" w:ascii="宋体" w:hAnsi="宋体" w:eastAsia="宋体" w:cs="宋体"/>
                <w:sz w:val="21"/>
                <w:szCs w:val="21"/>
                <w:highlight w:val="none"/>
                <w:lang w:val="en-US" w:eastAsia="zh-CN"/>
              </w:rPr>
              <w:t>4.7</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4.8</w:t>
            </w:r>
            <w:r>
              <w:rPr>
                <w:rFonts w:hint="eastAsia" w:ascii="宋体" w:hAnsi="宋体" w:eastAsia="宋体" w:cs="宋体"/>
                <w:sz w:val="21"/>
                <w:szCs w:val="21"/>
                <w:highlight w:val="none"/>
              </w:rPr>
              <w:t>分</w:t>
            </w:r>
          </w:p>
        </w:tc>
        <w:tc>
          <w:tcPr>
            <w:tcW w:w="2577" w:type="dxa"/>
            <w:vAlign w:val="center"/>
          </w:tcPr>
          <w:p w14:paraId="5DE7AC02">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一般：</w:t>
            </w:r>
            <w:r>
              <w:rPr>
                <w:rFonts w:hint="eastAsia" w:ascii="宋体" w:hAnsi="宋体" w:eastAsia="宋体" w:cs="宋体"/>
                <w:sz w:val="21"/>
                <w:szCs w:val="21"/>
                <w:highlight w:val="none"/>
                <w:lang w:val="en-US" w:eastAsia="zh-CN"/>
              </w:rPr>
              <w:t>4.5</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4.6</w:t>
            </w:r>
            <w:r>
              <w:rPr>
                <w:rFonts w:hint="eastAsia" w:ascii="宋体" w:hAnsi="宋体" w:eastAsia="宋体" w:cs="宋体"/>
                <w:sz w:val="21"/>
                <w:szCs w:val="21"/>
                <w:highlight w:val="none"/>
              </w:rPr>
              <w:t>分</w:t>
            </w:r>
          </w:p>
        </w:tc>
        <w:tc>
          <w:tcPr>
            <w:tcW w:w="2051" w:type="dxa"/>
            <w:vAlign w:val="center"/>
          </w:tcPr>
          <w:p w14:paraId="731B08A9">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差：</w:t>
            </w:r>
            <w:r>
              <w:rPr>
                <w:rFonts w:hint="eastAsia" w:ascii="宋体" w:hAnsi="宋体" w:eastAsia="宋体" w:cs="宋体"/>
                <w:sz w:val="21"/>
                <w:szCs w:val="21"/>
                <w:highlight w:val="none"/>
                <w:lang w:val="en-US" w:eastAsia="zh-CN"/>
              </w:rPr>
              <w:t>4.3</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4.4</w:t>
            </w:r>
            <w:r>
              <w:rPr>
                <w:rFonts w:hint="eastAsia" w:ascii="宋体" w:hAnsi="宋体" w:eastAsia="宋体" w:cs="宋体"/>
                <w:sz w:val="21"/>
                <w:szCs w:val="21"/>
                <w:highlight w:val="none"/>
              </w:rPr>
              <w:t>分</w:t>
            </w:r>
          </w:p>
        </w:tc>
      </w:tr>
    </w:tbl>
    <w:p w14:paraId="0E828EB3">
      <w:pPr>
        <w:pStyle w:val="41"/>
        <w:keepNext w:val="0"/>
        <w:keepLines w:val="0"/>
        <w:pageBreakBefore w:val="0"/>
        <w:widowControl w:val="0"/>
        <w:kinsoku/>
        <w:wordWrap/>
        <w:overflowPunct/>
        <w:topLinePunct w:val="0"/>
        <w:autoSpaceDE/>
        <w:autoSpaceDN/>
        <w:bidi w:val="0"/>
        <w:adjustRightInd/>
        <w:snapToGrid/>
        <w:spacing w:line="440" w:lineRule="exact"/>
        <w:ind w:left="-420" w:leftChars="-200" w:right="-512" w:rightChars="-244" w:firstLine="422"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6、不停航施工方案与措施（5分）</w:t>
      </w:r>
    </w:p>
    <w:p w14:paraId="7FCF7431">
      <w:pPr>
        <w:pStyle w:val="41"/>
        <w:keepNext w:val="0"/>
        <w:keepLines w:val="0"/>
        <w:pageBreakBefore w:val="0"/>
        <w:widowControl w:val="0"/>
        <w:kinsoku/>
        <w:wordWrap/>
        <w:overflowPunct/>
        <w:topLinePunct w:val="0"/>
        <w:autoSpaceDE/>
        <w:autoSpaceDN/>
        <w:bidi w:val="0"/>
        <w:adjustRightInd/>
        <w:snapToGrid/>
        <w:spacing w:line="440" w:lineRule="exact"/>
        <w:ind w:left="-199" w:leftChars="-95" w:firstLine="409" w:firstLineChars="195"/>
        <w:textAlignment w:val="auto"/>
        <w:rPr>
          <w:rFonts w:hint="eastAsia" w:ascii="宋体" w:hAnsi="宋体" w:eastAsia="宋体" w:cs="宋体"/>
          <w:kern w:val="2"/>
          <w:sz w:val="21"/>
          <w:highlight w:val="none"/>
          <w:lang w:val="en-US" w:eastAsia="zh-CN" w:bidi="ar-SA"/>
        </w:rPr>
      </w:pPr>
      <w:r>
        <w:rPr>
          <w:rFonts w:hint="eastAsia" w:ascii="宋体" w:hAnsi="宋体" w:eastAsia="宋体" w:cs="宋体"/>
          <w:kern w:val="2"/>
          <w:sz w:val="21"/>
          <w:highlight w:val="none"/>
          <w:lang w:val="en-US" w:eastAsia="zh-CN" w:bidi="ar-SA"/>
        </w:rPr>
        <w:t>对供应商提供的不停航施工方案与措施的合理性、可行性等进行评分。</w:t>
      </w:r>
    </w:p>
    <w:tbl>
      <w:tblPr>
        <w:tblStyle w:val="35"/>
        <w:tblpPr w:leftFromText="180" w:rightFromText="180" w:vertAnchor="text" w:horzAnchor="page" w:tblpXSpec="center" w:tblpY="16"/>
        <w:tblOverlap w:val="never"/>
        <w:tblW w:w="91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31"/>
        <w:gridCol w:w="2399"/>
        <w:gridCol w:w="2577"/>
        <w:gridCol w:w="2051"/>
      </w:tblGrid>
      <w:tr w14:paraId="16B3E8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6" w:hRule="atLeast"/>
          <w:jc w:val="center"/>
        </w:trPr>
        <w:tc>
          <w:tcPr>
            <w:tcW w:w="2131" w:type="dxa"/>
            <w:vAlign w:val="center"/>
          </w:tcPr>
          <w:p w14:paraId="7993FAD7">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好：</w:t>
            </w:r>
            <w:r>
              <w:rPr>
                <w:rFonts w:hint="eastAsia" w:ascii="宋体" w:hAnsi="宋体" w:eastAsia="宋体" w:cs="宋体"/>
                <w:sz w:val="21"/>
                <w:szCs w:val="21"/>
                <w:highlight w:val="none"/>
                <w:lang w:val="en-US" w:eastAsia="zh-CN"/>
              </w:rPr>
              <w:t>4.9</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5</w:t>
            </w:r>
            <w:r>
              <w:rPr>
                <w:rFonts w:hint="eastAsia" w:ascii="宋体" w:hAnsi="宋体" w:eastAsia="宋体" w:cs="宋体"/>
                <w:sz w:val="21"/>
                <w:szCs w:val="21"/>
                <w:highlight w:val="none"/>
              </w:rPr>
              <w:t>.0分</w:t>
            </w:r>
          </w:p>
        </w:tc>
        <w:tc>
          <w:tcPr>
            <w:tcW w:w="2399" w:type="dxa"/>
            <w:vAlign w:val="center"/>
          </w:tcPr>
          <w:p w14:paraId="4D0767F4">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较好：</w:t>
            </w:r>
            <w:r>
              <w:rPr>
                <w:rFonts w:hint="eastAsia" w:ascii="宋体" w:hAnsi="宋体" w:eastAsia="宋体" w:cs="宋体"/>
                <w:sz w:val="21"/>
                <w:szCs w:val="21"/>
                <w:highlight w:val="none"/>
                <w:lang w:val="en-US" w:eastAsia="zh-CN"/>
              </w:rPr>
              <w:t>4.7</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4.8</w:t>
            </w:r>
            <w:r>
              <w:rPr>
                <w:rFonts w:hint="eastAsia" w:ascii="宋体" w:hAnsi="宋体" w:eastAsia="宋体" w:cs="宋体"/>
                <w:sz w:val="21"/>
                <w:szCs w:val="21"/>
                <w:highlight w:val="none"/>
              </w:rPr>
              <w:t>分</w:t>
            </w:r>
          </w:p>
        </w:tc>
        <w:tc>
          <w:tcPr>
            <w:tcW w:w="2577" w:type="dxa"/>
            <w:vAlign w:val="center"/>
          </w:tcPr>
          <w:p w14:paraId="7CCD9AC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一般：</w:t>
            </w:r>
            <w:r>
              <w:rPr>
                <w:rFonts w:hint="eastAsia" w:ascii="宋体" w:hAnsi="宋体" w:eastAsia="宋体" w:cs="宋体"/>
                <w:sz w:val="21"/>
                <w:szCs w:val="21"/>
                <w:highlight w:val="none"/>
                <w:lang w:val="en-US" w:eastAsia="zh-CN"/>
              </w:rPr>
              <w:t>4.5</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4.6</w:t>
            </w:r>
            <w:r>
              <w:rPr>
                <w:rFonts w:hint="eastAsia" w:ascii="宋体" w:hAnsi="宋体" w:eastAsia="宋体" w:cs="宋体"/>
                <w:sz w:val="21"/>
                <w:szCs w:val="21"/>
                <w:highlight w:val="none"/>
              </w:rPr>
              <w:t>分</w:t>
            </w:r>
          </w:p>
        </w:tc>
        <w:tc>
          <w:tcPr>
            <w:tcW w:w="2051" w:type="dxa"/>
            <w:vAlign w:val="center"/>
          </w:tcPr>
          <w:p w14:paraId="3EB2192D">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差：</w:t>
            </w:r>
            <w:r>
              <w:rPr>
                <w:rFonts w:hint="eastAsia" w:ascii="宋体" w:hAnsi="宋体" w:eastAsia="宋体" w:cs="宋体"/>
                <w:sz w:val="21"/>
                <w:szCs w:val="21"/>
                <w:highlight w:val="none"/>
                <w:lang w:val="en-US" w:eastAsia="zh-CN"/>
              </w:rPr>
              <w:t>4.3</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4.4</w:t>
            </w:r>
            <w:r>
              <w:rPr>
                <w:rFonts w:hint="eastAsia" w:ascii="宋体" w:hAnsi="宋体" w:eastAsia="宋体" w:cs="宋体"/>
                <w:sz w:val="21"/>
                <w:szCs w:val="21"/>
                <w:highlight w:val="none"/>
              </w:rPr>
              <w:t>分</w:t>
            </w:r>
          </w:p>
        </w:tc>
      </w:tr>
    </w:tbl>
    <w:p w14:paraId="4153D3BF">
      <w:pPr>
        <w:rPr>
          <w:rFonts w:hint="eastAsia" w:ascii="宋体" w:hAnsi="宋体" w:eastAsia="宋体" w:cs="宋体"/>
          <w:highlight w:val="none"/>
        </w:rPr>
      </w:pPr>
    </w:p>
    <w:p w14:paraId="463D39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sz w:val="20"/>
          <w:highlight w:val="none"/>
        </w:rPr>
      </w:pPr>
      <w:r>
        <w:rPr>
          <w:rFonts w:hint="eastAsia" w:ascii="宋体" w:hAnsi="宋体" w:eastAsia="宋体" w:cs="宋体"/>
          <w:sz w:val="20"/>
          <w:highlight w:val="none"/>
          <w:lang w:val="en-US" w:eastAsia="zh-CN"/>
        </w:rPr>
        <w:t>注</w:t>
      </w:r>
      <w:r>
        <w:rPr>
          <w:rFonts w:hint="eastAsia" w:ascii="宋体" w:hAnsi="宋体" w:eastAsia="宋体" w:cs="宋体"/>
          <w:sz w:val="20"/>
          <w:highlight w:val="none"/>
        </w:rPr>
        <w:t>：1、以上所涉及项目，若附件格式未提供，请自行设计格式装订于</w:t>
      </w:r>
      <w:r>
        <w:rPr>
          <w:rFonts w:hint="eastAsia" w:ascii="宋体" w:hAnsi="宋体" w:eastAsia="宋体" w:cs="宋体"/>
          <w:sz w:val="20"/>
          <w:highlight w:val="none"/>
          <w:lang w:eastAsia="zh-CN"/>
        </w:rPr>
        <w:t>响应文件</w:t>
      </w:r>
      <w:r>
        <w:rPr>
          <w:rFonts w:hint="eastAsia" w:ascii="宋体" w:hAnsi="宋体" w:eastAsia="宋体" w:cs="宋体"/>
          <w:sz w:val="20"/>
          <w:highlight w:val="none"/>
        </w:rPr>
        <w:t>中。</w:t>
      </w:r>
    </w:p>
    <w:p w14:paraId="0FC59E7A">
      <w:pPr>
        <w:keepNext w:val="0"/>
        <w:keepLines w:val="0"/>
        <w:pageBreakBefore w:val="0"/>
        <w:widowControl w:val="0"/>
        <w:kinsoku/>
        <w:wordWrap/>
        <w:overflowPunct/>
        <w:topLinePunct w:val="0"/>
        <w:autoSpaceDE/>
        <w:autoSpaceDN/>
        <w:bidi w:val="0"/>
        <w:adjustRightInd/>
        <w:snapToGrid/>
        <w:spacing w:line="360" w:lineRule="exact"/>
        <w:ind w:firstLine="300" w:firstLineChars="150"/>
        <w:textAlignment w:val="auto"/>
        <w:rPr>
          <w:rFonts w:hint="eastAsia" w:ascii="宋体" w:hAnsi="宋体" w:eastAsia="宋体" w:cs="宋体"/>
          <w:sz w:val="20"/>
          <w:highlight w:val="none"/>
        </w:rPr>
      </w:pPr>
      <w:r>
        <w:rPr>
          <w:rFonts w:hint="eastAsia" w:ascii="宋体" w:hAnsi="宋体" w:eastAsia="宋体" w:cs="宋体"/>
          <w:sz w:val="20"/>
          <w:highlight w:val="none"/>
        </w:rPr>
        <w:t>2、证明材料：企业法人营业执照、</w:t>
      </w:r>
      <w:r>
        <w:rPr>
          <w:rFonts w:hint="eastAsia" w:ascii="宋体" w:hAnsi="宋体" w:eastAsia="宋体" w:cs="宋体"/>
          <w:sz w:val="20"/>
          <w:highlight w:val="none"/>
          <w:lang w:val="en-US" w:eastAsia="zh-CN"/>
        </w:rPr>
        <w:t>资质证书、</w:t>
      </w:r>
      <w:r>
        <w:rPr>
          <w:rFonts w:hint="eastAsia" w:ascii="宋体" w:hAnsi="宋体" w:eastAsia="宋体" w:cs="宋体"/>
          <w:sz w:val="20"/>
          <w:highlight w:val="none"/>
        </w:rPr>
        <w:t>基本存款开户许可证（或银行出具的基本账户存款证明或基本存款账户信息）的扫描件或复印件。</w:t>
      </w:r>
    </w:p>
    <w:p w14:paraId="187589AA">
      <w:pPr>
        <w:keepNext w:val="0"/>
        <w:keepLines w:val="0"/>
        <w:pageBreakBefore w:val="0"/>
        <w:widowControl w:val="0"/>
        <w:kinsoku/>
        <w:wordWrap/>
        <w:overflowPunct/>
        <w:topLinePunct w:val="0"/>
        <w:autoSpaceDE/>
        <w:autoSpaceDN/>
        <w:bidi w:val="0"/>
        <w:adjustRightInd/>
        <w:snapToGrid/>
        <w:spacing w:line="360" w:lineRule="exact"/>
        <w:ind w:firstLine="300" w:firstLineChars="150"/>
        <w:textAlignment w:val="auto"/>
        <w:rPr>
          <w:rFonts w:hint="eastAsia" w:ascii="宋体" w:hAnsi="宋体" w:eastAsia="宋体" w:cs="宋体"/>
          <w:sz w:val="20"/>
          <w:highlight w:val="none"/>
        </w:rPr>
      </w:pPr>
      <w:r>
        <w:rPr>
          <w:rFonts w:hint="eastAsia" w:ascii="宋体" w:hAnsi="宋体" w:eastAsia="宋体" w:cs="宋体"/>
          <w:sz w:val="20"/>
          <w:highlight w:val="none"/>
        </w:rPr>
        <w:t>3、</w:t>
      </w:r>
      <w:r>
        <w:rPr>
          <w:rFonts w:hint="eastAsia" w:ascii="宋体" w:hAnsi="宋体" w:eastAsia="宋体" w:cs="宋体"/>
          <w:sz w:val="20"/>
          <w:highlight w:val="none"/>
          <w:lang w:val="en-US" w:eastAsia="zh-CN"/>
        </w:rPr>
        <w:t>供应商</w:t>
      </w:r>
      <w:r>
        <w:rPr>
          <w:rFonts w:hint="eastAsia" w:ascii="宋体" w:hAnsi="宋体" w:eastAsia="宋体" w:cs="宋体"/>
          <w:sz w:val="20"/>
          <w:highlight w:val="none"/>
        </w:rPr>
        <w:t>业绩证明材料需附：</w:t>
      </w:r>
      <w:r>
        <w:rPr>
          <w:rFonts w:hint="eastAsia" w:ascii="宋体" w:hAnsi="宋体" w:eastAsia="宋体" w:cs="宋体"/>
          <w:b/>
          <w:bCs/>
          <w:sz w:val="20"/>
          <w:highlight w:val="none"/>
          <w:lang w:val="en-US" w:eastAsia="zh-CN"/>
        </w:rPr>
        <w:t>a</w:t>
      </w:r>
      <w:r>
        <w:rPr>
          <w:rFonts w:hint="eastAsia" w:ascii="宋体" w:hAnsi="宋体" w:eastAsia="宋体" w:cs="宋体"/>
          <w:b/>
          <w:bCs/>
          <w:sz w:val="20"/>
          <w:highlight w:val="none"/>
        </w:rPr>
        <w:t>.</w:t>
      </w:r>
      <w:r>
        <w:rPr>
          <w:rFonts w:hint="eastAsia" w:ascii="宋体" w:hAnsi="宋体" w:eastAsia="宋体" w:cs="宋体"/>
          <w:b/>
          <w:bCs/>
          <w:sz w:val="20"/>
          <w:highlight w:val="none"/>
          <w:lang w:eastAsia="zh-CN"/>
        </w:rPr>
        <w:t>中标通知书</w:t>
      </w:r>
      <w:r>
        <w:rPr>
          <w:rFonts w:hint="eastAsia" w:ascii="宋体" w:hAnsi="宋体" w:eastAsia="宋体" w:cs="宋体"/>
          <w:b/>
          <w:bCs/>
          <w:sz w:val="20"/>
          <w:highlight w:val="none"/>
          <w:lang w:val="en-US" w:eastAsia="zh-CN"/>
        </w:rPr>
        <w:t>或</w:t>
      </w:r>
      <w:r>
        <w:rPr>
          <w:rFonts w:hint="eastAsia" w:ascii="宋体" w:hAnsi="宋体" w:eastAsia="宋体" w:cs="宋体"/>
          <w:b/>
          <w:bCs/>
          <w:sz w:val="20"/>
          <w:highlight w:val="none"/>
          <w:lang w:eastAsia="zh-CN"/>
        </w:rPr>
        <w:t>合同</w:t>
      </w:r>
      <w:r>
        <w:rPr>
          <w:rFonts w:hint="eastAsia" w:ascii="宋体" w:hAnsi="宋体" w:eastAsia="宋体" w:cs="宋体"/>
          <w:b/>
          <w:bCs/>
          <w:sz w:val="20"/>
          <w:highlight w:val="none"/>
          <w:lang w:val="en-US" w:eastAsia="zh-CN"/>
        </w:rPr>
        <w:t>协议书</w:t>
      </w:r>
      <w:r>
        <w:rPr>
          <w:rFonts w:hint="eastAsia" w:ascii="宋体" w:hAnsi="宋体" w:eastAsia="宋体" w:cs="宋体"/>
          <w:b/>
          <w:bCs/>
          <w:sz w:val="20"/>
          <w:highlight w:val="none"/>
          <w:lang w:eastAsia="zh-CN"/>
        </w:rPr>
        <w:t>、</w:t>
      </w:r>
      <w:r>
        <w:rPr>
          <w:rFonts w:hint="eastAsia" w:ascii="宋体" w:hAnsi="宋体" w:eastAsia="宋体" w:cs="宋体"/>
          <w:b/>
          <w:bCs/>
          <w:sz w:val="20"/>
          <w:highlight w:val="none"/>
          <w:lang w:val="en-US" w:eastAsia="zh-CN"/>
        </w:rPr>
        <w:t>竣工验收证书</w:t>
      </w:r>
      <w:r>
        <w:rPr>
          <w:rFonts w:hint="eastAsia" w:ascii="宋体" w:hAnsi="宋体" w:eastAsia="宋体" w:cs="宋体"/>
          <w:b/>
          <w:bCs/>
          <w:sz w:val="20"/>
          <w:highlight w:val="none"/>
          <w:lang w:eastAsia="zh-CN"/>
        </w:rPr>
        <w:t>，</w:t>
      </w:r>
      <w:r>
        <w:rPr>
          <w:rFonts w:hint="eastAsia" w:ascii="宋体" w:hAnsi="宋体" w:eastAsia="宋体" w:cs="宋体"/>
          <w:b/>
          <w:bCs/>
          <w:sz w:val="20"/>
          <w:highlight w:val="none"/>
          <w:lang w:val="en-US" w:eastAsia="zh-CN"/>
        </w:rPr>
        <w:t>上述材料</w:t>
      </w:r>
      <w:r>
        <w:rPr>
          <w:rFonts w:hint="eastAsia" w:ascii="宋体" w:hAnsi="宋体" w:eastAsia="宋体" w:cs="宋体"/>
          <w:b/>
          <w:bCs/>
          <w:sz w:val="20"/>
          <w:highlight w:val="none"/>
        </w:rPr>
        <w:t>缺一不可，否则业绩不予认可。</w:t>
      </w:r>
      <w:r>
        <w:rPr>
          <w:rFonts w:hint="eastAsia" w:ascii="宋体" w:hAnsi="宋体" w:eastAsia="宋体" w:cs="宋体"/>
          <w:sz w:val="20"/>
          <w:highlight w:val="none"/>
        </w:rPr>
        <w:t>b.若供应商所提供的</w:t>
      </w:r>
      <w:r>
        <w:rPr>
          <w:rFonts w:hint="eastAsia" w:ascii="宋体" w:hAnsi="宋体" w:eastAsia="宋体" w:cs="宋体"/>
          <w:sz w:val="20"/>
          <w:highlight w:val="none"/>
          <w:lang w:val="en-US" w:eastAsia="zh-CN"/>
        </w:rPr>
        <w:t>上述</w:t>
      </w:r>
      <w:r>
        <w:rPr>
          <w:rFonts w:hint="eastAsia" w:ascii="宋体" w:hAnsi="宋体" w:eastAsia="宋体" w:cs="宋体"/>
          <w:sz w:val="20"/>
          <w:highlight w:val="none"/>
        </w:rPr>
        <w:t>业绩证明材料未体现</w:t>
      </w:r>
      <w:r>
        <w:rPr>
          <w:rFonts w:hint="eastAsia" w:ascii="宋体" w:hAnsi="宋体" w:eastAsia="宋体" w:cs="宋体"/>
          <w:sz w:val="20"/>
          <w:highlight w:val="none"/>
          <w:lang w:val="en-US" w:eastAsia="zh-CN"/>
        </w:rPr>
        <w:t>业绩规模等</w:t>
      </w:r>
      <w:r>
        <w:rPr>
          <w:rFonts w:hint="eastAsia" w:ascii="宋体" w:hAnsi="宋体" w:eastAsia="宋体" w:cs="宋体"/>
          <w:sz w:val="20"/>
          <w:highlight w:val="none"/>
        </w:rPr>
        <w:t>主要内容的，还需附采购单位或发包人或行业主管部门的证明材料，否则业绩不予认可。</w:t>
      </w:r>
      <w:r>
        <w:rPr>
          <w:rFonts w:hint="eastAsia" w:ascii="宋体" w:hAnsi="宋体" w:eastAsia="宋体" w:cs="宋体"/>
          <w:sz w:val="20"/>
          <w:highlight w:val="none"/>
          <w:lang w:val="en-US" w:eastAsia="zh-CN"/>
        </w:rPr>
        <w:t>c</w:t>
      </w:r>
      <w:r>
        <w:rPr>
          <w:rFonts w:hint="eastAsia" w:ascii="宋体" w:hAnsi="宋体" w:eastAsia="宋体" w:cs="宋体"/>
          <w:sz w:val="20"/>
          <w:highlight w:val="none"/>
        </w:rPr>
        <w:t>.上述材料中的单位名称与供应商名称必须一致(单位名称发生合法变更的除外，但需提供合法变更的有效文件)，否则业绩不予认可。</w:t>
      </w:r>
    </w:p>
    <w:p w14:paraId="6F329D2D">
      <w:pPr>
        <w:keepNext w:val="0"/>
        <w:keepLines w:val="0"/>
        <w:pageBreakBefore w:val="0"/>
        <w:widowControl w:val="0"/>
        <w:kinsoku/>
        <w:wordWrap/>
        <w:overflowPunct/>
        <w:topLinePunct w:val="0"/>
        <w:autoSpaceDE/>
        <w:autoSpaceDN/>
        <w:bidi w:val="0"/>
        <w:adjustRightInd/>
        <w:snapToGrid/>
        <w:spacing w:line="360" w:lineRule="exact"/>
        <w:ind w:firstLine="300" w:firstLineChars="150"/>
        <w:textAlignment w:val="auto"/>
        <w:rPr>
          <w:rFonts w:hint="eastAsia" w:ascii="宋体" w:hAnsi="宋体" w:eastAsia="宋体" w:cs="宋体"/>
          <w:sz w:val="20"/>
          <w:highlight w:val="none"/>
        </w:rPr>
      </w:pPr>
      <w:r>
        <w:rPr>
          <w:rFonts w:hint="eastAsia" w:ascii="宋体" w:hAnsi="宋体" w:eastAsia="宋体" w:cs="宋体"/>
          <w:sz w:val="20"/>
          <w:highlight w:val="none"/>
          <w:lang w:val="en-US" w:eastAsia="zh-CN"/>
        </w:rPr>
        <w:t>4、项目负责人业绩</w:t>
      </w:r>
      <w:r>
        <w:rPr>
          <w:rFonts w:hint="eastAsia" w:ascii="宋体" w:hAnsi="宋体" w:eastAsia="宋体" w:cs="宋体"/>
          <w:sz w:val="20"/>
          <w:highlight w:val="none"/>
        </w:rPr>
        <w:t>证明材料需附：</w:t>
      </w:r>
      <w:r>
        <w:rPr>
          <w:rFonts w:hint="eastAsia" w:ascii="宋体" w:hAnsi="宋体" w:eastAsia="宋体" w:cs="宋体"/>
          <w:b/>
          <w:bCs/>
          <w:sz w:val="20"/>
          <w:highlight w:val="none"/>
          <w:lang w:val="en-US" w:eastAsia="zh-CN"/>
        </w:rPr>
        <w:t>a</w:t>
      </w:r>
      <w:r>
        <w:rPr>
          <w:rFonts w:hint="eastAsia" w:ascii="宋体" w:hAnsi="宋体" w:eastAsia="宋体" w:cs="宋体"/>
          <w:b/>
          <w:bCs/>
          <w:sz w:val="20"/>
          <w:highlight w:val="none"/>
        </w:rPr>
        <w:t>.</w:t>
      </w:r>
      <w:r>
        <w:rPr>
          <w:rFonts w:hint="eastAsia" w:ascii="宋体" w:hAnsi="宋体" w:eastAsia="宋体" w:cs="宋体"/>
          <w:b/>
          <w:bCs/>
          <w:sz w:val="20"/>
          <w:highlight w:val="none"/>
          <w:lang w:eastAsia="zh-CN"/>
        </w:rPr>
        <w:t>中标通知书</w:t>
      </w:r>
      <w:r>
        <w:rPr>
          <w:rFonts w:hint="eastAsia" w:ascii="宋体" w:hAnsi="宋体" w:eastAsia="宋体" w:cs="宋体"/>
          <w:b/>
          <w:bCs/>
          <w:sz w:val="20"/>
          <w:highlight w:val="none"/>
          <w:lang w:val="en-US" w:eastAsia="zh-CN"/>
        </w:rPr>
        <w:t>或</w:t>
      </w:r>
      <w:r>
        <w:rPr>
          <w:rFonts w:hint="eastAsia" w:ascii="宋体" w:hAnsi="宋体" w:eastAsia="宋体" w:cs="宋体"/>
          <w:b/>
          <w:bCs/>
          <w:sz w:val="20"/>
          <w:highlight w:val="none"/>
          <w:lang w:eastAsia="zh-CN"/>
        </w:rPr>
        <w:t>合同</w:t>
      </w:r>
      <w:r>
        <w:rPr>
          <w:rFonts w:hint="eastAsia" w:ascii="宋体" w:hAnsi="宋体" w:eastAsia="宋体" w:cs="宋体"/>
          <w:b/>
          <w:bCs/>
          <w:sz w:val="20"/>
          <w:highlight w:val="none"/>
          <w:lang w:val="en-US" w:eastAsia="zh-CN"/>
        </w:rPr>
        <w:t>协议书</w:t>
      </w:r>
      <w:r>
        <w:rPr>
          <w:rFonts w:hint="eastAsia" w:ascii="宋体" w:hAnsi="宋体" w:eastAsia="宋体" w:cs="宋体"/>
          <w:b/>
          <w:bCs/>
          <w:sz w:val="20"/>
          <w:highlight w:val="none"/>
          <w:lang w:eastAsia="zh-CN"/>
        </w:rPr>
        <w:t>、</w:t>
      </w:r>
      <w:r>
        <w:rPr>
          <w:rFonts w:hint="eastAsia" w:ascii="宋体" w:hAnsi="宋体" w:eastAsia="宋体" w:cs="宋体"/>
          <w:b/>
          <w:bCs/>
          <w:sz w:val="20"/>
          <w:highlight w:val="none"/>
          <w:lang w:val="en-US" w:eastAsia="zh-CN"/>
        </w:rPr>
        <w:t>竣工验收证书</w:t>
      </w:r>
      <w:r>
        <w:rPr>
          <w:rFonts w:hint="eastAsia" w:ascii="宋体" w:hAnsi="宋体" w:eastAsia="宋体" w:cs="宋体"/>
          <w:b/>
          <w:bCs/>
          <w:sz w:val="20"/>
          <w:highlight w:val="none"/>
          <w:lang w:eastAsia="zh-CN"/>
        </w:rPr>
        <w:t>，</w:t>
      </w:r>
      <w:r>
        <w:rPr>
          <w:rFonts w:hint="eastAsia" w:ascii="宋体" w:hAnsi="宋体" w:eastAsia="宋体" w:cs="宋体"/>
          <w:b/>
          <w:bCs/>
          <w:sz w:val="20"/>
          <w:highlight w:val="none"/>
          <w:lang w:val="en-US" w:eastAsia="zh-CN"/>
        </w:rPr>
        <w:t>上述材料</w:t>
      </w:r>
      <w:r>
        <w:rPr>
          <w:rFonts w:hint="eastAsia" w:ascii="宋体" w:hAnsi="宋体" w:eastAsia="宋体" w:cs="宋体"/>
          <w:b/>
          <w:bCs/>
          <w:sz w:val="20"/>
          <w:highlight w:val="none"/>
        </w:rPr>
        <w:t>缺一不可，否则业绩不予认可</w:t>
      </w:r>
      <w:r>
        <w:rPr>
          <w:rFonts w:hint="eastAsia" w:ascii="宋体" w:hAnsi="宋体" w:eastAsia="宋体" w:cs="宋体"/>
          <w:b/>
          <w:bCs/>
          <w:sz w:val="20"/>
          <w:highlight w:val="none"/>
          <w:lang w:eastAsia="zh-CN"/>
        </w:rPr>
        <w:t>；</w:t>
      </w:r>
      <w:r>
        <w:rPr>
          <w:rFonts w:hint="eastAsia" w:ascii="宋体" w:hAnsi="宋体" w:eastAsia="宋体" w:cs="宋体"/>
          <w:b w:val="0"/>
          <w:bCs w:val="0"/>
          <w:sz w:val="20"/>
          <w:highlight w:val="none"/>
        </w:rPr>
        <w:t>b.</w:t>
      </w:r>
      <w:r>
        <w:rPr>
          <w:rFonts w:hint="eastAsia" w:ascii="宋体" w:hAnsi="宋体" w:eastAsia="宋体" w:cs="宋体"/>
          <w:sz w:val="20"/>
          <w:highlight w:val="none"/>
        </w:rPr>
        <w:t>若供应商所提供的</w:t>
      </w:r>
      <w:r>
        <w:rPr>
          <w:rFonts w:hint="eastAsia" w:ascii="宋体" w:hAnsi="宋体" w:eastAsia="宋体" w:cs="宋体"/>
          <w:sz w:val="20"/>
          <w:highlight w:val="none"/>
          <w:lang w:val="en-US" w:eastAsia="zh-CN"/>
        </w:rPr>
        <w:t>上述</w:t>
      </w:r>
      <w:r>
        <w:rPr>
          <w:rFonts w:hint="eastAsia" w:ascii="宋体" w:hAnsi="宋体" w:eastAsia="宋体" w:cs="宋体"/>
          <w:sz w:val="20"/>
          <w:highlight w:val="none"/>
        </w:rPr>
        <w:t>业绩证明材料</w:t>
      </w:r>
      <w:r>
        <w:rPr>
          <w:rFonts w:hint="eastAsia" w:ascii="宋体" w:hAnsi="宋体" w:eastAsia="宋体" w:cs="宋体"/>
          <w:sz w:val="20"/>
          <w:highlight w:val="none"/>
          <w:lang w:val="en-US" w:eastAsia="zh-CN"/>
        </w:rPr>
        <w:t>均</w:t>
      </w:r>
      <w:r>
        <w:rPr>
          <w:rFonts w:hint="eastAsia" w:ascii="宋体" w:hAnsi="宋体" w:eastAsia="宋体" w:cs="宋体"/>
          <w:sz w:val="20"/>
          <w:highlight w:val="none"/>
        </w:rPr>
        <w:t>未体现</w:t>
      </w:r>
      <w:r>
        <w:rPr>
          <w:rFonts w:hint="eastAsia" w:ascii="宋体" w:hAnsi="宋体" w:eastAsia="宋体" w:cs="宋体"/>
          <w:sz w:val="20"/>
          <w:highlight w:val="none"/>
          <w:lang w:val="en-US" w:eastAsia="zh-CN"/>
        </w:rPr>
        <w:t>项目负责人姓名、任职及业绩规模等</w:t>
      </w:r>
      <w:r>
        <w:rPr>
          <w:rFonts w:hint="eastAsia" w:ascii="宋体" w:hAnsi="宋体" w:eastAsia="宋体" w:cs="宋体"/>
          <w:sz w:val="20"/>
          <w:highlight w:val="none"/>
        </w:rPr>
        <w:t>主要内容的，还需附采购单位或发包人或行业主管部门的证明材料，否则业绩不予认可。</w:t>
      </w:r>
    </w:p>
    <w:p w14:paraId="3CABC3C1">
      <w:pPr>
        <w:keepNext w:val="0"/>
        <w:keepLines w:val="0"/>
        <w:pageBreakBefore w:val="0"/>
        <w:widowControl w:val="0"/>
        <w:kinsoku/>
        <w:wordWrap/>
        <w:overflowPunct/>
        <w:topLinePunct w:val="0"/>
        <w:autoSpaceDE/>
        <w:autoSpaceDN/>
        <w:bidi w:val="0"/>
        <w:adjustRightInd/>
        <w:snapToGrid/>
        <w:spacing w:line="360" w:lineRule="exact"/>
        <w:ind w:firstLine="300" w:firstLineChars="150"/>
        <w:textAlignment w:val="auto"/>
        <w:rPr>
          <w:rFonts w:hint="eastAsia" w:ascii="宋体" w:hAnsi="宋体" w:eastAsia="宋体" w:cs="宋体"/>
          <w:sz w:val="20"/>
          <w:highlight w:val="none"/>
          <w:lang w:val="en-US" w:eastAsia="zh-CN"/>
        </w:rPr>
      </w:pPr>
      <w:r>
        <w:rPr>
          <w:rFonts w:hint="eastAsia" w:ascii="宋体" w:hAnsi="宋体" w:eastAsia="宋体" w:cs="宋体"/>
          <w:sz w:val="20"/>
          <w:highlight w:val="none"/>
          <w:lang w:val="en-US" w:eastAsia="zh-CN"/>
        </w:rPr>
        <w:t>5、投入本项目团队人员的证明材料：身份证（正反面）、执业资格证书、职称证（如有）及</w:t>
      </w:r>
      <w:r>
        <w:rPr>
          <w:rFonts w:hint="eastAsia" w:ascii="宋体" w:hAnsi="宋体" w:eastAsia="宋体" w:cs="宋体"/>
          <w:b/>
          <w:bCs/>
          <w:sz w:val="20"/>
          <w:highlight w:val="none"/>
          <w:lang w:val="en-US" w:eastAsia="zh-CN"/>
        </w:rPr>
        <w:t>自2024年10月起连续</w:t>
      </w:r>
      <w:r>
        <w:rPr>
          <w:rFonts w:hint="eastAsia" w:ascii="宋体" w:hAnsi="宋体" w:eastAsia="宋体" w:cs="宋体"/>
          <w:sz w:val="20"/>
          <w:highlight w:val="none"/>
          <w:lang w:val="en-US" w:eastAsia="zh-CN"/>
        </w:rPr>
        <w:t>三个月的养老保险缴纳凭证或由社保部门出具的其在该供应商单位参保的证明扫描件或复印件；</w:t>
      </w:r>
    </w:p>
    <w:p w14:paraId="5FD1BAC6">
      <w:pPr>
        <w:keepNext w:val="0"/>
        <w:keepLines w:val="0"/>
        <w:pageBreakBefore w:val="0"/>
        <w:widowControl w:val="0"/>
        <w:kinsoku/>
        <w:wordWrap/>
        <w:overflowPunct/>
        <w:topLinePunct w:val="0"/>
        <w:autoSpaceDE/>
        <w:autoSpaceDN/>
        <w:bidi w:val="0"/>
        <w:adjustRightInd/>
        <w:snapToGrid/>
        <w:spacing w:line="360" w:lineRule="exact"/>
        <w:ind w:firstLine="300" w:firstLineChars="150"/>
        <w:textAlignment w:val="auto"/>
        <w:rPr>
          <w:rFonts w:hint="eastAsia" w:ascii="宋体" w:hAnsi="宋体" w:eastAsia="宋体" w:cs="宋体"/>
          <w:sz w:val="20"/>
          <w:highlight w:val="none"/>
          <w:lang w:val="en-US" w:eastAsia="zh-CN"/>
        </w:rPr>
      </w:pPr>
      <w:r>
        <w:rPr>
          <w:rFonts w:hint="eastAsia" w:ascii="宋体" w:hAnsi="宋体" w:eastAsia="宋体" w:cs="宋体"/>
          <w:sz w:val="20"/>
          <w:highlight w:val="none"/>
          <w:lang w:val="en-US" w:eastAsia="zh-CN"/>
        </w:rPr>
        <w:t>6、</w:t>
      </w:r>
      <w:r>
        <w:rPr>
          <w:rFonts w:hint="eastAsia" w:ascii="宋体" w:hAnsi="宋体" w:eastAsia="宋体" w:cs="宋体"/>
          <w:sz w:val="20"/>
          <w:highlight w:val="none"/>
        </w:rPr>
        <w:t>上述资质证书及相关证明材料均须加盖供应商单位电子公章，否则不予认可。</w:t>
      </w:r>
    </w:p>
    <w:p w14:paraId="3C13A06C">
      <w:pPr>
        <w:rPr>
          <w:rFonts w:hint="eastAsia" w:ascii="宋体" w:hAnsi="宋体" w:eastAsia="宋体" w:cs="宋体"/>
          <w:highlight w:val="none"/>
        </w:rPr>
      </w:pPr>
    </w:p>
    <w:p w14:paraId="6BF9B662">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199D01B3">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3BB84AD0">
      <w:pPr>
        <w:rPr>
          <w:rFonts w:hint="eastAsia" w:ascii="宋体" w:hAnsi="宋体" w:eastAsia="宋体" w:cs="宋体"/>
          <w:b/>
          <w:bCs/>
          <w:color w:val="000000" w:themeColor="text1"/>
          <w:sz w:val="44"/>
          <w:szCs w:val="44"/>
          <w:highlight w:val="none"/>
          <w14:textFill>
            <w14:solidFill>
              <w14:schemeClr w14:val="tx1"/>
            </w14:solidFill>
          </w14:textFill>
        </w:rPr>
      </w:pPr>
    </w:p>
    <w:bookmarkEnd w:id="92"/>
    <w:p w14:paraId="2AA0C47C">
      <w:pPr>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color w:val="000000" w:themeColor="text1"/>
          <w:sz w:val="44"/>
          <w:szCs w:val="44"/>
          <w:highlight w:val="none"/>
          <w14:textFill>
            <w14:solidFill>
              <w14:schemeClr w14:val="tx1"/>
            </w14:solidFill>
          </w14:textFill>
        </w:rPr>
        <w:br w:type="page"/>
      </w:r>
    </w:p>
    <w:p w14:paraId="350158A6">
      <w:pPr>
        <w:pStyle w:val="30"/>
        <w:spacing w:before="260" w:after="260" w:line="500" w:lineRule="exact"/>
        <w:rPr>
          <w:rFonts w:hint="eastAsia" w:ascii="宋体" w:hAnsi="宋体" w:eastAsia="宋体" w:cs="宋体"/>
          <w:b w:val="0"/>
          <w:bCs w:val="0"/>
          <w:color w:val="000000" w:themeColor="text1"/>
          <w:kern w:val="2"/>
          <w:sz w:val="44"/>
          <w:szCs w:val="44"/>
          <w:highlight w:val="none"/>
          <w14:textFill>
            <w14:solidFill>
              <w14:schemeClr w14:val="tx1"/>
            </w14:solidFill>
          </w14:textFill>
        </w:rPr>
      </w:pPr>
      <w:bookmarkStart w:id="94" w:name="_Toc7451"/>
      <w:r>
        <w:rPr>
          <w:rFonts w:hint="eastAsia" w:ascii="宋体" w:hAnsi="宋体" w:eastAsia="宋体" w:cs="宋体"/>
          <w:b w:val="0"/>
          <w:bCs w:val="0"/>
          <w:color w:val="000000" w:themeColor="text1"/>
          <w:kern w:val="2"/>
          <w:sz w:val="44"/>
          <w:szCs w:val="44"/>
          <w:highlight w:val="none"/>
          <w14:textFill>
            <w14:solidFill>
              <w14:schemeClr w14:val="tx1"/>
            </w14:solidFill>
          </w14:textFill>
        </w:rPr>
        <w:t>第五章 采购合同条款</w:t>
      </w:r>
      <w:bookmarkEnd w:id="94"/>
    </w:p>
    <w:p w14:paraId="1EA5DA5D">
      <w:pPr>
        <w:rPr>
          <w:rFonts w:hint="eastAsia" w:ascii="宋体" w:hAnsi="宋体" w:eastAsia="宋体" w:cs="宋体"/>
          <w:color w:val="000000" w:themeColor="text1"/>
          <w:highlight w:val="none"/>
          <w14:textFill>
            <w14:solidFill>
              <w14:schemeClr w14:val="tx1"/>
            </w14:solidFill>
          </w14:textFill>
        </w:rPr>
      </w:pPr>
    </w:p>
    <w:p w14:paraId="792DE119">
      <w:pPr>
        <w:spacing w:line="480" w:lineRule="exact"/>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甲方：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245C8A52">
      <w:pPr>
        <w:spacing w:line="480" w:lineRule="exact"/>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乙方：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6F83D70D">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甲、乙双方在真实、充分表达各自意愿的基础上，根据《中华人民共和国民法典》及相关法律法规的规定，经友好平等协商，达成如下协议，并由双方共同恪守。</w:t>
      </w:r>
    </w:p>
    <w:p w14:paraId="2E9842FA">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第一条 项目名称</w:t>
      </w:r>
    </w:p>
    <w:p w14:paraId="32AD44E6">
      <w:pPr>
        <w:spacing w:line="480" w:lineRule="exact"/>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2893B89B">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第二条 乙方研究工作服务事项</w:t>
      </w:r>
    </w:p>
    <w:p w14:paraId="14C6C8D5">
      <w:pPr>
        <w:pStyle w:val="44"/>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1、服务内容: </w:t>
      </w:r>
    </w:p>
    <w:p w14:paraId="3356C18E">
      <w:pPr>
        <w:pStyle w:val="44"/>
        <w:spacing w:line="48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本项目主要围绕“3大业务、4大应用”进行软硬件建设，即通过建设无人机防控系统、应急救援会商系统、机坪安全运行管理系统以及机场智能交通管理系统，为台州机场的安全、运营、服务3大业务提供支撑。主要工作内容为：无人机防控系统、应急救援会商系统、机坪安全运行管理系统、机场智能交通管理系统的软硬件建设。具体工作内容具体内容包括（包括但不限于）：</w:t>
      </w:r>
    </w:p>
    <w:p w14:paraId="02C96760">
      <w:pPr>
        <w:pStyle w:val="44"/>
        <w:spacing w:line="48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（1）各系统项目需求分析；</w:t>
      </w:r>
    </w:p>
    <w:p w14:paraId="3F88C6A7">
      <w:pPr>
        <w:pStyle w:val="44"/>
        <w:spacing w:line="48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（2）本工程项目各系统的深化设计； </w:t>
      </w:r>
    </w:p>
    <w:p w14:paraId="4B4A247B">
      <w:pPr>
        <w:pStyle w:val="44"/>
        <w:spacing w:line="48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（3）本工程项目各系统所需设备材料采购、包装、运输、保管、安装、调试、验收；</w:t>
      </w:r>
    </w:p>
    <w:p w14:paraId="18E4F2D2">
      <w:pPr>
        <w:pStyle w:val="44"/>
        <w:spacing w:line="48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（4）本工程项目各系统所需全部软件的采购、包装、运输、保管、安装、调试、客户化开发、验收；</w:t>
      </w:r>
    </w:p>
    <w:p w14:paraId="50BC5D86">
      <w:pPr>
        <w:pStyle w:val="44"/>
        <w:spacing w:line="48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（5）因各种原因引起的系统变更工程；</w:t>
      </w:r>
    </w:p>
    <w:p w14:paraId="713D0D79">
      <w:pPr>
        <w:pStyle w:val="44"/>
        <w:spacing w:line="48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（6）本工程项目各系统的全部调试验收、用户培训及维护保修；</w:t>
      </w:r>
    </w:p>
    <w:p w14:paraId="1677F499">
      <w:pPr>
        <w:pStyle w:val="44"/>
        <w:spacing w:line="48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（7）本工程项目各系统质量保证工作；</w:t>
      </w:r>
    </w:p>
    <w:p w14:paraId="4111571B">
      <w:pPr>
        <w:pStyle w:val="44"/>
        <w:spacing w:line="48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（8）编制本工程项目各系统竣工资料；</w:t>
      </w:r>
    </w:p>
    <w:p w14:paraId="749672B7">
      <w:pPr>
        <w:pStyle w:val="44"/>
        <w:spacing w:line="48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（9）上述工作所需的附件、工具、备品备件、资料的提供；</w:t>
      </w:r>
    </w:p>
    <w:p w14:paraId="36F92E38">
      <w:pPr>
        <w:pStyle w:val="44"/>
        <w:spacing w:line="48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（10）其他要求的工作内容。</w:t>
      </w:r>
    </w:p>
    <w:p w14:paraId="1AA8F9D9">
      <w:pPr>
        <w:pStyle w:val="29"/>
        <w:spacing w:line="500" w:lineRule="exact"/>
        <w:ind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2、服务要求：必须符合现行国家有关工程施工质量验收规范和标准的要求</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有关工程质量的特殊标准或要求由合同当事人在合同条款中约定</w:t>
      </w:r>
      <w:r>
        <w:rPr>
          <w:rFonts w:hint="eastAsia" w:ascii="宋体" w:hAnsi="宋体" w:eastAsia="宋体" w:cs="宋体"/>
          <w:color w:val="000000" w:themeColor="text1"/>
          <w:highlight w:val="none"/>
          <w:lang w:bidi="ar"/>
          <w14:textFill>
            <w14:solidFill>
              <w14:schemeClr w14:val="tx1"/>
            </w14:solidFill>
          </w14:textFill>
        </w:rPr>
        <w:t>。</w:t>
      </w:r>
    </w:p>
    <w:p w14:paraId="7C136A41">
      <w:pPr>
        <w:pStyle w:val="44"/>
        <w:tabs>
          <w:tab w:val="right" w:pos="8590"/>
        </w:tabs>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3、服务期12个月，具体开工日期</w:t>
      </w:r>
      <w:r>
        <w:rPr>
          <w:rFonts w:hint="eastAsia" w:ascii="宋体" w:hAnsi="宋体" w:eastAsia="宋体" w:cs="宋体"/>
          <w:color w:val="000000" w:themeColor="text1"/>
          <w:sz w:val="24"/>
          <w:szCs w:val="24"/>
          <w:highlight w:val="none"/>
          <w:lang w:val="en-US" w:eastAsia="zh-CN"/>
          <w14:textFill>
            <w14:solidFill>
              <w14:schemeClr w14:val="tx1"/>
            </w14:solidFill>
          </w14:textFill>
        </w:rPr>
        <w:t>以</w:t>
      </w:r>
      <w:r>
        <w:rPr>
          <w:rFonts w:hint="eastAsia" w:ascii="宋体" w:hAnsi="宋体" w:eastAsia="宋体" w:cs="宋体"/>
          <w:color w:val="000000" w:themeColor="text1"/>
          <w:sz w:val="24"/>
          <w:szCs w:val="24"/>
          <w:highlight w:val="none"/>
          <w14:textFill>
            <w14:solidFill>
              <w14:schemeClr w14:val="tx1"/>
            </w14:solidFill>
          </w14:textFill>
        </w:rPr>
        <w:t>开工令通知为准。</w:t>
      </w:r>
      <w:r>
        <w:rPr>
          <w:rFonts w:hint="eastAsia" w:ascii="宋体" w:hAnsi="宋体" w:eastAsia="宋体" w:cs="宋体"/>
          <w:color w:val="000000" w:themeColor="text1"/>
          <w:sz w:val="24"/>
          <w:szCs w:val="24"/>
          <w:highlight w:val="none"/>
          <w14:textFill>
            <w14:solidFill>
              <w14:schemeClr w14:val="tx1"/>
            </w14:solidFill>
          </w14:textFill>
        </w:rPr>
        <w:tab/>
      </w:r>
    </w:p>
    <w:p w14:paraId="1D0AFF1D">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第三条 甲方应当提供的工作条件和协作事项</w:t>
      </w:r>
    </w:p>
    <w:p w14:paraId="7E8C019C">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1、向乙方提供与本项目有关的文件和基础资料；</w:t>
      </w:r>
    </w:p>
    <w:p w14:paraId="55ABAE17">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2、成交（中标）通知书发出后，甲方人员应当按照招投标法的相关规定及成交（中标）通知书要求，按期完成合同签订程序。</w:t>
      </w:r>
    </w:p>
    <w:p w14:paraId="5AFDB715">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3、按照合同约定，支付乙方费用。</w:t>
      </w:r>
    </w:p>
    <w:p w14:paraId="0A6985D9">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第四条 乙方责任</w:t>
      </w:r>
    </w:p>
    <w:p w14:paraId="3DC16785">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1、乙方必须按照采购文件的规定和要求完成项目。甲方采购文件及乙方</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中所涉及的服务内容和技术要求均系本合同的有效组成部分，为甲方的委托目的和任务要求，乙方应予以遵守执行。</w:t>
      </w:r>
    </w:p>
    <w:p w14:paraId="7C1B19CD">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2、乙方应协助甲方完成向相关部门的上报备案等程序性工作。</w:t>
      </w:r>
    </w:p>
    <w:p w14:paraId="5169DA97">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color w:val="000000" w:themeColor="text1"/>
          <w:sz w:val="24"/>
          <w:szCs w:val="24"/>
          <w:highlight w:val="none"/>
          <w14:textFill>
            <w14:solidFill>
              <w14:schemeClr w14:val="tx1"/>
            </w14:solidFill>
          </w14:textFill>
        </w:rPr>
        <w:t>按照</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14:textFill>
            <w14:solidFill>
              <w14:schemeClr w14:val="tx1"/>
            </w14:solidFill>
          </w14:textFill>
        </w:rPr>
        <w:t>的要求提供深化设计方案、出具深化设计图纸，经</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14:textFill>
            <w14:solidFill>
              <w14:schemeClr w14:val="tx1"/>
            </w14:solidFill>
          </w14:textFill>
        </w:rPr>
        <w:t>、原设计人书面确认后</w:t>
      </w:r>
      <w:r>
        <w:rPr>
          <w:rFonts w:hint="eastAsia" w:ascii="宋体" w:hAnsi="宋体" w:eastAsia="宋体" w:cs="宋体"/>
          <w:color w:val="000000" w:themeColor="text1"/>
          <w:sz w:val="24"/>
          <w:szCs w:val="24"/>
          <w:highlight w:val="none"/>
          <w:lang w:val="en-US" w:eastAsia="zh-CN"/>
          <w14:textFill>
            <w14:solidFill>
              <w14:schemeClr w14:val="tx1"/>
            </w14:solidFill>
          </w14:textFill>
        </w:rPr>
        <w:t>方可</w:t>
      </w:r>
      <w:r>
        <w:rPr>
          <w:rFonts w:hint="eastAsia" w:ascii="宋体" w:hAnsi="宋体" w:eastAsia="宋体" w:cs="宋体"/>
          <w:color w:val="000000" w:themeColor="text1"/>
          <w:sz w:val="24"/>
          <w:szCs w:val="24"/>
          <w:highlight w:val="none"/>
          <w14:textFill>
            <w14:solidFill>
              <w14:schemeClr w14:val="tx1"/>
            </w14:solidFill>
          </w14:textFill>
        </w:rPr>
        <w:t>实施。</w:t>
      </w:r>
    </w:p>
    <w:p w14:paraId="57571173">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5、乙方工作过程中应充分考虑不停航施工、净空限制、净高限制、电磁环境保护、地下管线保护、通信设施及配套服务等要求，严格按照民用机场运行安全管理规定</w:t>
      </w:r>
      <w:r>
        <w:rPr>
          <w:rFonts w:hint="eastAsia" w:ascii="宋体" w:hAnsi="宋体" w:eastAsia="宋体" w:cs="宋体"/>
          <w:color w:val="000000" w:themeColor="text1"/>
          <w:sz w:val="24"/>
          <w:szCs w:val="24"/>
          <w:highlight w:val="none"/>
          <w:lang w:val="en-US" w:eastAsia="zh-CN"/>
          <w14:textFill>
            <w14:solidFill>
              <w14:schemeClr w14:val="tx1"/>
            </w14:solidFill>
          </w14:textFill>
        </w:rPr>
        <w:t>开展工作</w:t>
      </w:r>
      <w:r>
        <w:rPr>
          <w:rFonts w:hint="eastAsia" w:ascii="宋体" w:hAnsi="宋体" w:eastAsia="宋体" w:cs="宋体"/>
          <w:color w:val="000000" w:themeColor="text1"/>
          <w:sz w:val="24"/>
          <w:szCs w:val="24"/>
          <w:highlight w:val="none"/>
          <w14:textFill>
            <w14:solidFill>
              <w14:schemeClr w14:val="tx1"/>
            </w14:solidFill>
          </w14:textFill>
        </w:rPr>
        <w:t>。</w:t>
      </w:r>
    </w:p>
    <w:p w14:paraId="7A505013">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乙方工作</w:t>
      </w:r>
      <w:r>
        <w:rPr>
          <w:rFonts w:hint="eastAsia" w:ascii="宋体" w:hAnsi="宋体" w:eastAsia="宋体" w:cs="宋体"/>
          <w:color w:val="000000" w:themeColor="text1"/>
          <w:sz w:val="24"/>
          <w:szCs w:val="24"/>
          <w:highlight w:val="none"/>
          <w14:textFill>
            <w14:solidFill>
              <w14:schemeClr w14:val="tx1"/>
            </w14:solidFill>
          </w14:textFill>
        </w:rPr>
        <w:t>过程中</w:t>
      </w:r>
      <w:r>
        <w:rPr>
          <w:rFonts w:hint="eastAsia" w:ascii="宋体" w:hAnsi="宋体" w:eastAsia="宋体" w:cs="宋体"/>
          <w:color w:val="000000" w:themeColor="text1"/>
          <w:sz w:val="24"/>
          <w:szCs w:val="24"/>
          <w:highlight w:val="none"/>
          <w:lang w:val="en-US" w:eastAsia="zh-CN"/>
          <w14:textFill>
            <w14:solidFill>
              <w14:schemeClr w14:val="tx1"/>
            </w14:solidFill>
          </w14:textFill>
        </w:rPr>
        <w:t>须</w:t>
      </w:r>
      <w:r>
        <w:rPr>
          <w:rFonts w:hint="eastAsia" w:ascii="宋体" w:hAnsi="宋体" w:eastAsia="宋体" w:cs="宋体"/>
          <w:color w:val="000000" w:themeColor="text1"/>
          <w:sz w:val="24"/>
          <w:szCs w:val="24"/>
          <w:highlight w:val="none"/>
          <w14:textFill>
            <w14:solidFill>
              <w14:schemeClr w14:val="tx1"/>
            </w14:solidFill>
          </w14:textFill>
        </w:rPr>
        <w:t>保证机场旅客、货物道路畅通，不影响航站楼、货运、站坪、塔台、飞行区、中航油等各现状区域正常运行；如需阻断道路、切断管线的，承包人负责向机场管理和使用部门提报申请，确定施工时段、施工方案、导改措施等，并严格按照相关要求执行。</w:t>
      </w:r>
    </w:p>
    <w:p w14:paraId="6D9EBBEF">
      <w:pPr>
        <w:spacing w:line="48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7、乙方</w:t>
      </w:r>
      <w:r>
        <w:rPr>
          <w:rFonts w:hint="eastAsia" w:ascii="宋体" w:hAnsi="宋体" w:eastAsia="宋体" w:cs="宋体"/>
          <w:color w:val="000000" w:themeColor="text1"/>
          <w:sz w:val="24"/>
          <w:szCs w:val="24"/>
          <w:highlight w:val="none"/>
          <w:lang w:eastAsia="zh-CN"/>
          <w14:textFill>
            <w14:solidFill>
              <w14:schemeClr w14:val="tx1"/>
            </w14:solidFill>
          </w14:textFill>
        </w:rPr>
        <w:t>负责为</w:t>
      </w:r>
      <w:r>
        <w:rPr>
          <w:rFonts w:hint="eastAsia" w:ascii="宋体" w:hAnsi="宋体" w:eastAsia="宋体" w:cs="宋体"/>
          <w:color w:val="000000" w:themeColor="text1"/>
          <w:sz w:val="24"/>
          <w:szCs w:val="24"/>
          <w:highlight w:val="none"/>
          <w:lang w:val="en-US" w:eastAsia="zh-CN"/>
          <w14:textFill>
            <w14:solidFill>
              <w14:schemeClr w14:val="tx1"/>
            </w14:solidFill>
          </w14:textFill>
        </w:rPr>
        <w:t>工作</w:t>
      </w:r>
      <w:r>
        <w:rPr>
          <w:rFonts w:hint="eastAsia" w:ascii="宋体" w:hAnsi="宋体" w:eastAsia="宋体" w:cs="宋体"/>
          <w:color w:val="000000" w:themeColor="text1"/>
          <w:sz w:val="24"/>
          <w:szCs w:val="24"/>
          <w:highlight w:val="none"/>
          <w:lang w:eastAsia="zh-CN"/>
          <w14:textFill>
            <w14:solidFill>
              <w14:schemeClr w14:val="tx1"/>
            </w14:solidFill>
          </w14:textFill>
        </w:rPr>
        <w:t>场地及其周边现有地上、地下的设施（包括但不限于航油设施）和建筑物等提供足够且完善的临时保护设施及运行监测，确保其在施工过程中不被干扰和破坏。出现异常情况</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w:t>
      </w:r>
      <w:r>
        <w:rPr>
          <w:rFonts w:hint="eastAsia" w:ascii="宋体" w:hAnsi="宋体" w:eastAsia="宋体" w:cs="宋体"/>
          <w:color w:val="000000" w:themeColor="text1"/>
          <w:sz w:val="24"/>
          <w:szCs w:val="24"/>
          <w:highlight w:val="none"/>
          <w:lang w:eastAsia="zh-CN"/>
          <w14:textFill>
            <w14:solidFill>
              <w14:schemeClr w14:val="tx1"/>
            </w14:solidFill>
          </w14:textFill>
        </w:rPr>
        <w:t>必须及时采取措施，防止影响进一步扩大，并同时通知</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lang w:eastAsia="zh-CN"/>
          <w14:textFill>
            <w14:solidFill>
              <w14:schemeClr w14:val="tx1"/>
            </w14:solidFill>
          </w14:textFill>
        </w:rPr>
        <w:t>及相关单位；</w:t>
      </w:r>
    </w:p>
    <w:p w14:paraId="6594B1AF">
      <w:pPr>
        <w:spacing w:line="48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8、乙方</w:t>
      </w:r>
      <w:r>
        <w:rPr>
          <w:rFonts w:hint="eastAsia" w:ascii="宋体" w:hAnsi="宋体" w:eastAsia="宋体" w:cs="宋体"/>
          <w:color w:val="000000" w:themeColor="text1"/>
          <w:sz w:val="24"/>
          <w:szCs w:val="24"/>
          <w:highlight w:val="none"/>
          <w:lang w:eastAsia="zh-CN"/>
          <w14:textFill>
            <w14:solidFill>
              <w14:schemeClr w14:val="tx1"/>
            </w14:solidFill>
          </w14:textFill>
        </w:rPr>
        <w:t>负责维护与保养</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lang w:eastAsia="zh-CN"/>
          <w14:textFill>
            <w14:solidFill>
              <w14:schemeClr w14:val="tx1"/>
            </w14:solidFill>
          </w14:textFill>
        </w:rPr>
        <w:t>提供的共用设施(包括道路、供水管道、电力线路、照明设施、辅助生产设施等) ，保证不造成损坏或障碍</w:t>
      </w:r>
      <w:r>
        <w:rPr>
          <w:rFonts w:hint="eastAsia" w:ascii="宋体" w:hAnsi="宋体" w:eastAsia="宋体" w:cs="宋体"/>
          <w:color w:val="000000" w:themeColor="text1"/>
          <w:sz w:val="24"/>
          <w:szCs w:val="24"/>
          <w:highlight w:val="none"/>
          <w:lang w:val="en-US" w:eastAsia="zh-CN"/>
          <w14:textFill>
            <w14:solidFill>
              <w14:schemeClr w14:val="tx1"/>
            </w14:solidFill>
          </w14:textFill>
        </w:rPr>
        <w:t>从</w:t>
      </w:r>
      <w:r>
        <w:rPr>
          <w:rFonts w:hint="eastAsia" w:ascii="宋体" w:hAnsi="宋体" w:eastAsia="宋体" w:cs="宋体"/>
          <w:color w:val="000000" w:themeColor="text1"/>
          <w:sz w:val="24"/>
          <w:szCs w:val="24"/>
          <w:highlight w:val="none"/>
          <w:lang w:eastAsia="zh-CN"/>
          <w14:textFill>
            <w14:solidFill>
              <w14:schemeClr w14:val="tx1"/>
            </w14:solidFill>
          </w14:textFill>
        </w:rPr>
        <w:t>而影响其他</w:t>
      </w:r>
      <w:r>
        <w:rPr>
          <w:rFonts w:hint="eastAsia" w:ascii="宋体" w:hAnsi="宋体" w:eastAsia="宋体" w:cs="宋体"/>
          <w:color w:val="000000" w:themeColor="text1"/>
          <w:sz w:val="24"/>
          <w:szCs w:val="24"/>
          <w:highlight w:val="none"/>
          <w:lang w:val="en-US" w:eastAsia="zh-CN"/>
          <w14:textFill>
            <w14:solidFill>
              <w14:schemeClr w14:val="tx1"/>
            </w14:solidFill>
          </w14:textFill>
        </w:rPr>
        <w:t>项目的开展</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578B10D2">
      <w:pPr>
        <w:spacing w:line="48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9、乙方</w:t>
      </w:r>
      <w:r>
        <w:rPr>
          <w:rFonts w:hint="eastAsia" w:ascii="宋体" w:hAnsi="宋体" w:eastAsia="宋体" w:cs="宋体"/>
          <w:color w:val="000000" w:themeColor="text1"/>
          <w:sz w:val="24"/>
          <w:szCs w:val="24"/>
          <w:highlight w:val="none"/>
          <w:lang w:eastAsia="zh-CN"/>
          <w14:textFill>
            <w14:solidFill>
              <w14:schemeClr w14:val="tx1"/>
            </w14:solidFill>
          </w14:textFill>
        </w:rPr>
        <w:t>负责规划设备、机械进出场运输路线，预留相应通道，并综合考虑运输路线的加固、支撑，设备、机械的拆分重组，已完工程拆除及恢复等措施；</w:t>
      </w:r>
    </w:p>
    <w:p w14:paraId="36901478">
      <w:pPr>
        <w:spacing w:line="48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w:t>
      </w:r>
      <w:r>
        <w:rPr>
          <w:rFonts w:hint="eastAsia" w:ascii="宋体" w:hAnsi="宋体" w:eastAsia="宋体" w:cs="宋体"/>
          <w:color w:val="000000" w:themeColor="text1"/>
          <w:sz w:val="24"/>
          <w:szCs w:val="24"/>
          <w:highlight w:val="none"/>
          <w:lang w:eastAsia="zh-CN"/>
          <w14:textFill>
            <w14:solidFill>
              <w14:schemeClr w14:val="tx1"/>
            </w14:solidFill>
          </w14:textFill>
        </w:rPr>
        <w:t>涉及多工程交叉施工作业、工作面移交、共同验收的，</w:t>
      </w:r>
      <w:r>
        <w:rPr>
          <w:rFonts w:hint="eastAsia" w:ascii="宋体" w:hAnsi="宋体" w:eastAsia="宋体" w:cs="宋体"/>
          <w:color w:val="000000" w:themeColor="text1"/>
          <w:sz w:val="24"/>
          <w:szCs w:val="24"/>
          <w:highlight w:val="none"/>
          <w:lang w:val="en-US" w:eastAsia="zh-CN"/>
          <w14:textFill>
            <w14:solidFill>
              <w14:schemeClr w14:val="tx1"/>
            </w14:solidFill>
          </w14:textFill>
        </w:rPr>
        <w:t>乙方须</w:t>
      </w:r>
      <w:r>
        <w:rPr>
          <w:rFonts w:hint="eastAsia" w:ascii="宋体" w:hAnsi="宋体" w:eastAsia="宋体" w:cs="宋体"/>
          <w:color w:val="000000" w:themeColor="text1"/>
          <w:sz w:val="24"/>
          <w:szCs w:val="24"/>
          <w:highlight w:val="none"/>
          <w:lang w:eastAsia="zh-CN"/>
          <w14:textFill>
            <w14:solidFill>
              <w14:schemeClr w14:val="tx1"/>
            </w14:solidFill>
          </w14:textFill>
        </w:rPr>
        <w:t>服从</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lang w:eastAsia="zh-CN"/>
          <w14:textFill>
            <w14:solidFill>
              <w14:schemeClr w14:val="tx1"/>
            </w14:solidFill>
          </w14:textFill>
        </w:rPr>
        <w:t>的统一协调；</w:t>
      </w:r>
    </w:p>
    <w:p w14:paraId="7C3EE32E">
      <w:pPr>
        <w:spacing w:line="48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11、乙方</w:t>
      </w:r>
      <w:r>
        <w:rPr>
          <w:rFonts w:hint="eastAsia" w:ascii="宋体" w:hAnsi="宋体" w:eastAsia="宋体" w:cs="宋体"/>
          <w:color w:val="000000" w:themeColor="text1"/>
          <w:sz w:val="24"/>
          <w:szCs w:val="24"/>
          <w:highlight w:val="none"/>
          <w:lang w:eastAsia="zh-CN"/>
          <w14:textFill>
            <w14:solidFill>
              <w14:schemeClr w14:val="tx1"/>
            </w14:solidFill>
          </w14:textFill>
        </w:rPr>
        <w:t>负责按照合同约定开展样板引路，工作内容包含但不限于：样板、样品、检测试件等制作，封样，拆除，并按照</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lang w:eastAsia="zh-CN"/>
          <w14:textFill>
            <w14:solidFill>
              <w14:schemeClr w14:val="tx1"/>
            </w14:solidFill>
          </w14:textFill>
        </w:rPr>
        <w:t>的要求进行调整；</w:t>
      </w:r>
    </w:p>
    <w:p w14:paraId="6F7381B9">
      <w:pPr>
        <w:spacing w:line="480" w:lineRule="exact"/>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12、乙方</w:t>
      </w:r>
      <w:r>
        <w:rPr>
          <w:rFonts w:hint="eastAsia" w:ascii="宋体" w:hAnsi="宋体" w:eastAsia="宋体" w:cs="宋体"/>
          <w:color w:val="000000" w:themeColor="text1"/>
          <w:sz w:val="24"/>
          <w:szCs w:val="24"/>
          <w:highlight w:val="none"/>
          <w:lang w:eastAsia="zh-CN"/>
          <w14:textFill>
            <w14:solidFill>
              <w14:schemeClr w14:val="tx1"/>
            </w14:solidFill>
          </w14:textFill>
        </w:rPr>
        <w:t>负责配合</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lang w:eastAsia="zh-CN"/>
          <w14:textFill>
            <w14:solidFill>
              <w14:schemeClr w14:val="tx1"/>
            </w14:solidFill>
          </w14:textFill>
        </w:rPr>
        <w:t>开展总结、宣传、报道等工作；</w:t>
      </w:r>
    </w:p>
    <w:p w14:paraId="23124EFC">
      <w:pPr>
        <w:spacing w:line="48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13、乙方</w:t>
      </w:r>
      <w:r>
        <w:rPr>
          <w:rFonts w:hint="eastAsia" w:ascii="宋体" w:hAnsi="宋体" w:eastAsia="宋体" w:cs="宋体"/>
          <w:color w:val="000000" w:themeColor="text1"/>
          <w:sz w:val="24"/>
          <w:szCs w:val="24"/>
          <w:highlight w:val="none"/>
          <w:lang w:eastAsia="zh-CN"/>
          <w14:textFill>
            <w14:solidFill>
              <w14:schemeClr w14:val="tx1"/>
            </w14:solidFill>
          </w14:textFill>
        </w:rPr>
        <w:t>按照</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lang w:eastAsia="zh-CN"/>
          <w14:textFill>
            <w14:solidFill>
              <w14:schemeClr w14:val="tx1"/>
            </w14:solidFill>
          </w14:textFill>
        </w:rPr>
        <w:t>要求配备专职信息管理工作人员，负责台州机场信息共享云平台的信息填报、更新和维护等信息管理工作，并接受</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lang w:eastAsia="zh-CN"/>
          <w14:textFill>
            <w14:solidFill>
              <w14:schemeClr w14:val="tx1"/>
            </w14:solidFill>
          </w14:textFill>
        </w:rPr>
        <w:t>对信息管理工作的检查督导；</w:t>
      </w:r>
    </w:p>
    <w:p w14:paraId="21070682">
      <w:pPr>
        <w:spacing w:line="480" w:lineRule="exact"/>
        <w:ind w:firstLine="480" w:firstLineChars="2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乙方须充分考虑应用软件、传输设备等存在差异，数据对接效率及不同品牌的同类设备对接涉及到的协议和接口开放等问题，保证实现全部系统软件、传输设备的顺利对接。甲方在实施过程中有权拒绝使用不符合采购文件规定标准的材料、设备，乙方由此增加的费用自行承担。</w:t>
      </w:r>
    </w:p>
    <w:p w14:paraId="1BB8D73B">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第五条 工作成果验收与存档</w:t>
      </w:r>
    </w:p>
    <w:p w14:paraId="1C9DBDA9">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1、验收标准:</w:t>
      </w: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符合现行国家有关工程施工质量验收规范和标准的要求。</w:t>
      </w:r>
    </w:p>
    <w:p w14:paraId="6A72D868">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2、乙方应将所有资料整理归类，</w:t>
      </w:r>
      <w:r>
        <w:rPr>
          <w:rFonts w:hint="eastAsia" w:ascii="宋体" w:hAnsi="宋体" w:eastAsia="宋体" w:cs="宋体"/>
          <w:color w:val="000000" w:themeColor="text1"/>
          <w:sz w:val="24"/>
          <w:szCs w:val="24"/>
          <w:highlight w:val="none"/>
          <w:lang w:val="en-US" w:eastAsia="zh-CN"/>
          <w14:textFill>
            <w14:solidFill>
              <w14:schemeClr w14:val="tx1"/>
            </w14:solidFill>
          </w14:textFill>
        </w:rPr>
        <w:t>并</w:t>
      </w:r>
      <w:r>
        <w:rPr>
          <w:rFonts w:hint="eastAsia" w:ascii="宋体" w:hAnsi="宋体" w:eastAsia="宋体" w:cs="宋体"/>
          <w:color w:val="000000" w:themeColor="text1"/>
          <w:sz w:val="24"/>
          <w:szCs w:val="24"/>
          <w:highlight w:val="none"/>
          <w14:textFill>
            <w14:solidFill>
              <w14:schemeClr w14:val="tx1"/>
            </w14:solidFill>
          </w14:textFill>
        </w:rPr>
        <w:t>在验收通过后的一周内，将本项目</w:t>
      </w:r>
      <w:r>
        <w:rPr>
          <w:rFonts w:hint="eastAsia" w:ascii="宋体" w:hAnsi="宋体" w:eastAsia="宋体" w:cs="宋体"/>
          <w:color w:val="000000" w:themeColor="text1"/>
          <w:sz w:val="24"/>
          <w:szCs w:val="24"/>
          <w:highlight w:val="none"/>
          <w:lang w:val="en-US" w:eastAsia="zh-CN"/>
          <w14:textFill>
            <w14:solidFill>
              <w14:schemeClr w14:val="tx1"/>
            </w14:solidFill>
          </w14:textFill>
        </w:rPr>
        <w:t>全部</w:t>
      </w:r>
      <w:r>
        <w:rPr>
          <w:rFonts w:hint="eastAsia" w:ascii="宋体" w:hAnsi="宋体" w:eastAsia="宋体" w:cs="宋体"/>
          <w:color w:val="000000" w:themeColor="text1"/>
          <w:sz w:val="24"/>
          <w:szCs w:val="24"/>
          <w:highlight w:val="none"/>
          <w14:textFill>
            <w14:solidFill>
              <w14:schemeClr w14:val="tx1"/>
            </w14:solidFill>
          </w14:textFill>
        </w:rPr>
        <w:t>资料移交</w:t>
      </w:r>
      <w:r>
        <w:rPr>
          <w:rFonts w:hint="eastAsia" w:ascii="宋体" w:hAnsi="宋体" w:eastAsia="宋体" w:cs="宋体"/>
          <w:color w:val="000000" w:themeColor="text1"/>
          <w:sz w:val="24"/>
          <w:szCs w:val="24"/>
          <w:highlight w:val="none"/>
          <w:lang w:val="en-US" w:eastAsia="zh-CN"/>
          <w14:textFill>
            <w14:solidFill>
              <w14:schemeClr w14:val="tx1"/>
            </w14:solidFill>
          </w14:textFill>
        </w:rPr>
        <w:t>甲方</w:t>
      </w:r>
      <w:r>
        <w:rPr>
          <w:rFonts w:hint="eastAsia" w:ascii="宋体" w:hAnsi="宋体" w:eastAsia="宋体" w:cs="宋体"/>
          <w:color w:val="000000" w:themeColor="text1"/>
          <w:sz w:val="24"/>
          <w:szCs w:val="24"/>
          <w:highlight w:val="none"/>
          <w14:textFill>
            <w14:solidFill>
              <w14:schemeClr w14:val="tx1"/>
            </w14:solidFill>
          </w14:textFill>
        </w:rPr>
        <w:t>。</w:t>
      </w:r>
    </w:p>
    <w:p w14:paraId="214541C4">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第六条 甲方指定为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甲方项目联系人，乙方指定为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乙方项目联系人。项目联系人承担以下责任：</w:t>
      </w:r>
    </w:p>
    <w:p w14:paraId="4A8B9D5A">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1、负责项目计划执行的安排、实施及双方的沟通：</w:t>
      </w:r>
    </w:p>
    <w:p w14:paraId="77956D39">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2、对双方存在歧义的问题进行协商处理。</w:t>
      </w:r>
    </w:p>
    <w:p w14:paraId="2E915432">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第七条 转包</w:t>
      </w:r>
    </w:p>
    <w:p w14:paraId="6203BA2F">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本项目不允许分包、转包。</w:t>
      </w:r>
    </w:p>
    <w:p w14:paraId="075CA7BB">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第八条 合同价款</w:t>
      </w:r>
    </w:p>
    <w:p w14:paraId="1F38595C">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本合同采用固定总价合同，总价一次性包干，该费用包含本合同项下乙方为完成本项目全部工作内容所产生的一切费用，包括但不限于：人员工资、税金、工作费用、基本设施费、办公设施费、生活设施费、交通工具费、通讯费、专家评审费、会议费、代理服务费及上报主管部门的方案编制、资料整理费等均包在合同价款中。本项目合同价款为人民币</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）（含税）。</w:t>
      </w:r>
    </w:p>
    <w:p w14:paraId="6E82A4B2">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2、支付方式和支付时间：</w:t>
      </w:r>
    </w:p>
    <w:p w14:paraId="31C3E75B">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1)合同签订生效且乙方提供履约担保后，甲方支付40%的合同金额。</w:t>
      </w:r>
    </w:p>
    <w:p w14:paraId="1D542FC2">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2)软件系统开发完成后，甲方支付合同金额的20%，累计支付至合同额的60%</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75727D2E">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3)本项目经由甲方初步验收合格后，支付合同金额的 20%，累计支付至合同额的80%</w:t>
      </w:r>
      <w:r>
        <w:rPr>
          <w:rFonts w:hint="eastAsia" w:ascii="宋体" w:hAnsi="宋体" w:eastAsia="宋体" w:cs="宋体"/>
          <w:color w:val="000000" w:themeColor="text1"/>
          <w:sz w:val="24"/>
          <w:szCs w:val="24"/>
          <w:highlight w:val="none"/>
          <w:lang w:eastAsia="zh-CN"/>
          <w14:textFill>
            <w14:solidFill>
              <w14:schemeClr w14:val="tx1"/>
            </w14:solidFill>
          </w14:textFill>
        </w:rPr>
        <w:t>；</w:t>
      </w:r>
    </w:p>
    <w:p w14:paraId="629A1C71">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4)竣工验收合格，取得竣工验收报告且全部资料移交甲方后，甲方支付剩余合同价款。</w:t>
      </w:r>
    </w:p>
    <w:p w14:paraId="15824588">
      <w:pPr>
        <w:keepNext w:val="0"/>
        <w:keepLines w:val="0"/>
        <w:pageBreakBefore w:val="0"/>
        <w:widowControl w:val="0"/>
        <w:kinsoku/>
        <w:wordWrap/>
        <w:overflowPunct/>
        <w:topLinePunct w:val="0"/>
        <w:autoSpaceDE/>
        <w:autoSpaceDN/>
        <w:bidi w:val="0"/>
        <w:adjustRightInd/>
        <w:snapToGrid/>
        <w:spacing w:after="0" w:line="460" w:lineRule="exact"/>
        <w:ind w:firstLine="420" w:firstLineChars="200"/>
        <w:textAlignment w:val="auto"/>
        <w:rPr>
          <w:rFonts w:hint="eastAsia" w:ascii="宋体" w:hAnsi="宋体" w:eastAsia="宋体" w:cs="宋体"/>
          <w:b w:val="0"/>
          <w:bCs w:val="0"/>
          <w:kern w:val="2"/>
          <w:sz w:val="21"/>
          <w:szCs w:val="21"/>
          <w:highlight w:val="none"/>
          <w:lang w:eastAsia="zh-CN"/>
        </w:rPr>
      </w:pPr>
      <w:r>
        <w:rPr>
          <w:rFonts w:hint="eastAsia" w:ascii="宋体" w:hAnsi="宋体" w:eastAsia="宋体" w:cs="宋体"/>
          <w:b w:val="0"/>
          <w:bCs w:val="0"/>
          <w:kern w:val="2"/>
          <w:sz w:val="21"/>
          <w:szCs w:val="21"/>
          <w:highlight w:val="none"/>
          <w:lang w:val="en-US" w:eastAsia="zh-CN"/>
        </w:rPr>
        <w:t>注：</w:t>
      </w:r>
      <w:r>
        <w:rPr>
          <w:rFonts w:hint="eastAsia" w:ascii="宋体" w:hAnsi="宋体" w:eastAsia="宋体" w:cs="宋体"/>
          <w:b w:val="0"/>
          <w:bCs w:val="0"/>
          <w:kern w:val="2"/>
          <w:sz w:val="21"/>
          <w:szCs w:val="21"/>
          <w:highlight w:val="none"/>
          <w:lang w:eastAsia="zh-CN"/>
        </w:rPr>
        <w:t>本合同执行过程中的一切税费均由乙方负担。乙方须向甲方提供符合规定的税务发票后方可申请付款，甲方收到乙方提供的发票后15日内按照上述时间节点支付合同价款。若因乙方提供的税务发票不合规、不合法，由此产生的一切后果均由乙方承担。</w:t>
      </w:r>
    </w:p>
    <w:p w14:paraId="527908BF">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3、乙方账户信息如下：</w:t>
      </w:r>
    </w:p>
    <w:p w14:paraId="1515D895">
      <w:pPr>
        <w:spacing w:line="480" w:lineRule="exact"/>
        <w:ind w:firstLine="240" w:firstLineChars="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收款人: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635B6EC8">
      <w:pPr>
        <w:spacing w:line="480" w:lineRule="exact"/>
        <w:ind w:firstLine="240" w:firstLineChars="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380D9F00">
      <w:pPr>
        <w:spacing w:line="480" w:lineRule="exact"/>
        <w:ind w:firstLine="240" w:firstLineChars="1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  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36E335DF">
      <w:pPr>
        <w:spacing w:line="480" w:lineRule="exact"/>
        <w:ind w:firstLine="240" w:firstLineChars="1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  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0FA09747">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第九条 保密义务</w:t>
      </w:r>
    </w:p>
    <w:p w14:paraId="13F5FC01">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1、保密人员:本合同范围内涉及的所有人员。</w:t>
      </w:r>
    </w:p>
    <w:p w14:paraId="51EA7201">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2、保密内容:未经甲方书面允许，乙方不得向任何单位和个人泄露甲方的任何资料信息。</w:t>
      </w:r>
    </w:p>
    <w:p w14:paraId="2FA54F0A">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3、保密期限:不论本合同是否变更、解除或终止，本合同内的保密条款不受其限制而继续有效，各方均应继续承担保密条款约定的保密义务。</w:t>
      </w:r>
    </w:p>
    <w:p w14:paraId="6F418CC8">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第十条 对乙方成果的所有权、使用权归属的约定</w:t>
      </w:r>
    </w:p>
    <w:p w14:paraId="35D733CC">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1.在本合同有效期内，甲方利用乙方提交的服务工作成果所完成的新的技术成果，归甲方所有。</w:t>
      </w:r>
    </w:p>
    <w:p w14:paraId="64EB9FA3">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2.在本合同有效期内，乙方利用甲方提供的技术资料和工作条件所完成的新的技术成果，归甲方所有。</w:t>
      </w:r>
    </w:p>
    <w:p w14:paraId="04AB3979">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3.本项目的技术成果归甲方所有，如果涉及知识产权问题的，知识产权归甲方所有。</w:t>
      </w:r>
    </w:p>
    <w:p w14:paraId="713B3051">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第十一条 合同的解除</w:t>
      </w:r>
    </w:p>
    <w:p w14:paraId="286FF155">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如出现下列情形，致使本合同履行不能或履行无意义的，任何一方均可解除本合同：</w:t>
      </w:r>
    </w:p>
    <w:p w14:paraId="1B1289EA">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1、发生不可抗力；</w:t>
      </w:r>
    </w:p>
    <w:p w14:paraId="6CF36877">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2、双方书面同意。</w:t>
      </w:r>
    </w:p>
    <w:p w14:paraId="78967C04">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第十二条 双方约定本同合其它相关事项：</w:t>
      </w:r>
    </w:p>
    <w:p w14:paraId="2028E638">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1、乙方应按照要求开具正式的增值税专用发票；</w:t>
      </w:r>
    </w:p>
    <w:p w14:paraId="588E9788">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2、双方确认电子文件资料往来的邮箱分别为：</w:t>
      </w:r>
    </w:p>
    <w:p w14:paraId="671CC027">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3、其他：</w:t>
      </w:r>
    </w:p>
    <w:p w14:paraId="1F6B8632">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第十三条：双方因履行本合同而发生的争议，应协商、调解解决。协商、调解不成的，确定按以下第</w:t>
      </w:r>
      <w:r>
        <w:rPr>
          <w:rFonts w:hint="eastAsia" w:ascii="宋体" w:hAnsi="宋体" w:eastAsia="宋体" w:cs="宋体"/>
          <w:color w:val="000000" w:themeColor="text1"/>
          <w:sz w:val="24"/>
          <w:szCs w:val="24"/>
          <w:highlight w:val="none"/>
          <w:u w:val="single"/>
          <w14:textFill>
            <w14:solidFill>
              <w14:schemeClr w14:val="tx1"/>
            </w14:solidFill>
          </w14:textFill>
        </w:rPr>
        <w:t xml:space="preserve">  1  </w:t>
      </w:r>
      <w:r>
        <w:rPr>
          <w:rFonts w:hint="eastAsia" w:ascii="宋体" w:hAnsi="宋体" w:eastAsia="宋体" w:cs="宋体"/>
          <w:color w:val="000000" w:themeColor="text1"/>
          <w:sz w:val="24"/>
          <w:szCs w:val="24"/>
          <w:highlight w:val="none"/>
          <w14:textFill>
            <w14:solidFill>
              <w14:schemeClr w14:val="tx1"/>
            </w14:solidFill>
          </w14:textFill>
        </w:rPr>
        <w:t>种方式处理：</w:t>
      </w:r>
    </w:p>
    <w:p w14:paraId="316B0FEA">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1．提交台州仲裁委员会仲裁；</w:t>
      </w:r>
    </w:p>
    <w:p w14:paraId="5B765D4B">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2．依法向人民法院起诉。</w:t>
      </w:r>
    </w:p>
    <w:p w14:paraId="2094977C">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第十四条 合同的生效</w:t>
      </w:r>
    </w:p>
    <w:p w14:paraId="17C9A5B2">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1、本合同经甲、乙双方加盖公章(签字)后生效。</w:t>
      </w:r>
    </w:p>
    <w:p w14:paraId="5FD6B1E4">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2、本合同一式</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份，甲、乙双方各执</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份，具有同等法律效力。</w:t>
      </w:r>
    </w:p>
    <w:p w14:paraId="7E09E3A8">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3、与本合同相关的询价(谈判)文件、报价单等与本合同具有同等法律效力。</w:t>
      </w:r>
    </w:p>
    <w:p w14:paraId="300BE225">
      <w:pPr>
        <w:spacing w:line="48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第十五条 违约责任</w:t>
      </w:r>
    </w:p>
    <w:p w14:paraId="21D1D80A">
      <w:pPr>
        <w:spacing w:line="48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甲方违反本合同第八条约定，无故逾期支付合同价款的，每日按照逾期付款金额万分之五的标准支付违约金；乙方未按照甲方要求按期完成相关工作，或服务成果不符合甲方要求的，应当免费重做，如造成损失的，应当承担违约责任，退还已支付合同金额并承担合同总价10%的违约金。</w:t>
      </w:r>
    </w:p>
    <w:p w14:paraId="627306E4">
      <w:pPr>
        <w:pStyle w:val="41"/>
        <w:rPr>
          <w:rFonts w:hint="eastAsia" w:ascii="宋体" w:hAnsi="宋体" w:eastAsia="宋体" w:cs="宋体"/>
          <w:color w:val="000000" w:themeColor="text1"/>
          <w:sz w:val="24"/>
          <w:szCs w:val="24"/>
          <w:highlight w:val="none"/>
          <w14:textFill>
            <w14:solidFill>
              <w14:schemeClr w14:val="tx1"/>
            </w14:solidFill>
          </w14:textFill>
        </w:rPr>
      </w:pPr>
    </w:p>
    <w:p w14:paraId="5DBD19FD">
      <w:pPr>
        <w:pStyle w:val="41"/>
        <w:rPr>
          <w:rFonts w:hint="eastAsia" w:ascii="宋体" w:hAnsi="宋体" w:eastAsia="宋体" w:cs="宋体"/>
          <w:color w:val="000000" w:themeColor="text1"/>
          <w:sz w:val="24"/>
          <w:szCs w:val="24"/>
          <w:highlight w:val="none"/>
          <w14:textFill>
            <w14:solidFill>
              <w14:schemeClr w14:val="tx1"/>
            </w14:solidFill>
          </w14:textFill>
        </w:rPr>
      </w:pPr>
    </w:p>
    <w:p w14:paraId="2568F51D">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甲方：（单位全称）（盖章）                乙方：（单位全称）（盖章） </w:t>
      </w:r>
    </w:p>
    <w:p w14:paraId="3F83F16E">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法定(授权)代表人(签字):                   法定(授权)代表人(签字):</w:t>
      </w:r>
    </w:p>
    <w:p w14:paraId="1EAC84E2">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                                     地址:</w:t>
      </w:r>
    </w:p>
    <w:p w14:paraId="0A7281EC">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                                     电话:</w:t>
      </w:r>
    </w:p>
    <w:p w14:paraId="33B9E230">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                                     传真:</w:t>
      </w:r>
    </w:p>
    <w:p w14:paraId="35F4C111">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日期:    年  月  日                       日期:     年   月  日</w:t>
      </w:r>
    </w:p>
    <w:p w14:paraId="2C9FB61E">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宋体" w:hAnsi="宋体" w:eastAsia="宋体" w:cs="宋体"/>
          <w:color w:val="000000" w:themeColor="text1"/>
          <w:sz w:val="24"/>
          <w:szCs w:val="24"/>
          <w:highlight w:val="none"/>
          <w14:textFill>
            <w14:solidFill>
              <w14:schemeClr w14:val="tx1"/>
            </w14:solidFill>
          </w14:textFill>
        </w:rPr>
      </w:pPr>
    </w:p>
    <w:p w14:paraId="210B2A36">
      <w:pPr>
        <w:spacing w:line="360" w:lineRule="auto"/>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注:本合同作为示范文本，具体以供应商与采购人所签定正式合同为准。</w:t>
      </w:r>
    </w:p>
    <w:p w14:paraId="59A7A6A0">
      <w:pPr>
        <w:tabs>
          <w:tab w:val="left" w:pos="2790"/>
        </w:tabs>
        <w:spacing w:line="460" w:lineRule="exact"/>
        <w:jc w:val="left"/>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履约保证金格式</w:t>
      </w:r>
    </w:p>
    <w:p w14:paraId="69D8548E">
      <w:pPr>
        <w:tabs>
          <w:tab w:val="left" w:pos="2790"/>
        </w:tabs>
        <w:spacing w:line="46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如采用银行保函，格式如下：</w:t>
      </w:r>
    </w:p>
    <w:p w14:paraId="2B30AD98">
      <w:pPr>
        <w:tabs>
          <w:tab w:val="left" w:pos="2790"/>
        </w:tabs>
        <w:spacing w:line="460" w:lineRule="exact"/>
        <w:ind w:firstLine="562" w:firstLineChars="200"/>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履约保证金</w:t>
      </w:r>
    </w:p>
    <w:p w14:paraId="2A75FE8A">
      <w:pPr>
        <w:tabs>
          <w:tab w:val="left" w:pos="279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采购人</w:t>
      </w:r>
      <w:r>
        <w:rPr>
          <w:rFonts w:hint="eastAsia" w:ascii="宋体" w:hAnsi="宋体" w:eastAsia="宋体" w:cs="宋体"/>
          <w:sz w:val="21"/>
          <w:szCs w:val="21"/>
          <w:highlight w:val="none"/>
        </w:rPr>
        <w:t>名称)：</w:t>
      </w:r>
    </w:p>
    <w:p w14:paraId="0BB2C4D6">
      <w:pPr>
        <w:tabs>
          <w:tab w:val="left" w:pos="279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鉴于(</w:t>
      </w:r>
      <w:r>
        <w:rPr>
          <w:rFonts w:hint="eastAsia" w:ascii="宋体" w:hAnsi="宋体" w:eastAsia="宋体" w:cs="宋体"/>
          <w:sz w:val="21"/>
          <w:szCs w:val="21"/>
          <w:highlight w:val="none"/>
          <w:lang w:val="en-US" w:eastAsia="zh-CN"/>
        </w:rPr>
        <w:t>采购人</w:t>
      </w:r>
      <w:r>
        <w:rPr>
          <w:rFonts w:hint="eastAsia" w:ascii="宋体" w:hAnsi="宋体" w:eastAsia="宋体" w:cs="宋体"/>
          <w:sz w:val="21"/>
          <w:szCs w:val="21"/>
          <w:highlight w:val="none"/>
        </w:rPr>
        <w:t>名称，以下简称</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)接受(</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名称)(以下称</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)于</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年</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日参加</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(项目名称)的投标。我方愿意无条件地、不可撤销地就承包人履行与你方订立的合同，向你方提供担保。</w:t>
      </w:r>
    </w:p>
    <w:p w14:paraId="6435EAE8">
      <w:pPr>
        <w:tabs>
          <w:tab w:val="left" w:pos="279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1.担保金额人民币(大写)</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w:t>
      </w:r>
    </w:p>
    <w:p w14:paraId="0381A3B9">
      <w:pPr>
        <w:tabs>
          <w:tab w:val="left" w:pos="279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2.担保有效期</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u w:val="single"/>
        </w:rPr>
        <w:t>自</w:t>
      </w:r>
      <w:r>
        <w:rPr>
          <w:rFonts w:hint="eastAsia" w:ascii="宋体" w:hAnsi="宋体" w:eastAsia="宋体" w:cs="宋体"/>
          <w:sz w:val="21"/>
          <w:szCs w:val="21"/>
          <w:highlight w:val="none"/>
          <w:u w:val="single"/>
          <w:lang w:val="en-US" w:eastAsia="zh-CN"/>
        </w:rPr>
        <w:t>甲方</w:t>
      </w:r>
      <w:r>
        <w:rPr>
          <w:rFonts w:hint="eastAsia" w:ascii="宋体" w:hAnsi="宋体" w:eastAsia="宋体" w:cs="宋体"/>
          <w:sz w:val="21"/>
          <w:szCs w:val="21"/>
          <w:highlight w:val="none"/>
          <w:u w:val="single"/>
        </w:rPr>
        <w:t>与</w:t>
      </w:r>
      <w:r>
        <w:rPr>
          <w:rFonts w:hint="eastAsia" w:ascii="宋体" w:hAnsi="宋体" w:eastAsia="宋体" w:cs="宋体"/>
          <w:sz w:val="21"/>
          <w:szCs w:val="21"/>
          <w:highlight w:val="none"/>
          <w:u w:val="single"/>
          <w:lang w:val="en-US" w:eastAsia="zh-CN"/>
        </w:rPr>
        <w:t>乙方</w:t>
      </w:r>
      <w:r>
        <w:rPr>
          <w:rFonts w:hint="eastAsia" w:ascii="宋体" w:hAnsi="宋体" w:eastAsia="宋体" w:cs="宋体"/>
          <w:sz w:val="21"/>
          <w:szCs w:val="21"/>
          <w:highlight w:val="none"/>
          <w:u w:val="single"/>
        </w:rPr>
        <w:t>签订的合同生效之日起至</w:t>
      </w:r>
      <w:r>
        <w:rPr>
          <w:rFonts w:hint="eastAsia" w:ascii="宋体" w:hAnsi="宋体" w:eastAsia="宋体" w:cs="宋体"/>
          <w:sz w:val="21"/>
          <w:szCs w:val="21"/>
          <w:highlight w:val="none"/>
          <w:u w:val="single"/>
          <w:lang w:val="en-US" w:eastAsia="zh-CN"/>
        </w:rPr>
        <w:t xml:space="preserve">                </w:t>
      </w:r>
      <w:r>
        <w:rPr>
          <w:rFonts w:hint="eastAsia" w:ascii="宋体" w:hAnsi="宋体" w:eastAsia="宋体" w:cs="宋体"/>
          <w:sz w:val="21"/>
          <w:szCs w:val="21"/>
          <w:highlight w:val="none"/>
        </w:rPr>
        <w:t>止。</w:t>
      </w:r>
    </w:p>
    <w:p w14:paraId="1F7290BA">
      <w:pPr>
        <w:tabs>
          <w:tab w:val="left" w:pos="279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3.在本担保有效期内，因</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违反合同约定的义务给你方造成经济损失时，我方在收到你方以书面形式提出的在担保金额内的赔偿要求后，在7天内无条件支付，无须你方出具证明或陈述理由。</w:t>
      </w:r>
    </w:p>
    <w:p w14:paraId="092702F8">
      <w:pPr>
        <w:tabs>
          <w:tab w:val="left" w:pos="279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4.</w:t>
      </w:r>
      <w:r>
        <w:rPr>
          <w:rFonts w:hint="eastAsia" w:ascii="宋体" w:hAnsi="宋体" w:eastAsia="宋体" w:cs="宋体"/>
          <w:sz w:val="21"/>
          <w:szCs w:val="21"/>
          <w:highlight w:val="none"/>
          <w:lang w:val="en-US" w:eastAsia="zh-CN"/>
        </w:rPr>
        <w:t>甲方</w:t>
      </w:r>
      <w:r>
        <w:rPr>
          <w:rFonts w:hint="eastAsia" w:ascii="宋体" w:hAnsi="宋体" w:eastAsia="宋体" w:cs="宋体"/>
          <w:sz w:val="21"/>
          <w:szCs w:val="21"/>
          <w:highlight w:val="none"/>
        </w:rPr>
        <w:t>和</w:t>
      </w:r>
      <w:r>
        <w:rPr>
          <w:rFonts w:hint="eastAsia" w:ascii="宋体" w:hAnsi="宋体" w:eastAsia="宋体" w:cs="宋体"/>
          <w:sz w:val="21"/>
          <w:szCs w:val="21"/>
          <w:highlight w:val="none"/>
          <w:lang w:val="en-US" w:eastAsia="zh-CN"/>
        </w:rPr>
        <w:t>乙方</w:t>
      </w:r>
      <w:r>
        <w:rPr>
          <w:rFonts w:hint="eastAsia" w:ascii="宋体" w:hAnsi="宋体" w:eastAsia="宋体" w:cs="宋体"/>
          <w:sz w:val="21"/>
          <w:szCs w:val="21"/>
          <w:highlight w:val="none"/>
        </w:rPr>
        <w:t>按合同条款</w:t>
      </w:r>
      <w:r>
        <w:rPr>
          <w:rFonts w:hint="eastAsia" w:ascii="宋体" w:hAnsi="宋体" w:eastAsia="宋体" w:cs="宋体"/>
          <w:sz w:val="21"/>
          <w:szCs w:val="21"/>
          <w:highlight w:val="none"/>
          <w:lang w:val="en-US" w:eastAsia="zh-CN"/>
        </w:rPr>
        <w:t>发起</w:t>
      </w:r>
      <w:r>
        <w:rPr>
          <w:rFonts w:hint="eastAsia" w:ascii="宋体" w:hAnsi="宋体" w:eastAsia="宋体" w:cs="宋体"/>
          <w:sz w:val="21"/>
          <w:szCs w:val="21"/>
          <w:highlight w:val="none"/>
        </w:rPr>
        <w:t>变更合同时，无论我方是否收到该变更，我方承担本担保规定的义务不变。</w:t>
      </w:r>
    </w:p>
    <w:p w14:paraId="38A99DF0">
      <w:pPr>
        <w:tabs>
          <w:tab w:val="left" w:pos="2790"/>
        </w:tabs>
        <w:spacing w:line="460" w:lineRule="exact"/>
        <w:ind w:firstLine="420" w:firstLineChars="200"/>
        <w:rPr>
          <w:rFonts w:hint="eastAsia" w:ascii="宋体" w:hAnsi="宋体" w:eastAsia="宋体" w:cs="宋体"/>
          <w:sz w:val="21"/>
          <w:szCs w:val="21"/>
          <w:highlight w:val="none"/>
        </w:rPr>
      </w:pPr>
    </w:p>
    <w:p w14:paraId="5E1CE2B7">
      <w:pPr>
        <w:tabs>
          <w:tab w:val="left" w:pos="279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担</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保</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人：(盖单位</w:t>
      </w:r>
      <w:r>
        <w:rPr>
          <w:rFonts w:hint="eastAsia" w:ascii="宋体" w:hAnsi="宋体" w:eastAsia="宋体" w:cs="宋体"/>
          <w:sz w:val="21"/>
          <w:szCs w:val="21"/>
          <w:highlight w:val="none"/>
          <w:lang w:val="en-US" w:eastAsia="zh-CN"/>
        </w:rPr>
        <w:t>电子</w:t>
      </w:r>
      <w:r>
        <w:rPr>
          <w:rFonts w:hint="eastAsia" w:ascii="宋体" w:hAnsi="宋体" w:eastAsia="宋体" w:cs="宋体"/>
          <w:sz w:val="21"/>
          <w:szCs w:val="21"/>
          <w:highlight w:val="none"/>
        </w:rPr>
        <w:t>章)</w:t>
      </w:r>
    </w:p>
    <w:p w14:paraId="15328137">
      <w:pPr>
        <w:tabs>
          <w:tab w:val="left" w:pos="279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法定代表人或其委托代理人：(签字)</w:t>
      </w:r>
    </w:p>
    <w:p w14:paraId="4D93E2B0">
      <w:pPr>
        <w:tabs>
          <w:tab w:val="left" w:pos="279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地</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址：</w:t>
      </w:r>
    </w:p>
    <w:p w14:paraId="3D6C4D42">
      <w:pPr>
        <w:tabs>
          <w:tab w:val="left" w:pos="279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邮政编码：</w:t>
      </w:r>
    </w:p>
    <w:p w14:paraId="7EDCB636">
      <w:pPr>
        <w:tabs>
          <w:tab w:val="left" w:pos="279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电</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话：</w:t>
      </w:r>
    </w:p>
    <w:p w14:paraId="744742A1">
      <w:pPr>
        <w:tabs>
          <w:tab w:val="left" w:pos="279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传</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真：</w:t>
      </w:r>
    </w:p>
    <w:p w14:paraId="6CD414FE">
      <w:pPr>
        <w:tabs>
          <w:tab w:val="left" w:pos="2790"/>
        </w:tabs>
        <w:spacing w:line="460" w:lineRule="exact"/>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年</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月</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日</w:t>
      </w:r>
    </w:p>
    <w:p w14:paraId="1998A81F">
      <w:pPr>
        <w:spacing w:line="360" w:lineRule="auto"/>
        <w:rPr>
          <w:rFonts w:hint="eastAsia" w:ascii="宋体" w:hAnsi="宋体" w:eastAsia="宋体" w:cs="宋体"/>
          <w:color w:val="000000" w:themeColor="text1"/>
          <w:sz w:val="22"/>
          <w:szCs w:val="22"/>
          <w:highlight w:val="none"/>
          <w14:textFill>
            <w14:solidFill>
              <w14:schemeClr w14:val="tx1"/>
            </w14:solidFill>
          </w14:textFill>
        </w:rPr>
      </w:pPr>
    </w:p>
    <w:p w14:paraId="59F09F85">
      <w:pPr>
        <w:rPr>
          <w:rFonts w:hint="eastAsia" w:ascii="宋体" w:hAnsi="宋体" w:eastAsia="宋体" w:cs="宋体"/>
          <w:color w:val="000000" w:themeColor="text1"/>
          <w:sz w:val="44"/>
          <w:szCs w:val="44"/>
          <w:highlight w:val="none"/>
          <w14:textFill>
            <w14:solidFill>
              <w14:schemeClr w14:val="tx1"/>
            </w14:solidFill>
          </w14:textFill>
        </w:rPr>
      </w:pPr>
      <w:r>
        <w:rPr>
          <w:rFonts w:hint="eastAsia" w:ascii="宋体" w:hAnsi="宋体" w:eastAsia="宋体" w:cs="宋体"/>
          <w:color w:val="000000" w:themeColor="text1"/>
          <w:sz w:val="44"/>
          <w:szCs w:val="44"/>
          <w:highlight w:val="none"/>
          <w14:textFill>
            <w14:solidFill>
              <w14:schemeClr w14:val="tx1"/>
            </w14:solidFill>
          </w14:textFill>
        </w:rPr>
        <w:br w:type="page"/>
      </w:r>
    </w:p>
    <w:p w14:paraId="388FA7C2">
      <w:pPr>
        <w:snapToGrid w:val="0"/>
        <w:spacing w:before="260" w:after="260" w:line="500" w:lineRule="exact"/>
        <w:jc w:val="center"/>
        <w:outlineLvl w:val="0"/>
        <w:rPr>
          <w:rFonts w:hint="eastAsia" w:ascii="宋体" w:hAnsi="宋体" w:eastAsia="宋体" w:cs="宋体"/>
          <w:color w:val="000000" w:themeColor="text1"/>
          <w:sz w:val="44"/>
          <w:szCs w:val="44"/>
          <w:highlight w:val="none"/>
          <w14:textFill>
            <w14:solidFill>
              <w14:schemeClr w14:val="tx1"/>
            </w14:solidFill>
          </w14:textFill>
        </w:rPr>
      </w:pPr>
      <w:bookmarkStart w:id="95" w:name="_Toc57"/>
      <w:r>
        <w:rPr>
          <w:rFonts w:hint="eastAsia" w:ascii="宋体" w:hAnsi="宋体" w:eastAsia="宋体" w:cs="宋体"/>
          <w:color w:val="000000" w:themeColor="text1"/>
          <w:sz w:val="44"/>
          <w:szCs w:val="44"/>
          <w:highlight w:val="none"/>
          <w14:textFill>
            <w14:solidFill>
              <w14:schemeClr w14:val="tx1"/>
            </w14:solidFill>
          </w14:textFill>
        </w:rPr>
        <w:t xml:space="preserve">第六章 </w:t>
      </w:r>
      <w:r>
        <w:rPr>
          <w:rFonts w:hint="eastAsia" w:ascii="宋体" w:hAnsi="宋体" w:eastAsia="宋体" w:cs="宋体"/>
          <w:color w:val="000000" w:themeColor="text1"/>
          <w:sz w:val="44"/>
          <w:szCs w:val="44"/>
          <w:highlight w:val="none"/>
          <w:lang w:eastAsia="zh-CN"/>
          <w14:textFill>
            <w14:solidFill>
              <w14:schemeClr w14:val="tx1"/>
            </w14:solidFill>
          </w14:textFill>
        </w:rPr>
        <w:t>响应文件</w:t>
      </w:r>
      <w:r>
        <w:rPr>
          <w:rFonts w:hint="eastAsia" w:ascii="宋体" w:hAnsi="宋体" w:eastAsia="宋体" w:cs="宋体"/>
          <w:color w:val="000000" w:themeColor="text1"/>
          <w:sz w:val="44"/>
          <w:szCs w:val="44"/>
          <w:highlight w:val="none"/>
          <w14:textFill>
            <w14:solidFill>
              <w14:schemeClr w14:val="tx1"/>
            </w14:solidFill>
          </w14:textFill>
        </w:rPr>
        <w:t>格式</w:t>
      </w:r>
      <w:bookmarkEnd w:id="95"/>
    </w:p>
    <w:p w14:paraId="5E1F632F">
      <w:pPr>
        <w:rPr>
          <w:rFonts w:hint="eastAsia" w:ascii="宋体" w:hAnsi="宋体" w:eastAsia="宋体" w:cs="宋体"/>
          <w:b/>
          <w:color w:val="000000" w:themeColor="text1"/>
          <w:sz w:val="44"/>
          <w:szCs w:val="44"/>
          <w:highlight w:val="none"/>
          <w14:textFill>
            <w14:solidFill>
              <w14:schemeClr w14:val="tx1"/>
            </w14:solidFill>
          </w14:textFill>
        </w:rPr>
      </w:pPr>
    </w:p>
    <w:p w14:paraId="32EF3659">
      <w:pPr>
        <w:pStyle w:val="43"/>
        <w:jc w:val="center"/>
        <w:rPr>
          <w:rFonts w:hint="eastAsia" w:ascii="宋体" w:hAnsi="宋体" w:eastAsia="宋体" w:cs="宋体"/>
          <w:b/>
          <w:color w:val="000000" w:themeColor="text1"/>
          <w:sz w:val="44"/>
          <w:szCs w:val="44"/>
          <w:highlight w:val="none"/>
          <w14:textFill>
            <w14:solidFill>
              <w14:schemeClr w14:val="tx1"/>
            </w14:solidFill>
          </w14:textFill>
        </w:rPr>
      </w:pPr>
    </w:p>
    <w:p w14:paraId="182C0C35">
      <w:pPr>
        <w:pStyle w:val="43"/>
        <w:jc w:val="center"/>
        <w:rPr>
          <w:rFonts w:hint="eastAsia" w:ascii="宋体" w:hAnsi="宋体" w:eastAsia="宋体" w:cs="宋体"/>
          <w:color w:val="000000" w:themeColor="text1"/>
          <w:sz w:val="40"/>
          <w:szCs w:val="36"/>
          <w:highlight w:val="none"/>
          <w:u w:val="single"/>
          <w14:textFill>
            <w14:solidFill>
              <w14:schemeClr w14:val="tx1"/>
            </w14:solidFill>
          </w14:textFill>
        </w:rPr>
      </w:pPr>
      <w:r>
        <w:rPr>
          <w:rFonts w:hint="eastAsia" w:ascii="宋体" w:hAnsi="宋体" w:eastAsia="宋体" w:cs="宋体"/>
          <w:b/>
          <w:color w:val="000000" w:themeColor="text1"/>
          <w:sz w:val="72"/>
          <w:szCs w:val="72"/>
          <w:highlight w:val="none"/>
          <w:u w:val="single"/>
          <w14:textFill>
            <w14:solidFill>
              <w14:schemeClr w14:val="tx1"/>
            </w14:solidFill>
          </w14:textFill>
        </w:rPr>
        <w:t>（项目名称）</w:t>
      </w:r>
    </w:p>
    <w:p w14:paraId="659C79C4">
      <w:pPr>
        <w:rPr>
          <w:rFonts w:hint="eastAsia" w:ascii="宋体" w:hAnsi="宋体" w:eastAsia="宋体" w:cs="宋体"/>
          <w:color w:val="000000" w:themeColor="text1"/>
          <w:sz w:val="52"/>
          <w:szCs w:val="52"/>
          <w:highlight w:val="none"/>
          <w14:textFill>
            <w14:solidFill>
              <w14:schemeClr w14:val="tx1"/>
            </w14:solidFill>
          </w14:textFill>
        </w:rPr>
      </w:pPr>
    </w:p>
    <w:p w14:paraId="3F1A78AC">
      <w:pPr>
        <w:rPr>
          <w:rFonts w:hint="eastAsia" w:ascii="宋体" w:hAnsi="宋体" w:eastAsia="宋体" w:cs="宋体"/>
          <w:color w:val="000000" w:themeColor="text1"/>
          <w:sz w:val="52"/>
          <w:szCs w:val="52"/>
          <w:highlight w:val="none"/>
          <w14:textFill>
            <w14:solidFill>
              <w14:schemeClr w14:val="tx1"/>
            </w14:solidFill>
          </w14:textFill>
        </w:rPr>
      </w:pPr>
    </w:p>
    <w:p w14:paraId="7944820B">
      <w:pPr>
        <w:pStyle w:val="48"/>
        <w:rPr>
          <w:rFonts w:hint="eastAsia" w:ascii="宋体" w:hAnsi="宋体" w:eastAsia="宋体" w:cs="宋体"/>
          <w:color w:val="000000" w:themeColor="text1"/>
          <w:highlight w:val="none"/>
          <w14:textFill>
            <w14:solidFill>
              <w14:schemeClr w14:val="tx1"/>
            </w14:solidFill>
          </w14:textFill>
        </w:rPr>
      </w:pPr>
    </w:p>
    <w:p w14:paraId="1FD8D451">
      <w:pPr>
        <w:spacing w:line="1000" w:lineRule="exact"/>
        <w:jc w:val="center"/>
        <w:rPr>
          <w:rFonts w:hint="eastAsia" w:ascii="宋体" w:hAnsi="宋体" w:eastAsia="宋体" w:cs="宋体"/>
          <w:b/>
          <w:bCs/>
          <w:color w:val="000000" w:themeColor="text1"/>
          <w:sz w:val="72"/>
          <w:szCs w:val="72"/>
          <w:highlight w:val="none"/>
          <w:lang w:eastAsia="zh-CN"/>
          <w14:textFill>
            <w14:solidFill>
              <w14:schemeClr w14:val="tx1"/>
            </w14:solidFill>
          </w14:textFill>
        </w:rPr>
      </w:pPr>
      <w:r>
        <w:rPr>
          <w:rFonts w:hint="eastAsia" w:ascii="宋体" w:hAnsi="宋体" w:eastAsia="宋体" w:cs="宋体"/>
          <w:b/>
          <w:bCs/>
          <w:color w:val="000000" w:themeColor="text1"/>
          <w:sz w:val="72"/>
          <w:szCs w:val="72"/>
          <w:highlight w:val="none"/>
          <w:lang w:eastAsia="zh-CN"/>
          <w14:textFill>
            <w14:solidFill>
              <w14:schemeClr w14:val="tx1"/>
            </w14:solidFill>
          </w14:textFill>
        </w:rPr>
        <w:t>响应文件</w:t>
      </w:r>
    </w:p>
    <w:p w14:paraId="18581D91">
      <w:pPr>
        <w:spacing w:line="1000" w:lineRule="exact"/>
        <w:jc w:val="center"/>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（项目编号：）</w:t>
      </w:r>
    </w:p>
    <w:p w14:paraId="122B86FA">
      <w:pPr>
        <w:jc w:val="center"/>
        <w:rPr>
          <w:rFonts w:hint="eastAsia" w:ascii="宋体" w:hAnsi="宋体" w:eastAsia="宋体" w:cs="宋体"/>
          <w:b/>
          <w:bCs/>
          <w:color w:val="000000" w:themeColor="text1"/>
          <w:sz w:val="28"/>
          <w:highlight w:val="none"/>
          <w14:textFill>
            <w14:solidFill>
              <w14:schemeClr w14:val="tx1"/>
            </w14:solidFill>
          </w14:textFill>
        </w:rPr>
      </w:pPr>
    </w:p>
    <w:p w14:paraId="4C41A5B7">
      <w:pPr>
        <w:jc w:val="center"/>
        <w:rPr>
          <w:rFonts w:hint="eastAsia" w:ascii="宋体" w:hAnsi="宋体" w:eastAsia="宋体" w:cs="宋体"/>
          <w:b/>
          <w:bCs/>
          <w:color w:val="000000" w:themeColor="text1"/>
          <w:sz w:val="28"/>
          <w:highlight w:val="none"/>
          <w14:textFill>
            <w14:solidFill>
              <w14:schemeClr w14:val="tx1"/>
            </w14:solidFill>
          </w14:textFill>
        </w:rPr>
      </w:pPr>
    </w:p>
    <w:p w14:paraId="0F2A0FAC">
      <w:pPr>
        <w:pStyle w:val="43"/>
        <w:rPr>
          <w:rFonts w:hint="eastAsia" w:ascii="宋体" w:hAnsi="宋体" w:eastAsia="宋体" w:cs="宋体"/>
          <w:b/>
          <w:bCs/>
          <w:color w:val="000000" w:themeColor="text1"/>
          <w:sz w:val="28"/>
          <w:highlight w:val="none"/>
          <w14:textFill>
            <w14:solidFill>
              <w14:schemeClr w14:val="tx1"/>
            </w14:solidFill>
          </w14:textFill>
        </w:rPr>
      </w:pPr>
    </w:p>
    <w:p w14:paraId="1259F036">
      <w:pPr>
        <w:pStyle w:val="43"/>
        <w:rPr>
          <w:rFonts w:hint="eastAsia" w:ascii="宋体" w:hAnsi="宋体" w:eastAsia="宋体" w:cs="宋体"/>
          <w:b/>
          <w:bCs/>
          <w:color w:val="000000" w:themeColor="text1"/>
          <w:sz w:val="28"/>
          <w:highlight w:val="none"/>
          <w14:textFill>
            <w14:solidFill>
              <w14:schemeClr w14:val="tx1"/>
            </w14:solidFill>
          </w14:textFill>
        </w:rPr>
      </w:pPr>
    </w:p>
    <w:p w14:paraId="18631E4F">
      <w:pPr>
        <w:pStyle w:val="43"/>
        <w:rPr>
          <w:rFonts w:hint="eastAsia" w:ascii="宋体" w:hAnsi="宋体" w:eastAsia="宋体" w:cs="宋体"/>
          <w:b/>
          <w:bCs/>
          <w:color w:val="000000" w:themeColor="text1"/>
          <w:sz w:val="28"/>
          <w:highlight w:val="none"/>
          <w14:textFill>
            <w14:solidFill>
              <w14:schemeClr w14:val="tx1"/>
            </w14:solidFill>
          </w14:textFill>
        </w:rPr>
      </w:pPr>
    </w:p>
    <w:p w14:paraId="0B270B16">
      <w:pPr>
        <w:pStyle w:val="43"/>
        <w:rPr>
          <w:rFonts w:hint="eastAsia" w:ascii="宋体" w:hAnsi="宋体" w:eastAsia="宋体" w:cs="宋体"/>
          <w:b/>
          <w:bCs/>
          <w:color w:val="000000" w:themeColor="text1"/>
          <w:sz w:val="28"/>
          <w:highlight w:val="none"/>
          <w14:textFill>
            <w14:solidFill>
              <w14:schemeClr w14:val="tx1"/>
            </w14:solidFill>
          </w14:textFill>
        </w:rPr>
      </w:pPr>
    </w:p>
    <w:p w14:paraId="6342C533">
      <w:pPr>
        <w:pStyle w:val="43"/>
        <w:rPr>
          <w:rFonts w:hint="eastAsia" w:ascii="宋体" w:hAnsi="宋体" w:eastAsia="宋体" w:cs="宋体"/>
          <w:b/>
          <w:bCs/>
          <w:color w:val="000000" w:themeColor="text1"/>
          <w:sz w:val="28"/>
          <w:highlight w:val="none"/>
          <w14:textFill>
            <w14:solidFill>
              <w14:schemeClr w14:val="tx1"/>
            </w14:solidFill>
          </w14:textFill>
        </w:rPr>
      </w:pPr>
    </w:p>
    <w:p w14:paraId="411BA0BA">
      <w:pPr>
        <w:pStyle w:val="43"/>
        <w:rPr>
          <w:rFonts w:hint="eastAsia" w:ascii="宋体" w:hAnsi="宋体" w:eastAsia="宋体" w:cs="宋体"/>
          <w:b/>
          <w:bCs/>
          <w:color w:val="000000" w:themeColor="text1"/>
          <w:sz w:val="28"/>
          <w:highlight w:val="none"/>
          <w14:textFill>
            <w14:solidFill>
              <w14:schemeClr w14:val="tx1"/>
            </w14:solidFill>
          </w14:textFill>
        </w:rPr>
      </w:pPr>
    </w:p>
    <w:p w14:paraId="294BFE87">
      <w:pPr>
        <w:spacing w:line="900" w:lineRule="exact"/>
        <w:ind w:firstLine="313" w:firstLineChars="98"/>
        <w:rPr>
          <w:rFonts w:hint="eastAsia" w:ascii="宋体" w:hAnsi="宋体" w:eastAsia="宋体" w:cs="宋体"/>
          <w:color w:val="000000" w:themeColor="text1"/>
          <w:sz w:val="32"/>
          <w:highlight w:val="none"/>
          <w:u w:val="single"/>
          <w14:textFill>
            <w14:solidFill>
              <w14:schemeClr w14:val="tx1"/>
            </w14:solidFill>
          </w14:textFill>
        </w:rPr>
      </w:pPr>
      <w:r>
        <w:rPr>
          <w:rFonts w:hint="eastAsia" w:ascii="宋体" w:hAnsi="宋体" w:eastAsia="宋体" w:cs="宋体"/>
          <w:color w:val="000000" w:themeColor="text1"/>
          <w:sz w:val="32"/>
          <w:highlight w:val="none"/>
          <w14:textFill>
            <w14:solidFill>
              <w14:schemeClr w14:val="tx1"/>
            </w14:solidFill>
          </w14:textFill>
        </w:rPr>
        <w:t>供应商：</w:t>
      </w:r>
      <w:r>
        <w:rPr>
          <w:rFonts w:hint="eastAsia" w:ascii="宋体" w:hAnsi="宋体" w:eastAsia="宋体" w:cs="宋体"/>
          <w:color w:val="000000" w:themeColor="text1"/>
          <w:sz w:val="32"/>
          <w:highlight w:val="none"/>
          <w:u w:val="single"/>
          <w14:textFill>
            <w14:solidFill>
              <w14:schemeClr w14:val="tx1"/>
            </w14:solidFill>
          </w14:textFill>
        </w:rPr>
        <w:t xml:space="preserve">                        （盖单位电子公章）</w:t>
      </w:r>
    </w:p>
    <w:p w14:paraId="2590CAFC">
      <w:pPr>
        <w:spacing w:line="900" w:lineRule="exact"/>
        <w:ind w:left="-4" w:leftChars="-2" w:firstLine="320" w:firstLineChars="100"/>
        <w:rPr>
          <w:rFonts w:hint="eastAsia" w:ascii="宋体" w:hAnsi="宋体" w:eastAsia="宋体" w:cs="宋体"/>
          <w:color w:val="000000" w:themeColor="text1"/>
          <w:sz w:val="32"/>
          <w:highlight w:val="none"/>
          <w:u w:val="single"/>
          <w14:textFill>
            <w14:solidFill>
              <w14:schemeClr w14:val="tx1"/>
            </w14:solidFill>
          </w14:textFill>
        </w:rPr>
      </w:pPr>
      <w:r>
        <w:rPr>
          <w:rFonts w:hint="eastAsia" w:ascii="宋体" w:hAnsi="宋体" w:eastAsia="宋体" w:cs="宋体"/>
          <w:color w:val="000000" w:themeColor="text1"/>
          <w:sz w:val="32"/>
          <w:highlight w:val="none"/>
          <w14:textFill>
            <w14:solidFill>
              <w14:schemeClr w14:val="tx1"/>
            </w14:solidFill>
          </w14:textFill>
        </w:rPr>
        <w:t>法定代表人或其委托代理人：</w:t>
      </w:r>
      <w:r>
        <w:rPr>
          <w:rFonts w:hint="eastAsia" w:ascii="宋体" w:hAnsi="宋体" w:eastAsia="宋体" w:cs="宋体"/>
          <w:color w:val="000000" w:themeColor="text1"/>
          <w:sz w:val="32"/>
          <w:highlight w:val="none"/>
          <w:u w:val="single"/>
          <w14:textFill>
            <w14:solidFill>
              <w14:schemeClr w14:val="tx1"/>
            </w14:solidFill>
          </w14:textFill>
        </w:rPr>
        <w:t xml:space="preserve">          （姓名或盖章）</w:t>
      </w:r>
    </w:p>
    <w:p w14:paraId="2BD2620E">
      <w:pPr>
        <w:spacing w:line="900" w:lineRule="exact"/>
        <w:ind w:left="-4" w:leftChars="-2" w:firstLine="320" w:firstLineChars="100"/>
        <w:rPr>
          <w:rFonts w:hint="eastAsia" w:ascii="宋体" w:hAnsi="宋体" w:eastAsia="宋体" w:cs="宋体"/>
          <w:color w:val="000000" w:themeColor="text1"/>
          <w:sz w:val="32"/>
          <w:highlight w:val="none"/>
          <w:u w:val="single"/>
          <w14:textFill>
            <w14:solidFill>
              <w14:schemeClr w14:val="tx1"/>
            </w14:solidFill>
          </w14:textFill>
        </w:rPr>
      </w:pPr>
      <w:r>
        <w:rPr>
          <w:rFonts w:hint="eastAsia" w:ascii="宋体" w:hAnsi="宋体" w:eastAsia="宋体" w:cs="宋体"/>
          <w:color w:val="000000" w:themeColor="text1"/>
          <w:sz w:val="32"/>
          <w:highlight w:val="none"/>
          <w14:textFill>
            <w14:solidFill>
              <w14:schemeClr w14:val="tx1"/>
            </w14:solidFill>
          </w14:textFill>
        </w:rPr>
        <w:t>日  期：    年    月   日</w:t>
      </w:r>
    </w:p>
    <w:p w14:paraId="23E1F91E">
      <w:pPr>
        <w:rPr>
          <w:rFonts w:hint="eastAsia" w:ascii="宋体" w:hAnsi="宋体" w:eastAsia="宋体" w:cs="宋体"/>
          <w:color w:val="000000" w:themeColor="text1"/>
          <w:sz w:val="24"/>
          <w:szCs w:val="24"/>
          <w:highlight w:val="none"/>
          <w14:textFill>
            <w14:solidFill>
              <w14:schemeClr w14:val="tx1"/>
            </w14:solidFill>
          </w14:textFill>
        </w:rPr>
      </w:pPr>
    </w:p>
    <w:p w14:paraId="72D5294C">
      <w:pPr>
        <w:pStyle w:val="43"/>
        <w:rPr>
          <w:rFonts w:hint="eastAsia" w:ascii="宋体" w:hAnsi="宋体" w:eastAsia="宋体" w:cs="宋体"/>
          <w:color w:val="000000" w:themeColor="text1"/>
          <w:szCs w:val="24"/>
          <w:highlight w:val="none"/>
          <w14:textFill>
            <w14:solidFill>
              <w14:schemeClr w14:val="tx1"/>
            </w14:solidFill>
          </w14:textFill>
        </w:rPr>
      </w:pPr>
    </w:p>
    <w:p w14:paraId="4670926B">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p>
    <w:p w14:paraId="45B25C70">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2C292672">
      <w:pPr>
        <w:snapToGrid w:val="0"/>
        <w:spacing w:line="360" w:lineRule="auto"/>
        <w:ind w:firstLine="720" w:firstLineChars="200"/>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t>目  录</w:t>
      </w:r>
    </w:p>
    <w:p w14:paraId="68C57C0F">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（一）投标函</w:t>
      </w:r>
    </w:p>
    <w:p w14:paraId="2C54341E">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（二）法定代表人身份证明及法定代表人授权委托书</w:t>
      </w:r>
    </w:p>
    <w:p w14:paraId="0CC2566C">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（1）法定代表人身份证明</w:t>
      </w:r>
    </w:p>
    <w:p w14:paraId="4EA6BD20">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（2）法定代表人授权委托书</w:t>
      </w:r>
    </w:p>
    <w:p w14:paraId="4748A31A">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（三）其他声明</w:t>
      </w:r>
    </w:p>
    <w:p w14:paraId="24B19E53">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（1）政府采购活动现场确认声明书</w:t>
      </w:r>
    </w:p>
    <w:p w14:paraId="7FE52EE1">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（2）投标声明书</w:t>
      </w:r>
    </w:p>
    <w:p w14:paraId="23920EEB">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（3）诚信承诺书</w:t>
      </w:r>
    </w:p>
    <w:p w14:paraId="1BBD4842">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（4）中小企业声明函</w:t>
      </w:r>
    </w:p>
    <w:p w14:paraId="4DB85DA5">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（5）残疾人福利性单位声明函</w:t>
      </w:r>
    </w:p>
    <w:p w14:paraId="4E579175">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（四）商务响应表</w:t>
      </w:r>
    </w:p>
    <w:p w14:paraId="7D75F643">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（1）供应商基本情况表</w:t>
      </w:r>
    </w:p>
    <w:p w14:paraId="6BDC47D9">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（2）20</w:t>
      </w:r>
      <w:r>
        <w:rPr>
          <w:rFonts w:hint="eastAsia" w:ascii="宋体" w:hAnsi="宋体" w:eastAsia="宋体" w:cs="宋体"/>
          <w:color w:val="000000" w:themeColor="text1"/>
          <w:sz w:val="24"/>
          <w:szCs w:val="24"/>
          <w:highlight w:val="none"/>
          <w:lang w:val="en-US" w:eastAsia="zh-CN"/>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月1日以来完成或承接过的类似项目情况表</w:t>
      </w:r>
    </w:p>
    <w:p w14:paraId="7116DC79">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（3）拟委任的主要人员汇总表</w:t>
      </w:r>
    </w:p>
    <w:p w14:paraId="16EE972A">
      <w:pPr>
        <w:snapToGrid w:val="0"/>
        <w:spacing w:line="360" w:lineRule="auto"/>
        <w:ind w:firstLine="960" w:firstLineChars="4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（4）拟委任的主要人员资历表</w:t>
      </w:r>
    </w:p>
    <w:p w14:paraId="0457B653">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（五）技术响应</w:t>
      </w:r>
    </w:p>
    <w:p w14:paraId="1949AB60">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（六）报价清单</w:t>
      </w:r>
    </w:p>
    <w:p w14:paraId="0BB1CB47">
      <w:pPr>
        <w:snapToGrid w:val="0"/>
        <w:spacing w:line="360" w:lineRule="auto"/>
        <w:ind w:firstLine="960" w:firstLineChars="4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投标报价汇总表</w:t>
      </w:r>
    </w:p>
    <w:p w14:paraId="3E220202">
      <w:pPr>
        <w:snapToGrid w:val="0"/>
        <w:spacing w:line="360" w:lineRule="auto"/>
        <w:ind w:firstLine="960" w:firstLineChars="4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（2）报价清单表</w:t>
      </w:r>
    </w:p>
    <w:p w14:paraId="142091F2">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（七）其他材料</w:t>
      </w:r>
    </w:p>
    <w:p w14:paraId="78FA6142">
      <w:pPr>
        <w:snapToGrid w:val="0"/>
        <w:spacing w:line="360" w:lineRule="auto"/>
        <w:ind w:firstLine="1285" w:firstLineChars="400"/>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br w:type="page"/>
      </w:r>
    </w:p>
    <w:p w14:paraId="778E5BEF">
      <w:pPr>
        <w:snapToGrid w:val="0"/>
        <w:spacing w:line="360" w:lineRule="auto"/>
        <w:jc w:val="center"/>
        <w:outlineLvl w:val="1"/>
        <w:rPr>
          <w:rStyle w:val="45"/>
          <w:rFonts w:hint="eastAsia" w:ascii="宋体" w:hAnsi="宋体" w:eastAsia="宋体" w:cs="宋体"/>
          <w:color w:val="000000" w:themeColor="text1"/>
          <w:highlight w:val="none"/>
          <w14:textFill>
            <w14:solidFill>
              <w14:schemeClr w14:val="tx1"/>
            </w14:solidFill>
          </w14:textFill>
        </w:rPr>
      </w:pPr>
      <w:bookmarkStart w:id="96" w:name="_Toc14206"/>
      <w:r>
        <w:rPr>
          <w:rStyle w:val="45"/>
          <w:rFonts w:hint="eastAsia" w:ascii="宋体" w:hAnsi="宋体" w:eastAsia="宋体" w:cs="宋体"/>
          <w:color w:val="000000" w:themeColor="text1"/>
          <w:highlight w:val="none"/>
          <w14:textFill>
            <w14:solidFill>
              <w14:schemeClr w14:val="tx1"/>
            </w14:solidFill>
          </w14:textFill>
        </w:rPr>
        <w:t>（一）投标函</w:t>
      </w:r>
      <w:bookmarkEnd w:id="96"/>
    </w:p>
    <w:p w14:paraId="132762BC">
      <w:pPr>
        <w:snapToGrid w:val="0"/>
        <w:spacing w:line="500" w:lineRule="exact"/>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致：</w:t>
      </w:r>
      <w:r>
        <w:rPr>
          <w:rFonts w:hint="eastAsia" w:ascii="宋体" w:hAnsi="宋体" w:eastAsia="宋体" w:cs="宋体"/>
          <w:color w:val="000000" w:themeColor="text1"/>
          <w:sz w:val="24"/>
          <w:szCs w:val="24"/>
          <w:highlight w:val="none"/>
          <w:lang w:eastAsia="zh-CN"/>
          <w14:textFill>
            <w14:solidFill>
              <w14:schemeClr w14:val="tx1"/>
            </w14:solidFill>
          </w14:textFill>
        </w:rPr>
        <w:t>台州市民航事务中心</w:t>
      </w:r>
    </w:p>
    <w:p w14:paraId="14EB39B4">
      <w:pPr>
        <w:snapToGrid w:val="0"/>
        <w:spacing w:before="120" w:beforeLines="50" w:after="50"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根据贵方为</w:t>
      </w:r>
      <w:r>
        <w:rPr>
          <w:rFonts w:hint="eastAsia" w:ascii="宋体" w:hAnsi="宋体" w:eastAsia="宋体" w:cs="宋体"/>
          <w:bCs/>
          <w:color w:val="000000" w:themeColor="text1"/>
          <w:sz w:val="24"/>
          <w:szCs w:val="24"/>
          <w:highlight w:val="none"/>
          <w14:textFill>
            <w14:solidFill>
              <w14:schemeClr w14:val="tx1"/>
            </w14:solidFill>
          </w14:textFill>
        </w:rPr>
        <w:t>项目名称：</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的采购公告（项目编号：</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），签字代表</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（全名）经正式授权并代表供应商</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（供应商名称）提交</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w:t>
      </w:r>
    </w:p>
    <w:p w14:paraId="1E091753">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经研究</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(项目名称)采购文件的全部内容后，我方就上述任务及相关服务进行投标。</w:t>
      </w:r>
    </w:p>
    <w:p w14:paraId="5FBE64B3">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根据分析计算，我方愿以投标价人民币(大写)</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)，完成本采购项目规定的所有工作内容</w:t>
      </w:r>
    </w:p>
    <w:p w14:paraId="34611268">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据此函，签字代表宣布同意如下：</w:t>
      </w:r>
    </w:p>
    <w:p w14:paraId="23CC414C">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1.供应商已详细审查全部“采购文件”，包括修改文件（如有）以及全部参考资料和有关附件，已经了解我方对于采购文件、采购过程、采购结果有依法进行询问、质疑、投诉的权利及相关渠道和要求。</w:t>
      </w:r>
    </w:p>
    <w:p w14:paraId="622DB057">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2.供应商在投标之前已经与贵方进行了充分的沟通，完全理解并接受采购文件的各项规定和要求，对采购文件的合理性、合法性不再有异议。</w:t>
      </w:r>
    </w:p>
    <w:p w14:paraId="34CD6CDF">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3.如中标，本</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至本项目合同履行完毕止均保持有效，本供应商将按“采购文件”及政府采购法律、法规的规定履行合同责任和义务。</w:t>
      </w:r>
    </w:p>
    <w:p w14:paraId="126EF5FC">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4.我方同意按照贵方要求提供与投标有关的一切数据或资料。</w:t>
      </w:r>
    </w:p>
    <w:p w14:paraId="0DD003E2">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5.与本投标有关的一切正式往来信函请寄：</w:t>
      </w:r>
    </w:p>
    <w:p w14:paraId="3569AA8C">
      <w:pPr>
        <w:snapToGrid w:val="0"/>
        <w:spacing w:line="50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邮编：</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电话：</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14:paraId="0137C403">
      <w:pPr>
        <w:snapToGrid w:val="0"/>
        <w:spacing w:line="50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供应商代表姓名：</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职务：</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14:paraId="14B5A1C2">
      <w:pPr>
        <w:snapToGrid w:val="0"/>
        <w:spacing w:line="50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供应商名称(盖单位电子公章):</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14:paraId="0C6F4E49">
      <w:pPr>
        <w:snapToGrid w:val="0"/>
        <w:spacing w:line="50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银行账号：</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14:paraId="6EF5B745">
      <w:pPr>
        <w:spacing w:line="50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法定代表人（签字或盖章）：</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日期:</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年___月___日</w:t>
      </w:r>
    </w:p>
    <w:p w14:paraId="4823E40F">
      <w:pPr>
        <w:widowControl/>
        <w:spacing w:line="500" w:lineRule="exact"/>
        <w:jc w:val="left"/>
        <w:rPr>
          <w:rFonts w:hint="eastAsia"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br w:type="page"/>
      </w:r>
    </w:p>
    <w:p w14:paraId="7D4406DD">
      <w:pPr>
        <w:snapToGrid w:val="0"/>
        <w:spacing w:line="360" w:lineRule="auto"/>
        <w:jc w:val="center"/>
        <w:outlineLvl w:val="1"/>
        <w:rPr>
          <w:rStyle w:val="45"/>
          <w:rFonts w:hint="eastAsia" w:ascii="宋体" w:hAnsi="宋体" w:eastAsia="宋体" w:cs="宋体"/>
          <w:color w:val="000000" w:themeColor="text1"/>
          <w:highlight w:val="none"/>
          <w14:textFill>
            <w14:solidFill>
              <w14:schemeClr w14:val="tx1"/>
            </w14:solidFill>
          </w14:textFill>
        </w:rPr>
      </w:pPr>
      <w:bookmarkStart w:id="97" w:name="_Toc23293"/>
      <w:r>
        <w:rPr>
          <w:rStyle w:val="45"/>
          <w:rFonts w:hint="eastAsia" w:ascii="宋体" w:hAnsi="宋体" w:eastAsia="宋体" w:cs="宋体"/>
          <w:color w:val="000000" w:themeColor="text1"/>
          <w:highlight w:val="none"/>
          <w14:textFill>
            <w14:solidFill>
              <w14:schemeClr w14:val="tx1"/>
            </w14:solidFill>
          </w14:textFill>
        </w:rPr>
        <w:t>（二）法定代表人身份证明及法定代表人授权委托书</w:t>
      </w:r>
      <w:bookmarkEnd w:id="97"/>
    </w:p>
    <w:p w14:paraId="6C453484">
      <w:pPr>
        <w:pStyle w:val="46"/>
        <w:keepNext w:val="0"/>
        <w:keepLines w:val="0"/>
        <w:pageBreakBefore w:val="0"/>
        <w:widowControl w:val="0"/>
        <w:kinsoku/>
        <w:wordWrap/>
        <w:overflowPunct/>
        <w:topLinePunct w:val="0"/>
        <w:autoSpaceDE/>
        <w:autoSpaceDN/>
        <w:bidi w:val="0"/>
        <w:adjustRightInd w:val="0"/>
        <w:snapToGrid w:val="0"/>
        <w:spacing w:before="260" w:after="260" w:line="360" w:lineRule="auto"/>
        <w:jc w:val="center"/>
        <w:textAlignment w:val="baseline"/>
        <w:outlineLvl w:val="2"/>
        <w:rPr>
          <w:rFonts w:hint="eastAsia" w:ascii="宋体" w:hAnsi="宋体" w:eastAsia="宋体" w:cs="宋体"/>
          <w:b/>
          <w:color w:val="000000" w:themeColor="text1"/>
          <w:sz w:val="28"/>
          <w:szCs w:val="28"/>
          <w:highlight w:val="none"/>
          <w:lang w:val="en-US" w:eastAsia="zh-CN"/>
          <w14:textFill>
            <w14:solidFill>
              <w14:schemeClr w14:val="tx1"/>
            </w14:solidFill>
          </w14:textFill>
        </w:rPr>
      </w:pPr>
      <w:bookmarkStart w:id="98" w:name="_Toc4875"/>
      <w:r>
        <w:rPr>
          <w:rFonts w:hint="eastAsia" w:ascii="宋体" w:hAnsi="宋体" w:eastAsia="宋体" w:cs="宋体"/>
          <w:b/>
          <w:color w:val="000000" w:themeColor="text1"/>
          <w:sz w:val="28"/>
          <w:szCs w:val="28"/>
          <w:highlight w:val="none"/>
          <w:lang w:val="en-US" w:eastAsia="zh-CN"/>
          <w14:textFill>
            <w14:solidFill>
              <w14:schemeClr w14:val="tx1"/>
            </w14:solidFill>
          </w14:textFill>
        </w:rPr>
        <w:t>（1）法定代表人身份证明</w:t>
      </w:r>
      <w:bookmarkEnd w:id="98"/>
    </w:p>
    <w:p w14:paraId="1140E738">
      <w:pPr>
        <w:adjustRightInd w:val="0"/>
        <w:snapToGrid w:val="0"/>
        <w:spacing w:line="360" w:lineRule="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379A71E7">
      <w:pPr>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单位性质：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3B52195E">
      <w:pPr>
        <w:adjustRightInd w:val="0"/>
        <w:snapToGrid w:val="0"/>
        <w:spacing w:line="360" w:lineRule="auto"/>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14:paraId="7D208F66">
      <w:pPr>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年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月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日</w:t>
      </w:r>
    </w:p>
    <w:p w14:paraId="302A1EFE">
      <w:pPr>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职务：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，身份证号：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系</w:t>
      </w:r>
    </w:p>
    <w:p w14:paraId="5B9C46FD">
      <w:pPr>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（供应商名称）的法定代表人。</w:t>
      </w:r>
    </w:p>
    <w:p w14:paraId="5108BABC">
      <w:pPr>
        <w:tabs>
          <w:tab w:val="left" w:pos="8640"/>
        </w:tabs>
        <w:adjustRightInd w:val="0"/>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特此证明。</w:t>
      </w:r>
    </w:p>
    <w:p w14:paraId="700D5910">
      <w:pPr>
        <w:tabs>
          <w:tab w:val="left" w:pos="8640"/>
        </w:tabs>
        <w:adjustRightInd w:val="0"/>
        <w:snapToGrid w:val="0"/>
        <w:spacing w:line="360" w:lineRule="auto"/>
        <w:jc w:val="center"/>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4"/>
          <w:highlight w:val="none"/>
          <w:lang w:eastAsia="zh-CN"/>
          <w14:textFill>
            <w14:solidFill>
              <w14:schemeClr w14:val="tx1"/>
            </w14:solidFill>
          </w14:textFill>
        </w:rPr>
        <w:t>供应商</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none"/>
          <w14:textFill>
            <w14:solidFill>
              <w14:schemeClr w14:val="tx1"/>
            </w14:solidFill>
          </w14:textFill>
        </w:rPr>
        <w:t>(盖单位电子公章)</w:t>
      </w:r>
    </w:p>
    <w:p w14:paraId="5C8A9210">
      <w:pPr>
        <w:spacing w:line="360" w:lineRule="auto"/>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14:paraId="1FCCB374">
      <w:pPr>
        <w:spacing w:line="360" w:lineRule="auto"/>
        <w:rPr>
          <w:rFonts w:hint="eastAsia" w:ascii="宋体" w:hAnsi="宋体" w:eastAsia="宋体" w:cs="宋体"/>
          <w:b/>
          <w:color w:val="000000" w:themeColor="text1"/>
          <w:sz w:val="24"/>
          <w:szCs w:val="24"/>
          <w:highlight w:val="none"/>
          <w14:textFill>
            <w14:solidFill>
              <w14:schemeClr w14:val="tx1"/>
            </w14:solidFill>
          </w14:textFill>
        </w:rPr>
      </w:pPr>
    </w:p>
    <w:p w14:paraId="1F1926B8">
      <w:pPr>
        <w:spacing w:line="360" w:lineRule="auto"/>
        <w:rPr>
          <w:rFonts w:hint="eastAsia" w:ascii="宋体" w:hAnsi="宋体" w:eastAsia="宋体" w:cs="宋体"/>
          <w:b/>
          <w:color w:val="000000" w:themeColor="text1"/>
          <w:sz w:val="24"/>
          <w:szCs w:val="24"/>
          <w:highlight w:val="none"/>
          <w14:textFill>
            <w14:solidFill>
              <w14:schemeClr w14:val="tx1"/>
            </w14:solidFill>
          </w14:textFill>
        </w:rPr>
      </w:pPr>
    </w:p>
    <w:p w14:paraId="076002D0">
      <w:pPr>
        <w:spacing w:line="360" w:lineRule="auto"/>
        <w:rPr>
          <w:rFonts w:hint="eastAsia" w:ascii="宋体" w:hAnsi="宋体" w:eastAsia="宋体" w:cs="宋体"/>
          <w:b/>
          <w:color w:val="000000" w:themeColor="text1"/>
          <w:sz w:val="24"/>
          <w:szCs w:val="24"/>
          <w:highlight w:val="none"/>
          <w14:textFill>
            <w14:solidFill>
              <w14:schemeClr w14:val="tx1"/>
            </w14:solidFill>
          </w14:textFill>
        </w:rPr>
      </w:pPr>
    </w:p>
    <w:p w14:paraId="550D9436">
      <w:pPr>
        <w:spacing w:line="360" w:lineRule="auto"/>
        <w:rPr>
          <w:rFonts w:hint="eastAsia" w:ascii="宋体" w:hAnsi="宋体" w:eastAsia="宋体" w:cs="宋体"/>
          <w:b/>
          <w:color w:val="000000" w:themeColor="text1"/>
          <w:sz w:val="24"/>
          <w:szCs w:val="24"/>
          <w:highlight w:val="none"/>
          <w14:textFill>
            <w14:solidFill>
              <w14:schemeClr w14:val="tx1"/>
            </w14:solidFill>
          </w14:textFill>
        </w:rPr>
      </w:pPr>
    </w:p>
    <w:p w14:paraId="390BDD2B">
      <w:pPr>
        <w:spacing w:line="360" w:lineRule="auto"/>
        <w:jc w:val="cente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法定代表人身份证复印件附后（正反面</w:t>
      </w:r>
      <w:r>
        <w:rPr>
          <w:rFonts w:hint="eastAsia" w:ascii="宋体" w:hAnsi="宋体" w:eastAsia="宋体" w:cs="宋体"/>
          <w:b/>
          <w:bCs/>
          <w:color w:val="000000" w:themeColor="text1"/>
          <w:sz w:val="24"/>
          <w:szCs w:val="24"/>
          <w:highlight w:val="none"/>
          <w:lang w:val="zh-CN"/>
          <w14:textFill>
            <w14:solidFill>
              <w14:schemeClr w14:val="tx1"/>
            </w14:solidFill>
          </w14:textFill>
        </w:rPr>
        <w:t>复印件加盖公章</w:t>
      </w:r>
      <w:r>
        <w:rPr>
          <w:rFonts w:hint="eastAsia" w:ascii="宋体" w:hAnsi="宋体" w:eastAsia="宋体" w:cs="宋体"/>
          <w:b/>
          <w:bCs/>
          <w:color w:val="000000" w:themeColor="text1"/>
          <w:sz w:val="24"/>
          <w:szCs w:val="24"/>
          <w:highlight w:val="none"/>
          <w14:textFill>
            <w14:solidFill>
              <w14:schemeClr w14:val="tx1"/>
            </w14:solidFill>
          </w14:textFill>
        </w:rPr>
        <w:t>）</w:t>
      </w:r>
    </w:p>
    <w:p w14:paraId="5B362153">
      <w:pPr>
        <w:snapToGrid w:val="0"/>
        <w:spacing w:line="500" w:lineRule="exact"/>
        <w:rPr>
          <w:rFonts w:hint="eastAsia" w:ascii="宋体" w:hAnsi="宋体" w:eastAsia="宋体" w:cs="宋体"/>
          <w:bCs/>
          <w:color w:val="000000" w:themeColor="text1"/>
          <w:sz w:val="24"/>
          <w:szCs w:val="24"/>
          <w:highlight w:val="none"/>
          <w14:textFill>
            <w14:solidFill>
              <w14:schemeClr w14:val="tx1"/>
            </w14:solidFill>
          </w14:textFill>
        </w:rPr>
      </w:pPr>
    </w:p>
    <w:p w14:paraId="52B488AF">
      <w:pPr>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br w:type="page"/>
      </w:r>
    </w:p>
    <w:p w14:paraId="5D4A2FF9">
      <w:pPr>
        <w:pStyle w:val="46"/>
        <w:snapToGrid w:val="0"/>
        <w:spacing w:line="360" w:lineRule="auto"/>
        <w:jc w:val="center"/>
        <w:outlineLvl w:val="2"/>
        <w:rPr>
          <w:rFonts w:hint="eastAsia" w:ascii="宋体" w:hAnsi="宋体" w:eastAsia="宋体" w:cs="宋体"/>
          <w:b/>
          <w:color w:val="000000" w:themeColor="text1"/>
          <w:sz w:val="28"/>
          <w:szCs w:val="28"/>
          <w:highlight w:val="none"/>
          <w:lang w:val="en-US" w:eastAsia="zh-CN"/>
          <w14:textFill>
            <w14:solidFill>
              <w14:schemeClr w14:val="tx1"/>
            </w14:solidFill>
          </w14:textFill>
        </w:rPr>
      </w:pPr>
      <w:bookmarkStart w:id="99" w:name="_Toc18420"/>
      <w:r>
        <w:rPr>
          <w:rFonts w:hint="eastAsia" w:ascii="宋体" w:hAnsi="宋体" w:eastAsia="宋体" w:cs="宋体"/>
          <w:b/>
          <w:color w:val="000000" w:themeColor="text1"/>
          <w:sz w:val="28"/>
          <w:szCs w:val="28"/>
          <w:highlight w:val="none"/>
          <w:lang w:val="en-US" w:eastAsia="zh-CN"/>
          <w14:textFill>
            <w14:solidFill>
              <w14:schemeClr w14:val="tx1"/>
            </w14:solidFill>
          </w14:textFill>
        </w:rPr>
        <w:t>（2）法定代表人授权委托书</w:t>
      </w:r>
      <w:bookmarkEnd w:id="99"/>
    </w:p>
    <w:p w14:paraId="1AEC9C63">
      <w:pPr>
        <w:snapToGrid w:val="0"/>
        <w:spacing w:line="500" w:lineRule="exact"/>
        <w:rPr>
          <w:rFonts w:hint="eastAsia" w:ascii="宋体" w:hAnsi="宋体" w:eastAsia="宋体" w:cs="宋体"/>
          <w:bCs/>
          <w:color w:val="000000" w:themeColor="text1"/>
          <w:sz w:val="24"/>
          <w:szCs w:val="24"/>
          <w:highlight w:val="none"/>
          <w14:textFill>
            <w14:solidFill>
              <w14:schemeClr w14:val="tx1"/>
            </w14:solidFill>
          </w14:textFill>
        </w:rPr>
      </w:pPr>
    </w:p>
    <w:p w14:paraId="15D78F36">
      <w:pPr>
        <w:snapToGrid w:val="0"/>
        <w:spacing w:line="500" w:lineRule="exact"/>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致：</w:t>
      </w:r>
      <w:r>
        <w:rPr>
          <w:rFonts w:hint="eastAsia" w:ascii="宋体" w:hAnsi="宋体" w:eastAsia="宋体" w:cs="宋体"/>
          <w:bCs/>
          <w:color w:val="000000" w:themeColor="text1"/>
          <w:sz w:val="24"/>
          <w:szCs w:val="24"/>
          <w:highlight w:val="none"/>
          <w:lang w:eastAsia="zh-CN"/>
          <w14:textFill>
            <w14:solidFill>
              <w14:schemeClr w14:val="tx1"/>
            </w14:solidFill>
          </w14:textFill>
        </w:rPr>
        <w:t>台州市民航事务中心</w:t>
      </w:r>
    </w:p>
    <w:p w14:paraId="49368AA4">
      <w:pPr>
        <w:snapToGrid w:val="0"/>
        <w:spacing w:line="500" w:lineRule="exact"/>
        <w:ind w:firstLine="720" w:firstLineChars="3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（姓名）系</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（供应商名称）的法定代表人，现授权委托本单位在职职工</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（姓名）以我方的名义参加</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项目的投标活动，并代表我方全权办理针对上述项目的投标、开标、评标、签约等具体事务和签署相关文件。</w:t>
      </w:r>
    </w:p>
    <w:p w14:paraId="2BB8E319">
      <w:pPr>
        <w:snapToGrid w:val="0"/>
        <w:spacing w:line="500" w:lineRule="exact"/>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我方对被授权人的签名事项负全部责任。</w:t>
      </w:r>
    </w:p>
    <w:p w14:paraId="616F5164">
      <w:pPr>
        <w:snapToGrid w:val="0"/>
        <w:spacing w:line="500" w:lineRule="exact"/>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在撤销授权的书面通知以前，本授权书一直有效。</w:t>
      </w:r>
      <w:r>
        <w:rPr>
          <w:rFonts w:hint="eastAsia" w:ascii="宋体" w:hAnsi="宋体" w:eastAsia="宋体" w:cs="宋体"/>
          <w:color w:val="000000" w:themeColor="text1"/>
          <w:sz w:val="24"/>
          <w:szCs w:val="24"/>
          <w:highlight w:val="none"/>
          <w14:textFill>
            <w14:solidFill>
              <w14:schemeClr w14:val="tx1"/>
            </w14:solidFill>
          </w14:textFill>
        </w:rPr>
        <w:t>被授权人在授权书有效期内签署的所有文件不因授权的撤销而失效。</w:t>
      </w:r>
    </w:p>
    <w:p w14:paraId="18706027">
      <w:pPr>
        <w:snapToGrid w:val="0"/>
        <w:spacing w:line="500" w:lineRule="exact"/>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被授权人无转委托权，特此委托。</w:t>
      </w:r>
    </w:p>
    <w:p w14:paraId="43D539D7">
      <w:pPr>
        <w:snapToGrid w:val="0"/>
        <w:spacing w:line="500" w:lineRule="exact"/>
        <w:rPr>
          <w:rFonts w:hint="eastAsia" w:ascii="宋体" w:hAnsi="宋体" w:eastAsia="宋体" w:cs="宋体"/>
          <w:color w:val="000000" w:themeColor="text1"/>
          <w:sz w:val="24"/>
          <w:szCs w:val="24"/>
          <w:highlight w:val="none"/>
          <w14:textFill>
            <w14:solidFill>
              <w14:schemeClr w14:val="tx1"/>
            </w14:solidFill>
          </w14:textFill>
        </w:rPr>
      </w:pPr>
    </w:p>
    <w:p w14:paraId="6E483501">
      <w:pPr>
        <w:snapToGrid w:val="0"/>
        <w:spacing w:line="500" w:lineRule="exact"/>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被授权人（姓名）：</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法定代表人（签字或盖章）：</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14:paraId="5B1E6F21">
      <w:pPr>
        <w:snapToGrid w:val="0"/>
        <w:spacing w:line="500" w:lineRule="exact"/>
        <w:ind w:firstLine="1440" w:firstLineChars="6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职务：</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职务：</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14:paraId="2EC6778F">
      <w:pPr>
        <w:snapToGrid w:val="0"/>
        <w:spacing w:line="500" w:lineRule="exac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被授权人身份证号码：</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14:paraId="35E8BFC3">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14:paraId="43A2EB06">
      <w:pPr>
        <w:snapToGrid w:val="0"/>
        <w:spacing w:before="120" w:beforeLines="50" w:after="50"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法定代表人身份证粘贴处（正反面）       被授权人身份证粘贴处（正反面）</w:t>
      </w:r>
    </w:p>
    <w:p w14:paraId="1AADCFAA">
      <w:pPr>
        <w:snapToGrid w:val="0"/>
        <w:spacing w:before="120" w:beforeLines="50" w:after="50" w:line="360" w:lineRule="auto"/>
        <w:rPr>
          <w:rFonts w:hint="eastAsia" w:ascii="宋体" w:hAnsi="宋体" w:eastAsia="宋体" w:cs="宋体"/>
          <w:color w:val="000000" w:themeColor="text1"/>
          <w:sz w:val="24"/>
          <w:szCs w:val="24"/>
          <w:highlight w:val="none"/>
          <w14:textFill>
            <w14:solidFill>
              <w14:schemeClr w14:val="tx1"/>
            </w14:solidFill>
          </w14:textFill>
        </w:rPr>
      </w:pPr>
    </w:p>
    <w:p w14:paraId="7C8819D9">
      <w:pPr>
        <w:snapToGrid w:val="0"/>
        <w:spacing w:before="120" w:beforeLines="50" w:after="50" w:line="360" w:lineRule="auto"/>
        <w:rPr>
          <w:rFonts w:hint="eastAsia" w:ascii="宋体" w:hAnsi="宋体" w:eastAsia="宋体" w:cs="宋体"/>
          <w:color w:val="000000" w:themeColor="text1"/>
          <w:sz w:val="24"/>
          <w:szCs w:val="24"/>
          <w:highlight w:val="none"/>
          <w14:textFill>
            <w14:solidFill>
              <w14:schemeClr w14:val="tx1"/>
            </w14:solidFill>
          </w14:textFill>
        </w:rPr>
      </w:pPr>
    </w:p>
    <w:p w14:paraId="5D1174C6">
      <w:pPr>
        <w:snapToGrid w:val="0"/>
        <w:spacing w:before="120" w:beforeLines="50" w:after="50" w:line="360" w:lineRule="auto"/>
        <w:rPr>
          <w:rFonts w:hint="eastAsia" w:ascii="宋体" w:hAnsi="宋体" w:eastAsia="宋体" w:cs="宋体"/>
          <w:color w:val="000000" w:themeColor="text1"/>
          <w:sz w:val="24"/>
          <w:szCs w:val="24"/>
          <w:highlight w:val="none"/>
          <w14:textFill>
            <w14:solidFill>
              <w14:schemeClr w14:val="tx1"/>
            </w14:solidFill>
          </w14:textFill>
        </w:rPr>
      </w:pPr>
    </w:p>
    <w:p w14:paraId="5E82FBE6">
      <w:pPr>
        <w:snapToGrid w:val="0"/>
        <w:spacing w:before="120" w:beforeLines="50" w:after="50" w:line="360" w:lineRule="auto"/>
        <w:jc w:val="righ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(盖单位电子公章)</w:t>
      </w:r>
    </w:p>
    <w:p w14:paraId="08694790">
      <w:pPr>
        <w:snapToGrid w:val="0"/>
        <w:spacing w:before="120" w:beforeLines="50" w:after="50" w:line="360" w:lineRule="auto"/>
        <w:ind w:firstLine="3360" w:firstLineChars="14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日   期：    </w:t>
      </w:r>
      <w:r>
        <w:rPr>
          <w:rFonts w:hint="eastAsia" w:ascii="宋体" w:hAnsi="宋体" w:eastAsia="宋体" w:cs="宋体"/>
          <w:color w:val="000000" w:themeColor="text1"/>
          <w:sz w:val="24"/>
          <w:szCs w:val="24"/>
          <w:highlight w:val="none"/>
          <w14:textFill>
            <w14:solidFill>
              <w14:schemeClr w14:val="tx1"/>
            </w14:solidFill>
          </w14:textFill>
        </w:rPr>
        <w:t xml:space="preserve">年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月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14:paraId="287E2D19">
      <w:pPr>
        <w:widowControl/>
        <w:jc w:val="left"/>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br w:type="page"/>
      </w:r>
    </w:p>
    <w:p w14:paraId="016A2F30">
      <w:pPr>
        <w:snapToGrid w:val="0"/>
        <w:spacing w:line="360" w:lineRule="auto"/>
        <w:jc w:val="center"/>
        <w:outlineLvl w:val="1"/>
        <w:rPr>
          <w:rStyle w:val="45"/>
          <w:rFonts w:hint="eastAsia" w:ascii="宋体" w:hAnsi="宋体" w:eastAsia="宋体" w:cs="宋体"/>
          <w:color w:val="000000" w:themeColor="text1"/>
          <w:highlight w:val="none"/>
          <w14:textFill>
            <w14:solidFill>
              <w14:schemeClr w14:val="tx1"/>
            </w14:solidFill>
          </w14:textFill>
        </w:rPr>
      </w:pPr>
      <w:bookmarkStart w:id="100" w:name="_Toc1006"/>
      <w:r>
        <w:rPr>
          <w:rStyle w:val="45"/>
          <w:rFonts w:hint="eastAsia" w:ascii="宋体" w:hAnsi="宋体" w:eastAsia="宋体" w:cs="宋体"/>
          <w:color w:val="000000" w:themeColor="text1"/>
          <w:highlight w:val="none"/>
          <w14:textFill>
            <w14:solidFill>
              <w14:schemeClr w14:val="tx1"/>
            </w14:solidFill>
          </w14:textFill>
        </w:rPr>
        <w:t>（三）其他声明</w:t>
      </w:r>
      <w:bookmarkEnd w:id="100"/>
    </w:p>
    <w:p w14:paraId="5D7864ED">
      <w:pPr>
        <w:pStyle w:val="46"/>
        <w:snapToGrid w:val="0"/>
        <w:spacing w:line="360" w:lineRule="auto"/>
        <w:jc w:val="center"/>
        <w:outlineLvl w:val="2"/>
        <w:rPr>
          <w:rFonts w:hint="eastAsia" w:ascii="宋体" w:hAnsi="宋体" w:eastAsia="宋体" w:cs="宋体"/>
          <w:b/>
          <w:color w:val="000000" w:themeColor="text1"/>
          <w:sz w:val="28"/>
          <w:szCs w:val="28"/>
          <w:highlight w:val="none"/>
          <w:lang w:val="en-US" w:eastAsia="zh-CN"/>
          <w14:textFill>
            <w14:solidFill>
              <w14:schemeClr w14:val="tx1"/>
            </w14:solidFill>
          </w14:textFill>
        </w:rPr>
      </w:pPr>
      <w:bookmarkStart w:id="101" w:name="_Toc10768"/>
      <w:r>
        <w:rPr>
          <w:rFonts w:hint="eastAsia" w:ascii="宋体" w:hAnsi="宋体" w:eastAsia="宋体" w:cs="宋体"/>
          <w:b/>
          <w:color w:val="000000" w:themeColor="text1"/>
          <w:sz w:val="28"/>
          <w:szCs w:val="28"/>
          <w:highlight w:val="none"/>
          <w:lang w:val="en-US" w:eastAsia="zh-CN"/>
          <w14:textFill>
            <w14:solidFill>
              <w14:schemeClr w14:val="tx1"/>
            </w14:solidFill>
          </w14:textFill>
        </w:rPr>
        <w:t>（1）政府采购活动现场确认声明书</w:t>
      </w:r>
      <w:bookmarkEnd w:id="101"/>
    </w:p>
    <w:p w14:paraId="46DE9193">
      <w:pPr>
        <w:pStyle w:val="29"/>
        <w:widowControl/>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致：</w:t>
      </w:r>
      <w:r>
        <w:rPr>
          <w:rFonts w:hint="eastAsia" w:ascii="宋体" w:hAnsi="宋体" w:eastAsia="宋体" w:cs="宋体"/>
          <w:color w:val="000000" w:themeColor="text1"/>
          <w:highlight w:val="none"/>
          <w:u w:val="single"/>
          <w14:textFill>
            <w14:solidFill>
              <w14:schemeClr w14:val="tx1"/>
            </w14:solidFill>
          </w14:textFill>
        </w:rPr>
        <w:t>浙江远大工程咨询有限公司</w:t>
      </w:r>
    </w:p>
    <w:p w14:paraId="4D932D7E">
      <w:pPr>
        <w:pStyle w:val="29"/>
        <w:widowControl/>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本人</w:t>
      </w:r>
      <w:r>
        <w:rPr>
          <w:rFonts w:hint="eastAsia" w:ascii="宋体" w:hAnsi="宋体" w:eastAsia="宋体" w:cs="宋体"/>
          <w:bCs/>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（授权代表姓名），经由</w:t>
      </w:r>
      <w:r>
        <w:rPr>
          <w:rFonts w:hint="eastAsia" w:ascii="宋体" w:hAnsi="宋体" w:eastAsia="宋体" w:cs="宋体"/>
          <w:bCs/>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（单位）</w:t>
      </w:r>
      <w:r>
        <w:rPr>
          <w:rFonts w:hint="eastAsia" w:ascii="宋体" w:hAnsi="宋体" w:eastAsia="宋体" w:cs="宋体"/>
          <w:bCs/>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（法定代表人姓名）合法授权参加项目</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（项目编号：</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）政府采购活动．经与本单位法人代表（负责人）</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联系确认，现就有关公平竞争事项郑重声明如下:</w:t>
      </w:r>
    </w:p>
    <w:p w14:paraId="4A1C967A">
      <w:pPr>
        <w:pStyle w:val="29"/>
        <w:widowControl/>
        <w:numPr>
          <w:ilvl w:val="0"/>
          <w:numId w:val="3"/>
        </w:num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本单位与采购人之间  □不存在利害关系       □存在下列利害关系:</w:t>
      </w:r>
    </w:p>
    <w:p w14:paraId="43194FFF">
      <w:pPr>
        <w:pStyle w:val="29"/>
        <w:widowControl/>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A．投资关系          B．行政隶属关系         C．业务指导关系</w:t>
      </w:r>
    </w:p>
    <w:p w14:paraId="7ED01F18">
      <w:pPr>
        <w:pStyle w:val="29"/>
        <w:widowControl/>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D．其他可能影响采购公正的利害关系（如有，请如实说明）。</w:t>
      </w:r>
    </w:p>
    <w:p w14:paraId="47081B88">
      <w:pPr>
        <w:pStyle w:val="29"/>
        <w:widowControl/>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二、现己清楚知道参加本项目采购活动的其他所有供应商名称，本单位  </w:t>
      </w:r>
    </w:p>
    <w:p w14:paraId="49758781">
      <w:pPr>
        <w:pStyle w:val="29"/>
        <w:widowControl/>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□与其他所有供应商之间均不存在利害关系 </w:t>
      </w:r>
    </w:p>
    <w:p w14:paraId="446CA141">
      <w:pPr>
        <w:pStyle w:val="29"/>
        <w:widowControl/>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□与______________（供应商名称）之间存在下列利害关系:</w:t>
      </w:r>
    </w:p>
    <w:p w14:paraId="26222B55">
      <w:pPr>
        <w:pStyle w:val="29"/>
        <w:widowControl/>
        <w:spacing w:line="360" w:lineRule="auto"/>
        <w:ind w:left="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A．法定代表人或负责人或实际控制人是同一人</w:t>
      </w:r>
      <w:r>
        <w:rPr>
          <w:rFonts w:hint="eastAsia" w:ascii="宋体" w:hAnsi="宋体" w:eastAsia="宋体" w:cs="宋体"/>
          <w:color w:val="000000" w:themeColor="text1"/>
          <w:highlight w:val="none"/>
          <w14:textFill>
            <w14:solidFill>
              <w14:schemeClr w14:val="tx1"/>
            </w14:solidFill>
          </w14:textFill>
        </w:rPr>
        <w:br w:type="textWrapping"/>
      </w:r>
      <w:r>
        <w:rPr>
          <w:rFonts w:hint="eastAsia" w:ascii="宋体" w:hAnsi="宋体" w:eastAsia="宋体" w:cs="宋体"/>
          <w:color w:val="000000" w:themeColor="text1"/>
          <w:highlight w:val="none"/>
          <w14:textFill>
            <w14:solidFill>
              <w14:schemeClr w14:val="tx1"/>
            </w14:solidFill>
          </w14:textFill>
        </w:rPr>
        <w:t>B．法定代表人或负责人或实际控制人是夫妻关系</w:t>
      </w:r>
      <w:r>
        <w:rPr>
          <w:rFonts w:hint="eastAsia" w:ascii="宋体" w:hAnsi="宋体" w:eastAsia="宋体" w:cs="宋体"/>
          <w:color w:val="000000" w:themeColor="text1"/>
          <w:highlight w:val="none"/>
          <w14:textFill>
            <w14:solidFill>
              <w14:schemeClr w14:val="tx1"/>
            </w14:solidFill>
          </w14:textFill>
        </w:rPr>
        <w:br w:type="textWrapping"/>
      </w:r>
      <w:r>
        <w:rPr>
          <w:rFonts w:hint="eastAsia" w:ascii="宋体" w:hAnsi="宋体" w:eastAsia="宋体" w:cs="宋体"/>
          <w:color w:val="000000" w:themeColor="text1"/>
          <w:highlight w:val="none"/>
          <w14:textFill>
            <w14:solidFill>
              <w14:schemeClr w14:val="tx1"/>
            </w14:solidFill>
          </w14:textFill>
        </w:rPr>
        <w:t>C．法定代表人或负责人或实际控制人是直系血亲关系</w:t>
      </w:r>
      <w:r>
        <w:rPr>
          <w:rFonts w:hint="eastAsia" w:ascii="宋体" w:hAnsi="宋体" w:eastAsia="宋体" w:cs="宋体"/>
          <w:color w:val="000000" w:themeColor="text1"/>
          <w:highlight w:val="none"/>
          <w14:textFill>
            <w14:solidFill>
              <w14:schemeClr w14:val="tx1"/>
            </w14:solidFill>
          </w14:textFill>
        </w:rPr>
        <w:br w:type="textWrapping"/>
      </w:r>
      <w:r>
        <w:rPr>
          <w:rFonts w:hint="eastAsia" w:ascii="宋体" w:hAnsi="宋体" w:eastAsia="宋体" w:cs="宋体"/>
          <w:color w:val="000000" w:themeColor="text1"/>
          <w:highlight w:val="none"/>
          <w14:textFill>
            <w14:solidFill>
              <w14:schemeClr w14:val="tx1"/>
            </w14:solidFill>
          </w14:textFill>
        </w:rPr>
        <w:t>D．法定代表人或负责人或实际控制人存在三代以内旁系血亲关系</w:t>
      </w:r>
      <w:r>
        <w:rPr>
          <w:rFonts w:hint="eastAsia" w:ascii="宋体" w:hAnsi="宋体" w:eastAsia="宋体" w:cs="宋体"/>
          <w:color w:val="000000" w:themeColor="text1"/>
          <w:highlight w:val="none"/>
          <w14:textFill>
            <w14:solidFill>
              <w14:schemeClr w14:val="tx1"/>
            </w14:solidFill>
          </w14:textFill>
        </w:rPr>
        <w:br w:type="textWrapping"/>
      </w:r>
      <w:r>
        <w:rPr>
          <w:rFonts w:hint="eastAsia" w:ascii="宋体" w:hAnsi="宋体" w:eastAsia="宋体" w:cs="宋体"/>
          <w:color w:val="000000" w:themeColor="text1"/>
          <w:highlight w:val="none"/>
          <w14:textFill>
            <w14:solidFill>
              <w14:schemeClr w14:val="tx1"/>
            </w14:solidFill>
          </w14:textFill>
        </w:rPr>
        <w:t>E．法定代表人或负责人或实际控制人存在近姻亲关系</w:t>
      </w:r>
      <w:r>
        <w:rPr>
          <w:rFonts w:hint="eastAsia" w:ascii="宋体" w:hAnsi="宋体" w:eastAsia="宋体" w:cs="宋体"/>
          <w:color w:val="000000" w:themeColor="text1"/>
          <w:highlight w:val="none"/>
          <w14:textFill>
            <w14:solidFill>
              <w14:schemeClr w14:val="tx1"/>
            </w14:solidFill>
          </w14:textFill>
        </w:rPr>
        <w:br w:type="textWrapping"/>
      </w:r>
      <w:r>
        <w:rPr>
          <w:rFonts w:hint="eastAsia" w:ascii="宋体" w:hAnsi="宋体" w:eastAsia="宋体" w:cs="宋体"/>
          <w:color w:val="000000" w:themeColor="text1"/>
          <w:highlight w:val="none"/>
          <w14:textFill>
            <w14:solidFill>
              <w14:schemeClr w14:val="tx1"/>
            </w14:solidFill>
          </w14:textFill>
        </w:rPr>
        <w:t>F．法定代表人或负责人或实际控制人存在股份控制或实际控制关系</w:t>
      </w:r>
      <w:r>
        <w:rPr>
          <w:rFonts w:hint="eastAsia" w:ascii="宋体" w:hAnsi="宋体" w:eastAsia="宋体" w:cs="宋体"/>
          <w:color w:val="000000" w:themeColor="text1"/>
          <w:highlight w:val="none"/>
          <w14:textFill>
            <w14:solidFill>
              <w14:schemeClr w14:val="tx1"/>
            </w14:solidFill>
          </w14:textFill>
        </w:rPr>
        <w:br w:type="textWrapping"/>
      </w:r>
      <w:r>
        <w:rPr>
          <w:rFonts w:hint="eastAsia" w:ascii="宋体" w:hAnsi="宋体" w:eastAsia="宋体" w:cs="宋体"/>
          <w:color w:val="000000" w:themeColor="text1"/>
          <w:highlight w:val="none"/>
          <w14:textFill>
            <w14:solidFill>
              <w14:schemeClr w14:val="tx1"/>
            </w14:solidFill>
          </w14:textFill>
        </w:rPr>
        <w:t>G．存在共同直接或间接投资设立子公司、联营企业和合营企业情况</w:t>
      </w:r>
      <w:r>
        <w:rPr>
          <w:rFonts w:hint="eastAsia" w:ascii="宋体" w:hAnsi="宋体" w:eastAsia="宋体" w:cs="宋体"/>
          <w:color w:val="000000" w:themeColor="text1"/>
          <w:highlight w:val="none"/>
          <w14:textFill>
            <w14:solidFill>
              <w14:schemeClr w14:val="tx1"/>
            </w14:solidFill>
          </w14:textFill>
        </w:rPr>
        <w:br w:type="textWrapping"/>
      </w:r>
      <w:r>
        <w:rPr>
          <w:rFonts w:hint="eastAsia" w:ascii="宋体" w:hAnsi="宋体" w:eastAsia="宋体" w:cs="宋体"/>
          <w:color w:val="000000" w:themeColor="text1"/>
          <w:highlight w:val="none"/>
          <w14:textFill>
            <w14:solidFill>
              <w14:schemeClr w14:val="tx1"/>
            </w14:solidFill>
          </w14:textFill>
        </w:rPr>
        <w:t>H．存在分级代理或代销关系、同一生产制造商关系、管理关系、重要业务（占主营业务收入 50 ％以上）或重要财务往来关系（如融资）等其他实质性控制关系</w:t>
      </w:r>
    </w:p>
    <w:p w14:paraId="15D65EB0">
      <w:pPr>
        <w:pStyle w:val="29"/>
        <w:widowControl/>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I．其他利害关系情况</w:t>
      </w:r>
      <w:r>
        <w:rPr>
          <w:rFonts w:hint="eastAsia" w:ascii="宋体" w:hAnsi="宋体" w:eastAsia="宋体" w:cs="宋体"/>
          <w:bCs/>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w:t>
      </w:r>
    </w:p>
    <w:p w14:paraId="1CACEECD">
      <w:pPr>
        <w:pStyle w:val="29"/>
        <w:widowControl/>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三、现己清楚知道并严格遵守政府采购法律法规和现场纪律。</w:t>
      </w:r>
    </w:p>
    <w:p w14:paraId="2BB0F1DC">
      <w:pPr>
        <w:pStyle w:val="29"/>
        <w:widowControl/>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四、我发现</w:t>
      </w:r>
      <w:r>
        <w:rPr>
          <w:rFonts w:hint="eastAsia" w:ascii="宋体" w:hAnsi="宋体" w:eastAsia="宋体" w:cs="宋体"/>
          <w:bCs/>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供应商之间存在或可能存在上述第二条第</w:t>
      </w:r>
      <w:r>
        <w:rPr>
          <w:rFonts w:hint="eastAsia" w:ascii="宋体" w:hAnsi="宋体" w:eastAsia="宋体" w:cs="宋体"/>
          <w:bCs/>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项利害关系。</w:t>
      </w:r>
    </w:p>
    <w:p w14:paraId="26639E2F">
      <w:pPr>
        <w:pStyle w:val="29"/>
        <w:widowControl/>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供应商名称 (盖单位电子公章):</w:t>
      </w:r>
    </w:p>
    <w:p w14:paraId="28314244">
      <w:pPr>
        <w:pStyle w:val="29"/>
        <w:widowControl/>
        <w:spacing w:line="360" w:lineRule="auto"/>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 xml:space="preserve">                          </w:t>
      </w:r>
      <w:r>
        <w:rPr>
          <w:rFonts w:hint="eastAsia" w:ascii="宋体" w:hAnsi="宋体" w:eastAsia="宋体" w:cs="宋体"/>
          <w:color w:val="000000" w:themeColor="text1"/>
          <w:highlight w:val="none"/>
          <w:lang w:val="en-US" w:eastAsia="zh-CN"/>
          <w14:textFill>
            <w14:solidFill>
              <w14:schemeClr w14:val="tx1"/>
            </w14:solidFill>
          </w14:textFill>
        </w:rPr>
        <w:t xml:space="preserve">      日    期：</w:t>
      </w:r>
      <w:r>
        <w:rPr>
          <w:rFonts w:hint="eastAsia" w:ascii="宋体" w:hAnsi="宋体" w:eastAsia="宋体" w:cs="宋体"/>
          <w:color w:val="000000" w:themeColor="text1"/>
          <w:highlight w:val="none"/>
          <w14:textFill>
            <w14:solidFill>
              <w14:schemeClr w14:val="tx1"/>
            </w14:solidFill>
          </w14:textFill>
        </w:rPr>
        <w:t xml:space="preserve">   年  </w:t>
      </w:r>
      <w:r>
        <w:rPr>
          <w:rFonts w:hint="eastAsia" w:ascii="宋体" w:hAnsi="宋体" w:eastAsia="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月  </w:t>
      </w:r>
      <w:r>
        <w:rPr>
          <w:rFonts w:hint="eastAsia" w:ascii="宋体" w:hAnsi="宋体" w:eastAsia="宋体" w:cs="宋体"/>
          <w:color w:val="000000" w:themeColor="text1"/>
          <w:highlight w:val="none"/>
          <w:lang w:val="en-US" w:eastAsia="zh-CN"/>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日</w:t>
      </w:r>
    </w:p>
    <w:p w14:paraId="083C35DA">
      <w:pPr>
        <w:pStyle w:val="46"/>
        <w:snapToGrid w:val="0"/>
        <w:spacing w:line="360" w:lineRule="auto"/>
        <w:jc w:val="center"/>
        <w:outlineLvl w:val="2"/>
        <w:rPr>
          <w:rFonts w:hint="eastAsia" w:ascii="宋体" w:hAnsi="宋体" w:eastAsia="宋体" w:cs="宋体"/>
          <w:b/>
          <w:color w:val="000000" w:themeColor="text1"/>
          <w:sz w:val="28"/>
          <w:szCs w:val="28"/>
          <w:highlight w:val="none"/>
          <w:lang w:val="en-US" w:eastAsia="zh-CN"/>
          <w14:textFill>
            <w14:solidFill>
              <w14:schemeClr w14:val="tx1"/>
            </w14:solidFill>
          </w14:textFill>
        </w:rPr>
      </w:pPr>
      <w:bookmarkStart w:id="102" w:name="_Toc10983"/>
      <w:r>
        <w:rPr>
          <w:rFonts w:hint="eastAsia" w:ascii="宋体" w:hAnsi="宋体" w:eastAsia="宋体" w:cs="宋体"/>
          <w:b/>
          <w:color w:val="000000" w:themeColor="text1"/>
          <w:sz w:val="28"/>
          <w:szCs w:val="28"/>
          <w:highlight w:val="none"/>
          <w:lang w:val="en-US" w:eastAsia="zh-CN"/>
          <w14:textFill>
            <w14:solidFill>
              <w14:schemeClr w14:val="tx1"/>
            </w14:solidFill>
          </w14:textFill>
        </w:rPr>
        <w:t>（2）投标声明书</w:t>
      </w:r>
      <w:bookmarkEnd w:id="102"/>
    </w:p>
    <w:p w14:paraId="2F2E4302">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14:paraId="4A11098E">
      <w:pPr>
        <w:snapToGrid w:val="0"/>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致：</w:t>
      </w:r>
      <w:r>
        <w:rPr>
          <w:rFonts w:hint="eastAsia" w:ascii="宋体" w:hAnsi="宋体" w:eastAsia="宋体" w:cs="宋体"/>
          <w:color w:val="000000" w:themeColor="text1"/>
          <w:sz w:val="24"/>
          <w:szCs w:val="24"/>
          <w:highlight w:val="none"/>
          <w:lang w:eastAsia="zh-CN"/>
          <w14:textFill>
            <w14:solidFill>
              <w14:schemeClr w14:val="tx1"/>
            </w14:solidFill>
          </w14:textFill>
        </w:rPr>
        <w:t>台州市民航事务中心</w:t>
      </w:r>
    </w:p>
    <w:p w14:paraId="1D659443">
      <w:pPr>
        <w:snapToGrid w:val="0"/>
        <w:spacing w:line="360" w:lineRule="auto"/>
        <w:ind w:firstLine="720" w:firstLineChars="3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（供应商名称）系中华人民共和国合法企业，经营地址</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w:t>
      </w:r>
    </w:p>
    <w:p w14:paraId="05D24EAA">
      <w:pPr>
        <w:snapToGrid w:val="0"/>
        <w:spacing w:line="360" w:lineRule="auto"/>
        <w:ind w:firstLine="64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（姓名）系</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（供应商名称）的法定代表人，我方愿意参加贵方组织的</w:t>
      </w:r>
      <w:r>
        <w:rPr>
          <w:rFonts w:hint="eastAsia" w:ascii="宋体" w:hAnsi="宋体" w:eastAsia="宋体" w:cs="宋体"/>
          <w:b/>
          <w:bCs/>
          <w:color w:val="000000" w:themeColor="text1"/>
          <w:sz w:val="24"/>
          <w:szCs w:val="24"/>
          <w:highlight w:val="none"/>
          <w14:textFill>
            <w14:solidFill>
              <w14:schemeClr w14:val="tx1"/>
            </w14:solidFill>
          </w14:textFill>
        </w:rPr>
        <w:t>____________________________</w:t>
      </w:r>
      <w:r>
        <w:rPr>
          <w:rFonts w:hint="eastAsia" w:ascii="宋体" w:hAnsi="宋体" w:eastAsia="宋体" w:cs="宋体"/>
          <w:color w:val="000000" w:themeColor="text1"/>
          <w:sz w:val="24"/>
          <w:szCs w:val="24"/>
          <w:highlight w:val="none"/>
          <w14:textFill>
            <w14:solidFill>
              <w14:schemeClr w14:val="tx1"/>
            </w14:solidFill>
          </w14:textFill>
        </w:rPr>
        <w:t>_项目的投标，为便于贵方公正、择优地确定中标人及其服务，我方就本次投标有关事项郑重声明如下：</w:t>
      </w:r>
    </w:p>
    <w:p w14:paraId="12D50A41">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1.我方向贵方提交的所有</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、资料都是准确的和真实的。</w:t>
      </w:r>
    </w:p>
    <w:p w14:paraId="54AF1698">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2.我方不是采购人的附属机构；在获知本项目采购信息后，与采购人聘请的为此项目提供咨询服务的公司及其附属机构没有任何联系。</w:t>
      </w:r>
    </w:p>
    <w:p w14:paraId="55154948">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3.我方此次向贵方提供的服务为：</w:t>
      </w:r>
      <w:r>
        <w:rPr>
          <w:rFonts w:hint="eastAsia" w:ascii="宋体" w:hAnsi="宋体" w:eastAsia="宋体" w:cs="宋体"/>
          <w:color w:val="000000" w:themeColor="text1"/>
          <w:sz w:val="24"/>
          <w:szCs w:val="24"/>
          <w:highlight w:val="none"/>
          <w:u w:val="single"/>
          <w14:textFill>
            <w14:solidFill>
              <w14:schemeClr w14:val="tx1"/>
            </w14:solidFill>
          </w14:textFill>
        </w:rPr>
        <w:t>　　　　　　　　　　　　　　　　　</w:t>
      </w:r>
      <w:r>
        <w:rPr>
          <w:rFonts w:hint="eastAsia" w:ascii="宋体" w:hAnsi="宋体" w:eastAsia="宋体" w:cs="宋体"/>
          <w:color w:val="000000" w:themeColor="text1"/>
          <w:sz w:val="24"/>
          <w:szCs w:val="24"/>
          <w:highlight w:val="none"/>
          <w14:textFill>
            <w14:solidFill>
              <w14:schemeClr w14:val="tx1"/>
            </w14:solidFill>
          </w14:textFill>
        </w:rPr>
        <w:t>。</w:t>
      </w:r>
    </w:p>
    <w:p w14:paraId="6BDB0CAF">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4.我方诚意提请贵方关注：近期有关本服务的重大决策和事项有：</w:t>
      </w:r>
    </w:p>
    <w:p w14:paraId="001591D8">
      <w:pPr>
        <w:snapToGrid w:val="0"/>
        <w:spacing w:line="360" w:lineRule="auto"/>
        <w:ind w:firstLine="480" w:firstLineChars="20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w:t>
      </w:r>
    </w:p>
    <w:p w14:paraId="7C9AC9D5">
      <w:pPr>
        <w:pStyle w:val="15"/>
        <w:numPr>
          <w:ilvl w:val="0"/>
          <w:numId w:val="4"/>
        </w:numPr>
        <w:snapToGrid w:val="0"/>
        <w:spacing w:after="0"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我方及由本人担任法定代表人的其他机构最近三年内被通报或者被处罚的违法</w:t>
      </w:r>
    </w:p>
    <w:p w14:paraId="5E70FA44">
      <w:pPr>
        <w:pStyle w:val="15"/>
        <w:snapToGrid w:val="0"/>
        <w:spacing w:after="0" w:line="360" w:lineRule="auto"/>
        <w:ind w:left="0" w:leftChars="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行为有：</w:t>
      </w:r>
      <w:r>
        <w:rPr>
          <w:rFonts w:hint="eastAsia" w:ascii="宋体" w:hAnsi="宋体" w:eastAsia="宋体" w:cs="宋体"/>
          <w:color w:val="000000" w:themeColor="text1"/>
          <w:sz w:val="24"/>
          <w:szCs w:val="24"/>
          <w:highlight w:val="none"/>
          <w:u w:val="single"/>
          <w14:textFill>
            <w14:solidFill>
              <w14:schemeClr w14:val="tx1"/>
            </w14:solidFill>
          </w14:textFill>
        </w:rPr>
        <w:t>　　　　　　　　　　　　　　　　　　　　　　　　　　　</w:t>
      </w:r>
    </w:p>
    <w:p w14:paraId="054E2B6E">
      <w:pPr>
        <w:snapToGrid w:val="0"/>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6.以上事项如有虚假或隐瞒，我方愿意承担一切后果，并不再寻求任何旨在减轻或免除法律责任的辩解。</w:t>
      </w:r>
    </w:p>
    <w:p w14:paraId="3A9FD702">
      <w:pPr>
        <w:snapToGrid w:val="0"/>
        <w:spacing w:line="360" w:lineRule="auto"/>
        <w:ind w:firstLine="200"/>
        <w:rPr>
          <w:rFonts w:hint="eastAsia" w:ascii="宋体" w:hAnsi="宋体" w:eastAsia="宋体" w:cs="宋体"/>
          <w:color w:val="000000" w:themeColor="text1"/>
          <w:sz w:val="24"/>
          <w:szCs w:val="24"/>
          <w:highlight w:val="none"/>
          <w14:textFill>
            <w14:solidFill>
              <w14:schemeClr w14:val="tx1"/>
            </w14:solidFill>
          </w14:textFill>
        </w:rPr>
      </w:pPr>
    </w:p>
    <w:p w14:paraId="4C4C457A">
      <w:pPr>
        <w:snapToGrid w:val="0"/>
        <w:spacing w:line="360" w:lineRule="auto"/>
        <w:ind w:firstLine="200"/>
        <w:rPr>
          <w:rFonts w:hint="eastAsia" w:ascii="宋体" w:hAnsi="宋体" w:eastAsia="宋体" w:cs="宋体"/>
          <w:color w:val="000000" w:themeColor="text1"/>
          <w:sz w:val="24"/>
          <w:szCs w:val="24"/>
          <w:highlight w:val="none"/>
          <w14:textFill>
            <w14:solidFill>
              <w14:schemeClr w14:val="tx1"/>
            </w14:solidFill>
          </w14:textFill>
        </w:rPr>
      </w:pPr>
    </w:p>
    <w:p w14:paraId="65C0465B">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(盖单位电子公章) </w:t>
      </w:r>
    </w:p>
    <w:p w14:paraId="70BA7040">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法定代表人或其委托代理人：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（签字或盖章） </w:t>
      </w:r>
    </w:p>
    <w:p w14:paraId="48663353">
      <w:pPr>
        <w:keepNext w:val="0"/>
        <w:keepLines w:val="0"/>
        <w:pageBreakBefore w:val="0"/>
        <w:widowControl w:val="0"/>
        <w:kinsoku/>
        <w:wordWrap/>
        <w:overflowPunct/>
        <w:topLinePunct w:val="0"/>
        <w:autoSpaceDE/>
        <w:autoSpaceDN/>
        <w:bidi w:val="0"/>
        <w:adjustRightInd/>
        <w:snapToGrid/>
        <w:spacing w:line="460" w:lineRule="exact"/>
        <w:ind w:firstLine="2880" w:firstLineChars="1200"/>
        <w:jc w:val="both"/>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日    期：</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   月   日</w:t>
      </w:r>
    </w:p>
    <w:p w14:paraId="78477655">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p w14:paraId="66331E01">
      <w:pPr>
        <w:widowControl/>
        <w:jc w:val="left"/>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br w:type="page"/>
      </w:r>
    </w:p>
    <w:p w14:paraId="79A48049">
      <w:pPr>
        <w:pStyle w:val="46"/>
        <w:snapToGrid w:val="0"/>
        <w:spacing w:line="360" w:lineRule="auto"/>
        <w:jc w:val="center"/>
        <w:outlineLvl w:val="2"/>
        <w:rPr>
          <w:rFonts w:hint="eastAsia" w:ascii="宋体" w:hAnsi="宋体" w:eastAsia="宋体" w:cs="宋体"/>
          <w:b/>
          <w:color w:val="000000" w:themeColor="text1"/>
          <w:sz w:val="28"/>
          <w:szCs w:val="28"/>
          <w:highlight w:val="none"/>
          <w:lang w:val="en-US" w:eastAsia="zh-CN"/>
          <w14:textFill>
            <w14:solidFill>
              <w14:schemeClr w14:val="tx1"/>
            </w14:solidFill>
          </w14:textFill>
        </w:rPr>
      </w:pPr>
      <w:bookmarkStart w:id="103" w:name="_Toc2656"/>
      <w:r>
        <w:rPr>
          <w:rFonts w:hint="eastAsia" w:ascii="宋体" w:hAnsi="宋体" w:eastAsia="宋体" w:cs="宋体"/>
          <w:b/>
          <w:color w:val="000000" w:themeColor="text1"/>
          <w:sz w:val="28"/>
          <w:szCs w:val="28"/>
          <w:highlight w:val="none"/>
          <w:lang w:val="en-US" w:eastAsia="zh-CN"/>
          <w14:textFill>
            <w14:solidFill>
              <w14:schemeClr w14:val="tx1"/>
            </w14:solidFill>
          </w14:textFill>
        </w:rPr>
        <w:t>（3）诚信承诺书</w:t>
      </w:r>
      <w:bookmarkEnd w:id="103"/>
    </w:p>
    <w:p w14:paraId="640D72D7">
      <w:pPr>
        <w:spacing w:line="360" w:lineRule="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致：</w:t>
      </w:r>
      <w:r>
        <w:rPr>
          <w:rFonts w:hint="eastAsia" w:ascii="宋体" w:hAnsi="宋体" w:eastAsia="宋体" w:cs="宋体"/>
          <w:color w:val="000000" w:themeColor="text1"/>
          <w:sz w:val="24"/>
          <w:szCs w:val="24"/>
          <w:highlight w:val="none"/>
          <w:lang w:eastAsia="zh-CN"/>
          <w14:textFill>
            <w14:solidFill>
              <w14:schemeClr w14:val="tx1"/>
            </w14:solidFill>
          </w14:textFill>
        </w:rPr>
        <w:t>台州市民航事务中心</w:t>
      </w:r>
    </w:p>
    <w:p w14:paraId="263C1DFD">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我方在参加贵单位的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政府采购项目的招投标活动中，郑重承诺如下：</w:t>
      </w:r>
    </w:p>
    <w:p w14:paraId="7C8EE39D">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1、我方申报的所有资料都是真实、准确、完整的；</w:t>
      </w:r>
    </w:p>
    <w:p w14:paraId="4447B3A2">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2、我方无资质挂靠情形，保证不参与串标、围标及抬标；</w:t>
      </w:r>
    </w:p>
    <w:p w14:paraId="4EB0C7ED">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3、我方未处于被各级行政主管部门做出停止市场行为处罚的期限内；</w:t>
      </w:r>
    </w:p>
    <w:p w14:paraId="700B1611">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4、我方参加本项目政府采购活动前3年内在经营活动中没有重大违法记录；</w:t>
      </w:r>
    </w:p>
    <w:p w14:paraId="7118B861">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5、若我方中标，将严格按照规定及时与采购人签订合同；</w:t>
      </w:r>
    </w:p>
    <w:p w14:paraId="1D997EA1">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6、若我方中标，将严格按照采购文件要求及</w:t>
      </w:r>
      <w:r>
        <w:rPr>
          <w:rFonts w:hint="eastAsia" w:ascii="宋体" w:hAnsi="宋体" w:eastAsia="宋体" w:cs="宋体"/>
          <w:color w:val="000000" w:themeColor="text1"/>
          <w:sz w:val="24"/>
          <w:szCs w:val="24"/>
          <w:highlight w:val="none"/>
          <w:lang w:eastAsia="zh-CN"/>
          <w14:textFill>
            <w14:solidFill>
              <w14:schemeClr w14:val="tx1"/>
            </w14:solidFill>
          </w14:textFill>
        </w:rPr>
        <w:t>响应文件</w:t>
      </w:r>
      <w:r>
        <w:rPr>
          <w:rFonts w:hint="eastAsia" w:ascii="宋体" w:hAnsi="宋体" w:eastAsia="宋体" w:cs="宋体"/>
          <w:color w:val="000000" w:themeColor="text1"/>
          <w:sz w:val="24"/>
          <w:szCs w:val="24"/>
          <w:highlight w:val="none"/>
          <w14:textFill>
            <w14:solidFill>
              <w14:schemeClr w14:val="tx1"/>
            </w14:solidFill>
          </w14:textFill>
        </w:rPr>
        <w:t>承诺的报价、质量、投标方案、项目负责人等内容组织实施；</w:t>
      </w:r>
    </w:p>
    <w:p w14:paraId="1DD36C87">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若违反上述承诺，隐瞒、提供虚假资料或不按采购文件要求组织实施或参与串标、抬标及围标等行为，被贵方发现或被他人举报查实，无条件接受采购人、行政监管部门作出的取消投标资格、中标资格、解除合同、拒绝后续政府采购投标、不良行为记录等的处罚。对造成的损失，任何法律和经济责任完全由我方负责。</w:t>
      </w:r>
    </w:p>
    <w:p w14:paraId="7DFE0F90">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特此承诺。</w:t>
      </w:r>
    </w:p>
    <w:p w14:paraId="5B26D3E6">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3DB81D8C">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03B3F3CC">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p>
    <w:p w14:paraId="13CECB16">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(盖单位电子公章) </w:t>
      </w:r>
    </w:p>
    <w:p w14:paraId="717B7FA4">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法定代表人或其委托代理人：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（签字或盖章）</w:t>
      </w:r>
    </w:p>
    <w:p w14:paraId="61F7A75F">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期：  年  月  日</w:t>
      </w:r>
    </w:p>
    <w:p w14:paraId="1A604DEC">
      <w:pPr>
        <w:widowControl/>
        <w:spacing w:line="360" w:lineRule="auto"/>
        <w:jc w:val="left"/>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br w:type="page"/>
      </w:r>
    </w:p>
    <w:p w14:paraId="6AEFBE47">
      <w:pPr>
        <w:pStyle w:val="46"/>
        <w:snapToGrid w:val="0"/>
        <w:spacing w:line="360" w:lineRule="auto"/>
        <w:jc w:val="center"/>
        <w:outlineLvl w:val="2"/>
        <w:rPr>
          <w:rFonts w:hint="eastAsia" w:ascii="宋体" w:hAnsi="宋体" w:eastAsia="宋体" w:cs="宋体"/>
          <w:b/>
          <w:color w:val="000000" w:themeColor="text1"/>
          <w:sz w:val="28"/>
          <w:szCs w:val="28"/>
          <w:highlight w:val="none"/>
          <w:lang w:val="en-US" w:eastAsia="zh-CN"/>
          <w14:textFill>
            <w14:solidFill>
              <w14:schemeClr w14:val="tx1"/>
            </w14:solidFill>
          </w14:textFill>
        </w:rPr>
      </w:pPr>
      <w:bookmarkStart w:id="104" w:name="_Toc21225"/>
      <w:r>
        <w:rPr>
          <w:rFonts w:hint="eastAsia" w:ascii="宋体" w:hAnsi="宋体" w:eastAsia="宋体" w:cs="宋体"/>
          <w:b/>
          <w:color w:val="000000" w:themeColor="text1"/>
          <w:sz w:val="28"/>
          <w:szCs w:val="28"/>
          <w:highlight w:val="none"/>
          <w:lang w:val="en-US" w:eastAsia="zh-CN"/>
          <w14:textFill>
            <w14:solidFill>
              <w14:schemeClr w14:val="tx1"/>
            </w14:solidFill>
          </w14:textFill>
        </w:rPr>
        <w:t>（4）中小企业声明函（如有）</w:t>
      </w:r>
      <w:bookmarkEnd w:id="104"/>
    </w:p>
    <w:p w14:paraId="2C33752A">
      <w:pPr>
        <w:widowControl/>
        <w:tabs>
          <w:tab w:val="left" w:pos="312"/>
        </w:tabs>
        <w:spacing w:line="500" w:lineRule="exact"/>
        <w:ind w:firstLine="480" w:firstLineChars="20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本公司</w:t>
      </w:r>
      <w:r>
        <w:rPr>
          <w:rFonts w:hint="eastAsia" w:ascii="宋体" w:hAnsi="宋体" w:eastAsia="宋体" w:cs="宋体"/>
          <w:bCs/>
          <w:color w:val="000000" w:themeColor="text1"/>
          <w:sz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highlight w:val="none"/>
          <w14:textFill>
            <w14:solidFill>
              <w14:schemeClr w14:val="tx1"/>
            </w14:solidFill>
          </w14:textFill>
        </w:rPr>
        <w:t>（联合体）郑重声明，根据《政府采购促进中小企业发展管理办法》（财库﹝2020﹞46 号）的规定，本公司参加</w:t>
      </w:r>
      <w:r>
        <w:rPr>
          <w:rFonts w:hint="eastAsia" w:ascii="宋体" w:hAnsi="宋体" w:eastAsia="宋体" w:cs="宋体"/>
          <w:bCs/>
          <w:color w:val="000000" w:themeColor="text1"/>
          <w:sz w:val="24"/>
          <w:highlight w:val="none"/>
          <w:u w:val="single"/>
          <w14:textFill>
            <w14:solidFill>
              <w14:schemeClr w14:val="tx1"/>
            </w14:solidFill>
          </w14:textFill>
        </w:rPr>
        <w:t>（单位名称）</w:t>
      </w:r>
      <w:r>
        <w:rPr>
          <w:rFonts w:hint="eastAsia" w:ascii="宋体" w:hAnsi="宋体" w:eastAsia="宋体" w:cs="宋体"/>
          <w:bCs/>
          <w:color w:val="000000" w:themeColor="text1"/>
          <w:sz w:val="24"/>
          <w:highlight w:val="none"/>
          <w14:textFill>
            <w14:solidFill>
              <w14:schemeClr w14:val="tx1"/>
            </w14:solidFill>
          </w14:textFill>
        </w:rPr>
        <w:t>的</w:t>
      </w:r>
      <w:r>
        <w:rPr>
          <w:rFonts w:hint="eastAsia" w:ascii="宋体" w:hAnsi="宋体" w:eastAsia="宋体" w:cs="宋体"/>
          <w:bCs/>
          <w:color w:val="000000" w:themeColor="text1"/>
          <w:sz w:val="24"/>
          <w:highlight w:val="none"/>
          <w:u w:val="single"/>
          <w14:textFill>
            <w14:solidFill>
              <w14:schemeClr w14:val="tx1"/>
            </w14:solidFill>
          </w14:textFill>
        </w:rPr>
        <w:t>（项目名称）</w:t>
      </w:r>
      <w:r>
        <w:rPr>
          <w:rFonts w:hint="eastAsia" w:ascii="宋体" w:hAnsi="宋体" w:eastAsia="宋体" w:cs="宋体"/>
          <w:bCs/>
          <w:color w:val="000000" w:themeColor="text1"/>
          <w:sz w:val="24"/>
          <w:highlight w:val="none"/>
          <w14:textFill>
            <w14:solidFill>
              <w14:schemeClr w14:val="tx1"/>
            </w14:solidFill>
          </w14:textFill>
        </w:rPr>
        <w:t>采购活动，工程的施工单位全部为符合政策要求的中小企业（或者：服务全部由符合政策要求的中小企业承接）。相关企业（含联合体中的中小企业、签订分包意向协议的中小企业）的具体情况如下：</w:t>
      </w:r>
    </w:p>
    <w:p w14:paraId="351E5ACF">
      <w:pPr>
        <w:widowControl/>
        <w:tabs>
          <w:tab w:val="left" w:pos="312"/>
        </w:tabs>
        <w:spacing w:line="500" w:lineRule="exact"/>
        <w:ind w:firstLine="480" w:firstLineChars="20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 xml:space="preserve">1. </w:t>
      </w:r>
      <w:r>
        <w:rPr>
          <w:rFonts w:hint="eastAsia" w:ascii="宋体" w:hAnsi="宋体" w:eastAsia="宋体" w:cs="宋体"/>
          <w:bCs/>
          <w:color w:val="000000" w:themeColor="text1"/>
          <w:sz w:val="24"/>
          <w:highlight w:val="none"/>
          <w:u w:val="single"/>
          <w14:textFill>
            <w14:solidFill>
              <w14:schemeClr w14:val="tx1"/>
            </w14:solidFill>
          </w14:textFill>
        </w:rPr>
        <w:t>（标的名称）</w:t>
      </w:r>
      <w:r>
        <w:rPr>
          <w:rFonts w:hint="eastAsia" w:ascii="宋体" w:hAnsi="宋体" w:eastAsia="宋体" w:cs="宋体"/>
          <w:bCs/>
          <w:color w:val="000000" w:themeColor="text1"/>
          <w:sz w:val="24"/>
          <w:highlight w:val="none"/>
          <w14:textFill>
            <w14:solidFill>
              <w14:schemeClr w14:val="tx1"/>
            </w14:solidFill>
          </w14:textFill>
        </w:rPr>
        <w:t>，属于</w:t>
      </w:r>
      <w:r>
        <w:rPr>
          <w:rFonts w:hint="eastAsia" w:ascii="宋体" w:hAnsi="宋体" w:eastAsia="宋体" w:cs="宋体"/>
          <w:bCs/>
          <w:color w:val="000000" w:themeColor="text1"/>
          <w:sz w:val="24"/>
          <w:highlight w:val="none"/>
          <w:u w:val="single"/>
          <w14:textFill>
            <w14:solidFill>
              <w14:schemeClr w14:val="tx1"/>
            </w14:solidFill>
          </w14:textFill>
        </w:rPr>
        <w:t>（采购文件中明确的所属行业）</w:t>
      </w:r>
      <w:r>
        <w:rPr>
          <w:rFonts w:hint="eastAsia" w:ascii="宋体" w:hAnsi="宋体" w:eastAsia="宋体" w:cs="宋体"/>
          <w:bCs/>
          <w:color w:val="000000" w:themeColor="text1"/>
          <w:sz w:val="24"/>
          <w:highlight w:val="none"/>
          <w14:textFill>
            <w14:solidFill>
              <w14:schemeClr w14:val="tx1"/>
            </w14:solidFill>
          </w14:textFill>
        </w:rPr>
        <w:t>行业；承建（承接）企业为</w:t>
      </w:r>
      <w:r>
        <w:rPr>
          <w:rFonts w:hint="eastAsia" w:ascii="宋体" w:hAnsi="宋体" w:eastAsia="宋体" w:cs="宋体"/>
          <w:bCs/>
          <w:color w:val="000000" w:themeColor="text1"/>
          <w:sz w:val="24"/>
          <w:highlight w:val="none"/>
          <w:u w:val="single"/>
          <w14:textFill>
            <w14:solidFill>
              <w14:schemeClr w14:val="tx1"/>
            </w14:solidFill>
          </w14:textFill>
        </w:rPr>
        <w:t>（企业名称）</w:t>
      </w:r>
      <w:r>
        <w:rPr>
          <w:rFonts w:hint="eastAsia" w:ascii="宋体" w:hAnsi="宋体" w:eastAsia="宋体" w:cs="宋体"/>
          <w:bCs/>
          <w:color w:val="000000" w:themeColor="text1"/>
          <w:sz w:val="24"/>
          <w:highlight w:val="none"/>
          <w14:textFill>
            <w14:solidFill>
              <w14:schemeClr w14:val="tx1"/>
            </w14:solidFill>
          </w14:textFill>
        </w:rPr>
        <w:t>，从业人员</w:t>
      </w:r>
      <w:r>
        <w:rPr>
          <w:rFonts w:hint="eastAsia" w:ascii="宋体" w:hAnsi="宋体" w:eastAsia="宋体" w:cs="宋体"/>
          <w:bCs/>
          <w:color w:val="000000" w:themeColor="text1"/>
          <w:sz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highlight w:val="none"/>
          <w14:textFill>
            <w14:solidFill>
              <w14:schemeClr w14:val="tx1"/>
            </w14:solidFill>
          </w14:textFill>
        </w:rPr>
        <w:t>人，营业收入为</w:t>
      </w:r>
      <w:r>
        <w:rPr>
          <w:rFonts w:hint="eastAsia" w:ascii="宋体" w:hAnsi="宋体" w:eastAsia="宋体" w:cs="宋体"/>
          <w:bCs/>
          <w:color w:val="000000" w:themeColor="text1"/>
          <w:sz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highlight w:val="none"/>
          <w14:textFill>
            <w14:solidFill>
              <w14:schemeClr w14:val="tx1"/>
            </w14:solidFill>
          </w14:textFill>
        </w:rPr>
        <w:t>万元，资产总额为</w:t>
      </w:r>
      <w:r>
        <w:rPr>
          <w:rFonts w:hint="eastAsia" w:ascii="宋体" w:hAnsi="宋体" w:eastAsia="宋体" w:cs="宋体"/>
          <w:bCs/>
          <w:color w:val="000000" w:themeColor="text1"/>
          <w:sz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highlight w:val="none"/>
          <w14:textFill>
            <w14:solidFill>
              <w14:schemeClr w14:val="tx1"/>
            </w14:solidFill>
          </w14:textFill>
        </w:rPr>
        <w:t>万元</w:t>
      </w:r>
      <w:r>
        <w:rPr>
          <w:rFonts w:hint="eastAsia" w:ascii="宋体" w:hAnsi="宋体" w:eastAsia="宋体" w:cs="宋体"/>
          <w:bCs/>
          <w:color w:val="000000" w:themeColor="text1"/>
          <w:sz w:val="24"/>
          <w:highlight w:val="none"/>
          <w:vertAlign w:val="superscript"/>
          <w14:textFill>
            <w14:solidFill>
              <w14:schemeClr w14:val="tx1"/>
            </w14:solidFill>
          </w14:textFill>
        </w:rPr>
        <w:t>1</w:t>
      </w:r>
      <w:r>
        <w:rPr>
          <w:rFonts w:hint="eastAsia" w:ascii="宋体" w:hAnsi="宋体" w:eastAsia="宋体" w:cs="宋体"/>
          <w:bCs/>
          <w:color w:val="000000" w:themeColor="text1"/>
          <w:sz w:val="24"/>
          <w:highlight w:val="none"/>
          <w14:textFill>
            <w14:solidFill>
              <w14:schemeClr w14:val="tx1"/>
            </w14:solidFill>
          </w14:textFill>
        </w:rPr>
        <w:t>，属于</w:t>
      </w:r>
      <w:r>
        <w:rPr>
          <w:rFonts w:hint="eastAsia" w:ascii="宋体" w:hAnsi="宋体" w:eastAsia="宋体" w:cs="宋体"/>
          <w:bCs/>
          <w:color w:val="000000" w:themeColor="text1"/>
          <w:sz w:val="24"/>
          <w:highlight w:val="none"/>
          <w:u w:val="single"/>
          <w14:textFill>
            <w14:solidFill>
              <w14:schemeClr w14:val="tx1"/>
            </w14:solidFill>
          </w14:textFill>
        </w:rPr>
        <w:t>（中型企业、小型企业、微型企业）</w:t>
      </w:r>
      <w:r>
        <w:rPr>
          <w:rFonts w:hint="eastAsia" w:ascii="宋体" w:hAnsi="宋体" w:eastAsia="宋体" w:cs="宋体"/>
          <w:bCs/>
          <w:color w:val="000000" w:themeColor="text1"/>
          <w:sz w:val="24"/>
          <w:highlight w:val="none"/>
          <w14:textFill>
            <w14:solidFill>
              <w14:schemeClr w14:val="tx1"/>
            </w14:solidFill>
          </w14:textFill>
        </w:rPr>
        <w:t>；</w:t>
      </w:r>
    </w:p>
    <w:p w14:paraId="64EC4E7C">
      <w:pPr>
        <w:widowControl/>
        <w:tabs>
          <w:tab w:val="left" w:pos="312"/>
        </w:tabs>
        <w:spacing w:line="500" w:lineRule="exact"/>
        <w:ind w:firstLine="480" w:firstLineChars="20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 xml:space="preserve">2. </w:t>
      </w:r>
      <w:r>
        <w:rPr>
          <w:rFonts w:hint="eastAsia" w:ascii="宋体" w:hAnsi="宋体" w:eastAsia="宋体" w:cs="宋体"/>
          <w:bCs/>
          <w:color w:val="000000" w:themeColor="text1"/>
          <w:sz w:val="24"/>
          <w:highlight w:val="none"/>
          <w:u w:val="single"/>
          <w14:textFill>
            <w14:solidFill>
              <w14:schemeClr w14:val="tx1"/>
            </w14:solidFill>
          </w14:textFill>
        </w:rPr>
        <w:t>（标的名称）</w:t>
      </w:r>
      <w:r>
        <w:rPr>
          <w:rFonts w:hint="eastAsia" w:ascii="宋体" w:hAnsi="宋体" w:eastAsia="宋体" w:cs="宋体"/>
          <w:bCs/>
          <w:color w:val="000000" w:themeColor="text1"/>
          <w:sz w:val="24"/>
          <w:highlight w:val="none"/>
          <w14:textFill>
            <w14:solidFill>
              <w14:schemeClr w14:val="tx1"/>
            </w14:solidFill>
          </w14:textFill>
        </w:rPr>
        <w:t>，属于</w:t>
      </w:r>
      <w:r>
        <w:rPr>
          <w:rFonts w:hint="eastAsia" w:ascii="宋体" w:hAnsi="宋体" w:eastAsia="宋体" w:cs="宋体"/>
          <w:bCs/>
          <w:color w:val="000000" w:themeColor="text1"/>
          <w:sz w:val="24"/>
          <w:highlight w:val="none"/>
          <w:u w:val="single"/>
          <w14:textFill>
            <w14:solidFill>
              <w14:schemeClr w14:val="tx1"/>
            </w14:solidFill>
          </w14:textFill>
        </w:rPr>
        <w:t>（采购文件中明确的所属行业）</w:t>
      </w:r>
      <w:r>
        <w:rPr>
          <w:rFonts w:hint="eastAsia" w:ascii="宋体" w:hAnsi="宋体" w:eastAsia="宋体" w:cs="宋体"/>
          <w:bCs/>
          <w:color w:val="000000" w:themeColor="text1"/>
          <w:sz w:val="24"/>
          <w:highlight w:val="none"/>
          <w14:textFill>
            <w14:solidFill>
              <w14:schemeClr w14:val="tx1"/>
            </w14:solidFill>
          </w14:textFill>
        </w:rPr>
        <w:t>行业；承建（承接）企业为</w:t>
      </w:r>
      <w:r>
        <w:rPr>
          <w:rFonts w:hint="eastAsia" w:ascii="宋体" w:hAnsi="宋体" w:eastAsia="宋体" w:cs="宋体"/>
          <w:bCs/>
          <w:color w:val="000000" w:themeColor="text1"/>
          <w:sz w:val="24"/>
          <w:highlight w:val="none"/>
          <w:u w:val="single"/>
          <w14:textFill>
            <w14:solidFill>
              <w14:schemeClr w14:val="tx1"/>
            </w14:solidFill>
          </w14:textFill>
        </w:rPr>
        <w:t>（企业名称）</w:t>
      </w:r>
      <w:r>
        <w:rPr>
          <w:rFonts w:hint="eastAsia" w:ascii="宋体" w:hAnsi="宋体" w:eastAsia="宋体" w:cs="宋体"/>
          <w:bCs/>
          <w:color w:val="000000" w:themeColor="text1"/>
          <w:sz w:val="24"/>
          <w:highlight w:val="none"/>
          <w14:textFill>
            <w14:solidFill>
              <w14:schemeClr w14:val="tx1"/>
            </w14:solidFill>
          </w14:textFill>
        </w:rPr>
        <w:t>，从业人员</w:t>
      </w:r>
      <w:r>
        <w:rPr>
          <w:rFonts w:hint="eastAsia" w:ascii="宋体" w:hAnsi="宋体" w:eastAsia="宋体" w:cs="宋体"/>
          <w:bCs/>
          <w:color w:val="000000" w:themeColor="text1"/>
          <w:sz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highlight w:val="none"/>
          <w14:textFill>
            <w14:solidFill>
              <w14:schemeClr w14:val="tx1"/>
            </w14:solidFill>
          </w14:textFill>
        </w:rPr>
        <w:t>人，营业收入为</w:t>
      </w:r>
      <w:r>
        <w:rPr>
          <w:rFonts w:hint="eastAsia" w:ascii="宋体" w:hAnsi="宋体" w:eastAsia="宋体" w:cs="宋体"/>
          <w:bCs/>
          <w:color w:val="000000" w:themeColor="text1"/>
          <w:sz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highlight w:val="none"/>
          <w14:textFill>
            <w14:solidFill>
              <w14:schemeClr w14:val="tx1"/>
            </w14:solidFill>
          </w14:textFill>
        </w:rPr>
        <w:t>万元，资产总额为</w:t>
      </w:r>
      <w:r>
        <w:rPr>
          <w:rFonts w:hint="eastAsia" w:ascii="宋体" w:hAnsi="宋体" w:eastAsia="宋体" w:cs="宋体"/>
          <w:bCs/>
          <w:color w:val="000000" w:themeColor="text1"/>
          <w:sz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highlight w:val="none"/>
          <w14:textFill>
            <w14:solidFill>
              <w14:schemeClr w14:val="tx1"/>
            </w14:solidFill>
          </w14:textFill>
        </w:rPr>
        <w:t>万元，属于（中型企业、小型企业、微型企业）；</w:t>
      </w:r>
    </w:p>
    <w:p w14:paraId="0283058A">
      <w:pPr>
        <w:widowControl/>
        <w:tabs>
          <w:tab w:val="left" w:pos="312"/>
        </w:tabs>
        <w:spacing w:line="500" w:lineRule="exact"/>
        <w:ind w:firstLine="480" w:firstLineChars="20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w:t>
      </w:r>
    </w:p>
    <w:p w14:paraId="18D6C560">
      <w:pPr>
        <w:widowControl/>
        <w:tabs>
          <w:tab w:val="left" w:pos="312"/>
        </w:tabs>
        <w:spacing w:line="500" w:lineRule="exact"/>
        <w:ind w:firstLine="480" w:firstLineChars="20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14:paraId="3C69D8A4">
      <w:pPr>
        <w:widowControl/>
        <w:tabs>
          <w:tab w:val="left" w:pos="312"/>
        </w:tabs>
        <w:spacing w:line="500" w:lineRule="exact"/>
        <w:ind w:firstLine="480" w:firstLineChars="200"/>
        <w:jc w:val="left"/>
        <w:rPr>
          <w:rFonts w:hint="eastAsia" w:ascii="宋体" w:hAnsi="宋体" w:eastAsia="宋体" w:cs="宋体"/>
          <w:bCs/>
          <w:color w:val="000000" w:themeColor="text1"/>
          <w:sz w:val="24"/>
          <w:highlight w:val="none"/>
          <w14:textFill>
            <w14:solidFill>
              <w14:schemeClr w14:val="tx1"/>
            </w14:solidFill>
          </w14:textFill>
        </w:rPr>
      </w:pPr>
      <w:r>
        <w:rPr>
          <w:rFonts w:hint="eastAsia" w:ascii="宋体" w:hAnsi="宋体" w:eastAsia="宋体" w:cs="宋体"/>
          <w:bCs/>
          <w:color w:val="000000" w:themeColor="text1"/>
          <w:sz w:val="24"/>
          <w:highlight w:val="none"/>
          <w14:textFill>
            <w14:solidFill>
              <w14:schemeClr w14:val="tx1"/>
            </w14:solidFill>
          </w14:textFill>
        </w:rPr>
        <w:t>本企业对上述声明内容的真实性负责。如有虚假，将依法承担相应责任。</w:t>
      </w:r>
    </w:p>
    <w:p w14:paraId="38AD6DF9">
      <w:pPr>
        <w:pStyle w:val="49"/>
        <w:spacing w:after="0" w:line="500" w:lineRule="exact"/>
        <w:rPr>
          <w:rFonts w:hint="eastAsia" w:ascii="宋体" w:hAnsi="宋体" w:eastAsia="宋体" w:cs="宋体"/>
          <w:color w:val="000000" w:themeColor="text1"/>
          <w:highlight w:val="none"/>
          <w14:textFill>
            <w14:solidFill>
              <w14:schemeClr w14:val="tx1"/>
            </w14:solidFill>
          </w14:textFill>
        </w:rPr>
      </w:pPr>
    </w:p>
    <w:p w14:paraId="4AA5FCDD">
      <w:pPr>
        <w:spacing w:line="360" w:lineRule="auto"/>
        <w:jc w:val="right"/>
        <w:rPr>
          <w:rFonts w:hint="eastAsia" w:ascii="宋体" w:hAnsi="宋体" w:eastAsia="宋体" w:cs="宋体"/>
          <w:color w:val="000000" w:themeColor="text1"/>
          <w:sz w:val="24"/>
          <w:szCs w:val="24"/>
          <w:highlight w:val="none"/>
          <w14:textFill>
            <w14:solidFill>
              <w14:schemeClr w14:val="tx1"/>
            </w14:solidFill>
          </w14:textFill>
        </w:rPr>
      </w:pPr>
    </w:p>
    <w:p w14:paraId="3CBB6547">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供应商：</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(盖单位电子公章) </w:t>
      </w:r>
    </w:p>
    <w:p w14:paraId="66D3508A">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法定代表人或其委托代理人：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（签字或盖章）</w:t>
      </w:r>
    </w:p>
    <w:p w14:paraId="21A48489">
      <w:pPr>
        <w:spacing w:line="360" w:lineRule="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日  期：  年  月  日</w:t>
      </w:r>
    </w:p>
    <w:p w14:paraId="69825B76">
      <w:pPr>
        <w:spacing w:line="500" w:lineRule="exact"/>
        <w:ind w:firstLine="3960" w:firstLineChars="1650"/>
        <w:rPr>
          <w:rFonts w:hint="eastAsia" w:ascii="宋体" w:hAnsi="宋体" w:eastAsia="宋体" w:cs="宋体"/>
          <w:color w:val="000000" w:themeColor="text1"/>
          <w:sz w:val="24"/>
          <w:highlight w:val="none"/>
          <w14:textFill>
            <w14:solidFill>
              <w14:schemeClr w14:val="tx1"/>
            </w14:solidFill>
          </w14:textFill>
        </w:rPr>
      </w:pPr>
    </w:p>
    <w:p w14:paraId="6070902F">
      <w:pPr>
        <w:pStyle w:val="18"/>
        <w:snapToGrid w:val="0"/>
        <w:spacing w:before="120" w:after="120" w:line="360" w:lineRule="auto"/>
        <w:ind w:firstLine="4800" w:firstLineChars="2000"/>
        <w:rPr>
          <w:rFonts w:hint="eastAsia" w:ascii="宋体" w:hAnsi="宋体" w:eastAsia="宋体" w:cs="宋体"/>
          <w:color w:val="000000" w:themeColor="text1"/>
          <w:highlight w:val="none"/>
          <w14:textFill>
            <w14:solidFill>
              <w14:schemeClr w14:val="tx1"/>
            </w14:solidFill>
          </w14:textFill>
        </w:rPr>
      </w:pPr>
    </w:p>
    <w:p w14:paraId="12848929">
      <w:pPr>
        <w:widowControl/>
        <w:jc w:val="left"/>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br w:type="page"/>
      </w:r>
    </w:p>
    <w:p w14:paraId="1BE223E4">
      <w:pPr>
        <w:pStyle w:val="46"/>
        <w:snapToGrid w:val="0"/>
        <w:spacing w:line="360" w:lineRule="auto"/>
        <w:jc w:val="center"/>
        <w:outlineLvl w:val="2"/>
        <w:rPr>
          <w:rFonts w:hint="eastAsia" w:ascii="宋体" w:hAnsi="宋体" w:eastAsia="宋体" w:cs="宋体"/>
          <w:b/>
          <w:color w:val="000000" w:themeColor="text1"/>
          <w:sz w:val="28"/>
          <w:szCs w:val="28"/>
          <w:highlight w:val="none"/>
          <w:lang w:val="en-US" w:eastAsia="zh-CN"/>
          <w14:textFill>
            <w14:solidFill>
              <w14:schemeClr w14:val="tx1"/>
            </w14:solidFill>
          </w14:textFill>
        </w:rPr>
      </w:pPr>
      <w:bookmarkStart w:id="105" w:name="_Toc23969"/>
      <w:r>
        <w:rPr>
          <w:rFonts w:hint="eastAsia" w:ascii="宋体" w:hAnsi="宋体" w:eastAsia="宋体" w:cs="宋体"/>
          <w:b/>
          <w:color w:val="000000" w:themeColor="text1"/>
          <w:sz w:val="28"/>
          <w:szCs w:val="28"/>
          <w:highlight w:val="none"/>
          <w:lang w:val="en-US" w:eastAsia="zh-CN"/>
          <w14:textFill>
            <w14:solidFill>
              <w14:schemeClr w14:val="tx1"/>
            </w14:solidFill>
          </w14:textFill>
        </w:rPr>
        <w:t>（5）残疾人福利性单位声明函（如有）</w:t>
      </w:r>
      <w:bookmarkEnd w:id="105"/>
    </w:p>
    <w:p w14:paraId="4E381346">
      <w:pPr>
        <w:widowControl/>
        <w:wordWrap w:val="0"/>
        <w:spacing w:line="360" w:lineRule="auto"/>
        <w:ind w:firstLine="480" w:firstLineChars="200"/>
        <w:jc w:val="left"/>
        <w:textAlignment w:val="top"/>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单位的</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kern w:val="0"/>
          <w:sz w:val="24"/>
          <w:szCs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14:paraId="234EE4BE">
      <w:pPr>
        <w:widowControl/>
        <w:wordWrap w:val="0"/>
        <w:spacing w:line="360" w:lineRule="auto"/>
        <w:ind w:firstLine="480" w:firstLineChars="200"/>
        <w:jc w:val="left"/>
        <w:textAlignment w:val="top"/>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本单位对上述声明的真实性负责。如有虚假，将依法承担相应责任。</w:t>
      </w:r>
    </w:p>
    <w:p w14:paraId="3500A67E">
      <w:pPr>
        <w:widowControl/>
        <w:wordWrap w:val="0"/>
        <w:spacing w:line="360" w:lineRule="auto"/>
        <w:ind w:firstLine="480" w:firstLineChars="200"/>
        <w:jc w:val="left"/>
        <w:textAlignment w:val="top"/>
        <w:rPr>
          <w:rFonts w:hint="eastAsia" w:ascii="宋体" w:hAnsi="宋体" w:eastAsia="宋体" w:cs="宋体"/>
          <w:color w:val="000000" w:themeColor="text1"/>
          <w:sz w:val="24"/>
          <w:szCs w:val="24"/>
          <w:highlight w:val="none"/>
          <w14:textFill>
            <w14:solidFill>
              <w14:schemeClr w14:val="tx1"/>
            </w14:solidFill>
          </w14:textFill>
        </w:rPr>
      </w:pPr>
    </w:p>
    <w:p w14:paraId="7704ADE9">
      <w:pPr>
        <w:pStyle w:val="14"/>
        <w:rPr>
          <w:rFonts w:hint="eastAsia" w:ascii="宋体" w:hAnsi="宋体" w:eastAsia="宋体" w:cs="宋体"/>
          <w:color w:val="000000" w:themeColor="text1"/>
          <w:highlight w:val="none"/>
          <w14:textFill>
            <w14:solidFill>
              <w14:schemeClr w14:val="tx1"/>
            </w14:solidFill>
          </w14:textFill>
        </w:rPr>
      </w:pPr>
    </w:p>
    <w:p w14:paraId="128766F0">
      <w:pPr>
        <w:pStyle w:val="18"/>
        <w:snapToGrid w:val="0"/>
        <w:spacing w:before="120" w:after="120" w:line="360" w:lineRule="auto"/>
        <w:ind w:firstLine="4800" w:firstLineChars="20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w:t>
      </w:r>
      <w:r>
        <w:rPr>
          <w:rFonts w:hint="eastAsia" w:ascii="宋体" w:hAnsi="宋体" w:eastAsia="宋体" w:cs="宋体"/>
          <w:color w:val="000000" w:themeColor="text1"/>
          <w:highlight w:val="none"/>
          <w:u w:val="single"/>
          <w14:textFill>
            <w14:solidFill>
              <w14:schemeClr w14:val="tx1"/>
            </w14:solidFill>
          </w14:textFill>
        </w:rPr>
        <w:t xml:space="preserve">            </w:t>
      </w:r>
      <w:r>
        <w:rPr>
          <w:rFonts w:hint="eastAsia" w:ascii="宋体" w:hAnsi="宋体" w:eastAsia="宋体" w:cs="宋体"/>
          <w:color w:val="000000" w:themeColor="text1"/>
          <w:highlight w:val="none"/>
          <w14:textFill>
            <w14:solidFill>
              <w14:schemeClr w14:val="tx1"/>
            </w14:solidFill>
          </w14:textFill>
        </w:rPr>
        <w:t xml:space="preserve">(盖单位电子公章) </w:t>
      </w:r>
    </w:p>
    <w:p w14:paraId="6D31C92D">
      <w:pPr>
        <w:pStyle w:val="18"/>
        <w:snapToGrid w:val="0"/>
        <w:spacing w:before="120" w:after="120" w:line="360" w:lineRule="auto"/>
        <w:ind w:firstLine="4800" w:firstLineChars="20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日  期：  年  月  日</w:t>
      </w:r>
    </w:p>
    <w:p w14:paraId="06C205A6">
      <w:pPr>
        <w:pStyle w:val="18"/>
        <w:snapToGrid w:val="0"/>
        <w:spacing w:before="120" w:after="120" w:line="360" w:lineRule="auto"/>
        <w:ind w:firstLine="4800" w:firstLineChars="2000"/>
        <w:rPr>
          <w:rFonts w:hint="eastAsia" w:ascii="宋体" w:hAnsi="宋体" w:eastAsia="宋体" w:cs="宋体"/>
          <w:color w:val="000000" w:themeColor="text1"/>
          <w:highlight w:val="none"/>
          <w14:textFill>
            <w14:solidFill>
              <w14:schemeClr w14:val="tx1"/>
            </w14:solidFill>
          </w14:textFill>
        </w:rPr>
      </w:pPr>
    </w:p>
    <w:p w14:paraId="45589F1F">
      <w:pPr>
        <w:widowControl/>
        <w:jc w:val="left"/>
        <w:rPr>
          <w:rFonts w:hint="eastAsia" w:ascii="宋体" w:hAnsi="宋体" w:eastAsia="宋体" w:cs="宋体"/>
          <w:b/>
          <w:bCs/>
          <w:color w:val="000000" w:themeColor="text1"/>
          <w:sz w:val="28"/>
          <w:szCs w:val="28"/>
          <w:highlight w:val="none"/>
          <w14:textFill>
            <w14:solidFill>
              <w14:schemeClr w14:val="tx1"/>
            </w14:solidFill>
          </w14:textFill>
        </w:rPr>
      </w:pPr>
      <w:bookmarkStart w:id="106" w:name="_Toc531093327"/>
      <w:bookmarkStart w:id="107" w:name="_Toc462128061"/>
      <w:bookmarkStart w:id="108" w:name="_Toc290463858"/>
      <w:bookmarkStart w:id="109" w:name="_Toc478298277"/>
      <w:r>
        <w:rPr>
          <w:rFonts w:hint="eastAsia" w:ascii="宋体" w:hAnsi="宋体" w:eastAsia="宋体" w:cs="宋体"/>
          <w:b/>
          <w:bCs/>
          <w:color w:val="000000" w:themeColor="text1"/>
          <w:sz w:val="28"/>
          <w:szCs w:val="28"/>
          <w:highlight w:val="none"/>
          <w14:textFill>
            <w14:solidFill>
              <w14:schemeClr w14:val="tx1"/>
            </w14:solidFill>
          </w14:textFill>
        </w:rPr>
        <w:br w:type="page"/>
      </w:r>
    </w:p>
    <w:p w14:paraId="5A5A2A7B">
      <w:pPr>
        <w:snapToGrid w:val="0"/>
        <w:spacing w:line="360" w:lineRule="auto"/>
        <w:jc w:val="center"/>
        <w:outlineLvl w:val="1"/>
        <w:rPr>
          <w:rStyle w:val="45"/>
          <w:rFonts w:hint="eastAsia" w:ascii="宋体" w:hAnsi="宋体" w:eastAsia="宋体" w:cs="宋体"/>
          <w:color w:val="000000" w:themeColor="text1"/>
          <w:highlight w:val="none"/>
          <w14:textFill>
            <w14:solidFill>
              <w14:schemeClr w14:val="tx1"/>
            </w14:solidFill>
          </w14:textFill>
        </w:rPr>
      </w:pPr>
      <w:bookmarkStart w:id="110" w:name="_Toc1266"/>
      <w:r>
        <w:rPr>
          <w:rStyle w:val="45"/>
          <w:rFonts w:hint="eastAsia" w:ascii="宋体" w:hAnsi="宋体" w:eastAsia="宋体" w:cs="宋体"/>
          <w:color w:val="000000" w:themeColor="text1"/>
          <w:highlight w:val="none"/>
          <w14:textFill>
            <w14:solidFill>
              <w14:schemeClr w14:val="tx1"/>
            </w14:solidFill>
          </w14:textFill>
        </w:rPr>
        <w:t>（四）</w:t>
      </w:r>
      <w:bookmarkStart w:id="111" w:name="_Toc483150957"/>
      <w:r>
        <w:rPr>
          <w:rStyle w:val="45"/>
          <w:rFonts w:hint="eastAsia" w:ascii="宋体" w:hAnsi="宋体" w:eastAsia="宋体" w:cs="宋体"/>
          <w:color w:val="000000" w:themeColor="text1"/>
          <w:highlight w:val="none"/>
          <w14:textFill>
            <w14:solidFill>
              <w14:schemeClr w14:val="tx1"/>
            </w14:solidFill>
          </w14:textFill>
        </w:rPr>
        <w:t>商务响应表</w:t>
      </w:r>
      <w:bookmarkEnd w:id="106"/>
      <w:bookmarkEnd w:id="110"/>
    </w:p>
    <w:p w14:paraId="7F741C9A">
      <w:pPr>
        <w:pStyle w:val="46"/>
        <w:snapToGrid w:val="0"/>
        <w:spacing w:line="360" w:lineRule="auto"/>
        <w:jc w:val="center"/>
        <w:outlineLvl w:val="2"/>
        <w:rPr>
          <w:rFonts w:hint="eastAsia" w:ascii="宋体" w:hAnsi="宋体" w:eastAsia="宋体" w:cs="宋体"/>
          <w:b/>
          <w:color w:val="000000" w:themeColor="text1"/>
          <w:sz w:val="28"/>
          <w:szCs w:val="28"/>
          <w:highlight w:val="none"/>
          <w:lang w:val="en-US" w:eastAsia="zh-CN"/>
          <w14:textFill>
            <w14:solidFill>
              <w14:schemeClr w14:val="tx1"/>
            </w14:solidFill>
          </w14:textFill>
        </w:rPr>
      </w:pPr>
      <w:bookmarkStart w:id="112" w:name="_Toc6979"/>
      <w:bookmarkStart w:id="113" w:name="_Toc531093328"/>
      <w:r>
        <w:rPr>
          <w:rFonts w:hint="eastAsia" w:ascii="宋体" w:hAnsi="宋体" w:eastAsia="宋体" w:cs="宋体"/>
          <w:b/>
          <w:color w:val="000000" w:themeColor="text1"/>
          <w:sz w:val="28"/>
          <w:szCs w:val="28"/>
          <w:highlight w:val="none"/>
          <w:lang w:val="en-US" w:eastAsia="zh-CN"/>
          <w14:textFill>
            <w14:solidFill>
              <w14:schemeClr w14:val="tx1"/>
            </w14:solidFill>
          </w14:textFill>
        </w:rPr>
        <w:t>(</w:t>
      </w:r>
      <w:bookmarkEnd w:id="107"/>
      <w:bookmarkEnd w:id="108"/>
      <w:bookmarkEnd w:id="109"/>
      <w:bookmarkEnd w:id="111"/>
      <w:r>
        <w:rPr>
          <w:rFonts w:hint="eastAsia" w:ascii="宋体" w:hAnsi="宋体" w:eastAsia="宋体" w:cs="宋体"/>
          <w:b/>
          <w:color w:val="000000" w:themeColor="text1"/>
          <w:sz w:val="28"/>
          <w:szCs w:val="28"/>
          <w:highlight w:val="none"/>
          <w:lang w:val="en-US" w:eastAsia="zh-CN"/>
          <w14:textFill>
            <w14:solidFill>
              <w14:schemeClr w14:val="tx1"/>
            </w14:solidFill>
          </w14:textFill>
        </w:rPr>
        <w:t>1)</w:t>
      </w:r>
      <w:bookmarkStart w:id="114" w:name="_Toc478298278"/>
      <w:bookmarkStart w:id="115" w:name="_Toc462128062"/>
      <w:bookmarkStart w:id="116" w:name="_Toc483150958"/>
      <w:bookmarkStart w:id="117" w:name="_Toc481057614"/>
      <w:r>
        <w:rPr>
          <w:rFonts w:hint="eastAsia" w:ascii="宋体" w:hAnsi="宋体" w:eastAsia="宋体" w:cs="宋体"/>
          <w:b/>
          <w:color w:val="000000" w:themeColor="text1"/>
          <w:sz w:val="28"/>
          <w:szCs w:val="28"/>
          <w:highlight w:val="none"/>
          <w:lang w:val="en-US" w:eastAsia="zh-CN"/>
          <w14:textFill>
            <w14:solidFill>
              <w14:schemeClr w14:val="tx1"/>
            </w14:solidFill>
          </w14:textFill>
        </w:rPr>
        <w:t>供应商基本情况表</w:t>
      </w:r>
      <w:bookmarkEnd w:id="112"/>
      <w:bookmarkEnd w:id="113"/>
    </w:p>
    <w:bookmarkEnd w:id="114"/>
    <w:bookmarkEnd w:id="115"/>
    <w:bookmarkEnd w:id="116"/>
    <w:bookmarkEnd w:id="117"/>
    <w:tbl>
      <w:tblPr>
        <w:tblStyle w:val="34"/>
        <w:tblW w:w="9201" w:type="dxa"/>
        <w:jc w:val="center"/>
        <w:tblLayout w:type="fixed"/>
        <w:tblCellMar>
          <w:top w:w="0" w:type="dxa"/>
          <w:left w:w="108" w:type="dxa"/>
          <w:bottom w:w="0" w:type="dxa"/>
          <w:right w:w="108" w:type="dxa"/>
        </w:tblCellMar>
      </w:tblPr>
      <w:tblGrid>
        <w:gridCol w:w="2052"/>
        <w:gridCol w:w="1010"/>
        <w:gridCol w:w="1477"/>
        <w:gridCol w:w="1098"/>
        <w:gridCol w:w="1233"/>
        <w:gridCol w:w="894"/>
        <w:gridCol w:w="1437"/>
      </w:tblGrid>
      <w:tr w14:paraId="70055EAB">
        <w:tblPrEx>
          <w:tblCellMar>
            <w:top w:w="0" w:type="dxa"/>
            <w:left w:w="108" w:type="dxa"/>
            <w:bottom w:w="0" w:type="dxa"/>
            <w:right w:w="108" w:type="dxa"/>
          </w:tblCellMar>
        </w:tblPrEx>
        <w:trPr>
          <w:trHeight w:val="557" w:hRule="atLeast"/>
          <w:jc w:val="center"/>
        </w:trPr>
        <w:tc>
          <w:tcPr>
            <w:tcW w:w="2052" w:type="dxa"/>
            <w:tcBorders>
              <w:top w:val="single" w:color="000000" w:sz="18" w:space="0"/>
              <w:left w:val="single" w:color="000000" w:sz="18" w:space="0"/>
              <w:bottom w:val="single" w:color="000000" w:sz="6" w:space="0"/>
              <w:right w:val="single" w:color="000000" w:sz="6" w:space="0"/>
            </w:tcBorders>
            <w:vAlign w:val="center"/>
          </w:tcPr>
          <w:p w14:paraId="4931B19B">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供应商名称</w:t>
            </w:r>
          </w:p>
        </w:tc>
        <w:tc>
          <w:tcPr>
            <w:tcW w:w="7149" w:type="dxa"/>
            <w:gridSpan w:val="6"/>
            <w:tcBorders>
              <w:top w:val="single" w:color="000000" w:sz="18" w:space="0"/>
              <w:left w:val="single" w:color="000000" w:sz="6" w:space="0"/>
              <w:bottom w:val="single" w:color="000000" w:sz="6" w:space="0"/>
              <w:right w:val="single" w:color="000000" w:sz="18" w:space="0"/>
            </w:tcBorders>
            <w:vAlign w:val="center"/>
          </w:tcPr>
          <w:p w14:paraId="717DA76D">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2A69D1C0">
        <w:tblPrEx>
          <w:tblCellMar>
            <w:top w:w="0" w:type="dxa"/>
            <w:left w:w="108" w:type="dxa"/>
            <w:bottom w:w="0" w:type="dxa"/>
            <w:right w:w="108" w:type="dxa"/>
          </w:tblCellMar>
        </w:tblPrEx>
        <w:trPr>
          <w:trHeight w:val="514" w:hRule="atLeast"/>
          <w:jc w:val="center"/>
        </w:trPr>
        <w:tc>
          <w:tcPr>
            <w:tcW w:w="2052" w:type="dxa"/>
            <w:tcBorders>
              <w:top w:val="single" w:color="000000" w:sz="6" w:space="0"/>
              <w:left w:val="single" w:color="000000" w:sz="18" w:space="0"/>
              <w:bottom w:val="single" w:color="000000" w:sz="6" w:space="0"/>
              <w:right w:val="single" w:color="000000" w:sz="6" w:space="0"/>
            </w:tcBorders>
            <w:vAlign w:val="center"/>
          </w:tcPr>
          <w:p w14:paraId="6E543867">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注册地址</w:t>
            </w:r>
          </w:p>
        </w:tc>
        <w:tc>
          <w:tcPr>
            <w:tcW w:w="3585" w:type="dxa"/>
            <w:gridSpan w:val="3"/>
            <w:tcBorders>
              <w:top w:val="single" w:color="000000" w:sz="6" w:space="0"/>
              <w:left w:val="single" w:color="000000" w:sz="6" w:space="0"/>
              <w:bottom w:val="single" w:color="000000" w:sz="6" w:space="0"/>
              <w:right w:val="single" w:color="000000" w:sz="6" w:space="0"/>
            </w:tcBorders>
            <w:vAlign w:val="center"/>
          </w:tcPr>
          <w:p w14:paraId="433C6E78">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233" w:type="dxa"/>
            <w:tcBorders>
              <w:top w:val="single" w:color="000000" w:sz="6" w:space="0"/>
              <w:left w:val="single" w:color="000000" w:sz="6" w:space="0"/>
              <w:bottom w:val="single" w:color="000000" w:sz="6" w:space="0"/>
              <w:right w:val="single" w:color="000000" w:sz="6" w:space="0"/>
            </w:tcBorders>
            <w:vAlign w:val="center"/>
          </w:tcPr>
          <w:p w14:paraId="77D4A0BB">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邮政编码</w:t>
            </w:r>
          </w:p>
        </w:tc>
        <w:tc>
          <w:tcPr>
            <w:tcW w:w="2331" w:type="dxa"/>
            <w:gridSpan w:val="2"/>
            <w:tcBorders>
              <w:top w:val="single" w:color="000000" w:sz="6" w:space="0"/>
              <w:left w:val="single" w:color="000000" w:sz="6" w:space="0"/>
              <w:bottom w:val="single" w:color="000000" w:sz="6" w:space="0"/>
              <w:right w:val="single" w:color="000000" w:sz="18" w:space="0"/>
            </w:tcBorders>
            <w:vAlign w:val="center"/>
          </w:tcPr>
          <w:p w14:paraId="2F25CAE8">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4D7AE4CF">
        <w:tblPrEx>
          <w:tblCellMar>
            <w:top w:w="0" w:type="dxa"/>
            <w:left w:w="108" w:type="dxa"/>
            <w:bottom w:w="0" w:type="dxa"/>
            <w:right w:w="108" w:type="dxa"/>
          </w:tblCellMar>
        </w:tblPrEx>
        <w:trPr>
          <w:trHeight w:val="495" w:hRule="atLeast"/>
          <w:jc w:val="center"/>
        </w:trPr>
        <w:tc>
          <w:tcPr>
            <w:tcW w:w="2052" w:type="dxa"/>
            <w:vMerge w:val="restart"/>
            <w:tcBorders>
              <w:top w:val="single" w:color="000000" w:sz="6" w:space="0"/>
              <w:left w:val="single" w:color="000000" w:sz="18" w:space="0"/>
              <w:bottom w:val="single" w:color="000000" w:sz="6" w:space="0"/>
              <w:right w:val="single" w:color="000000" w:sz="6" w:space="0"/>
            </w:tcBorders>
            <w:vAlign w:val="center"/>
          </w:tcPr>
          <w:p w14:paraId="42575BB1">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联系方式</w:t>
            </w:r>
          </w:p>
        </w:tc>
        <w:tc>
          <w:tcPr>
            <w:tcW w:w="1010" w:type="dxa"/>
            <w:tcBorders>
              <w:top w:val="single" w:color="000000" w:sz="6" w:space="0"/>
              <w:left w:val="single" w:color="000000" w:sz="6" w:space="0"/>
              <w:bottom w:val="single" w:color="000000" w:sz="6" w:space="0"/>
              <w:right w:val="single" w:color="000000" w:sz="6" w:space="0"/>
            </w:tcBorders>
            <w:vAlign w:val="center"/>
          </w:tcPr>
          <w:p w14:paraId="1C52EA3E">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联系人</w:t>
            </w:r>
          </w:p>
        </w:tc>
        <w:tc>
          <w:tcPr>
            <w:tcW w:w="2575" w:type="dxa"/>
            <w:gridSpan w:val="2"/>
            <w:tcBorders>
              <w:top w:val="single" w:color="000000" w:sz="6" w:space="0"/>
              <w:left w:val="single" w:color="000000" w:sz="6" w:space="0"/>
              <w:bottom w:val="single" w:color="000000" w:sz="6" w:space="0"/>
              <w:right w:val="single" w:color="000000" w:sz="6" w:space="0"/>
            </w:tcBorders>
            <w:vAlign w:val="center"/>
          </w:tcPr>
          <w:p w14:paraId="6E803121">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233" w:type="dxa"/>
            <w:tcBorders>
              <w:top w:val="single" w:color="000000" w:sz="6" w:space="0"/>
              <w:left w:val="single" w:color="000000" w:sz="6" w:space="0"/>
              <w:bottom w:val="single" w:color="000000" w:sz="6" w:space="0"/>
              <w:right w:val="single" w:color="000000" w:sz="6" w:space="0"/>
            </w:tcBorders>
            <w:vAlign w:val="center"/>
          </w:tcPr>
          <w:p w14:paraId="1F241ADA">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电话</w:t>
            </w:r>
          </w:p>
        </w:tc>
        <w:tc>
          <w:tcPr>
            <w:tcW w:w="2331" w:type="dxa"/>
            <w:gridSpan w:val="2"/>
            <w:tcBorders>
              <w:top w:val="single" w:color="000000" w:sz="6" w:space="0"/>
              <w:left w:val="single" w:color="000000" w:sz="6" w:space="0"/>
              <w:bottom w:val="single" w:color="000000" w:sz="6" w:space="0"/>
              <w:right w:val="single" w:color="000000" w:sz="18" w:space="0"/>
            </w:tcBorders>
            <w:vAlign w:val="center"/>
          </w:tcPr>
          <w:p w14:paraId="65BCC3D5">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57F4F9AC">
        <w:tblPrEx>
          <w:tblCellMar>
            <w:top w:w="0" w:type="dxa"/>
            <w:left w:w="108" w:type="dxa"/>
            <w:bottom w:w="0" w:type="dxa"/>
            <w:right w:w="108" w:type="dxa"/>
          </w:tblCellMar>
        </w:tblPrEx>
        <w:trPr>
          <w:trHeight w:val="532" w:hRule="atLeast"/>
          <w:jc w:val="center"/>
        </w:trPr>
        <w:tc>
          <w:tcPr>
            <w:tcW w:w="2052" w:type="dxa"/>
            <w:vMerge w:val="continue"/>
            <w:tcBorders>
              <w:top w:val="single" w:color="000000" w:sz="6" w:space="0"/>
              <w:left w:val="single" w:color="000000" w:sz="18" w:space="0"/>
              <w:bottom w:val="single" w:color="000000" w:sz="6" w:space="0"/>
              <w:right w:val="single" w:color="000000" w:sz="6" w:space="0"/>
            </w:tcBorders>
            <w:vAlign w:val="center"/>
          </w:tcPr>
          <w:p w14:paraId="28FA235C">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010" w:type="dxa"/>
            <w:tcBorders>
              <w:top w:val="single" w:color="000000" w:sz="6" w:space="0"/>
              <w:left w:val="single" w:color="000000" w:sz="6" w:space="0"/>
              <w:bottom w:val="single" w:color="000000" w:sz="6" w:space="0"/>
              <w:right w:val="single" w:color="000000" w:sz="6" w:space="0"/>
            </w:tcBorders>
            <w:vAlign w:val="center"/>
          </w:tcPr>
          <w:p w14:paraId="252510C9">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传真</w:t>
            </w:r>
          </w:p>
        </w:tc>
        <w:tc>
          <w:tcPr>
            <w:tcW w:w="2575" w:type="dxa"/>
            <w:gridSpan w:val="2"/>
            <w:tcBorders>
              <w:top w:val="single" w:color="000000" w:sz="6" w:space="0"/>
              <w:left w:val="single" w:color="000000" w:sz="6" w:space="0"/>
              <w:bottom w:val="single" w:color="000000" w:sz="6" w:space="0"/>
              <w:right w:val="single" w:color="000000" w:sz="6" w:space="0"/>
            </w:tcBorders>
            <w:vAlign w:val="center"/>
          </w:tcPr>
          <w:p w14:paraId="5AE8DFE8">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233" w:type="dxa"/>
            <w:tcBorders>
              <w:top w:val="single" w:color="000000" w:sz="6" w:space="0"/>
              <w:left w:val="single" w:color="000000" w:sz="6" w:space="0"/>
              <w:bottom w:val="single" w:color="000000" w:sz="6" w:space="0"/>
              <w:right w:val="single" w:color="000000" w:sz="6" w:space="0"/>
            </w:tcBorders>
            <w:vAlign w:val="center"/>
          </w:tcPr>
          <w:p w14:paraId="5D17447B">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电子邮件</w:t>
            </w:r>
          </w:p>
        </w:tc>
        <w:tc>
          <w:tcPr>
            <w:tcW w:w="2331" w:type="dxa"/>
            <w:gridSpan w:val="2"/>
            <w:tcBorders>
              <w:top w:val="single" w:color="000000" w:sz="6" w:space="0"/>
              <w:left w:val="single" w:color="000000" w:sz="6" w:space="0"/>
              <w:bottom w:val="single" w:color="000000" w:sz="6" w:space="0"/>
              <w:right w:val="single" w:color="000000" w:sz="18" w:space="0"/>
            </w:tcBorders>
            <w:vAlign w:val="center"/>
          </w:tcPr>
          <w:p w14:paraId="2B9C6E90">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062EFF12">
        <w:tblPrEx>
          <w:tblCellMar>
            <w:top w:w="0" w:type="dxa"/>
            <w:left w:w="108" w:type="dxa"/>
            <w:bottom w:w="0" w:type="dxa"/>
            <w:right w:w="108" w:type="dxa"/>
          </w:tblCellMar>
        </w:tblPrEx>
        <w:trPr>
          <w:trHeight w:val="510" w:hRule="atLeast"/>
          <w:jc w:val="center"/>
        </w:trPr>
        <w:tc>
          <w:tcPr>
            <w:tcW w:w="2052" w:type="dxa"/>
            <w:tcBorders>
              <w:top w:val="single" w:color="000000" w:sz="6" w:space="0"/>
              <w:left w:val="single" w:color="000000" w:sz="18" w:space="0"/>
              <w:bottom w:val="single" w:color="000000" w:sz="6" w:space="0"/>
              <w:right w:val="single" w:color="000000" w:sz="6" w:space="0"/>
            </w:tcBorders>
            <w:vAlign w:val="center"/>
          </w:tcPr>
          <w:p w14:paraId="41784CEE">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法定代表人</w:t>
            </w:r>
          </w:p>
        </w:tc>
        <w:tc>
          <w:tcPr>
            <w:tcW w:w="1010" w:type="dxa"/>
            <w:tcBorders>
              <w:top w:val="single" w:color="000000" w:sz="6" w:space="0"/>
              <w:left w:val="single" w:color="000000" w:sz="6" w:space="0"/>
              <w:bottom w:val="single" w:color="000000" w:sz="6" w:space="0"/>
              <w:right w:val="single" w:color="000000" w:sz="6" w:space="0"/>
            </w:tcBorders>
            <w:vAlign w:val="center"/>
          </w:tcPr>
          <w:p w14:paraId="40A3B3B5">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姓名</w:t>
            </w:r>
          </w:p>
        </w:tc>
        <w:tc>
          <w:tcPr>
            <w:tcW w:w="2575" w:type="dxa"/>
            <w:gridSpan w:val="2"/>
            <w:tcBorders>
              <w:top w:val="single" w:color="000000" w:sz="6" w:space="0"/>
              <w:left w:val="single" w:color="000000" w:sz="6" w:space="0"/>
              <w:bottom w:val="single" w:color="000000" w:sz="6" w:space="0"/>
              <w:right w:val="single" w:color="000000" w:sz="6" w:space="0"/>
            </w:tcBorders>
            <w:vAlign w:val="center"/>
          </w:tcPr>
          <w:p w14:paraId="3909518C">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233" w:type="dxa"/>
            <w:tcBorders>
              <w:top w:val="single" w:color="000000" w:sz="6" w:space="0"/>
              <w:left w:val="single" w:color="000000" w:sz="6" w:space="0"/>
              <w:bottom w:val="single" w:color="000000" w:sz="6" w:space="0"/>
              <w:right w:val="single" w:color="000000" w:sz="6" w:space="0"/>
            </w:tcBorders>
            <w:vAlign w:val="center"/>
          </w:tcPr>
          <w:p w14:paraId="431EA987">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894" w:type="dxa"/>
            <w:tcBorders>
              <w:top w:val="single" w:color="000000" w:sz="6" w:space="0"/>
              <w:left w:val="single" w:color="000000" w:sz="6" w:space="0"/>
              <w:bottom w:val="single" w:color="000000" w:sz="6" w:space="0"/>
              <w:right w:val="single" w:color="000000" w:sz="6" w:space="0"/>
            </w:tcBorders>
            <w:vAlign w:val="center"/>
          </w:tcPr>
          <w:p w14:paraId="6DFA78FA">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电话</w:t>
            </w:r>
          </w:p>
        </w:tc>
        <w:tc>
          <w:tcPr>
            <w:tcW w:w="1437" w:type="dxa"/>
            <w:tcBorders>
              <w:top w:val="single" w:color="000000" w:sz="6" w:space="0"/>
              <w:left w:val="single" w:color="000000" w:sz="6" w:space="0"/>
              <w:bottom w:val="single" w:color="000000" w:sz="6" w:space="0"/>
              <w:right w:val="single" w:color="000000" w:sz="18" w:space="0"/>
            </w:tcBorders>
            <w:vAlign w:val="center"/>
          </w:tcPr>
          <w:p w14:paraId="0C3A0009">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4242B73E">
        <w:tblPrEx>
          <w:tblCellMar>
            <w:top w:w="0" w:type="dxa"/>
            <w:left w:w="108" w:type="dxa"/>
            <w:bottom w:w="0" w:type="dxa"/>
            <w:right w:w="108" w:type="dxa"/>
          </w:tblCellMar>
        </w:tblPrEx>
        <w:trPr>
          <w:trHeight w:val="505" w:hRule="atLeast"/>
          <w:jc w:val="center"/>
        </w:trPr>
        <w:tc>
          <w:tcPr>
            <w:tcW w:w="2052" w:type="dxa"/>
            <w:tcBorders>
              <w:top w:val="single" w:color="000000" w:sz="6" w:space="0"/>
              <w:left w:val="single" w:color="000000" w:sz="18" w:space="0"/>
              <w:bottom w:val="single" w:color="000000" w:sz="6" w:space="0"/>
              <w:right w:val="single" w:color="000000" w:sz="6" w:space="0"/>
            </w:tcBorders>
            <w:vAlign w:val="center"/>
          </w:tcPr>
          <w:p w14:paraId="518CF82C">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项目负责人</w:t>
            </w:r>
          </w:p>
        </w:tc>
        <w:tc>
          <w:tcPr>
            <w:tcW w:w="1010" w:type="dxa"/>
            <w:tcBorders>
              <w:top w:val="single" w:color="000000" w:sz="6" w:space="0"/>
              <w:left w:val="single" w:color="000000" w:sz="6" w:space="0"/>
              <w:bottom w:val="single" w:color="000000" w:sz="6" w:space="0"/>
              <w:right w:val="single" w:color="000000" w:sz="6" w:space="0"/>
            </w:tcBorders>
            <w:vAlign w:val="center"/>
          </w:tcPr>
          <w:p w14:paraId="4313C49E">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姓名</w:t>
            </w:r>
          </w:p>
        </w:tc>
        <w:tc>
          <w:tcPr>
            <w:tcW w:w="2575" w:type="dxa"/>
            <w:gridSpan w:val="2"/>
            <w:tcBorders>
              <w:top w:val="single" w:color="000000" w:sz="6" w:space="0"/>
              <w:left w:val="single" w:color="000000" w:sz="6" w:space="0"/>
              <w:bottom w:val="single" w:color="000000" w:sz="6" w:space="0"/>
              <w:right w:val="single" w:color="000000" w:sz="6" w:space="0"/>
            </w:tcBorders>
            <w:vAlign w:val="center"/>
          </w:tcPr>
          <w:p w14:paraId="530EACF1">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233" w:type="dxa"/>
            <w:tcBorders>
              <w:top w:val="single" w:color="000000" w:sz="6" w:space="0"/>
              <w:left w:val="single" w:color="000000" w:sz="6" w:space="0"/>
              <w:bottom w:val="single" w:color="000000" w:sz="6" w:space="0"/>
              <w:right w:val="single" w:color="000000" w:sz="6" w:space="0"/>
            </w:tcBorders>
            <w:vAlign w:val="center"/>
          </w:tcPr>
          <w:p w14:paraId="7E7B7E53">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894" w:type="dxa"/>
            <w:tcBorders>
              <w:top w:val="single" w:color="000000" w:sz="6" w:space="0"/>
              <w:left w:val="single" w:color="000000" w:sz="6" w:space="0"/>
              <w:bottom w:val="single" w:color="000000" w:sz="6" w:space="0"/>
              <w:right w:val="single" w:color="000000" w:sz="6" w:space="0"/>
            </w:tcBorders>
            <w:vAlign w:val="center"/>
          </w:tcPr>
          <w:p w14:paraId="525C41FD">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电话</w:t>
            </w:r>
          </w:p>
        </w:tc>
        <w:tc>
          <w:tcPr>
            <w:tcW w:w="1437" w:type="dxa"/>
            <w:tcBorders>
              <w:top w:val="single" w:color="000000" w:sz="6" w:space="0"/>
              <w:left w:val="single" w:color="000000" w:sz="6" w:space="0"/>
              <w:bottom w:val="single" w:color="000000" w:sz="6" w:space="0"/>
              <w:right w:val="single" w:color="000000" w:sz="18" w:space="0"/>
            </w:tcBorders>
            <w:vAlign w:val="center"/>
          </w:tcPr>
          <w:p w14:paraId="6FCBC191">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778BFBCA">
        <w:tblPrEx>
          <w:tblCellMar>
            <w:top w:w="0" w:type="dxa"/>
            <w:left w:w="108" w:type="dxa"/>
            <w:bottom w:w="0" w:type="dxa"/>
            <w:right w:w="108" w:type="dxa"/>
          </w:tblCellMar>
        </w:tblPrEx>
        <w:trPr>
          <w:trHeight w:val="422" w:hRule="atLeast"/>
          <w:jc w:val="center"/>
        </w:trPr>
        <w:tc>
          <w:tcPr>
            <w:tcW w:w="2052" w:type="dxa"/>
            <w:tcBorders>
              <w:top w:val="single" w:color="000000" w:sz="6" w:space="0"/>
              <w:left w:val="single" w:color="000000" w:sz="18" w:space="0"/>
              <w:bottom w:val="single" w:color="000000" w:sz="6" w:space="0"/>
              <w:right w:val="single" w:color="000000" w:sz="6" w:space="0"/>
            </w:tcBorders>
            <w:vAlign w:val="center"/>
          </w:tcPr>
          <w:p w14:paraId="2AE5718E">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成立时间</w:t>
            </w:r>
          </w:p>
        </w:tc>
        <w:tc>
          <w:tcPr>
            <w:tcW w:w="2487" w:type="dxa"/>
            <w:gridSpan w:val="2"/>
            <w:tcBorders>
              <w:top w:val="single" w:color="000000" w:sz="6" w:space="0"/>
              <w:left w:val="single" w:color="000000" w:sz="6" w:space="0"/>
              <w:bottom w:val="single" w:color="000000" w:sz="6" w:space="0"/>
              <w:right w:val="single" w:color="000000" w:sz="6" w:space="0"/>
            </w:tcBorders>
            <w:vAlign w:val="center"/>
          </w:tcPr>
          <w:p w14:paraId="1637E490">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4662" w:type="dxa"/>
            <w:gridSpan w:val="4"/>
            <w:tcBorders>
              <w:top w:val="single" w:color="000000" w:sz="6" w:space="0"/>
              <w:left w:val="single" w:color="000000" w:sz="6" w:space="0"/>
              <w:bottom w:val="single" w:color="000000" w:sz="6" w:space="0"/>
              <w:right w:val="single" w:color="000000" w:sz="18" w:space="0"/>
            </w:tcBorders>
            <w:vAlign w:val="center"/>
          </w:tcPr>
          <w:p w14:paraId="4F130856">
            <w:pPr>
              <w:autoSpaceDE w:val="0"/>
              <w:autoSpaceDN w:val="0"/>
              <w:adjustRightInd w:val="0"/>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员工总人数：</w:t>
            </w:r>
          </w:p>
        </w:tc>
      </w:tr>
      <w:tr w14:paraId="1DA57801">
        <w:tblPrEx>
          <w:tblCellMar>
            <w:top w:w="0" w:type="dxa"/>
            <w:left w:w="108" w:type="dxa"/>
            <w:bottom w:w="0" w:type="dxa"/>
            <w:right w:w="108" w:type="dxa"/>
          </w:tblCellMar>
        </w:tblPrEx>
        <w:trPr>
          <w:trHeight w:val="552" w:hRule="atLeast"/>
          <w:jc w:val="center"/>
        </w:trPr>
        <w:tc>
          <w:tcPr>
            <w:tcW w:w="2052" w:type="dxa"/>
            <w:tcBorders>
              <w:top w:val="single" w:color="000000" w:sz="6" w:space="0"/>
              <w:left w:val="single" w:color="000000" w:sz="18" w:space="0"/>
              <w:bottom w:val="single" w:color="000000" w:sz="6" w:space="0"/>
              <w:right w:val="single" w:color="000000" w:sz="6" w:space="0"/>
            </w:tcBorders>
            <w:vAlign w:val="center"/>
          </w:tcPr>
          <w:p w14:paraId="6441DB75">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注册资金</w:t>
            </w:r>
          </w:p>
        </w:tc>
        <w:tc>
          <w:tcPr>
            <w:tcW w:w="7149" w:type="dxa"/>
            <w:gridSpan w:val="6"/>
            <w:tcBorders>
              <w:top w:val="single" w:color="000000" w:sz="6" w:space="0"/>
              <w:left w:val="single" w:color="000000" w:sz="6" w:space="0"/>
              <w:bottom w:val="single" w:color="000000" w:sz="6" w:space="0"/>
              <w:right w:val="single" w:color="000000" w:sz="18" w:space="0"/>
            </w:tcBorders>
            <w:vAlign w:val="center"/>
          </w:tcPr>
          <w:p w14:paraId="67444D22">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2E5604E5">
        <w:tblPrEx>
          <w:tblCellMar>
            <w:top w:w="0" w:type="dxa"/>
            <w:left w:w="108" w:type="dxa"/>
            <w:bottom w:w="0" w:type="dxa"/>
            <w:right w:w="108" w:type="dxa"/>
          </w:tblCellMar>
        </w:tblPrEx>
        <w:trPr>
          <w:trHeight w:val="557" w:hRule="atLeast"/>
          <w:jc w:val="center"/>
        </w:trPr>
        <w:tc>
          <w:tcPr>
            <w:tcW w:w="2052" w:type="dxa"/>
            <w:tcBorders>
              <w:top w:val="single" w:color="000000" w:sz="6" w:space="0"/>
              <w:left w:val="single" w:color="000000" w:sz="18" w:space="0"/>
              <w:bottom w:val="single" w:color="000000" w:sz="6" w:space="0"/>
              <w:right w:val="single" w:color="000000" w:sz="6" w:space="0"/>
            </w:tcBorders>
            <w:vAlign w:val="center"/>
          </w:tcPr>
          <w:p w14:paraId="32FECE28">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账户开户银行</w:t>
            </w:r>
          </w:p>
        </w:tc>
        <w:tc>
          <w:tcPr>
            <w:tcW w:w="7149" w:type="dxa"/>
            <w:gridSpan w:val="6"/>
            <w:tcBorders>
              <w:top w:val="single" w:color="000000" w:sz="6" w:space="0"/>
              <w:left w:val="single" w:color="000000" w:sz="6" w:space="0"/>
              <w:bottom w:val="single" w:color="000000" w:sz="6" w:space="0"/>
              <w:right w:val="single" w:color="000000" w:sz="18" w:space="0"/>
            </w:tcBorders>
            <w:vAlign w:val="center"/>
          </w:tcPr>
          <w:p w14:paraId="70D553DC">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5C0819F8">
        <w:tblPrEx>
          <w:tblCellMar>
            <w:top w:w="0" w:type="dxa"/>
            <w:left w:w="108" w:type="dxa"/>
            <w:bottom w:w="0" w:type="dxa"/>
            <w:right w:w="108" w:type="dxa"/>
          </w:tblCellMar>
        </w:tblPrEx>
        <w:trPr>
          <w:trHeight w:val="557" w:hRule="atLeast"/>
          <w:jc w:val="center"/>
        </w:trPr>
        <w:tc>
          <w:tcPr>
            <w:tcW w:w="2052" w:type="dxa"/>
            <w:tcBorders>
              <w:top w:val="single" w:color="000000" w:sz="6" w:space="0"/>
              <w:left w:val="single" w:color="000000" w:sz="18" w:space="0"/>
              <w:bottom w:val="single" w:color="000000" w:sz="6" w:space="0"/>
              <w:right w:val="single" w:color="000000" w:sz="6" w:space="0"/>
            </w:tcBorders>
            <w:vAlign w:val="center"/>
          </w:tcPr>
          <w:p w14:paraId="4BC06ADC">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账户账号</w:t>
            </w:r>
          </w:p>
        </w:tc>
        <w:tc>
          <w:tcPr>
            <w:tcW w:w="7149" w:type="dxa"/>
            <w:gridSpan w:val="6"/>
            <w:tcBorders>
              <w:top w:val="single" w:color="000000" w:sz="6" w:space="0"/>
              <w:left w:val="single" w:color="000000" w:sz="6" w:space="0"/>
              <w:bottom w:val="single" w:color="000000" w:sz="6" w:space="0"/>
              <w:right w:val="single" w:color="000000" w:sz="18" w:space="0"/>
            </w:tcBorders>
            <w:vAlign w:val="center"/>
          </w:tcPr>
          <w:p w14:paraId="1A8B90FC">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712A07D0">
        <w:tblPrEx>
          <w:tblCellMar>
            <w:top w:w="0" w:type="dxa"/>
            <w:left w:w="108" w:type="dxa"/>
            <w:bottom w:w="0" w:type="dxa"/>
            <w:right w:w="108" w:type="dxa"/>
          </w:tblCellMar>
        </w:tblPrEx>
        <w:trPr>
          <w:trHeight w:val="1660" w:hRule="atLeast"/>
          <w:jc w:val="center"/>
        </w:trPr>
        <w:tc>
          <w:tcPr>
            <w:tcW w:w="2052" w:type="dxa"/>
            <w:tcBorders>
              <w:top w:val="single" w:color="000000" w:sz="6" w:space="0"/>
              <w:left w:val="single" w:color="000000" w:sz="18" w:space="0"/>
              <w:bottom w:val="single" w:color="000000" w:sz="6" w:space="0"/>
              <w:right w:val="single" w:color="000000" w:sz="6" w:space="0"/>
            </w:tcBorders>
            <w:vAlign w:val="center"/>
          </w:tcPr>
          <w:p w14:paraId="082A7119">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经营范围</w:t>
            </w:r>
          </w:p>
        </w:tc>
        <w:tc>
          <w:tcPr>
            <w:tcW w:w="7149" w:type="dxa"/>
            <w:gridSpan w:val="6"/>
            <w:tcBorders>
              <w:top w:val="single" w:color="000000" w:sz="6" w:space="0"/>
              <w:left w:val="single" w:color="000000" w:sz="6" w:space="0"/>
              <w:bottom w:val="single" w:color="000000" w:sz="6" w:space="0"/>
              <w:right w:val="single" w:color="000000" w:sz="18" w:space="0"/>
            </w:tcBorders>
            <w:vAlign w:val="center"/>
          </w:tcPr>
          <w:p w14:paraId="3C451759">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1426F4B6">
        <w:tblPrEx>
          <w:tblCellMar>
            <w:top w:w="0" w:type="dxa"/>
            <w:left w:w="108" w:type="dxa"/>
            <w:bottom w:w="0" w:type="dxa"/>
            <w:right w:w="108" w:type="dxa"/>
          </w:tblCellMar>
        </w:tblPrEx>
        <w:trPr>
          <w:trHeight w:val="1540" w:hRule="atLeast"/>
          <w:jc w:val="center"/>
        </w:trPr>
        <w:tc>
          <w:tcPr>
            <w:tcW w:w="2052" w:type="dxa"/>
            <w:tcBorders>
              <w:top w:val="single" w:color="000000" w:sz="6" w:space="0"/>
              <w:left w:val="single" w:color="000000" w:sz="18" w:space="0"/>
              <w:bottom w:val="single" w:color="000000" w:sz="18" w:space="0"/>
              <w:right w:val="single" w:color="000000" w:sz="6" w:space="0"/>
            </w:tcBorders>
            <w:vAlign w:val="center"/>
          </w:tcPr>
          <w:p w14:paraId="60E39A30">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备注</w:t>
            </w:r>
          </w:p>
        </w:tc>
        <w:tc>
          <w:tcPr>
            <w:tcW w:w="7149" w:type="dxa"/>
            <w:gridSpan w:val="6"/>
            <w:tcBorders>
              <w:top w:val="single" w:color="000000" w:sz="6" w:space="0"/>
              <w:left w:val="single" w:color="000000" w:sz="6" w:space="0"/>
              <w:bottom w:val="single" w:color="000000" w:sz="18" w:space="0"/>
              <w:right w:val="single" w:color="000000" w:sz="18" w:space="0"/>
            </w:tcBorders>
            <w:vAlign w:val="center"/>
          </w:tcPr>
          <w:p w14:paraId="19907975">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bl>
    <w:p w14:paraId="6F1AC020">
      <w:pPr>
        <w:spacing w:line="300" w:lineRule="exact"/>
        <w:ind w:right="-153" w:rightChars="-73" w:firstLine="420" w:firstLineChars="2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注：1.在本表后应附企业法人营业执照或事业单位法人证书副本(全本)、</w:t>
      </w:r>
      <w:r>
        <w:rPr>
          <w:rFonts w:hint="eastAsia" w:ascii="宋体" w:hAnsi="宋体" w:eastAsia="宋体" w:cs="宋体"/>
          <w:color w:val="000000" w:themeColor="text1"/>
          <w:szCs w:val="21"/>
          <w:highlight w:val="none"/>
          <w:lang w:val="en-US" w:eastAsia="zh-CN"/>
          <w14:textFill>
            <w14:solidFill>
              <w14:schemeClr w14:val="tx1"/>
            </w14:solidFill>
          </w14:textFill>
        </w:rPr>
        <w:t>资质证书</w:t>
      </w:r>
      <w:r>
        <w:rPr>
          <w:rFonts w:hint="eastAsia" w:ascii="宋体" w:hAnsi="宋体" w:eastAsia="宋体" w:cs="宋体"/>
          <w:color w:val="000000" w:themeColor="text1"/>
          <w:szCs w:val="21"/>
          <w:highlight w:val="none"/>
          <w14:textFill>
            <w14:solidFill>
              <w14:schemeClr w14:val="tx1"/>
            </w14:solidFill>
          </w14:textFill>
        </w:rPr>
        <w:t>、基本存款开户许可证（或银行出具的基本账户存款证明或基本存款账户信息的复印件或扫描件。</w:t>
      </w:r>
    </w:p>
    <w:p w14:paraId="2C900129">
      <w:pPr>
        <w:widowControl/>
        <w:spacing w:line="300" w:lineRule="exact"/>
        <w:ind w:firstLine="420" w:firstLineChars="200"/>
        <w:jc w:val="left"/>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2.上述所有资料清晰的扫描件或复印件均应加盖供应商单位电子公章。</w:t>
      </w:r>
      <w:r>
        <w:rPr>
          <w:rFonts w:hint="eastAsia" w:ascii="宋体" w:hAnsi="宋体" w:eastAsia="宋体" w:cs="宋体"/>
          <w:b/>
          <w:bCs/>
          <w:color w:val="000000" w:themeColor="text1"/>
          <w:sz w:val="24"/>
          <w:szCs w:val="24"/>
          <w:highlight w:val="none"/>
          <w14:textFill>
            <w14:solidFill>
              <w14:schemeClr w14:val="tx1"/>
            </w14:solidFill>
          </w14:textFill>
        </w:rPr>
        <w:br w:type="page"/>
      </w:r>
    </w:p>
    <w:p w14:paraId="6C76C02D">
      <w:pPr>
        <w:pStyle w:val="46"/>
        <w:snapToGrid w:val="0"/>
        <w:spacing w:line="360" w:lineRule="auto"/>
        <w:jc w:val="center"/>
        <w:outlineLvl w:val="2"/>
        <w:rPr>
          <w:rFonts w:hint="eastAsia" w:ascii="宋体" w:hAnsi="宋体" w:eastAsia="宋体" w:cs="宋体"/>
          <w:b/>
          <w:color w:val="000000" w:themeColor="text1"/>
          <w:sz w:val="28"/>
          <w:szCs w:val="28"/>
          <w:highlight w:val="none"/>
          <w:lang w:val="en-US" w:eastAsia="zh-CN"/>
          <w14:textFill>
            <w14:solidFill>
              <w14:schemeClr w14:val="tx1"/>
            </w14:solidFill>
          </w14:textFill>
        </w:rPr>
      </w:pPr>
      <w:bookmarkStart w:id="118" w:name="_Toc19313"/>
      <w:r>
        <w:rPr>
          <w:rFonts w:hint="eastAsia" w:ascii="宋体" w:hAnsi="宋体" w:eastAsia="宋体" w:cs="宋体"/>
          <w:b/>
          <w:color w:val="000000" w:themeColor="text1"/>
          <w:sz w:val="28"/>
          <w:szCs w:val="28"/>
          <w:highlight w:val="none"/>
          <w:lang w:val="en-US" w:eastAsia="zh-CN"/>
          <w14:textFill>
            <w14:solidFill>
              <w14:schemeClr w14:val="tx1"/>
            </w14:solidFill>
          </w14:textFill>
        </w:rPr>
        <w:t>(2)</w:t>
      </w:r>
      <w:bookmarkStart w:id="119" w:name="_Toc481057615"/>
      <w:bookmarkStart w:id="120" w:name="_Toc483150959"/>
      <w:bookmarkStart w:id="121" w:name="_Toc477719099"/>
      <w:bookmarkStart w:id="122" w:name="_Toc478298279"/>
      <w:r>
        <w:rPr>
          <w:rFonts w:hint="eastAsia" w:ascii="宋体" w:hAnsi="宋体" w:eastAsia="宋体" w:cs="宋体"/>
          <w:b/>
          <w:color w:val="000000" w:themeColor="text1"/>
          <w:sz w:val="28"/>
          <w:szCs w:val="28"/>
          <w:highlight w:val="none"/>
          <w:lang w:val="en-US" w:eastAsia="zh-CN"/>
          <w14:textFill>
            <w14:solidFill>
              <w14:schemeClr w14:val="tx1"/>
            </w14:solidFill>
          </w14:textFill>
        </w:rPr>
        <w:t>2020年1月1日以来完成或承接过的类似项目情况表</w:t>
      </w:r>
      <w:bookmarkEnd w:id="118"/>
    </w:p>
    <w:tbl>
      <w:tblPr>
        <w:tblStyle w:val="34"/>
        <w:tblW w:w="9166" w:type="dxa"/>
        <w:tblInd w:w="108"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2901"/>
        <w:gridCol w:w="6265"/>
      </w:tblGrid>
      <w:tr w14:paraId="20EE659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82" w:hRule="atLeast"/>
        </w:trPr>
        <w:tc>
          <w:tcPr>
            <w:tcW w:w="2901" w:type="dxa"/>
            <w:vAlign w:val="center"/>
          </w:tcPr>
          <w:p w14:paraId="584181F7">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w:t>
            </w:r>
            <w:bookmarkEnd w:id="119"/>
            <w:bookmarkEnd w:id="120"/>
            <w:bookmarkEnd w:id="121"/>
            <w:bookmarkEnd w:id="122"/>
            <w:r>
              <w:rPr>
                <w:rFonts w:hint="eastAsia" w:ascii="宋体" w:hAnsi="宋体" w:eastAsia="宋体" w:cs="宋体"/>
                <w:color w:val="000000" w:themeColor="text1"/>
                <w:sz w:val="24"/>
                <w:szCs w:val="24"/>
                <w:highlight w:val="none"/>
                <w14:textFill>
                  <w14:solidFill>
                    <w14:schemeClr w14:val="tx1"/>
                  </w14:solidFill>
                </w14:textFill>
              </w:rPr>
              <w:t>名称</w:t>
            </w:r>
          </w:p>
        </w:tc>
        <w:tc>
          <w:tcPr>
            <w:tcW w:w="6265" w:type="dxa"/>
            <w:vAlign w:val="center"/>
          </w:tcPr>
          <w:p w14:paraId="528099E5">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0C3F5CB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2901" w:type="dxa"/>
            <w:vAlign w:val="center"/>
          </w:tcPr>
          <w:p w14:paraId="1A4FE12E">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项目类型</w:t>
            </w:r>
          </w:p>
        </w:tc>
        <w:tc>
          <w:tcPr>
            <w:tcW w:w="6265" w:type="dxa"/>
            <w:vAlign w:val="center"/>
          </w:tcPr>
          <w:p w14:paraId="6A2F6C46">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3C46795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2901" w:type="dxa"/>
            <w:vAlign w:val="center"/>
          </w:tcPr>
          <w:p w14:paraId="6F42512A">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项目总投资</w:t>
            </w:r>
          </w:p>
        </w:tc>
        <w:tc>
          <w:tcPr>
            <w:tcW w:w="6265" w:type="dxa"/>
            <w:vAlign w:val="center"/>
          </w:tcPr>
          <w:p w14:paraId="725FBB17">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790D142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2901" w:type="dxa"/>
            <w:vAlign w:val="center"/>
          </w:tcPr>
          <w:p w14:paraId="61656D8C">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项目所在地</w:t>
            </w:r>
          </w:p>
        </w:tc>
        <w:tc>
          <w:tcPr>
            <w:tcW w:w="6265" w:type="dxa"/>
            <w:vAlign w:val="center"/>
          </w:tcPr>
          <w:p w14:paraId="0D768D8C">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28CF090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2901" w:type="dxa"/>
            <w:vAlign w:val="center"/>
          </w:tcPr>
          <w:p w14:paraId="29C7540A">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发包人及联系方式</w:t>
            </w:r>
          </w:p>
        </w:tc>
        <w:tc>
          <w:tcPr>
            <w:tcW w:w="6265" w:type="dxa"/>
            <w:vAlign w:val="center"/>
          </w:tcPr>
          <w:p w14:paraId="604AF4AB">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1743638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2901" w:type="dxa"/>
            <w:vAlign w:val="center"/>
          </w:tcPr>
          <w:p w14:paraId="7A9B8CAF">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项目等级</w:t>
            </w:r>
          </w:p>
        </w:tc>
        <w:tc>
          <w:tcPr>
            <w:tcW w:w="6265" w:type="dxa"/>
            <w:vAlign w:val="center"/>
          </w:tcPr>
          <w:p w14:paraId="3FFB3004">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5B5F320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2901" w:type="dxa"/>
            <w:vAlign w:val="center"/>
          </w:tcPr>
          <w:p w14:paraId="32C89855">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合同服务期/实际服务期</w:t>
            </w:r>
          </w:p>
        </w:tc>
        <w:tc>
          <w:tcPr>
            <w:tcW w:w="6265" w:type="dxa"/>
            <w:vAlign w:val="center"/>
          </w:tcPr>
          <w:p w14:paraId="479FDEDE">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6B2E629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2901" w:type="dxa"/>
            <w:vAlign w:val="center"/>
          </w:tcPr>
          <w:p w14:paraId="158B5B44">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项目负责人</w:t>
            </w:r>
          </w:p>
        </w:tc>
        <w:tc>
          <w:tcPr>
            <w:tcW w:w="6265" w:type="dxa"/>
            <w:vAlign w:val="center"/>
          </w:tcPr>
          <w:p w14:paraId="4ABCD4AB">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3C8CE45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839" w:hRule="atLeast"/>
        </w:trPr>
        <w:tc>
          <w:tcPr>
            <w:tcW w:w="2901" w:type="dxa"/>
            <w:vAlign w:val="center"/>
          </w:tcPr>
          <w:p w14:paraId="11B380FA">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项目描述</w:t>
            </w:r>
          </w:p>
        </w:tc>
        <w:tc>
          <w:tcPr>
            <w:tcW w:w="6265" w:type="dxa"/>
            <w:vAlign w:val="center"/>
          </w:tcPr>
          <w:p w14:paraId="09612AAA">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3BACE2F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04" w:hRule="atLeast"/>
        </w:trPr>
        <w:tc>
          <w:tcPr>
            <w:tcW w:w="2901" w:type="dxa"/>
            <w:vAlign w:val="center"/>
          </w:tcPr>
          <w:p w14:paraId="7465BE58">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    注</w:t>
            </w:r>
          </w:p>
        </w:tc>
        <w:tc>
          <w:tcPr>
            <w:tcW w:w="6265" w:type="dxa"/>
            <w:vAlign w:val="center"/>
          </w:tcPr>
          <w:p w14:paraId="533FBD69">
            <w:pPr>
              <w:spacing w:line="26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bl>
    <w:p w14:paraId="2E9F7A57">
      <w:pPr>
        <w:spacing w:line="300" w:lineRule="exact"/>
        <w:ind w:right="-153" w:rightChars="-73" w:firstLine="420" w:firstLineChars="20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注：业绩证明材料需附：</w:t>
      </w:r>
      <w:r>
        <w:rPr>
          <w:rFonts w:hint="eastAsia" w:ascii="宋体" w:hAnsi="宋体" w:eastAsia="宋体" w:cs="宋体"/>
          <w:color w:val="000000" w:themeColor="text1"/>
          <w:szCs w:val="21"/>
          <w:highlight w:val="none"/>
          <w:lang w:val="en-US" w:eastAsia="zh-CN"/>
          <w14:textFill>
            <w14:solidFill>
              <w14:schemeClr w14:val="tx1"/>
            </w14:solidFill>
          </w14:textFill>
        </w:rPr>
        <w:t>a</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eastAsia="zh-CN"/>
          <w14:textFill>
            <w14:solidFill>
              <w14:schemeClr w14:val="tx1"/>
            </w14:solidFill>
          </w14:textFill>
        </w:rPr>
        <w:t>中标通知书</w:t>
      </w:r>
      <w:r>
        <w:rPr>
          <w:rFonts w:hint="eastAsia" w:ascii="宋体" w:hAnsi="宋体" w:eastAsia="宋体" w:cs="宋体"/>
          <w:color w:val="000000" w:themeColor="text1"/>
          <w:szCs w:val="21"/>
          <w:highlight w:val="none"/>
          <w:lang w:val="en-US" w:eastAsia="zh-CN"/>
          <w14:textFill>
            <w14:solidFill>
              <w14:schemeClr w14:val="tx1"/>
            </w14:solidFill>
          </w14:textFill>
        </w:rPr>
        <w:t>或</w:t>
      </w:r>
      <w:r>
        <w:rPr>
          <w:rFonts w:hint="eastAsia" w:ascii="宋体" w:hAnsi="宋体" w:eastAsia="宋体" w:cs="宋体"/>
          <w:color w:val="000000" w:themeColor="text1"/>
          <w:szCs w:val="21"/>
          <w:highlight w:val="none"/>
          <w:lang w:eastAsia="zh-CN"/>
          <w14:textFill>
            <w14:solidFill>
              <w14:schemeClr w14:val="tx1"/>
            </w14:solidFill>
          </w14:textFill>
        </w:rPr>
        <w:t>合同</w:t>
      </w:r>
      <w:r>
        <w:rPr>
          <w:rFonts w:hint="eastAsia" w:ascii="宋体" w:hAnsi="宋体" w:eastAsia="宋体" w:cs="宋体"/>
          <w:color w:val="000000" w:themeColor="text1"/>
          <w:szCs w:val="21"/>
          <w:highlight w:val="none"/>
          <w:lang w:val="en-US" w:eastAsia="zh-CN"/>
          <w14:textFill>
            <w14:solidFill>
              <w14:schemeClr w14:val="tx1"/>
            </w14:solidFill>
          </w14:textFill>
        </w:rPr>
        <w:t>协议书</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竣工验收证书</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上述材料</w:t>
      </w:r>
      <w:r>
        <w:rPr>
          <w:rFonts w:hint="eastAsia" w:ascii="宋体" w:hAnsi="宋体" w:eastAsia="宋体" w:cs="宋体"/>
          <w:color w:val="000000" w:themeColor="text1"/>
          <w:szCs w:val="21"/>
          <w:highlight w:val="none"/>
          <w14:textFill>
            <w14:solidFill>
              <w14:schemeClr w14:val="tx1"/>
            </w14:solidFill>
          </w14:textFill>
        </w:rPr>
        <w:t>缺一不可，否则业绩不予认可。b.若供应商所提供的</w:t>
      </w:r>
      <w:r>
        <w:rPr>
          <w:rFonts w:hint="eastAsia" w:ascii="宋体" w:hAnsi="宋体" w:eastAsia="宋体" w:cs="宋体"/>
          <w:color w:val="000000" w:themeColor="text1"/>
          <w:szCs w:val="21"/>
          <w:highlight w:val="none"/>
          <w:lang w:val="en-US" w:eastAsia="zh-CN"/>
          <w14:textFill>
            <w14:solidFill>
              <w14:schemeClr w14:val="tx1"/>
            </w14:solidFill>
          </w14:textFill>
        </w:rPr>
        <w:t>上述</w:t>
      </w:r>
      <w:r>
        <w:rPr>
          <w:rFonts w:hint="eastAsia" w:ascii="宋体" w:hAnsi="宋体" w:eastAsia="宋体" w:cs="宋体"/>
          <w:color w:val="000000" w:themeColor="text1"/>
          <w:szCs w:val="21"/>
          <w:highlight w:val="none"/>
          <w14:textFill>
            <w14:solidFill>
              <w14:schemeClr w14:val="tx1"/>
            </w14:solidFill>
          </w14:textFill>
        </w:rPr>
        <w:t>业绩证明材料未体现</w:t>
      </w:r>
      <w:r>
        <w:rPr>
          <w:rFonts w:hint="eastAsia" w:ascii="宋体" w:hAnsi="宋体" w:eastAsia="宋体" w:cs="宋体"/>
          <w:color w:val="000000" w:themeColor="text1"/>
          <w:szCs w:val="21"/>
          <w:highlight w:val="none"/>
          <w:lang w:val="en-US" w:eastAsia="zh-CN"/>
          <w14:textFill>
            <w14:solidFill>
              <w14:schemeClr w14:val="tx1"/>
            </w14:solidFill>
          </w14:textFill>
        </w:rPr>
        <w:t>业绩规模等</w:t>
      </w:r>
      <w:r>
        <w:rPr>
          <w:rFonts w:hint="eastAsia" w:ascii="宋体" w:hAnsi="宋体" w:eastAsia="宋体" w:cs="宋体"/>
          <w:color w:val="000000" w:themeColor="text1"/>
          <w:szCs w:val="21"/>
          <w:highlight w:val="none"/>
          <w14:textFill>
            <w14:solidFill>
              <w14:schemeClr w14:val="tx1"/>
            </w14:solidFill>
          </w14:textFill>
        </w:rPr>
        <w:t>主要内容的，还需附采购单位或发包人或行业主管部门的证明材料，否则业绩不予认可。</w:t>
      </w:r>
      <w:r>
        <w:rPr>
          <w:rFonts w:hint="eastAsia" w:ascii="宋体" w:hAnsi="宋体" w:eastAsia="宋体" w:cs="宋体"/>
          <w:color w:val="000000" w:themeColor="text1"/>
          <w:szCs w:val="21"/>
          <w:highlight w:val="none"/>
          <w:lang w:val="en-US" w:eastAsia="zh-CN"/>
          <w14:textFill>
            <w14:solidFill>
              <w14:schemeClr w14:val="tx1"/>
            </w14:solidFill>
          </w14:textFill>
        </w:rPr>
        <w:t>c</w:t>
      </w:r>
      <w:r>
        <w:rPr>
          <w:rFonts w:hint="eastAsia" w:ascii="宋体" w:hAnsi="宋体" w:eastAsia="宋体" w:cs="宋体"/>
          <w:color w:val="000000" w:themeColor="text1"/>
          <w:szCs w:val="21"/>
          <w:highlight w:val="none"/>
          <w14:textFill>
            <w14:solidFill>
              <w14:schemeClr w14:val="tx1"/>
            </w14:solidFill>
          </w14:textFill>
        </w:rPr>
        <w:t>.上述材料中的单位名称与供应商名称必须一致(单位名称发生合法变更的除外，但需提供合法变更的有效文件)，否则业绩不予认可。</w:t>
      </w:r>
    </w:p>
    <w:p w14:paraId="21BA9982">
      <w:pPr>
        <w:spacing w:line="300" w:lineRule="exact"/>
        <w:ind w:right="-153" w:rightChars="-73" w:firstLine="420" w:firstLineChars="200"/>
        <w:rPr>
          <w:rFonts w:hint="eastAsia" w:ascii="宋体" w:hAnsi="宋体" w:eastAsia="宋体" w:cs="宋体"/>
          <w:color w:val="000000" w:themeColor="text1"/>
          <w:szCs w:val="21"/>
          <w:highlight w:val="none"/>
          <w14:textFill>
            <w14:solidFill>
              <w14:schemeClr w14:val="tx1"/>
            </w14:solidFill>
          </w14:textFill>
        </w:rPr>
      </w:pPr>
    </w:p>
    <w:p w14:paraId="3BFC8569">
      <w:pPr>
        <w:autoSpaceDE w:val="0"/>
        <w:autoSpaceDN w:val="0"/>
        <w:adjustRightInd w:val="0"/>
        <w:spacing w:line="340" w:lineRule="exact"/>
        <w:outlineLvl w:val="2"/>
        <w:rPr>
          <w:rFonts w:hint="eastAsia" w:ascii="宋体" w:hAnsi="宋体" w:eastAsia="宋体" w:cs="宋体"/>
          <w:color w:val="000000" w:themeColor="text1"/>
          <w:szCs w:val="21"/>
          <w:highlight w:val="none"/>
          <w14:textFill>
            <w14:solidFill>
              <w14:schemeClr w14:val="tx1"/>
            </w14:solidFill>
          </w14:textFill>
        </w:rPr>
        <w:sectPr>
          <w:footerReference r:id="rId5" w:type="default"/>
          <w:pgSz w:w="11906" w:h="16838"/>
          <w:pgMar w:top="1588" w:right="1418" w:bottom="1588" w:left="1418" w:header="851" w:footer="992" w:gutter="0"/>
          <w:pgNumType w:start="1"/>
          <w:cols w:space="720" w:num="1"/>
          <w:docGrid w:linePitch="312" w:charSpace="0"/>
        </w:sectPr>
      </w:pPr>
    </w:p>
    <w:p w14:paraId="6542F601">
      <w:pPr>
        <w:pStyle w:val="46"/>
        <w:snapToGrid w:val="0"/>
        <w:spacing w:line="360" w:lineRule="auto"/>
        <w:jc w:val="center"/>
        <w:outlineLvl w:val="2"/>
        <w:rPr>
          <w:rFonts w:hint="eastAsia" w:ascii="宋体" w:hAnsi="宋体" w:eastAsia="宋体" w:cs="宋体"/>
          <w:b/>
          <w:color w:val="000000" w:themeColor="text1"/>
          <w:sz w:val="28"/>
          <w:szCs w:val="28"/>
          <w:highlight w:val="none"/>
          <w:lang w:val="en-US" w:eastAsia="zh-CN"/>
          <w14:textFill>
            <w14:solidFill>
              <w14:schemeClr w14:val="tx1"/>
            </w14:solidFill>
          </w14:textFill>
        </w:rPr>
      </w:pPr>
      <w:bookmarkStart w:id="123" w:name="_Toc22967"/>
      <w:r>
        <w:rPr>
          <w:rFonts w:hint="eastAsia" w:ascii="宋体" w:hAnsi="宋体" w:eastAsia="宋体" w:cs="宋体"/>
          <w:b/>
          <w:color w:val="000000" w:themeColor="text1"/>
          <w:sz w:val="28"/>
          <w:szCs w:val="28"/>
          <w:highlight w:val="none"/>
          <w:lang w:val="en-US" w:eastAsia="zh-CN"/>
          <w14:textFill>
            <w14:solidFill>
              <w14:schemeClr w14:val="tx1"/>
            </w14:solidFill>
          </w14:textFill>
        </w:rPr>
        <w:t>(3)拟委任的主要人员汇总表</w:t>
      </w:r>
      <w:bookmarkEnd w:id="123"/>
    </w:p>
    <w:tbl>
      <w:tblPr>
        <w:tblStyle w:val="34"/>
        <w:tblW w:w="875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47"/>
        <w:gridCol w:w="1548"/>
        <w:gridCol w:w="1691"/>
        <w:gridCol w:w="1331"/>
        <w:gridCol w:w="1221"/>
        <w:gridCol w:w="1417"/>
      </w:tblGrid>
      <w:tr w14:paraId="32DB0BC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trHeight w:val="940" w:hRule="atLeast"/>
        </w:trPr>
        <w:tc>
          <w:tcPr>
            <w:tcW w:w="1547" w:type="dxa"/>
            <w:vAlign w:val="center"/>
          </w:tcPr>
          <w:p w14:paraId="52AE0C7D">
            <w:pPr>
              <w:autoSpaceDE w:val="0"/>
              <w:autoSpaceDN w:val="0"/>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 名</w:t>
            </w:r>
          </w:p>
        </w:tc>
        <w:tc>
          <w:tcPr>
            <w:tcW w:w="1548" w:type="dxa"/>
            <w:vAlign w:val="center"/>
          </w:tcPr>
          <w:p w14:paraId="42F2B072">
            <w:pPr>
              <w:autoSpaceDE w:val="0"/>
              <w:autoSpaceDN w:val="0"/>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年龄</w:t>
            </w:r>
          </w:p>
        </w:tc>
        <w:tc>
          <w:tcPr>
            <w:tcW w:w="1691" w:type="dxa"/>
            <w:vAlign w:val="center"/>
          </w:tcPr>
          <w:p w14:paraId="210FFE42">
            <w:pPr>
              <w:autoSpaceDE w:val="0"/>
              <w:autoSpaceDN w:val="0"/>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拟在本项目中担任的职责</w:t>
            </w:r>
          </w:p>
        </w:tc>
        <w:tc>
          <w:tcPr>
            <w:tcW w:w="1331" w:type="dxa"/>
            <w:vAlign w:val="center"/>
          </w:tcPr>
          <w:p w14:paraId="0BDC4E3B">
            <w:pPr>
              <w:autoSpaceDE w:val="0"/>
              <w:autoSpaceDN w:val="0"/>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年龄</w:t>
            </w:r>
          </w:p>
        </w:tc>
        <w:tc>
          <w:tcPr>
            <w:tcW w:w="1221" w:type="dxa"/>
            <w:vAlign w:val="center"/>
          </w:tcPr>
          <w:p w14:paraId="48155264">
            <w:pPr>
              <w:autoSpaceDE w:val="0"/>
              <w:autoSpaceDN w:val="0"/>
              <w:adjustRightInd w:val="0"/>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工作年限</w:t>
            </w:r>
          </w:p>
        </w:tc>
        <w:tc>
          <w:tcPr>
            <w:tcW w:w="1417" w:type="dxa"/>
            <w:vAlign w:val="center"/>
          </w:tcPr>
          <w:p w14:paraId="4242A5E9">
            <w:pPr>
              <w:autoSpaceDE w:val="0"/>
              <w:autoSpaceDN w:val="0"/>
              <w:adjustRightInd w:val="0"/>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类似项目经验年限</w:t>
            </w:r>
          </w:p>
        </w:tc>
      </w:tr>
      <w:tr w14:paraId="14C29D5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40" w:hRule="atLeast"/>
        </w:trPr>
        <w:tc>
          <w:tcPr>
            <w:tcW w:w="1547" w:type="dxa"/>
            <w:vAlign w:val="center"/>
          </w:tcPr>
          <w:p w14:paraId="26C9430D">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48" w:type="dxa"/>
            <w:vAlign w:val="center"/>
          </w:tcPr>
          <w:p w14:paraId="0DF0FE25">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1" w:type="dxa"/>
            <w:vAlign w:val="center"/>
          </w:tcPr>
          <w:p w14:paraId="006E8E1C">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31" w:type="dxa"/>
            <w:vAlign w:val="center"/>
          </w:tcPr>
          <w:p w14:paraId="4C31A837">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21" w:type="dxa"/>
            <w:vAlign w:val="center"/>
          </w:tcPr>
          <w:p w14:paraId="28A3E190">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17" w:type="dxa"/>
            <w:vAlign w:val="center"/>
          </w:tcPr>
          <w:p w14:paraId="59D32811">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6DB31C9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40" w:hRule="atLeast"/>
        </w:trPr>
        <w:tc>
          <w:tcPr>
            <w:tcW w:w="1547" w:type="dxa"/>
            <w:vAlign w:val="center"/>
          </w:tcPr>
          <w:p w14:paraId="69312A1C">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48" w:type="dxa"/>
            <w:vAlign w:val="center"/>
          </w:tcPr>
          <w:p w14:paraId="2E0A71C4">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1" w:type="dxa"/>
            <w:vAlign w:val="center"/>
          </w:tcPr>
          <w:p w14:paraId="09025542">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31" w:type="dxa"/>
            <w:vAlign w:val="center"/>
          </w:tcPr>
          <w:p w14:paraId="658E31E6">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21" w:type="dxa"/>
            <w:vAlign w:val="center"/>
          </w:tcPr>
          <w:p w14:paraId="0D7F176B">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17" w:type="dxa"/>
            <w:vAlign w:val="center"/>
          </w:tcPr>
          <w:p w14:paraId="03B707C5">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4B4FA8A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40" w:hRule="atLeast"/>
        </w:trPr>
        <w:tc>
          <w:tcPr>
            <w:tcW w:w="1547" w:type="dxa"/>
            <w:vAlign w:val="center"/>
          </w:tcPr>
          <w:p w14:paraId="2D9E8619">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48" w:type="dxa"/>
            <w:vAlign w:val="center"/>
          </w:tcPr>
          <w:p w14:paraId="5FEEC036">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1" w:type="dxa"/>
            <w:vAlign w:val="center"/>
          </w:tcPr>
          <w:p w14:paraId="09FFD9A5">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31" w:type="dxa"/>
            <w:vAlign w:val="center"/>
          </w:tcPr>
          <w:p w14:paraId="30EE5003">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21" w:type="dxa"/>
            <w:vAlign w:val="center"/>
          </w:tcPr>
          <w:p w14:paraId="4FD8E8F5">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17" w:type="dxa"/>
            <w:vAlign w:val="center"/>
          </w:tcPr>
          <w:p w14:paraId="7A7A9671">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2CB2C2A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40" w:hRule="atLeast"/>
        </w:trPr>
        <w:tc>
          <w:tcPr>
            <w:tcW w:w="1547" w:type="dxa"/>
            <w:vAlign w:val="center"/>
          </w:tcPr>
          <w:p w14:paraId="3B63BB9D">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48" w:type="dxa"/>
            <w:vAlign w:val="center"/>
          </w:tcPr>
          <w:p w14:paraId="02914106">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1" w:type="dxa"/>
            <w:vAlign w:val="center"/>
          </w:tcPr>
          <w:p w14:paraId="5369584C">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31" w:type="dxa"/>
            <w:vAlign w:val="center"/>
          </w:tcPr>
          <w:p w14:paraId="39F33FBA">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21" w:type="dxa"/>
            <w:vAlign w:val="center"/>
          </w:tcPr>
          <w:p w14:paraId="744BB901">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17" w:type="dxa"/>
            <w:vAlign w:val="center"/>
          </w:tcPr>
          <w:p w14:paraId="060CB741">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5AD0D85E">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40" w:hRule="atLeast"/>
        </w:trPr>
        <w:tc>
          <w:tcPr>
            <w:tcW w:w="1547" w:type="dxa"/>
            <w:vAlign w:val="center"/>
          </w:tcPr>
          <w:p w14:paraId="5FAA9DC1">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48" w:type="dxa"/>
            <w:vAlign w:val="center"/>
          </w:tcPr>
          <w:p w14:paraId="3F52DA2D">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1" w:type="dxa"/>
            <w:vAlign w:val="center"/>
          </w:tcPr>
          <w:p w14:paraId="7679ECAC">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31" w:type="dxa"/>
            <w:vAlign w:val="center"/>
          </w:tcPr>
          <w:p w14:paraId="2DE3F07A">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21" w:type="dxa"/>
            <w:vAlign w:val="center"/>
          </w:tcPr>
          <w:p w14:paraId="42FDA238">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17" w:type="dxa"/>
            <w:vAlign w:val="center"/>
          </w:tcPr>
          <w:p w14:paraId="0B4E9ADA">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r>
      <w:tr w14:paraId="18BBF39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940" w:hRule="atLeast"/>
        </w:trPr>
        <w:tc>
          <w:tcPr>
            <w:tcW w:w="1547" w:type="dxa"/>
            <w:vAlign w:val="center"/>
          </w:tcPr>
          <w:p w14:paraId="41ABAC6C">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48" w:type="dxa"/>
            <w:vAlign w:val="center"/>
          </w:tcPr>
          <w:p w14:paraId="07F9F0CD">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691" w:type="dxa"/>
            <w:vAlign w:val="center"/>
          </w:tcPr>
          <w:p w14:paraId="55C5D21C">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31" w:type="dxa"/>
            <w:vAlign w:val="center"/>
          </w:tcPr>
          <w:p w14:paraId="5EE52285">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21" w:type="dxa"/>
            <w:vAlign w:val="center"/>
          </w:tcPr>
          <w:p w14:paraId="240F9179">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17" w:type="dxa"/>
            <w:vAlign w:val="center"/>
          </w:tcPr>
          <w:p w14:paraId="521C5091">
            <w:pPr>
              <w:autoSpaceDE w:val="0"/>
              <w:autoSpaceDN w:val="0"/>
              <w:adjustRightInd w:val="0"/>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p>
        </w:tc>
      </w:tr>
    </w:tbl>
    <w:p w14:paraId="06CCDEEE">
      <w:pPr>
        <w:spacing w:line="300" w:lineRule="exact"/>
        <w:ind w:right="-153" w:rightChars="-73" w:firstLine="210" w:firstLineChars="100"/>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注：1.应在本表后附拟委任的主要人员身份证(正反面)、执业资格证书、职称证书（如有）、自2024年</w:t>
      </w:r>
      <w:r>
        <w:rPr>
          <w:rFonts w:hint="eastAsia" w:ascii="宋体" w:hAnsi="宋体" w:eastAsia="宋体" w:cs="宋体"/>
          <w:color w:val="000000" w:themeColor="text1"/>
          <w:szCs w:val="21"/>
          <w:highlight w:val="none"/>
          <w:lang w:val="en-US" w:eastAsia="zh-CN"/>
          <w14:textFill>
            <w14:solidFill>
              <w14:schemeClr w14:val="tx1"/>
            </w14:solidFill>
          </w14:textFill>
        </w:rPr>
        <w:t>10</w:t>
      </w:r>
      <w:r>
        <w:rPr>
          <w:rFonts w:hint="eastAsia" w:ascii="宋体" w:hAnsi="宋体" w:eastAsia="宋体" w:cs="宋体"/>
          <w:color w:val="000000" w:themeColor="text1"/>
          <w:szCs w:val="21"/>
          <w:highlight w:val="none"/>
          <w14:textFill>
            <w14:solidFill>
              <w14:schemeClr w14:val="tx1"/>
            </w14:solidFill>
          </w14:textFill>
        </w:rPr>
        <w:t>月起</w:t>
      </w:r>
      <w:r>
        <w:rPr>
          <w:rFonts w:hint="eastAsia" w:ascii="宋体" w:hAnsi="宋体" w:eastAsia="宋体" w:cs="宋体"/>
          <w:color w:val="000000" w:themeColor="text1"/>
          <w:szCs w:val="21"/>
          <w:highlight w:val="none"/>
          <w:lang w:val="en-US" w:eastAsia="zh-CN"/>
          <w14:textFill>
            <w14:solidFill>
              <w14:schemeClr w14:val="tx1"/>
            </w14:solidFill>
          </w14:textFill>
        </w:rPr>
        <w:t>连续</w:t>
      </w:r>
      <w:r>
        <w:rPr>
          <w:rFonts w:hint="eastAsia" w:ascii="宋体" w:hAnsi="宋体" w:eastAsia="宋体" w:cs="宋体"/>
          <w:color w:val="000000" w:themeColor="text1"/>
          <w:szCs w:val="21"/>
          <w:highlight w:val="none"/>
          <w14:textFill>
            <w14:solidFill>
              <w14:schemeClr w14:val="tx1"/>
            </w14:solidFill>
          </w14:textFill>
        </w:rPr>
        <w:t>三个月的养老保险缴纳凭证或由社保部门出具的其在该供应商单位参保的证明扫描件或复印件；</w:t>
      </w:r>
    </w:p>
    <w:p w14:paraId="6A4F8407">
      <w:pPr>
        <w:spacing w:line="360" w:lineRule="exact"/>
        <w:ind w:firstLine="210" w:firstLineChars="100"/>
        <w:rPr>
          <w:rFonts w:hint="eastAsia" w:ascii="宋体" w:hAnsi="宋体" w:eastAsia="宋体" w:cs="宋体"/>
          <w:sz w:val="20"/>
          <w:highlight w:val="none"/>
        </w:rPr>
      </w:pPr>
      <w:r>
        <w:rPr>
          <w:rFonts w:hint="eastAsia" w:ascii="宋体" w:hAnsi="宋体" w:eastAsia="宋体" w:cs="宋体"/>
          <w:color w:val="000000" w:themeColor="text1"/>
          <w:kern w:val="2"/>
          <w:sz w:val="21"/>
          <w:szCs w:val="21"/>
          <w:highlight w:val="none"/>
          <w:lang w:val="en-US"/>
          <w14:textFill>
            <w14:solidFill>
              <w14:schemeClr w14:val="tx1"/>
            </w14:solidFill>
          </w14:textFill>
        </w:rPr>
        <w:t>2.业绩证明材料：</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项目负责人业绩</w:t>
      </w:r>
      <w:r>
        <w:rPr>
          <w:rFonts w:hint="eastAsia" w:ascii="宋体" w:hAnsi="宋体" w:eastAsia="宋体" w:cs="宋体"/>
          <w:color w:val="000000" w:themeColor="text1"/>
          <w:kern w:val="2"/>
          <w:sz w:val="21"/>
          <w:szCs w:val="21"/>
          <w:highlight w:val="none"/>
          <w:lang w:val="en-US"/>
          <w14:textFill>
            <w14:solidFill>
              <w14:schemeClr w14:val="tx1"/>
            </w14:solidFill>
          </w14:textFill>
        </w:rPr>
        <w:t>证明材料需附：</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a</w:t>
      </w:r>
      <w:r>
        <w:rPr>
          <w:rFonts w:hint="eastAsia" w:ascii="宋体" w:hAnsi="宋体" w:eastAsia="宋体" w:cs="宋体"/>
          <w:color w:val="000000" w:themeColor="text1"/>
          <w:kern w:val="2"/>
          <w:sz w:val="21"/>
          <w:szCs w:val="21"/>
          <w:highlight w:val="none"/>
          <w:lang w:val="en-US"/>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中标通知书或合同协议书、竣工验收证书，上述材料</w:t>
      </w:r>
      <w:r>
        <w:rPr>
          <w:rFonts w:hint="eastAsia" w:ascii="宋体" w:hAnsi="宋体" w:eastAsia="宋体" w:cs="宋体"/>
          <w:color w:val="000000" w:themeColor="text1"/>
          <w:kern w:val="2"/>
          <w:sz w:val="21"/>
          <w:szCs w:val="21"/>
          <w:highlight w:val="none"/>
          <w:lang w:val="en-US"/>
          <w14:textFill>
            <w14:solidFill>
              <w14:schemeClr w14:val="tx1"/>
            </w14:solidFill>
          </w14:textFill>
        </w:rPr>
        <w:t>缺一不可，否则业绩不予认可</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2"/>
          <w:sz w:val="21"/>
          <w:szCs w:val="21"/>
          <w:highlight w:val="none"/>
          <w:lang w:val="en-US"/>
          <w14:textFill>
            <w14:solidFill>
              <w14:schemeClr w14:val="tx1"/>
            </w14:solidFill>
          </w14:textFill>
        </w:rPr>
        <w:t>b.若供应商所提供的</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上述</w:t>
      </w:r>
      <w:r>
        <w:rPr>
          <w:rFonts w:hint="eastAsia" w:ascii="宋体" w:hAnsi="宋体" w:eastAsia="宋体" w:cs="宋体"/>
          <w:color w:val="000000" w:themeColor="text1"/>
          <w:kern w:val="2"/>
          <w:sz w:val="21"/>
          <w:szCs w:val="21"/>
          <w:highlight w:val="none"/>
          <w:lang w:val="en-US"/>
          <w14:textFill>
            <w14:solidFill>
              <w14:schemeClr w14:val="tx1"/>
            </w14:solidFill>
          </w14:textFill>
        </w:rPr>
        <w:t>业绩证明材料</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均</w:t>
      </w:r>
      <w:r>
        <w:rPr>
          <w:rFonts w:hint="eastAsia" w:ascii="宋体" w:hAnsi="宋体" w:eastAsia="宋体" w:cs="宋体"/>
          <w:color w:val="000000" w:themeColor="text1"/>
          <w:kern w:val="2"/>
          <w:sz w:val="21"/>
          <w:szCs w:val="21"/>
          <w:highlight w:val="none"/>
          <w:lang w:val="en-US"/>
          <w14:textFill>
            <w14:solidFill>
              <w14:schemeClr w14:val="tx1"/>
            </w14:solidFill>
          </w14:textFill>
        </w:rPr>
        <w:t>未体现</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项目负责人姓名、任职及业绩规模等</w:t>
      </w:r>
      <w:r>
        <w:rPr>
          <w:rFonts w:hint="eastAsia" w:ascii="宋体" w:hAnsi="宋体" w:eastAsia="宋体" w:cs="宋体"/>
          <w:color w:val="000000" w:themeColor="text1"/>
          <w:kern w:val="2"/>
          <w:sz w:val="21"/>
          <w:szCs w:val="21"/>
          <w:highlight w:val="none"/>
          <w:lang w:val="en-US"/>
          <w14:textFill>
            <w14:solidFill>
              <w14:schemeClr w14:val="tx1"/>
            </w14:solidFill>
          </w14:textFill>
        </w:rPr>
        <w:t>主要内容的，还需附采购单位或发包人或行业主管部门的证明材料，否则业绩不予认可</w:t>
      </w:r>
      <w:r>
        <w:rPr>
          <w:rFonts w:hint="eastAsia" w:ascii="宋体" w:hAnsi="宋体" w:eastAsia="宋体" w:cs="宋体"/>
          <w:sz w:val="20"/>
          <w:highlight w:val="none"/>
        </w:rPr>
        <w:t>。</w:t>
      </w:r>
    </w:p>
    <w:p w14:paraId="495FF4A9">
      <w:pP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br w:type="page"/>
      </w:r>
    </w:p>
    <w:p w14:paraId="4ADD7B4D">
      <w:pPr>
        <w:pStyle w:val="46"/>
        <w:snapToGrid w:val="0"/>
        <w:spacing w:line="360" w:lineRule="auto"/>
        <w:jc w:val="center"/>
        <w:outlineLvl w:val="2"/>
        <w:rPr>
          <w:rFonts w:hint="eastAsia" w:ascii="宋体" w:hAnsi="宋体" w:eastAsia="宋体" w:cs="宋体"/>
          <w:b/>
          <w:color w:val="000000" w:themeColor="text1"/>
          <w:sz w:val="28"/>
          <w:szCs w:val="28"/>
          <w:highlight w:val="none"/>
          <w:lang w:val="en-US" w:eastAsia="zh-CN"/>
          <w14:textFill>
            <w14:solidFill>
              <w14:schemeClr w14:val="tx1"/>
            </w14:solidFill>
          </w14:textFill>
        </w:rPr>
      </w:pPr>
      <w:bookmarkStart w:id="124" w:name="_Toc531093330"/>
      <w:bookmarkStart w:id="125" w:name="_Toc10728"/>
      <w:r>
        <w:rPr>
          <w:rFonts w:hint="eastAsia" w:ascii="宋体" w:hAnsi="宋体" w:eastAsia="宋体" w:cs="宋体"/>
          <w:b/>
          <w:color w:val="000000" w:themeColor="text1"/>
          <w:sz w:val="28"/>
          <w:szCs w:val="28"/>
          <w:highlight w:val="none"/>
          <w:lang w:val="en-US" w:eastAsia="zh-CN"/>
          <w14:textFill>
            <w14:solidFill>
              <w14:schemeClr w14:val="tx1"/>
            </w14:solidFill>
          </w14:textFill>
        </w:rPr>
        <w:t>(4)</w:t>
      </w:r>
      <w:bookmarkEnd w:id="124"/>
      <w:r>
        <w:rPr>
          <w:rFonts w:hint="eastAsia" w:ascii="宋体" w:hAnsi="宋体" w:eastAsia="宋体" w:cs="宋体"/>
          <w:b/>
          <w:color w:val="000000" w:themeColor="text1"/>
          <w:sz w:val="28"/>
          <w:szCs w:val="28"/>
          <w:highlight w:val="none"/>
          <w:lang w:val="en-US" w:eastAsia="zh-CN"/>
          <w14:textFill>
            <w14:solidFill>
              <w14:schemeClr w14:val="tx1"/>
            </w14:solidFill>
          </w14:textFill>
        </w:rPr>
        <w:t>拟委任的主要人员资历表</w:t>
      </w:r>
      <w:bookmarkEnd w:id="125"/>
    </w:p>
    <w:tbl>
      <w:tblPr>
        <w:tblStyle w:val="34"/>
        <w:tblW w:w="9176" w:type="dxa"/>
        <w:jc w:val="center"/>
        <w:tblLayout w:type="fixed"/>
        <w:tblCellMar>
          <w:top w:w="0" w:type="dxa"/>
          <w:left w:w="108" w:type="dxa"/>
          <w:bottom w:w="0" w:type="dxa"/>
          <w:right w:w="108" w:type="dxa"/>
        </w:tblCellMar>
      </w:tblPr>
      <w:tblGrid>
        <w:gridCol w:w="1338"/>
        <w:gridCol w:w="836"/>
        <w:gridCol w:w="450"/>
        <w:gridCol w:w="919"/>
        <w:gridCol w:w="1128"/>
        <w:gridCol w:w="918"/>
        <w:gridCol w:w="1032"/>
        <w:gridCol w:w="165"/>
        <w:gridCol w:w="925"/>
        <w:gridCol w:w="358"/>
        <w:gridCol w:w="1107"/>
      </w:tblGrid>
      <w:tr w14:paraId="58A47710">
        <w:tblPrEx>
          <w:tblCellMar>
            <w:top w:w="0" w:type="dxa"/>
            <w:left w:w="108" w:type="dxa"/>
            <w:bottom w:w="0" w:type="dxa"/>
            <w:right w:w="108" w:type="dxa"/>
          </w:tblCellMar>
        </w:tblPrEx>
        <w:trPr>
          <w:trHeight w:val="824" w:hRule="atLeast"/>
          <w:jc w:val="center"/>
        </w:trPr>
        <w:tc>
          <w:tcPr>
            <w:tcW w:w="1338" w:type="dxa"/>
            <w:tcBorders>
              <w:top w:val="single" w:color="000000" w:sz="18" w:space="0"/>
              <w:left w:val="single" w:color="000000" w:sz="18" w:space="0"/>
              <w:bottom w:val="single" w:color="000000" w:sz="6" w:space="0"/>
              <w:right w:val="single" w:color="000000" w:sz="6" w:space="0"/>
            </w:tcBorders>
            <w:vAlign w:val="center"/>
          </w:tcPr>
          <w:p w14:paraId="23730C67">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姓名</w:t>
            </w:r>
          </w:p>
        </w:tc>
        <w:tc>
          <w:tcPr>
            <w:tcW w:w="1286" w:type="dxa"/>
            <w:gridSpan w:val="2"/>
            <w:tcBorders>
              <w:top w:val="single" w:color="000000" w:sz="18" w:space="0"/>
              <w:left w:val="nil"/>
              <w:bottom w:val="single" w:color="000000" w:sz="6" w:space="0"/>
              <w:right w:val="single" w:color="000000" w:sz="6" w:space="0"/>
            </w:tcBorders>
            <w:vAlign w:val="center"/>
          </w:tcPr>
          <w:p w14:paraId="1EFBAD52">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919" w:type="dxa"/>
            <w:tcBorders>
              <w:top w:val="single" w:color="000000" w:sz="18" w:space="0"/>
              <w:left w:val="nil"/>
              <w:bottom w:val="single" w:color="000000" w:sz="6" w:space="0"/>
              <w:right w:val="single" w:color="000000" w:sz="6" w:space="0"/>
            </w:tcBorders>
            <w:vAlign w:val="center"/>
          </w:tcPr>
          <w:p w14:paraId="492D1D46">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性别</w:t>
            </w:r>
          </w:p>
        </w:tc>
        <w:tc>
          <w:tcPr>
            <w:tcW w:w="1128" w:type="dxa"/>
            <w:tcBorders>
              <w:top w:val="single" w:color="000000" w:sz="18" w:space="0"/>
              <w:left w:val="nil"/>
              <w:bottom w:val="single" w:color="000000" w:sz="6" w:space="0"/>
              <w:right w:val="single" w:color="000000" w:sz="6" w:space="0"/>
            </w:tcBorders>
            <w:vAlign w:val="center"/>
          </w:tcPr>
          <w:p w14:paraId="5DC76610">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918" w:type="dxa"/>
            <w:tcBorders>
              <w:top w:val="single" w:color="000000" w:sz="18" w:space="0"/>
              <w:left w:val="nil"/>
              <w:bottom w:val="single" w:color="000000" w:sz="6" w:space="0"/>
              <w:right w:val="single" w:color="000000" w:sz="6" w:space="0"/>
            </w:tcBorders>
            <w:vAlign w:val="center"/>
          </w:tcPr>
          <w:p w14:paraId="6C14B007">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年龄</w:t>
            </w:r>
          </w:p>
        </w:tc>
        <w:tc>
          <w:tcPr>
            <w:tcW w:w="1032" w:type="dxa"/>
            <w:tcBorders>
              <w:top w:val="single" w:color="000000" w:sz="18" w:space="0"/>
              <w:left w:val="nil"/>
              <w:bottom w:val="single" w:color="000000" w:sz="6" w:space="0"/>
              <w:right w:val="single" w:color="000000" w:sz="6" w:space="0"/>
            </w:tcBorders>
            <w:vAlign w:val="center"/>
          </w:tcPr>
          <w:p w14:paraId="3E8A1F97">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090" w:type="dxa"/>
            <w:gridSpan w:val="2"/>
            <w:tcBorders>
              <w:top w:val="single" w:color="000000" w:sz="18" w:space="0"/>
              <w:left w:val="nil"/>
              <w:bottom w:val="single" w:color="000000" w:sz="6" w:space="0"/>
              <w:right w:val="single" w:color="000000" w:sz="6" w:space="0"/>
            </w:tcBorders>
            <w:vAlign w:val="center"/>
          </w:tcPr>
          <w:p w14:paraId="4D295C69">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专业</w:t>
            </w:r>
          </w:p>
        </w:tc>
        <w:tc>
          <w:tcPr>
            <w:tcW w:w="1465" w:type="dxa"/>
            <w:gridSpan w:val="2"/>
            <w:tcBorders>
              <w:top w:val="single" w:color="000000" w:sz="18" w:space="0"/>
              <w:left w:val="nil"/>
              <w:bottom w:val="single" w:color="000000" w:sz="6" w:space="0"/>
              <w:right w:val="single" w:color="000000" w:sz="18" w:space="0"/>
            </w:tcBorders>
            <w:vAlign w:val="center"/>
          </w:tcPr>
          <w:p w14:paraId="6E347B85">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1D1FDF7F">
        <w:tblPrEx>
          <w:tblCellMar>
            <w:top w:w="0" w:type="dxa"/>
            <w:left w:w="108" w:type="dxa"/>
            <w:bottom w:w="0" w:type="dxa"/>
            <w:right w:w="108" w:type="dxa"/>
          </w:tblCellMar>
        </w:tblPrEx>
        <w:trPr>
          <w:trHeight w:val="662" w:hRule="atLeast"/>
          <w:jc w:val="center"/>
        </w:trPr>
        <w:tc>
          <w:tcPr>
            <w:tcW w:w="1338" w:type="dxa"/>
            <w:tcBorders>
              <w:top w:val="single" w:color="000000" w:sz="6" w:space="0"/>
              <w:left w:val="single" w:color="000000" w:sz="18" w:space="0"/>
              <w:bottom w:val="single" w:color="000000" w:sz="6" w:space="0"/>
              <w:right w:val="single" w:color="000000" w:sz="6" w:space="0"/>
            </w:tcBorders>
            <w:vAlign w:val="center"/>
          </w:tcPr>
          <w:p w14:paraId="40AB3700">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社保号码</w:t>
            </w:r>
          </w:p>
        </w:tc>
        <w:tc>
          <w:tcPr>
            <w:tcW w:w="3333" w:type="dxa"/>
            <w:gridSpan w:val="4"/>
            <w:tcBorders>
              <w:top w:val="single" w:color="000000" w:sz="6" w:space="0"/>
              <w:left w:val="nil"/>
              <w:bottom w:val="single" w:color="000000" w:sz="6" w:space="0"/>
              <w:right w:val="single" w:color="000000" w:sz="6" w:space="0"/>
            </w:tcBorders>
            <w:vAlign w:val="center"/>
          </w:tcPr>
          <w:p w14:paraId="38A9CB74">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950" w:type="dxa"/>
            <w:gridSpan w:val="2"/>
            <w:tcBorders>
              <w:top w:val="single" w:color="000000" w:sz="6" w:space="0"/>
              <w:left w:val="nil"/>
              <w:bottom w:val="single" w:color="000000" w:sz="6" w:space="0"/>
              <w:right w:val="single" w:color="000000" w:sz="6" w:space="0"/>
            </w:tcBorders>
            <w:vAlign w:val="center"/>
          </w:tcPr>
          <w:p w14:paraId="12D70F96">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出生年月</w:t>
            </w:r>
          </w:p>
        </w:tc>
        <w:tc>
          <w:tcPr>
            <w:tcW w:w="2555" w:type="dxa"/>
            <w:gridSpan w:val="4"/>
            <w:tcBorders>
              <w:top w:val="single" w:color="000000" w:sz="6" w:space="0"/>
              <w:left w:val="nil"/>
              <w:bottom w:val="single" w:color="000000" w:sz="6" w:space="0"/>
              <w:right w:val="single" w:color="000000" w:sz="18" w:space="0"/>
            </w:tcBorders>
            <w:vAlign w:val="center"/>
          </w:tcPr>
          <w:p w14:paraId="562EACF5">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7BC585FC">
        <w:tblPrEx>
          <w:tblCellMar>
            <w:top w:w="0" w:type="dxa"/>
            <w:left w:w="108" w:type="dxa"/>
            <w:bottom w:w="0" w:type="dxa"/>
            <w:right w:w="108" w:type="dxa"/>
          </w:tblCellMar>
        </w:tblPrEx>
        <w:trPr>
          <w:trHeight w:val="707" w:hRule="atLeast"/>
          <w:jc w:val="center"/>
        </w:trPr>
        <w:tc>
          <w:tcPr>
            <w:tcW w:w="1338" w:type="dxa"/>
            <w:tcBorders>
              <w:top w:val="single" w:color="000000" w:sz="6" w:space="0"/>
              <w:left w:val="single" w:color="000000" w:sz="18" w:space="0"/>
              <w:bottom w:val="single" w:color="000000" w:sz="6" w:space="0"/>
              <w:right w:val="single" w:color="000000" w:sz="6" w:space="0"/>
            </w:tcBorders>
            <w:vAlign w:val="center"/>
          </w:tcPr>
          <w:p w14:paraId="0ED052CE">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现任职务</w:t>
            </w:r>
          </w:p>
        </w:tc>
        <w:tc>
          <w:tcPr>
            <w:tcW w:w="3333" w:type="dxa"/>
            <w:gridSpan w:val="4"/>
            <w:tcBorders>
              <w:top w:val="single" w:color="000000" w:sz="6" w:space="0"/>
              <w:left w:val="nil"/>
              <w:bottom w:val="single" w:color="000000" w:sz="6" w:space="0"/>
              <w:right w:val="single" w:color="000000" w:sz="6" w:space="0"/>
            </w:tcBorders>
            <w:vAlign w:val="center"/>
          </w:tcPr>
          <w:p w14:paraId="69E14A03">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950" w:type="dxa"/>
            <w:gridSpan w:val="2"/>
            <w:tcBorders>
              <w:top w:val="single" w:color="000000" w:sz="6" w:space="0"/>
              <w:left w:val="nil"/>
              <w:bottom w:val="single" w:color="000000" w:sz="6" w:space="0"/>
              <w:right w:val="single" w:color="000000" w:sz="6" w:space="0"/>
            </w:tcBorders>
            <w:vAlign w:val="center"/>
          </w:tcPr>
          <w:p w14:paraId="3A0D5EF2">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拟在本项目担任的职务</w:t>
            </w:r>
          </w:p>
        </w:tc>
        <w:tc>
          <w:tcPr>
            <w:tcW w:w="2555" w:type="dxa"/>
            <w:gridSpan w:val="4"/>
            <w:tcBorders>
              <w:top w:val="single" w:color="000000" w:sz="6" w:space="0"/>
              <w:left w:val="nil"/>
              <w:bottom w:val="single" w:color="000000" w:sz="6" w:space="0"/>
              <w:right w:val="single" w:color="000000" w:sz="18" w:space="0"/>
            </w:tcBorders>
            <w:vAlign w:val="center"/>
          </w:tcPr>
          <w:p w14:paraId="548979E6">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041EEFC3">
        <w:tblPrEx>
          <w:tblCellMar>
            <w:top w:w="0" w:type="dxa"/>
            <w:left w:w="108" w:type="dxa"/>
            <w:bottom w:w="0" w:type="dxa"/>
            <w:right w:w="108" w:type="dxa"/>
          </w:tblCellMar>
        </w:tblPrEx>
        <w:trPr>
          <w:trHeight w:val="769" w:hRule="atLeast"/>
          <w:jc w:val="center"/>
        </w:trPr>
        <w:tc>
          <w:tcPr>
            <w:tcW w:w="1338" w:type="dxa"/>
            <w:tcBorders>
              <w:top w:val="single" w:color="000000" w:sz="6" w:space="0"/>
              <w:left w:val="single" w:color="000000" w:sz="18" w:space="0"/>
              <w:bottom w:val="single" w:color="000000" w:sz="6" w:space="0"/>
              <w:right w:val="single" w:color="000000" w:sz="6" w:space="0"/>
            </w:tcBorders>
            <w:vAlign w:val="center"/>
          </w:tcPr>
          <w:p w14:paraId="255A07F2">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毕业院校</w:t>
            </w:r>
          </w:p>
        </w:tc>
        <w:tc>
          <w:tcPr>
            <w:tcW w:w="7838" w:type="dxa"/>
            <w:gridSpan w:val="10"/>
            <w:tcBorders>
              <w:top w:val="single" w:color="000000" w:sz="6" w:space="0"/>
              <w:left w:val="nil"/>
              <w:bottom w:val="single" w:color="000000" w:sz="6" w:space="0"/>
              <w:right w:val="single" w:color="000000" w:sz="18" w:space="0"/>
            </w:tcBorders>
            <w:vAlign w:val="center"/>
          </w:tcPr>
          <w:p w14:paraId="7720D523">
            <w:pPr>
              <w:widowControl/>
              <w:ind w:firstLine="960" w:firstLineChars="400"/>
              <w:rPr>
                <w:rFonts w:hint="eastAsia" w:ascii="宋体" w:hAnsi="宋体" w:eastAsia="宋体" w:cs="宋体"/>
                <w:color w:val="000000" w:themeColor="text1"/>
                <w:kern w:val="0"/>
                <w:sz w:val="24"/>
                <w:szCs w:val="24"/>
                <w:highlight w:val="none"/>
                <w:u w:val="singl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年   月毕业于      (学校)    系(科)，学制    年</w:t>
            </w:r>
          </w:p>
        </w:tc>
      </w:tr>
      <w:tr w14:paraId="3524D220">
        <w:tblPrEx>
          <w:tblCellMar>
            <w:top w:w="0" w:type="dxa"/>
            <w:left w:w="108" w:type="dxa"/>
            <w:bottom w:w="0" w:type="dxa"/>
            <w:right w:w="108" w:type="dxa"/>
          </w:tblCellMar>
        </w:tblPrEx>
        <w:trPr>
          <w:trHeight w:val="771" w:hRule="atLeast"/>
          <w:jc w:val="center"/>
        </w:trPr>
        <w:tc>
          <w:tcPr>
            <w:tcW w:w="2174" w:type="dxa"/>
            <w:gridSpan w:val="2"/>
            <w:tcBorders>
              <w:top w:val="single" w:color="000000" w:sz="6" w:space="0"/>
              <w:left w:val="single" w:color="000000" w:sz="18" w:space="0"/>
              <w:bottom w:val="single" w:color="000000" w:sz="6" w:space="0"/>
              <w:right w:val="single" w:color="000000" w:sz="6" w:space="0"/>
            </w:tcBorders>
            <w:vAlign w:val="center"/>
          </w:tcPr>
          <w:p w14:paraId="4BEAC763">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时间</w:t>
            </w:r>
          </w:p>
        </w:tc>
        <w:tc>
          <w:tcPr>
            <w:tcW w:w="4612" w:type="dxa"/>
            <w:gridSpan w:val="6"/>
            <w:tcBorders>
              <w:top w:val="single" w:color="000000" w:sz="6" w:space="0"/>
              <w:left w:val="nil"/>
              <w:bottom w:val="single" w:color="000000" w:sz="6" w:space="0"/>
              <w:right w:val="single" w:color="000000" w:sz="6" w:space="0"/>
            </w:tcBorders>
            <w:vAlign w:val="center"/>
          </w:tcPr>
          <w:p w14:paraId="67B9CA33">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负责过的主要类似项目(类型、金额)</w:t>
            </w:r>
          </w:p>
        </w:tc>
        <w:tc>
          <w:tcPr>
            <w:tcW w:w="1283" w:type="dxa"/>
            <w:gridSpan w:val="2"/>
            <w:tcBorders>
              <w:top w:val="single" w:color="000000" w:sz="6" w:space="0"/>
              <w:left w:val="nil"/>
              <w:bottom w:val="single" w:color="000000" w:sz="6" w:space="0"/>
              <w:right w:val="single" w:color="000000" w:sz="6" w:space="0"/>
            </w:tcBorders>
            <w:vAlign w:val="center"/>
          </w:tcPr>
          <w:p w14:paraId="7848AA90">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担任何职</w:t>
            </w:r>
          </w:p>
        </w:tc>
        <w:tc>
          <w:tcPr>
            <w:tcW w:w="1107" w:type="dxa"/>
            <w:tcBorders>
              <w:top w:val="single" w:color="000000" w:sz="6" w:space="0"/>
              <w:left w:val="nil"/>
              <w:bottom w:val="single" w:color="000000" w:sz="6" w:space="0"/>
              <w:right w:val="single" w:color="000000" w:sz="18" w:space="0"/>
            </w:tcBorders>
            <w:vAlign w:val="center"/>
          </w:tcPr>
          <w:p w14:paraId="4D959D21">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备注</w:t>
            </w:r>
          </w:p>
        </w:tc>
      </w:tr>
      <w:tr w14:paraId="3ECF5EEE">
        <w:tblPrEx>
          <w:tblCellMar>
            <w:top w:w="0" w:type="dxa"/>
            <w:left w:w="108" w:type="dxa"/>
            <w:bottom w:w="0" w:type="dxa"/>
            <w:right w:w="108" w:type="dxa"/>
          </w:tblCellMar>
        </w:tblPrEx>
        <w:trPr>
          <w:trHeight w:val="2142" w:hRule="atLeast"/>
          <w:jc w:val="center"/>
        </w:trPr>
        <w:tc>
          <w:tcPr>
            <w:tcW w:w="2174" w:type="dxa"/>
            <w:gridSpan w:val="2"/>
            <w:tcBorders>
              <w:top w:val="single" w:color="000000" w:sz="6" w:space="0"/>
              <w:left w:val="single" w:color="000000" w:sz="18" w:space="0"/>
              <w:bottom w:val="single" w:color="000000" w:sz="6" w:space="0"/>
              <w:right w:val="single" w:color="000000" w:sz="6" w:space="0"/>
            </w:tcBorders>
            <w:vAlign w:val="center"/>
          </w:tcPr>
          <w:p w14:paraId="6411E252">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4612" w:type="dxa"/>
            <w:gridSpan w:val="6"/>
            <w:tcBorders>
              <w:top w:val="single" w:color="000000" w:sz="6" w:space="0"/>
              <w:left w:val="nil"/>
              <w:bottom w:val="single" w:color="000000" w:sz="6" w:space="0"/>
              <w:right w:val="single" w:color="000000" w:sz="6" w:space="0"/>
            </w:tcBorders>
            <w:vAlign w:val="center"/>
          </w:tcPr>
          <w:p w14:paraId="4B615998">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283" w:type="dxa"/>
            <w:gridSpan w:val="2"/>
            <w:tcBorders>
              <w:top w:val="single" w:color="000000" w:sz="6" w:space="0"/>
              <w:left w:val="nil"/>
              <w:bottom w:val="single" w:color="000000" w:sz="6" w:space="0"/>
              <w:right w:val="single" w:color="000000" w:sz="6" w:space="0"/>
            </w:tcBorders>
            <w:vAlign w:val="center"/>
          </w:tcPr>
          <w:p w14:paraId="4E2B79C1">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c>
          <w:tcPr>
            <w:tcW w:w="1107" w:type="dxa"/>
            <w:tcBorders>
              <w:top w:val="single" w:color="000000" w:sz="6" w:space="0"/>
              <w:left w:val="nil"/>
              <w:bottom w:val="single" w:color="000000" w:sz="6" w:space="0"/>
              <w:right w:val="single" w:color="000000" w:sz="18" w:space="0"/>
            </w:tcBorders>
            <w:vAlign w:val="center"/>
          </w:tcPr>
          <w:p w14:paraId="5371D740">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0ADAB8EB">
        <w:tblPrEx>
          <w:tblCellMar>
            <w:top w:w="0" w:type="dxa"/>
            <w:left w:w="108" w:type="dxa"/>
            <w:bottom w:w="0" w:type="dxa"/>
            <w:right w:w="108" w:type="dxa"/>
          </w:tblCellMar>
        </w:tblPrEx>
        <w:trPr>
          <w:trHeight w:val="635" w:hRule="atLeast"/>
          <w:jc w:val="center"/>
        </w:trPr>
        <w:tc>
          <w:tcPr>
            <w:tcW w:w="2174" w:type="dxa"/>
            <w:gridSpan w:val="2"/>
            <w:tcBorders>
              <w:top w:val="single" w:color="000000" w:sz="6" w:space="0"/>
              <w:left w:val="single" w:color="000000" w:sz="18" w:space="0"/>
              <w:bottom w:val="single" w:color="000000" w:sz="6" w:space="0"/>
              <w:right w:val="single" w:color="000000" w:sz="6" w:space="0"/>
            </w:tcBorders>
            <w:vAlign w:val="center"/>
          </w:tcPr>
          <w:p w14:paraId="048FBF00">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获奖情况</w:t>
            </w:r>
          </w:p>
        </w:tc>
        <w:tc>
          <w:tcPr>
            <w:tcW w:w="7002" w:type="dxa"/>
            <w:gridSpan w:val="9"/>
            <w:tcBorders>
              <w:top w:val="single" w:color="000000" w:sz="6" w:space="0"/>
              <w:left w:val="nil"/>
              <w:bottom w:val="single" w:color="000000" w:sz="6" w:space="0"/>
              <w:right w:val="single" w:color="000000" w:sz="18" w:space="0"/>
            </w:tcBorders>
            <w:vAlign w:val="center"/>
          </w:tcPr>
          <w:p w14:paraId="59C97EF5">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28324506">
        <w:tblPrEx>
          <w:tblCellMar>
            <w:top w:w="0" w:type="dxa"/>
            <w:left w:w="108" w:type="dxa"/>
            <w:bottom w:w="0" w:type="dxa"/>
            <w:right w:w="108" w:type="dxa"/>
          </w:tblCellMar>
        </w:tblPrEx>
        <w:trPr>
          <w:trHeight w:val="635" w:hRule="atLeast"/>
          <w:jc w:val="center"/>
        </w:trPr>
        <w:tc>
          <w:tcPr>
            <w:tcW w:w="2174" w:type="dxa"/>
            <w:gridSpan w:val="2"/>
            <w:tcBorders>
              <w:top w:val="single" w:color="000000" w:sz="6" w:space="0"/>
              <w:left w:val="single" w:color="000000" w:sz="18" w:space="0"/>
              <w:bottom w:val="single" w:color="000000" w:sz="6" w:space="0"/>
              <w:right w:val="single" w:color="000000" w:sz="6" w:space="0"/>
            </w:tcBorders>
            <w:vAlign w:val="center"/>
          </w:tcPr>
          <w:p w14:paraId="10C57550">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目前承担的任务</w:t>
            </w:r>
          </w:p>
        </w:tc>
        <w:tc>
          <w:tcPr>
            <w:tcW w:w="7002" w:type="dxa"/>
            <w:gridSpan w:val="9"/>
            <w:tcBorders>
              <w:top w:val="single" w:color="000000" w:sz="6" w:space="0"/>
              <w:left w:val="nil"/>
              <w:bottom w:val="single" w:color="000000" w:sz="6" w:space="0"/>
              <w:right w:val="single" w:color="000000" w:sz="18" w:space="0"/>
            </w:tcBorders>
            <w:vAlign w:val="center"/>
          </w:tcPr>
          <w:p w14:paraId="486ED7FC">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r w14:paraId="26878C65">
        <w:tblPrEx>
          <w:tblCellMar>
            <w:top w:w="0" w:type="dxa"/>
            <w:left w:w="108" w:type="dxa"/>
            <w:bottom w:w="0" w:type="dxa"/>
            <w:right w:w="108" w:type="dxa"/>
          </w:tblCellMar>
        </w:tblPrEx>
        <w:trPr>
          <w:trHeight w:val="685" w:hRule="atLeast"/>
          <w:jc w:val="center"/>
        </w:trPr>
        <w:tc>
          <w:tcPr>
            <w:tcW w:w="2174" w:type="dxa"/>
            <w:gridSpan w:val="2"/>
            <w:tcBorders>
              <w:top w:val="single" w:color="000000" w:sz="6" w:space="0"/>
              <w:left w:val="single" w:color="000000" w:sz="18" w:space="0"/>
              <w:bottom w:val="single" w:color="000000" w:sz="18" w:space="0"/>
              <w:right w:val="single" w:color="000000" w:sz="6" w:space="0"/>
            </w:tcBorders>
            <w:vAlign w:val="center"/>
          </w:tcPr>
          <w:p w14:paraId="2E52B60A">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其它需补充的情况</w:t>
            </w:r>
          </w:p>
        </w:tc>
        <w:tc>
          <w:tcPr>
            <w:tcW w:w="7002" w:type="dxa"/>
            <w:gridSpan w:val="9"/>
            <w:tcBorders>
              <w:top w:val="single" w:color="000000" w:sz="6" w:space="0"/>
              <w:left w:val="nil"/>
              <w:bottom w:val="single" w:color="000000" w:sz="18" w:space="0"/>
              <w:right w:val="single" w:color="000000" w:sz="18" w:space="0"/>
            </w:tcBorders>
            <w:vAlign w:val="center"/>
          </w:tcPr>
          <w:p w14:paraId="4DFFC469">
            <w:pPr>
              <w:widowControl/>
              <w:jc w:val="center"/>
              <w:rPr>
                <w:rFonts w:hint="eastAsia" w:ascii="宋体" w:hAnsi="宋体" w:eastAsia="宋体" w:cs="宋体"/>
                <w:color w:val="000000" w:themeColor="text1"/>
                <w:kern w:val="0"/>
                <w:sz w:val="24"/>
                <w:szCs w:val="24"/>
                <w:highlight w:val="none"/>
                <w14:textFill>
                  <w14:solidFill>
                    <w14:schemeClr w14:val="tx1"/>
                  </w14:solidFill>
                </w14:textFill>
              </w:rPr>
            </w:pPr>
          </w:p>
        </w:tc>
      </w:tr>
    </w:tbl>
    <w:p w14:paraId="5AC3D50D">
      <w:pPr>
        <w:ind w:firstLine="210" w:firstLineChars="1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注：本表人员应与表（3）中所列人员一致。</w:t>
      </w:r>
      <w:r>
        <w:rPr>
          <w:rFonts w:hint="eastAsia" w:ascii="宋体" w:hAnsi="宋体" w:eastAsia="宋体" w:cs="宋体"/>
          <w:color w:val="000000" w:themeColor="text1"/>
          <w:kern w:val="0"/>
          <w:szCs w:val="21"/>
          <w:highlight w:val="none"/>
          <w14:textFill>
            <w14:solidFill>
              <w14:schemeClr w14:val="tx1"/>
            </w14:solidFill>
          </w14:textFill>
        </w:rPr>
        <w:br w:type="page"/>
      </w:r>
    </w:p>
    <w:p w14:paraId="4BB557B8">
      <w:pPr>
        <w:snapToGrid w:val="0"/>
        <w:spacing w:line="360" w:lineRule="auto"/>
        <w:jc w:val="center"/>
        <w:outlineLvl w:val="1"/>
        <w:rPr>
          <w:rStyle w:val="45"/>
          <w:rFonts w:hint="eastAsia" w:ascii="宋体" w:hAnsi="宋体" w:eastAsia="宋体" w:cs="宋体"/>
          <w:color w:val="000000" w:themeColor="text1"/>
          <w:highlight w:val="none"/>
          <w:lang w:val="en-US" w:eastAsia="zh-CN"/>
          <w14:textFill>
            <w14:solidFill>
              <w14:schemeClr w14:val="tx1"/>
            </w14:solidFill>
          </w14:textFill>
        </w:rPr>
      </w:pPr>
      <w:bookmarkStart w:id="126" w:name="_Toc507"/>
      <w:bookmarkStart w:id="127" w:name="_Toc478298286"/>
      <w:bookmarkStart w:id="128" w:name="_Toc483150967"/>
      <w:r>
        <w:rPr>
          <w:rStyle w:val="45"/>
          <w:rFonts w:hint="eastAsia" w:ascii="宋体" w:hAnsi="宋体" w:eastAsia="宋体" w:cs="宋体"/>
          <w:color w:val="000000" w:themeColor="text1"/>
          <w:highlight w:val="none"/>
          <w14:textFill>
            <w14:solidFill>
              <w14:schemeClr w14:val="tx1"/>
            </w14:solidFill>
          </w14:textFill>
        </w:rPr>
        <w:t>（五）技术响应</w:t>
      </w:r>
      <w:bookmarkEnd w:id="126"/>
      <w:r>
        <w:rPr>
          <w:rStyle w:val="45"/>
          <w:rFonts w:hint="eastAsia" w:ascii="宋体" w:hAnsi="宋体" w:eastAsia="宋体" w:cs="宋体"/>
          <w:color w:val="000000" w:themeColor="text1"/>
          <w:highlight w:val="none"/>
          <w:lang w:val="en-US" w:eastAsia="zh-CN"/>
          <w14:textFill>
            <w14:solidFill>
              <w14:schemeClr w14:val="tx1"/>
            </w14:solidFill>
          </w14:textFill>
        </w:rPr>
        <w:t>文件</w:t>
      </w:r>
    </w:p>
    <w:p w14:paraId="61B926C6">
      <w:pPr>
        <w:pStyle w:val="18"/>
        <w:snapToGrid w:val="0"/>
        <w:spacing w:before="156" w:after="156" w:line="360" w:lineRule="auto"/>
        <w:jc w:val="cente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t>技术和服务方案</w:t>
      </w:r>
    </w:p>
    <w:p w14:paraId="78304397">
      <w:pPr>
        <w:pStyle w:val="18"/>
        <w:snapToGrid w:val="0"/>
        <w:spacing w:before="156" w:after="156" w:line="360" w:lineRule="auto"/>
        <w:jc w:val="center"/>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供应商根据评标办法内容填写，格式自拟，字数不限，内容包括但不限于：</w:t>
      </w:r>
    </w:p>
    <w:p w14:paraId="49E6848A">
      <w:pPr>
        <w:pStyle w:val="18"/>
        <w:numPr>
          <w:ilvl w:val="0"/>
          <w:numId w:val="5"/>
        </w:numPr>
        <w:snapToGrid w:val="0"/>
        <w:spacing w:beforeLines="0" w:afterLines="0" w:line="360" w:lineRule="auto"/>
        <w:ind w:left="0" w:firstLine="480" w:firstLineChars="200"/>
        <w:jc w:val="left"/>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对项目总体要求的理解；</w:t>
      </w:r>
    </w:p>
    <w:p w14:paraId="76E096BB">
      <w:pPr>
        <w:pStyle w:val="18"/>
        <w:numPr>
          <w:ilvl w:val="0"/>
          <w:numId w:val="5"/>
        </w:numPr>
        <w:snapToGrid w:val="0"/>
        <w:spacing w:beforeLines="0" w:afterLines="0" w:line="360" w:lineRule="auto"/>
        <w:ind w:left="0" w:firstLine="480" w:firstLineChars="200"/>
        <w:jc w:val="left"/>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对本项目技术方案与研发措施的理解；</w:t>
      </w:r>
    </w:p>
    <w:p w14:paraId="1ED8776C">
      <w:pPr>
        <w:pStyle w:val="18"/>
        <w:numPr>
          <w:ilvl w:val="0"/>
          <w:numId w:val="5"/>
        </w:numPr>
        <w:snapToGrid w:val="0"/>
        <w:spacing w:beforeLines="0" w:afterLines="0" w:line="360" w:lineRule="auto"/>
        <w:ind w:left="0" w:firstLine="480" w:firstLineChars="200"/>
        <w:jc w:val="left"/>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对台州机场安全能力提升相关系统的响应情况；</w:t>
      </w:r>
    </w:p>
    <w:p w14:paraId="23C14C11">
      <w:pPr>
        <w:pStyle w:val="18"/>
        <w:numPr>
          <w:ilvl w:val="0"/>
          <w:numId w:val="5"/>
        </w:numPr>
        <w:snapToGrid w:val="0"/>
        <w:spacing w:beforeLines="0" w:afterLines="0" w:line="360" w:lineRule="auto"/>
        <w:ind w:left="0" w:firstLine="480" w:firstLineChars="200"/>
        <w:jc w:val="left"/>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14:textFill>
            <w14:solidFill>
              <w14:schemeClr w14:val="tx1"/>
            </w14:solidFill>
          </w14:textFill>
        </w:rPr>
        <w:t>质量管理、安全管理及环境保护体系与措施</w:t>
      </w:r>
      <w:r>
        <w:rPr>
          <w:rFonts w:hint="eastAsia" w:ascii="宋体" w:hAnsi="宋体" w:eastAsia="宋体" w:cs="宋体"/>
          <w:color w:val="000000" w:themeColor="text1"/>
          <w:kern w:val="2"/>
          <w:highlight w:val="none"/>
          <w:lang w:eastAsia="zh-CN"/>
          <w14:textFill>
            <w14:solidFill>
              <w14:schemeClr w14:val="tx1"/>
            </w14:solidFill>
          </w14:textFill>
        </w:rPr>
        <w:t>；</w:t>
      </w:r>
    </w:p>
    <w:p w14:paraId="052610C0">
      <w:pPr>
        <w:pStyle w:val="18"/>
        <w:numPr>
          <w:ilvl w:val="0"/>
          <w:numId w:val="5"/>
        </w:numPr>
        <w:snapToGrid w:val="0"/>
        <w:spacing w:beforeLines="0" w:afterLines="0" w:line="360" w:lineRule="auto"/>
        <w:ind w:left="0" w:firstLine="480" w:firstLineChars="200"/>
        <w:jc w:val="left"/>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lang w:val="en-US" w:eastAsia="zh-CN"/>
          <w14:textFill>
            <w14:solidFill>
              <w14:schemeClr w14:val="tx1"/>
            </w14:solidFill>
          </w14:textFill>
        </w:rPr>
        <w:t>工期保证体系及保证措施</w:t>
      </w:r>
      <w:r>
        <w:rPr>
          <w:rFonts w:hint="eastAsia" w:ascii="宋体" w:hAnsi="宋体" w:eastAsia="宋体" w:cs="宋体"/>
          <w:color w:val="000000" w:themeColor="text1"/>
          <w:kern w:val="2"/>
          <w:highlight w:val="none"/>
          <w14:textFill>
            <w14:solidFill>
              <w14:schemeClr w14:val="tx1"/>
            </w14:solidFill>
          </w14:textFill>
        </w:rPr>
        <w:t>；</w:t>
      </w:r>
    </w:p>
    <w:p w14:paraId="603411E3">
      <w:pPr>
        <w:pStyle w:val="18"/>
        <w:numPr>
          <w:ilvl w:val="0"/>
          <w:numId w:val="5"/>
        </w:numPr>
        <w:snapToGrid w:val="0"/>
        <w:spacing w:beforeLines="0" w:afterLines="0" w:line="360" w:lineRule="auto"/>
        <w:ind w:left="0" w:firstLine="480" w:firstLineChars="200"/>
        <w:jc w:val="left"/>
        <w:rPr>
          <w:rFonts w:hint="eastAsia" w:ascii="宋体" w:hAnsi="宋体" w:eastAsia="宋体" w:cs="宋体"/>
          <w:color w:val="000000" w:themeColor="text1"/>
          <w:kern w:val="2"/>
          <w:highlight w:val="none"/>
          <w14:textFill>
            <w14:solidFill>
              <w14:schemeClr w14:val="tx1"/>
            </w14:solidFill>
          </w14:textFill>
        </w:rPr>
      </w:pPr>
      <w:r>
        <w:rPr>
          <w:rFonts w:hint="eastAsia" w:ascii="宋体" w:hAnsi="宋体" w:eastAsia="宋体" w:cs="宋体"/>
          <w:color w:val="000000" w:themeColor="text1"/>
          <w:kern w:val="2"/>
          <w:highlight w:val="none"/>
          <w:lang w:val="en-US" w:eastAsia="zh-CN"/>
          <w14:textFill>
            <w14:solidFill>
              <w14:schemeClr w14:val="tx1"/>
            </w14:solidFill>
          </w14:textFill>
        </w:rPr>
        <w:t>不停航施工方案与措施</w:t>
      </w:r>
      <w:r>
        <w:rPr>
          <w:rFonts w:hint="eastAsia" w:ascii="宋体" w:hAnsi="宋体" w:eastAsia="宋体" w:cs="宋体"/>
          <w:color w:val="000000" w:themeColor="text1"/>
          <w:kern w:val="2"/>
          <w:highlight w:val="none"/>
          <w14:textFill>
            <w14:solidFill>
              <w14:schemeClr w14:val="tx1"/>
            </w14:solidFill>
          </w14:textFill>
        </w:rPr>
        <w:t>；</w:t>
      </w:r>
    </w:p>
    <w:p w14:paraId="75819DCA">
      <w:pPr>
        <w:pStyle w:val="18"/>
        <w:snapToGrid w:val="0"/>
        <w:spacing w:before="156" w:after="156" w:line="360" w:lineRule="auto"/>
        <w:ind w:left="720"/>
        <w:jc w:val="left"/>
        <w:rPr>
          <w:rFonts w:hint="eastAsia" w:ascii="宋体" w:hAnsi="宋体" w:eastAsia="宋体" w:cs="宋体"/>
          <w:color w:val="000000" w:themeColor="text1"/>
          <w:kern w:val="2"/>
          <w:highlight w:val="none"/>
          <w14:textFill>
            <w14:solidFill>
              <w14:schemeClr w14:val="tx1"/>
            </w14:solidFill>
          </w14:textFill>
        </w:rPr>
      </w:pPr>
    </w:p>
    <w:p w14:paraId="6D9267B3">
      <w:pPr>
        <w:widowControl/>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4DD2409E">
      <w:pPr>
        <w:snapToGrid w:val="0"/>
        <w:spacing w:line="360" w:lineRule="auto"/>
        <w:jc w:val="center"/>
        <w:outlineLvl w:val="1"/>
        <w:rPr>
          <w:rStyle w:val="45"/>
          <w:rFonts w:hint="eastAsia" w:ascii="宋体" w:hAnsi="宋体" w:eastAsia="宋体" w:cs="宋体"/>
          <w:color w:val="000000" w:themeColor="text1"/>
          <w:highlight w:val="none"/>
          <w14:textFill>
            <w14:solidFill>
              <w14:schemeClr w14:val="tx1"/>
            </w14:solidFill>
          </w14:textFill>
        </w:rPr>
      </w:pPr>
      <w:bookmarkStart w:id="129" w:name="_Toc12986"/>
      <w:r>
        <w:rPr>
          <w:rStyle w:val="45"/>
          <w:rFonts w:hint="eastAsia" w:ascii="宋体" w:hAnsi="宋体" w:eastAsia="宋体" w:cs="宋体"/>
          <w:color w:val="000000" w:themeColor="text1"/>
          <w:highlight w:val="none"/>
          <w14:textFill>
            <w14:solidFill>
              <w14:schemeClr w14:val="tx1"/>
            </w14:solidFill>
          </w14:textFill>
        </w:rPr>
        <w:t>（六）报价清单</w:t>
      </w:r>
      <w:bookmarkEnd w:id="129"/>
    </w:p>
    <w:p w14:paraId="1618A0FA">
      <w:pPr>
        <w:pStyle w:val="46"/>
        <w:snapToGrid w:val="0"/>
        <w:spacing w:line="360" w:lineRule="auto"/>
        <w:jc w:val="center"/>
        <w:outlineLvl w:val="2"/>
        <w:rPr>
          <w:rFonts w:hint="eastAsia" w:ascii="宋体" w:hAnsi="宋体" w:eastAsia="宋体" w:cs="宋体"/>
          <w:b/>
          <w:color w:val="000000" w:themeColor="text1"/>
          <w:sz w:val="28"/>
          <w:szCs w:val="28"/>
          <w:highlight w:val="none"/>
          <w:lang w:val="en-US" w:eastAsia="zh-CN"/>
          <w14:textFill>
            <w14:solidFill>
              <w14:schemeClr w14:val="tx1"/>
            </w14:solidFill>
          </w14:textFill>
        </w:rPr>
      </w:pPr>
      <w:bookmarkStart w:id="130" w:name="_Toc31940"/>
      <w:r>
        <w:rPr>
          <w:rFonts w:hint="eastAsia" w:ascii="宋体" w:hAnsi="宋体" w:eastAsia="宋体" w:cs="宋体"/>
          <w:b/>
          <w:color w:val="000000" w:themeColor="text1"/>
          <w:sz w:val="28"/>
          <w:szCs w:val="28"/>
          <w:highlight w:val="none"/>
          <w:lang w:val="en-US" w:eastAsia="zh-CN"/>
          <w14:textFill>
            <w14:solidFill>
              <w14:schemeClr w14:val="tx1"/>
            </w14:solidFill>
          </w14:textFill>
        </w:rPr>
        <w:t>（1）投标报价汇总表</w:t>
      </w:r>
      <w:bookmarkEnd w:id="130"/>
    </w:p>
    <w:p w14:paraId="57F9BC3B">
      <w:pPr>
        <w:spacing w:line="360" w:lineRule="auto"/>
        <w:rPr>
          <w:rFonts w:hint="eastAsia" w:ascii="宋体" w:hAnsi="宋体" w:eastAsia="宋体" w:cs="宋体"/>
          <w:b/>
          <w:color w:val="000000" w:themeColor="text1"/>
          <w:kern w:val="0"/>
          <w:sz w:val="24"/>
          <w:highlight w:val="none"/>
          <w:u w:val="single"/>
          <w14:textFill>
            <w14:solidFill>
              <w14:schemeClr w14:val="tx1"/>
            </w14:solidFill>
          </w14:textFill>
        </w:rPr>
      </w:pPr>
      <w:r>
        <w:rPr>
          <w:rFonts w:hint="eastAsia" w:ascii="宋体" w:hAnsi="宋体" w:eastAsia="宋体" w:cs="宋体"/>
          <w:b/>
          <w:color w:val="000000" w:themeColor="text1"/>
          <w:kern w:val="0"/>
          <w:sz w:val="24"/>
          <w:highlight w:val="none"/>
          <w14:textFill>
            <w14:solidFill>
              <w14:schemeClr w14:val="tx1"/>
            </w14:solidFill>
          </w14:textFill>
        </w:rPr>
        <w:t>项目名称：</w:t>
      </w:r>
    </w:p>
    <w:p w14:paraId="466DAEEB">
      <w:pPr>
        <w:snapToGrid w:val="0"/>
        <w:spacing w:before="50" w:after="50" w:line="360" w:lineRule="auto"/>
        <w:rPr>
          <w:rFonts w:hint="eastAsia" w:ascii="宋体" w:hAnsi="宋体" w:eastAsia="宋体" w:cs="宋体"/>
          <w:b/>
          <w:color w:val="000000" w:themeColor="text1"/>
          <w:kern w:val="0"/>
          <w:sz w:val="24"/>
          <w:highlight w:val="none"/>
          <w14:textFill>
            <w14:solidFill>
              <w14:schemeClr w14:val="tx1"/>
            </w14:solidFill>
          </w14:textFill>
        </w:rPr>
      </w:pPr>
      <w:r>
        <w:rPr>
          <w:rFonts w:hint="eastAsia" w:ascii="宋体" w:hAnsi="宋体" w:eastAsia="宋体" w:cs="宋体"/>
          <w:b/>
          <w:color w:val="000000" w:themeColor="text1"/>
          <w:kern w:val="0"/>
          <w:sz w:val="24"/>
          <w:highlight w:val="none"/>
          <w:lang w:val="en-US" w:eastAsia="zh-CN"/>
          <w14:textFill>
            <w14:solidFill>
              <w14:schemeClr w14:val="tx1"/>
            </w14:solidFill>
          </w14:textFill>
        </w:rPr>
        <w:t>采购</w:t>
      </w:r>
      <w:r>
        <w:rPr>
          <w:rFonts w:hint="eastAsia" w:ascii="宋体" w:hAnsi="宋体" w:eastAsia="宋体" w:cs="宋体"/>
          <w:b/>
          <w:color w:val="000000" w:themeColor="text1"/>
          <w:kern w:val="0"/>
          <w:sz w:val="24"/>
          <w:highlight w:val="none"/>
          <w14:textFill>
            <w14:solidFill>
              <w14:schemeClr w14:val="tx1"/>
            </w14:solidFill>
          </w14:textFill>
        </w:rPr>
        <w:t>编号：</w:t>
      </w:r>
    </w:p>
    <w:tbl>
      <w:tblPr>
        <w:tblStyle w:val="34"/>
        <w:tblW w:w="8598"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906"/>
        <w:gridCol w:w="2913"/>
        <w:gridCol w:w="2901"/>
        <w:gridCol w:w="1878"/>
      </w:tblGrid>
      <w:tr w14:paraId="22DBB6F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906" w:type="dxa"/>
            <w:vAlign w:val="center"/>
          </w:tcPr>
          <w:p w14:paraId="3A3F4D1B">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序号</w:t>
            </w:r>
          </w:p>
        </w:tc>
        <w:tc>
          <w:tcPr>
            <w:tcW w:w="2913" w:type="dxa"/>
            <w:vAlign w:val="center"/>
          </w:tcPr>
          <w:p w14:paraId="1DCF3EE4">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lang w:val="zh-CN"/>
                <w14:textFill>
                  <w14:solidFill>
                    <w14:schemeClr w14:val="tx1"/>
                  </w14:solidFill>
                </w14:textFill>
              </w:rPr>
              <w:t>费用名称</w:t>
            </w:r>
          </w:p>
        </w:tc>
        <w:tc>
          <w:tcPr>
            <w:tcW w:w="2901" w:type="dxa"/>
            <w:vAlign w:val="center"/>
          </w:tcPr>
          <w:p w14:paraId="301BBC06">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总价（元）</w:t>
            </w:r>
          </w:p>
        </w:tc>
        <w:tc>
          <w:tcPr>
            <w:tcW w:w="1878" w:type="dxa"/>
            <w:vAlign w:val="center"/>
          </w:tcPr>
          <w:p w14:paraId="230DA4E9">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备注</w:t>
            </w:r>
          </w:p>
        </w:tc>
      </w:tr>
      <w:tr w14:paraId="1354457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906" w:type="dxa"/>
            <w:vAlign w:val="center"/>
          </w:tcPr>
          <w:p w14:paraId="6E5ADE7E">
            <w:pPr>
              <w:spacing w:line="400" w:lineRule="exact"/>
              <w:jc w:val="center"/>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1</w:t>
            </w:r>
          </w:p>
        </w:tc>
        <w:tc>
          <w:tcPr>
            <w:tcW w:w="2913" w:type="dxa"/>
            <w:vAlign w:val="center"/>
          </w:tcPr>
          <w:p w14:paraId="3E4CA680">
            <w:pPr>
              <w:spacing w:line="400" w:lineRule="exact"/>
              <w:jc w:val="center"/>
              <w:rPr>
                <w:rFonts w:hint="eastAsia" w:ascii="宋体" w:hAnsi="宋体" w:eastAsia="宋体" w:cs="宋体"/>
                <w:b/>
                <w:bCs/>
                <w:color w:val="000000" w:themeColor="text1"/>
                <w:sz w:val="24"/>
                <w:highlight w:val="none"/>
                <w:lang w:val="zh-CN"/>
                <w14:textFill>
                  <w14:solidFill>
                    <w14:schemeClr w14:val="tx1"/>
                  </w14:solidFill>
                </w14:textFill>
              </w:rPr>
            </w:pPr>
            <w:r>
              <w:rPr>
                <w:rFonts w:hint="eastAsia" w:ascii="宋体" w:hAnsi="宋体" w:eastAsia="宋体" w:cs="宋体"/>
                <w:b/>
                <w:bCs/>
                <w:color w:val="000000" w:themeColor="text1"/>
                <w:sz w:val="24"/>
                <w:highlight w:val="none"/>
                <w:lang w:val="zh-CN"/>
                <w14:textFill>
                  <w14:solidFill>
                    <w14:schemeClr w14:val="tx1"/>
                  </w14:solidFill>
                </w14:textFill>
              </w:rPr>
              <w:t>应急救援会商系统</w:t>
            </w:r>
          </w:p>
        </w:tc>
        <w:tc>
          <w:tcPr>
            <w:tcW w:w="2901" w:type="dxa"/>
            <w:vAlign w:val="center"/>
          </w:tcPr>
          <w:p w14:paraId="585C5BD9">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p>
        </w:tc>
        <w:tc>
          <w:tcPr>
            <w:tcW w:w="1878" w:type="dxa"/>
            <w:vAlign w:val="center"/>
          </w:tcPr>
          <w:p w14:paraId="7995B0A8">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p>
        </w:tc>
      </w:tr>
      <w:tr w14:paraId="34F2DD0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906" w:type="dxa"/>
            <w:vAlign w:val="center"/>
          </w:tcPr>
          <w:p w14:paraId="4FBB3B61">
            <w:pPr>
              <w:spacing w:line="400" w:lineRule="exact"/>
              <w:jc w:val="center"/>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2</w:t>
            </w:r>
          </w:p>
        </w:tc>
        <w:tc>
          <w:tcPr>
            <w:tcW w:w="2913" w:type="dxa"/>
            <w:vAlign w:val="center"/>
          </w:tcPr>
          <w:p w14:paraId="6F76EB9E">
            <w:pPr>
              <w:spacing w:line="400" w:lineRule="exact"/>
              <w:jc w:val="center"/>
              <w:rPr>
                <w:rFonts w:hint="eastAsia" w:ascii="宋体" w:hAnsi="宋体" w:eastAsia="宋体" w:cs="宋体"/>
                <w:b/>
                <w:bCs/>
                <w:color w:val="000000" w:themeColor="text1"/>
                <w:sz w:val="24"/>
                <w:highlight w:val="none"/>
                <w:lang w:val="zh-CN"/>
                <w14:textFill>
                  <w14:solidFill>
                    <w14:schemeClr w14:val="tx1"/>
                  </w14:solidFill>
                </w14:textFill>
              </w:rPr>
            </w:pPr>
            <w:r>
              <w:rPr>
                <w:rFonts w:hint="eastAsia" w:ascii="宋体" w:hAnsi="宋体" w:eastAsia="宋体" w:cs="宋体"/>
                <w:b/>
                <w:bCs/>
                <w:color w:val="000000" w:themeColor="text1"/>
                <w:sz w:val="24"/>
                <w:highlight w:val="none"/>
                <w:lang w:val="zh-CN"/>
                <w14:textFill>
                  <w14:solidFill>
                    <w14:schemeClr w14:val="tx1"/>
                  </w14:solidFill>
                </w14:textFill>
              </w:rPr>
              <w:t>机坪安全运行管理系统</w:t>
            </w:r>
          </w:p>
        </w:tc>
        <w:tc>
          <w:tcPr>
            <w:tcW w:w="2901" w:type="dxa"/>
            <w:vAlign w:val="center"/>
          </w:tcPr>
          <w:p w14:paraId="00AEC722">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p>
        </w:tc>
        <w:tc>
          <w:tcPr>
            <w:tcW w:w="1878" w:type="dxa"/>
            <w:vAlign w:val="center"/>
          </w:tcPr>
          <w:p w14:paraId="6B34D315">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p>
        </w:tc>
      </w:tr>
      <w:tr w14:paraId="212816F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906" w:type="dxa"/>
            <w:vAlign w:val="center"/>
          </w:tcPr>
          <w:p w14:paraId="1C43FDE1">
            <w:pPr>
              <w:spacing w:line="400" w:lineRule="exact"/>
              <w:jc w:val="center"/>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3</w:t>
            </w:r>
          </w:p>
        </w:tc>
        <w:tc>
          <w:tcPr>
            <w:tcW w:w="2913" w:type="dxa"/>
            <w:vAlign w:val="center"/>
          </w:tcPr>
          <w:p w14:paraId="067DBEE9">
            <w:pPr>
              <w:spacing w:line="400" w:lineRule="exact"/>
              <w:jc w:val="center"/>
              <w:rPr>
                <w:rFonts w:hint="eastAsia" w:ascii="宋体" w:hAnsi="宋体" w:eastAsia="宋体" w:cs="宋体"/>
                <w:b/>
                <w:bCs/>
                <w:color w:val="000000" w:themeColor="text1"/>
                <w:sz w:val="24"/>
                <w:highlight w:val="none"/>
                <w:lang w:val="zh-CN"/>
                <w14:textFill>
                  <w14:solidFill>
                    <w14:schemeClr w14:val="tx1"/>
                  </w14:solidFill>
                </w14:textFill>
              </w:rPr>
            </w:pPr>
            <w:r>
              <w:rPr>
                <w:rFonts w:hint="eastAsia" w:ascii="宋体" w:hAnsi="宋体" w:eastAsia="宋体" w:cs="宋体"/>
                <w:b/>
                <w:bCs/>
                <w:color w:val="000000" w:themeColor="text1"/>
                <w:sz w:val="24"/>
                <w:highlight w:val="none"/>
                <w:lang w:val="zh-CN"/>
                <w14:textFill>
                  <w14:solidFill>
                    <w14:schemeClr w14:val="tx1"/>
                  </w14:solidFill>
                </w14:textFill>
              </w:rPr>
              <w:t>无人机防控系统</w:t>
            </w:r>
          </w:p>
        </w:tc>
        <w:tc>
          <w:tcPr>
            <w:tcW w:w="2901" w:type="dxa"/>
            <w:vAlign w:val="center"/>
          </w:tcPr>
          <w:p w14:paraId="7121F773">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p>
        </w:tc>
        <w:tc>
          <w:tcPr>
            <w:tcW w:w="1878" w:type="dxa"/>
            <w:vAlign w:val="center"/>
          </w:tcPr>
          <w:p w14:paraId="36AA0980">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p>
        </w:tc>
      </w:tr>
      <w:tr w14:paraId="30BF812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906" w:type="dxa"/>
            <w:vAlign w:val="center"/>
          </w:tcPr>
          <w:p w14:paraId="2CDC00A4">
            <w:pPr>
              <w:spacing w:line="400" w:lineRule="exact"/>
              <w:jc w:val="center"/>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4</w:t>
            </w:r>
          </w:p>
        </w:tc>
        <w:tc>
          <w:tcPr>
            <w:tcW w:w="2913" w:type="dxa"/>
            <w:vAlign w:val="center"/>
          </w:tcPr>
          <w:p w14:paraId="04A56B38">
            <w:pPr>
              <w:spacing w:line="400" w:lineRule="exact"/>
              <w:jc w:val="center"/>
              <w:rPr>
                <w:rFonts w:hint="eastAsia" w:ascii="宋体" w:hAnsi="宋体" w:eastAsia="宋体" w:cs="宋体"/>
                <w:b/>
                <w:bCs/>
                <w:color w:val="000000" w:themeColor="text1"/>
                <w:sz w:val="24"/>
                <w:highlight w:val="none"/>
                <w:lang w:val="zh-CN"/>
                <w14:textFill>
                  <w14:solidFill>
                    <w14:schemeClr w14:val="tx1"/>
                  </w14:solidFill>
                </w14:textFill>
              </w:rPr>
            </w:pPr>
            <w:r>
              <w:rPr>
                <w:rFonts w:hint="eastAsia" w:ascii="宋体" w:hAnsi="宋体" w:eastAsia="宋体" w:cs="宋体"/>
                <w:b/>
                <w:bCs/>
                <w:color w:val="000000" w:themeColor="text1"/>
                <w:sz w:val="24"/>
                <w:highlight w:val="none"/>
                <w:lang w:val="zh-CN"/>
                <w14:textFill>
                  <w14:solidFill>
                    <w14:schemeClr w14:val="tx1"/>
                  </w14:solidFill>
                </w14:textFill>
              </w:rPr>
              <w:t>机场智能交通管理系统</w:t>
            </w:r>
          </w:p>
        </w:tc>
        <w:tc>
          <w:tcPr>
            <w:tcW w:w="2901" w:type="dxa"/>
            <w:vAlign w:val="center"/>
          </w:tcPr>
          <w:p w14:paraId="7D94BE64">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p>
        </w:tc>
        <w:tc>
          <w:tcPr>
            <w:tcW w:w="1878" w:type="dxa"/>
            <w:vAlign w:val="center"/>
          </w:tcPr>
          <w:p w14:paraId="2CA1B608">
            <w:pPr>
              <w:spacing w:line="400" w:lineRule="exact"/>
              <w:jc w:val="center"/>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4=4.1+4.2+4.3</w:t>
            </w:r>
          </w:p>
        </w:tc>
      </w:tr>
      <w:tr w14:paraId="746F0F09">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906" w:type="dxa"/>
            <w:vAlign w:val="center"/>
          </w:tcPr>
          <w:p w14:paraId="781C346F">
            <w:pPr>
              <w:spacing w:line="400" w:lineRule="exact"/>
              <w:jc w:val="center"/>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4.1</w:t>
            </w:r>
          </w:p>
        </w:tc>
        <w:tc>
          <w:tcPr>
            <w:tcW w:w="2913" w:type="dxa"/>
            <w:vAlign w:val="center"/>
          </w:tcPr>
          <w:p w14:paraId="0E23B12E">
            <w:pPr>
              <w:spacing w:line="400" w:lineRule="exact"/>
              <w:jc w:val="center"/>
              <w:rPr>
                <w:rFonts w:hint="eastAsia" w:ascii="宋体" w:hAnsi="宋体" w:eastAsia="宋体" w:cs="宋体"/>
                <w:b/>
                <w:bCs/>
                <w:color w:val="000000" w:themeColor="text1"/>
                <w:sz w:val="24"/>
                <w:highlight w:val="none"/>
                <w:lang w:val="zh-CN"/>
                <w14:textFill>
                  <w14:solidFill>
                    <w14:schemeClr w14:val="tx1"/>
                  </w14:solidFill>
                </w14:textFill>
              </w:rPr>
            </w:pPr>
            <w:r>
              <w:rPr>
                <w:rFonts w:hint="eastAsia" w:ascii="宋体" w:hAnsi="宋体" w:eastAsia="宋体" w:cs="宋体"/>
                <w:b/>
                <w:bCs/>
                <w:color w:val="000000" w:themeColor="text1"/>
                <w:sz w:val="24"/>
                <w:highlight w:val="none"/>
                <w:lang w:val="zh-CN"/>
                <w14:textFill>
                  <w14:solidFill>
                    <w14:schemeClr w14:val="tx1"/>
                  </w14:solidFill>
                </w14:textFill>
              </w:rPr>
              <w:t>多维车辆调度智慧管理子系统</w:t>
            </w:r>
          </w:p>
        </w:tc>
        <w:tc>
          <w:tcPr>
            <w:tcW w:w="2901" w:type="dxa"/>
            <w:vAlign w:val="center"/>
          </w:tcPr>
          <w:p w14:paraId="115A895D">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p>
        </w:tc>
        <w:tc>
          <w:tcPr>
            <w:tcW w:w="1878" w:type="dxa"/>
            <w:vAlign w:val="center"/>
          </w:tcPr>
          <w:p w14:paraId="787A1AA3">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p>
        </w:tc>
      </w:tr>
      <w:tr w14:paraId="7B3D97A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906" w:type="dxa"/>
            <w:vAlign w:val="center"/>
          </w:tcPr>
          <w:p w14:paraId="43D16590">
            <w:pPr>
              <w:spacing w:line="400" w:lineRule="exact"/>
              <w:jc w:val="center"/>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4.2</w:t>
            </w:r>
          </w:p>
        </w:tc>
        <w:tc>
          <w:tcPr>
            <w:tcW w:w="2913" w:type="dxa"/>
            <w:vAlign w:val="center"/>
          </w:tcPr>
          <w:p w14:paraId="2E2661D0">
            <w:pPr>
              <w:spacing w:line="400" w:lineRule="exact"/>
              <w:jc w:val="center"/>
              <w:rPr>
                <w:rFonts w:hint="eastAsia" w:ascii="宋体" w:hAnsi="宋体" w:eastAsia="宋体" w:cs="宋体"/>
                <w:b/>
                <w:bCs/>
                <w:color w:val="000000" w:themeColor="text1"/>
                <w:sz w:val="24"/>
                <w:highlight w:val="none"/>
                <w:lang w:val="zh-CN"/>
                <w14:textFill>
                  <w14:solidFill>
                    <w14:schemeClr w14:val="tx1"/>
                  </w14:solidFill>
                </w14:textFill>
              </w:rPr>
            </w:pPr>
            <w:r>
              <w:rPr>
                <w:rFonts w:hint="eastAsia" w:ascii="宋体" w:hAnsi="宋体" w:eastAsia="宋体" w:cs="宋体"/>
                <w:b/>
                <w:bCs/>
                <w:color w:val="000000" w:themeColor="text1"/>
                <w:sz w:val="24"/>
                <w:highlight w:val="none"/>
                <w:lang w:val="zh-CN"/>
                <w14:textFill>
                  <w14:solidFill>
                    <w14:schemeClr w14:val="tx1"/>
                  </w14:solidFill>
                </w14:textFill>
              </w:rPr>
              <w:t>陆侧交通预测预警评估子系统</w:t>
            </w:r>
          </w:p>
        </w:tc>
        <w:tc>
          <w:tcPr>
            <w:tcW w:w="2901" w:type="dxa"/>
            <w:vAlign w:val="center"/>
          </w:tcPr>
          <w:p w14:paraId="5B474A18">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p>
        </w:tc>
        <w:tc>
          <w:tcPr>
            <w:tcW w:w="1878" w:type="dxa"/>
            <w:vAlign w:val="center"/>
          </w:tcPr>
          <w:p w14:paraId="0D2F2372">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p>
        </w:tc>
      </w:tr>
      <w:tr w14:paraId="6913F0D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58" w:hRule="atLeast"/>
          <w:jc w:val="center"/>
        </w:trPr>
        <w:tc>
          <w:tcPr>
            <w:tcW w:w="906" w:type="dxa"/>
            <w:vAlign w:val="center"/>
          </w:tcPr>
          <w:p w14:paraId="5B295268">
            <w:pPr>
              <w:spacing w:line="400" w:lineRule="exact"/>
              <w:jc w:val="center"/>
              <w:rPr>
                <w:rFonts w:hint="eastAsia" w:ascii="宋体" w:hAnsi="宋体" w:eastAsia="宋体" w:cs="宋体"/>
                <w:b/>
                <w:color w:val="000000" w:themeColor="text1"/>
                <w:sz w:val="24"/>
                <w:highlight w:val="none"/>
                <w:lang w:val="en-US" w:eastAsia="zh-CN"/>
                <w14:textFill>
                  <w14:solidFill>
                    <w14:schemeClr w14:val="tx1"/>
                  </w14:solidFill>
                </w14:textFill>
              </w:rPr>
            </w:pPr>
            <w:r>
              <w:rPr>
                <w:rFonts w:hint="eastAsia" w:ascii="宋体" w:hAnsi="宋体" w:eastAsia="宋体" w:cs="宋体"/>
                <w:b/>
                <w:color w:val="000000" w:themeColor="text1"/>
                <w:sz w:val="24"/>
                <w:highlight w:val="none"/>
                <w:lang w:val="en-US" w:eastAsia="zh-CN"/>
                <w14:textFill>
                  <w14:solidFill>
                    <w14:schemeClr w14:val="tx1"/>
                  </w14:solidFill>
                </w14:textFill>
              </w:rPr>
              <w:t>4.3</w:t>
            </w:r>
          </w:p>
        </w:tc>
        <w:tc>
          <w:tcPr>
            <w:tcW w:w="2913" w:type="dxa"/>
            <w:vAlign w:val="center"/>
          </w:tcPr>
          <w:p w14:paraId="5D56A127">
            <w:pPr>
              <w:spacing w:line="400" w:lineRule="exact"/>
              <w:jc w:val="center"/>
              <w:rPr>
                <w:rFonts w:hint="eastAsia" w:ascii="宋体" w:hAnsi="宋体" w:eastAsia="宋体" w:cs="宋体"/>
                <w:b/>
                <w:bCs/>
                <w:color w:val="000000" w:themeColor="text1"/>
                <w:sz w:val="24"/>
                <w:highlight w:val="none"/>
                <w:lang w:val="zh-CN"/>
                <w14:textFill>
                  <w14:solidFill>
                    <w14:schemeClr w14:val="tx1"/>
                  </w14:solidFill>
                </w14:textFill>
              </w:rPr>
            </w:pPr>
            <w:r>
              <w:rPr>
                <w:rFonts w:hint="eastAsia" w:ascii="宋体" w:hAnsi="宋体" w:eastAsia="宋体" w:cs="宋体"/>
                <w:b/>
                <w:bCs/>
                <w:color w:val="000000" w:themeColor="text1"/>
                <w:sz w:val="24"/>
                <w:highlight w:val="none"/>
                <w:lang w:val="zh-CN"/>
                <w14:textFill>
                  <w14:solidFill>
                    <w14:schemeClr w14:val="tx1"/>
                  </w14:solidFill>
                </w14:textFill>
              </w:rPr>
              <w:t>指挥中心综合运营管理子系统</w:t>
            </w:r>
          </w:p>
        </w:tc>
        <w:tc>
          <w:tcPr>
            <w:tcW w:w="2901" w:type="dxa"/>
            <w:vAlign w:val="center"/>
          </w:tcPr>
          <w:p w14:paraId="100E79AD">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p>
        </w:tc>
        <w:tc>
          <w:tcPr>
            <w:tcW w:w="1878" w:type="dxa"/>
            <w:vAlign w:val="center"/>
          </w:tcPr>
          <w:p w14:paraId="2DE5ECF8">
            <w:pPr>
              <w:spacing w:line="400" w:lineRule="exact"/>
              <w:jc w:val="center"/>
              <w:rPr>
                <w:rFonts w:hint="eastAsia" w:ascii="宋体" w:hAnsi="宋体" w:eastAsia="宋体" w:cs="宋体"/>
                <w:b/>
                <w:color w:val="000000" w:themeColor="text1"/>
                <w:sz w:val="24"/>
                <w:highlight w:val="none"/>
                <w14:textFill>
                  <w14:solidFill>
                    <w14:schemeClr w14:val="tx1"/>
                  </w14:solidFill>
                </w14:textFill>
              </w:rPr>
            </w:pPr>
          </w:p>
        </w:tc>
      </w:tr>
      <w:tr w14:paraId="79243FF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03" w:hRule="atLeast"/>
          <w:jc w:val="center"/>
        </w:trPr>
        <w:tc>
          <w:tcPr>
            <w:tcW w:w="906" w:type="dxa"/>
            <w:vMerge w:val="restart"/>
            <w:vAlign w:val="center"/>
          </w:tcPr>
          <w:p w14:paraId="4197924A">
            <w:pPr>
              <w:spacing w:line="360" w:lineRule="auto"/>
              <w:jc w:val="center"/>
              <w:rPr>
                <w:rFonts w:hint="eastAsia" w:ascii="宋体" w:hAnsi="宋体" w:eastAsia="宋体" w:cs="宋体"/>
                <w:color w:val="000000" w:themeColor="text1"/>
                <w:sz w:val="24"/>
                <w:highlight w:val="none"/>
                <w:lang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w:t>
            </w:r>
          </w:p>
        </w:tc>
        <w:tc>
          <w:tcPr>
            <w:tcW w:w="2913" w:type="dxa"/>
            <w:vAlign w:val="center"/>
          </w:tcPr>
          <w:p w14:paraId="56613F88">
            <w:pPr>
              <w:snapToGrid w:val="0"/>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报价合计（大写）</w:t>
            </w:r>
          </w:p>
        </w:tc>
        <w:tc>
          <w:tcPr>
            <w:tcW w:w="2901" w:type="dxa"/>
            <w:vAlign w:val="center"/>
          </w:tcPr>
          <w:p w14:paraId="60D99C56">
            <w:pPr>
              <w:snapToGrid w:val="0"/>
              <w:spacing w:line="360" w:lineRule="auto"/>
              <w:jc w:val="center"/>
              <w:rPr>
                <w:rFonts w:hint="eastAsia" w:ascii="宋体" w:hAnsi="宋体" w:eastAsia="宋体" w:cs="宋体"/>
                <w:color w:val="000000" w:themeColor="text1"/>
                <w:sz w:val="24"/>
                <w:highlight w:val="none"/>
                <w14:textFill>
                  <w14:solidFill>
                    <w14:schemeClr w14:val="tx1"/>
                  </w14:solidFill>
                </w14:textFill>
              </w:rPr>
            </w:pPr>
          </w:p>
        </w:tc>
        <w:tc>
          <w:tcPr>
            <w:tcW w:w="1878" w:type="dxa"/>
            <w:vMerge w:val="restart"/>
            <w:vAlign w:val="center"/>
          </w:tcPr>
          <w:p w14:paraId="4C0CF7EC">
            <w:pPr>
              <w:spacing w:line="360" w:lineRule="auto"/>
              <w:jc w:val="center"/>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5=1+2+3+4</w:t>
            </w:r>
          </w:p>
        </w:tc>
      </w:tr>
      <w:tr w14:paraId="491B733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60" w:hRule="atLeast"/>
          <w:jc w:val="center"/>
        </w:trPr>
        <w:tc>
          <w:tcPr>
            <w:tcW w:w="906" w:type="dxa"/>
            <w:vMerge w:val="continue"/>
            <w:vAlign w:val="center"/>
          </w:tcPr>
          <w:p w14:paraId="263450EB">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p>
        </w:tc>
        <w:tc>
          <w:tcPr>
            <w:tcW w:w="2913" w:type="dxa"/>
            <w:vAlign w:val="center"/>
          </w:tcPr>
          <w:p w14:paraId="19EFC5F1">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报价合计（小写）</w:t>
            </w:r>
          </w:p>
        </w:tc>
        <w:tc>
          <w:tcPr>
            <w:tcW w:w="2901" w:type="dxa"/>
            <w:vAlign w:val="center"/>
          </w:tcPr>
          <w:p w14:paraId="672AD181">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p>
        </w:tc>
        <w:tc>
          <w:tcPr>
            <w:tcW w:w="1878" w:type="dxa"/>
            <w:vMerge w:val="continue"/>
            <w:vAlign w:val="center"/>
          </w:tcPr>
          <w:p w14:paraId="46C5B145">
            <w:pPr>
              <w:spacing w:line="360" w:lineRule="auto"/>
              <w:jc w:val="center"/>
              <w:rPr>
                <w:rFonts w:hint="eastAsia" w:ascii="宋体" w:hAnsi="宋体" w:eastAsia="宋体" w:cs="宋体"/>
                <w:color w:val="000000" w:themeColor="text1"/>
                <w:sz w:val="24"/>
                <w:highlight w:val="none"/>
                <w14:textFill>
                  <w14:solidFill>
                    <w14:schemeClr w14:val="tx1"/>
                  </w14:solidFill>
                </w14:textFill>
              </w:rPr>
            </w:pPr>
          </w:p>
        </w:tc>
      </w:tr>
      <w:bookmarkEnd w:id="127"/>
      <w:bookmarkEnd w:id="128"/>
    </w:tbl>
    <w:p w14:paraId="1531B267">
      <w:pPr>
        <w:tabs>
          <w:tab w:val="left" w:pos="2670"/>
        </w:tabs>
        <w:snapToGrid w:val="0"/>
        <w:spacing w:line="360" w:lineRule="auto"/>
        <w:ind w:right="480" w:firstLine="5280" w:firstLineChars="2200"/>
        <w:rPr>
          <w:rFonts w:hint="eastAsia" w:ascii="宋体" w:hAnsi="宋体" w:eastAsia="宋体" w:cs="宋体"/>
          <w:color w:val="000000" w:themeColor="text1"/>
          <w:kern w:val="0"/>
          <w:sz w:val="24"/>
          <w:szCs w:val="21"/>
          <w:highlight w:val="none"/>
          <w14:textFill>
            <w14:solidFill>
              <w14:schemeClr w14:val="tx1"/>
            </w14:solidFill>
          </w14:textFill>
        </w:rPr>
      </w:pPr>
    </w:p>
    <w:p w14:paraId="0EEE0EDE">
      <w:pPr>
        <w:tabs>
          <w:tab w:val="left" w:pos="2670"/>
        </w:tabs>
        <w:snapToGrid w:val="0"/>
        <w:spacing w:line="360" w:lineRule="auto"/>
        <w:ind w:right="480" w:firstLine="5280" w:firstLineChars="2200"/>
        <w:rPr>
          <w:rFonts w:hint="eastAsia" w:ascii="宋体" w:hAnsi="宋体" w:eastAsia="宋体" w:cs="宋体"/>
          <w:color w:val="000000" w:themeColor="text1"/>
          <w:kern w:val="0"/>
          <w:sz w:val="24"/>
          <w:szCs w:val="21"/>
          <w:highlight w:val="none"/>
          <w14:textFill>
            <w14:solidFill>
              <w14:schemeClr w14:val="tx1"/>
            </w14:solidFill>
          </w14:textFill>
        </w:rPr>
      </w:pPr>
    </w:p>
    <w:p w14:paraId="0CB090E4">
      <w:pPr>
        <w:spacing w:line="360" w:lineRule="auto"/>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t xml:space="preserve">         </w:t>
      </w:r>
      <w:r>
        <w:rPr>
          <w:rFonts w:hint="eastAsia" w:ascii="宋体" w:hAnsi="宋体" w:eastAsia="宋体" w:cs="宋体"/>
          <w:color w:val="000000" w:themeColor="text1"/>
          <w:kern w:val="0"/>
          <w:sz w:val="24"/>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1"/>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(盖单位电子公章) </w:t>
      </w:r>
    </w:p>
    <w:p w14:paraId="68146EFA">
      <w:pPr>
        <w:autoSpaceDE w:val="0"/>
        <w:autoSpaceDN w:val="0"/>
        <w:snapToGrid w:val="0"/>
        <w:spacing w:line="360" w:lineRule="auto"/>
        <w:ind w:firstLine="480" w:firstLineChars="200"/>
        <w:jc w:val="center"/>
        <w:rPr>
          <w:rFonts w:hint="eastAsia"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法定代表人或其委托代理人：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（签字或盖章）</w:t>
      </w:r>
    </w:p>
    <w:p w14:paraId="4F064365">
      <w:pPr>
        <w:snapToGrid w:val="0"/>
        <w:spacing w:line="360" w:lineRule="auto"/>
        <w:ind w:firstLine="2160" w:firstLineChars="900"/>
        <w:jc w:val="left"/>
        <w:rPr>
          <w:rFonts w:hint="eastAsia" w:ascii="宋体" w:hAnsi="宋体" w:eastAsia="宋体" w:cs="宋体"/>
          <w:color w:val="000000" w:themeColor="text1"/>
          <w:kern w:val="0"/>
          <w:sz w:val="24"/>
          <w:szCs w:val="21"/>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000000" w:themeColor="text1"/>
          <w:kern w:val="0"/>
          <w:sz w:val="24"/>
          <w:szCs w:val="21"/>
          <w:highlight w:val="none"/>
          <w14:textFill>
            <w14:solidFill>
              <w14:schemeClr w14:val="tx1"/>
            </w14:solidFill>
          </w14:textFill>
        </w:rPr>
        <w:t xml:space="preserve">日  </w:t>
      </w:r>
      <w:r>
        <w:rPr>
          <w:rFonts w:hint="eastAsia" w:ascii="宋体" w:hAnsi="宋体" w:eastAsia="宋体" w:cs="宋体"/>
          <w:color w:val="000000" w:themeColor="text1"/>
          <w:kern w:val="0"/>
          <w:sz w:val="24"/>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1"/>
          <w:highlight w:val="none"/>
          <w14:textFill>
            <w14:solidFill>
              <w14:schemeClr w14:val="tx1"/>
            </w14:solidFill>
          </w14:textFill>
        </w:rPr>
        <w:t>期：   年    月   日</w:t>
      </w:r>
    </w:p>
    <w:p w14:paraId="3FC7BB1F">
      <w:pPr>
        <w:pStyle w:val="46"/>
        <w:numPr>
          <w:ilvl w:val="0"/>
          <w:numId w:val="6"/>
        </w:numPr>
        <w:snapToGrid w:val="0"/>
        <w:spacing w:line="360" w:lineRule="auto"/>
        <w:jc w:val="center"/>
        <w:outlineLvl w:val="2"/>
        <w:rPr>
          <w:rFonts w:hint="eastAsia" w:ascii="宋体" w:hAnsi="宋体" w:eastAsia="宋体" w:cs="宋体"/>
          <w:b/>
          <w:color w:val="000000" w:themeColor="text1"/>
          <w:sz w:val="28"/>
          <w:szCs w:val="28"/>
          <w:highlight w:val="none"/>
          <w:lang w:val="en-US" w:eastAsia="zh-CN"/>
          <w14:textFill>
            <w14:solidFill>
              <w14:schemeClr w14:val="tx1"/>
            </w14:solidFill>
          </w14:textFill>
        </w:rPr>
      </w:pPr>
      <w:bookmarkStart w:id="131" w:name="_Toc13375"/>
      <w:r>
        <w:rPr>
          <w:rFonts w:hint="eastAsia" w:ascii="宋体" w:hAnsi="宋体" w:eastAsia="宋体" w:cs="宋体"/>
          <w:b/>
          <w:color w:val="000000" w:themeColor="text1"/>
          <w:sz w:val="28"/>
          <w:szCs w:val="28"/>
          <w:highlight w:val="none"/>
          <w:lang w:val="en-US" w:eastAsia="zh-CN"/>
          <w14:textFill>
            <w14:solidFill>
              <w14:schemeClr w14:val="tx1"/>
            </w14:solidFill>
          </w14:textFill>
        </w:rPr>
        <w:t>报价清单表</w:t>
      </w:r>
      <w:bookmarkEnd w:id="131"/>
    </w:p>
    <w:p w14:paraId="3B6EB0B0">
      <w:pPr>
        <w:pStyle w:val="46"/>
        <w:numPr>
          <w:ilvl w:val="0"/>
          <w:numId w:val="0"/>
        </w:numPr>
        <w:snapToGrid w:val="0"/>
        <w:spacing w:line="360" w:lineRule="auto"/>
        <w:jc w:val="both"/>
        <w:outlineLvl w:val="9"/>
        <w:rPr>
          <w:rFonts w:hint="eastAsia" w:ascii="宋体" w:hAnsi="宋体" w:eastAsia="宋体" w:cs="宋体"/>
          <w:b/>
          <w:color w:val="000000" w:themeColor="text1"/>
          <w:sz w:val="28"/>
          <w:szCs w:val="28"/>
          <w:highlight w:val="none"/>
          <w:lang w:val="en-US" w:eastAsia="zh-CN"/>
          <w14:textFill>
            <w14:solidFill>
              <w14:schemeClr w14:val="tx1"/>
            </w14:solidFill>
          </w14:textFill>
        </w:rPr>
      </w:pPr>
      <w:r>
        <w:rPr>
          <w:rFonts w:hint="eastAsia" w:ascii="宋体" w:hAnsi="宋体" w:eastAsia="宋体" w:cs="宋体"/>
          <w:b/>
          <w:bCs/>
          <w:i w:val="0"/>
          <w:iCs w:val="0"/>
          <w:color w:val="000000"/>
          <w:kern w:val="0"/>
          <w:sz w:val="28"/>
          <w:szCs w:val="28"/>
          <w:highlight w:val="none"/>
          <w:u w:val="none"/>
          <w:lang w:val="en-US" w:eastAsia="zh-CN" w:bidi="ar"/>
        </w:rPr>
        <w:t>1）硬件设备报价清单</w:t>
      </w:r>
    </w:p>
    <w:tbl>
      <w:tblPr>
        <w:tblStyle w:val="34"/>
        <w:tblW w:w="1362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6"/>
        <w:gridCol w:w="1700"/>
        <w:gridCol w:w="6980"/>
        <w:gridCol w:w="798"/>
        <w:gridCol w:w="785"/>
        <w:gridCol w:w="800"/>
        <w:gridCol w:w="800"/>
        <w:gridCol w:w="889"/>
      </w:tblGrid>
      <w:tr w14:paraId="044CA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D0CECE"/>
            <w:vAlign w:val="center"/>
          </w:tcPr>
          <w:p w14:paraId="49E0FA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1700" w:type="dxa"/>
            <w:tcBorders>
              <w:top w:val="single" w:color="000000" w:sz="4" w:space="0"/>
              <w:left w:val="single" w:color="000000" w:sz="4" w:space="0"/>
              <w:bottom w:val="single" w:color="000000" w:sz="4" w:space="0"/>
              <w:right w:val="single" w:color="000000" w:sz="4" w:space="0"/>
            </w:tcBorders>
            <w:shd w:val="clear" w:color="auto" w:fill="D0CECE"/>
            <w:vAlign w:val="center"/>
          </w:tcPr>
          <w:p w14:paraId="7FBC0E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设备名称</w:t>
            </w:r>
          </w:p>
        </w:tc>
        <w:tc>
          <w:tcPr>
            <w:tcW w:w="6980" w:type="dxa"/>
            <w:tcBorders>
              <w:top w:val="single" w:color="000000" w:sz="4" w:space="0"/>
              <w:left w:val="single" w:color="000000" w:sz="4" w:space="0"/>
              <w:bottom w:val="single" w:color="000000" w:sz="4" w:space="0"/>
              <w:right w:val="single" w:color="000000" w:sz="4" w:space="0"/>
            </w:tcBorders>
            <w:shd w:val="clear" w:color="auto" w:fill="D0CECE"/>
            <w:vAlign w:val="center"/>
          </w:tcPr>
          <w:p w14:paraId="468516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设备参数</w:t>
            </w:r>
          </w:p>
        </w:tc>
        <w:tc>
          <w:tcPr>
            <w:tcW w:w="798" w:type="dxa"/>
            <w:tcBorders>
              <w:top w:val="single" w:color="000000" w:sz="4" w:space="0"/>
              <w:left w:val="single" w:color="000000" w:sz="4" w:space="0"/>
              <w:bottom w:val="single" w:color="000000" w:sz="4" w:space="0"/>
              <w:right w:val="single" w:color="000000" w:sz="4" w:space="0"/>
            </w:tcBorders>
            <w:shd w:val="clear" w:color="auto" w:fill="D0CECE"/>
            <w:vAlign w:val="center"/>
          </w:tcPr>
          <w:p w14:paraId="53DA05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（元）</w:t>
            </w:r>
          </w:p>
        </w:tc>
        <w:tc>
          <w:tcPr>
            <w:tcW w:w="785" w:type="dxa"/>
            <w:tcBorders>
              <w:top w:val="single" w:color="000000" w:sz="4" w:space="0"/>
              <w:left w:val="single" w:color="000000" w:sz="4" w:space="0"/>
              <w:bottom w:val="single" w:color="000000" w:sz="4" w:space="0"/>
              <w:right w:val="single" w:color="000000" w:sz="4" w:space="0"/>
            </w:tcBorders>
            <w:shd w:val="clear" w:color="auto" w:fill="D0CECE"/>
            <w:vAlign w:val="center"/>
          </w:tcPr>
          <w:p w14:paraId="71F2A0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数量</w:t>
            </w:r>
          </w:p>
        </w:tc>
        <w:tc>
          <w:tcPr>
            <w:tcW w:w="800" w:type="dxa"/>
            <w:tcBorders>
              <w:top w:val="single" w:color="000000" w:sz="4" w:space="0"/>
              <w:left w:val="single" w:color="000000" w:sz="4" w:space="0"/>
              <w:bottom w:val="single" w:color="000000" w:sz="4" w:space="0"/>
              <w:right w:val="single" w:color="000000" w:sz="4" w:space="0"/>
            </w:tcBorders>
            <w:shd w:val="clear" w:color="auto" w:fill="D0CECE"/>
            <w:vAlign w:val="center"/>
          </w:tcPr>
          <w:p w14:paraId="529E48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单位</w:t>
            </w:r>
          </w:p>
        </w:tc>
        <w:tc>
          <w:tcPr>
            <w:tcW w:w="800" w:type="dxa"/>
            <w:tcBorders>
              <w:top w:val="single" w:color="000000" w:sz="4" w:space="0"/>
              <w:left w:val="single" w:color="000000" w:sz="4" w:space="0"/>
              <w:bottom w:val="single" w:color="000000" w:sz="4" w:space="0"/>
              <w:right w:val="single" w:color="000000" w:sz="4" w:space="0"/>
            </w:tcBorders>
            <w:shd w:val="clear" w:color="auto" w:fill="D0CECE"/>
            <w:vAlign w:val="center"/>
          </w:tcPr>
          <w:p w14:paraId="74B17E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总价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（元）</w:t>
            </w:r>
          </w:p>
        </w:tc>
        <w:tc>
          <w:tcPr>
            <w:tcW w:w="889" w:type="dxa"/>
            <w:tcBorders>
              <w:top w:val="single" w:color="000000" w:sz="4" w:space="0"/>
              <w:left w:val="single" w:color="000000" w:sz="4" w:space="0"/>
              <w:bottom w:val="single" w:color="000000" w:sz="4" w:space="0"/>
              <w:right w:val="single" w:color="000000" w:sz="4" w:space="0"/>
            </w:tcBorders>
            <w:shd w:val="clear" w:color="auto" w:fill="D0CECE"/>
            <w:vAlign w:val="center"/>
          </w:tcPr>
          <w:p w14:paraId="3F4DDA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p>
        </w:tc>
      </w:tr>
      <w:tr w14:paraId="486B97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 w:hRule="atLeast"/>
        </w:trPr>
        <w:tc>
          <w:tcPr>
            <w:tcW w:w="876"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5B7116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w:t>
            </w:r>
          </w:p>
        </w:tc>
        <w:tc>
          <w:tcPr>
            <w:tcW w:w="12752" w:type="dxa"/>
            <w:gridSpan w:val="7"/>
            <w:tcBorders>
              <w:top w:val="single" w:color="000000" w:sz="4" w:space="0"/>
              <w:left w:val="single" w:color="000000" w:sz="4" w:space="0"/>
              <w:bottom w:val="single" w:color="000000" w:sz="4" w:space="0"/>
              <w:right w:val="single" w:color="000000" w:sz="4" w:space="0"/>
            </w:tcBorders>
            <w:shd w:val="clear" w:color="auto" w:fill="B5C6EA"/>
            <w:vAlign w:val="center"/>
          </w:tcPr>
          <w:p w14:paraId="487F39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应急救援会商系统</w:t>
            </w:r>
          </w:p>
        </w:tc>
      </w:tr>
      <w:tr w14:paraId="4D42B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9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E66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7FE3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分布式并发推流服务器</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11F93">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1、专业工业级定制机箱，输入电压交流50-60Hz，220V±10%V，网络支持≥1000M Ethernet；</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2、支持系统分布式数据推流并发，可对国产系统终端同步推流同屏；支持负载均衡，多台分布式并发推流服务器可组成并发推流服务阵列，可为成千上万台终端进行推流同屏或直播；</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3、主设配置：≥国产8核/8线程，主频≥2.7GHz，≥2G显卡，内存≥4G，硬盘≥120G固态硬盘，国产桌面操作系统；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4、支持音频和高清视频信号采集与编码，支持外部信号实时广播画面到所有应急救援会商终端并同步显示；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5、视频支持1080P60Hz分辨率，支持SRT/RTSP/RTMPS/UDP/NVR 等协议；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6、支持≥1×HDMI视频输入，编码模式：H.265 HEVC/H.264/AVC/Mjpeg；</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7、输入分辨率≥1920x1080@60P/50p，视频码率：0.16Mbps~32Mbps；</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8、支持≥1×HDMI内嵌音频输入，≥1×3.5mm音频输入，音频编码：AAC/AAC+/AAC++/MP3/MP2/AC3/G711A/U/Opus。</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222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8060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46E44">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14F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03F49">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40C0C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E518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C40E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触控转轴式升降一体终端</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732B">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1、一体显示器：≥17.3寸高亮真彩液晶宽屏，屏分辨率≥1920*1080dpi，亮度≥350cd/m2，屏幕比例16:9；</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2、一体触摸屏：电容屏，支持≥10点触控，感应力度≤10g，触摸反应时间≤5ms，动态对比度≥100000：1；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3、外观尺寸：面板尺寸≤450mm*46*4mm（长宽厚），箱体尺寸≤440mm*46*635mm（长宽高）；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4、产品材质：全身为铝合金材质（包括升降器箱体及屏壳）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5、传动方式：采用双钢丝软传动设计，超静音设计，升降时声音低于35dB；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6、系统控制：RS-485协议控制升降、暂停、切换信号、主机开关机等动作，整机单12V直流供电。</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ECD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1A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8C64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DD6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A873D">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FF0000"/>
                <w:sz w:val="22"/>
                <w:szCs w:val="22"/>
                <w:highlight w:val="none"/>
                <w:u w:val="none"/>
              </w:rPr>
            </w:pPr>
          </w:p>
        </w:tc>
      </w:tr>
      <w:tr w14:paraId="493A4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04"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294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115A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会议终端主机</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CC2DB">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1、支撑无纸化系统数据及信号通讯，工业级微型机箱，网络支持≥1000M Ethernet；</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2、千兆网卡，支持HDMI、VGA信号输出，支持USB3.0通讯，支持音频输入和输出；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3、主设配置： CPU≥国产8核/8线程，主频≥2.7GHz，≥2G显卡，内存≥8G，硬盘≥120G固态硬盘，国产桌面操作系统；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4、接口：USB 2.0≥2、USB 3.0≥2、LINE OUT≥1、MIC IN≥1、VGA≥1、HDMI≥1。</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C2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EB5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6DA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20F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6B2E9">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644194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06FD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40B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超薄升降一体型会议话筒</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80984">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1、升降要求：下降时电动自动捋直麦克杆（无需手动），话筒沿导轨捋直，不会伤害到话筒；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2、话筒按键：话筒按键开启/关闭时，具有指示灯提示功能，便于使用；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3、产品材质：产品全身为铝合金材质（包括箱体），表面采用微细拉丝处理或细磨砂处理，外观表面无螺丝裸露，无线材裸露；</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4、运行方式：采用滚轴软传动设计，传动结构无需做润滑保养；超静音设计；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5、外观尺寸：面板≤125*46*4mm（可与液晶升降终端面板融合加工），箱体≤115*46*710mm；颜色黑色/银色可供选择（其他颜色可定制）；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6、自动闭麦：升降过程自动关闭麦克风，防止机械噪声进入系统；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7、控制方式：本地面板按键控制，远端RS-485协议控制话筒升降；</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8、供电方式：升降器单12V直流供电；接口：RS-485≥2、DC 12V≥1、话筒接口≥1；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9、话筒具有单指向性响应特性，抗手机高频干扰；连接方式：6芯手拉手电缆连接；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10、话筒电压：DC 24V；电流损耗：≤32mA；灵敏度：≥-42dB；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11、频率响应：≥100Hz～16KHz；咪杆长度：≥440mm；参考拾音距离：≥30cm。</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03A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C0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A7F1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8BB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159C3">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7D545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4"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C092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F278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全数字会议发言控制主机</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7E6FC">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1、通过会议主机前面板五维导航键盘可对所有会议功能进行集中控制；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2、具备≥五路6芯会议单元输出接口，每路可连接≥20台会议单元，可同时连接≥100台会议单元；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3、采用高速RISC嵌入式数字处理硬件架构，全数字音频传输与处理技术，设备之间传输距离可达150米；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4、装备≥2.8英寸LCD显示屏，中、英文菜单显示，可按需订购任意语言；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五种话筒管理模式：数量限制模式：允许同时打开的单元数量1～6个，先进先出模式：达到限制数量后，最后打开的单元覆盖最早打开的单元，申请发言模式：所有代表单元发言，都由执行主席单元否决或批准，声控启动模式：以声音控制开启单元，可调节声控门限，自由讨论模式： 允许所有会议单元同时打开；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6、系统支持一线式手拉手连接、Y型线连接、分线盒连接及环形手拉手连接；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7、具备两个RS-232串口，分别可连接PC电脑与可编程中央控制系统进行控制；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8、具备RS-422与RS-485视频控制方式，通过连接转换器也可进行RS-232控制；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9、协议共享，兼容所有目前流行的摄像机类型，单元的位置互相调换时，通过自动编号可自动修正跟踪单元视频，始终保持正确的跟踪位置；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10、采用铝合金机身，可安装在19英寸机柜。</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569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8A3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CEA0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39F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1049B">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5AF7E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852B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2D26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会议管理控制主机</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94B8D">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1、专业工业级定制机箱，采用（EMI）设计，防电磁辐射干扰，输入电压交流50-60Hz，220V±10%V，≥网络支持1000M Ethernet；</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2、预装应急救援会商集中管理系统软件，支持维护数据库，管理会议文件，会议服务软件，大屏输出控制软件，系统信息备份，采用多种加密结合充分保证信息的安全可靠；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3、CPU：国产处理器，≥16核心32线程，主频≥2.5GHz；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4、内存：≥32GB ECC DDR4；</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5、硬盘：≥1TB 机械硬盘；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6、网卡：≥2×千兆网络接口（RJ45）；</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7、接口：VGA≥1，USB3.0≥4；</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8、国产服务器操作系统</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40D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41F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08FF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CF8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11C49">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4F39A3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5AEA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FCDB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会议拓展主机</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BD937">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1、支持终端通讯，上架式铝合金面板机箱，输入电压交流50-60Hz，220V±10%V；</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2、一台设备可带≥22个单元，单元与扩展主机点对点有线连接，拓展主机之间可级联，支持≥1000M带宽以太网与终端通讯；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3、固定端口：RS-485控制串口≥4个，千兆以太网口≥24个，千兆光口≥2个，配备网口指示灯（针对每个网口）；（提供设备接口图佐证）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4、增强功能：通过对拓展主机物理层即传输层深度优化，同屏效果更好，延迟度更小；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5、控制功能：控制会议终端统一上升、下降、停止 （仅限升降/翻转类设备），开机、关机；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451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405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4EF9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87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2EAA3">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235BD9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5A96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B74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投影控制主机</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836DA">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1、支持将各终端的信号广播到大屏展示，将应急救援会商系统画面、投票结果和签到结果、会议标语等投屏到大屏显示。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2、最大可支持4分屏画面同时投屏输出显示，支持同时接收多个客户端的投影请求，遵循先入先出的投影显示模式；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3、主设配置：≥国产8核/8线程，主频≥2.7GHz，≥2G显卡，内存≥4G，硬盘≥120G固态硬盘；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4、接口：USB 2.0≥2、USB 3.0≥2、LINE OUT≥1、MIC IN≥1、VGA≥1、HDMI≥1；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5、操作系统：国产桌面操作系统。</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2D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06F8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14DE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916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133CB">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59828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86B4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E3C3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多媒体桌插</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9F9E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五孔电源*2、USB接口*1、网口*2、3.5音频*1、VGA*1、HDMI*1。</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1E1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09C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0DC7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303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C36BE">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2A1D24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B05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B8D2B">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定制会议工位</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CC90E">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1、尺寸：不小于6.5m*2.2m*0.76m</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2、基材采用露水河密度板，优质绿色E1级环保产品，甲醛含量低于1.0mg/L，密度大于760KG每立方米，静曲张度大于51.2Mpa，吸水膨胀率小于8.1%。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3、台面厚90MM，会议桌四角及台面底边的边线处均作圆角处理。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4、台面下外挡板落地，外观看不到台角。同时为保持稳定台角之间作内拉板。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5、油漆表面经”阳光因子“处理，符合环保要求。</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6、包含13张人体工学座椅 。</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76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5B9B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0C74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把</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795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ACD0B">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2C8775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24"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C453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D1E4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86寸液晶触控显示单元</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87F45">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1.屏尺寸≥86英寸，分辨率≥3840x2160，背光类型为D-LED，亮度≥350 cd/㎡，可视角度为≥178°，对比度≥1200：1；</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2.采用红外触摸技术，4毫米全钢化玻璃，防划伤、防撞击、防爆裂、防眩光，最大输出点数≥20点；</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3.内置≥1300W摄像头，镜头视角≥117°，内置≥8阵列线型等距麦克风，拾音距离≥10米；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4.支持屏幕亮度大小支持跟随环境光线感应，支持任意信号源批注功能，可随时进行切换；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5.支持通过手势调取屏幕触摸菜单实现菜单、信号源切换、声音、亮度等功能控制；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6.支持在一体机菜单界面上显示机器内部温度，当机器内部出现故障，温度超标时会自动关机；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7.具有多功能按键，支持一键（开关机/熄屏/关闭OPS，指示灯，按键截屏）；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8.支持多画面投屏，适应PC、iPad、手机等多设备投屏，实现≥4画面同传；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9.支持接入并输入信号，设备将会自动识别并切换到对应的视频信号源通道；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10.支持通过手势擦拭屏幕上的文字及图案，支持触摸屏幕即可操控电脑。</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11.CPU≥国产8核/8线程，主频≥2.7GHz，≥2G显卡，内存≥8G，硬盘≥120G固态硬盘，国产桌面操作系统。</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12.含13张人体工学座椅。</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AA5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09E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AE2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65B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868E">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798CE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04"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7885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78E0F">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HDMI无缝视频矩阵</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FBF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1.≥8路HDMI输入，≥8路HDMI输出，标准机架设计；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2.收发支持HDMI 1.3a，可收发≥1920*1080@60Hz视频信号；</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3.HDMI传输不失真的状态下收发距离均可达≥30米（1920*1080@60Hz）；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4.支持无缝切换、无黑屏，支持输出分辨率转换和拼接功能；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5.切换通道处理速度快，可通过设备前面板LCD实时显示切换状态，掉电带锁存记忆功能；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6.控制方式多样：面板按键、遥控器、上位机（RS232）；</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69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048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54E5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95C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6E01">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21B65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A1E13">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5364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无线投屏系统</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21CD4">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接口≥1个USB2.0，最大传输距离≥10米。</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36F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71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43C3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4A1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081E8">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64B3D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7E0D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325CA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阵列音柱</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2F6E9">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1.有效频率范围：≥120Hz-20kHz</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2.喇叭单元：≥4×3"永磁体</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3.额定阻抗：8 Ω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4.音箱功率：≥100W（额定功率），≥400W（峰值功率）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5.特性灵敏度级：≥93dB/w/m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 xml:space="preserve">6.指定频带内的声压级：≥110dB </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7.总谐波失真：≤3%</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A8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2C3A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6DA91">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CF2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C5419">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17D39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732C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8813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功率放大器</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3DF73">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1.功率：≥2×400W/8Ω，≥2×450W/4Ω，≥900W/8Ω桥接；</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2.频率响应：≥20Hz-20KHz,+/-1.5dB，总谐波失真：≤0.1%，信噪比：≥85dB；</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3.优质工频环形变压器和Class D功放模块；</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4.内置单调制双通道功放技术，内置高瞬态脉冲电流线性电源技术，低内阻，高速电流的供电设计；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5.从前向后的散热排风系统设计，确保设备长时间，高可靠性能运行和使用；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6.前面板独立通道有温度，保护和削峰灯警示；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7.后面板有0.775V/1.4V灵敏度选择开关；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8.后面板有立体声/桥接/并联模式选择。</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369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5B9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24F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6CF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C4BD">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669F6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9"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06604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9143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数字音频处理器</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C0673">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1.模拟输入输出通道不少于8*8；</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2.输入输出采样率不低于48KHz/24bit；</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3.不小于1.3寸OLED显示屏，支持显示设备名称和IP地址；</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4.需支持Ducker闪避器、SPL自动环境噪声补偿；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5.需支持反馈消除、回声消除、噪声消除；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6.需支持不少于99组场景预设，支持不少于10个用户同时在线管理；</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7.需内置B/S服务，可通过网页浏览器访问，内嵌通道控制和场景选择功能；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8.USB接口需具备U盘录制播放及系统升级功能；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9.不少于8个可配置GPIO接口，可自定义输入输出；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10.提供不少于3种第三方控制协议，支持UDP、HTTP、RS232/485协议控制。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C8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D94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9EC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86A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C8DAB">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4126D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3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1F74A">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891D6">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无线手持话筒</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D533A">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1.接收机自带窄波技术、ID编码技术，最多可用到≥24支话筒；</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2.接收机和发射器上可同时显示电池用量，方便后台人员及时更换电池；</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3.真分集式（True Diversity），接收距离无阻隔≥80米；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4.面板LCD液晶显示可同时显示RF/AF信号强度，SQ设置，发射机的电池容量和工作频率；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5.接收距离可调、发射功率可调，输出电平可调；</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6.PLL相位锁定频率合成，独立“音码及杂讯锁定”双重静音控制。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F27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F01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305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2E9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387FC">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5309D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3F53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BD140">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拨号电话</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0E1B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屏幕尺寸：≥8寸，存储接口：USB/TF卡，电池：≥3000mAh</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BCA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3F3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978A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2BA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A949D">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FF0000"/>
                <w:sz w:val="22"/>
                <w:szCs w:val="22"/>
                <w:highlight w:val="none"/>
                <w:u w:val="none"/>
              </w:rPr>
            </w:pPr>
          </w:p>
        </w:tc>
      </w:tr>
      <w:tr w14:paraId="14F18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944E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6D571">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电源时序器</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349DF">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1.≥2.0寸液晶屏显示，配有输出电压实时显示；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2.顺序开启逆序关闭，自由设定通道开关顺序；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3.每路通道时间间隔可以调节，每路通道可以单独开关；</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4.具有定时开关机，带有中控功能；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5.≥十路可控八路电源输出，每路可达≥30A。</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6.带232中控功能，可在电脑页面上控制；</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653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F2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D55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7685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AADC">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08724F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20BB9">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8A28E">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专用线缆</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102C36">
            <w:pPr>
              <w:keepNext w:val="0"/>
              <w:keepLines w:val="0"/>
              <w:widowControl/>
              <w:suppressLineNumbers w:val="0"/>
              <w:jc w:val="lef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电源线、网线、VGA线、HDMI线、音频线、管材、接插件等。</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B828B">
            <w:pPr>
              <w:pStyle w:val="41"/>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2AD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056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批</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E7E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FADE5">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5362D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9"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59078">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21</w:t>
            </w:r>
          </w:p>
        </w:tc>
        <w:tc>
          <w:tcPr>
            <w:tcW w:w="1700" w:type="dxa"/>
            <w:tcBorders>
              <w:top w:val="single" w:color="000000" w:sz="4" w:space="0"/>
              <w:left w:val="single" w:color="000000" w:sz="4" w:space="0"/>
              <w:bottom w:val="single" w:color="000000" w:sz="4" w:space="0"/>
              <w:right w:val="nil"/>
            </w:tcBorders>
            <w:shd w:val="clear" w:color="auto" w:fill="auto"/>
            <w:vAlign w:val="center"/>
          </w:tcPr>
          <w:p w14:paraId="71E27E3D">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配套应急救援会商系统</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ED6A2">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0"/>
                <w:szCs w:val="20"/>
                <w:highlight w:val="none"/>
                <w:u w:val="none"/>
                <w:lang w:val="en-US" w:eastAsia="zh-CN" w:bidi="ar"/>
              </w:rPr>
              <w:t>1、支持Windows、Android、统信UOS、中标麒麟等国产操作系统，不同操作系统的客户端可混合组网与会，实现会议文件同屏共享；软件支持更换皮肤主题，系统自带不少于六套皮肤主题，支持客户端功能模块通过后台管理系统进行启动或禁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2、电子铭牌：进入画面显示与会人员姓名/职务/单位名称/LOGO/会徽/会标等，背景可自定义编辑，标题可自定义内容，支持多行显示；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3、签到功能：支持免签进入、账号密码签到、手写签到（笔迹增加笔锋效果）、会议密码签到、支持来宾录入自己的信息并参会；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4、与会人员：与会人员可查看会议中自己和其他与会人员的信息，支持可视化排座，以电子图片式可视化显示出实际会场模拟图，后台信息改动客户端可视化排座跟着变化；</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同屏交互：支持客户端一键同屏，有同屏权限客户端可以在会议过程中一键同屏画面到其他会议终端，进行讨论，客户端可选择不与其同步（权限可控制），不与主讲人同步的参会人员可选择其他议题会议材料进行浏览、修改和批注，处在异步浏览状态的参会人员支持一键返回到主讲画面并保持与主讲画面一致；主持人可选择同屏到普通用户或大屏，可选择仅当前会议室同屏或所有会议室同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6、快捷功能：支持快捷功能悬浮窗显示，需要的时候弹出，不需要便隐藏，实现任何终端共享屏幕、停止共享、加入共享、退出共享等功能；</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文件在线预览：客户端支持doc、docx、xls、xlsx、ppt、pptx、pdf、png、jpg、mp4格式文件在线预览，可播放PPT的原始动画效果，客户端无需安装其他软件，文件既不下载到本地也不缓存到本地，文件只存储于服务端。支持扩展行业用文件格式html、htm、mht、tif、tiff、txt、ceb、gd、dwg、dxf本地打开浏览；</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8、文件编辑：支持打开doc、docx、xls、xlsx格式文件并进行编辑，操作结果可保存，支持pdf批注结果动态叠加到文档中原格式保存；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文件批注：支持pdf格式文档的原笔迹批注，支持个人批注和协同批注，支持多人同时共享在同一文档上批注，支持与会人员设定画笔颜色和粗细，文件展示区域可放大缩小，批注保存（可在客户端查看保存结果）；</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投票表决：会议投票分为实名/匿名、单选/多选、其他投票选项等类型，与会人员可对投票的内容进行详细的查看和作出投票，表决结果可由主持人推送到大屏幕上显示，以饼状图和柱状图同时显示投票结果，所有数据根据具体投票情况实时更新，投票结果后台可统计；</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在线视频：与会人员可通过在线视频观看显示视频会议、外置PC电脑桌面等信号，支持与会人员单独观看显示信号画面，支持外部信号实时广播画面到所有应急救援会商终端和大屏幕并同步显示，音频可同步播放到调音台；</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12、呼叫服务：预设多种呼叫项目内容，具备的茶、水、咖啡、纸笔、话筒、鲜花、服务人员等呼叫，支持自定义输入呼叫内容一键完成，通信客户端有短消息提醒功能，快速方便；</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会议纪要：会议秘书在会中可通过会议纪要进行会议详情的记录，为方便秘书操作，会议纪要已设置常规的纪要模板，会议纪要文件可同步给其他参会人员观看，支持会议纪要汇签功能，会议秘书发起签字确认，所有参会人员依次签字确认，会议秘书可对签字排序，签字完成后会议纪要文件自动流转后上传到后台；（提供功能界面截图佐证）</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主持权限：主持权限方便会议主持人会议现场主持操作，协助主讲者发起与停止屏幕共享，控制参会人员启用与禁用同屏权限、控制投票的开放与关闭、支持添加、修改、删除投票表决项，控制语音识别功能的开启与关闭，对参会人员的语音识别结果进行校对和保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15、历史会议：支持输入会议标题搜索，可以查看会议状态、会议密级、会议时间、会议室等信息，按照会议标题进行会议资料归档，对议题材料、与会人员、投票信息、会议纪要、白板文件进行归档；</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5926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720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F8DF2">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A5E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4C4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D3EE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7"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D67C2">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22</w:t>
            </w:r>
          </w:p>
        </w:tc>
        <w:tc>
          <w:tcPr>
            <w:tcW w:w="1700" w:type="dxa"/>
            <w:tcBorders>
              <w:top w:val="single" w:color="000000" w:sz="4" w:space="0"/>
              <w:left w:val="single" w:color="000000" w:sz="4" w:space="0"/>
              <w:bottom w:val="single" w:color="000000" w:sz="4" w:space="0"/>
              <w:right w:val="nil"/>
            </w:tcBorders>
            <w:shd w:val="clear" w:color="auto" w:fill="auto"/>
            <w:vAlign w:val="center"/>
          </w:tcPr>
          <w:p w14:paraId="353F485C">
            <w:pPr>
              <w:keepNext w:val="0"/>
              <w:keepLines w:val="0"/>
              <w:widowControl/>
              <w:suppressLineNumbers w:val="0"/>
              <w:jc w:val="center"/>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配套集中管理系统</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A3674">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1、支持WEB访问模式，支持管理员登录、参会人员登录，支持参会人会前预览会议资料，支持历史会议资料检索归档，支持更换皮肤主题，系统自带不少于10套皮肤主题；</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2、多会议管理：支持多会议管理功能，可同时上传多场会议文件资料，一键启动会议。会议排期：允许会务人员选择时间段来创建会议，支持预先将不同会议按时间安排在不同会议室；</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3、会议室管理：支持多个会议室分区，支持多会议室管理功能，同时可以管理多个会议室，每个会议室多台会议终端，支持多会议室召开不同会议互不影响，支持多会议室召开同一会议（异地多会议室同时开会）；</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4、人员排座：支持对参会人员进行可视化模拟排位，自动排座：点击一键排座按钮可以对人员自动排座；手动排座：支持拖动参会人员图标安排人员就位，且终端实时显示模拟排位后的参会人员信息，支持模板式设计，支持不同的会议有不同的座位安排方式；</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5、会议议题设置：支持新建议题、导入议题、支持管理多个会议议题，每个议题可以独立上传多份文件，支持议题内上传文件夹，以议题+文件夹+文件无限级目录文件展示。支持对议题和文件排序，支持设置文件权限（指定参会人员查看权限，无权限的参会人员自动屏蔽该文件显示）。支持设置文件密级（普通、秘密、机密），参会人员若本身密级低于文件密级，则自动屏蔽该文件显示，无法查看文件，参会人员若本身密级等于或高于文件密级，则可以收到并查看文件；</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6、会议议程设置：支持上传doc、docx、pdf、jpg、png格式文件作为会议议程，支持在线创建议程；</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7、前/后屏设置：支持设计客户端首页/会议铭牌界面，背景图可自定义上传；支持输入自定义内容，会议名称、参会人姓名、职务、座位号可显示或隐藏；支持编辑文本框字号大小、位置、颜色以及字体，支持将文本框居中排列位置；</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8、会议信息发布：支持把本次会议信息实时显示到会议预定屏/会议门牌，显示会议名称、开会时间等信息；</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9、中控功能：可选择会议室并对该会议室进行统一控制，控制会议终端全部统一上升、下降、停止 （仅限升降/翻转类设备），控制会议终端统一开机、关机；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10、会议搜索：支持按照会议标题、会议分类、会议室分区、会议室、会议状态、会议时间进行会议搜索；</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11、会议归档：按照会议名称进行会议资料归档，对议题材料、与会人员、投票信息、会议纪要、白板文件进行归档，支持下载会议签到表（含人员姓名、部门、是否签到、签到时间）；</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12、会议统计：支持以每日会议场次/人次折线图、会议类型统计柱状图、会议类型统计饼状图、会议室统计柱状图进行统计展示；</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13、应用管理：分为主持人应用、普通用户应用管理，可自定义客户端首页和管理页应用模块排列顺序，可自定义客户端应用模块的启用/禁用；</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14、管理员身份鉴别：系统进行管理员身份鉴别，只有输入正确的身份鉴别信息，方可通过身份鉴别。管理员口令长度可设置，口令至少为8位，复杂度为大小写英文字母、数字和特殊字符中两者以上的组合。具有身份鉴别尝试次数限制功能，尝试次数应可设置，且至多为5次。具有超时认证功能。具有管理员口令更换周期设置功能，更换周期至多为7天；提供经国家保密科技测评中心出具的检测报告。</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15、安全审计：管理员操作审计日志内容包括产品配置、策略设置、审计结果查询等，普通用户操作审计日志内容。能够按照账号、时间等参数对审计日志进行查询。应支持会议的审计与统计管理。审计日志保存周期可以由安全保密管理员配置；提供经国家保密科技测评中心出具的检测报告。</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16、管理员权限划分：系统初始具有相互独立、相互制约的系统管理员、安全保密管理员和安全审计员三个管理员角色。系统管理员主要负责用户管理；安全保密管理员主要负责用户权限管理、用户日志和安全审计员日志的审查分析；安全审计员主要负责对系统管理员、安全保密管理员的操作行为进行审计；提供经国家保密科技测评中心出具的检测报告。</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0EA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849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BEBD">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AE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73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r>
      <w:tr w14:paraId="6DADE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ED6F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406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97B72">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680D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40E1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1F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7CE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2A15D">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398EA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876"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76AD90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二</w:t>
            </w:r>
          </w:p>
        </w:tc>
        <w:tc>
          <w:tcPr>
            <w:tcW w:w="12752" w:type="dxa"/>
            <w:gridSpan w:val="7"/>
            <w:tcBorders>
              <w:top w:val="single" w:color="000000" w:sz="4" w:space="0"/>
              <w:left w:val="single" w:color="000000" w:sz="4" w:space="0"/>
              <w:bottom w:val="single" w:color="000000" w:sz="4" w:space="0"/>
              <w:right w:val="single" w:color="000000" w:sz="4" w:space="0"/>
            </w:tcBorders>
            <w:shd w:val="clear" w:color="auto" w:fill="B5C6EA"/>
            <w:vAlign w:val="center"/>
          </w:tcPr>
          <w:p w14:paraId="6FA7E3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机坪安全运行管理系统</w:t>
            </w:r>
          </w:p>
        </w:tc>
      </w:tr>
      <w:tr w14:paraId="78AAC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5"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3A5B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26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交换机</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92C3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 *10/100/1000TX+ 4Combo。</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E4B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FF1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D3415">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DBC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11235">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6021D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9B6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5E5E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服务器</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E4CD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CPU：配置2颗 c86架构国产化处理器，核数≥8核，频率≥3.0GHz；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内存：配置64G DDR4，8根内存插槽；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硬盘：4块600G，SSD</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73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E81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C85C1">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1A5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E95A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02A51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7"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F09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700" w:type="dxa"/>
            <w:tcBorders>
              <w:top w:val="nil"/>
              <w:left w:val="single" w:color="000000" w:sz="4" w:space="0"/>
              <w:bottom w:val="single" w:color="000000" w:sz="4" w:space="0"/>
              <w:right w:val="nil"/>
            </w:tcBorders>
            <w:shd w:val="clear" w:color="auto" w:fill="auto"/>
            <w:vAlign w:val="center"/>
          </w:tcPr>
          <w:p w14:paraId="5D739B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服务器操作系统</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0306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信创国产操作系统，3年授权。</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05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5F3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A1C5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D7E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682C6">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3E368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EC34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1700" w:type="dxa"/>
            <w:tcBorders>
              <w:top w:val="nil"/>
              <w:left w:val="single" w:color="000000" w:sz="4" w:space="0"/>
              <w:bottom w:val="single" w:color="000000" w:sz="4" w:space="0"/>
              <w:right w:val="nil"/>
            </w:tcBorders>
            <w:shd w:val="clear" w:color="auto" w:fill="auto"/>
            <w:vAlign w:val="center"/>
          </w:tcPr>
          <w:p w14:paraId="1A8336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数据库</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F2C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信创国产数据库软件，3年授权。</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4D5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19B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18F2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E0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A48D9">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46668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D97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5E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系统终端</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BAD3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C86 3250 八核2.8GHz；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内存8G/256G SSD；</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2G独显/200W/支持双系统。</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E49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73B8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E4C4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C16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1A950">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1152B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9BE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A48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车载定位终端</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2834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视频输入：8 路 AHD+1 路 IPC 路独立输入 1.0Vp-p，75Ω</w:t>
            </w:r>
          </w:p>
          <w:p w14:paraId="0AABC84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视频输出：1 路 PAL/NTSC 输出 1.0Vp-p，75Ω，复合视频信号</w:t>
            </w:r>
          </w:p>
          <w:p w14:paraId="342B752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视频标准： PAL 制式：25 帧/秒；NTSC 制式：30 帧/秒</w:t>
            </w:r>
          </w:p>
          <w:p w14:paraId="4C93A1C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显示屏：前置 2.4 寸高亮度 LCD 屏，128*64 单色点阵屏</w:t>
            </w:r>
          </w:p>
          <w:p w14:paraId="1F68673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显示内容：车辆实时行驶状态、硬盘状态、信号情况、信息查询界面、参数设置等</w:t>
            </w:r>
          </w:p>
          <w:p w14:paraId="6804FCD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图像格式：支持PAL:8*1080P（非实时）/720P（实时）/960H（实时） NTSC: 8*1080P（非实时）/720P（实时）/960H（实时）</w:t>
            </w:r>
          </w:p>
          <w:p w14:paraId="0D1E596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视频压缩格式：H.264/H.265</w:t>
            </w:r>
          </w:p>
          <w:p w14:paraId="1A1DD3E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音频压缩格式： G.711A</w:t>
            </w:r>
          </w:p>
          <w:p w14:paraId="16E9A69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回放通道： 支持本地单通道、多通道回放</w:t>
            </w:r>
          </w:p>
          <w:p w14:paraId="5C74445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回放分辨率：PAL：1 或 4*1080P；1 或 4*720P；1 或 4*960H；</w:t>
            </w:r>
          </w:p>
          <w:p w14:paraId="738AE97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NTSC：支持1 或 4*1080P；1 或 4*720P；1 或 4*960H；</w:t>
            </w:r>
          </w:p>
          <w:p w14:paraId="06A60A2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存储：支持 SD 卡存储，每张最大容量为 128G；支持 1*2.5 英寸 7mm/15mm HDD/SSD 硬盘，最大支持 4TB</w:t>
            </w:r>
          </w:p>
          <w:p w14:paraId="689594D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定位方式：北斗单模（可选配）</w:t>
            </w:r>
          </w:p>
          <w:p w14:paraId="477A53B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通讯接口：1 个前置 RS232 接口，1 个前置 USB 接口</w:t>
            </w:r>
          </w:p>
          <w:p w14:paraId="240B571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1个后置 RS485 接口，1 后置个 RS232 接口</w:t>
            </w:r>
          </w:p>
          <w:p w14:paraId="19C0950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 路 CAN2.0B 接口， 与车辆通讯系统对接</w:t>
            </w:r>
          </w:p>
          <w:p w14:paraId="4D8BEA9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 路脉冲速度接口，1 个灾备储存接口</w:t>
            </w:r>
          </w:p>
          <w:p w14:paraId="4B21ECA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IC身份识别卡接口：兼容处理符合 ISO 14443-1-2-3-4（TYPE A&amp;B）</w:t>
            </w:r>
          </w:p>
          <w:p w14:paraId="045BD74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打印：支持车辆行车信息打印</w:t>
            </w:r>
          </w:p>
          <w:p w14:paraId="028DAC4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 路 ADAS 视频输入，支持车道偏离，前车近距，前车碰撞危险，行人防 撞预警等安全报警</w:t>
            </w:r>
          </w:p>
          <w:p w14:paraId="46BE8C9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电源输入：DC9V ~ 36V</w:t>
            </w:r>
          </w:p>
          <w:p w14:paraId="004525E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电源输出：12V@1A，5V@1A</w:t>
            </w:r>
          </w:p>
          <w:p w14:paraId="119ED91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功耗：小于12W（无外设）</w:t>
            </w:r>
          </w:p>
          <w:p w14:paraId="1DB6EC8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工作湿度 10％ ~ 95％</w:t>
            </w:r>
          </w:p>
          <w:p w14:paraId="00F3DFA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外壳防护等级：IP43</w:t>
            </w:r>
          </w:p>
          <w:p w14:paraId="610D616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支持差分基站</w:t>
            </w:r>
          </w:p>
          <w:p w14:paraId="5BCA2FE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支持惯导</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1A6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D12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61B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A5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0F83F">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3A556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9"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0A5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3F6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自建基站</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EBD5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通道数：80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更新率：10Hz标配，20Hz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冷启动：60S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热启支：10S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输入电压：8-36V带反接和浪涌保护</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静态精度：水平：2.5mm+0.5ppm高程：5mm+0.5ppm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内置存储：板载32G，无TF卡槽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蓝牙：BT5.0+EDR向下兼容/BLE</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WIFI：802.11b/g/n/ac</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GNSS：1*TNC female，外接GNSS天线</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ETH：1*RJ45,10/100/1000Mbps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COM：1*Lemo-0 female,9pin,DB9</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尺寸131mm*36.5mm&amp;97mm</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重量：435g</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工作温度：-30°~+65°</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防水防尘：IP67</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654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F77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F22BE">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028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A9AED">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1E170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07A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AE6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机柜</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A94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机柜，19"40U(600*600)。</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C47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2CFE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895D">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BEE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89C22">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5DEB8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4"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334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C71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跳线</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38C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光纤线缆。</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F5A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02A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4662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根</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270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3CAF8">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6B618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AE3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C56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驾驶员NFC身份卡</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5CDF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通过驾驶员管理模块关联身份卡,驾驶员实行上车刷卡下车刷卡,一人一卡管理</w:t>
            </w:r>
          </w:p>
          <w:p w14:paraId="4A9C735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1.材料: PVC、PLA、ABS、PETG</w:t>
            </w:r>
          </w:p>
          <w:p w14:paraId="0C8517D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2.读写时间:＜100ms</w:t>
            </w:r>
          </w:p>
          <w:p w14:paraId="11674CA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3.擦写次数:＞10万次</w:t>
            </w:r>
          </w:p>
          <w:p w14:paraId="57A7DF3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4.数据保存:＞10年</w:t>
            </w:r>
          </w:p>
          <w:p w14:paraId="04D173C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5.工作频率:13.56MHZ</w:t>
            </w:r>
          </w:p>
          <w:p w14:paraId="63562E2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6.支持协议:ISO14443A/ISO15693/ISO11785/ISO18000-6C</w:t>
            </w:r>
          </w:p>
          <w:p w14:paraId="51EFF18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7.读写距离:＜10CM</w:t>
            </w:r>
          </w:p>
          <w:p w14:paraId="4E30490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8.内存大小:1KB/2KB/4KB/8KB/512B</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379B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C2F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680D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C552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383FF">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79327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A66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91C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便携式电子定位工牌</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2F85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临时进入机坪车辆道口扫码登记进离场计划时间,绑定电子定位工牌入场,离场归还设备</w:t>
            </w:r>
          </w:p>
          <w:p w14:paraId="290ED0A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1.GPS/北斗启动时间：冷启动40秒、热启动3秒</w:t>
            </w:r>
          </w:p>
          <w:p w14:paraId="1431300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2.定位精度：1-5米</w:t>
            </w:r>
          </w:p>
          <w:p w14:paraId="53BD911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3.速度精度：0.3米/秒</w:t>
            </w:r>
          </w:p>
          <w:p w14:paraId="3C4EA9F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4.数据信道：GPRS/CDMA/3G/4G</w:t>
            </w:r>
          </w:p>
          <w:p w14:paraId="64B5EF4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5.供电方式：自带电池</w:t>
            </w:r>
          </w:p>
          <w:p w14:paraId="1ADC05A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6.环境温度：-20℃--70℃</w:t>
            </w:r>
          </w:p>
          <w:p w14:paraId="7747982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7.长按侧面按钮，两次绿灯闪烁后松开即可开机。</w:t>
            </w:r>
          </w:p>
          <w:p w14:paraId="01F975E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8.长按该按钮待绿灯灭后松开即可关机。</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BFD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D88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063F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08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39DF">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26549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F17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10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不停航施工</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CE57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包括：不停航施工证件办理，机坪车载设备的安装调试，基站的安装调试，服务器及网络安全安装调试等。</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C86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135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F2D2">
            <w:pPr>
              <w:keepNext w:val="0"/>
              <w:keepLines w:val="0"/>
              <w:widowControl/>
              <w:suppressLineNumbers w:val="0"/>
              <w:jc w:val="center"/>
              <w:textAlignment w:val="center"/>
              <w:rPr>
                <w:rFonts w:hint="eastAsia" w:ascii="宋体" w:hAnsi="宋体" w:eastAsia="宋体" w:cs="宋体"/>
                <w:i w:val="0"/>
                <w:iCs w:val="0"/>
                <w:color w:val="000000"/>
                <w:kern w:val="2"/>
                <w:sz w:val="18"/>
                <w:szCs w:val="18"/>
                <w:highlight w:val="none"/>
                <w:u w:val="none"/>
                <w:lang w:val="en-US" w:eastAsia="zh-CN" w:bidi="ar-SA"/>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D4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5C21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7FDE0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5"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4377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F34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23011">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12D8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8C81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4A0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994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E236">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0A1C6B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876"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156395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三</w:t>
            </w:r>
          </w:p>
        </w:tc>
        <w:tc>
          <w:tcPr>
            <w:tcW w:w="12752" w:type="dxa"/>
            <w:gridSpan w:val="7"/>
            <w:tcBorders>
              <w:top w:val="single" w:color="000000" w:sz="4" w:space="0"/>
              <w:left w:val="single" w:color="000000" w:sz="4" w:space="0"/>
              <w:bottom w:val="single" w:color="000000" w:sz="4" w:space="0"/>
              <w:right w:val="single" w:color="000000" w:sz="4" w:space="0"/>
            </w:tcBorders>
            <w:shd w:val="clear" w:color="auto" w:fill="B5C6EA"/>
            <w:vAlign w:val="center"/>
          </w:tcPr>
          <w:p w14:paraId="2B475A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无人机防控系统</w:t>
            </w:r>
          </w:p>
        </w:tc>
      </w:tr>
      <w:tr w14:paraId="633E1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4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4CD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924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网络交换机</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6035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包转发率 144/166Mpps；</w:t>
            </w:r>
          </w:p>
          <w:p w14:paraId="16DDB5C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交换容量 432Gbps/4.32Tbps；</w:t>
            </w:r>
          </w:p>
          <w:p w14:paraId="47E185E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固定端口 ：48个10/100/1000BASE-T以太网端口,4个万兆SFP+,含1个60W交流电源；</w:t>
            </w:r>
          </w:p>
          <w:p w14:paraId="64FCA0C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VLAN特性 支持4K个VLAN。</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D5B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013F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D3F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7669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54DE">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509FC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20C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289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无人机侦测设备</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4736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工作模式无源侦测、无线电感知</w:t>
            </w:r>
          </w:p>
          <w:p w14:paraId="65C17A2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作用对象上行飞控链路、下行图传链路</w:t>
            </w:r>
          </w:p>
          <w:p w14:paraId="13238AE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工作频段300MHZ～6GHZ</w:t>
            </w:r>
          </w:p>
          <w:p w14:paraId="13D6988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刷新频率≤2秒</w:t>
            </w:r>
          </w:p>
          <w:p w14:paraId="7BC0CB9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侦测角度水平360°，俯仰-20°～70°</w:t>
            </w:r>
          </w:p>
          <w:p w14:paraId="03ADB9A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侦测半径3km～10km以内，受环境影响</w:t>
            </w:r>
          </w:p>
          <w:p w14:paraId="00D5F74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侦测数量同时≥40架无人机</w:t>
            </w:r>
          </w:p>
          <w:p w14:paraId="3C0D52C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定位进度≤3°，解析精度≤2m</w:t>
            </w:r>
          </w:p>
          <w:p w14:paraId="6B22537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工作温度-40℃～70℃</w:t>
            </w:r>
          </w:p>
          <w:p w14:paraId="661B920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防护等级IP66</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7C6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13A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33A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182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88FDD">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FF0000"/>
                <w:sz w:val="22"/>
                <w:szCs w:val="22"/>
                <w:highlight w:val="none"/>
                <w:u w:val="none"/>
              </w:rPr>
            </w:pPr>
          </w:p>
        </w:tc>
      </w:tr>
      <w:tr w14:paraId="0AD83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4"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2BC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161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用户终端主机</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17EE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C86 3250 八核2.8GHz/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内存8G/256G SSD/</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2G独显/200W/支持双系统</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BA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551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317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lang w:val="en-US" w:eastAsia="zh-CN"/>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1F1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30679">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FF0000"/>
                <w:sz w:val="22"/>
                <w:szCs w:val="22"/>
                <w:highlight w:val="none"/>
                <w:u w:val="none"/>
              </w:rPr>
            </w:pPr>
          </w:p>
        </w:tc>
      </w:tr>
      <w:tr w14:paraId="57622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4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B01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52B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用户终端显示器</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EA2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尺寸24 英寸；</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类型 带有 LED 背光灯的 IPS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亮度 300 cd/m²1</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原始分辨率 WUXGA (1920 x 1200@60Hz)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输入功率 输入电压：100 至 240 VAC</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BAA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0A17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1C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lang w:val="en-US" w:eastAsia="zh-CN"/>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A6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91A19">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FF0000"/>
                <w:sz w:val="22"/>
                <w:szCs w:val="22"/>
                <w:highlight w:val="none"/>
                <w:u w:val="none"/>
              </w:rPr>
            </w:pPr>
          </w:p>
        </w:tc>
      </w:tr>
      <w:tr w14:paraId="39DA1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87FF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40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0CD0F">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2033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16EE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F7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17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F5049">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47CA0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trPr>
        <w:tc>
          <w:tcPr>
            <w:tcW w:w="876"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62B302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w:t>
            </w:r>
          </w:p>
        </w:tc>
        <w:tc>
          <w:tcPr>
            <w:tcW w:w="12752" w:type="dxa"/>
            <w:gridSpan w:val="7"/>
            <w:tcBorders>
              <w:top w:val="single" w:color="000000" w:sz="4" w:space="0"/>
              <w:left w:val="single" w:color="000000" w:sz="4" w:space="0"/>
              <w:bottom w:val="single" w:color="000000" w:sz="4" w:space="0"/>
              <w:right w:val="single" w:color="000000" w:sz="4" w:space="0"/>
            </w:tcBorders>
            <w:shd w:val="clear" w:color="auto" w:fill="B5C6EA"/>
            <w:vAlign w:val="center"/>
          </w:tcPr>
          <w:p w14:paraId="6B8B612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机场智能交通管理系统</w:t>
            </w:r>
          </w:p>
        </w:tc>
      </w:tr>
      <w:tr w14:paraId="0583C2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A3F1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BCE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隔离网闸</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1BEE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6个端口以上</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并发连接数＞3W，吞吐量≥200MBPS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提供文件交换、数据库访问和同步、视频交换、组播代理、访问交换等功能模块</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2F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19D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A538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634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74531">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649D4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FB7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AD5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服务器</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2D9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CPU：配置2颗 c86架构国产化处理器，核数≥8核，频率≥3.0GHz</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内存：配置64G DDR4，8根内存插槽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硬盘：4块600G，SSD</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574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6C3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2DD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sz w:val="22"/>
                <w:szCs w:val="22"/>
                <w:highlight w:val="none"/>
                <w:u w:val="none"/>
                <w:lang w:val="en-US" w:eastAsia="zh-CN"/>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F30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7355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56BE22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561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4BC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视频服务器</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57B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CPU：配置2颗高性能国产化处理器，核数≥24核</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内存：配置128G DDR4</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硬盘：960G 固态硬盘</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板载网口：1GbE(电)×2</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E4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D23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93683">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32F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8451E">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525F84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33B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821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服务器操作系统</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2EF8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信创国产操作系统，3年授权</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869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C16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C098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278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CBFC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7F3ED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1"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832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5</w:t>
            </w:r>
          </w:p>
        </w:tc>
        <w:tc>
          <w:tcPr>
            <w:tcW w:w="1700" w:type="dxa"/>
            <w:tcBorders>
              <w:top w:val="nil"/>
              <w:left w:val="single" w:color="000000" w:sz="4" w:space="0"/>
              <w:bottom w:val="single" w:color="000000" w:sz="4" w:space="0"/>
              <w:right w:val="nil"/>
            </w:tcBorders>
            <w:shd w:val="clear" w:color="auto" w:fill="auto"/>
            <w:vAlign w:val="center"/>
          </w:tcPr>
          <w:p w14:paraId="73825D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数据库</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4538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信创国产数据库软件，3年授权</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DB0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BB6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CAA2A">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61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67F09">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41299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59F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135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硬盘录像机</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519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支持H.265高效视频编码码流，支持H.265、H.264IP设备混合接入；</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支持8路1080P解码；</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支持8个SATA接口，支持满配8T硬盘；</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支持800万像素高清网络视频的预览、存储与回放；</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83E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7A8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D67C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ECB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DB18A">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4734F3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74"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A4D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43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监控级硬盘</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4055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8T监控级硬盘</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单硬盘支持多达32个摄像头的高清流</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高达256MiB缓冲区，流畅存储视频，并防止丢帧</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24×7全天候高效稳定运行</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年度工作负载等级为300TB/年</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高级格式（AF）512e扇区技术，保障硬盘扇区4K对齐</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81A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55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30</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52B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件</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C81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4F9E">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148A7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1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8AF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AF2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高位识别摄像机</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32D9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支持8MP高清分辨率</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支持输出H.265或H.264码流可配置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支持3D数字降噪功能；</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支持车牌识别、车辆驶入、驶离停车位的抓拍、识别，并支持字符叠加（抓拍时间、车牌号码、状态、泊位号等）</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支持3-5个车位的车牌识别</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具有IP67级防尘、防水滴、防浪涌等功能；</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E4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2B5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5CD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04F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C6A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288D5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DA57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C55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双屏立式户外显示器</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A2A4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显示尺寸：65 inch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物理分辨率：至少1920*1080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背光源类型：LED</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显示比例：16:9</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红外触摸</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背光寿命：≥3W小时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安装类型：落地/竖屏</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9CA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F83B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F3C5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9E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734B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3C8DC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2"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C35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39A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单屏立式电子站牌</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D169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显示尺寸：65 inch</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物理分辨率：3840*2160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背光源类型：D-LED</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显示比例：16:9</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亮度：2500 cd/m²</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音视频输入接口：最大支持4K数据传输</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网络接口：10/100M 自适应以太网</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喇叭：内置户外防水喇叭</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安装类型：落地/竖屏</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B2B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D91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241E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2D4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2F6B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25FF37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129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11</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44E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显示设备信息发布平台</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D228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统一接入信息发布屏进行信息发布的场景应用，提供图片、音频、视频、文本、Word、Excel、PPT、PDF、网页、数据源、视频源、应用程序等素材节目的编排和发布。提供素材库管理、节目编排、内容发布、快速发布、发布记录管理、终端巡检、终端管理等应用。满用户媒体宣传、广告运营、媒体播放、数据展示发布等信息发布场景需求</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5F4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70A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12A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6AC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D86FB">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1FBB0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1F4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12</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A26E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地磁感应设备（含物联网卡）</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D56A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无线传输：NB-IoT网络，支持移动、电信、联通网络</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电源：高能一次性长寿锂电</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低功耗，高灵敏度，监测反映时间不超过3S</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双模检测：支持地磁和毫米波雷达两种模式传感器检测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安装方式：采用地埋式（入地式）</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结构及外观：采用圆柱形，内外胆可拆卸，方便维护</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尺寸： Φ114毫米x  高94毫米</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14E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DD82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DD07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2A9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1C6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46D28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1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CB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13</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214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高速车辆识别摄像机</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F6F2B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集成度高：集摄像机、护罩、LED补光灯、镜头于一体；</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调试方便：电动变焦镜头，支持软件自动调焦，调试更加方便，场景适应性更广</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识别车牌种类多：能够识别符合GA 36《中华人民共和国机动车号牌》标准的车牌类型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双灯一体化：内置红外白光一体化灯珠，有效满足不同的场景需求</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0D7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45A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7665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7EE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4FE3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0A939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3"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965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14</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E5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地柱灯</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3A1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智能落地式可控显示灯</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140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D57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8D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15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8149D">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76934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82D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15</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4D7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音视频采集及智能识别摄像机</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41CD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带拾音功能，人数识别</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最低照度：彩色：0.0005Lux)；黑白：0.0001Lux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支持红外补灯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焦距：5.9-147.5mm，25倍光学变倍</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视频压缩标准：H.265/H.264/MJPEG</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最大图像尺寸：2688 × 1520 </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EFB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5CA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20BC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1AE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8763">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531FF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6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7AF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16</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3F6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环境监控相机</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A2CF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宽动态：120 dB</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最低照度：彩色：0.002 Lux @（F1.2，AGC ON），0 Lux with Light</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黑白：0.0002 Lux @（F1.2，AGC ON），0 Lux with IR</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焦距&amp;视场角：2.7~13.5 mm：水平视场角：104°~41.2°，垂直视场角：54.2°~23.1°</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支持防补光过曝开启和关闭，开启下支持自动和手动，手动支持根据距离等级控制补光灯亮度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最大图像尺寸：3840 × 2160</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视频压缩标准：H.265/H.264/MJPEG </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网络：1个RJ45 10 M/100 M自适应以太网口</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10C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017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C779">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E47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8DD5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5206C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A31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C82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配套视频平台</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5BF6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监控摄像机配套的视频管理平台。</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922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ECC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CD1A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F84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08F48">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58BA42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EEC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18</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C5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网络音柱</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1054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支持实时和定时任务、隔天续播，支持60个定时任务，内置1 GB存储空间最多支持1000个wav、mp3音频素材库管理；</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支持通过IP网络（局域网/公网），远程平台批量统一管理+本地WEB单机灵活配置，同时支持本地音频采集播放，适配各类场景应用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支持网络音频解码、高性能D类功放及全频喇叭三合一</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防护：IP66</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C7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681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97DC8">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5E58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4CEB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05540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C3D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19</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7C4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活动栏杆、立式告示牌等辅助配件</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6337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出租出蓄车区软隔离用的栏杆、到达层上客区指引用的立式宣传牌等辅助配件，2米一个栏杆，立式广告牌若干</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967F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2607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4F5E4">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9D0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5E5A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5C018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3"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C20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20</w:t>
            </w: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5DA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蓄车区道闸</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901C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一体式抓拍识别道闸，单杆3米。</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45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E33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82A2F">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375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931E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572A8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BE2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21</w:t>
            </w:r>
          </w:p>
        </w:tc>
        <w:tc>
          <w:tcPr>
            <w:tcW w:w="17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C77B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施工安装</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86AB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监控点立杆</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3DD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0BE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0450E">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AC3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F3D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0FF4B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C87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22</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C61E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2DC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监控点立杆浇筑</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268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F7A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F62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8F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F381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1CB127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C19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23</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2815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370D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站前立屏支架基础及浇筑</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08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114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7F2D2">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2F1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8D8C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0A409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CEF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24</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07D5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FAB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监控预埋件（配套地笼预埋）</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AC3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77A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08E6">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2FB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BF11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6196B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B97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25</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FE1C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26BB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监控和立屏接地系统（配套接地系统）</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CBE9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077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51F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7CB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2315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19941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BB9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26</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7E019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D49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监控室外机箱（挂杆式室外机箱，需包含空开、固定件、排管、插线板、漏电保护器）</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F6C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F06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D7ED7">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AD5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C8C0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2DCA4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6D8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27</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6500C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C9C0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地磁开挖回填、调试</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E4A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53F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45485">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C29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37A8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4C776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A59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28</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4081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2F3C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地柱灯开挖、接线、调试</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30A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00A2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83CD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0C0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21C1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5D19C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B21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29</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1839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6E9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监控开挖、接线、调试</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BD0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643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40E800">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AA67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2F43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405CD9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913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30</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33D47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6B6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立屏开挖、接线、调试</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BC7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68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2C26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9DE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726B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16990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0"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465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31</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F04B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854C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音箱开挖、接线、调试</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93E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12F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968AC">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DA6B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0F2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0C926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8"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1E7D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rPr>
            </w:pPr>
            <w:r>
              <w:rPr>
                <w:rFonts w:hint="eastAsia" w:ascii="宋体" w:hAnsi="宋体" w:eastAsia="宋体" w:cs="宋体"/>
                <w:i w:val="0"/>
                <w:iCs w:val="0"/>
                <w:color w:val="000000"/>
                <w:kern w:val="0"/>
                <w:sz w:val="22"/>
                <w:szCs w:val="22"/>
                <w:highlight w:val="none"/>
                <w:u w:val="none"/>
                <w:lang w:val="en-US" w:eastAsia="zh-CN" w:bidi="ar"/>
              </w:rPr>
              <w:t>32</w:t>
            </w:r>
          </w:p>
        </w:tc>
        <w:tc>
          <w:tcPr>
            <w:tcW w:w="17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31AC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7B1F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道闸开挖、接线、调试</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96F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009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03AEB">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18"/>
                <w:szCs w:val="18"/>
                <w:highlight w:val="none"/>
                <w:u w:val="none"/>
                <w:lang w:val="en-US" w:eastAsia="zh-CN" w:bidi="ar"/>
              </w:rPr>
              <w:t>次</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AC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D1BD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256B3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64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26</w:t>
            </w:r>
          </w:p>
        </w:tc>
        <w:tc>
          <w:tcPr>
            <w:tcW w:w="1700" w:type="dxa"/>
            <w:tcBorders>
              <w:top w:val="nil"/>
              <w:left w:val="single" w:color="000000" w:sz="4" w:space="0"/>
              <w:bottom w:val="single" w:color="000000" w:sz="4" w:space="0"/>
              <w:right w:val="single" w:color="000000" w:sz="4" w:space="0"/>
            </w:tcBorders>
            <w:shd w:val="clear" w:color="auto" w:fill="auto"/>
            <w:vAlign w:val="center"/>
          </w:tcPr>
          <w:p w14:paraId="459DE5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短信推送服务</w:t>
            </w:r>
          </w:p>
        </w:tc>
        <w:tc>
          <w:tcPr>
            <w:tcW w:w="6980" w:type="dxa"/>
            <w:tcBorders>
              <w:top w:val="nil"/>
              <w:left w:val="single" w:color="000000" w:sz="4" w:space="0"/>
              <w:bottom w:val="single" w:color="000000" w:sz="4" w:space="0"/>
              <w:right w:val="single" w:color="000000" w:sz="4" w:space="0"/>
            </w:tcBorders>
            <w:shd w:val="clear" w:color="auto" w:fill="auto"/>
            <w:vAlign w:val="center"/>
          </w:tcPr>
          <w:p w14:paraId="4AC914F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50万条/年。</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F9A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E99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74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年</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F59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38C7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08C35E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6"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D60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27</w:t>
            </w:r>
          </w:p>
        </w:tc>
        <w:tc>
          <w:tcPr>
            <w:tcW w:w="1700" w:type="dxa"/>
            <w:tcBorders>
              <w:top w:val="nil"/>
              <w:left w:val="single" w:color="000000" w:sz="4" w:space="0"/>
              <w:bottom w:val="single" w:color="000000" w:sz="4" w:space="0"/>
              <w:right w:val="single" w:color="000000" w:sz="4" w:space="0"/>
            </w:tcBorders>
            <w:shd w:val="clear" w:color="auto" w:fill="auto"/>
            <w:vAlign w:val="center"/>
          </w:tcPr>
          <w:p w14:paraId="5D98D1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语音推送服务</w:t>
            </w:r>
          </w:p>
        </w:tc>
        <w:tc>
          <w:tcPr>
            <w:tcW w:w="6980" w:type="dxa"/>
            <w:tcBorders>
              <w:top w:val="nil"/>
              <w:left w:val="single" w:color="000000" w:sz="4" w:space="0"/>
              <w:bottom w:val="single" w:color="000000" w:sz="4" w:space="0"/>
              <w:right w:val="single" w:color="000000" w:sz="4" w:space="0"/>
            </w:tcBorders>
            <w:shd w:val="clear" w:color="auto" w:fill="auto"/>
            <w:vAlign w:val="center"/>
          </w:tcPr>
          <w:p w14:paraId="663CC7D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50万分钟/年。</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E1E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0B5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CB3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年</w:t>
            </w: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46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71F6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p>
        </w:tc>
      </w:tr>
      <w:tr w14:paraId="7895D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4" w:hRule="atLeast"/>
        </w:trPr>
        <w:tc>
          <w:tcPr>
            <w:tcW w:w="8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D0B7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7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09F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6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D0514">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D908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6397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ACB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DB0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40BD6">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6A55F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4" w:hRule="atLeast"/>
        </w:trPr>
        <w:tc>
          <w:tcPr>
            <w:tcW w:w="955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7BD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合计：</w:t>
            </w:r>
          </w:p>
        </w:tc>
        <w:tc>
          <w:tcPr>
            <w:tcW w:w="7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1897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F803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A5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CC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88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CC6DE">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bl>
    <w:p w14:paraId="01A62616">
      <w:pPr>
        <w:rPr>
          <w:rFonts w:hint="eastAsia" w:ascii="宋体" w:hAnsi="宋体" w:eastAsia="宋体" w:cs="宋体"/>
          <w:color w:val="000000" w:themeColor="text1"/>
          <w:kern w:val="0"/>
          <w:sz w:val="24"/>
          <w:szCs w:val="21"/>
          <w:highlight w:val="none"/>
          <w14:textFill>
            <w14:solidFill>
              <w14:schemeClr w14:val="tx1"/>
            </w14:solidFill>
          </w14:textFill>
        </w:rPr>
      </w:pPr>
    </w:p>
    <w:p w14:paraId="64336E72">
      <w:pPr>
        <w:pStyle w:val="41"/>
        <w:rPr>
          <w:rFonts w:hint="eastAsia" w:ascii="宋体" w:hAnsi="宋体" w:eastAsia="宋体" w:cs="宋体"/>
          <w:color w:val="000000" w:themeColor="text1"/>
          <w:kern w:val="0"/>
          <w:sz w:val="24"/>
          <w:szCs w:val="21"/>
          <w:highlight w:val="none"/>
          <w14:textFill>
            <w14:solidFill>
              <w14:schemeClr w14:val="tx1"/>
            </w14:solidFill>
          </w14:textFill>
        </w:rPr>
      </w:pPr>
    </w:p>
    <w:p w14:paraId="09728C8E">
      <w:pPr>
        <w:rPr>
          <w:rFonts w:hint="eastAsia" w:ascii="宋体" w:hAnsi="宋体" w:eastAsia="宋体" w:cs="宋体"/>
          <w:color w:val="000000" w:themeColor="text1"/>
          <w:kern w:val="0"/>
          <w:sz w:val="24"/>
          <w:szCs w:val="21"/>
          <w:highlight w:val="none"/>
          <w14:textFill>
            <w14:solidFill>
              <w14:schemeClr w14:val="tx1"/>
            </w14:solidFill>
          </w14:textFill>
        </w:rPr>
      </w:pPr>
      <w:r>
        <w:rPr>
          <w:rFonts w:hint="eastAsia" w:ascii="宋体" w:hAnsi="宋体" w:eastAsia="宋体" w:cs="宋体"/>
          <w:color w:val="000000" w:themeColor="text1"/>
          <w:kern w:val="0"/>
          <w:sz w:val="24"/>
          <w:szCs w:val="21"/>
          <w:highlight w:val="none"/>
          <w14:textFill>
            <w14:solidFill>
              <w14:schemeClr w14:val="tx1"/>
            </w14:solidFill>
          </w14:textFill>
        </w:rPr>
        <w:br w:type="page"/>
      </w:r>
    </w:p>
    <w:p w14:paraId="1D5FC02F">
      <w:pPr>
        <w:jc w:val="center"/>
        <w:rPr>
          <w:rFonts w:hint="eastAsia" w:ascii="宋体" w:hAnsi="宋体" w:eastAsia="宋体" w:cs="宋体"/>
          <w:color w:val="000000" w:themeColor="text1"/>
          <w:kern w:val="0"/>
          <w:sz w:val="24"/>
          <w:szCs w:val="21"/>
          <w:highlight w:val="none"/>
          <w:lang w:val="en-US"/>
          <w14:textFill>
            <w14:solidFill>
              <w14:schemeClr w14:val="tx1"/>
            </w14:solidFill>
          </w14:textFill>
        </w:rPr>
      </w:pPr>
      <w:r>
        <w:rPr>
          <w:rFonts w:hint="eastAsia" w:ascii="宋体" w:hAnsi="宋体" w:eastAsia="宋体" w:cs="宋体"/>
          <w:b/>
          <w:bCs/>
          <w:i w:val="0"/>
          <w:iCs w:val="0"/>
          <w:color w:val="000000"/>
          <w:kern w:val="0"/>
          <w:sz w:val="28"/>
          <w:szCs w:val="28"/>
          <w:highlight w:val="none"/>
          <w:u w:val="none"/>
          <w:lang w:val="en-US" w:eastAsia="zh-CN" w:bidi="ar"/>
        </w:rPr>
        <w:t>软件功能报价清单</w:t>
      </w:r>
    </w:p>
    <w:tbl>
      <w:tblPr>
        <w:tblStyle w:val="34"/>
        <w:tblW w:w="1402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71"/>
        <w:gridCol w:w="935"/>
        <w:gridCol w:w="2285"/>
        <w:gridCol w:w="4887"/>
        <w:gridCol w:w="1127"/>
        <w:gridCol w:w="909"/>
        <w:gridCol w:w="1263"/>
        <w:gridCol w:w="1014"/>
        <w:gridCol w:w="729"/>
      </w:tblGrid>
      <w:tr w14:paraId="213D8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D8D8D8"/>
            <w:vAlign w:val="center"/>
          </w:tcPr>
          <w:p w14:paraId="44CB3D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序号</w:t>
            </w:r>
          </w:p>
        </w:tc>
        <w:tc>
          <w:tcPr>
            <w:tcW w:w="935" w:type="dxa"/>
            <w:tcBorders>
              <w:top w:val="single" w:color="000000" w:sz="4" w:space="0"/>
              <w:left w:val="single" w:color="000000" w:sz="4" w:space="0"/>
              <w:bottom w:val="single" w:color="000000" w:sz="4" w:space="0"/>
              <w:right w:val="single" w:color="000000" w:sz="4" w:space="0"/>
            </w:tcBorders>
            <w:shd w:val="clear" w:color="auto" w:fill="D0CECE"/>
            <w:vAlign w:val="center"/>
          </w:tcPr>
          <w:p w14:paraId="3EC118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系统</w:t>
            </w:r>
          </w:p>
          <w:p w14:paraId="53EBCA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名称</w:t>
            </w:r>
          </w:p>
        </w:tc>
        <w:tc>
          <w:tcPr>
            <w:tcW w:w="2285" w:type="dxa"/>
            <w:tcBorders>
              <w:top w:val="single" w:color="000000" w:sz="4" w:space="0"/>
              <w:left w:val="single" w:color="000000" w:sz="4" w:space="0"/>
              <w:bottom w:val="single" w:color="000000" w:sz="4" w:space="0"/>
              <w:right w:val="single" w:color="000000" w:sz="4" w:space="0"/>
            </w:tcBorders>
            <w:shd w:val="clear" w:color="auto" w:fill="D0CECE"/>
            <w:noWrap/>
            <w:vAlign w:val="center"/>
          </w:tcPr>
          <w:p w14:paraId="09722E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二级功能</w:t>
            </w:r>
          </w:p>
        </w:tc>
        <w:tc>
          <w:tcPr>
            <w:tcW w:w="4887" w:type="dxa"/>
            <w:tcBorders>
              <w:top w:val="single" w:color="000000" w:sz="4" w:space="0"/>
              <w:left w:val="single" w:color="000000" w:sz="4" w:space="0"/>
              <w:bottom w:val="single" w:color="000000" w:sz="4" w:space="0"/>
              <w:right w:val="single" w:color="000000" w:sz="4" w:space="0"/>
            </w:tcBorders>
            <w:shd w:val="clear" w:color="auto" w:fill="D8D8D8"/>
            <w:vAlign w:val="center"/>
          </w:tcPr>
          <w:p w14:paraId="7548DEA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功能描述</w:t>
            </w:r>
          </w:p>
        </w:tc>
        <w:tc>
          <w:tcPr>
            <w:tcW w:w="1127" w:type="dxa"/>
            <w:tcBorders>
              <w:top w:val="single" w:color="000000" w:sz="4" w:space="0"/>
              <w:left w:val="single" w:color="000000" w:sz="4" w:space="0"/>
              <w:bottom w:val="single" w:color="000000" w:sz="4" w:space="0"/>
              <w:right w:val="single" w:color="000000" w:sz="4" w:space="0"/>
            </w:tcBorders>
            <w:shd w:val="clear" w:color="auto" w:fill="D8D8D8"/>
            <w:vAlign w:val="center"/>
          </w:tcPr>
          <w:p w14:paraId="159536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工作量（人月）</w:t>
            </w:r>
          </w:p>
        </w:tc>
        <w:tc>
          <w:tcPr>
            <w:tcW w:w="909" w:type="dxa"/>
            <w:tcBorders>
              <w:top w:val="single" w:color="000000" w:sz="4" w:space="0"/>
              <w:left w:val="single" w:color="000000" w:sz="4" w:space="0"/>
              <w:bottom w:val="single" w:color="000000" w:sz="4" w:space="0"/>
              <w:right w:val="single" w:color="000000" w:sz="4" w:space="0"/>
            </w:tcBorders>
            <w:shd w:val="clear" w:color="auto" w:fill="D8D8D8"/>
            <w:vAlign w:val="center"/>
          </w:tcPr>
          <w:p w14:paraId="7877F0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单位</w:t>
            </w:r>
          </w:p>
        </w:tc>
        <w:tc>
          <w:tcPr>
            <w:tcW w:w="1263" w:type="dxa"/>
            <w:tcBorders>
              <w:top w:val="single" w:color="000000" w:sz="4" w:space="0"/>
              <w:left w:val="single" w:color="000000" w:sz="4" w:space="0"/>
              <w:bottom w:val="single" w:color="000000" w:sz="4" w:space="0"/>
              <w:right w:val="single" w:color="000000" w:sz="4" w:space="0"/>
            </w:tcBorders>
            <w:shd w:val="clear" w:color="auto" w:fill="D8D8D8"/>
            <w:vAlign w:val="center"/>
          </w:tcPr>
          <w:p w14:paraId="0D1007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单价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（万元/人月）</w:t>
            </w:r>
          </w:p>
        </w:tc>
        <w:tc>
          <w:tcPr>
            <w:tcW w:w="1014" w:type="dxa"/>
            <w:tcBorders>
              <w:top w:val="single" w:color="000000" w:sz="4" w:space="0"/>
              <w:left w:val="single" w:color="000000" w:sz="4" w:space="0"/>
              <w:bottom w:val="single" w:color="000000" w:sz="4" w:space="0"/>
              <w:right w:val="single" w:color="000000" w:sz="4" w:space="0"/>
            </w:tcBorders>
            <w:shd w:val="clear" w:color="auto" w:fill="D8D8D8"/>
            <w:vAlign w:val="center"/>
          </w:tcPr>
          <w:p w14:paraId="3FDC3B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总价</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（万元）</w:t>
            </w:r>
          </w:p>
        </w:tc>
        <w:tc>
          <w:tcPr>
            <w:tcW w:w="729" w:type="dxa"/>
            <w:tcBorders>
              <w:top w:val="single" w:color="000000" w:sz="4" w:space="0"/>
              <w:left w:val="single" w:color="000000" w:sz="4" w:space="0"/>
              <w:bottom w:val="single" w:color="000000" w:sz="4" w:space="0"/>
              <w:right w:val="single" w:color="000000" w:sz="4" w:space="0"/>
            </w:tcBorders>
            <w:shd w:val="clear" w:color="auto" w:fill="D8D8D8"/>
            <w:vAlign w:val="center"/>
          </w:tcPr>
          <w:p w14:paraId="13597B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p>
        </w:tc>
      </w:tr>
      <w:tr w14:paraId="512F3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871"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75E027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w:t>
            </w:r>
          </w:p>
        </w:tc>
        <w:tc>
          <w:tcPr>
            <w:tcW w:w="13149" w:type="dxa"/>
            <w:gridSpan w:val="8"/>
            <w:tcBorders>
              <w:top w:val="single" w:color="000000" w:sz="4" w:space="0"/>
              <w:left w:val="single" w:color="000000" w:sz="4" w:space="0"/>
              <w:bottom w:val="single" w:color="000000" w:sz="4" w:space="0"/>
              <w:right w:val="single" w:color="000000" w:sz="4" w:space="0"/>
            </w:tcBorders>
            <w:shd w:val="clear" w:color="auto" w:fill="B5C6EA"/>
            <w:vAlign w:val="center"/>
          </w:tcPr>
          <w:p w14:paraId="589009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机坪安全运行管理系统</w:t>
            </w:r>
          </w:p>
        </w:tc>
      </w:tr>
      <w:tr w14:paraId="55F645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816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F66D4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GIS地图</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95455">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09A8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4F4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2FD6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E7F7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496B8">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11592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6C0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5167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GIS地图绘制</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3FB8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通过规划设计地图尺寸及范围，收集地理数据包括机坪内地形，建筑物，道路，停机位等。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B1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3.0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FDB4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434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9B0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C62D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2AF40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73A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CDB6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数据清洗</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6257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使用GIS软件根据清洗后的数据绘制地图。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5F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636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E8B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14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1C0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FA5D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51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18EB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GIS地图集成</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7FBC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将GIS集成至机坪安全运行管理系统。</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950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C107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745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6E5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9EF9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63D9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9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B9BA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E64D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0A49A">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2810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5628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87E0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291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33E1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B587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8"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AC6E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(二)</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52E8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运行态势</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0B802">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5BE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1E16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4095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3713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2CE2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2172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34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28D8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未上线车辆统计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2A91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通过柱状图、饼图、曲线图，列表等方式，展示各单位超过车辆类型配置的超时未上线日期阈值的车辆列表。</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A4A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ACD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BA19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92A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1719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DE86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4060D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DBFBF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车辆里程统计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7679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通过柱状图、饼图、曲线图，列表等方式，展示机场车辆每月行驶里程数据。</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E0D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36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34A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3A2A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5735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2703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74F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8BF7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车辆违规统计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58BE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通过柱状图、饼图、曲线图，列表等方式，展示机场车辆时间范围内的各类违规统计数据。</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571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117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FB6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3B5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E612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D7BF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8E3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6F59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事件上报统计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5CDA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通过柱状图、饼图、曲线图，列表等方式，展示机场各单位上报事件数量表。</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884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48C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3CB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8D2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57B5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CADF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4C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9486E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违规驾驶统计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BC69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通过柱状图、饼图、曲线图，列表等方式，展示机场各单位车辆驾驶人员违规驾驶数量。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4C5A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04F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316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53F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A004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4133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1524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6879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人员资证临期统计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EC7F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通过柱状图、饼图、曲线图，列表等方式，展示机场各单位车辆驾驶人员通行证，驾驶证临期数量。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0AC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F3B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4C7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031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A91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F3B17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2"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6F3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32A707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0B2C8">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9D1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7C86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D550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212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ED42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5FF0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AEF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(三)</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A2401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车辆安全监管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07E96">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3DCF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44C1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B34C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951B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F34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D713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E28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9B3D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车辆实时监控</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BF32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通过硬件设备GPS定位数据，在机坪高精度GIS地图层上显示车辆信息。例如车辆类型、作业类型、车辆归属单位，车辆负责人、电话等。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69A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B0B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155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6B7E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4F37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6A45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B4F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621C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2410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车辆实时位置、车辆行驶方向、车辆实时车速，点击支持查看车辆详细信息。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4E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6C9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F12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9765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B3419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0596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6C1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5CFB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D9E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支持查看默认车辆最近运行行驶历史轨迹路线图，支持车载视频在线查看，多路摄像头可切换线路查看实时视频监控。</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4EA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2.0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0D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ADB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A3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EAE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2C88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1C0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5497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车辆违规提醒</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BB39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根据车辆GPS定位数据及围栏类型等条件，系统判断车辆运行状态及对应围栏内是否授权该类型车辆，车辆未按规定行驶时触发双向告警。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75E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314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690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ED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7EA72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F94D7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857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C492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5EE8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PC端系统显示告警信息提示管理人员，对违规车辆设备发送指令播报提醒驾驶员规范行驶。</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CC3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0574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6E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1112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3F05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B640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C60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3144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68E0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并记录违规事件发生的相关信息包括车辆和驾驶员信息、违规类型、违规时间、违规地点等。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CDC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D9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DA8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724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E76FB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8B55E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441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946F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车辆主动安全</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6A52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视频算法规则分析。</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BAC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2.0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74D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F37D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FC6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D9EB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58F7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828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E10F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06AF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视频算法开发。</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F23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2.0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ECF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A5C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24D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AB9A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56AA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E06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95EEF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0C36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通过车前摄像头视频算法分析车前行驶状态，包括车道偏离、前方障碍物碰撞预警等，系统通过车载设备对驾驶员进行语音提醒。</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018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2.0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224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F86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40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285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B32E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B0B1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9FE8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车辆违规记录</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6EC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支持通过违规记录模块自定义时间范围查询车辆违规记录，包括车辆历史行驶轨迹，车辆行驶最大车速，行驶时间等。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053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1E1B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AEF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D32D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DD5D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7B5A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531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969C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DE18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支持倍速回放查看车辆行驶过程并支持高亮显示超速轨迹路段。</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F08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187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8A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616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C6BF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ADAD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F2C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6741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机位占用监控</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E71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通过对接航班计划及动态数据，在GIS地图上展示近远机位航班占用情况。</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A041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A355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D8B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D72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4045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5797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C50A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337B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C76E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支持通过配置模块定制显示机位占用航班信息，包括显示进港航班号、离港航班号、航空器注册号，机位占用空闲状态等，支持扩展接入放行排序等数据，展示机位航班放行序号。</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1D1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2.0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FD6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D08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0B4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DF1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7EF3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581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A3E7F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B71C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支持点击占用机位航班号查看对应航班详情信息，包括进离港航班计划、计划起降时刻，预计或实际起降时刻，当前保障状态等信息。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953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2.0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11D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F05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08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5472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DE6B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AA9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15</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B73F3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滑入/推出提醒</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D51F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根据ACDM历史30天各跑道头落地至各机位平均时长,预测滑入机位时间,对该机位周边范围内的在线车辆进行语音播报提醒避让。</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根据机位航班保障节点时间,获取撤轮挡,推出等相关节点时间时,对该机位周边范围内的在线车辆进行语音播报提醒避让。</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3AD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 xml:space="preserve">1.9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0CB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2EE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B5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948F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D6B2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2784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929C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推出冲突提醒</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7BCA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保障状态和COBT数据获取。</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A21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F96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3B5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EF9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CE2C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9D69B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9484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D8D9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9E1F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根据保障状态判断及COBT时刻数据等计算相邻机位离港航班推出时刻,对相差5分钟内的机位航班进行提醒。</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914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2.0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566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344E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CFA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297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60F2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EC8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45B3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临时通行监管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3306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外场车辆道口扫码绑定便携式电子工牌,登记进防人员电话号码。</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457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DEA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83C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ABC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9B5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11E7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184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E25A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1436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离场计划时间,可通行区域等,对限时未离场车辆在PC端向管理人员提醒。</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4EC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D2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CBC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861B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BE801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435B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57DB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05DB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2ADDC">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4F39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DE7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71C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D88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43AB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CD49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9C0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7C17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安全巡查</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2FE7A">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76C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070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D46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8E1D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1088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A8F8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563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A430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巡检管理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4352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巡检任务单派发管理，巡检任务详情，各巡检点电子检查单完成情况查看。</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2D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C25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4F0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9B5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4B6D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5670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35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C123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9D6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历史巡检任务查询及导出。</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52A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4B0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C72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9A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3C9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8A4E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458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81D9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保障作业标准程序检查</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2CF4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各类车辆航班保障作业标准程序电子检查单录入及详情查看。</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874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2.0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3D9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DB8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3F54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6A8C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9229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0C8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75E7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7CFC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历史检查单按时间范围，类型等维度统计查询及导出。</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D7D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E71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7A8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6A8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7AE8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A003D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F9AF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F30F5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3EBC6">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EB92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79C5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4262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01C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720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C59E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9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E6C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8C68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人员安全监管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156B8">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70C2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6414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8C98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AF18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A236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B795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689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F2FB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驾驶员信息管理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3AA5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通过驾驶员信息管理模块维护机坪内部驾驶员基础信息。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252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0.5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00F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D85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4B6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DD0D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871B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AA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FF255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9BFA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支持创建新员工信息库，对现有驾驶员信息进行编辑，删除等操作。</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9D8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0.5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4F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8B81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E5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E9CF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95CA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639D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9703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6928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支持对驾驶员在职状态进行变更，驾驶员基础信息包括驾驶员姓名、联系电话、身份证号、归属单位、准驾车型等。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EEAD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4B0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54F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5DA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E12B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F9A8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FE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A0CB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驾驶员资证管理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E3A9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通过驾驶员资证管理模块维护驾驶员证件信息，录入信息包括单位名称、驾驶员姓名、驾驶证有效期、驾驶证正副本实拍图、内场通行证有效期等信息。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0D3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B2C3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F077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B74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1185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4952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820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9ACA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04A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系统通过录入的有效期，监控有效状态，有效期临失效前通过系统消息等方式对相关单位负责人及对应驾驶员进行提醒更新证件。</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8E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A39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D26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142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605B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A51B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6494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ABC4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154E4">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8279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24E7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FDA5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404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3A7F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89EA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4"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985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(六)</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DA8B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事件管理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E713">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4A6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6DC9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3AC0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152D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7C71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265D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8681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799A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违章记录</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69ED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通过违章驾驶员姓名、单位列表，违规类型，时间范围等条件查询筛选违规记录列表，违规列表信息包括：编号、违规类型、违章人、违规车辆、车辆类型、归属单位、违规时间、违规区域、处理状态等。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7FF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2.0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96C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322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48E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599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EFC05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F4C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6E6B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9A4C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支持管理人员根据违章详情判断向违章单位车辆管理负责人发送违章处置告知单。</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051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6557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B3A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470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8557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A93F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A3C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865D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违章处置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23D1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根据单位，违规类型，时间范围等筛选查询管理人员已发送的违章处置告知单记录，列表信息包括处置单编号、违规类型、发送处置单时间、接收单位、整改反馈、整改期限、处置状态等。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AF6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846D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EDE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55E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244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DF7B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10B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9109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1E2A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接收单位可查看本单位内的违章处置告知单并填写整改信息，支持上传常用文件附件，发送方根据整改信息完结处置单。</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65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69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A1AC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D57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5433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1700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A24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6765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上报记录</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C9C7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一线人员通过移动端发起报告，支持填写内容，选择日期，拍摄现场照片等，上报列表支持根据情况说明关键字，上报单位，上报时间范围等条件筛选查询列表。</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F68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2.0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B0E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C77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07B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1234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F6B9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2F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CC49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8A44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管理人员根据情况说明内容判断并分配事件处置归属责任单位及部门。</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770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3AB7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D41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D89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1DB2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CD5C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A1B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EC38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上报处置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FACF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上报事件归属的责任单位可查询处置列表，信息包括情况说明，发现地点，发现日期，现场照片等信息。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7284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2.0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71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D4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0DE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32F6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84D9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715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E86D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B859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责任单位管理人员支持更新事件处置状态并填写处置说明。支持管理人员删除事件处置单。</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10C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BD1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B37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7E4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59E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E351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B0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04510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告警记录</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E14C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按时间范围，告警类型等条件查询车辆告警记录，记录数据项包括触发告警时间、车辆归属单位、违规电子围栏、告警类型等。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8D2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85C1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026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418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AE42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B05D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88D5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61B9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988CA">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D064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07EB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1199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A06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3373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5A1D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870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(七)</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9832A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66EC0">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F03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72A4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EE65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A3A4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73A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C2849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EDC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63CD5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资证周期管理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34DA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车辆，人员资证有效周期管理，各类证件支持根据不同年限对临期前N天提醒配置。</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ACF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63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D33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5744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AC7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2C3F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5F1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B1AA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保障作业检查单管理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1E46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创建、编辑及删除航班保障作业各类车辆标准作业程序电子简称单事项模版。</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DA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BAB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F4A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3669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BF2A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2592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A0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6E71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6D16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括巡检类型维护，巡检点维护，各巡检点电子检查单事项内容维护。不同巡检类型任务下的巡检路线维护等。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66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2.8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44C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C00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A68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3D7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08136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FD5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5F50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车辆基础配置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66A6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对车辆信息录入、编辑及删除操作，如修改车牌号、更换设备标识绑定其他设备等；支持筛选查看车辆的在线情况，设备使用状态以及轨迹查询和指令下发功能；可以快速条件筛选指定车辆，导出车辆列表。</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445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2C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11C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D0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DF6E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6132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F61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B169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561E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支持录入车辆保养时间、保养周期、车辆内场通行证有效截止时间等信息，系统通过设置的周期对临期车辆进行提醒、对过期未更新信息的车辆进行告警。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8678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D3D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C63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D9D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A4D6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4FED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5"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798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CD63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系统用户及权限管理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D457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创建多个部门及部门下级科室，呈树状展示，录入信息包含部门名称、代码、联系方式等，支持根据部门名称来查询。用户录入信息包含用户名、有效期、所属部门、创建时间等，可以修改密码，设置系统功能模块权限，实现对系统的安全访问控制、数据隐私保护等实现专人专管。</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5F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899A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0C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BF2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67CA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E5BB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20C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C71B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电子围栏管理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E93A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基于GIS地图处理电子围栏区域的绘制，围栏的属性默认有限制区围栏、禁行区围栏和道口围栏等，不同属性围栏表现形式及展示颜色不同，用于明确区分围栏效果。</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A3B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AF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0ACF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061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5107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79006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E6E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B20D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21E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支持手工绘制各类形状的围栏界线，设置的围栏可以个性化指定生效的部门、车辆类型，以应对不同的实际作业场景。支持为围栏进行编辑和删除，相应的操作也会有权限访问控制。</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3D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ED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5022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894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EE48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457E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5"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DE3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A46E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0273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不同属性围栏配置对应车辆类型或指定车辆，独立控制该电子围栏车辆的准入或限出权限，根据配置条件，通过车辆安全监管模块对车辆进行监控和告警。应用于临时外场施工车辆驶出施工区域围栏，非授权车辆驶入禁入电子围栏等运行场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357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A7D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1D68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855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7F99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28A2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874E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10708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语音播报管理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D59C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根据场坪区各类事件场景及不同类型的电子围栏，自定义设置各类自动播放语音的文本内容。</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3E96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ED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6A3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A47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D77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5A73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1AB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B8C31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9AF1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当满足触发条件时，通过车辆上装备的语音设备，自动播放配置的文本，提醒驾驶车辆人员。支持对语音播报文本自定义编辑、添加、删除。</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2C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1993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2FB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8A0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55A3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28E4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887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62AF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应急救援点管理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6D0F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通过PC端GIS地图上绘制应急救援点范围，支持绘制多个救援点，对救援集结点自定义名称，支持对已创建的应急救援集结点进行编辑,删除操作。</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65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687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D9B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619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4AE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EF480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0A60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50C4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7D0DF">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4E5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1C8E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2BE6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95A9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8E7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B4A9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C13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(八)</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DE1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移动端</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D40F1">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C6A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96C3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F78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2E23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8F5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06C11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CD4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83588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巡检任务管理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03B1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巡检任务管理人员派发及执行人员接收，移动端电子任务处置及详情查看。</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9DD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E74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261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911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CD14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923E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67A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6F4A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任务跟踪&amp;统计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1AFA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保障作业标准程序检查单发布，任务状态跟踪，任务量统计。</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A60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E7A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D3B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396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23E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9CDD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6B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F217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运行实况</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BD15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通过移动端GIS地图展示在线车辆实时位置及状态，显示机坪机位占用状态。</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887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F31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520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05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D6D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56D0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256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83EF0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9325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支持根据车辆类型、归属单位等进行筛选展示车辆。</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991D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B0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259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CAD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1FF0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C991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9B0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68A8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1266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点击车辆图标查看车辆信息，包括车牌号、归属单位、车辆类型、驾驶员信息、车辆当日行驶里程等数据；点击机位查看航班占用信息，包括进离港航班号、航线、航空器注册号、机型、当前保障状态等。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D9D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47E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160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2B7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269B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1FAE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F3D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530D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A665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支持开启关闭或筛选展示机坪内设置的电子围栏。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7EF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A25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BCC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46B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829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3DE8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9AB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6AAB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车辆管理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A737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支持管理人员及车辆归属单位查看车辆列表，及证件临期过期车辆列表。</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47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E56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725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3718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BCBE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B838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B9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A5F0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19B3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通过车辆管理模块进行车辆保养信息录入，包括保养时间（默认为发起日期）、保养项目、当前里程数、下次保养时间等信息。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D5B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823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F8C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5BB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490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89C9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F2A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886A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337C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支持通过移动端填写证件编号，有效截止日期，证件正副页照片等信息，由PC端管理人员进行审核。</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4E5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042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85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9D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14A6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56150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727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8269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人车绑定</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7917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需要通过驾驶员上车刷NFC卡来识别驾驶员身份，与系统内匹配驾驶车型，车辆授权可刷卡卡片数据进行匹配判断是否一致。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039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108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4EE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B6A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F9E7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5716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374A8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BD6B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33ED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通过刷NFC卡识别驾驶员身份时，还关联驾驶员通行证，内场驾驶证的有效期判断并对临过期司机驾驶的车辆，在GIS地图上标识证件临期或失效。</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E92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1.5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E1C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D27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0A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E98F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F0597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A52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4994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事件上报</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0D215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支持用户通过事件上报模块上报事件，上报内容包括：上报事件说明、发现时间、发现地点、现场照片等信息。支持查看历史上报事件记录列表，并同步上报后管理人员处置事件状态。</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BE9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5698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B91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C1E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7707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EE5F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5"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AC7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CE21C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用户中心</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BB44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用户中心我的证件模块查看维护个人证件信息，包括驾驶员信息及资证信息，驾驶员信息包括姓名、联系电话、所属单位、准驾车型等信息；资证信息包括内场通行证照片、航空器活动区驾驶证照片，各类证件有效截止时间等，支持用户上传证件照片。</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2F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6FC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E7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D21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34E2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D6BE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0DA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9265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60E17">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C821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B91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D77A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5471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55DE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2F0ED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4"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A89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(九)</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19E8C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数据接口</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E68F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B600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117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A281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39FF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D2DE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725B56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A2C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5DE06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航班动态数据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B8C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接入航班信息数据。</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251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1AF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5AA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B3E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4E90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FD34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60A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C91E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ADSB数据接口</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CEFD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接入飞机位置信息。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8338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F68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7D5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70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0F54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0173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A6B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24CD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5C579">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0167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D36C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1F3E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07A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C8A2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1E69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3A9A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(十)</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31C4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弱电第三方检测费</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B2E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通过具有民航空管工程及机场弱电系统工程专业承包资质二级以上的第三方单位检测。内容包括服务器系统、存储系统、应用系统、终端显示设备及管理工作站，检测覆盖率应达到 100%。</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7C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99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套</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E64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297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7B6C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4A94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66F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1EE0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A08AD">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CD30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E807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FF5F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A47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6D6C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D5055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0"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ED2A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12F1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合计：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1635">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6420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DA4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9D1A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E36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816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6B5A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871"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2074AE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二</w:t>
            </w:r>
          </w:p>
        </w:tc>
        <w:tc>
          <w:tcPr>
            <w:tcW w:w="13149" w:type="dxa"/>
            <w:gridSpan w:val="8"/>
            <w:tcBorders>
              <w:top w:val="single" w:color="000000" w:sz="4" w:space="0"/>
              <w:left w:val="single" w:color="000000" w:sz="4" w:space="0"/>
              <w:bottom w:val="single" w:color="000000" w:sz="4" w:space="0"/>
              <w:right w:val="single" w:color="000000" w:sz="4" w:space="0"/>
            </w:tcBorders>
            <w:shd w:val="clear" w:color="auto" w:fill="B5C6EA"/>
            <w:vAlign w:val="center"/>
          </w:tcPr>
          <w:p w14:paraId="5746614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无人机防控系统</w:t>
            </w:r>
          </w:p>
        </w:tc>
      </w:tr>
      <w:tr w14:paraId="3FC35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8"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3E6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98D30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用户与设备管理子系统</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91901">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A863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3BCD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E8A1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65ED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EBE4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43A25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838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E5324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固定设备管理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9BAD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提供固定侦测反制设备管理功能，包括固定侦测设备的新增、修改、删除、导入与导出。</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D44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BE0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CA7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C08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91F6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FEF2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FB6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C0B5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无人机准入管理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68EB3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系统支持黑白名单设置功能，通过对合作无人机目标进行标记，有效区分敌友，避免无差别打击。</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64A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2D6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C4A2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367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AD5F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93A0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ADE00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A7702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67EFD">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4D38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8A5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44C2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EA5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6DBF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90A3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1D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（二）</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834E8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无人机监视子系统</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C8053">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8F5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A87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E351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55E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3E75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38DE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F53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06D9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实时无线电监测</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9842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系统可进行多频段24小时无线电监测，系统具备300MHz-6GHz全频段检测能力。</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CAE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0D7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18E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7B0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F740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FD5D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6AB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AFAF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无人机轨迹跟踪</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B1BB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根据识别到的无人机型号信息和无线电特征，系统自动的进行黑飞无人机的轨迹跟踪。</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8BE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ED8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17A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AC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3BCB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84FD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DB9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220"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3159D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8EB9C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根据侦测到的无人机信号，解析出其飞手所在位置，从而定位飞手位置信息，辅助公安进行处置追溯。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98D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694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6F9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C12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4EA1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DB50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9EF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A4E86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侦测反制综合显示</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5550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在地图上根据位置显示侦测反制装备图标，不同类型装备采用不同图标显示。固定式无人机侦测反制装备根据其固定部署位置显示，单兵无人机反制枪根据其上报的实时定位进行动态显示。</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648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A98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F14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124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A0CE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7EA2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CB4A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4800E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5112D">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7D07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6DCF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9ADA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12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E7FD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7F88C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6"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2CC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（三）</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EAA68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告警管理子系统</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41814">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C11C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80FE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A47F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8253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2E8A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F7F4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F91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01D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异常信号快速报警</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9D26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系统监测到“黑飞”无人机信号后进行报警，监测到黑飞无人机信号并报警。平台能进行信息、图标、声光报警提示，并在地图上显示无人机图标、弹出信息列表。</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F4A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E67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E3F3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E41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A0F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CBCC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F7A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5C2C7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设备异常告警</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ED32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系统软件界面可显示各前端设备工作状态，管控人员可在软件界面收到设备异常提醒，并且支持远程一键重启等功能。</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582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0.8</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257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4A2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CCE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C264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C33A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2387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6A83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CD758">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3878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598CF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5D9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F11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FAE3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4436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8C46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5FF744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记录回放子系统</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3C134">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FC43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A76D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1589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1D77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65E2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CE79C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77C6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91BE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数据回放追溯</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0AEC8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系统支持无人机入侵数据回放追溯。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72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EE9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5E7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D09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5EE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3779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41F2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FDF5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93411">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73F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E29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7ECD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BF3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2089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9B54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45DE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DB166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数据统计子系统</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C4992">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6B6D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AC74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2877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4EBE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5688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155D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4E33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4D59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数据统计分析</w:t>
            </w:r>
          </w:p>
        </w:tc>
        <w:tc>
          <w:tcPr>
            <w:tcW w:w="4887" w:type="dxa"/>
            <w:tcBorders>
              <w:top w:val="single" w:color="000000" w:sz="4" w:space="0"/>
              <w:left w:val="single" w:color="000000" w:sz="4" w:space="0"/>
              <w:bottom w:val="single" w:color="auto" w:sz="4" w:space="0"/>
              <w:right w:val="single" w:color="000000" w:sz="4" w:space="0"/>
            </w:tcBorders>
            <w:shd w:val="clear" w:color="auto" w:fill="auto"/>
            <w:vAlign w:val="center"/>
          </w:tcPr>
          <w:p w14:paraId="5ADD20C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系统可以对运行数据进行统计，如：入侵无人机数量、入侵等级、入侵区域、主要无人机类型等。</w:t>
            </w:r>
          </w:p>
        </w:tc>
        <w:tc>
          <w:tcPr>
            <w:tcW w:w="1127" w:type="dxa"/>
            <w:tcBorders>
              <w:top w:val="single" w:color="000000" w:sz="4" w:space="0"/>
              <w:left w:val="single" w:color="000000" w:sz="4" w:space="0"/>
              <w:bottom w:val="single" w:color="auto" w:sz="4" w:space="0"/>
              <w:right w:val="single" w:color="000000" w:sz="4" w:space="0"/>
            </w:tcBorders>
            <w:shd w:val="clear" w:color="auto" w:fill="auto"/>
            <w:vAlign w:val="center"/>
          </w:tcPr>
          <w:p w14:paraId="7858F7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09" w:type="dxa"/>
            <w:tcBorders>
              <w:top w:val="single" w:color="000000" w:sz="4" w:space="0"/>
              <w:left w:val="single" w:color="000000" w:sz="4" w:space="0"/>
              <w:bottom w:val="single" w:color="auto" w:sz="4" w:space="0"/>
              <w:right w:val="single" w:color="000000" w:sz="4" w:space="0"/>
            </w:tcBorders>
            <w:shd w:val="clear" w:color="auto" w:fill="auto"/>
            <w:vAlign w:val="center"/>
          </w:tcPr>
          <w:p w14:paraId="4E83C63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auto" w:sz="4" w:space="0"/>
              <w:right w:val="single" w:color="000000" w:sz="4" w:space="0"/>
            </w:tcBorders>
            <w:shd w:val="clear" w:color="auto" w:fill="auto"/>
            <w:vAlign w:val="center"/>
          </w:tcPr>
          <w:p w14:paraId="464AAA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E08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4F1E5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D95FF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6"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421A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1D0CE5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auto" w:sz="4" w:space="0"/>
              <w:left w:val="single" w:color="auto" w:sz="4" w:space="0"/>
              <w:bottom w:val="single" w:color="auto" w:sz="4" w:space="0"/>
              <w:right w:val="single" w:color="000000" w:sz="4" w:space="0"/>
            </w:tcBorders>
            <w:shd w:val="clear" w:color="auto" w:fill="auto"/>
            <w:vAlign w:val="center"/>
          </w:tcPr>
          <w:p w14:paraId="52C5DA91">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auto" w:sz="4" w:space="0"/>
              <w:left w:val="nil"/>
              <w:bottom w:val="single" w:color="auto" w:sz="4" w:space="0"/>
              <w:right w:val="nil"/>
            </w:tcBorders>
            <w:shd w:val="clear" w:color="auto" w:fill="auto"/>
            <w:noWrap/>
            <w:vAlign w:val="center"/>
          </w:tcPr>
          <w:p w14:paraId="6CE81B5C">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909" w:type="dxa"/>
            <w:tcBorders>
              <w:top w:val="single" w:color="auto" w:sz="4" w:space="0"/>
              <w:left w:val="single" w:color="000000" w:sz="4" w:space="0"/>
              <w:bottom w:val="single" w:color="auto" w:sz="4" w:space="0"/>
              <w:right w:val="single" w:color="000000" w:sz="4" w:space="0"/>
            </w:tcBorders>
            <w:shd w:val="clear" w:color="auto" w:fill="auto"/>
            <w:vAlign w:val="center"/>
          </w:tcPr>
          <w:p w14:paraId="4863DCF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auto" w:sz="4" w:space="0"/>
              <w:left w:val="single" w:color="000000" w:sz="4" w:space="0"/>
              <w:bottom w:val="single" w:color="auto" w:sz="4" w:space="0"/>
              <w:right w:val="single" w:color="auto" w:sz="4" w:space="0"/>
            </w:tcBorders>
            <w:shd w:val="clear" w:color="auto" w:fill="auto"/>
            <w:vAlign w:val="center"/>
          </w:tcPr>
          <w:p w14:paraId="022455D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auto" w:sz="4" w:space="0"/>
              <w:bottom w:val="single" w:color="000000" w:sz="4" w:space="0"/>
              <w:right w:val="single" w:color="000000" w:sz="4" w:space="0"/>
            </w:tcBorders>
            <w:shd w:val="clear" w:color="auto" w:fill="auto"/>
            <w:vAlign w:val="center"/>
          </w:tcPr>
          <w:p w14:paraId="1D5CA5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5EC9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361F0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DB14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DB40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合计：</w:t>
            </w:r>
          </w:p>
        </w:tc>
        <w:tc>
          <w:tcPr>
            <w:tcW w:w="4887" w:type="dxa"/>
            <w:tcBorders>
              <w:top w:val="single" w:color="auto" w:sz="4" w:space="0"/>
              <w:left w:val="single" w:color="000000" w:sz="4" w:space="0"/>
              <w:bottom w:val="single" w:color="000000" w:sz="4" w:space="0"/>
              <w:right w:val="single" w:color="000000" w:sz="4" w:space="0"/>
            </w:tcBorders>
            <w:shd w:val="clear" w:color="auto" w:fill="auto"/>
            <w:vAlign w:val="center"/>
          </w:tcPr>
          <w:p w14:paraId="49A3E428">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auto" w:sz="4" w:space="0"/>
              <w:left w:val="single" w:color="000000" w:sz="4" w:space="0"/>
              <w:bottom w:val="single" w:color="000000" w:sz="4" w:space="0"/>
              <w:right w:val="single" w:color="000000" w:sz="4" w:space="0"/>
            </w:tcBorders>
            <w:shd w:val="clear" w:color="auto" w:fill="auto"/>
            <w:vAlign w:val="center"/>
          </w:tcPr>
          <w:p w14:paraId="583C6DD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auto" w:sz="4" w:space="0"/>
              <w:left w:val="single" w:color="000000" w:sz="4" w:space="0"/>
              <w:bottom w:val="single" w:color="000000" w:sz="4" w:space="0"/>
              <w:right w:val="single" w:color="000000" w:sz="4" w:space="0"/>
            </w:tcBorders>
            <w:shd w:val="clear" w:color="auto" w:fill="auto"/>
            <w:vAlign w:val="center"/>
          </w:tcPr>
          <w:p w14:paraId="1B7EC81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auto" w:sz="4" w:space="0"/>
              <w:left w:val="single" w:color="000000" w:sz="4" w:space="0"/>
              <w:bottom w:val="single" w:color="000000" w:sz="4" w:space="0"/>
              <w:right w:val="single" w:color="000000" w:sz="4" w:space="0"/>
            </w:tcBorders>
            <w:shd w:val="clear" w:color="auto" w:fill="auto"/>
            <w:vAlign w:val="center"/>
          </w:tcPr>
          <w:p w14:paraId="22CD2E7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8C8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CFDE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530F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trPr>
        <w:tc>
          <w:tcPr>
            <w:tcW w:w="871" w:type="dxa"/>
            <w:tcBorders>
              <w:top w:val="single" w:color="000000" w:sz="4" w:space="0"/>
              <w:left w:val="single" w:color="000000" w:sz="4" w:space="0"/>
              <w:bottom w:val="single" w:color="000000" w:sz="4" w:space="0"/>
              <w:right w:val="single" w:color="000000" w:sz="4" w:space="0"/>
            </w:tcBorders>
            <w:shd w:val="clear" w:color="auto" w:fill="B5C6EA"/>
            <w:vAlign w:val="center"/>
          </w:tcPr>
          <w:p w14:paraId="334EA6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三</w:t>
            </w:r>
          </w:p>
        </w:tc>
        <w:tc>
          <w:tcPr>
            <w:tcW w:w="13149" w:type="dxa"/>
            <w:gridSpan w:val="8"/>
            <w:tcBorders>
              <w:top w:val="single" w:color="000000" w:sz="4" w:space="0"/>
              <w:left w:val="single" w:color="000000" w:sz="4" w:space="0"/>
              <w:bottom w:val="single" w:color="000000" w:sz="4" w:space="0"/>
              <w:right w:val="single" w:color="000000" w:sz="4" w:space="0"/>
            </w:tcBorders>
            <w:shd w:val="clear" w:color="auto" w:fill="B5C6EA"/>
            <w:vAlign w:val="center"/>
          </w:tcPr>
          <w:p w14:paraId="4AF83F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机场智能交通管理系统</w:t>
            </w:r>
          </w:p>
        </w:tc>
      </w:tr>
      <w:tr w14:paraId="495F6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FC2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FE457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多维车辆调度智慧管理子系统</w:t>
            </w:r>
          </w:p>
        </w:tc>
        <w:tc>
          <w:tcPr>
            <w:tcW w:w="48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000CD0">
            <w:pPr>
              <w:keepNext w:val="0"/>
              <w:keepLines w:val="0"/>
              <w:pageBreakBefore w:val="0"/>
              <w:widowControl/>
              <w:kinsoku/>
              <w:wordWrap/>
              <w:overflowPunct/>
              <w:topLinePunct w:val="0"/>
              <w:autoSpaceDE/>
              <w:autoSpaceDN/>
              <w:bidi w:val="0"/>
              <w:adjustRightInd/>
              <w:snapToGrid/>
              <w:spacing w:line="320" w:lineRule="exact"/>
              <w:jc w:val="lef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C7AC68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24EB1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3DE3A9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88FB8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A7223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9B4D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8DC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3B7C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网约车管理调度</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FFAA8">
            <w:pPr>
              <w:keepNext w:val="0"/>
              <w:keepLines w:val="0"/>
              <w:pageBreakBefore w:val="0"/>
              <w:widowControl/>
              <w:kinsoku/>
              <w:wordWrap/>
              <w:overflowPunct/>
              <w:topLinePunct w:val="0"/>
              <w:autoSpaceDE/>
              <w:autoSpaceDN/>
              <w:bidi w:val="0"/>
              <w:adjustRightInd/>
              <w:snapToGrid/>
              <w:spacing w:line="320" w:lineRule="exact"/>
              <w:jc w:val="lef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96B0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013B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2387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64FE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EFA2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738C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490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527C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进场</w:t>
            </w:r>
          </w:p>
          <w:p w14:paraId="3D2B88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大厅</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463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等待区可视化</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AF54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构建图形化停车等待区，对进场情况进行图形化的模拟，包括车位、停车分布等情况，直观呈现停车效果，对接停车区监控实时画面转播，车辆的详情参数查阅等。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BB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1E1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148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FBA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3996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11F85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459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452F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7C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网约车司机小程序</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2077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提供网约车司机小程序，确认信息核验和记录查询。</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188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4FF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63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A83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92A4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5837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03E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F5D8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CE0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进场信息统计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7586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提供基于停车场特性的信息统计，包括饱和度、排队数量、空车数量、进出车辆详情信息。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E2D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D33D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D29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0B5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815D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403F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547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150E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呼叫</w:t>
            </w:r>
          </w:p>
          <w:p w14:paraId="4047E0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42B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呼叫台账</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C476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呼叫管理后台，记录全量实时网约车呼叫信息，并校验网约车与呼叫人手机关联信息，匹配和判定呼叫的有效性和重复性。</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317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EC9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A1C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1D86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233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54147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B73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3FE04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FF8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呼叫通知页面</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6F8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通过显示设备提供呼叫、排队实况的通知页面，部署在显示设备上。</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C0C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5DE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0D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F62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A9E4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A249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403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B55A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D12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小程序-呼叫通知及登记</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9B1B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通过小程序扫码实现网约车信息登记和向网约车发送通知等候信息。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B3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007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A8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47E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42B7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D653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A31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9589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9FC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小程序-等候信息查看</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3344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小程序显示当前呼叫车辆的排队信息页面。</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2E9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622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0D1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D6E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DD59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7EEA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29F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BCEF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455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小程序-网约车赋分提醒</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94C2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程序自动核验网约车当前评分，对优良差等的网约车行为进行旅客端信息提醒。</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FA45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34B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CE2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C0A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99D7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EA40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ED9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530F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排队</w:t>
            </w:r>
          </w:p>
          <w:p w14:paraId="4F63D3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E47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排队实况</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F25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实时显示当前排队等待信息，包括车辆等待列表，旅客等待列表。给出排队的详情，包括按照车位、按照时长进行排序，接入上客区摄像机画面实时查看。</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93D4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2FD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BB7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82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D6F61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D34B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E6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A3EC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D27A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排队预测评估</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8CE4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根据当前等待时间、当日平均上客时间，当前车辆的排队数量，对每个排队的预估等待时间进行动态评估，并实现全局研判，给出总耗时的分析。</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375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283B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F6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B51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E2F0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549B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BF1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0C37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0A7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排队干预</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E66E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可以根据需要，自定义调节指定车辆的排队顺序，并同步更新其他车辆的排队逻辑，包括插队、优先、后置等操作。</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4DB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5DC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979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CAB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27F1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FDD7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4734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4753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接客</w:t>
            </w:r>
          </w:p>
          <w:p w14:paraId="25ED548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3C2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接客实况</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5F85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接入上客点的实时画面，和实时信息，能够查看指定车位的上客详情，包括旅客和司机信息及画面，以及进出时间节点等。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5D1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9D2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01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73F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F65D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9292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9D2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1485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9F7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接客统计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331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对接客环节的情况进行统计分析，包括平均上客时间、平均进场离场时间，上客效率统计及排序等统计信息。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631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36F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9C7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B6C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1EE5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D6B1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71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20D41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FCE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异常提醒</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EEE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对上客点停放异常、接客时间超时、呼叫时间超长进行设置和记录，对插队行为进行记录，并对旅客和司机进行点对点通知提醒，并通过监控进行抓拍。</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C3C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AE7D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FC7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3828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7D09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45CF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99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4EE6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1D0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放行信息联动</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D079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与达到层道闸联动，对放行车辆动态设置临时通行权限。</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545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6A1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918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BF7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6D07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C1A5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7EF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83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消息通知管理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C8E2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通知消息定制</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3C01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配置网约车点对点语音、短信的通知信息逻辑。配置异常提醒的点对点的通知逻辑。</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20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BFF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F93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9D3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8E6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64EC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5DDD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0DF5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离场</w:t>
            </w:r>
          </w:p>
          <w:p w14:paraId="6E3906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BB26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离场台账</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6D7A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通过台站记录网约车车辆接收到通过平台指令开始到接客上客到驶离的全过程环节节点，关联对应异常提醒等信息记录。</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4F0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A56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B00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B2B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F7D4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662B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5C02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CADD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77E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离场信息统计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1F0D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对单一车辆离场过程的全信息进行统计，包括等候时长、离场时长。对全局车辆的离场信息进行统计，包括离场效率、平均耗时等信息进行综合呈现。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D52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C9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912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7C0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D49D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7925B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3CF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8421F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1C0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初始化网约车收费规则</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A110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根据网约车行为特点，与收费系统对接，预设动态收费规则配置。</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86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201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41A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E8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DFA3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C5F1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D01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(20)</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B039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赋分</w:t>
            </w:r>
          </w:p>
          <w:p w14:paraId="706549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赋码</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91F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网约车行为规范配置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1D4C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基于网约车行为规范，设置网约车评分细则，包括评分大类、评分细则、细则分值，赋值周期，赋码规则，初始化规则设计等内容。</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EED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434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09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15F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E179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BE32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98E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1383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14F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网约车行为匹配</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1FB0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集成网约车行为，包括节点记录，视频捕捉，人工判定等多种行为，提供单车的网约车行为规范匹配，形成行为记录。提供异常修正功能。</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6DB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901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C0C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BB94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9055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2D0D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AD4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AF7A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D2F8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网约车评分赋码台账</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2A6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根据评分周期，显示每个周期内的参与评分赋码行为的网约车的记录信息，台账信息，包括赋分记录，赋码记录，对应的行为记录；可以通过该模块调整赋分赋码结果。</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2173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EE1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A8F9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7D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A6B2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594A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FA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(23)</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89EB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FFD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网约车奖惩机制配置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D83C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根据网约车赋分赋码提供奖惩机制的配置，包括接单机制、排队机制、通告机制等分类。</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91C5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1F6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B3F3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133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7321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3BDF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99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(24)</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EBCA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接单记录与行为分析</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18491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历史接单</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8B89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提供全时期的接单记录信息台站，支持多维度的搜索和查看，包括按时间段、按车辆等，合并全过程节点，能够一表总览历史接单。</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EA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192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949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5AE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8315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443D4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DA7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(25)</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B406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907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行为分析</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7CE0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根据历史接单行为，提供行为分析可视化图表，包括接单偏好、时间分布、日期分布、耗时、效率、频次等信息，能够关联航班信息进行关联信息查看，也能根据统计指标按照大小进行查看。</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B68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57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7D8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7BA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C110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AC69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101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92FDB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出租车管理调度</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F7D5A">
            <w:pPr>
              <w:keepNext w:val="0"/>
              <w:keepLines w:val="0"/>
              <w:pageBreakBefore w:val="0"/>
              <w:widowControl/>
              <w:kinsoku/>
              <w:wordWrap/>
              <w:overflowPunct/>
              <w:topLinePunct w:val="0"/>
              <w:autoSpaceDE/>
              <w:autoSpaceDN/>
              <w:bidi w:val="0"/>
              <w:adjustRightInd/>
              <w:snapToGrid/>
              <w:spacing w:line="320" w:lineRule="exact"/>
              <w:jc w:val="lef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B239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841B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998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9AFE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78C6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8912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1D8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3FF5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出租车决策模型搭建</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A45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数学逻辑建模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BBBF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建设基于出租车决策研判的科学逻辑算法数学模型。</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B96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D3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47C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2B6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71AA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3E3E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675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35F3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244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模型初始化</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57DF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基于数据模型及台州机场的实际符合情况，配置和梳理初始化数据参数。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088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C05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425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0BB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65A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4B82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6D08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40EF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A5B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动态模型开发</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1351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基于数据模型的软件代码开发形成软件计算框架。</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D98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065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BA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44AD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DEB3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B9E0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EF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2988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272D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可视化参数模型界面</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0F57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基于可视化的动态关联参数的调整页面，能够通过直观的调整参数及动态影响参数的信息反馈。</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7689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9DB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AE8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658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0C24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182F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320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C426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自优化评估系统管理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A24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收益均衡评估设置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79EC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对出租车收益的选择进行系统化的评估建模，建设评判依据和收益均衡评估规则。</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91D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445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415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FB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1525D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A729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B6CE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B227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4C26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收益评估模型开发</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3AA0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对收益平衡规则进行代码的开发形成软件计算框架。</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D4E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E40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AF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7E68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D7C2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0F330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B2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69365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0A7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车道初始化规则设置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CD55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对收益均衡初始化参数依据进行梳理和配置。</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09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2A72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617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660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75F6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D30B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BD9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A7AB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DBC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蓄车区放行规则设置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D54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基于台州机场蓄车区和蓄车区车道的功能，进行配置和逻辑设计以及对应的软件开发。</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35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FDF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E8F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293D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D62A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FD86B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596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1C8C5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B5AA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可视化调控页面</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1224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建设可视化放行规则调控和收益均衡评估的调整页面，能够实现动态的调整和全局结果的同步变更。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91A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1.6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6CC7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0EC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9CD3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2E69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38AE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7F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C6B07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蓄车</w:t>
            </w:r>
          </w:p>
          <w:p w14:paraId="3576EC6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728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可视化蓄车实况</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4550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对蓄车区每个车道进行可视化呈现，对车道属性，车辆数量进行直观的呈现，对接道闸系统，可以精准识别每个车的排队位置，并能够支持车辆的详情查看。</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086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1.6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A02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BDF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A9C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826A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7A12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71EF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A5775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BC0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蓄车信息统计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28D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对蓄车的情况信息统计包括进出时间、排队时间等信息。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EFB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3CE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7AE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0FC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4618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5A0B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E9F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4E0A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放行</w:t>
            </w:r>
          </w:p>
          <w:p w14:paraId="3AC524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881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放行台账</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1A58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根据优先级配置的放行逻辑，记录每次出租车放行的节点信息，包括两次道闸离场的时间。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5F5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B1E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825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594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815D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A630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87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CC5A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2832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放行干预</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8CA7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可以人为调整放行逻辑，实现手动对车道的放行，也实现对二次出场的道闸放行。</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322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A08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3E7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087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8131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C5E6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CA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E0AF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1BB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放行配置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219D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对两次道闸放行关系进行配置，包括上客区余量设置，二次道闸出口余量等信息配置。</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8EA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0FC8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FA64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6FC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09B1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AB51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77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71119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EC5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放行信息联动</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36C6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与达到层道闸联动，对放行车辆设置动态临时通行权限。</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38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ACD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9D9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5AB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8F2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AE58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F4A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7D2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蓄车放行提醒管理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7A6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入场提醒</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5843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根据蓄车优先级的配置，自动计算蓄车规则的实际计算结果，确定蓄车车道。</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BBF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ACF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51C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FDE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4629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73AB0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AA7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A939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蓄车记录与等候分析</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AB5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蓄车记录</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ED6A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提供全时期的蓄车放行记录信息台站，支持多维度的搜索和查看，包括按时间段、按车辆等，合并全过程节点，能够一表总览历史接单。</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E23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CDF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707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648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60B0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3471E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A15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2F5B9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5B6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行为分析</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47EE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根据历史接单行为，提供行为分析可视化图表，包括蓄车偏好、时间分布、日期分布、耗时、效率、频次、车道使用效率等信息，能够关联航班信息进行关联信息查看，也能根据统计指标按照大小进行查看。</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87C11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7A5E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08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732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8C4E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BF53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E82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082CC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公交大巴车管理调度</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26286">
            <w:pPr>
              <w:keepNext w:val="0"/>
              <w:keepLines w:val="0"/>
              <w:pageBreakBefore w:val="0"/>
              <w:widowControl/>
              <w:kinsoku/>
              <w:wordWrap/>
              <w:overflowPunct/>
              <w:topLinePunct w:val="0"/>
              <w:autoSpaceDE/>
              <w:autoSpaceDN/>
              <w:bidi w:val="0"/>
              <w:adjustRightInd/>
              <w:snapToGrid/>
              <w:spacing w:line="320" w:lineRule="exact"/>
              <w:jc w:val="lef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1C4D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9C40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321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28AD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9628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A690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5F9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17A3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公交信息发布</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16D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班线信息登录</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B025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根据预设的公交班线信息进行同步登记并发布看板，并提供清单查看、动态修改等功能，提供可操作页面对班线发布信息调整。</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C07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CDB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6C1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2F2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C14C7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6D73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9D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C17C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B82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电子站牌配置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A1D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基于电子显示设备的接口，配置电子站牌的内容，包括可控区域的分区占用，分区预设内容等，设置集运扫码页面。</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050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710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168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91A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8E05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75DC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9D5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35" w:type="dxa"/>
            <w:vMerge w:val="restart"/>
            <w:tcBorders>
              <w:top w:val="single" w:color="000000" w:sz="4" w:space="0"/>
              <w:left w:val="single" w:color="000000" w:sz="4" w:space="0"/>
              <w:bottom w:val="nil"/>
              <w:right w:val="single" w:color="000000" w:sz="4" w:space="0"/>
            </w:tcBorders>
            <w:shd w:val="clear" w:color="auto" w:fill="auto"/>
            <w:vAlign w:val="center"/>
          </w:tcPr>
          <w:p w14:paraId="5C1502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公交进场预警</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4F3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进场预测</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6CA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基于班线计划和定位信息对进入机场的公交车辆进行时刻预测。</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DF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0D4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C99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F0EA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C1ED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3E67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70A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935" w:type="dxa"/>
            <w:vMerge w:val="continue"/>
            <w:tcBorders>
              <w:top w:val="single" w:color="000000" w:sz="4" w:space="0"/>
              <w:left w:val="single" w:color="000000" w:sz="4" w:space="0"/>
              <w:bottom w:val="nil"/>
              <w:right w:val="single" w:color="000000" w:sz="4" w:space="0"/>
            </w:tcBorders>
            <w:shd w:val="clear" w:color="auto" w:fill="auto"/>
            <w:vAlign w:val="center"/>
          </w:tcPr>
          <w:p w14:paraId="26684DB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47B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站台可用评估</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96A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对当前下课站台的在特定时间下的空闲状态进行评估。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F0C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90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BC4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5EC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2D6C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1AF5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8"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DCC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935" w:type="dxa"/>
            <w:vMerge w:val="continue"/>
            <w:tcBorders>
              <w:top w:val="single" w:color="000000" w:sz="4" w:space="0"/>
              <w:left w:val="single" w:color="000000" w:sz="4" w:space="0"/>
              <w:bottom w:val="nil"/>
              <w:right w:val="single" w:color="000000" w:sz="4" w:space="0"/>
            </w:tcBorders>
            <w:shd w:val="clear" w:color="auto" w:fill="auto"/>
            <w:vAlign w:val="center"/>
          </w:tcPr>
          <w:p w14:paraId="6A633CC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A689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下客位安排评估</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3964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基于多个要素，多可以下客的临时停车点位进行按照时间进行分析和动态呈现。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235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439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3E0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60F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8D59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58B5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36"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0A1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935" w:type="dxa"/>
            <w:vMerge w:val="continue"/>
            <w:tcBorders>
              <w:top w:val="single" w:color="000000" w:sz="4" w:space="0"/>
              <w:left w:val="single" w:color="000000" w:sz="4" w:space="0"/>
              <w:bottom w:val="nil"/>
              <w:right w:val="single" w:color="000000" w:sz="4" w:space="0"/>
            </w:tcBorders>
            <w:shd w:val="clear" w:color="auto" w:fill="auto"/>
            <w:vAlign w:val="center"/>
          </w:tcPr>
          <w:p w14:paraId="1435BE1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2A7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安全系数评估</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8AE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对每个班线公交可以在下客点的情况给出安全评估系数，进行系数参数搭建。</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69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8BC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036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D1B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AA04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EF7F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13B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B16A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停车</w:t>
            </w:r>
          </w:p>
          <w:p w14:paraId="7532DB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实况</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267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停车实况</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5C2D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接入停车道闸信息，记录公交车停车区和大型车车辆的信息的实况信息，键入监控画面实时呈现公交大巴停车的图像。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0A4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50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957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62E8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32C3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6268C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DABE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482D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5A7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停车信息统计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BF81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对公交车大型车的停车进行统计。</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AE6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38F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2EA3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72FC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53FC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1E117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7F2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5B51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集运需求管理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9D5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集运呼叫台账</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B612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呼叫管理后台，记录全量大巴车、公交车呼叫信息，和执行状态信息。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26B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61A2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B30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30C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DBE8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5BAFD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D8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58B6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8D75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小程序-呼叫登记</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4B4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通过小程序扫码实现大巴车/公交车信息登记和向大巴车和公交车调度发送信息。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6FF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E51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E14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641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57C4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ECDB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901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78BD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BDB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小程序-等候信息查看</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8C78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小程序显示当前呼叫车辆的排队信息页面。</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E7B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7C8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4C5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C10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BDD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89F7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C6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9D60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等候</w:t>
            </w:r>
          </w:p>
          <w:p w14:paraId="5704B0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5DF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等候管理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7AD1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显示当前对大巴车叫车的等候信息，以及预计安排的停车放行信息，可以对等候的大巴车进行干预管理。</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B1A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841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754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035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BA72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9DD9D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EBD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DEE5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BDE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车位忙闲自动评估</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850D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根据公交车班线发车时刻表，对停车位的忙闲状态进行评估和预估，对是否开放给大巴车使用进行评估和预警。忙闲评估规则根据可以实现自动调整优化。</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AC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425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D14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2C0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DD6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A727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EFA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E528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实时上客分析</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45F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车位上车信息</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5178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统计大巴车上客实况信息，接入公交大巴车位实时画面信息。对节点信息进行统计。</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C47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320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4B09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E0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20B1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20D78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332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D27F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49B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预警信息</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09F4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对超时等候大巴车进行评估，生成预警信息，并通过点对点的方式进行推送。</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020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2F72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4C00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9E2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8B9B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9B21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72C4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A053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通知</w:t>
            </w:r>
          </w:p>
          <w:p w14:paraId="06F26B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B7C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大巴车通知</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14198">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可以向满足放行条件的大巴车司机发送对应的放行通知短信和语音消息。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F82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0.6</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DD6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1E73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AF0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A2C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55EA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E75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622D4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2450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小程序-等候通知反馈</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E84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经车位忙闲自动评估，对呼叫的人员发送评判消息，如果已经放行，对预警信息进行发送。</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04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726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045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841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48E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54E67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D39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98C3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历史</w:t>
            </w:r>
          </w:p>
          <w:p w14:paraId="0C6925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记录</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588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大巴调度记录</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A3C4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提供历史大巴调度的记录行为，包括是否相应，停车位借用情况等内容。</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8F5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0.6</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00B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BAB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10A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CFDC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8C439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182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(19)</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4CDB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ABB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行为统计分析</w:t>
            </w:r>
          </w:p>
        </w:tc>
        <w:tc>
          <w:tcPr>
            <w:tcW w:w="4887" w:type="dxa"/>
            <w:tcBorders>
              <w:top w:val="single" w:color="000000" w:sz="4" w:space="0"/>
              <w:left w:val="single" w:color="000000" w:sz="4" w:space="0"/>
              <w:bottom w:val="nil"/>
              <w:right w:val="single" w:color="000000" w:sz="4" w:space="0"/>
            </w:tcBorders>
            <w:shd w:val="clear" w:color="auto" w:fill="auto"/>
            <w:vAlign w:val="center"/>
          </w:tcPr>
          <w:p w14:paraId="75AE028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对历史大巴调度行为，包括上下客时间，高峰时间，包括班线、时间等角度进行统计分析，辅助支撑忙闲评估。</w:t>
            </w:r>
          </w:p>
        </w:tc>
        <w:tc>
          <w:tcPr>
            <w:tcW w:w="1127" w:type="dxa"/>
            <w:tcBorders>
              <w:top w:val="single" w:color="000000" w:sz="4" w:space="0"/>
              <w:left w:val="single" w:color="000000" w:sz="4" w:space="0"/>
              <w:bottom w:val="nil"/>
              <w:right w:val="single" w:color="000000" w:sz="4" w:space="0"/>
            </w:tcBorders>
            <w:shd w:val="clear" w:color="auto" w:fill="auto"/>
            <w:vAlign w:val="center"/>
          </w:tcPr>
          <w:p w14:paraId="506F52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0.8</w:t>
            </w:r>
          </w:p>
        </w:tc>
        <w:tc>
          <w:tcPr>
            <w:tcW w:w="909" w:type="dxa"/>
            <w:tcBorders>
              <w:top w:val="single" w:color="000000" w:sz="4" w:space="0"/>
              <w:left w:val="single" w:color="000000" w:sz="4" w:space="0"/>
              <w:bottom w:val="nil"/>
              <w:right w:val="single" w:color="000000" w:sz="4" w:space="0"/>
            </w:tcBorders>
            <w:shd w:val="clear" w:color="auto" w:fill="auto"/>
            <w:vAlign w:val="center"/>
          </w:tcPr>
          <w:p w14:paraId="49FBA6D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6F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1FF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4CE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FE46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14B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5F39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D6045">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FB20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A272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2F1A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BCD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3E257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D8DD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871"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FF8B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（二）</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4C61DC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陆侧交通预测预警评估子系统</w:t>
            </w:r>
          </w:p>
        </w:tc>
        <w:tc>
          <w:tcPr>
            <w:tcW w:w="48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CB9ECE">
            <w:pPr>
              <w:keepNext w:val="0"/>
              <w:keepLines w:val="0"/>
              <w:pageBreakBefore w:val="0"/>
              <w:widowControl/>
              <w:kinsoku/>
              <w:wordWrap/>
              <w:overflowPunct/>
              <w:topLinePunct w:val="0"/>
              <w:autoSpaceDE/>
              <w:autoSpaceDN/>
              <w:bidi w:val="0"/>
              <w:adjustRightInd/>
              <w:snapToGrid/>
              <w:spacing w:line="320" w:lineRule="exact"/>
              <w:jc w:val="lef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C7FC6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0ACE6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1A177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ECBB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BA95A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8852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491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44054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交通需求评估管理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69DB2">
            <w:pPr>
              <w:keepNext w:val="0"/>
              <w:keepLines w:val="0"/>
              <w:pageBreakBefore w:val="0"/>
              <w:widowControl/>
              <w:kinsoku/>
              <w:wordWrap/>
              <w:overflowPunct/>
              <w:topLinePunct w:val="0"/>
              <w:autoSpaceDE/>
              <w:autoSpaceDN/>
              <w:bidi w:val="0"/>
              <w:adjustRightInd/>
              <w:snapToGrid/>
              <w:spacing w:line="320" w:lineRule="exact"/>
              <w:jc w:val="lef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7940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A4E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C276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EC6E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CF91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6937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363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93A7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交通流量预报</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714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预测模型计算</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AC00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基于交通量影响参数搭建计算模型，对接口数据进行计算。</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F30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D82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D4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7FF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90E4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3BD5A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39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1106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9FC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流量预测预报</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303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基于计算结果给出不同时间、不同日期下的需求。</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4B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459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2DB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2522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7284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2BE3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5ACA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9AD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运力调度决策</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5FDE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出行选择模型计算</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5149C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根据交通流量预测数据与历史出行需求数据，对未来一段时间出行需求进行预测。结合当前储备的巡游出租车，网约车数量进行调度，可对接第三方网约、出租车企业或平台进行运力调度。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69B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22C7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A402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920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C91F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3CCF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5"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ECF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8B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停车需求分析</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7F2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停车分布情况模型计算</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A85D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针对历史停车数据分析过往一段时间内的停车场运营情况、包括停车场平均、分季节、分时段的利用率、营收情况、出入拥堵情况等辅助长期的管理决策。结合历史停车数据与交通数据，对未来一段时间内的停车需求进行评估，针对可能的车位不足的情况进行预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AF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3AE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27B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BAB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98C3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2FD5D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32F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210F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交通影响评价</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DFF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交通趋势影响变化模型计算</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97EA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结合机场外部道路交通情况与航班运行数据，分析出入港车辆对机场周边交通影响的情况，辅助有关部门进行管理决策。</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015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F1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205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4E7A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0C92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183A4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E99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4F56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6E6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可视化趋势影响</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9F1D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基于地图和三维模型，对未来交通趋势影响可视化呈现。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C48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07D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C4E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71E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6F59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9C4A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F001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D363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交通预警管理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15DB4">
            <w:pPr>
              <w:keepNext w:val="0"/>
              <w:keepLines w:val="0"/>
              <w:pageBreakBefore w:val="0"/>
              <w:widowControl/>
              <w:kinsoku/>
              <w:wordWrap/>
              <w:overflowPunct/>
              <w:topLinePunct w:val="0"/>
              <w:autoSpaceDE/>
              <w:autoSpaceDN/>
              <w:bidi w:val="0"/>
              <w:adjustRightInd/>
              <w:snapToGrid/>
              <w:spacing w:line="320" w:lineRule="exact"/>
              <w:jc w:val="lef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6BF5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929C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0B41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A8F6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9BD6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DDC3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3401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9A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预警</w:t>
            </w:r>
          </w:p>
          <w:p w14:paraId="64D1542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大厅</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40F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预警大厅</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2839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提供交通流量预警的预警结果汇总的信息查看和历史预测行为和实际情况的比对情况。</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FF2E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A09C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6D01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66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80C2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7078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7FB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497A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饱和</w:t>
            </w:r>
          </w:p>
          <w:p w14:paraId="3A1E18C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预警</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1A7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出行供给过载预警</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9AFB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基于出行供给过载预警模型对当前站前情况进行采集和评估。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9CBF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980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3E2F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120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DF4D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BAF5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2C64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DC8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不足</w:t>
            </w:r>
          </w:p>
          <w:p w14:paraId="778CDB8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预警</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606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通行需求不足预警</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A76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基于通行需求不足预警模型对当前站前情况进行采集和评估。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7A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027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E13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EB4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2FDA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4612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C1C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6DE3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预警信息推送</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6280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平台级推送</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3422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建立标准接口，向公交、网约、出租等运营公司平台推送。</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514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0.8</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0BD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68B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6FE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AE7E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2434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ADAB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51B2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2D5F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预警推送</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BD14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向指挥中心运营预警模块推送。</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58E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0F98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9F98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488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CF30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892EC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AF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7A58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D74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点对点推送</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4D63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向满足条件范围内出租车司机进行推送。</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F022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0.5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E7F5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CE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21AE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7249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B141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E8DF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3D19E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61215">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C8E3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63AA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C920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4D11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5983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6195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F8C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（三）</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5D4E3D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指挥中心综合运营管理子系统</w:t>
            </w:r>
          </w:p>
        </w:tc>
        <w:tc>
          <w:tcPr>
            <w:tcW w:w="488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43A208">
            <w:pPr>
              <w:keepNext w:val="0"/>
              <w:keepLines w:val="0"/>
              <w:pageBreakBefore w:val="0"/>
              <w:widowControl/>
              <w:kinsoku/>
              <w:wordWrap/>
              <w:overflowPunct/>
              <w:topLinePunct w:val="0"/>
              <w:autoSpaceDE/>
              <w:autoSpaceDN/>
              <w:bidi w:val="0"/>
              <w:adjustRightInd/>
              <w:snapToGrid/>
              <w:spacing w:line="320" w:lineRule="exact"/>
              <w:jc w:val="lef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4CCC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2F60F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045266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122A3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6ACB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8FDC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BC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4A391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数字运营中心</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96D67">
            <w:pPr>
              <w:keepNext w:val="0"/>
              <w:keepLines w:val="0"/>
              <w:pageBreakBefore w:val="0"/>
              <w:widowControl/>
              <w:kinsoku/>
              <w:wordWrap/>
              <w:overflowPunct/>
              <w:topLinePunct w:val="0"/>
              <w:autoSpaceDE/>
              <w:autoSpaceDN/>
              <w:bidi w:val="0"/>
              <w:adjustRightInd/>
              <w:snapToGrid/>
              <w:spacing w:line="320" w:lineRule="exact"/>
              <w:jc w:val="lef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8311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3C9C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546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73BE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07DF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30D7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5D5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07EB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综合运营中心</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BF9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综合数据看板</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C2F6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提供可视化的事件统计、值班统计、航班信息统计、停车场运力统计、客流量统计、车流量统计、路况统计、监控视频等数据看板信息。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8949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723D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3983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659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DFCC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9CCE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950E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EABC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95B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数据管理后台</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E079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提供运营看板无法对接的基础信息录入。</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94F7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0.3</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0F09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0C7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639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0B6D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1012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C69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D452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智慧调度管理中心</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9ABE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调度统揽中心</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131D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接入多维车辆调度系统，对调度实况信息及数据进行集成和展示，可以直观的查看到调度的实际清单和调度等待及需求信息，以及调度的相关预警。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C952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0A0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AAB0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95B8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FA66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E44E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7528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7ACDE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D25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调度指令下发</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A052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可以对多维车辆调度系统进行可视化的调度指令的管理和下发，能够对多个环节进行干预指引，并且响应需求的调度指令。</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5C73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BAF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85E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013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985D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E8A1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FF1A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61AB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179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通行配置清单</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563C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实现站前全量的道闸一对一状态和权限的清单和控制的可视化界面。</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23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0.1</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DC44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EEED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BDEE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F732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4F8E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5D1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6E18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3D20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白名单和初始化配置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F060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可以根据指定道闸，设置对应的号牌，包括通行有效时间区间、持续天数等内容设置白名单；对预设的初始化通行车辆进行权限配置，按照车辆类型进行权限预设。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0C03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0.5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8C2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9A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934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978A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E4A6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80D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844E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3FE3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应急调度</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8348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根据调度过程中的异常情况进行接入进行标注清单和地图可视化展示，并接入道闸控制，形成应急操作，并形成记录。</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8A2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96C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BFF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C977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BE9D4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4D51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BB0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1DF4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一图统揽驾驶舱</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A4CF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监控的落图可视化</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35A1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实现模型上的动态可视，可交互。接入既有的监控，通过平台级对接或者接口对接方式，实现实时和历史画面对接。</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DF6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0.2</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531F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39D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A79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8BE20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6D47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083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CC09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6A2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道闸落图可视化</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D367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实现模型上的动态可视，可交互。接入道闸的控制和状态查看权限。</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3512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0.2</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3A5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869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6A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6B3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E26B1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424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F1243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0B8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车辆信息落图可视化</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01A9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主要是公交车平台、出租车平台接入，在模型上实现动态可视，可交互。</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09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0.2</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3AB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6729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21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05FE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FEDA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F829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90A7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FE1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多类型一张图</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2126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基础设施的标注、车辆动态信息、前端设备、预警事件汇总的一张驾驶舱图。</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3A0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F00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AE6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434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D879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3540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A8A4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C4A4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站前区域三维建模</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F88E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综合信息设计、场景弹窗、标注和按钮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7DA1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对三维场景中设备弹窗、告警弹窗、标注、按钮等样式进行设计。</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9B85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B77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043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E4D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9E5D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94AF0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95"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83D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(13)</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2126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39832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外观建模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C1EFB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机场、机场前广场、机场范围内的露天停车场环境进行三维模拟，展示机场范围内主体建筑及地面的外观轮廓，以及停车场区域内地面标线、停车位标线。机场航站楼及候机大厅整体建筑外观使用科幻线框风格，简模示意。露天停车场路面、机场前广场使用写实风格，中模示意。</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59C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1.3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00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4B0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BE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978E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6C21B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941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(14)</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158F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902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停车场入口建模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A103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对露天停车场的出入口岗亭、闸机及附属设备进行三维模拟，写实风格，中模示意，包含岗亭，道闸。</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AC1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1.5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006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9E3B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A453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AEC5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FB93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2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4ED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746B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C75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车辆建模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E046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对以下五种车辆进行三维模拟，每种车辆分别建立一种三维模型。写实风格，中模示意。车辆比例应与机场、停车场、闸机适应。</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1.社会车辆（小轿车）；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2.网约车（特殊贴图小轿车）；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3.出租车（特殊贴图小轿车）；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4.公交车（特殊贴图大客车）；</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5.大巴车（大客车）。</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67B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B1A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C3F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4C00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87FE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A5B4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7C6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(16)</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F8482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FA4B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功能交互</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D721C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1.基础功能：场景加载，渲染，环境光特效，快速切换视角及定位模型。</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2.交互功能：支持鼠标交互切换场景，交互数据面板或者表盘等，悬浮提示或单双击指令下发等功能，点击设备弹出面板等交互事件。</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3DA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D72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37E1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AA0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C249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3244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38"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7C2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(17)</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B51EF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1821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动画效果</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5E11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制作以下项目相关动画：</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1.出入口闸机开、闭动画，以2种闸机计，共4段动画；</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2.车辆运行动画，根据数据对接进行车辆定位，移动过程中播放。每种车辆1段，共5段动画；</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3.场景内快速定位动画，包括场景默认视角、5个停车场主视角、机场前广场主视角（1个）、停车场出入口视角（15个）、车辆跟随视角（5个）</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4.全场漫游动画1段。</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C129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1.3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88F6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1E91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A3D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33EB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A5C0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5"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09B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(18)</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F57A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AB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模型数据对接</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0241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对主页面进行前端开发、数据对接，包括页面及场景中数据面板包含接口联调、测试、调整费用。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数据对接具体功能包括：</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1.6个二维面板中的数据对接</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2.闸机开闭远程控制</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3.进场车辆信息、运动定位、停车位定位。</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595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1.3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38C9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0AF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1F4B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48F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E243E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9A8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ABE5F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运营事件中心</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2C44E">
            <w:pPr>
              <w:keepNext w:val="0"/>
              <w:keepLines w:val="0"/>
              <w:pageBreakBefore w:val="0"/>
              <w:widowControl/>
              <w:kinsoku/>
              <w:wordWrap/>
              <w:overflowPunct/>
              <w:topLinePunct w:val="0"/>
              <w:autoSpaceDE/>
              <w:autoSpaceDN/>
              <w:bidi w:val="0"/>
              <w:adjustRightInd/>
              <w:snapToGrid/>
              <w:spacing w:line="320" w:lineRule="exact"/>
              <w:jc w:val="lef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155E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8F97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9AF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1489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370D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13B9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E72A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89548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预警</w:t>
            </w:r>
          </w:p>
          <w:p w14:paraId="35EFB45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中心</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C16C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预警信息</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2306F">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接入本项目建设的四类主预警，包括通行需求不足预警、出行供给过载预警、交通权限异常预警、到达层上客异常预警，对预警的类型、阶段、时间和当前状态进行详情查看和主动提示。</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F9A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0.8</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4A7D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F57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2B2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9A5A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C3F2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7CD4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93A37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150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预警决策</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B6972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基于预警信息内容，执行预警决策，可以撤销预警，转成事件，并设置预警免疫时间等内容。</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6A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1.2</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FD48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305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1DEE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B95C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3A14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8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14EB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E107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45A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预警处置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449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基于预警情况执行预警处置策略，包括手动预警处置和自动预警处置。</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可以实现与预警对应的设备的手动操作；包括道闸的控制、广播的控制、情报板的设置、信息推送等内容。</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9D2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1.2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6E4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D0F5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F7A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6C3A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1B14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1AE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7B907">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A6E4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预警初始化设置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D75C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预警设置包括通行需求不足预警、出行供给过载预警、交通权限异常预警、到达层上客异常预警的触发条件，对内部涉及到的音频识别、图像识别、算法进行预制。</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1450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0AA3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97A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C8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B9C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F42A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9BB5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566C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1A01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自动处置配置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8E070">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提供网约车共享停车位策略配置、公交车闲时共享策略配置、出租车双排放行策略。</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9DFC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FDA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CAE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C5F6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0385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F19A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CE9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3AD9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A50D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自动处置评估</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F1225">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对自动处置效果进行模拟分析，对自动处置的影响进行评估。</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62E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1.0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BFEE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A90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95D5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CBE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1E6F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4263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D7AF3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事件</w:t>
            </w:r>
          </w:p>
          <w:p w14:paraId="330D22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4615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事件信息</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8222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汇聚预警生成事件的信息清单和详情。</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85B4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29BB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DC73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A440C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B866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31E7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E91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CDD0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CEC2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事件转派</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DB73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事件可以通过短信进行推送到指定人处，包括设置事件的预览页面。</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B7BB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7871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662C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76C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771ED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44FE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9AA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B5BD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628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事件闭环</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39B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填写事件处置的结果信息。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578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0.2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4AC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41C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4D36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07AF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A5D3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7"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31D4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0D13A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综合数据管理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E0645">
            <w:pPr>
              <w:keepNext w:val="0"/>
              <w:keepLines w:val="0"/>
              <w:pageBreakBefore w:val="0"/>
              <w:widowControl/>
              <w:kinsoku/>
              <w:wordWrap/>
              <w:overflowPunct/>
              <w:topLinePunct w:val="0"/>
              <w:autoSpaceDE/>
              <w:autoSpaceDN/>
              <w:bidi w:val="0"/>
              <w:adjustRightInd/>
              <w:snapToGrid/>
              <w:spacing w:line="320" w:lineRule="exact"/>
              <w:jc w:val="lef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BF1C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35A4">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F39A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4BBC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6423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D160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00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6056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基础数据管理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8BF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设施点位编目</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FF80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通过可视化和列表配置机场基础设施点位的信息。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C36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6C5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8F6FF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1866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8E0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F59E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EDB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166C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E002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固定车辆信息</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9A62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配置车辆的信息和车辆类型。</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2A4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7C6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F74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CEC2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F0AA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29A13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A42CA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768E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38BA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人员基础信息</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5455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配置人员信息，对应人员可以发起车辆信息维护。</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34C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0.5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8B27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476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F86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1A00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4104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BE26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B550F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037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接口信息服务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198DD">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接入本系统的接口管理。</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FCE8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0.8</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BC71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7D4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FA5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0F96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B5CD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EB22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9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4391D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报表管理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3C1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动态表单创建</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E32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配置自定义表单。</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00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0.8</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820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25F7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B5A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D450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B299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63C0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986D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4274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动态表单本地关联</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E8F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本地化数据清单关联配置。</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2F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E13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63D9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087F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A2292">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A411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A8C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9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50AC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0648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自动报表生成</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0E50E">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根据内容和时间自动定时生成表单。</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F729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ADE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71EE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C0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56C9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7C83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B4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5065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可视设备发布管理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6C87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电子屏内容管理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A2B9">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接入机场内显示屏管理，和对屏幕功能初始化，对接相应业务系统。实现快速的可视化发布。</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ACA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83E3C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58C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5A54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EC38C">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5A577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4A50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9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CD20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系统</w:t>
            </w:r>
          </w:p>
          <w:p w14:paraId="66397E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管理</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0C39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系统管理</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3408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主要用于对系统基础功能的配置维护，包括系统的用户管理、角色管理、机构管理、菜单管理等。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51FC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E6B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FEE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DE41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1A03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D720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6"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329E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188305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外部接口对接</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DCA45">
            <w:pPr>
              <w:keepNext w:val="0"/>
              <w:keepLines w:val="0"/>
              <w:pageBreakBefore w:val="0"/>
              <w:widowControl/>
              <w:kinsoku/>
              <w:wordWrap/>
              <w:overflowPunct/>
              <w:topLinePunct w:val="0"/>
              <w:autoSpaceDE/>
              <w:autoSpaceDN/>
              <w:bidi w:val="0"/>
              <w:adjustRightInd/>
              <w:snapToGrid/>
              <w:spacing w:line="320" w:lineRule="exact"/>
              <w:jc w:val="lef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52D7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470B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BADAE">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D4F2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2297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1DFA4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5BAE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A82DFB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航班详情接口</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4431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与航管信息系统对接。</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1527A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6756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FBF4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7313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66B4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52B1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E5C8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D4471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停车场道闸接口</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1CB493">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与道闸管理系统对接。</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8D17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E2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7C1B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36B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D1EA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71FF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82B3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(3)</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3D3918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地下停车场收费系统</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8D0C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与地下停车场收费系统对接。</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ABBF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0.5</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EEAA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FCA0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71BB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DEEC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65C02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5B5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13C62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陆侧监控接口</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3F7AC">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与陆侧视频平台对接。</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884B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0.7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EF60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55E6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6CEB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EAD16">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D595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87C7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DB297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公交车调度平台</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7EA81">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与具有机场线路的公交企业调度平台对接。</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FEF0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7898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7787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194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0AB11">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F51D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0CBB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(6)</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C4101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出租车调度平台</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FF917">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与出租车调度平台对接。</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F9D6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A53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616A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9EC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1820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FD8B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8B7B">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63E68F3">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网约车平台</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0F0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与网约车平台对接。</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1395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4BB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F842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12F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3546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C705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D24F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D6BCA1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AOC接口</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40B7B">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值班信息、气象信息。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EF6D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2925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6A76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92865">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A2D23">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226B2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36C9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(9)</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969A1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陆侧可视化显示设备接口</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D012A">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对接引导显示设备信息，可以发布引导信息等。</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C3414">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0.7</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CA7A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F4FB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4817">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A22B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3D3BF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C9DD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(10)</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71327C">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周边路况信息</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65606">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主要是机场路附近的路况信息。</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F86F9">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 xml:space="preserve">0.8 </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C4886">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4464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363C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C86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458C8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FBC80">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(11)</w:t>
            </w: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5123E3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地面停车收费系统对接及二次开发</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BD7D2">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与地面停车系统功能和数据对接，并开展二次开发功能。</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EAE1">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0.4</w:t>
            </w: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278E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人/月</w:t>
            </w: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FD52">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F52C8">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A569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79D6B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8"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AF66A9">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32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BB4A43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小计：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83BD2">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7605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883A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556D">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A7DDD">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9E9D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r>
      <w:tr w14:paraId="0CCA1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8" w:hRule="atLeast"/>
        </w:trPr>
        <w:tc>
          <w:tcPr>
            <w:tcW w:w="8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67F80">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3220" w:type="dxa"/>
            <w:gridSpan w:val="2"/>
            <w:tcBorders>
              <w:top w:val="nil"/>
              <w:left w:val="single" w:color="000000" w:sz="4" w:space="0"/>
              <w:bottom w:val="single" w:color="000000" w:sz="4" w:space="0"/>
              <w:right w:val="single" w:color="000000" w:sz="4" w:space="0"/>
            </w:tcBorders>
            <w:shd w:val="clear" w:color="auto" w:fill="auto"/>
            <w:vAlign w:val="center"/>
          </w:tcPr>
          <w:p w14:paraId="34674BA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合计：</w:t>
            </w:r>
          </w:p>
        </w:tc>
        <w:tc>
          <w:tcPr>
            <w:tcW w:w="48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69AED">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2F840">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5A18F">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69A5">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83FAA">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623C4">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r w14:paraId="1126E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8" w:hRule="atLeast"/>
        </w:trPr>
        <w:tc>
          <w:tcPr>
            <w:tcW w:w="897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6BBA47F">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共计：</w:t>
            </w:r>
          </w:p>
        </w:tc>
        <w:tc>
          <w:tcPr>
            <w:tcW w:w="11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6098A">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9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EDB7B">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2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6D308">
            <w:pPr>
              <w:keepNext w:val="0"/>
              <w:keepLines w:val="0"/>
              <w:pageBreakBefore w:val="0"/>
              <w:widowControl/>
              <w:kinsoku/>
              <w:wordWrap/>
              <w:overflowPunct/>
              <w:topLinePunct w:val="0"/>
              <w:autoSpaceDE/>
              <w:autoSpaceDN/>
              <w:bidi w:val="0"/>
              <w:adjustRightInd/>
              <w:snapToGrid/>
              <w:spacing w:line="320" w:lineRule="exact"/>
              <w:jc w:val="center"/>
              <w:rPr>
                <w:rFonts w:hint="eastAsia" w:ascii="宋体" w:hAnsi="宋体" w:eastAsia="宋体" w:cs="宋体"/>
                <w:i w:val="0"/>
                <w:iCs w:val="0"/>
                <w:color w:val="000000"/>
                <w:sz w:val="22"/>
                <w:szCs w:val="22"/>
                <w:highlight w:val="none"/>
                <w:u w:val="none"/>
              </w:rPr>
            </w:pPr>
          </w:p>
        </w:tc>
        <w:tc>
          <w:tcPr>
            <w:tcW w:w="10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4CD0E">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center"/>
              <w:rPr>
                <w:rFonts w:hint="eastAsia" w:ascii="宋体" w:hAnsi="宋体" w:eastAsia="宋体" w:cs="宋体"/>
                <w:i w:val="0"/>
                <w:iCs w:val="0"/>
                <w:color w:val="000000"/>
                <w:sz w:val="22"/>
                <w:szCs w:val="22"/>
                <w:highlight w:val="none"/>
                <w:u w:val="none"/>
              </w:rPr>
            </w:pPr>
          </w:p>
        </w:tc>
        <w:tc>
          <w:tcPr>
            <w:tcW w:w="7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B3AE2">
            <w:pPr>
              <w:keepNext w:val="0"/>
              <w:keepLines w:val="0"/>
              <w:pageBreakBefore w:val="0"/>
              <w:widowControl/>
              <w:kinsoku/>
              <w:wordWrap/>
              <w:overflowPunct/>
              <w:topLinePunct w:val="0"/>
              <w:autoSpaceDE/>
              <w:autoSpaceDN/>
              <w:bidi w:val="0"/>
              <w:adjustRightInd/>
              <w:snapToGrid/>
              <w:spacing w:line="320" w:lineRule="exact"/>
              <w:rPr>
                <w:rFonts w:hint="eastAsia" w:ascii="宋体" w:hAnsi="宋体" w:eastAsia="宋体" w:cs="宋体"/>
                <w:i w:val="0"/>
                <w:iCs w:val="0"/>
                <w:color w:val="000000"/>
                <w:sz w:val="22"/>
                <w:szCs w:val="22"/>
                <w:highlight w:val="none"/>
                <w:u w:val="none"/>
              </w:rPr>
            </w:pPr>
          </w:p>
        </w:tc>
      </w:tr>
    </w:tbl>
    <w:p w14:paraId="0D66087E">
      <w:pPr>
        <w:pStyle w:val="41"/>
        <w:rPr>
          <w:rFonts w:hint="eastAsia" w:ascii="宋体" w:hAnsi="宋体" w:eastAsia="宋体" w:cs="宋体"/>
          <w:color w:val="000000" w:themeColor="text1"/>
          <w:kern w:val="0"/>
          <w:sz w:val="24"/>
          <w:szCs w:val="21"/>
          <w:highlight w:val="none"/>
          <w14:textFill>
            <w14:solidFill>
              <w14:schemeClr w14:val="tx1"/>
            </w14:solidFill>
          </w14:textFill>
        </w:rPr>
      </w:pPr>
    </w:p>
    <w:p w14:paraId="27869E36">
      <w:pPr>
        <w:pStyle w:val="41"/>
        <w:rPr>
          <w:rFonts w:hint="eastAsia" w:ascii="宋体" w:hAnsi="宋体" w:eastAsia="宋体" w:cs="宋体"/>
          <w:color w:val="000000" w:themeColor="text1"/>
          <w:kern w:val="0"/>
          <w:sz w:val="24"/>
          <w:szCs w:val="21"/>
          <w:highlight w:val="none"/>
          <w14:textFill>
            <w14:solidFill>
              <w14:schemeClr w14:val="tx1"/>
            </w14:solidFill>
          </w14:textFill>
        </w:rPr>
      </w:pPr>
    </w:p>
    <w:p w14:paraId="3253B262">
      <w:pPr>
        <w:pStyle w:val="41"/>
        <w:rPr>
          <w:rFonts w:hint="eastAsia" w:ascii="宋体" w:hAnsi="宋体" w:eastAsia="宋体" w:cs="宋体"/>
          <w:color w:val="000000" w:themeColor="text1"/>
          <w:kern w:val="0"/>
          <w:sz w:val="24"/>
          <w:szCs w:val="21"/>
          <w:highlight w:val="none"/>
          <w14:textFill>
            <w14:solidFill>
              <w14:schemeClr w14:val="tx1"/>
            </w14:solidFill>
          </w14:textFill>
        </w:rPr>
      </w:pPr>
    </w:p>
    <w:p w14:paraId="555F6C12">
      <w:pPr>
        <w:pStyle w:val="41"/>
        <w:rPr>
          <w:rFonts w:hint="eastAsia" w:ascii="宋体" w:hAnsi="宋体" w:eastAsia="宋体" w:cs="宋体"/>
          <w:color w:val="000000" w:themeColor="text1"/>
          <w:kern w:val="0"/>
          <w:sz w:val="24"/>
          <w:szCs w:val="21"/>
          <w:highlight w:val="none"/>
          <w14:textFill>
            <w14:solidFill>
              <w14:schemeClr w14:val="tx1"/>
            </w14:solidFill>
          </w14:textFill>
        </w:rPr>
      </w:pPr>
    </w:p>
    <w:p w14:paraId="2CF11E45">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(盖单位电子公章) </w:t>
      </w:r>
    </w:p>
    <w:p w14:paraId="7A2ACE88">
      <w:pPr>
        <w:pStyle w:val="41"/>
        <w:keepNext w:val="0"/>
        <w:keepLines w:val="0"/>
        <w:pageBreakBefore w:val="0"/>
        <w:widowControl w:val="0"/>
        <w:kinsoku/>
        <w:wordWrap/>
        <w:overflowPunct/>
        <w:topLinePunct w:val="0"/>
        <w:autoSpaceDE/>
        <w:autoSpaceDN/>
        <w:bidi w:val="0"/>
        <w:adjustRightInd/>
        <w:snapToGrid/>
        <w:spacing w:line="460" w:lineRule="exact"/>
        <w:jc w:val="right"/>
        <w:textAlignment w:val="auto"/>
        <w:rPr>
          <w:rFonts w:hint="eastAsia" w:ascii="宋体" w:hAnsi="宋体" w:eastAsia="宋体" w:cs="宋体"/>
          <w:color w:val="000000" w:themeColor="text1"/>
          <w:kern w:val="0"/>
          <w:sz w:val="24"/>
          <w:szCs w:val="21"/>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法定代表人或其委托代理人：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（签字或盖章）</w:t>
      </w:r>
      <w:r>
        <w:rPr>
          <w:rFonts w:hint="eastAsia" w:ascii="宋体" w:hAnsi="宋体" w:eastAsia="宋体" w:cs="宋体"/>
          <w:color w:val="000000" w:themeColor="text1"/>
          <w:kern w:val="0"/>
          <w:sz w:val="24"/>
          <w:szCs w:val="21"/>
          <w:highlight w:val="none"/>
          <w:lang w:eastAsia="zh-CN"/>
          <w14:textFill>
            <w14:solidFill>
              <w14:schemeClr w14:val="tx1"/>
            </w14:solidFill>
          </w14:textFill>
        </w:rPr>
        <w:tab/>
      </w:r>
    </w:p>
    <w:p w14:paraId="18C7D292">
      <w:pPr>
        <w:pStyle w:val="41"/>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color w:val="000000" w:themeColor="text1"/>
          <w:sz w:val="24"/>
          <w:szCs w:val="24"/>
          <w:highlight w:val="none"/>
          <w14:textFill>
            <w14:solidFill>
              <w14:schemeClr w14:val="tx1"/>
            </w14:solidFill>
          </w14:textFill>
        </w:rPr>
        <w:sectPr>
          <w:pgSz w:w="16838" w:h="11906" w:orient="landscape"/>
          <w:pgMar w:top="1800" w:right="1440" w:bottom="1800" w:left="1440" w:header="851" w:footer="992" w:gutter="0"/>
          <w:cols w:space="425" w:num="1"/>
          <w:docGrid w:type="lines" w:linePitch="312" w:charSpace="0"/>
        </w:sectPr>
      </w:pPr>
      <w:r>
        <w:rPr>
          <w:rFonts w:hint="eastAsia" w:ascii="宋体" w:hAnsi="宋体" w:eastAsia="宋体" w:cs="宋体"/>
          <w:color w:val="000000" w:themeColor="text1"/>
          <w:kern w:val="0"/>
          <w:sz w:val="24"/>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1"/>
          <w:highlight w:val="none"/>
          <w14:textFill>
            <w14:solidFill>
              <w14:schemeClr w14:val="tx1"/>
            </w14:solidFill>
          </w14:textFill>
        </w:rPr>
        <w:t>日</w:t>
      </w:r>
      <w:r>
        <w:rPr>
          <w:rFonts w:hint="eastAsia" w:ascii="宋体" w:hAnsi="宋体" w:eastAsia="宋体" w:cs="宋体"/>
          <w:color w:val="000000" w:themeColor="text1"/>
          <w:kern w:val="0"/>
          <w:sz w:val="24"/>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 w:val="24"/>
          <w:szCs w:val="21"/>
          <w:highlight w:val="none"/>
          <w14:textFill>
            <w14:solidFill>
              <w14:schemeClr w14:val="tx1"/>
            </w14:solidFill>
          </w14:textFill>
        </w:rPr>
        <w:t xml:space="preserve">  期：   年    月   日</w:t>
      </w:r>
    </w:p>
    <w:p w14:paraId="09ACDB08">
      <w:pPr>
        <w:rPr>
          <w:rStyle w:val="45"/>
          <w:rFonts w:hint="eastAsia" w:ascii="宋体" w:hAnsi="宋体" w:eastAsia="宋体" w:cs="宋体"/>
          <w:color w:val="000000" w:themeColor="text1"/>
          <w:highlight w:val="none"/>
          <w14:textFill>
            <w14:solidFill>
              <w14:schemeClr w14:val="tx1"/>
            </w14:solidFill>
          </w14:textFill>
        </w:rPr>
      </w:pPr>
    </w:p>
    <w:p w14:paraId="56E54554">
      <w:pPr>
        <w:snapToGrid w:val="0"/>
        <w:spacing w:line="360" w:lineRule="auto"/>
        <w:jc w:val="center"/>
        <w:outlineLvl w:val="1"/>
        <w:rPr>
          <w:rStyle w:val="45"/>
          <w:rFonts w:hint="eastAsia" w:ascii="宋体" w:hAnsi="宋体" w:eastAsia="宋体" w:cs="宋体"/>
          <w:color w:val="000000" w:themeColor="text1"/>
          <w:highlight w:val="none"/>
          <w14:textFill>
            <w14:solidFill>
              <w14:schemeClr w14:val="tx1"/>
            </w14:solidFill>
          </w14:textFill>
        </w:rPr>
      </w:pPr>
      <w:bookmarkStart w:id="132" w:name="_Toc3509"/>
      <w:r>
        <w:rPr>
          <w:rStyle w:val="45"/>
          <w:rFonts w:hint="eastAsia" w:ascii="宋体" w:hAnsi="宋体" w:eastAsia="宋体" w:cs="宋体"/>
          <w:color w:val="000000" w:themeColor="text1"/>
          <w:highlight w:val="none"/>
          <w14:textFill>
            <w14:solidFill>
              <w14:schemeClr w14:val="tx1"/>
            </w14:solidFill>
          </w14:textFill>
        </w:rPr>
        <w:t>（七）其他材料</w:t>
      </w:r>
      <w:bookmarkEnd w:id="132"/>
    </w:p>
    <w:p w14:paraId="2744A075">
      <w:pPr>
        <w:pStyle w:val="18"/>
        <w:snapToGrid w:val="0"/>
        <w:spacing w:before="156" w:after="156" w:line="360" w:lineRule="auto"/>
        <w:jc w:val="center"/>
        <w:rPr>
          <w:rFonts w:hint="eastAsia" w:ascii="宋体" w:hAnsi="宋体" w:eastAsia="宋体" w:cs="宋体"/>
          <w:color w:val="000000" w:themeColor="text1"/>
          <w:kern w:val="2"/>
          <w:highlight w:val="none"/>
          <w14:textFill>
            <w14:solidFill>
              <w14:schemeClr w14:val="tx1"/>
            </w14:solidFill>
          </w14:textFill>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000000" w:themeColor="text1"/>
          <w:kern w:val="2"/>
          <w:highlight w:val="none"/>
          <w14:textFill>
            <w14:solidFill>
              <w14:schemeClr w14:val="tx1"/>
            </w14:solidFill>
          </w14:textFill>
        </w:rPr>
        <w:t>供应商认为又需要提供的其他证明材料，格式自拟，字数不限</w:t>
      </w:r>
    </w:p>
    <w:p w14:paraId="6C941A33">
      <w:pPr>
        <w:snapToGrid w:val="0"/>
        <w:spacing w:before="260" w:after="260" w:line="500" w:lineRule="exact"/>
        <w:jc w:val="center"/>
        <w:outlineLvl w:val="0"/>
        <w:rPr>
          <w:rFonts w:hint="eastAsia" w:ascii="宋体" w:hAnsi="宋体" w:eastAsia="宋体" w:cs="宋体"/>
          <w:color w:val="000000" w:themeColor="text1"/>
          <w:sz w:val="44"/>
          <w:szCs w:val="44"/>
          <w:highlight w:val="none"/>
          <w:lang w:val="en-US" w:eastAsia="zh-CN"/>
          <w14:textFill>
            <w14:solidFill>
              <w14:schemeClr w14:val="tx1"/>
            </w14:solidFill>
          </w14:textFill>
        </w:rPr>
      </w:pPr>
      <w:bookmarkStart w:id="133" w:name="_Toc32655"/>
      <w:r>
        <w:rPr>
          <w:rFonts w:hint="eastAsia" w:ascii="宋体" w:hAnsi="宋体" w:eastAsia="宋体" w:cs="宋体"/>
          <w:color w:val="000000" w:themeColor="text1"/>
          <w:sz w:val="44"/>
          <w:szCs w:val="44"/>
          <w:highlight w:val="none"/>
          <w:lang w:val="en-US" w:eastAsia="zh-CN"/>
          <w14:textFill>
            <w14:solidFill>
              <w14:schemeClr w14:val="tx1"/>
            </w14:solidFill>
          </w14:textFill>
        </w:rPr>
        <w:t>第七章 技术标准和要求</w:t>
      </w:r>
      <w:bookmarkEnd w:id="133"/>
    </w:p>
    <w:p w14:paraId="3D451804">
      <w:pPr>
        <w:pStyle w:val="4"/>
        <w:bidi w:val="0"/>
        <w:rPr>
          <w:rFonts w:hint="eastAsia"/>
          <w:highlight w:val="none"/>
        </w:rPr>
      </w:pPr>
      <w:bookmarkStart w:id="134" w:name="_Toc27291"/>
      <w:bookmarkStart w:id="135" w:name="_Toc28366"/>
      <w:bookmarkStart w:id="136" w:name="_Toc25172"/>
      <w:bookmarkStart w:id="137" w:name="_Toc576"/>
      <w:bookmarkStart w:id="138" w:name="_Toc1297"/>
      <w:bookmarkStart w:id="139" w:name="_Toc16891"/>
      <w:bookmarkStart w:id="140" w:name="_Toc31929"/>
      <w:bookmarkStart w:id="141" w:name="_Toc22234"/>
      <w:bookmarkStart w:id="142" w:name="_Toc22426"/>
      <w:bookmarkStart w:id="143" w:name="_Toc5563"/>
      <w:bookmarkStart w:id="144" w:name="_Toc4845"/>
      <w:r>
        <w:rPr>
          <w:rFonts w:hint="eastAsia"/>
          <w:highlight w:val="none"/>
        </w:rPr>
        <w:t>机坪安全运行管理系统</w:t>
      </w:r>
      <w:bookmarkEnd w:id="134"/>
      <w:bookmarkEnd w:id="135"/>
      <w:bookmarkEnd w:id="136"/>
      <w:bookmarkEnd w:id="137"/>
      <w:bookmarkEnd w:id="138"/>
      <w:bookmarkEnd w:id="139"/>
      <w:bookmarkEnd w:id="140"/>
      <w:bookmarkEnd w:id="141"/>
      <w:bookmarkEnd w:id="142"/>
      <w:bookmarkEnd w:id="143"/>
      <w:bookmarkEnd w:id="144"/>
    </w:p>
    <w:p w14:paraId="1EB734E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机坪运行安全管理系统为满足运行指挥中心，跑道安全小组等单位的业务和监管需求，通过系统自动计算辅助人工管理的方式，实时硬件设备数据，航班动态数据，算法规则等条件，及时发现可能影响运行安全事件并提醒工作人员干预处置。</w:t>
      </w:r>
    </w:p>
    <w:p w14:paraId="75749D5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机坪运行安全管理系统建设主要包括PC端系统功能开发调试，车载视频定位一体机等硬件设备安装，数据对接，系统部署安装等。结合台州机场军民合用特点，对硬件安装位置及类型进行灵活组合。由于台州机场停机坪现有面积37275㎡，机位6个；改扩建工程投运后新机坪面积82820㎡，机位16个。相较旧机坪，新机坪面积增加一倍有余，机位增加10个。在机坪运行安全监管方面，尚未配备智慧化科技手段，日常监管方式以现场人工检查为主。系统通过实时分析机坪运行车辆驾驶人员是否违规，实现机坪运行车辆状态管理、限制区域电子围栏管理等功能，帮助机坪运行监管人员和指挥人员有效管控机坪运行动态，防止刮擦、与航空器滑行冲突等机坪不安全事件。</w:t>
      </w:r>
    </w:p>
    <w:p w14:paraId="15C5DBC5">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设计思路</w:t>
      </w:r>
    </w:p>
    <w:p w14:paraId="628CC61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机坪安全运行管理系统的设计思路是确保机场机坪区域的安全、高效和有序运行，能够提升机场的整体安全水平和服务质量，确保航空运输的顺畅和旅客的满意度。具体内容如下：</w:t>
      </w:r>
    </w:p>
    <w:p w14:paraId="4D98630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1.保障航空器安全：通过实时监控和管理，防止航空器在机坪区域发生碰撞或其他安全事故。</w:t>
      </w:r>
    </w:p>
    <w:p w14:paraId="6A1BFB5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2.提高运行效率：优化航空器、车辆和人员的流动路径，减少延误和等待时间，提高机场整体运行效率。</w:t>
      </w:r>
    </w:p>
    <w:p w14:paraId="4E86968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3.资源优化管理：合理调配机位、车辆和人力资源，确保资源的最大化利用。</w:t>
      </w:r>
    </w:p>
    <w:p w14:paraId="1C4A2D1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4.风险管理：识别和评估潜在风险，制定并实施相应的预防和应对措施，降低事故发生的概率。</w:t>
      </w:r>
    </w:p>
    <w:p w14:paraId="64B06F9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5.法规合规：确保所有操作符合国际和国家的法律法规以及民航行业标准。</w:t>
      </w:r>
    </w:p>
    <w:p w14:paraId="5FB6FD4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6.应急响应：建立有效的应急响应机制，快速处理突发事件，最大限度地减少损失和影响。</w:t>
      </w:r>
    </w:p>
    <w:p w14:paraId="0A206B50">
      <w:pPr>
        <w:pStyle w:val="5"/>
        <w:bidi w:val="0"/>
        <w:rPr>
          <w:rFonts w:hint="eastAsia"/>
          <w:highlight w:val="none"/>
        </w:rPr>
      </w:pPr>
      <w:r>
        <w:rPr>
          <w:rFonts w:hint="eastAsia"/>
          <w:highlight w:val="none"/>
        </w:rPr>
        <w:t>系统框架</w:t>
      </w:r>
    </w:p>
    <w:p w14:paraId="18C1849A">
      <w:pPr>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414010" cy="2382520"/>
            <wp:effectExtent l="0" t="0" r="11430" b="10160"/>
            <wp:docPr id="1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5"/>
                    <pic:cNvPicPr>
                      <a:picLocks noChangeAspect="1"/>
                    </pic:cNvPicPr>
                  </pic:nvPicPr>
                  <pic:blipFill>
                    <a:blip r:embed="rId9"/>
                    <a:stretch>
                      <a:fillRect/>
                    </a:stretch>
                  </pic:blipFill>
                  <pic:spPr>
                    <a:xfrm>
                      <a:off x="0" y="0"/>
                      <a:ext cx="5414010" cy="2382520"/>
                    </a:xfrm>
                    <a:prstGeom prst="rect">
                      <a:avLst/>
                    </a:prstGeom>
                    <a:noFill/>
                    <a:ln>
                      <a:noFill/>
                    </a:ln>
                  </pic:spPr>
                </pic:pic>
              </a:graphicData>
            </a:graphic>
          </wp:inline>
        </w:drawing>
      </w:r>
    </w:p>
    <w:p w14:paraId="5308C5AF">
      <w:pPr>
        <w:pStyle w:val="63"/>
        <w:numPr>
          <w:ilvl w:val="7"/>
          <w:numId w:val="7"/>
        </w:numPr>
        <w:rPr>
          <w:rFonts w:hint="eastAsia" w:ascii="宋体" w:hAnsi="宋体" w:eastAsia="宋体" w:cs="宋体"/>
          <w:highlight w:val="none"/>
        </w:rPr>
      </w:pPr>
      <w:r>
        <w:rPr>
          <w:rFonts w:hint="eastAsia" w:ascii="宋体" w:hAnsi="宋体" w:eastAsia="宋体" w:cs="宋体"/>
          <w:highlight w:val="none"/>
        </w:rPr>
        <w:t>系统架构</w:t>
      </w:r>
    </w:p>
    <w:p w14:paraId="1294BE3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基础层提供系统建设所需的计算、存储、网络资源，以及定位设备的状态监控。</w:t>
      </w:r>
    </w:p>
    <w:p w14:paraId="6F511BB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数据资源体系层：建立原始库、业务库、资源库。</w:t>
      </w:r>
    </w:p>
    <w:p w14:paraId="15A0307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应用支撑体系层：实现用户身份认证管理服务、业务逻辑引擎、工作流引擎、GIS服务和ETL数据服务。</w:t>
      </w:r>
    </w:p>
    <w:p w14:paraId="3D71077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业务应用层：车辆实时监控，车辆违规提醒，违章热力图，车辆违规记录，车辆主动安全，机位占用监控，人员管理，驾驶员信息管理，驾驶员资证管理，驾驶员违规监控，巡检管理，巡检模板管理，任务单管理。移动端，滑行防冲突管理，机坪红绿灯管理，滑入、推出提醒系统管理，车辆基础配置，系统用户&amp;权限，电子围栏管理，语音播报管理等。</w:t>
      </w:r>
    </w:p>
    <w:p w14:paraId="3439760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本系统的功能框架如下：</w:t>
      </w:r>
    </w:p>
    <w:p w14:paraId="1B7254D9">
      <w:pPr>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4912995" cy="4679315"/>
            <wp:effectExtent l="0" t="0" r="0" b="0"/>
            <wp:docPr id="91" name="图片 91" descr="机坪安全运行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机坪安全运行管理系统"/>
                    <pic:cNvPicPr>
                      <a:picLocks noChangeAspect="1"/>
                    </pic:cNvPicPr>
                  </pic:nvPicPr>
                  <pic:blipFill>
                    <a:blip r:embed="rId10"/>
                    <a:stretch>
                      <a:fillRect/>
                    </a:stretch>
                  </pic:blipFill>
                  <pic:spPr>
                    <a:xfrm>
                      <a:off x="0" y="0"/>
                      <a:ext cx="4912995" cy="4679315"/>
                    </a:xfrm>
                    <a:prstGeom prst="rect">
                      <a:avLst/>
                    </a:prstGeom>
                  </pic:spPr>
                </pic:pic>
              </a:graphicData>
            </a:graphic>
          </wp:inline>
        </w:drawing>
      </w:r>
    </w:p>
    <w:p w14:paraId="0C2DBBF0">
      <w:pPr>
        <w:pStyle w:val="63"/>
        <w:numPr>
          <w:ilvl w:val="7"/>
          <w:numId w:val="7"/>
        </w:numPr>
        <w:rPr>
          <w:rFonts w:hint="eastAsia" w:ascii="宋体" w:hAnsi="宋体" w:eastAsia="宋体" w:cs="宋体"/>
          <w:highlight w:val="none"/>
        </w:rPr>
      </w:pPr>
      <w:r>
        <w:rPr>
          <w:rFonts w:hint="eastAsia" w:ascii="宋体" w:hAnsi="宋体" w:eastAsia="宋体" w:cs="宋体"/>
          <w:highlight w:val="none"/>
        </w:rPr>
        <w:t>机坪安全运行管理系统功能框架图</w:t>
      </w:r>
    </w:p>
    <w:p w14:paraId="518F9504">
      <w:pPr>
        <w:pStyle w:val="5"/>
        <w:keepNext/>
        <w:keepLines/>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软件功能设计</w:t>
      </w:r>
    </w:p>
    <w:p w14:paraId="0C54A874">
      <w:pPr>
        <w:pStyle w:val="6"/>
        <w:keepNext/>
        <w:keepLines/>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运行监控大屏</w:t>
      </w:r>
    </w:p>
    <w:p w14:paraId="26CF102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展示车辆运行情况，包括车辆每月里程数、超过车辆类型配置的超时上线阈值的车辆列表，包括最近7日，最近30天列表，人员通行证，驾驶证即将到期提醒，车辆违规类型分类统计，机坪内各单位事件上报量统计数据项。</w:t>
      </w:r>
    </w:p>
    <w:p w14:paraId="70AA9F59">
      <w:pPr>
        <w:pStyle w:val="14"/>
        <w:keepNext w:val="0"/>
        <w:keepLines w:val="0"/>
        <w:pageBreakBefore w:val="0"/>
        <w:widowControl w:val="0"/>
        <w:numPr>
          <w:ilvl w:val="0"/>
          <w:numId w:val="8"/>
        </w:numPr>
        <w:kinsoku/>
        <w:wordWrap/>
        <w:overflowPunct/>
        <w:topLinePunct w:val="0"/>
        <w:autoSpaceDE/>
        <w:autoSpaceDN/>
        <w:bidi w:val="0"/>
        <w:adjustRightInd/>
        <w:snapToGrid/>
        <w:spacing w:after="0" w:line="400" w:lineRule="exact"/>
        <w:ind w:left="0" w:firstLine="420" w:firstLineChars="20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未上线车辆统计：通过柱状图、饼图、曲线图，列表等方式，展示各单位超过车辆类型配置的超时未上线日期阈值的车辆列表。</w:t>
      </w:r>
    </w:p>
    <w:p w14:paraId="5CAFFF9C">
      <w:pPr>
        <w:pStyle w:val="14"/>
        <w:keepNext w:val="0"/>
        <w:keepLines w:val="0"/>
        <w:pageBreakBefore w:val="0"/>
        <w:widowControl w:val="0"/>
        <w:numPr>
          <w:ilvl w:val="0"/>
          <w:numId w:val="8"/>
        </w:numPr>
        <w:kinsoku/>
        <w:wordWrap/>
        <w:overflowPunct/>
        <w:topLinePunct w:val="0"/>
        <w:autoSpaceDE/>
        <w:autoSpaceDN/>
        <w:bidi w:val="0"/>
        <w:adjustRightInd/>
        <w:snapToGrid/>
        <w:spacing w:after="0" w:line="400" w:lineRule="exact"/>
        <w:ind w:left="0" w:firstLine="420" w:firstLineChars="20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车辆里程统计：通过柱状图、饼图、曲线图，列表等方式，展示机场车辆每月行驶里程数据。</w:t>
      </w:r>
    </w:p>
    <w:p w14:paraId="66EDDB43">
      <w:pPr>
        <w:pStyle w:val="14"/>
        <w:keepNext w:val="0"/>
        <w:keepLines w:val="0"/>
        <w:pageBreakBefore w:val="0"/>
        <w:widowControl w:val="0"/>
        <w:numPr>
          <w:ilvl w:val="0"/>
          <w:numId w:val="8"/>
        </w:numPr>
        <w:kinsoku/>
        <w:wordWrap/>
        <w:overflowPunct/>
        <w:topLinePunct w:val="0"/>
        <w:autoSpaceDE/>
        <w:autoSpaceDN/>
        <w:bidi w:val="0"/>
        <w:adjustRightInd/>
        <w:snapToGrid/>
        <w:spacing w:after="0" w:line="400" w:lineRule="exact"/>
        <w:ind w:left="0" w:firstLine="420" w:firstLineChars="20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车辆违规统计：通过柱状图、饼图、曲线图，列表等方式，展示机场车辆时间范围内的各类违规统计数据。</w:t>
      </w:r>
    </w:p>
    <w:p w14:paraId="4E018024">
      <w:pPr>
        <w:pStyle w:val="14"/>
        <w:keepNext w:val="0"/>
        <w:keepLines w:val="0"/>
        <w:pageBreakBefore w:val="0"/>
        <w:widowControl w:val="0"/>
        <w:numPr>
          <w:ilvl w:val="0"/>
          <w:numId w:val="8"/>
        </w:numPr>
        <w:kinsoku/>
        <w:wordWrap/>
        <w:overflowPunct/>
        <w:topLinePunct w:val="0"/>
        <w:autoSpaceDE/>
        <w:autoSpaceDN/>
        <w:bidi w:val="0"/>
        <w:adjustRightInd/>
        <w:snapToGrid/>
        <w:spacing w:after="0" w:line="400" w:lineRule="exact"/>
        <w:ind w:left="0" w:firstLine="420" w:firstLineChars="20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事件上报统计：通过柱状图、饼图、曲线图，列表等方式，展示机场各单位上报事件数量表。</w:t>
      </w:r>
    </w:p>
    <w:p w14:paraId="2A9DC703">
      <w:pPr>
        <w:pStyle w:val="14"/>
        <w:keepNext w:val="0"/>
        <w:keepLines w:val="0"/>
        <w:pageBreakBefore w:val="0"/>
        <w:widowControl w:val="0"/>
        <w:numPr>
          <w:ilvl w:val="0"/>
          <w:numId w:val="8"/>
        </w:numPr>
        <w:kinsoku/>
        <w:wordWrap/>
        <w:overflowPunct/>
        <w:topLinePunct w:val="0"/>
        <w:autoSpaceDE/>
        <w:autoSpaceDN/>
        <w:bidi w:val="0"/>
        <w:adjustRightInd/>
        <w:snapToGrid/>
        <w:spacing w:after="0" w:line="400" w:lineRule="exact"/>
        <w:ind w:left="0" w:firstLine="420" w:firstLineChars="200"/>
        <w:jc w:val="left"/>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人员资证临期统计：通过柱状图、饼图、曲线图，列表等方式，展示机场各单位车辆驾驶人员通行证，驾驶证临期数量。</w:t>
      </w:r>
    </w:p>
    <w:p w14:paraId="01E88114">
      <w:pPr>
        <w:pStyle w:val="6"/>
        <w:keepNext/>
        <w:keepLines/>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车辆安全监管</w:t>
      </w:r>
    </w:p>
    <w:p w14:paraId="4FAC9E94">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机坪GIS系统</w:t>
      </w:r>
    </w:p>
    <w:p w14:paraId="2C4C6418">
      <w:pPr>
        <w:pageBreakBefore w:val="0"/>
        <w:widowControl w:val="0"/>
        <w:numPr>
          <w:ilvl w:val="0"/>
          <w:numId w:val="9"/>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GIS地图绘制：初步规划和设计：确定地图的目标、要素和布局。这包括选择正确的地理坐标系统，决定地图的尺度和范围，以及确定需要展示的信息类型。</w:t>
      </w:r>
    </w:p>
    <w:p w14:paraId="09A8AC69">
      <w:pPr>
        <w:pageBreakBefore w:val="0"/>
        <w:widowControl w:val="0"/>
        <w:numPr>
          <w:ilvl w:val="0"/>
          <w:numId w:val="9"/>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地理数据收集：需要甲方提供原始地物资料，比如cad或者是矢量化的地图数据，地物的类型可能包括机坪的地形、建筑物、道路、停机位、设施等。</w:t>
      </w:r>
    </w:p>
    <w:p w14:paraId="26EAFAC2">
      <w:pPr>
        <w:pageBreakBefore w:val="0"/>
        <w:widowControl w:val="0"/>
        <w:numPr>
          <w:ilvl w:val="0"/>
          <w:numId w:val="9"/>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数据处理和清洗：收集的数据可能包含错误或不一致，需要进行清洗和处理。这可能包括删除重复的数据、修正错误的数据、转换数据格式等。</w:t>
      </w:r>
    </w:p>
    <w:p w14:paraId="1FA2AA50">
      <w:pPr>
        <w:pageBreakBefore w:val="0"/>
        <w:widowControl w:val="0"/>
        <w:numPr>
          <w:ilvl w:val="0"/>
          <w:numId w:val="9"/>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地图绘制：使用GIS软件根据处理后的数据绘制地图。包括创建和编辑图层，添加和调整地图元素，设置颜色和样式等。</w:t>
      </w:r>
    </w:p>
    <w:p w14:paraId="3E6C7DA1">
      <w:pPr>
        <w:pageBreakBefore w:val="0"/>
        <w:widowControl w:val="0"/>
        <w:numPr>
          <w:ilvl w:val="0"/>
          <w:numId w:val="9"/>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属性数据添加：每个地图元素都可能需要添加属性数据，例如建筑物的名称和用途，道路的类型和宽度等。需要大量的手动输入和编辑。</w:t>
      </w:r>
    </w:p>
    <w:p w14:paraId="631C56AA">
      <w:pPr>
        <w:pageBreakBefore w:val="0"/>
        <w:widowControl w:val="0"/>
        <w:numPr>
          <w:ilvl w:val="0"/>
          <w:numId w:val="9"/>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地图审查和修正：创建的地图需要进行详细的审查和修正，以确保其准确性和一致性。需要多次地反复检查和修改。</w:t>
      </w:r>
    </w:p>
    <w:p w14:paraId="5135950B">
      <w:pPr>
        <w:pageBreakBefore w:val="0"/>
        <w:widowControl w:val="0"/>
        <w:numPr>
          <w:ilvl w:val="0"/>
          <w:numId w:val="9"/>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地图发布和更新：地图需要定期更新，以反映机坪的变化。每次更新都可能需要重新进行上述的步骤。</w:t>
      </w:r>
    </w:p>
    <w:p w14:paraId="0FA3A64F">
      <w:pPr>
        <w:pageBreakBefore w:val="0"/>
        <w:widowControl w:val="0"/>
        <w:numPr>
          <w:ilvl w:val="0"/>
          <w:numId w:val="9"/>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系统集成：地图需要与机坪车辆安全运行管理系统集成，需要进行复杂的编程和测试。</w:t>
      </w:r>
    </w:p>
    <w:p w14:paraId="142FD9FA">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车辆实时监控</w:t>
      </w:r>
    </w:p>
    <w:p w14:paraId="0ACA04EB">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通过车载定位终端的GPS定位数据，结合先进的差分定位技术，能够在机坪高精度GIS地图层上实现车辆位置信息的精确显示。通过接收差分基站发送的修正信号，显著提高了定位的精度，将误差范围从几米减少到几厘米，对于需要精细操作的机坪作业至关重要。系统支持后台配置数据更新频次，可以根据实际需求和网络负载情况，在1秒到3秒之间灵活设置，默认为3秒更新一次，以提供流畅的实时跟踪效果，适用于对实时性要求较高的场景。</w:t>
      </w:r>
    </w:p>
    <w:p w14:paraId="032B6E96">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系统支持通过部门、车辆类型、车辆分组以及车辆状态等条件筛选展示对应车辆数据，使得管理人员能够快速定位并监控特定车辆或车辆组的实时位置和状态。</w:t>
      </w:r>
    </w:p>
    <w:p w14:paraId="343E2159">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车辆违规提醒</w:t>
      </w:r>
    </w:p>
    <w:p w14:paraId="4E92174B">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通过车载定位终端的GPS定位数据，结合差分定位技术，系统能够在高精度GIS地图图层上实现对车辆位置的精确监控。这种差分技术通过接收差分基站发送的修正信号，显著提高了定位精度，减少了误差，对于精确度要求极高的机坪环境中尤为重要。系统能够根据车辆GPS定位数据及围栏类型等条件，判断并触发双向告警机制，确保告警的精确性和及时性，提高了系统的响应速度和可靠性。</w:t>
      </w:r>
    </w:p>
    <w:p w14:paraId="55947F6C">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对于违规车辆，系统能够发送指令播报提醒，引导驾驶员规范行驶，这种实时反馈有助于减少违规行为，提高行车安全。同时，对于PC端监管人员，系统会发送违规消息弹窗提醒，使监管人员能够迅速采取行动，对违规行为进行及时处理。违规分类包括非授权车辆违规进入电子围栏区域、车辆在区域范围内超过限制车速、靠机作业类型车辆到达机位范围前未按规定减速至5KM/h、停止观察区域内未停车、车辆未按规定停放等。系统能够对这些违规行为进行精确监控和记录，提高安全性和合规性。</w:t>
      </w:r>
    </w:p>
    <w:p w14:paraId="3CE930A5">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车辆主动安全</w:t>
      </w:r>
    </w:p>
    <w:p w14:paraId="58FBFEAF">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通过GPS定位设备的摄像头视频算法分析车内驾驶人员行为是否违规，通过车前摄像头视频算法分析车前行驶状态，包括车道偏离、前方障碍物碰撞预警等，系统通过车载设备对驾驶员进行语音提醒。</w:t>
      </w:r>
    </w:p>
    <w:p w14:paraId="56666A1F">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车辆违规记录</w:t>
      </w:r>
    </w:p>
    <w:p w14:paraId="32020C57">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支持通过违规记录模块自定义时间范围查询车辆违规记录，包括车辆历史行驶轨迹，车辆行驶最大车速，行驶时间等，支持倍速回放查看车辆行驶过程并支持高亮显示超速轨迹路段。</w:t>
      </w:r>
    </w:p>
    <w:p w14:paraId="13A040B9">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机位占用监控</w:t>
      </w:r>
    </w:p>
    <w:p w14:paraId="05DFA7E4">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通过对接航班计划及动态数据，在GIS地图上展示近远机位航班占用情况，支持通过配置模块定制显示机位占用航班信息，包括显示进港航班号、离港航班号、航空器注册号，机位占用空闲状态等，支持扩展接入放行排序等数据，展示机位航班放行序号。支持点击占用机位航班号查看对应航班详情信息，包括进离港航班计划、计划起降时刻，预计或实际起降时刻，当前保障状态等信息。</w:t>
      </w:r>
    </w:p>
    <w:p w14:paraId="70388F85">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滑入/推出提醒</w:t>
      </w:r>
    </w:p>
    <w:p w14:paraId="44E6DC46">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根据ACDM历史30天各跑道头落地至各机位平均时长，预测滑入机位时间，对该机位周边范围内的在线车辆进行语音播报提醒避让，根据机位航班保障节点时间，获取撤轮挡，推出等相关节点时间时，对该机位周边范围内的在线车辆进行语音播报提醒避让。</w:t>
      </w:r>
    </w:p>
    <w:p w14:paraId="679D461D">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推出冲突提醒</w:t>
      </w:r>
    </w:p>
    <w:p w14:paraId="1797BAD4">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根据保障状态判断及COBT时刻数据等计算相邻机位离港航班推出时刻，对相差5分钟内的机位航班进行提醒。</w:t>
      </w:r>
    </w:p>
    <w:p w14:paraId="32E706E5">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临时通行监管</w:t>
      </w:r>
    </w:p>
    <w:p w14:paraId="64005BA7">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外场车辆道口扫码绑定便携式电子工牌，登记电话号码，离场计划时间，可通行区域等，对限时未离场车辆在PC端向管理人员提醒。</w:t>
      </w:r>
    </w:p>
    <w:p w14:paraId="7CC8F50C">
      <w:pPr>
        <w:pStyle w:val="6"/>
        <w:keepNext/>
        <w:keepLines/>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安全巡查</w:t>
      </w:r>
    </w:p>
    <w:p w14:paraId="446DD654">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巡检管理</w:t>
      </w:r>
    </w:p>
    <w:p w14:paraId="44C42FDA">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巡检任务单派发管理，巡检任务详情，各巡检点电子检查单完成情况查看，历史巡检任务查询及导出。</w:t>
      </w:r>
    </w:p>
    <w:p w14:paraId="356CA825">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保障作业标准程序检查</w:t>
      </w:r>
    </w:p>
    <w:p w14:paraId="247B6723">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各类车辆航班保障作业标准程序电子检查单录入及详情查看，历史检查单按时间范围，类型等维度统计查询及导出。</w:t>
      </w:r>
    </w:p>
    <w:p w14:paraId="2D307F6F">
      <w:pPr>
        <w:pStyle w:val="6"/>
        <w:keepNext/>
        <w:keepLines/>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人员安全监管</w:t>
      </w:r>
    </w:p>
    <w:p w14:paraId="3895975F">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驾驶员信息管理</w:t>
      </w:r>
    </w:p>
    <w:p w14:paraId="5DDCED61">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通过驾驶员信息管理模块维护机坪内部驾驶员基础信息，支持创建新员工信息库，对现有驾驶员信息进行编辑，删除等操作。支持对驾驶员在职状态进行变更，驾驶员基础信息包括驾驶员姓名、联系电话、身份证号、归属单位、准驾车型、设备卡绑定等。</w:t>
      </w:r>
    </w:p>
    <w:p w14:paraId="7F8B8238">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驾驶员资证管理</w:t>
      </w:r>
    </w:p>
    <w:p w14:paraId="260F9256">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通过驾驶员资证管理模块维护驾驶员证件信息，录入信息包括单位名称、驾驶员姓名、驾驶员身份证有效期、身份证正背面实拍图、驾驶证有效期、驾驶证正副本实拍图、内场通行证有效期等信息。系统通过录入的有效期，监控有效状态，有效期临失效前通过运行监控大屏、短信息等方式对相关单位负责人及对应驾驶员进行提醒更新证件。</w:t>
      </w:r>
    </w:p>
    <w:p w14:paraId="3E6DA79D">
      <w:pPr>
        <w:pStyle w:val="6"/>
        <w:keepNext/>
        <w:keepLines/>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事件管理</w:t>
      </w:r>
    </w:p>
    <w:p w14:paraId="0FC3F89F">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违章记录</w:t>
      </w:r>
    </w:p>
    <w:p w14:paraId="6C25A348">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通过违章驾驶员姓名、单位列表，违规类型，时间范围等条件查询筛选违规记录列表，违规列表信息包括：编号、违规类型、违章人、违规车辆、车辆类型、归属单位、违规时间、违规区域、处理状态等。支持管理人员根据违章详情判断向违章单位车辆管理负责人发送违章处置告知单。</w:t>
      </w:r>
    </w:p>
    <w:p w14:paraId="7AF5F1D8">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违章处置</w:t>
      </w:r>
    </w:p>
    <w:p w14:paraId="484BF2DD">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根据单位，违规类型，时间范围等筛选查询管理人员已发送的违章处置告知单记录，列表信息包括处置单编号、违规类型、发送处置单时间、接收单位、整改反馈、整改期限、处置状态等。接收单位可查看本单位内的违章处置告知单并填写整改信息，支持上传常用文件附件，发送方根据整改信息完结处置单。</w:t>
      </w:r>
    </w:p>
    <w:p w14:paraId="24B0EAD1">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上报记录</w:t>
      </w:r>
    </w:p>
    <w:p w14:paraId="322D284C">
      <w:pPr>
        <w:pStyle w:val="64"/>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一线人员通过移动端发起报告，支持填写内容，选择日期，拍摄现场照片等，上报列表支持根据情况说明关键字，上报单位，上报时间范围等条件筛选查询列表。管理人员根据情况说明内容判断并分配事件处置归属责任单位及部门。</w:t>
      </w:r>
    </w:p>
    <w:p w14:paraId="096FB352">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事件处置</w:t>
      </w:r>
    </w:p>
    <w:p w14:paraId="1D3EFDC0">
      <w:pPr>
        <w:pStyle w:val="64"/>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上报事件归属的责任单位可查询处置列表，信息包括情况说明，发现地点，发现日期，现场照片等信息，责任单位管理人员支持更新事件处置状态并填写处置说明。支持管理人员删除事件处置单。</w:t>
      </w:r>
    </w:p>
    <w:p w14:paraId="149961A1">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告警记录</w:t>
      </w:r>
    </w:p>
    <w:p w14:paraId="5B431DC7">
      <w:pPr>
        <w:pStyle w:val="64"/>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按时间范围，告警类型等条件查询车辆告警记录，记录数据项包括触发告警时间、车辆归属单位、违规电子围栏、告警类型等。</w:t>
      </w:r>
    </w:p>
    <w:p w14:paraId="38DA2F4A">
      <w:pPr>
        <w:pStyle w:val="6"/>
        <w:keepNext/>
        <w:keepLines/>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系统管理</w:t>
      </w:r>
    </w:p>
    <w:p w14:paraId="2554F51D">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资证周期管理</w:t>
      </w:r>
    </w:p>
    <w:p w14:paraId="474C1B19">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车辆，人员资证有效周期管理，各类证件支持根据不同年限对临期前N天提醒配置。</w:t>
      </w:r>
    </w:p>
    <w:p w14:paraId="4DB86573">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保障作业检查单管理</w:t>
      </w:r>
    </w:p>
    <w:p w14:paraId="3618BEAD">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创建、编辑及删除航班保障作业各类车辆标准作业程序电子简称单事项模板。</w:t>
      </w:r>
    </w:p>
    <w:p w14:paraId="6E57BAC7">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包括巡检类型维护，巡检点维护，各巡检点电子检查单事项内容维护。不同巡检类型任务下的巡检路线维护等。</w:t>
      </w:r>
    </w:p>
    <w:p w14:paraId="36A54C85">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车辆基础配置</w:t>
      </w:r>
    </w:p>
    <w:p w14:paraId="7E755744">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对车辆信息录入、编辑及删除操作，如修改车牌号、更换设备标识绑定其他设备等；支持筛选查看车辆的在线情况，设备使用状态以及轨迹查询和指令下发功能；可以快速条件筛选指定车辆，导出车辆列表。支持车辆资证与任务匹配，支持录入车辆保养时间、保养周期、车辆内场通行证有效截止时间等信息，系统通过设置的周期对临期车辆进行提醒、对过期未更新信息的车辆进行告警。</w:t>
      </w:r>
    </w:p>
    <w:p w14:paraId="76A1BA72">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系统用户及权限管理</w:t>
      </w:r>
    </w:p>
    <w:p w14:paraId="357A933D">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支持创建多个部门及部门下级科室，呈树状展示，录入信息包含部门名称、代码、联系方式等，支持根据部门名称来查询。用户录入信息包含用户名、有效期、所属部门、创建时间等，可以修改密码，设置系统功能模块权限，实现对系统的安全访问控制、数据隐私保护等实现专人专管。</w:t>
      </w:r>
    </w:p>
    <w:p w14:paraId="3A6F4D53">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电子围栏管理</w:t>
      </w:r>
    </w:p>
    <w:p w14:paraId="5AF62B8A">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基于GIS地图处理电子围栏区域的绘制，围栏的属性默认有限制区围栏、禁行区围栏和道口围栏等，不同属性围栏表现形式及展示颜色不同，用于明确区分围栏效果。支持手工绘制各类形状的围栏界线，设置的围栏可以个性化指定生效的部门、车辆类型，以应对不同的实际作业场景。支持为围栏进行编辑和删除，相应的操作也会有权限访问控制。根据不同属性围栏配置对应车辆类型或指定车辆，独立控制该电子围栏车辆的准入或限出权限，根据配置条件，通过车辆安全监管模块对车辆进行监控和告警。应用于临时外场施工车辆驶出施工区域围栏，非授权车辆驶入禁入电子围栏等运行场景。</w:t>
      </w:r>
    </w:p>
    <w:p w14:paraId="30F1246D">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语音播报管理</w:t>
      </w:r>
    </w:p>
    <w:p w14:paraId="2E0F3487">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根据场坪区各类事件场景及不同类型的电子围栏，自定义设置各类自动播放语音的文本内容。当满足触发条件时，通过车辆上装备的语音设备，自动播放配置的文本，提醒驾驶车辆人员。支持对语音播报文本自定义编辑、添加、删除。</w:t>
      </w:r>
    </w:p>
    <w:p w14:paraId="185EEB19">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应急救援点管理</w:t>
      </w:r>
    </w:p>
    <w:p w14:paraId="0C6DDF93">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通过PC端GIS地图上绘制应急救援点范围，支持绘制多个救援点，对救援集结点自定义名称，支持对已创建的应急救援集结点进行编辑，删除操作。</w:t>
      </w:r>
    </w:p>
    <w:p w14:paraId="6E26B46F">
      <w:pPr>
        <w:pStyle w:val="6"/>
        <w:keepNext/>
        <w:keepLines/>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移动端</w:t>
      </w:r>
    </w:p>
    <w:p w14:paraId="5DE502B4">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巡检任务管理</w:t>
      </w:r>
    </w:p>
    <w:p w14:paraId="35A5A150">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巡检任务管理人员派发及执行人员接收，移动端电子任务处置及详情查看。</w:t>
      </w:r>
    </w:p>
    <w:p w14:paraId="2E2A3F73">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任务跟踪&amp;统计</w:t>
      </w:r>
    </w:p>
    <w:p w14:paraId="25D0D9E6">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保障作业标准程序检查单发布，任务状态跟踪，任务量统计。</w:t>
      </w:r>
    </w:p>
    <w:p w14:paraId="58440C18">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运行实况</w:t>
      </w:r>
    </w:p>
    <w:p w14:paraId="4590CFC2">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通过移动端GIS地图展示在线车辆实时位置及状态，显示机坪机位占用状态，点击车辆图标查看车辆信息，包括车牌号、归属单位、车辆类型、驾驶员信息、车辆当日行驶里程等数据；点击机位查看航班占用信息，包括进离港航班号、航线、航空器注册号、机型、当前保障状态等。支持根据车辆类型、归属单位等进行筛选展示车辆。支持开启关闭或筛选展示机坪内设置的电子围栏。</w:t>
      </w:r>
    </w:p>
    <w:p w14:paraId="5F7F138D">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车辆管理</w:t>
      </w:r>
    </w:p>
    <w:p w14:paraId="291DEC67">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支持管理人员及车辆归属单位查看车辆列表，及证件临期过期车辆列表，支持通过移动端填写证件编号，有效截止日期，证件正副页照片等信息，由PC端管理人员进行审核。通过车辆管理模块进行车辆保养信息录入，包括保养时间（默认为发起日期）、保养项目、当前里程数、下次保养时间等信息。</w:t>
      </w:r>
    </w:p>
    <w:p w14:paraId="7C02FFA2">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事件上报</w:t>
      </w:r>
    </w:p>
    <w:p w14:paraId="1A15F05A">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支持用户通过事件上报模块上报事件，上报内容包括：上报事件说明、发现时间、发现地点、现场照片等信息。支持查看历史上报事件记录列表，并同步上报后管理人员处置事件状态。</w:t>
      </w:r>
    </w:p>
    <w:p w14:paraId="56B261F8">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用户中心</w:t>
      </w:r>
    </w:p>
    <w:p w14:paraId="1465468E">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通过我的证件模块查看维护个人证件信息，包括驾驶员信息及资证信息，驾驶员信息包括姓名、联系电话、所属单位、准驾车型等信息；资证信息包括内场通行证照片、航空器活动区驾驶证照片，各类证件有效截止时间等，支持用户上传证件照片。</w:t>
      </w:r>
    </w:p>
    <w:p w14:paraId="0C5078CD">
      <w:pPr>
        <w:pStyle w:val="5"/>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配套硬件设计</w:t>
      </w:r>
    </w:p>
    <w:p w14:paraId="06370154">
      <w:pPr>
        <w:pStyle w:val="6"/>
        <w:keepNext/>
        <w:keepLines/>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配套硬件清单</w:t>
      </w:r>
    </w:p>
    <w:p w14:paraId="073AB77B">
      <w:pPr>
        <w:pStyle w:val="65"/>
        <w:rPr>
          <w:rFonts w:hint="eastAsia" w:ascii="宋体" w:hAnsi="宋体" w:eastAsia="宋体" w:cs="宋体"/>
          <w:highlight w:val="none"/>
        </w:rPr>
      </w:pPr>
      <w:r>
        <w:rPr>
          <w:rFonts w:hint="eastAsia" w:ascii="宋体" w:hAnsi="宋体" w:eastAsia="宋体" w:cs="宋体"/>
          <w:highlight w:val="none"/>
        </w:rPr>
        <w:t>系统硬件清单</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70"/>
        <w:gridCol w:w="836"/>
        <w:gridCol w:w="838"/>
        <w:gridCol w:w="1970"/>
        <w:gridCol w:w="1674"/>
      </w:tblGrid>
      <w:tr w14:paraId="7B53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36" w:type="pct"/>
            <w:shd w:val="clear" w:color="000000" w:fill="auto"/>
            <w:vAlign w:val="center"/>
          </w:tcPr>
          <w:p w14:paraId="729D937E">
            <w:pPr>
              <w:spacing w:line="240" w:lineRule="auto"/>
              <w:ind w:firstLine="0" w:firstLineChars="0"/>
              <w:jc w:val="center"/>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硬件名称</w:t>
            </w:r>
          </w:p>
        </w:tc>
        <w:tc>
          <w:tcPr>
            <w:tcW w:w="450" w:type="pct"/>
            <w:shd w:val="clear" w:color="000000" w:fill="auto"/>
            <w:vAlign w:val="center"/>
          </w:tcPr>
          <w:p w14:paraId="22303040">
            <w:pPr>
              <w:spacing w:line="240" w:lineRule="auto"/>
              <w:ind w:firstLine="0" w:firstLineChars="0"/>
              <w:jc w:val="center"/>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单位</w:t>
            </w:r>
          </w:p>
        </w:tc>
        <w:tc>
          <w:tcPr>
            <w:tcW w:w="451" w:type="pct"/>
            <w:shd w:val="clear" w:color="000000" w:fill="auto"/>
            <w:vAlign w:val="center"/>
          </w:tcPr>
          <w:p w14:paraId="2DB7DB3F">
            <w:pPr>
              <w:spacing w:line="240" w:lineRule="auto"/>
              <w:ind w:firstLine="0" w:firstLineChars="0"/>
              <w:jc w:val="center"/>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数量</w:t>
            </w:r>
          </w:p>
        </w:tc>
        <w:tc>
          <w:tcPr>
            <w:tcW w:w="1060" w:type="pct"/>
            <w:shd w:val="clear" w:color="000000" w:fill="auto"/>
            <w:vAlign w:val="center"/>
          </w:tcPr>
          <w:p w14:paraId="0162CB1E">
            <w:pPr>
              <w:spacing w:line="240" w:lineRule="auto"/>
              <w:ind w:firstLine="0" w:firstLineChars="0"/>
              <w:jc w:val="center"/>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安装位置</w:t>
            </w:r>
          </w:p>
        </w:tc>
        <w:tc>
          <w:tcPr>
            <w:tcW w:w="901" w:type="pct"/>
            <w:shd w:val="clear" w:color="000000" w:fill="auto"/>
            <w:vAlign w:val="center"/>
          </w:tcPr>
          <w:p w14:paraId="4616FF76">
            <w:pPr>
              <w:spacing w:line="240" w:lineRule="auto"/>
              <w:ind w:firstLine="0" w:firstLineChars="0"/>
              <w:jc w:val="center"/>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备注说明</w:t>
            </w:r>
          </w:p>
        </w:tc>
      </w:tr>
      <w:tr w14:paraId="31E9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36" w:type="pct"/>
            <w:vAlign w:val="center"/>
          </w:tcPr>
          <w:p w14:paraId="4061C028">
            <w:pPr>
              <w:widowControl/>
              <w:ind w:firstLine="480"/>
              <w:textAlignment w:val="center"/>
              <w:rPr>
                <w:rFonts w:hint="eastAsia" w:ascii="宋体" w:hAnsi="宋体" w:eastAsia="宋体" w:cs="宋体"/>
                <w:color w:val="000000"/>
                <w:sz w:val="28"/>
                <w:szCs w:val="28"/>
                <w:highlight w:val="none"/>
              </w:rPr>
            </w:pPr>
            <w:r>
              <w:rPr>
                <w:rFonts w:hint="eastAsia" w:ascii="宋体" w:hAnsi="宋体" w:eastAsia="宋体" w:cs="宋体"/>
                <w:color w:val="000000"/>
                <w:kern w:val="0"/>
                <w:szCs w:val="24"/>
                <w:highlight w:val="none"/>
                <w:lang w:bidi="ar"/>
              </w:rPr>
              <w:t>交换机</w:t>
            </w:r>
          </w:p>
        </w:tc>
        <w:tc>
          <w:tcPr>
            <w:tcW w:w="450" w:type="pct"/>
            <w:vAlign w:val="center"/>
          </w:tcPr>
          <w:p w14:paraId="0115A4F6">
            <w:pPr>
              <w:spacing w:line="240" w:lineRule="auto"/>
              <w:ind w:firstLine="0" w:firstLineChars="0"/>
              <w:jc w:val="center"/>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台</w:t>
            </w:r>
          </w:p>
        </w:tc>
        <w:tc>
          <w:tcPr>
            <w:tcW w:w="451" w:type="pct"/>
            <w:vAlign w:val="center"/>
          </w:tcPr>
          <w:p w14:paraId="36663075">
            <w:pPr>
              <w:spacing w:line="240" w:lineRule="auto"/>
              <w:ind w:firstLine="0" w:firstLineChars="0"/>
              <w:jc w:val="center"/>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w:t>
            </w:r>
          </w:p>
        </w:tc>
        <w:tc>
          <w:tcPr>
            <w:tcW w:w="1807" w:type="dxa"/>
            <w:vMerge w:val="restart"/>
            <w:vAlign w:val="center"/>
          </w:tcPr>
          <w:p w14:paraId="095DD01A">
            <w:pPr>
              <w:spacing w:line="240" w:lineRule="auto"/>
              <w:ind w:firstLine="0" w:firstLineChars="0"/>
              <w:jc w:val="center"/>
              <w:rPr>
                <w:rFonts w:hint="eastAsia" w:ascii="宋体" w:hAnsi="宋体" w:eastAsia="宋体" w:cs="宋体"/>
                <w:sz w:val="22"/>
                <w:szCs w:val="22"/>
                <w:highlight w:val="none"/>
              </w:rPr>
            </w:pPr>
            <w:r>
              <w:rPr>
                <w:rFonts w:hint="eastAsia" w:ascii="宋体" w:hAnsi="宋体" w:eastAsia="宋体" w:cs="宋体"/>
                <w:highlight w:val="none"/>
              </w:rPr>
              <w:t>航站楼中心机房</w:t>
            </w:r>
          </w:p>
        </w:tc>
        <w:tc>
          <w:tcPr>
            <w:tcW w:w="901" w:type="pct"/>
            <w:vAlign w:val="center"/>
          </w:tcPr>
          <w:p w14:paraId="6F051AFB">
            <w:pPr>
              <w:spacing w:line="240" w:lineRule="auto"/>
              <w:ind w:firstLine="0" w:firstLineChars="0"/>
              <w:rPr>
                <w:rFonts w:hint="eastAsia" w:ascii="宋体" w:hAnsi="宋体" w:eastAsia="宋体" w:cs="宋体"/>
                <w:color w:val="000000"/>
                <w:szCs w:val="24"/>
                <w:highlight w:val="none"/>
              </w:rPr>
            </w:pPr>
          </w:p>
        </w:tc>
      </w:tr>
      <w:tr w14:paraId="33E02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36" w:type="pct"/>
            <w:vAlign w:val="center"/>
          </w:tcPr>
          <w:p w14:paraId="5502FA82">
            <w:pPr>
              <w:widowControl/>
              <w:ind w:firstLine="480"/>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服务器</w:t>
            </w:r>
          </w:p>
        </w:tc>
        <w:tc>
          <w:tcPr>
            <w:tcW w:w="450" w:type="pct"/>
            <w:vAlign w:val="center"/>
          </w:tcPr>
          <w:p w14:paraId="6E51227E">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39A530BD">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5</w:t>
            </w:r>
          </w:p>
        </w:tc>
        <w:tc>
          <w:tcPr>
            <w:tcW w:w="1060" w:type="pct"/>
            <w:vMerge w:val="continue"/>
            <w:vAlign w:val="center"/>
          </w:tcPr>
          <w:p w14:paraId="114B8AF8">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1A1F0A70">
            <w:pPr>
              <w:spacing w:line="240" w:lineRule="auto"/>
              <w:ind w:firstLine="0" w:firstLineChars="0"/>
              <w:jc w:val="center"/>
              <w:rPr>
                <w:rFonts w:hint="eastAsia" w:ascii="宋体" w:hAnsi="宋体" w:eastAsia="宋体" w:cs="宋体"/>
                <w:color w:val="000000"/>
                <w:sz w:val="22"/>
                <w:szCs w:val="22"/>
                <w:highlight w:val="none"/>
              </w:rPr>
            </w:pPr>
          </w:p>
        </w:tc>
      </w:tr>
      <w:tr w14:paraId="3E3A2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36" w:type="pct"/>
            <w:vAlign w:val="center"/>
          </w:tcPr>
          <w:p w14:paraId="38A9FAA7">
            <w:pPr>
              <w:widowControl/>
              <w:ind w:firstLine="480"/>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车载定位终端</w:t>
            </w:r>
          </w:p>
        </w:tc>
        <w:tc>
          <w:tcPr>
            <w:tcW w:w="450" w:type="pct"/>
            <w:vAlign w:val="center"/>
          </w:tcPr>
          <w:p w14:paraId="6C01B6DA">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18D0AF66">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100</w:t>
            </w:r>
          </w:p>
        </w:tc>
        <w:tc>
          <w:tcPr>
            <w:tcW w:w="1060" w:type="pct"/>
            <w:vMerge w:val="continue"/>
            <w:vAlign w:val="center"/>
          </w:tcPr>
          <w:p w14:paraId="18E5AC9B">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3E1B73E6">
            <w:pPr>
              <w:spacing w:line="240" w:lineRule="auto"/>
              <w:ind w:firstLine="0" w:firstLineChars="0"/>
              <w:jc w:val="center"/>
              <w:rPr>
                <w:rFonts w:hint="eastAsia" w:ascii="宋体" w:hAnsi="宋体" w:eastAsia="宋体" w:cs="宋体"/>
                <w:color w:val="000000"/>
                <w:sz w:val="22"/>
                <w:szCs w:val="22"/>
                <w:highlight w:val="none"/>
              </w:rPr>
            </w:pPr>
          </w:p>
        </w:tc>
      </w:tr>
      <w:tr w14:paraId="12991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36" w:type="pct"/>
            <w:vAlign w:val="center"/>
          </w:tcPr>
          <w:p w14:paraId="578CD7EE">
            <w:pPr>
              <w:widowControl/>
              <w:ind w:firstLine="480"/>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自建基站</w:t>
            </w:r>
          </w:p>
        </w:tc>
        <w:tc>
          <w:tcPr>
            <w:tcW w:w="450" w:type="pct"/>
            <w:vAlign w:val="center"/>
          </w:tcPr>
          <w:p w14:paraId="51449FE6">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50B71D9C">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1060" w:type="pct"/>
            <w:vMerge w:val="continue"/>
            <w:vAlign w:val="center"/>
          </w:tcPr>
          <w:p w14:paraId="1BF7C875">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0BD201BB">
            <w:pPr>
              <w:spacing w:line="240" w:lineRule="auto"/>
              <w:ind w:firstLine="0" w:firstLineChars="0"/>
              <w:jc w:val="center"/>
              <w:rPr>
                <w:rFonts w:hint="eastAsia" w:ascii="宋体" w:hAnsi="宋体" w:eastAsia="宋体" w:cs="宋体"/>
                <w:color w:val="000000"/>
                <w:sz w:val="22"/>
                <w:szCs w:val="22"/>
                <w:highlight w:val="none"/>
              </w:rPr>
            </w:pPr>
          </w:p>
        </w:tc>
      </w:tr>
      <w:tr w14:paraId="2F518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36" w:type="pct"/>
            <w:vAlign w:val="center"/>
          </w:tcPr>
          <w:p w14:paraId="1568128B">
            <w:pPr>
              <w:widowControl/>
              <w:ind w:firstLine="480"/>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系统终端</w:t>
            </w:r>
          </w:p>
        </w:tc>
        <w:tc>
          <w:tcPr>
            <w:tcW w:w="450" w:type="pct"/>
            <w:vAlign w:val="center"/>
          </w:tcPr>
          <w:p w14:paraId="549C2800">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05B7691C">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4</w:t>
            </w:r>
          </w:p>
        </w:tc>
        <w:tc>
          <w:tcPr>
            <w:tcW w:w="1060" w:type="pct"/>
            <w:vMerge w:val="continue"/>
            <w:vAlign w:val="center"/>
          </w:tcPr>
          <w:p w14:paraId="68481A3B">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31233914">
            <w:pPr>
              <w:spacing w:line="240" w:lineRule="auto"/>
              <w:ind w:firstLine="0" w:firstLineChars="0"/>
              <w:jc w:val="center"/>
              <w:rPr>
                <w:rFonts w:hint="eastAsia" w:ascii="宋体" w:hAnsi="宋体" w:eastAsia="宋体" w:cs="宋体"/>
                <w:color w:val="000000"/>
                <w:sz w:val="22"/>
                <w:szCs w:val="22"/>
                <w:highlight w:val="none"/>
              </w:rPr>
            </w:pPr>
          </w:p>
        </w:tc>
      </w:tr>
      <w:tr w14:paraId="65863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36" w:type="pct"/>
            <w:vAlign w:val="center"/>
          </w:tcPr>
          <w:p w14:paraId="64BA4B04">
            <w:pPr>
              <w:widowControl/>
              <w:ind w:firstLine="480"/>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机柜</w:t>
            </w:r>
          </w:p>
        </w:tc>
        <w:tc>
          <w:tcPr>
            <w:tcW w:w="450" w:type="pct"/>
            <w:vAlign w:val="center"/>
          </w:tcPr>
          <w:p w14:paraId="59DCC6F9">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05CA153A">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1060" w:type="pct"/>
            <w:vMerge w:val="continue"/>
            <w:vAlign w:val="center"/>
          </w:tcPr>
          <w:p w14:paraId="349D1296">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08DEC708">
            <w:pPr>
              <w:spacing w:line="240" w:lineRule="auto"/>
              <w:ind w:firstLine="0" w:firstLineChars="0"/>
              <w:jc w:val="center"/>
              <w:rPr>
                <w:rFonts w:hint="eastAsia" w:ascii="宋体" w:hAnsi="宋体" w:eastAsia="宋体" w:cs="宋体"/>
                <w:color w:val="000000"/>
                <w:sz w:val="22"/>
                <w:szCs w:val="22"/>
                <w:highlight w:val="none"/>
              </w:rPr>
            </w:pPr>
          </w:p>
        </w:tc>
      </w:tr>
      <w:tr w14:paraId="7249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36" w:type="pct"/>
            <w:vAlign w:val="center"/>
          </w:tcPr>
          <w:p w14:paraId="69D63A9D">
            <w:pPr>
              <w:widowControl/>
              <w:ind w:firstLine="480"/>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驾驶员NFC身份卡</w:t>
            </w:r>
          </w:p>
        </w:tc>
        <w:tc>
          <w:tcPr>
            <w:tcW w:w="450" w:type="pct"/>
            <w:vAlign w:val="center"/>
          </w:tcPr>
          <w:p w14:paraId="5A938C33">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张</w:t>
            </w:r>
          </w:p>
        </w:tc>
        <w:tc>
          <w:tcPr>
            <w:tcW w:w="451" w:type="pct"/>
            <w:vAlign w:val="center"/>
          </w:tcPr>
          <w:p w14:paraId="69766155">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100</w:t>
            </w:r>
          </w:p>
        </w:tc>
        <w:tc>
          <w:tcPr>
            <w:tcW w:w="1060" w:type="pct"/>
            <w:vMerge w:val="continue"/>
            <w:vAlign w:val="center"/>
          </w:tcPr>
          <w:p w14:paraId="7D80EDCA">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562F5E82">
            <w:pPr>
              <w:spacing w:line="240" w:lineRule="auto"/>
              <w:ind w:firstLine="0" w:firstLineChars="0"/>
              <w:jc w:val="center"/>
              <w:rPr>
                <w:rFonts w:hint="eastAsia" w:ascii="宋体" w:hAnsi="宋体" w:eastAsia="宋体" w:cs="宋体"/>
                <w:color w:val="000000"/>
                <w:sz w:val="22"/>
                <w:szCs w:val="22"/>
                <w:highlight w:val="none"/>
              </w:rPr>
            </w:pPr>
          </w:p>
        </w:tc>
      </w:tr>
      <w:tr w14:paraId="135EB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36" w:type="pct"/>
            <w:vAlign w:val="center"/>
          </w:tcPr>
          <w:p w14:paraId="0B83E480">
            <w:pPr>
              <w:widowControl/>
              <w:ind w:firstLine="480"/>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便携式电子定位工牌</w:t>
            </w:r>
          </w:p>
        </w:tc>
        <w:tc>
          <w:tcPr>
            <w:tcW w:w="450" w:type="pct"/>
            <w:vAlign w:val="center"/>
          </w:tcPr>
          <w:p w14:paraId="5DE1C842">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个</w:t>
            </w:r>
          </w:p>
        </w:tc>
        <w:tc>
          <w:tcPr>
            <w:tcW w:w="451" w:type="pct"/>
            <w:vAlign w:val="center"/>
          </w:tcPr>
          <w:p w14:paraId="39CC69F0">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20</w:t>
            </w:r>
          </w:p>
        </w:tc>
        <w:tc>
          <w:tcPr>
            <w:tcW w:w="1060" w:type="pct"/>
            <w:vMerge w:val="continue"/>
            <w:vAlign w:val="center"/>
          </w:tcPr>
          <w:p w14:paraId="7208ED7B">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5B8B8AF5">
            <w:pPr>
              <w:spacing w:line="240" w:lineRule="auto"/>
              <w:ind w:firstLine="0" w:firstLineChars="0"/>
              <w:jc w:val="center"/>
              <w:rPr>
                <w:rFonts w:hint="eastAsia" w:ascii="宋体" w:hAnsi="宋体" w:eastAsia="宋体" w:cs="宋体"/>
                <w:color w:val="000000"/>
                <w:sz w:val="22"/>
                <w:szCs w:val="22"/>
                <w:highlight w:val="none"/>
              </w:rPr>
            </w:pPr>
          </w:p>
        </w:tc>
      </w:tr>
      <w:tr w14:paraId="3D541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2136" w:type="pct"/>
            <w:vAlign w:val="center"/>
          </w:tcPr>
          <w:p w14:paraId="3458CA9F">
            <w:pPr>
              <w:widowControl/>
              <w:ind w:firstLine="480"/>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辅材</w:t>
            </w:r>
          </w:p>
        </w:tc>
        <w:tc>
          <w:tcPr>
            <w:tcW w:w="450" w:type="pct"/>
            <w:vAlign w:val="center"/>
          </w:tcPr>
          <w:p w14:paraId="4D621359">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批</w:t>
            </w:r>
          </w:p>
        </w:tc>
        <w:tc>
          <w:tcPr>
            <w:tcW w:w="451" w:type="pct"/>
            <w:vAlign w:val="center"/>
          </w:tcPr>
          <w:p w14:paraId="468D1227">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w:t>
            </w:r>
          </w:p>
        </w:tc>
        <w:tc>
          <w:tcPr>
            <w:tcW w:w="1060" w:type="pct"/>
            <w:vMerge w:val="continue"/>
            <w:vAlign w:val="center"/>
          </w:tcPr>
          <w:p w14:paraId="2CFE2D53">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2E1D83BF">
            <w:pPr>
              <w:spacing w:line="240" w:lineRule="auto"/>
              <w:ind w:firstLine="0" w:firstLineChars="0"/>
              <w:jc w:val="center"/>
              <w:rPr>
                <w:rFonts w:hint="eastAsia" w:ascii="宋体" w:hAnsi="宋体" w:eastAsia="宋体" w:cs="宋体"/>
                <w:color w:val="000000"/>
                <w:sz w:val="22"/>
                <w:szCs w:val="22"/>
                <w:highlight w:val="none"/>
              </w:rPr>
            </w:pPr>
          </w:p>
        </w:tc>
      </w:tr>
    </w:tbl>
    <w:p w14:paraId="5D3E8FE5">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硬件设施设计</w:t>
      </w:r>
    </w:p>
    <w:p w14:paraId="44233602">
      <w:pPr>
        <w:pageBreakBefore w:val="0"/>
        <w:kinsoku/>
        <w:wordWrap/>
        <w:overflowPunct/>
        <w:topLinePunct w:val="0"/>
        <w:autoSpaceDE/>
        <w:autoSpaceDN/>
        <w:bidi w:val="0"/>
        <w:adjustRightInd/>
        <w:snapToGrid/>
        <w:spacing w:line="400" w:lineRule="exact"/>
        <w:ind w:firstLine="480"/>
        <w:rPr>
          <w:rFonts w:hint="eastAsia" w:ascii="宋体" w:hAnsi="宋体" w:eastAsia="宋体" w:cs="宋体"/>
          <w:szCs w:val="24"/>
          <w:highlight w:val="none"/>
        </w:rPr>
      </w:pPr>
      <w:r>
        <w:rPr>
          <w:rFonts w:hint="eastAsia" w:ascii="宋体" w:hAnsi="宋体" w:eastAsia="宋体" w:cs="宋体"/>
          <w:szCs w:val="24"/>
          <w:highlight w:val="none"/>
        </w:rPr>
        <w:t>本系统建设过程中主要涉及的硬件有</w:t>
      </w:r>
      <w:r>
        <w:rPr>
          <w:rFonts w:hint="eastAsia" w:ascii="宋体" w:hAnsi="宋体" w:eastAsia="宋体" w:cs="宋体"/>
          <w:color w:val="000000"/>
          <w:kern w:val="0"/>
          <w:szCs w:val="24"/>
          <w:highlight w:val="none"/>
          <w:lang w:bidi="ar"/>
        </w:rPr>
        <w:t>车载定位终端</w:t>
      </w:r>
      <w:r>
        <w:rPr>
          <w:rFonts w:hint="eastAsia" w:ascii="宋体" w:hAnsi="宋体" w:eastAsia="宋体" w:cs="宋体"/>
          <w:szCs w:val="24"/>
          <w:highlight w:val="none"/>
        </w:rPr>
        <w:t>、自建基站、服务器、</w:t>
      </w:r>
      <w:r>
        <w:rPr>
          <w:rFonts w:hint="eastAsia" w:ascii="宋体" w:hAnsi="宋体" w:eastAsia="宋体" w:cs="宋体"/>
          <w:color w:val="000000"/>
          <w:kern w:val="0"/>
          <w:szCs w:val="24"/>
          <w:highlight w:val="none"/>
          <w:lang w:bidi="ar"/>
        </w:rPr>
        <w:t>驾驶员NFC身份卡、便携式电子定位工牌</w:t>
      </w:r>
      <w:r>
        <w:rPr>
          <w:rFonts w:hint="eastAsia" w:ascii="宋体" w:hAnsi="宋体" w:eastAsia="宋体" w:cs="宋体"/>
          <w:szCs w:val="24"/>
          <w:highlight w:val="none"/>
        </w:rPr>
        <w:t>等。</w:t>
      </w:r>
    </w:p>
    <w:p w14:paraId="15DBC132">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车载定位终端参数</w:t>
      </w:r>
    </w:p>
    <w:p w14:paraId="2A8F662B">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视频输入：8路AHD+1路IPC路独立输入1.0Vp-p，75Ω</w:t>
      </w:r>
    </w:p>
    <w:p w14:paraId="5A4F52A4">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视频输出：1路PAL/NTSC输出1.0Vp-p，75Ω，复合视频信号</w:t>
      </w:r>
    </w:p>
    <w:p w14:paraId="3022414F">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视频标准：</w:t>
      </w:r>
      <w:r>
        <w:rPr>
          <w:rFonts w:hint="eastAsia" w:ascii="宋体" w:hAnsi="宋体" w:eastAsia="宋体" w:cs="宋体"/>
          <w:color w:val="000000"/>
          <w:kern w:val="0"/>
          <w:szCs w:val="24"/>
          <w:highlight w:val="none"/>
          <w:lang w:bidi="ar"/>
        </w:rPr>
        <w:tab/>
      </w:r>
      <w:r>
        <w:rPr>
          <w:rFonts w:hint="eastAsia" w:ascii="宋体" w:hAnsi="宋体" w:eastAsia="宋体" w:cs="宋体"/>
          <w:color w:val="000000"/>
          <w:kern w:val="0"/>
          <w:szCs w:val="24"/>
          <w:highlight w:val="none"/>
          <w:lang w:bidi="ar"/>
        </w:rPr>
        <w:t>PAL制式：25帧/秒；NTSC制式：30帧/秒</w:t>
      </w:r>
    </w:p>
    <w:p w14:paraId="2D304479">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显示屏：前置2.4寸高亮度LCD屏，128*64单色点阵屏</w:t>
      </w:r>
    </w:p>
    <w:p w14:paraId="2FBFA874">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显示内容：车辆实时行驶状态、硬盘状态、信号情况、信息查询界面、</w:t>
      </w:r>
    </w:p>
    <w:p w14:paraId="66AE4374">
      <w:pPr>
        <w:pageBreakBefore w:val="0"/>
        <w:widowControl/>
        <w:numPr>
          <w:ilvl w:val="255"/>
          <w:numId w:val="0"/>
        </w:numPr>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参数设置等</w:t>
      </w:r>
    </w:p>
    <w:p w14:paraId="465EA6C3">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图像格式：支持PAL:8*1080P（非实时）/720P（实时）/960H（实时）</w:t>
      </w:r>
    </w:p>
    <w:p w14:paraId="383056B7">
      <w:pPr>
        <w:pageBreakBefore w:val="0"/>
        <w:widowControl/>
        <w:numPr>
          <w:ilvl w:val="255"/>
          <w:numId w:val="0"/>
        </w:numPr>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NTSC:8*1080P（非实时）/720P（实时）/960H（实时）</w:t>
      </w:r>
    </w:p>
    <w:p w14:paraId="317B7616">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视频压缩格式：H.264/H.265</w:t>
      </w:r>
    </w:p>
    <w:p w14:paraId="686DE808">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音频压缩格式：G.711A</w:t>
      </w:r>
    </w:p>
    <w:p w14:paraId="5B6B6407">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回放通道：</w:t>
      </w:r>
      <w:r>
        <w:rPr>
          <w:rFonts w:hint="eastAsia" w:ascii="宋体" w:hAnsi="宋体" w:eastAsia="宋体" w:cs="宋体"/>
          <w:color w:val="000000"/>
          <w:kern w:val="0"/>
          <w:szCs w:val="24"/>
          <w:highlight w:val="none"/>
          <w:lang w:bidi="ar"/>
        </w:rPr>
        <w:tab/>
      </w:r>
      <w:r>
        <w:rPr>
          <w:rFonts w:hint="eastAsia" w:ascii="宋体" w:hAnsi="宋体" w:eastAsia="宋体" w:cs="宋体"/>
          <w:color w:val="000000"/>
          <w:kern w:val="0"/>
          <w:szCs w:val="24"/>
          <w:highlight w:val="none"/>
          <w:lang w:bidi="ar"/>
        </w:rPr>
        <w:t>支持本地单通道、多通道回放</w:t>
      </w:r>
    </w:p>
    <w:p w14:paraId="41E95AAD">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回放分辨率：PAL：1或4*1080P；1或4*720P；1或4*960H；</w:t>
      </w:r>
    </w:p>
    <w:p w14:paraId="30487B89">
      <w:pPr>
        <w:pageBreakBefore w:val="0"/>
        <w:widowControl/>
        <w:numPr>
          <w:ilvl w:val="255"/>
          <w:numId w:val="0"/>
        </w:numPr>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NTSC：支持1或4*1080P；1或4*720P；1或4*960H；</w:t>
      </w:r>
      <w:r>
        <w:rPr>
          <w:rFonts w:hint="eastAsia" w:ascii="宋体" w:hAnsi="宋体" w:eastAsia="宋体" w:cs="宋体"/>
          <w:color w:val="000000"/>
          <w:kern w:val="0"/>
          <w:szCs w:val="24"/>
          <w:highlight w:val="none"/>
          <w:lang w:bidi="ar"/>
        </w:rPr>
        <w:cr/>
      </w:r>
      <w:r>
        <w:rPr>
          <w:rFonts w:hint="eastAsia" w:ascii="宋体" w:hAnsi="宋体" w:eastAsia="宋体" w:cs="宋体"/>
          <w:color w:val="000000"/>
          <w:kern w:val="0"/>
          <w:szCs w:val="24"/>
          <w:highlight w:val="none"/>
          <w:lang w:bidi="ar"/>
        </w:rPr>
        <w:t>存储：支持SD卡存储，每张最大容量为128G；支持1*2.5英寸7mm/15mmHDD/SSD硬盘，最大支持4TB</w:t>
      </w:r>
    </w:p>
    <w:p w14:paraId="67B804B1">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定位方式：北斗单模（可选配）</w:t>
      </w:r>
    </w:p>
    <w:p w14:paraId="1998F6E9">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通讯接口：1个前置RS232接口，1个前置USB接口</w:t>
      </w:r>
    </w:p>
    <w:p w14:paraId="1C44FEBF">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1个后置RS485接口，1后置个RS232接口</w:t>
      </w:r>
    </w:p>
    <w:p w14:paraId="1DED9E69">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2路CAN2.0B接口，与车辆通讯系统对接</w:t>
      </w:r>
    </w:p>
    <w:p w14:paraId="3FE2DE63">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1路脉冲速度接口，1个灾备储存接口</w:t>
      </w:r>
    </w:p>
    <w:p w14:paraId="7D7A574D">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IC身份识别卡接口：兼容处理符合ISO14443-1-2-3-4（TYPEA&amp;B）</w:t>
      </w:r>
    </w:p>
    <w:p w14:paraId="59740EEC">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打印：支持车辆行车信息打印</w:t>
      </w:r>
    </w:p>
    <w:p w14:paraId="546D4794">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1路ADAS视频输入，支持车道偏离，前车近距，前车碰撞危险，行人防</w:t>
      </w:r>
    </w:p>
    <w:p w14:paraId="7F5FDC6B">
      <w:pPr>
        <w:pageBreakBefore w:val="0"/>
        <w:widowControl/>
        <w:numPr>
          <w:ilvl w:val="255"/>
          <w:numId w:val="0"/>
        </w:numPr>
        <w:kinsoku/>
        <w:wordWrap/>
        <w:overflowPunct/>
        <w:topLinePunct w:val="0"/>
        <w:autoSpaceDE/>
        <w:autoSpaceDN/>
        <w:bidi w:val="0"/>
        <w:adjustRightInd/>
        <w:snapToGrid/>
        <w:spacing w:line="400" w:lineRule="exact"/>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撞预警等安全报警</w:t>
      </w:r>
    </w:p>
    <w:p w14:paraId="1B97E50B">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电源输入：DC9V~36V</w:t>
      </w:r>
    </w:p>
    <w:p w14:paraId="2D3A8754">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电源输出：12V@1A，5V@1A</w:t>
      </w:r>
    </w:p>
    <w:p w14:paraId="39665B10">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功耗：小于12W（无外设）</w:t>
      </w:r>
    </w:p>
    <w:p w14:paraId="26C03B79">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工作湿度</w:t>
      </w:r>
      <w:r>
        <w:rPr>
          <w:rFonts w:hint="eastAsia" w:ascii="宋体" w:hAnsi="宋体" w:eastAsia="宋体" w:cs="宋体"/>
          <w:color w:val="000000"/>
          <w:kern w:val="0"/>
          <w:szCs w:val="24"/>
          <w:highlight w:val="none"/>
          <w:lang w:bidi="ar"/>
        </w:rPr>
        <w:tab/>
      </w:r>
      <w:r>
        <w:rPr>
          <w:rFonts w:hint="eastAsia" w:ascii="宋体" w:hAnsi="宋体" w:eastAsia="宋体" w:cs="宋体"/>
          <w:color w:val="000000"/>
          <w:kern w:val="0"/>
          <w:szCs w:val="24"/>
          <w:highlight w:val="none"/>
          <w:lang w:bidi="ar"/>
        </w:rPr>
        <w:t>10％~95％</w:t>
      </w:r>
    </w:p>
    <w:p w14:paraId="37B64F73">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外壳防护等级：IP43</w:t>
      </w:r>
    </w:p>
    <w:p w14:paraId="6812B4FC">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支持差分基站</w:t>
      </w:r>
    </w:p>
    <w:p w14:paraId="30B608F4">
      <w:pPr>
        <w:pageBreakBefore w:val="0"/>
        <w:widowControl/>
        <w:numPr>
          <w:ilvl w:val="0"/>
          <w:numId w:val="10"/>
        </w:numPr>
        <w:kinsoku/>
        <w:wordWrap/>
        <w:overflowPunct/>
        <w:topLinePunct w:val="0"/>
        <w:autoSpaceDE/>
        <w:autoSpaceDN/>
        <w:bidi w:val="0"/>
        <w:adjustRightInd/>
        <w:snapToGrid/>
        <w:spacing w:line="400" w:lineRule="exact"/>
        <w:ind w:firstLineChars="0"/>
        <w:jc w:val="left"/>
        <w:textAlignment w:val="center"/>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支持惯导</w:t>
      </w:r>
    </w:p>
    <w:p w14:paraId="52825793">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自建基站参数</w:t>
      </w:r>
    </w:p>
    <w:p w14:paraId="6D66818F">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通道数：80</w:t>
      </w:r>
    </w:p>
    <w:p w14:paraId="10853F04">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更新率：10Hz标配，20Hz</w:t>
      </w:r>
    </w:p>
    <w:p w14:paraId="62CF3DDD">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冷启动：60S</w:t>
      </w:r>
    </w:p>
    <w:p w14:paraId="43853714">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热启支：10S</w:t>
      </w:r>
    </w:p>
    <w:p w14:paraId="689ED467">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输入电压：8—36V带反接和浪涌保护</w:t>
      </w:r>
    </w:p>
    <w:p w14:paraId="304760F7">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静态精度：水平：2.5mm+0.5ppm高程：5mm+0.5ppm</w:t>
      </w:r>
    </w:p>
    <w:p w14:paraId="3D5FACA3">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内置存储：板载32G，无TF卡槽</w:t>
      </w:r>
    </w:p>
    <w:p w14:paraId="1A6EB8F1">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蓝牙：BT5.0+EDR向下兼容/BLE</w:t>
      </w:r>
    </w:p>
    <w:p w14:paraId="24B9B338">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WIFI：802.11b/g/n/ac</w:t>
      </w:r>
    </w:p>
    <w:p w14:paraId="031D31A1">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GNSS：1*TNCfemale，外接GNSS天线</w:t>
      </w:r>
    </w:p>
    <w:p w14:paraId="1205AF81">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ETH：1*RJ45,10/100/1000Mbps</w:t>
      </w:r>
    </w:p>
    <w:p w14:paraId="7F2A9C50">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COM：1*Lemo-0female,9pin,DB9</w:t>
      </w:r>
    </w:p>
    <w:p w14:paraId="20BB9F9A">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尺寸131mm*36.5mm&amp;97mm</w:t>
      </w:r>
    </w:p>
    <w:p w14:paraId="58E69835">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重量：435g</w:t>
      </w:r>
    </w:p>
    <w:p w14:paraId="216A0B1D">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工作温度：-30°~+65°</w:t>
      </w:r>
    </w:p>
    <w:p w14:paraId="7C39138D">
      <w:pPr>
        <w:pageBreakBefore w:val="0"/>
        <w:numPr>
          <w:ilvl w:val="0"/>
          <w:numId w:val="11"/>
        </w:numPr>
        <w:kinsoku/>
        <w:wordWrap/>
        <w:overflowPunct/>
        <w:topLinePunct w:val="0"/>
        <w:autoSpaceDE/>
        <w:autoSpaceDN/>
        <w:bidi w:val="0"/>
        <w:adjustRightInd/>
        <w:snapToGrid/>
        <w:spacing w:line="400" w:lineRule="exact"/>
        <w:ind w:left="845" w:firstLineChars="0"/>
        <w:rPr>
          <w:rFonts w:hint="eastAsia" w:ascii="宋体" w:hAnsi="宋体" w:eastAsia="宋体" w:cs="宋体"/>
          <w:szCs w:val="24"/>
          <w:highlight w:val="none"/>
        </w:rPr>
      </w:pPr>
      <w:r>
        <w:rPr>
          <w:rFonts w:hint="eastAsia" w:ascii="宋体" w:hAnsi="宋体" w:eastAsia="宋体" w:cs="宋体"/>
          <w:szCs w:val="24"/>
          <w:highlight w:val="none"/>
        </w:rPr>
        <w:t>防水防尘：IP67</w:t>
      </w:r>
    </w:p>
    <w:p w14:paraId="34AFF505">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服务器参数</w:t>
      </w:r>
    </w:p>
    <w:p w14:paraId="5D5790C3">
      <w:pPr>
        <w:pageBreakBefore w:val="0"/>
        <w:widowControl/>
        <w:numPr>
          <w:ilvl w:val="0"/>
          <w:numId w:val="12"/>
        </w:numPr>
        <w:kinsoku/>
        <w:wordWrap/>
        <w:overflowPunct/>
        <w:topLinePunct w:val="0"/>
        <w:autoSpaceDE/>
        <w:autoSpaceDN/>
        <w:bidi w:val="0"/>
        <w:adjustRightInd/>
        <w:snapToGrid/>
        <w:spacing w:line="400" w:lineRule="exact"/>
        <w:ind w:left="845"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CPU：配置2颗c86架构国产化处理器，核数≥8核，频率≥3.0GHz</w:t>
      </w:r>
    </w:p>
    <w:p w14:paraId="035981C7">
      <w:pPr>
        <w:pageBreakBefore w:val="0"/>
        <w:widowControl/>
        <w:numPr>
          <w:ilvl w:val="0"/>
          <w:numId w:val="12"/>
        </w:numPr>
        <w:kinsoku/>
        <w:wordWrap/>
        <w:overflowPunct/>
        <w:topLinePunct w:val="0"/>
        <w:autoSpaceDE/>
        <w:autoSpaceDN/>
        <w:bidi w:val="0"/>
        <w:adjustRightInd/>
        <w:snapToGrid/>
        <w:spacing w:line="400" w:lineRule="exact"/>
        <w:ind w:left="845"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内存：配置64G DDR4，8根内存插槽</w:t>
      </w:r>
    </w:p>
    <w:p w14:paraId="1BD46937">
      <w:pPr>
        <w:pageBreakBefore w:val="0"/>
        <w:widowControl/>
        <w:numPr>
          <w:ilvl w:val="0"/>
          <w:numId w:val="12"/>
        </w:numPr>
        <w:kinsoku/>
        <w:wordWrap/>
        <w:overflowPunct/>
        <w:topLinePunct w:val="0"/>
        <w:autoSpaceDE/>
        <w:autoSpaceDN/>
        <w:bidi w:val="0"/>
        <w:adjustRightInd/>
        <w:snapToGrid/>
        <w:spacing w:line="400" w:lineRule="exact"/>
        <w:ind w:left="845"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硬盘：4块600G，SSD</w:t>
      </w:r>
    </w:p>
    <w:p w14:paraId="3ED5261E">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驾驶员NFC身份卡参数</w:t>
      </w:r>
    </w:p>
    <w:p w14:paraId="12241D26">
      <w:pPr>
        <w:pageBreakBefore w:val="0"/>
        <w:widowControl/>
        <w:numPr>
          <w:ilvl w:val="0"/>
          <w:numId w:val="13"/>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材料：PVC、PLA、ABS、PETG</w:t>
      </w:r>
    </w:p>
    <w:p w14:paraId="0E7F02E4">
      <w:pPr>
        <w:pageBreakBefore w:val="0"/>
        <w:widowControl/>
        <w:numPr>
          <w:ilvl w:val="0"/>
          <w:numId w:val="13"/>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读写时间：＜100ms</w:t>
      </w:r>
    </w:p>
    <w:p w14:paraId="399E8E44">
      <w:pPr>
        <w:pageBreakBefore w:val="0"/>
        <w:widowControl/>
        <w:numPr>
          <w:ilvl w:val="0"/>
          <w:numId w:val="13"/>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擦写次数：＞10万次</w:t>
      </w:r>
    </w:p>
    <w:p w14:paraId="12C48B57">
      <w:pPr>
        <w:pageBreakBefore w:val="0"/>
        <w:widowControl/>
        <w:numPr>
          <w:ilvl w:val="0"/>
          <w:numId w:val="13"/>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数据保存：＞10年</w:t>
      </w:r>
    </w:p>
    <w:p w14:paraId="19224AC5">
      <w:pPr>
        <w:pageBreakBefore w:val="0"/>
        <w:widowControl/>
        <w:numPr>
          <w:ilvl w:val="0"/>
          <w:numId w:val="13"/>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工作频率：13.56MHZ</w:t>
      </w:r>
    </w:p>
    <w:p w14:paraId="539B29F4">
      <w:pPr>
        <w:pageBreakBefore w:val="0"/>
        <w:widowControl/>
        <w:numPr>
          <w:ilvl w:val="0"/>
          <w:numId w:val="13"/>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支持协议：ISO14443A/ISO15693/ISO11785/ISO18000-6C</w:t>
      </w:r>
    </w:p>
    <w:p w14:paraId="02A54CF0">
      <w:pPr>
        <w:pageBreakBefore w:val="0"/>
        <w:numPr>
          <w:ilvl w:val="0"/>
          <w:numId w:val="13"/>
        </w:numPr>
        <w:kinsoku/>
        <w:wordWrap/>
        <w:overflowPunct/>
        <w:topLinePunct w:val="0"/>
        <w:autoSpaceDE/>
        <w:autoSpaceDN/>
        <w:bidi w:val="0"/>
        <w:adjustRightInd/>
        <w:snapToGrid/>
        <w:spacing w:line="400" w:lineRule="exact"/>
        <w:ind w:firstLineChars="0"/>
        <w:rPr>
          <w:rFonts w:hint="eastAsia" w:ascii="宋体" w:hAnsi="宋体" w:eastAsia="宋体" w:cs="宋体"/>
          <w:highlight w:val="none"/>
        </w:rPr>
      </w:pPr>
      <w:r>
        <w:rPr>
          <w:rFonts w:hint="eastAsia" w:ascii="宋体" w:hAnsi="宋体" w:eastAsia="宋体" w:cs="宋体"/>
          <w:highlight w:val="none"/>
        </w:rPr>
        <w:t>读写距离：＜10CM</w:t>
      </w:r>
    </w:p>
    <w:p w14:paraId="1A8537C1">
      <w:pPr>
        <w:pageBreakBefore w:val="0"/>
        <w:numPr>
          <w:ilvl w:val="0"/>
          <w:numId w:val="13"/>
        </w:numPr>
        <w:kinsoku/>
        <w:wordWrap/>
        <w:overflowPunct/>
        <w:topLinePunct w:val="0"/>
        <w:autoSpaceDE/>
        <w:autoSpaceDN/>
        <w:bidi w:val="0"/>
        <w:adjustRightInd/>
        <w:snapToGrid/>
        <w:spacing w:line="400" w:lineRule="exact"/>
        <w:ind w:firstLineChars="0"/>
        <w:rPr>
          <w:rFonts w:hint="eastAsia" w:ascii="宋体" w:hAnsi="宋体" w:eastAsia="宋体" w:cs="宋体"/>
          <w:highlight w:val="none"/>
        </w:rPr>
      </w:pPr>
      <w:r>
        <w:rPr>
          <w:rFonts w:hint="eastAsia" w:ascii="宋体" w:hAnsi="宋体" w:eastAsia="宋体" w:cs="宋体"/>
          <w:highlight w:val="none"/>
        </w:rPr>
        <w:t>内存大小：1KB/2KB/4KB/8KB/512B</w:t>
      </w:r>
    </w:p>
    <w:p w14:paraId="03B8B32C">
      <w:pPr>
        <w:pStyle w:val="7"/>
        <w:keepNext/>
        <w:keepLines/>
        <w:pageBreakBefore w:val="0"/>
        <w:widowControl w:val="0"/>
        <w:kinsoku/>
        <w:wordWrap/>
        <w:overflowPunct/>
        <w:topLinePunct w:val="0"/>
        <w:autoSpaceDE/>
        <w:autoSpaceDN/>
        <w:bidi w:val="0"/>
        <w:adjustRightInd/>
        <w:snapToGrid/>
        <w:spacing w:line="400" w:lineRule="exact"/>
        <w:ind w:left="0" w:firstLine="422" w:firstLineChars="200"/>
        <w:jc w:val="left"/>
        <w:textAlignment w:val="auto"/>
        <w:rPr>
          <w:rFonts w:hint="eastAsia"/>
          <w:highlight w:val="none"/>
        </w:rPr>
      </w:pPr>
      <w:r>
        <w:rPr>
          <w:rFonts w:hint="eastAsia"/>
          <w:highlight w:val="none"/>
        </w:rPr>
        <w:t>便携式电子定位工牌参数</w:t>
      </w:r>
    </w:p>
    <w:p w14:paraId="5FBE511C">
      <w:pPr>
        <w:pageBreakBefore w:val="0"/>
        <w:widowControl/>
        <w:numPr>
          <w:ilvl w:val="0"/>
          <w:numId w:val="14"/>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GPS/北斗启动时间：冷启动40秒、热启动3秒</w:t>
      </w:r>
    </w:p>
    <w:p w14:paraId="233A8CDE">
      <w:pPr>
        <w:pageBreakBefore w:val="0"/>
        <w:widowControl/>
        <w:numPr>
          <w:ilvl w:val="0"/>
          <w:numId w:val="14"/>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定位精度：1—5米</w:t>
      </w:r>
    </w:p>
    <w:p w14:paraId="183AF77E">
      <w:pPr>
        <w:pageBreakBefore w:val="0"/>
        <w:widowControl/>
        <w:numPr>
          <w:ilvl w:val="0"/>
          <w:numId w:val="14"/>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速度精度：0.3米/秒</w:t>
      </w:r>
    </w:p>
    <w:p w14:paraId="29356442">
      <w:pPr>
        <w:pageBreakBefore w:val="0"/>
        <w:widowControl/>
        <w:numPr>
          <w:ilvl w:val="0"/>
          <w:numId w:val="14"/>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数据信道：GPRS/CDMA/3G/4G</w:t>
      </w:r>
    </w:p>
    <w:p w14:paraId="0053F665">
      <w:pPr>
        <w:pageBreakBefore w:val="0"/>
        <w:widowControl/>
        <w:numPr>
          <w:ilvl w:val="0"/>
          <w:numId w:val="14"/>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供电方式：自带电池</w:t>
      </w:r>
    </w:p>
    <w:p w14:paraId="30203FEF">
      <w:pPr>
        <w:pageBreakBefore w:val="0"/>
        <w:widowControl/>
        <w:numPr>
          <w:ilvl w:val="0"/>
          <w:numId w:val="14"/>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环境温度：-20℃--70℃</w:t>
      </w:r>
    </w:p>
    <w:p w14:paraId="604172FD">
      <w:pPr>
        <w:pageBreakBefore w:val="0"/>
        <w:widowControl/>
        <w:numPr>
          <w:ilvl w:val="0"/>
          <w:numId w:val="14"/>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长按侧面按钮，两次绿灯闪烁后松开即可开机。</w:t>
      </w:r>
    </w:p>
    <w:p w14:paraId="49E540DB">
      <w:pPr>
        <w:pageBreakBefore w:val="0"/>
        <w:widowControl/>
        <w:numPr>
          <w:ilvl w:val="0"/>
          <w:numId w:val="14"/>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长按该按钮待绿灯灭后松开即可关机。</w:t>
      </w:r>
    </w:p>
    <w:p w14:paraId="7AF5EF71">
      <w:pPr>
        <w:pageBreakBefore w:val="0"/>
        <w:widowControl/>
        <w:numPr>
          <w:ilvl w:val="0"/>
          <w:numId w:val="14"/>
        </w:numPr>
        <w:kinsoku/>
        <w:wordWrap/>
        <w:overflowPunct/>
        <w:topLinePunct w:val="0"/>
        <w:autoSpaceDE/>
        <w:autoSpaceDN/>
        <w:bidi w:val="0"/>
        <w:adjustRightInd/>
        <w:snapToGrid/>
        <w:spacing w:line="400" w:lineRule="exact"/>
        <w:ind w:firstLineChars="0"/>
        <w:jc w:val="left"/>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为防止误触，按钮已做可靠内凹设计，按下按钮时请适当用力。</w:t>
      </w:r>
    </w:p>
    <w:p w14:paraId="47EFB2BE">
      <w:pPr>
        <w:pStyle w:val="6"/>
        <w:pageBreakBefore w:val="0"/>
        <w:kinsoku/>
        <w:wordWrap/>
        <w:overflowPunct/>
        <w:topLinePunct w:val="0"/>
        <w:autoSpaceDE/>
        <w:autoSpaceDN/>
        <w:bidi w:val="0"/>
        <w:adjustRightInd/>
        <w:snapToGrid/>
        <w:spacing w:line="400" w:lineRule="exact"/>
        <w:rPr>
          <w:rFonts w:hint="eastAsia"/>
          <w:highlight w:val="none"/>
        </w:rPr>
      </w:pPr>
      <w:r>
        <w:rPr>
          <w:rFonts w:hint="eastAsia"/>
          <w:highlight w:val="none"/>
        </w:rPr>
        <w:t>信息传输量</w:t>
      </w:r>
    </w:p>
    <w:p w14:paraId="51A9040E">
      <w:pPr>
        <w:pageBreakBefore w:val="0"/>
        <w:kinsoku/>
        <w:wordWrap/>
        <w:overflowPunct/>
        <w:topLinePunct w:val="0"/>
        <w:autoSpaceDE/>
        <w:autoSpaceDN/>
        <w:bidi w:val="0"/>
        <w:adjustRightInd/>
        <w:snapToGrid/>
        <w:spacing w:line="400" w:lineRule="exact"/>
        <w:ind w:firstLine="480"/>
        <w:rPr>
          <w:rFonts w:hint="eastAsia" w:ascii="宋体" w:hAnsi="宋体" w:eastAsia="宋体" w:cs="宋体"/>
          <w:szCs w:val="24"/>
          <w:highlight w:val="none"/>
        </w:rPr>
      </w:pPr>
      <w:r>
        <w:rPr>
          <w:rFonts w:hint="eastAsia" w:ascii="宋体" w:hAnsi="宋体" w:eastAsia="宋体" w:cs="宋体"/>
          <w:szCs w:val="24"/>
          <w:highlight w:val="none"/>
        </w:rPr>
        <w:t>主要应用场景是对车辆调用和回放，车载设备接入车前及车内两路视频监控摄像头。计算方法如下：</w:t>
      </w:r>
    </w:p>
    <w:p w14:paraId="5C0D6F8A">
      <w:pPr>
        <w:pageBreakBefore w:val="0"/>
        <w:kinsoku/>
        <w:wordWrap/>
        <w:overflowPunct/>
        <w:topLinePunct w:val="0"/>
        <w:autoSpaceDE/>
        <w:autoSpaceDN/>
        <w:bidi w:val="0"/>
        <w:adjustRightInd/>
        <w:snapToGrid/>
        <w:spacing w:line="400" w:lineRule="exact"/>
        <w:ind w:firstLine="480"/>
        <w:rPr>
          <w:rFonts w:hint="eastAsia" w:ascii="宋体" w:hAnsi="宋体" w:eastAsia="宋体" w:cs="宋体"/>
          <w:szCs w:val="24"/>
          <w:highlight w:val="none"/>
        </w:rPr>
      </w:pPr>
      <w:r>
        <w:rPr>
          <w:rFonts w:hint="eastAsia" w:ascii="宋体" w:hAnsi="宋体" w:eastAsia="宋体" w:cs="宋体"/>
          <w:szCs w:val="24"/>
          <w:highlight w:val="none"/>
        </w:rPr>
        <w:t>机场特种车单日流量计算：按720P（对应码率1024kpbs），调用在线视频播放平均1分钟消耗流量约8M。按单台车最长1个小时播放时长计算，日流量消耗约8Mx1x60=480M，月流量消耗约480M x 30=1.44G；</w:t>
      </w:r>
    </w:p>
    <w:p w14:paraId="0A7CF4E7">
      <w:pPr>
        <w:pageBreakBefore w:val="0"/>
        <w:kinsoku/>
        <w:wordWrap/>
        <w:overflowPunct/>
        <w:topLinePunct w:val="0"/>
        <w:autoSpaceDE/>
        <w:autoSpaceDN/>
        <w:bidi w:val="0"/>
        <w:adjustRightInd/>
        <w:snapToGrid/>
        <w:spacing w:line="400" w:lineRule="exact"/>
        <w:ind w:firstLine="480"/>
        <w:rPr>
          <w:rFonts w:hint="eastAsia" w:ascii="宋体" w:hAnsi="宋体" w:eastAsia="宋体" w:cs="宋体"/>
          <w:szCs w:val="24"/>
          <w:highlight w:val="none"/>
        </w:rPr>
      </w:pPr>
      <w:r>
        <w:rPr>
          <w:rFonts w:hint="eastAsia" w:ascii="宋体" w:hAnsi="宋体" w:eastAsia="宋体" w:cs="宋体"/>
          <w:szCs w:val="24"/>
          <w:highlight w:val="none"/>
        </w:rPr>
        <w:t>按1080P（对应码率3500kpbs），调用在线视频播放平均1分钟消耗流量约27M，按单台车最长1个小时播放时长计算，日流量消耗约27Mx1x60=1620MB，月流量消耗约1.62x30=48.6G。</w:t>
      </w:r>
    </w:p>
    <w:p w14:paraId="76CBE761">
      <w:pPr>
        <w:pageBreakBefore w:val="0"/>
        <w:kinsoku/>
        <w:wordWrap/>
        <w:overflowPunct/>
        <w:topLinePunct w:val="0"/>
        <w:autoSpaceDE/>
        <w:autoSpaceDN/>
        <w:bidi w:val="0"/>
        <w:adjustRightInd/>
        <w:snapToGrid/>
        <w:spacing w:line="400" w:lineRule="exact"/>
        <w:ind w:firstLine="480"/>
        <w:rPr>
          <w:rFonts w:hint="eastAsia" w:ascii="宋体" w:hAnsi="宋体" w:eastAsia="宋体" w:cs="宋体"/>
          <w:highlight w:val="none"/>
        </w:rPr>
      </w:pPr>
      <w:r>
        <w:rPr>
          <w:rFonts w:hint="eastAsia" w:ascii="宋体" w:hAnsi="宋体" w:eastAsia="宋体" w:cs="宋体"/>
          <w:szCs w:val="24"/>
          <w:highlight w:val="none"/>
        </w:rPr>
        <w:t>车辆定位设备流量单卡（自建机场专网卡）按3秒更新频次，每日运行时长12小时计算，每月消耗流量约1.5G，按年计算约为1.5G*12月=18G。</w:t>
      </w:r>
    </w:p>
    <w:p w14:paraId="07786D8D">
      <w:pPr>
        <w:pStyle w:val="6"/>
        <w:pageBreakBefore w:val="0"/>
        <w:kinsoku/>
        <w:wordWrap/>
        <w:overflowPunct/>
        <w:topLinePunct w:val="0"/>
        <w:autoSpaceDE/>
        <w:autoSpaceDN/>
        <w:bidi w:val="0"/>
        <w:adjustRightInd/>
        <w:snapToGrid/>
        <w:spacing w:line="400" w:lineRule="exact"/>
        <w:rPr>
          <w:rFonts w:hint="eastAsia"/>
          <w:highlight w:val="none"/>
        </w:rPr>
      </w:pPr>
      <w:r>
        <w:rPr>
          <w:rFonts w:hint="eastAsia"/>
          <w:highlight w:val="none"/>
        </w:rPr>
        <w:t>存储量要求</w:t>
      </w:r>
    </w:p>
    <w:p w14:paraId="320F70B2">
      <w:pPr>
        <w:pageBreakBefore w:val="0"/>
        <w:kinsoku/>
        <w:wordWrap/>
        <w:overflowPunct/>
        <w:topLinePunct w:val="0"/>
        <w:autoSpaceDE/>
        <w:autoSpaceDN/>
        <w:bidi w:val="0"/>
        <w:adjustRightInd/>
        <w:snapToGrid/>
        <w:spacing w:line="400" w:lineRule="exact"/>
        <w:ind w:firstLine="480"/>
        <w:rPr>
          <w:rFonts w:hint="eastAsia" w:ascii="宋体" w:hAnsi="宋体" w:eastAsia="宋体" w:cs="宋体"/>
          <w:highlight w:val="none"/>
        </w:rPr>
      </w:pPr>
      <w:r>
        <w:rPr>
          <w:rFonts w:hint="eastAsia" w:ascii="宋体" w:hAnsi="宋体" w:eastAsia="宋体" w:cs="宋体"/>
          <w:highlight w:val="none"/>
        </w:rPr>
        <w:t>存储量需求是指系统在一定时间内需要存储的数据总量。结合之前的信息量分析，系统需具备以下存储能力：</w:t>
      </w:r>
    </w:p>
    <w:p w14:paraId="15633887">
      <w:pPr>
        <w:pageBreakBefore w:val="0"/>
        <w:kinsoku/>
        <w:wordWrap/>
        <w:overflowPunct/>
        <w:topLinePunct w:val="0"/>
        <w:autoSpaceDE/>
        <w:autoSpaceDN/>
        <w:bidi w:val="0"/>
        <w:adjustRightInd/>
        <w:snapToGrid/>
        <w:spacing w:line="400" w:lineRule="exact"/>
        <w:ind w:firstLine="480"/>
        <w:rPr>
          <w:rFonts w:hint="eastAsia" w:ascii="宋体" w:hAnsi="宋体" w:eastAsia="宋体" w:cs="宋体"/>
          <w:szCs w:val="24"/>
          <w:highlight w:val="none"/>
        </w:rPr>
      </w:pPr>
      <w:r>
        <w:rPr>
          <w:rFonts w:hint="eastAsia" w:ascii="宋体" w:hAnsi="宋体" w:eastAsia="宋体" w:cs="宋体"/>
          <w:szCs w:val="24"/>
          <w:highlight w:val="none"/>
        </w:rPr>
        <w:t>车辆基础信息、车辆实时定位信息、围栏信息、资证信息、违规记录、巡检单、航空器ADS-B数据、航班动态数据、航班保障节点数据、机位占用信息、告警信息、驾驶员信息、设备信息、用户部门及权限信息、系统日志等多源数据存储。每日运态数据量（车辆定位、航班动态数据、保障节点、机位占用、告警信息等）新增数据量按100台车辆约100M/天计算，按年计算约为36.5G。按保存3年历史数据，总量约为110G</w:t>
      </w:r>
    </w:p>
    <w:p w14:paraId="1A7C610C">
      <w:pPr>
        <w:pageBreakBefore w:val="0"/>
        <w:kinsoku/>
        <w:wordWrap/>
        <w:overflowPunct/>
        <w:topLinePunct w:val="0"/>
        <w:autoSpaceDE/>
        <w:autoSpaceDN/>
        <w:bidi w:val="0"/>
        <w:adjustRightInd/>
        <w:snapToGrid/>
        <w:spacing w:line="400" w:lineRule="exact"/>
        <w:ind w:firstLine="480"/>
        <w:rPr>
          <w:rFonts w:hint="eastAsia" w:ascii="宋体" w:hAnsi="宋体" w:eastAsia="宋体" w:cs="宋体"/>
          <w:szCs w:val="24"/>
          <w:highlight w:val="none"/>
        </w:rPr>
      </w:pPr>
      <w:r>
        <w:rPr>
          <w:rFonts w:hint="eastAsia" w:ascii="宋体" w:hAnsi="宋体" w:eastAsia="宋体" w:cs="宋体"/>
          <w:szCs w:val="24"/>
          <w:highlight w:val="none"/>
        </w:rPr>
        <w:t>车辆定位设备流量单卡（自建机场专网卡）按3秒更新频次，每日运行时长12小时计算，每月消耗流量约1.5G，按年计算约为1.5G*12月=18G。</w:t>
      </w:r>
    </w:p>
    <w:p w14:paraId="30A3C035">
      <w:pPr>
        <w:pageBreakBefore w:val="0"/>
        <w:numPr>
          <w:ilvl w:val="0"/>
          <w:numId w:val="15"/>
        </w:numPr>
        <w:kinsoku/>
        <w:wordWrap/>
        <w:overflowPunct/>
        <w:topLinePunct w:val="0"/>
        <w:autoSpaceDE/>
        <w:autoSpaceDN/>
        <w:bidi w:val="0"/>
        <w:adjustRightInd/>
        <w:snapToGrid/>
        <w:spacing w:line="400" w:lineRule="exact"/>
        <w:ind w:left="0" w:firstLine="480"/>
        <w:rPr>
          <w:rFonts w:hint="eastAsia" w:ascii="宋体" w:hAnsi="宋体" w:eastAsia="宋体" w:cs="宋体"/>
          <w:highlight w:val="none"/>
        </w:rPr>
      </w:pPr>
      <w:r>
        <w:rPr>
          <w:rFonts w:hint="eastAsia" w:ascii="宋体" w:hAnsi="宋体" w:eastAsia="宋体" w:cs="宋体"/>
          <w:highlight w:val="none"/>
        </w:rPr>
        <w:t>日常数据存储：系统需支持每日数据增量存储，确保数据安全和可追溯。</w:t>
      </w:r>
    </w:p>
    <w:p w14:paraId="15118999">
      <w:pPr>
        <w:pageBreakBefore w:val="0"/>
        <w:numPr>
          <w:ilvl w:val="0"/>
          <w:numId w:val="15"/>
        </w:numPr>
        <w:kinsoku/>
        <w:wordWrap/>
        <w:overflowPunct/>
        <w:topLinePunct w:val="0"/>
        <w:autoSpaceDE/>
        <w:autoSpaceDN/>
        <w:bidi w:val="0"/>
        <w:adjustRightInd/>
        <w:snapToGrid/>
        <w:spacing w:line="400" w:lineRule="exact"/>
        <w:ind w:left="0" w:firstLine="480"/>
        <w:rPr>
          <w:rFonts w:hint="eastAsia" w:ascii="宋体" w:hAnsi="宋体" w:eastAsia="宋体" w:cs="宋体"/>
          <w:highlight w:val="none"/>
        </w:rPr>
      </w:pPr>
      <w:r>
        <w:rPr>
          <w:rFonts w:hint="eastAsia" w:ascii="宋体" w:hAnsi="宋体" w:eastAsia="宋体" w:cs="宋体"/>
          <w:highlight w:val="none"/>
        </w:rPr>
        <w:t>历史数据存储：系统需具备至少3年历史数据的存储能力，总存储量约</w:t>
      </w:r>
    </w:p>
    <w:p w14:paraId="5CD86BFA">
      <w:pPr>
        <w:pageBreakBefore w:val="0"/>
        <w:numPr>
          <w:ilvl w:val="255"/>
          <w:numId w:val="0"/>
        </w:numPr>
        <w:kinsoku/>
        <w:wordWrap/>
        <w:overflowPunct/>
        <w:topLinePunct w:val="0"/>
        <w:autoSpaceDE/>
        <w:autoSpaceDN/>
        <w:bidi w:val="0"/>
        <w:adjustRightInd/>
        <w:snapToGrid/>
        <w:spacing w:line="400" w:lineRule="exact"/>
        <w:rPr>
          <w:rFonts w:hint="eastAsia" w:ascii="宋体" w:hAnsi="宋体" w:eastAsia="宋体" w:cs="宋体"/>
          <w:highlight w:val="none"/>
        </w:rPr>
      </w:pPr>
      <w:r>
        <w:rPr>
          <w:rFonts w:hint="eastAsia" w:ascii="宋体" w:hAnsi="宋体" w:eastAsia="宋体" w:cs="宋体"/>
          <w:highlight w:val="none"/>
        </w:rPr>
        <w:t>为</w:t>
      </w:r>
      <w:r>
        <w:rPr>
          <w:rFonts w:hint="eastAsia" w:ascii="宋体" w:hAnsi="宋体" w:eastAsia="宋体" w:cs="宋体"/>
          <w:sz w:val="28"/>
          <w:szCs w:val="28"/>
          <w:highlight w:val="none"/>
        </w:rPr>
        <w:t>110G</w:t>
      </w:r>
      <w:r>
        <w:rPr>
          <w:rFonts w:hint="eastAsia" w:ascii="宋体" w:hAnsi="宋体" w:eastAsia="宋体" w:cs="宋体"/>
          <w:highlight w:val="none"/>
        </w:rPr>
        <w:t>。数据需按类别进行存储和管理，确保数据的可用性和访问速度。</w:t>
      </w:r>
    </w:p>
    <w:p w14:paraId="75B334E7">
      <w:pPr>
        <w:pageBreakBefore w:val="0"/>
        <w:numPr>
          <w:ilvl w:val="0"/>
          <w:numId w:val="15"/>
        </w:numPr>
        <w:kinsoku/>
        <w:wordWrap/>
        <w:overflowPunct/>
        <w:topLinePunct w:val="0"/>
        <w:autoSpaceDE/>
        <w:autoSpaceDN/>
        <w:bidi w:val="0"/>
        <w:adjustRightInd/>
        <w:snapToGrid/>
        <w:spacing w:line="400" w:lineRule="exact"/>
        <w:ind w:left="0" w:firstLine="480"/>
        <w:rPr>
          <w:rFonts w:hint="eastAsia" w:ascii="宋体" w:hAnsi="宋体" w:eastAsia="宋体" w:cs="宋体"/>
          <w:highlight w:val="none"/>
        </w:rPr>
      </w:pPr>
      <w:r>
        <w:rPr>
          <w:rFonts w:hint="eastAsia" w:ascii="宋体" w:hAnsi="宋体" w:eastAsia="宋体" w:cs="宋体"/>
          <w:highlight w:val="none"/>
        </w:rPr>
        <w:t>可扩展性要求：可扩展性是指系统在面对业务增长时，能够灵活扩展其计算和存储资源，保证系统持续高效运行。</w:t>
      </w:r>
    </w:p>
    <w:p w14:paraId="77016F03">
      <w:pPr>
        <w:pageBreakBefore w:val="0"/>
        <w:numPr>
          <w:ilvl w:val="0"/>
          <w:numId w:val="15"/>
        </w:numPr>
        <w:kinsoku/>
        <w:wordWrap/>
        <w:overflowPunct/>
        <w:topLinePunct w:val="0"/>
        <w:autoSpaceDE/>
        <w:autoSpaceDN/>
        <w:bidi w:val="0"/>
        <w:adjustRightInd/>
        <w:snapToGrid/>
        <w:spacing w:line="400" w:lineRule="exact"/>
        <w:ind w:left="0" w:firstLine="480"/>
        <w:rPr>
          <w:rFonts w:hint="eastAsia" w:ascii="宋体" w:hAnsi="宋体" w:eastAsia="宋体" w:cs="宋体"/>
          <w:highlight w:val="none"/>
        </w:rPr>
      </w:pPr>
      <w:r>
        <w:rPr>
          <w:rFonts w:hint="eastAsia" w:ascii="宋体" w:hAnsi="宋体" w:eastAsia="宋体" w:cs="宋体"/>
          <w:highlight w:val="none"/>
        </w:rPr>
        <w:t>水平扩展能力：系统架构需支持水平扩展，能够通过增加服务器和存储设备</w:t>
      </w:r>
    </w:p>
    <w:p w14:paraId="0D0CB1EA">
      <w:pPr>
        <w:pageBreakBefore w:val="0"/>
        <w:numPr>
          <w:ilvl w:val="255"/>
          <w:numId w:val="0"/>
        </w:numPr>
        <w:kinsoku/>
        <w:wordWrap/>
        <w:overflowPunct/>
        <w:topLinePunct w:val="0"/>
        <w:autoSpaceDE/>
        <w:autoSpaceDN/>
        <w:bidi w:val="0"/>
        <w:adjustRightInd/>
        <w:snapToGrid/>
        <w:spacing w:line="400" w:lineRule="exact"/>
        <w:rPr>
          <w:rFonts w:hint="eastAsia" w:ascii="宋体" w:hAnsi="宋体" w:eastAsia="宋体" w:cs="宋体"/>
          <w:highlight w:val="none"/>
        </w:rPr>
      </w:pPr>
      <w:r>
        <w:rPr>
          <w:rFonts w:hint="eastAsia" w:ascii="宋体" w:hAnsi="宋体" w:eastAsia="宋体" w:cs="宋体"/>
          <w:highlight w:val="none"/>
        </w:rPr>
        <w:t>来提升系统性能和容量。需具备自动负载均衡功能，确保新增资源能够迅速投入使用。垂直扩展能力：</w:t>
      </w:r>
    </w:p>
    <w:p w14:paraId="3B12202C">
      <w:pPr>
        <w:pageBreakBefore w:val="0"/>
        <w:numPr>
          <w:ilvl w:val="0"/>
          <w:numId w:val="15"/>
        </w:numPr>
        <w:kinsoku/>
        <w:wordWrap/>
        <w:overflowPunct/>
        <w:topLinePunct w:val="0"/>
        <w:autoSpaceDE/>
        <w:autoSpaceDN/>
        <w:bidi w:val="0"/>
        <w:adjustRightInd/>
        <w:snapToGrid/>
        <w:spacing w:line="400" w:lineRule="exact"/>
        <w:ind w:left="0" w:firstLine="480"/>
        <w:rPr>
          <w:rFonts w:hint="eastAsia" w:ascii="宋体" w:hAnsi="宋体" w:eastAsia="宋体" w:cs="宋体"/>
          <w:highlight w:val="none"/>
        </w:rPr>
      </w:pPr>
      <w:r>
        <w:rPr>
          <w:rFonts w:hint="eastAsia" w:ascii="宋体" w:hAnsi="宋体" w:eastAsia="宋体" w:cs="宋体"/>
          <w:highlight w:val="none"/>
        </w:rPr>
        <w:t>系统需支持垂直扩展，能够通过提升单台服务器的处理能力（如增加CPU、</w:t>
      </w:r>
    </w:p>
    <w:p w14:paraId="4168FA5F">
      <w:pPr>
        <w:pageBreakBefore w:val="0"/>
        <w:numPr>
          <w:ilvl w:val="255"/>
          <w:numId w:val="0"/>
        </w:numPr>
        <w:kinsoku/>
        <w:wordWrap/>
        <w:overflowPunct/>
        <w:topLinePunct w:val="0"/>
        <w:autoSpaceDE/>
        <w:autoSpaceDN/>
        <w:bidi w:val="0"/>
        <w:adjustRightInd/>
        <w:snapToGrid/>
        <w:spacing w:line="400" w:lineRule="exact"/>
        <w:rPr>
          <w:rFonts w:hint="eastAsia" w:ascii="宋体" w:hAnsi="宋体" w:eastAsia="宋体" w:cs="宋体"/>
          <w:highlight w:val="none"/>
        </w:rPr>
      </w:pPr>
      <w:r>
        <w:rPr>
          <w:rFonts w:hint="eastAsia" w:ascii="宋体" w:hAnsi="宋体" w:eastAsia="宋体" w:cs="宋体"/>
          <w:highlight w:val="none"/>
        </w:rPr>
        <w:t>内存等）来提升系统性能。数据库和存储系统需支持动态扩展，不影响现有数据的完整性和可用性。</w:t>
      </w:r>
    </w:p>
    <w:p w14:paraId="7359E5CD">
      <w:pPr>
        <w:pStyle w:val="6"/>
        <w:pageBreakBefore w:val="0"/>
        <w:kinsoku/>
        <w:wordWrap/>
        <w:overflowPunct/>
        <w:topLinePunct w:val="0"/>
        <w:autoSpaceDE/>
        <w:autoSpaceDN/>
        <w:bidi w:val="0"/>
        <w:adjustRightInd/>
        <w:snapToGrid/>
        <w:spacing w:line="400" w:lineRule="exact"/>
        <w:rPr>
          <w:rFonts w:hint="eastAsia"/>
          <w:highlight w:val="none"/>
        </w:rPr>
      </w:pPr>
      <w:r>
        <w:rPr>
          <w:rFonts w:hint="eastAsia"/>
          <w:highlight w:val="none"/>
        </w:rPr>
        <w:t>系统性能要求</w:t>
      </w:r>
    </w:p>
    <w:p w14:paraId="5AD1DAC3">
      <w:pPr>
        <w:pageBreakBefore w:val="0"/>
        <w:kinsoku/>
        <w:wordWrap/>
        <w:overflowPunct/>
        <w:topLinePunct w:val="0"/>
        <w:autoSpaceDE/>
        <w:autoSpaceDN/>
        <w:bidi w:val="0"/>
        <w:adjustRightInd/>
        <w:snapToGrid/>
        <w:spacing w:line="400" w:lineRule="exact"/>
        <w:ind w:firstLine="480"/>
        <w:rPr>
          <w:rFonts w:hint="eastAsia" w:ascii="宋体" w:hAnsi="宋体" w:eastAsia="宋体" w:cs="宋体"/>
          <w:highlight w:val="none"/>
        </w:rPr>
      </w:pPr>
      <w:r>
        <w:rPr>
          <w:rFonts w:hint="eastAsia" w:ascii="宋体" w:hAnsi="宋体" w:eastAsia="宋体" w:cs="宋体"/>
          <w:highlight w:val="none"/>
        </w:rPr>
        <w:t>系统能力的具体指标要求如下：</w:t>
      </w:r>
    </w:p>
    <w:p w14:paraId="3FC25D41">
      <w:pPr>
        <w:pageBreakBefore w:val="0"/>
        <w:numPr>
          <w:ilvl w:val="0"/>
          <w:numId w:val="16"/>
        </w:numPr>
        <w:kinsoku/>
        <w:wordWrap/>
        <w:overflowPunct/>
        <w:topLinePunct w:val="0"/>
        <w:autoSpaceDE/>
        <w:autoSpaceDN/>
        <w:bidi w:val="0"/>
        <w:adjustRightInd/>
        <w:snapToGrid/>
        <w:spacing w:line="400" w:lineRule="exact"/>
        <w:ind w:left="0" w:firstLine="480"/>
        <w:rPr>
          <w:rFonts w:hint="eastAsia" w:ascii="宋体" w:hAnsi="宋体" w:eastAsia="宋体" w:cs="宋体"/>
          <w:highlight w:val="none"/>
        </w:rPr>
      </w:pPr>
      <w:r>
        <w:rPr>
          <w:rFonts w:hint="eastAsia" w:ascii="宋体" w:hAnsi="宋体" w:eastAsia="宋体" w:cs="宋体"/>
          <w:highlight w:val="none"/>
        </w:rPr>
        <w:t>响应速度：关键任务响应时间&lt;1秒，平均响应时间&lt;2秒。并发处理能力：</w:t>
      </w:r>
    </w:p>
    <w:p w14:paraId="1E806E77">
      <w:pPr>
        <w:pageBreakBefore w:val="0"/>
        <w:numPr>
          <w:ilvl w:val="255"/>
          <w:numId w:val="0"/>
        </w:numPr>
        <w:kinsoku/>
        <w:wordWrap/>
        <w:overflowPunct/>
        <w:topLinePunct w:val="0"/>
        <w:autoSpaceDE/>
        <w:autoSpaceDN/>
        <w:bidi w:val="0"/>
        <w:adjustRightInd/>
        <w:snapToGrid/>
        <w:spacing w:line="400" w:lineRule="exact"/>
        <w:rPr>
          <w:rFonts w:hint="eastAsia" w:ascii="宋体" w:hAnsi="宋体" w:eastAsia="宋体" w:cs="宋体"/>
          <w:highlight w:val="none"/>
        </w:rPr>
      </w:pPr>
      <w:r>
        <w:rPr>
          <w:rFonts w:hint="eastAsia" w:ascii="宋体" w:hAnsi="宋体" w:eastAsia="宋体" w:cs="宋体"/>
          <w:highlight w:val="none"/>
        </w:rPr>
        <w:t>支持≥600个并发用户，数据库支持≥600个并发写操作和6000个并发读操作。</w:t>
      </w:r>
    </w:p>
    <w:p w14:paraId="401A9BA1">
      <w:pPr>
        <w:pageBreakBefore w:val="0"/>
        <w:numPr>
          <w:ilvl w:val="0"/>
          <w:numId w:val="16"/>
        </w:numPr>
        <w:kinsoku/>
        <w:wordWrap/>
        <w:overflowPunct/>
        <w:topLinePunct w:val="0"/>
        <w:autoSpaceDE/>
        <w:autoSpaceDN/>
        <w:bidi w:val="0"/>
        <w:adjustRightInd/>
        <w:snapToGrid/>
        <w:spacing w:line="400" w:lineRule="exact"/>
        <w:ind w:left="0" w:firstLine="480"/>
        <w:rPr>
          <w:rFonts w:hint="eastAsia" w:ascii="宋体" w:hAnsi="宋体" w:eastAsia="宋体" w:cs="宋体"/>
          <w:highlight w:val="none"/>
        </w:rPr>
      </w:pPr>
      <w:r>
        <w:rPr>
          <w:rFonts w:hint="eastAsia" w:ascii="宋体" w:hAnsi="宋体" w:eastAsia="宋体" w:cs="宋体"/>
          <w:highlight w:val="none"/>
        </w:rPr>
        <w:t>稳定性：全年无故障运行时间≥99.9%。</w:t>
      </w:r>
    </w:p>
    <w:p w14:paraId="57D14581">
      <w:pPr>
        <w:pageBreakBefore w:val="0"/>
        <w:numPr>
          <w:ilvl w:val="0"/>
          <w:numId w:val="16"/>
        </w:numPr>
        <w:kinsoku/>
        <w:wordWrap/>
        <w:overflowPunct/>
        <w:topLinePunct w:val="0"/>
        <w:autoSpaceDE/>
        <w:autoSpaceDN/>
        <w:bidi w:val="0"/>
        <w:adjustRightInd/>
        <w:snapToGrid/>
        <w:spacing w:line="400" w:lineRule="exact"/>
        <w:ind w:left="0" w:firstLine="480"/>
        <w:rPr>
          <w:rFonts w:hint="eastAsia" w:ascii="宋体" w:hAnsi="宋体" w:eastAsia="宋体" w:cs="宋体"/>
          <w:highlight w:val="none"/>
        </w:rPr>
      </w:pPr>
      <w:r>
        <w:rPr>
          <w:rFonts w:hint="eastAsia" w:ascii="宋体" w:hAnsi="宋体" w:eastAsia="宋体" w:cs="宋体"/>
          <w:highlight w:val="none"/>
        </w:rPr>
        <w:t>存储量：总存储量≥110G。</w:t>
      </w:r>
    </w:p>
    <w:p w14:paraId="126453C9">
      <w:pPr>
        <w:pageBreakBefore w:val="0"/>
        <w:numPr>
          <w:ilvl w:val="0"/>
          <w:numId w:val="16"/>
        </w:numPr>
        <w:kinsoku/>
        <w:wordWrap/>
        <w:overflowPunct/>
        <w:topLinePunct w:val="0"/>
        <w:autoSpaceDE/>
        <w:autoSpaceDN/>
        <w:bidi w:val="0"/>
        <w:adjustRightInd/>
        <w:snapToGrid/>
        <w:spacing w:line="400" w:lineRule="exact"/>
        <w:ind w:left="0" w:firstLine="480"/>
        <w:rPr>
          <w:rFonts w:hint="eastAsia" w:ascii="宋体" w:hAnsi="宋体" w:eastAsia="宋体" w:cs="宋体"/>
          <w:highlight w:val="none"/>
        </w:rPr>
      </w:pPr>
      <w:r>
        <w:rPr>
          <w:rFonts w:hint="eastAsia" w:ascii="宋体" w:hAnsi="宋体" w:eastAsia="宋体" w:cs="宋体"/>
          <w:highlight w:val="none"/>
        </w:rPr>
        <w:t>扩展性：支持水平和垂直扩展，具备自动负载均衡功能。</w:t>
      </w:r>
    </w:p>
    <w:p w14:paraId="2DEF0B68">
      <w:pPr>
        <w:pageBreakBefore w:val="0"/>
        <w:numPr>
          <w:ilvl w:val="0"/>
          <w:numId w:val="16"/>
        </w:numPr>
        <w:kinsoku/>
        <w:wordWrap/>
        <w:overflowPunct/>
        <w:topLinePunct w:val="0"/>
        <w:autoSpaceDE/>
        <w:autoSpaceDN/>
        <w:bidi w:val="0"/>
        <w:adjustRightInd/>
        <w:snapToGrid/>
        <w:spacing w:line="400" w:lineRule="exact"/>
        <w:ind w:left="0" w:firstLine="480"/>
        <w:rPr>
          <w:rFonts w:hint="eastAsia" w:ascii="宋体" w:hAnsi="宋体" w:eastAsia="宋体" w:cs="宋体"/>
          <w:highlight w:val="none"/>
        </w:rPr>
      </w:pPr>
      <w:r>
        <w:rPr>
          <w:rFonts w:hint="eastAsia" w:ascii="宋体" w:hAnsi="宋体" w:eastAsia="宋体" w:cs="宋体"/>
          <w:highlight w:val="none"/>
        </w:rPr>
        <w:t>易用性：界面友好，操作简便，提供多语言支持和智能搜索功能。</w:t>
      </w:r>
    </w:p>
    <w:p w14:paraId="46954FE6">
      <w:pPr>
        <w:pageBreakBefore w:val="0"/>
        <w:numPr>
          <w:ilvl w:val="0"/>
          <w:numId w:val="16"/>
        </w:numPr>
        <w:kinsoku/>
        <w:wordWrap/>
        <w:overflowPunct/>
        <w:topLinePunct w:val="0"/>
        <w:autoSpaceDE/>
        <w:autoSpaceDN/>
        <w:bidi w:val="0"/>
        <w:adjustRightInd/>
        <w:snapToGrid/>
        <w:spacing w:line="400" w:lineRule="exact"/>
        <w:ind w:left="0" w:firstLine="480"/>
        <w:rPr>
          <w:rFonts w:hint="eastAsia" w:ascii="宋体" w:hAnsi="宋体" w:eastAsia="宋体" w:cs="宋体"/>
          <w:highlight w:val="none"/>
        </w:rPr>
      </w:pPr>
      <w:r>
        <w:rPr>
          <w:rFonts w:hint="eastAsia" w:ascii="宋体" w:hAnsi="宋体" w:eastAsia="宋体" w:cs="宋体"/>
          <w:highlight w:val="none"/>
        </w:rPr>
        <w:t>数据处理精度：数据准确率≥99.99%，确保数据一致性。</w:t>
      </w:r>
    </w:p>
    <w:p w14:paraId="69271074">
      <w:pPr>
        <w:pStyle w:val="5"/>
        <w:keepNext/>
        <w:keepLines/>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数据库设计</w:t>
      </w:r>
    </w:p>
    <w:p w14:paraId="1AAF338B">
      <w:pPr>
        <w:pStyle w:val="6"/>
        <w:keepNext/>
        <w:keepLines/>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用户表</w:t>
      </w:r>
    </w:p>
    <w:p w14:paraId="4E592992">
      <w:pPr>
        <w:pStyle w:val="65"/>
        <w:rPr>
          <w:rFonts w:hint="eastAsia" w:ascii="宋体" w:hAnsi="宋体" w:eastAsia="宋体" w:cs="宋体"/>
          <w:highlight w:val="none"/>
        </w:rPr>
      </w:pPr>
      <w:r>
        <w:rPr>
          <w:rFonts w:hint="eastAsia" w:ascii="宋体" w:hAnsi="宋体" w:eastAsia="宋体" w:cs="宋体"/>
          <w:highlight w:val="none"/>
        </w:rPr>
        <w:t>用户表</w:t>
      </w:r>
    </w:p>
    <w:tbl>
      <w:tblPr>
        <w:tblStyle w:val="34"/>
        <w:tblpPr w:leftFromText="180" w:rightFromText="180" w:vertAnchor="text" w:horzAnchor="page" w:tblpX="1899" w:tblpY="107"/>
        <w:tblOverlap w:val="never"/>
        <w:tblW w:w="51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2665"/>
        <w:gridCol w:w="924"/>
        <w:gridCol w:w="1159"/>
        <w:gridCol w:w="2049"/>
      </w:tblGrid>
      <w:tr w14:paraId="184F6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blHeader/>
        </w:trPr>
        <w:tc>
          <w:tcPr>
            <w:tcW w:w="1379" w:type="pct"/>
            <w:shd w:val="clear" w:color="auto" w:fill="auto"/>
            <w:tcMar>
              <w:top w:w="15" w:type="dxa"/>
              <w:left w:w="15" w:type="dxa"/>
              <w:bottom w:w="15" w:type="dxa"/>
              <w:right w:w="15" w:type="dxa"/>
            </w:tcMar>
            <w:vAlign w:val="center"/>
          </w:tcPr>
          <w:p w14:paraId="2D51EB75">
            <w:pPr>
              <w:ind w:firstLine="422"/>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字段</w:t>
            </w:r>
          </w:p>
        </w:tc>
        <w:tc>
          <w:tcPr>
            <w:tcW w:w="1419" w:type="pct"/>
            <w:shd w:val="clear" w:color="auto" w:fill="auto"/>
            <w:tcMar>
              <w:top w:w="15" w:type="dxa"/>
              <w:left w:w="15" w:type="dxa"/>
              <w:bottom w:w="15" w:type="dxa"/>
              <w:right w:w="15" w:type="dxa"/>
            </w:tcMar>
            <w:vAlign w:val="center"/>
          </w:tcPr>
          <w:p w14:paraId="21500287">
            <w:pPr>
              <w:ind w:firstLine="422"/>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类型</w:t>
            </w:r>
          </w:p>
        </w:tc>
        <w:tc>
          <w:tcPr>
            <w:tcW w:w="491" w:type="pct"/>
            <w:shd w:val="clear" w:color="auto" w:fill="auto"/>
            <w:tcMar>
              <w:top w:w="15" w:type="dxa"/>
              <w:left w:w="15" w:type="dxa"/>
              <w:bottom w:w="15" w:type="dxa"/>
              <w:right w:w="15" w:type="dxa"/>
            </w:tcMar>
            <w:vAlign w:val="center"/>
          </w:tcPr>
          <w:p w14:paraId="22E0EC82">
            <w:pPr>
              <w:ind w:firstLine="0" w:firstLineChars="0"/>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允许空</w:t>
            </w:r>
          </w:p>
        </w:tc>
        <w:tc>
          <w:tcPr>
            <w:tcW w:w="617" w:type="pct"/>
            <w:shd w:val="clear" w:color="auto" w:fill="auto"/>
            <w:tcMar>
              <w:top w:w="15" w:type="dxa"/>
              <w:left w:w="15" w:type="dxa"/>
              <w:bottom w:w="15" w:type="dxa"/>
              <w:right w:w="15" w:type="dxa"/>
            </w:tcMar>
            <w:vAlign w:val="center"/>
          </w:tcPr>
          <w:p w14:paraId="4D725060">
            <w:pPr>
              <w:ind w:firstLine="422"/>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默认</w:t>
            </w:r>
          </w:p>
        </w:tc>
        <w:tc>
          <w:tcPr>
            <w:tcW w:w="1091" w:type="pct"/>
            <w:shd w:val="clear" w:color="auto" w:fill="auto"/>
            <w:tcMar>
              <w:top w:w="15" w:type="dxa"/>
              <w:left w:w="15" w:type="dxa"/>
              <w:bottom w:w="15" w:type="dxa"/>
              <w:right w:w="15" w:type="dxa"/>
            </w:tcMar>
            <w:vAlign w:val="center"/>
          </w:tcPr>
          <w:p w14:paraId="370C51CA">
            <w:pPr>
              <w:ind w:firstLine="422"/>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注释</w:t>
            </w:r>
          </w:p>
        </w:tc>
      </w:tr>
      <w:tr w14:paraId="772C6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9" w:type="pct"/>
            <w:tcMar>
              <w:top w:w="15" w:type="dxa"/>
              <w:left w:w="15" w:type="dxa"/>
              <w:bottom w:w="15" w:type="dxa"/>
              <w:right w:w="15" w:type="dxa"/>
            </w:tcMar>
            <w:vAlign w:val="center"/>
          </w:tcPr>
          <w:p w14:paraId="2E3358DA">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id</w:t>
            </w:r>
          </w:p>
        </w:tc>
        <w:tc>
          <w:tcPr>
            <w:tcW w:w="1419" w:type="pct"/>
            <w:tcMar>
              <w:top w:w="15" w:type="dxa"/>
              <w:left w:w="15" w:type="dxa"/>
              <w:bottom w:w="15" w:type="dxa"/>
              <w:right w:w="15" w:type="dxa"/>
            </w:tcMar>
            <w:vAlign w:val="center"/>
          </w:tcPr>
          <w:p w14:paraId="663E3561">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uuid</w:t>
            </w:r>
          </w:p>
        </w:tc>
        <w:tc>
          <w:tcPr>
            <w:tcW w:w="491" w:type="pct"/>
            <w:tcMar>
              <w:top w:w="15" w:type="dxa"/>
              <w:left w:w="15" w:type="dxa"/>
              <w:bottom w:w="15" w:type="dxa"/>
              <w:right w:w="15" w:type="dxa"/>
            </w:tcMar>
            <w:vAlign w:val="center"/>
          </w:tcPr>
          <w:p w14:paraId="79B22A3E">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NO</w:t>
            </w:r>
          </w:p>
        </w:tc>
        <w:tc>
          <w:tcPr>
            <w:tcW w:w="617" w:type="pct"/>
            <w:tcMar>
              <w:top w:w="15" w:type="dxa"/>
              <w:left w:w="15" w:type="dxa"/>
              <w:bottom w:w="15" w:type="dxa"/>
              <w:right w:w="15" w:type="dxa"/>
            </w:tcMar>
            <w:vAlign w:val="center"/>
          </w:tcPr>
          <w:p w14:paraId="34F4B1EC">
            <w:pPr>
              <w:ind w:firstLine="420"/>
              <w:rPr>
                <w:rFonts w:hint="eastAsia" w:ascii="宋体" w:hAnsi="宋体" w:eastAsia="宋体" w:cs="宋体"/>
                <w:sz w:val="21"/>
                <w:szCs w:val="21"/>
                <w:highlight w:val="none"/>
              </w:rPr>
            </w:pPr>
          </w:p>
        </w:tc>
        <w:tc>
          <w:tcPr>
            <w:tcW w:w="1091" w:type="pct"/>
            <w:tcMar>
              <w:top w:w="15" w:type="dxa"/>
              <w:left w:w="15" w:type="dxa"/>
              <w:bottom w:w="15" w:type="dxa"/>
              <w:right w:w="15" w:type="dxa"/>
            </w:tcMar>
            <w:vAlign w:val="center"/>
          </w:tcPr>
          <w:p w14:paraId="21CF0F20">
            <w:pPr>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用户id</w:t>
            </w:r>
          </w:p>
        </w:tc>
      </w:tr>
      <w:tr w14:paraId="0F02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9" w:type="pct"/>
            <w:tcMar>
              <w:top w:w="15" w:type="dxa"/>
              <w:left w:w="15" w:type="dxa"/>
              <w:bottom w:w="15" w:type="dxa"/>
              <w:right w:w="15" w:type="dxa"/>
            </w:tcMar>
            <w:vAlign w:val="center"/>
          </w:tcPr>
          <w:p w14:paraId="77E9047D">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username</w:t>
            </w:r>
          </w:p>
        </w:tc>
        <w:tc>
          <w:tcPr>
            <w:tcW w:w="1419" w:type="pct"/>
            <w:tcMar>
              <w:top w:w="15" w:type="dxa"/>
              <w:left w:w="15" w:type="dxa"/>
              <w:bottom w:w="15" w:type="dxa"/>
              <w:right w:w="15" w:type="dxa"/>
            </w:tcMar>
            <w:vAlign w:val="center"/>
          </w:tcPr>
          <w:p w14:paraId="701F5EE2">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text</w:t>
            </w:r>
          </w:p>
        </w:tc>
        <w:tc>
          <w:tcPr>
            <w:tcW w:w="491" w:type="pct"/>
            <w:tcMar>
              <w:top w:w="15" w:type="dxa"/>
              <w:left w:w="15" w:type="dxa"/>
              <w:bottom w:w="15" w:type="dxa"/>
              <w:right w:w="15" w:type="dxa"/>
            </w:tcMar>
            <w:vAlign w:val="center"/>
          </w:tcPr>
          <w:p w14:paraId="6C597591">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NO</w:t>
            </w:r>
          </w:p>
        </w:tc>
        <w:tc>
          <w:tcPr>
            <w:tcW w:w="617" w:type="pct"/>
            <w:tcMar>
              <w:top w:w="15" w:type="dxa"/>
              <w:left w:w="15" w:type="dxa"/>
              <w:bottom w:w="15" w:type="dxa"/>
              <w:right w:w="15" w:type="dxa"/>
            </w:tcMar>
            <w:vAlign w:val="center"/>
          </w:tcPr>
          <w:p w14:paraId="6787A4B3">
            <w:pPr>
              <w:ind w:firstLine="420"/>
              <w:rPr>
                <w:rFonts w:hint="eastAsia" w:ascii="宋体" w:hAnsi="宋体" w:eastAsia="宋体" w:cs="宋体"/>
                <w:sz w:val="21"/>
                <w:szCs w:val="21"/>
                <w:highlight w:val="none"/>
              </w:rPr>
            </w:pPr>
          </w:p>
        </w:tc>
        <w:tc>
          <w:tcPr>
            <w:tcW w:w="1091" w:type="pct"/>
            <w:tcMar>
              <w:top w:w="15" w:type="dxa"/>
              <w:left w:w="15" w:type="dxa"/>
              <w:bottom w:w="15" w:type="dxa"/>
              <w:right w:w="15" w:type="dxa"/>
            </w:tcMar>
            <w:vAlign w:val="center"/>
          </w:tcPr>
          <w:p w14:paraId="0F934E1B">
            <w:pPr>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用户名称</w:t>
            </w:r>
          </w:p>
        </w:tc>
      </w:tr>
      <w:tr w14:paraId="39C7C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9" w:type="pct"/>
            <w:tcMar>
              <w:top w:w="15" w:type="dxa"/>
              <w:left w:w="15" w:type="dxa"/>
              <w:bottom w:w="15" w:type="dxa"/>
              <w:right w:w="15" w:type="dxa"/>
            </w:tcMar>
            <w:vAlign w:val="center"/>
          </w:tcPr>
          <w:p w14:paraId="1E5D3B5B">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password</w:t>
            </w:r>
          </w:p>
        </w:tc>
        <w:tc>
          <w:tcPr>
            <w:tcW w:w="1419" w:type="pct"/>
            <w:tcMar>
              <w:top w:w="15" w:type="dxa"/>
              <w:left w:w="15" w:type="dxa"/>
              <w:bottom w:w="15" w:type="dxa"/>
              <w:right w:w="15" w:type="dxa"/>
            </w:tcMar>
            <w:vAlign w:val="center"/>
          </w:tcPr>
          <w:p w14:paraId="1F853449">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text</w:t>
            </w:r>
          </w:p>
        </w:tc>
        <w:tc>
          <w:tcPr>
            <w:tcW w:w="491" w:type="pct"/>
            <w:tcMar>
              <w:top w:w="15" w:type="dxa"/>
              <w:left w:w="15" w:type="dxa"/>
              <w:bottom w:w="15" w:type="dxa"/>
              <w:right w:w="15" w:type="dxa"/>
            </w:tcMar>
            <w:vAlign w:val="center"/>
          </w:tcPr>
          <w:p w14:paraId="71F699A2">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NO</w:t>
            </w:r>
          </w:p>
        </w:tc>
        <w:tc>
          <w:tcPr>
            <w:tcW w:w="617" w:type="pct"/>
            <w:tcMar>
              <w:top w:w="15" w:type="dxa"/>
              <w:left w:w="15" w:type="dxa"/>
              <w:bottom w:w="15" w:type="dxa"/>
              <w:right w:w="15" w:type="dxa"/>
            </w:tcMar>
            <w:vAlign w:val="center"/>
          </w:tcPr>
          <w:p w14:paraId="247529D1">
            <w:pPr>
              <w:ind w:firstLine="420"/>
              <w:rPr>
                <w:rFonts w:hint="eastAsia" w:ascii="宋体" w:hAnsi="宋体" w:eastAsia="宋体" w:cs="宋体"/>
                <w:sz w:val="21"/>
                <w:szCs w:val="21"/>
                <w:highlight w:val="none"/>
              </w:rPr>
            </w:pPr>
          </w:p>
        </w:tc>
        <w:tc>
          <w:tcPr>
            <w:tcW w:w="1091" w:type="pct"/>
            <w:tcMar>
              <w:top w:w="15" w:type="dxa"/>
              <w:left w:w="15" w:type="dxa"/>
              <w:bottom w:w="15" w:type="dxa"/>
              <w:right w:w="15" w:type="dxa"/>
            </w:tcMar>
            <w:vAlign w:val="center"/>
          </w:tcPr>
          <w:p w14:paraId="0B40013A">
            <w:pPr>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密码</w:t>
            </w:r>
          </w:p>
        </w:tc>
      </w:tr>
      <w:tr w14:paraId="4A41C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9" w:type="pct"/>
            <w:tcMar>
              <w:top w:w="15" w:type="dxa"/>
              <w:left w:w="15" w:type="dxa"/>
              <w:bottom w:w="15" w:type="dxa"/>
              <w:right w:w="15" w:type="dxa"/>
            </w:tcMar>
            <w:vAlign w:val="center"/>
          </w:tcPr>
          <w:p w14:paraId="0892A1D8">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fullname</w:t>
            </w:r>
          </w:p>
        </w:tc>
        <w:tc>
          <w:tcPr>
            <w:tcW w:w="1419" w:type="pct"/>
            <w:tcMar>
              <w:top w:w="15" w:type="dxa"/>
              <w:left w:w="15" w:type="dxa"/>
              <w:bottom w:w="15" w:type="dxa"/>
              <w:right w:w="15" w:type="dxa"/>
            </w:tcMar>
            <w:vAlign w:val="center"/>
          </w:tcPr>
          <w:p w14:paraId="7557EADF">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text</w:t>
            </w:r>
          </w:p>
        </w:tc>
        <w:tc>
          <w:tcPr>
            <w:tcW w:w="491" w:type="pct"/>
            <w:tcMar>
              <w:top w:w="15" w:type="dxa"/>
              <w:left w:w="15" w:type="dxa"/>
              <w:bottom w:w="15" w:type="dxa"/>
              <w:right w:w="15" w:type="dxa"/>
            </w:tcMar>
            <w:vAlign w:val="center"/>
          </w:tcPr>
          <w:p w14:paraId="690E9EC8">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YES</w:t>
            </w:r>
          </w:p>
        </w:tc>
        <w:tc>
          <w:tcPr>
            <w:tcW w:w="617" w:type="pct"/>
            <w:tcMar>
              <w:top w:w="15" w:type="dxa"/>
              <w:left w:w="15" w:type="dxa"/>
              <w:bottom w:w="15" w:type="dxa"/>
              <w:right w:w="15" w:type="dxa"/>
            </w:tcMar>
            <w:vAlign w:val="center"/>
          </w:tcPr>
          <w:p w14:paraId="193B0ADE">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NULL</w:t>
            </w:r>
          </w:p>
        </w:tc>
        <w:tc>
          <w:tcPr>
            <w:tcW w:w="1091" w:type="pct"/>
            <w:tcMar>
              <w:top w:w="15" w:type="dxa"/>
              <w:left w:w="15" w:type="dxa"/>
              <w:bottom w:w="15" w:type="dxa"/>
              <w:right w:w="15" w:type="dxa"/>
            </w:tcMar>
            <w:vAlign w:val="center"/>
          </w:tcPr>
          <w:p w14:paraId="7ED6B107">
            <w:pPr>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用户全名称</w:t>
            </w:r>
          </w:p>
        </w:tc>
      </w:tr>
      <w:tr w14:paraId="780B7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9" w:type="pct"/>
            <w:tcMar>
              <w:top w:w="15" w:type="dxa"/>
              <w:left w:w="15" w:type="dxa"/>
              <w:bottom w:w="15" w:type="dxa"/>
              <w:right w:w="15" w:type="dxa"/>
            </w:tcMar>
            <w:vAlign w:val="center"/>
          </w:tcPr>
          <w:p w14:paraId="67C2C48C">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token</w:t>
            </w:r>
          </w:p>
        </w:tc>
        <w:tc>
          <w:tcPr>
            <w:tcW w:w="1419" w:type="pct"/>
            <w:tcMar>
              <w:top w:w="15" w:type="dxa"/>
              <w:left w:w="15" w:type="dxa"/>
              <w:bottom w:w="15" w:type="dxa"/>
              <w:right w:w="15" w:type="dxa"/>
            </w:tcMar>
            <w:vAlign w:val="center"/>
          </w:tcPr>
          <w:p w14:paraId="139710EA">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varchar(100)</w:t>
            </w:r>
          </w:p>
        </w:tc>
        <w:tc>
          <w:tcPr>
            <w:tcW w:w="491" w:type="pct"/>
            <w:tcMar>
              <w:top w:w="15" w:type="dxa"/>
              <w:left w:w="15" w:type="dxa"/>
              <w:bottom w:w="15" w:type="dxa"/>
              <w:right w:w="15" w:type="dxa"/>
            </w:tcMar>
            <w:vAlign w:val="center"/>
          </w:tcPr>
          <w:p w14:paraId="61A5A130">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YES</w:t>
            </w:r>
          </w:p>
        </w:tc>
        <w:tc>
          <w:tcPr>
            <w:tcW w:w="617" w:type="pct"/>
            <w:tcMar>
              <w:top w:w="15" w:type="dxa"/>
              <w:left w:w="15" w:type="dxa"/>
              <w:bottom w:w="15" w:type="dxa"/>
              <w:right w:w="15" w:type="dxa"/>
            </w:tcMar>
            <w:vAlign w:val="center"/>
          </w:tcPr>
          <w:p w14:paraId="13B8AFCF">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NULL</w:t>
            </w:r>
          </w:p>
        </w:tc>
        <w:tc>
          <w:tcPr>
            <w:tcW w:w="1091" w:type="pct"/>
            <w:tcMar>
              <w:top w:w="15" w:type="dxa"/>
              <w:left w:w="15" w:type="dxa"/>
              <w:bottom w:w="15" w:type="dxa"/>
              <w:right w:w="15" w:type="dxa"/>
            </w:tcMar>
            <w:vAlign w:val="center"/>
          </w:tcPr>
          <w:p w14:paraId="596AD762">
            <w:pPr>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用户token</w:t>
            </w:r>
          </w:p>
        </w:tc>
      </w:tr>
      <w:tr w14:paraId="3CD7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9" w:type="pct"/>
            <w:tcMar>
              <w:top w:w="15" w:type="dxa"/>
              <w:left w:w="15" w:type="dxa"/>
              <w:bottom w:w="15" w:type="dxa"/>
              <w:right w:w="15" w:type="dxa"/>
            </w:tcMar>
            <w:vAlign w:val="center"/>
          </w:tcPr>
          <w:p w14:paraId="3BA0D7B5">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adminis</w:t>
            </w:r>
          </w:p>
        </w:tc>
        <w:tc>
          <w:tcPr>
            <w:tcW w:w="1419" w:type="pct"/>
            <w:tcMar>
              <w:top w:w="15" w:type="dxa"/>
              <w:left w:w="15" w:type="dxa"/>
              <w:bottom w:w="15" w:type="dxa"/>
              <w:right w:w="15" w:type="dxa"/>
            </w:tcMar>
            <w:vAlign w:val="center"/>
          </w:tcPr>
          <w:p w14:paraId="5DC03AEF">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boolean</w:t>
            </w:r>
          </w:p>
        </w:tc>
        <w:tc>
          <w:tcPr>
            <w:tcW w:w="491" w:type="pct"/>
            <w:tcMar>
              <w:top w:w="15" w:type="dxa"/>
              <w:left w:w="15" w:type="dxa"/>
              <w:bottom w:w="15" w:type="dxa"/>
              <w:right w:w="15" w:type="dxa"/>
            </w:tcMar>
            <w:vAlign w:val="center"/>
          </w:tcPr>
          <w:p w14:paraId="3C5B3639">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NO</w:t>
            </w:r>
          </w:p>
        </w:tc>
        <w:tc>
          <w:tcPr>
            <w:tcW w:w="617" w:type="pct"/>
            <w:tcMar>
              <w:top w:w="15" w:type="dxa"/>
              <w:left w:w="15" w:type="dxa"/>
              <w:bottom w:w="15" w:type="dxa"/>
              <w:right w:w="15" w:type="dxa"/>
            </w:tcMar>
            <w:vAlign w:val="center"/>
          </w:tcPr>
          <w:p w14:paraId="12CB44AF">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false</w:t>
            </w:r>
          </w:p>
        </w:tc>
        <w:tc>
          <w:tcPr>
            <w:tcW w:w="1091" w:type="pct"/>
            <w:tcMar>
              <w:top w:w="15" w:type="dxa"/>
              <w:left w:w="15" w:type="dxa"/>
              <w:bottom w:w="15" w:type="dxa"/>
              <w:right w:w="15" w:type="dxa"/>
            </w:tcMar>
            <w:vAlign w:val="center"/>
          </w:tcPr>
          <w:p w14:paraId="306437C7">
            <w:pPr>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是否管理员</w:t>
            </w:r>
          </w:p>
        </w:tc>
      </w:tr>
      <w:tr w14:paraId="63E3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9" w:type="pct"/>
            <w:tcMar>
              <w:top w:w="15" w:type="dxa"/>
              <w:left w:w="15" w:type="dxa"/>
              <w:bottom w:w="15" w:type="dxa"/>
              <w:right w:w="15" w:type="dxa"/>
            </w:tcMar>
            <w:vAlign w:val="center"/>
          </w:tcPr>
          <w:p w14:paraId="44484BA9">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airport</w:t>
            </w:r>
          </w:p>
        </w:tc>
        <w:tc>
          <w:tcPr>
            <w:tcW w:w="1419" w:type="pct"/>
            <w:tcMar>
              <w:top w:w="15" w:type="dxa"/>
              <w:left w:w="15" w:type="dxa"/>
              <w:bottom w:w="15" w:type="dxa"/>
              <w:right w:w="15" w:type="dxa"/>
            </w:tcMar>
            <w:vAlign w:val="center"/>
          </w:tcPr>
          <w:p w14:paraId="41DE1379">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varchar(5)</w:t>
            </w:r>
          </w:p>
        </w:tc>
        <w:tc>
          <w:tcPr>
            <w:tcW w:w="491" w:type="pct"/>
            <w:tcMar>
              <w:top w:w="15" w:type="dxa"/>
              <w:left w:w="15" w:type="dxa"/>
              <w:bottom w:w="15" w:type="dxa"/>
              <w:right w:w="15" w:type="dxa"/>
            </w:tcMar>
            <w:vAlign w:val="center"/>
          </w:tcPr>
          <w:p w14:paraId="5D2B8BF5">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YES</w:t>
            </w:r>
          </w:p>
        </w:tc>
        <w:tc>
          <w:tcPr>
            <w:tcW w:w="617" w:type="pct"/>
            <w:tcMar>
              <w:top w:w="15" w:type="dxa"/>
              <w:left w:w="15" w:type="dxa"/>
              <w:bottom w:w="15" w:type="dxa"/>
              <w:right w:w="15" w:type="dxa"/>
            </w:tcMar>
            <w:vAlign w:val="center"/>
          </w:tcPr>
          <w:p w14:paraId="6AF95AC7">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NULL</w:t>
            </w:r>
          </w:p>
        </w:tc>
        <w:tc>
          <w:tcPr>
            <w:tcW w:w="1091" w:type="pct"/>
            <w:tcMar>
              <w:top w:w="15" w:type="dxa"/>
              <w:left w:w="15" w:type="dxa"/>
              <w:bottom w:w="15" w:type="dxa"/>
              <w:right w:w="15" w:type="dxa"/>
            </w:tcMar>
            <w:vAlign w:val="center"/>
          </w:tcPr>
          <w:p w14:paraId="4C8AE73A">
            <w:pPr>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所属机场三字码</w:t>
            </w:r>
          </w:p>
        </w:tc>
      </w:tr>
      <w:tr w14:paraId="47FA6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9" w:type="pct"/>
            <w:tcMar>
              <w:top w:w="15" w:type="dxa"/>
              <w:left w:w="15" w:type="dxa"/>
              <w:bottom w:w="15" w:type="dxa"/>
              <w:right w:w="15" w:type="dxa"/>
            </w:tcMar>
            <w:vAlign w:val="center"/>
          </w:tcPr>
          <w:p w14:paraId="59796051">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config</w:t>
            </w:r>
          </w:p>
        </w:tc>
        <w:tc>
          <w:tcPr>
            <w:tcW w:w="1419" w:type="pct"/>
            <w:tcMar>
              <w:top w:w="15" w:type="dxa"/>
              <w:left w:w="15" w:type="dxa"/>
              <w:bottom w:w="15" w:type="dxa"/>
              <w:right w:w="15" w:type="dxa"/>
            </w:tcMar>
            <w:vAlign w:val="center"/>
          </w:tcPr>
          <w:p w14:paraId="34A40BA3">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jsonb</w:t>
            </w:r>
          </w:p>
        </w:tc>
        <w:tc>
          <w:tcPr>
            <w:tcW w:w="491" w:type="pct"/>
            <w:tcMar>
              <w:top w:w="15" w:type="dxa"/>
              <w:left w:w="15" w:type="dxa"/>
              <w:bottom w:w="15" w:type="dxa"/>
              <w:right w:w="15" w:type="dxa"/>
            </w:tcMar>
            <w:vAlign w:val="center"/>
          </w:tcPr>
          <w:p w14:paraId="5AFEE37C">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YES</w:t>
            </w:r>
          </w:p>
        </w:tc>
        <w:tc>
          <w:tcPr>
            <w:tcW w:w="617" w:type="pct"/>
            <w:tcMar>
              <w:top w:w="15" w:type="dxa"/>
              <w:left w:w="15" w:type="dxa"/>
              <w:bottom w:w="15" w:type="dxa"/>
              <w:right w:w="15" w:type="dxa"/>
            </w:tcMar>
            <w:vAlign w:val="center"/>
          </w:tcPr>
          <w:p w14:paraId="16DC82B9">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NULL</w:t>
            </w:r>
          </w:p>
        </w:tc>
        <w:tc>
          <w:tcPr>
            <w:tcW w:w="1091" w:type="pct"/>
            <w:tcMar>
              <w:top w:w="15" w:type="dxa"/>
              <w:left w:w="15" w:type="dxa"/>
              <w:bottom w:w="15" w:type="dxa"/>
              <w:right w:w="15" w:type="dxa"/>
            </w:tcMar>
            <w:vAlign w:val="center"/>
          </w:tcPr>
          <w:p w14:paraId="4CD840C0">
            <w:pPr>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用户配置</w:t>
            </w:r>
          </w:p>
        </w:tc>
      </w:tr>
      <w:tr w14:paraId="21322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9" w:type="pct"/>
            <w:tcMar>
              <w:top w:w="15" w:type="dxa"/>
              <w:left w:w="15" w:type="dxa"/>
              <w:bottom w:w="15" w:type="dxa"/>
              <w:right w:w="15" w:type="dxa"/>
            </w:tcMar>
            <w:vAlign w:val="center"/>
          </w:tcPr>
          <w:p w14:paraId="48CC6176">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expire</w:t>
            </w:r>
          </w:p>
        </w:tc>
        <w:tc>
          <w:tcPr>
            <w:tcW w:w="1419" w:type="pct"/>
            <w:tcMar>
              <w:top w:w="15" w:type="dxa"/>
              <w:left w:w="15" w:type="dxa"/>
              <w:bottom w:w="15" w:type="dxa"/>
              <w:right w:w="15" w:type="dxa"/>
            </w:tcMar>
            <w:vAlign w:val="center"/>
          </w:tcPr>
          <w:p w14:paraId="2FE44480">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bigint</w:t>
            </w:r>
          </w:p>
        </w:tc>
        <w:tc>
          <w:tcPr>
            <w:tcW w:w="491" w:type="pct"/>
            <w:tcMar>
              <w:top w:w="15" w:type="dxa"/>
              <w:left w:w="15" w:type="dxa"/>
              <w:bottom w:w="15" w:type="dxa"/>
              <w:right w:w="15" w:type="dxa"/>
            </w:tcMar>
            <w:vAlign w:val="center"/>
          </w:tcPr>
          <w:p w14:paraId="762380F9">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YES</w:t>
            </w:r>
          </w:p>
        </w:tc>
        <w:tc>
          <w:tcPr>
            <w:tcW w:w="617" w:type="pct"/>
            <w:tcMar>
              <w:top w:w="15" w:type="dxa"/>
              <w:left w:w="15" w:type="dxa"/>
              <w:bottom w:w="15" w:type="dxa"/>
              <w:right w:w="15" w:type="dxa"/>
            </w:tcMar>
            <w:vAlign w:val="center"/>
          </w:tcPr>
          <w:p w14:paraId="50F7BCA6">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NULL</w:t>
            </w:r>
          </w:p>
        </w:tc>
        <w:tc>
          <w:tcPr>
            <w:tcW w:w="1091" w:type="pct"/>
            <w:tcMar>
              <w:top w:w="15" w:type="dxa"/>
              <w:left w:w="15" w:type="dxa"/>
              <w:bottom w:w="15" w:type="dxa"/>
              <w:right w:w="15" w:type="dxa"/>
            </w:tcMar>
            <w:vAlign w:val="center"/>
          </w:tcPr>
          <w:p w14:paraId="32030DB4">
            <w:pPr>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用户账号过期时间</w:t>
            </w:r>
          </w:p>
        </w:tc>
      </w:tr>
      <w:tr w14:paraId="7600F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9" w:type="pct"/>
            <w:tcMar>
              <w:top w:w="15" w:type="dxa"/>
              <w:left w:w="15" w:type="dxa"/>
              <w:bottom w:w="15" w:type="dxa"/>
              <w:right w:w="15" w:type="dxa"/>
            </w:tcMar>
            <w:vAlign w:val="center"/>
          </w:tcPr>
          <w:p w14:paraId="34FA2EE1">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createtime</w:t>
            </w:r>
          </w:p>
        </w:tc>
        <w:tc>
          <w:tcPr>
            <w:tcW w:w="1419" w:type="pct"/>
            <w:tcMar>
              <w:top w:w="15" w:type="dxa"/>
              <w:left w:w="15" w:type="dxa"/>
              <w:bottom w:w="15" w:type="dxa"/>
              <w:right w:w="15" w:type="dxa"/>
            </w:tcMar>
            <w:vAlign w:val="center"/>
          </w:tcPr>
          <w:p w14:paraId="67A6E7E1">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bigint</w:t>
            </w:r>
          </w:p>
        </w:tc>
        <w:tc>
          <w:tcPr>
            <w:tcW w:w="491" w:type="pct"/>
            <w:tcMar>
              <w:top w:w="15" w:type="dxa"/>
              <w:left w:w="15" w:type="dxa"/>
              <w:bottom w:w="15" w:type="dxa"/>
              <w:right w:w="15" w:type="dxa"/>
            </w:tcMar>
            <w:vAlign w:val="center"/>
          </w:tcPr>
          <w:p w14:paraId="6F8EDAA7">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YES</w:t>
            </w:r>
          </w:p>
        </w:tc>
        <w:tc>
          <w:tcPr>
            <w:tcW w:w="617" w:type="pct"/>
            <w:tcMar>
              <w:top w:w="15" w:type="dxa"/>
              <w:left w:w="15" w:type="dxa"/>
              <w:bottom w:w="15" w:type="dxa"/>
              <w:right w:w="15" w:type="dxa"/>
            </w:tcMar>
            <w:vAlign w:val="center"/>
          </w:tcPr>
          <w:p w14:paraId="7C539CA6">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NULL</w:t>
            </w:r>
          </w:p>
        </w:tc>
        <w:tc>
          <w:tcPr>
            <w:tcW w:w="1091" w:type="pct"/>
            <w:tcMar>
              <w:top w:w="15" w:type="dxa"/>
              <w:left w:w="15" w:type="dxa"/>
              <w:bottom w:w="15" w:type="dxa"/>
              <w:right w:w="15" w:type="dxa"/>
            </w:tcMar>
            <w:vAlign w:val="center"/>
          </w:tcPr>
          <w:p w14:paraId="3DBB4E56">
            <w:pPr>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创建时间</w:t>
            </w:r>
          </w:p>
        </w:tc>
      </w:tr>
      <w:tr w14:paraId="7FD9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1379" w:type="pct"/>
            <w:tcMar>
              <w:top w:w="15" w:type="dxa"/>
              <w:left w:w="15" w:type="dxa"/>
              <w:bottom w:w="15" w:type="dxa"/>
              <w:right w:w="15" w:type="dxa"/>
            </w:tcMar>
            <w:vAlign w:val="center"/>
          </w:tcPr>
          <w:p w14:paraId="0EE06D3B">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defaultairport</w:t>
            </w:r>
          </w:p>
        </w:tc>
        <w:tc>
          <w:tcPr>
            <w:tcW w:w="1419" w:type="pct"/>
            <w:tcMar>
              <w:top w:w="15" w:type="dxa"/>
              <w:left w:w="15" w:type="dxa"/>
              <w:bottom w:w="15" w:type="dxa"/>
              <w:right w:w="15" w:type="dxa"/>
            </w:tcMar>
            <w:vAlign w:val="center"/>
          </w:tcPr>
          <w:p w14:paraId="0C5F6702">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varchar(5)</w:t>
            </w:r>
          </w:p>
        </w:tc>
        <w:tc>
          <w:tcPr>
            <w:tcW w:w="491" w:type="pct"/>
            <w:tcMar>
              <w:top w:w="15" w:type="dxa"/>
              <w:left w:w="15" w:type="dxa"/>
              <w:bottom w:w="15" w:type="dxa"/>
              <w:right w:w="15" w:type="dxa"/>
            </w:tcMar>
            <w:vAlign w:val="center"/>
          </w:tcPr>
          <w:p w14:paraId="5F8B56CB">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YES</w:t>
            </w:r>
          </w:p>
        </w:tc>
        <w:tc>
          <w:tcPr>
            <w:tcW w:w="617" w:type="pct"/>
            <w:tcMar>
              <w:top w:w="15" w:type="dxa"/>
              <w:left w:w="15" w:type="dxa"/>
              <w:bottom w:w="15" w:type="dxa"/>
              <w:right w:w="15" w:type="dxa"/>
            </w:tcMar>
            <w:vAlign w:val="center"/>
          </w:tcPr>
          <w:p w14:paraId="6191ACB0">
            <w:pPr>
              <w:ind w:firstLine="420"/>
              <w:rPr>
                <w:rFonts w:hint="eastAsia" w:ascii="宋体" w:hAnsi="宋体" w:eastAsia="宋体" w:cs="宋体"/>
                <w:sz w:val="21"/>
                <w:szCs w:val="21"/>
                <w:highlight w:val="none"/>
              </w:rPr>
            </w:pPr>
            <w:r>
              <w:rPr>
                <w:rFonts w:hint="eastAsia" w:ascii="宋体" w:hAnsi="宋体" w:eastAsia="宋体" w:cs="宋体"/>
                <w:sz w:val="21"/>
                <w:szCs w:val="21"/>
                <w:highlight w:val="none"/>
              </w:rPr>
              <w:t>NULL</w:t>
            </w:r>
          </w:p>
        </w:tc>
        <w:tc>
          <w:tcPr>
            <w:tcW w:w="1091" w:type="pct"/>
            <w:tcMar>
              <w:top w:w="15" w:type="dxa"/>
              <w:left w:w="15" w:type="dxa"/>
              <w:bottom w:w="15" w:type="dxa"/>
              <w:right w:w="15" w:type="dxa"/>
            </w:tcMar>
            <w:vAlign w:val="center"/>
          </w:tcPr>
          <w:p w14:paraId="49A4739B">
            <w:pPr>
              <w:ind w:firstLine="0" w:firstLineChars="0"/>
              <w:rPr>
                <w:rFonts w:hint="eastAsia" w:ascii="宋体" w:hAnsi="宋体" w:eastAsia="宋体" w:cs="宋体"/>
                <w:sz w:val="21"/>
                <w:szCs w:val="21"/>
                <w:highlight w:val="none"/>
              </w:rPr>
            </w:pPr>
            <w:r>
              <w:rPr>
                <w:rFonts w:hint="eastAsia" w:ascii="宋体" w:hAnsi="宋体" w:eastAsia="宋体" w:cs="宋体"/>
                <w:sz w:val="21"/>
                <w:szCs w:val="21"/>
                <w:highlight w:val="none"/>
              </w:rPr>
              <w:t>默认机场三字码</w:t>
            </w:r>
          </w:p>
        </w:tc>
      </w:tr>
    </w:tbl>
    <w:p w14:paraId="041FA1D9">
      <w:pPr>
        <w:pStyle w:val="64"/>
        <w:rPr>
          <w:rFonts w:hint="eastAsia" w:ascii="宋体" w:hAnsi="宋体" w:eastAsia="宋体" w:cs="宋体"/>
          <w:highlight w:val="none"/>
        </w:rPr>
      </w:pPr>
    </w:p>
    <w:p w14:paraId="5A083FD3">
      <w:pPr>
        <w:pStyle w:val="6"/>
        <w:bidi w:val="0"/>
        <w:rPr>
          <w:rFonts w:hint="eastAsia"/>
          <w:highlight w:val="none"/>
        </w:rPr>
      </w:pPr>
      <w:r>
        <w:rPr>
          <w:rFonts w:hint="eastAsia"/>
          <w:highlight w:val="none"/>
        </w:rPr>
        <w:t>车辆类型表</w:t>
      </w:r>
    </w:p>
    <w:p w14:paraId="09855F9E">
      <w:pPr>
        <w:pStyle w:val="65"/>
        <w:rPr>
          <w:rFonts w:hint="eastAsia" w:ascii="宋体" w:hAnsi="宋体" w:eastAsia="宋体" w:cs="宋体"/>
          <w:highlight w:val="none"/>
        </w:rPr>
      </w:pPr>
      <w:r>
        <w:rPr>
          <w:rFonts w:hint="eastAsia" w:ascii="宋体" w:hAnsi="宋体" w:eastAsia="宋体" w:cs="宋体"/>
          <w:highlight w:val="none"/>
        </w:rPr>
        <w:t>车辆类型表</w:t>
      </w:r>
    </w:p>
    <w:tbl>
      <w:tblPr>
        <w:tblStyle w:val="34"/>
        <w:tblW w:w="51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37"/>
        <w:gridCol w:w="1956"/>
        <w:gridCol w:w="1346"/>
        <w:gridCol w:w="1104"/>
        <w:gridCol w:w="2577"/>
      </w:tblGrid>
      <w:tr w14:paraId="561AA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blHeader/>
        </w:trPr>
        <w:tc>
          <w:tcPr>
            <w:tcW w:w="1253" w:type="pct"/>
            <w:shd w:val="clear" w:color="auto" w:fill="auto"/>
            <w:tcMar>
              <w:top w:w="15" w:type="dxa"/>
              <w:left w:w="15" w:type="dxa"/>
              <w:bottom w:w="15" w:type="dxa"/>
              <w:right w:w="15" w:type="dxa"/>
            </w:tcMar>
            <w:vAlign w:val="center"/>
          </w:tcPr>
          <w:p w14:paraId="5CB1DB55">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字段</w:t>
            </w:r>
          </w:p>
        </w:tc>
        <w:tc>
          <w:tcPr>
            <w:tcW w:w="1049" w:type="pct"/>
            <w:shd w:val="clear" w:color="auto" w:fill="auto"/>
            <w:tcMar>
              <w:top w:w="15" w:type="dxa"/>
              <w:left w:w="15" w:type="dxa"/>
              <w:bottom w:w="15" w:type="dxa"/>
              <w:right w:w="15" w:type="dxa"/>
            </w:tcMar>
            <w:vAlign w:val="center"/>
          </w:tcPr>
          <w:p w14:paraId="2E3828CB">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类型</w:t>
            </w:r>
          </w:p>
        </w:tc>
        <w:tc>
          <w:tcPr>
            <w:tcW w:w="722" w:type="pct"/>
            <w:shd w:val="clear" w:color="auto" w:fill="auto"/>
            <w:tcMar>
              <w:top w:w="15" w:type="dxa"/>
              <w:left w:w="15" w:type="dxa"/>
              <w:bottom w:w="15" w:type="dxa"/>
              <w:right w:w="15" w:type="dxa"/>
            </w:tcMar>
            <w:vAlign w:val="center"/>
          </w:tcPr>
          <w:p w14:paraId="3B81B037">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允许空</w:t>
            </w:r>
          </w:p>
        </w:tc>
        <w:tc>
          <w:tcPr>
            <w:tcW w:w="592" w:type="pct"/>
            <w:shd w:val="clear" w:color="auto" w:fill="auto"/>
            <w:tcMar>
              <w:top w:w="15" w:type="dxa"/>
              <w:left w:w="15" w:type="dxa"/>
              <w:bottom w:w="15" w:type="dxa"/>
              <w:right w:w="15" w:type="dxa"/>
            </w:tcMar>
            <w:vAlign w:val="center"/>
          </w:tcPr>
          <w:p w14:paraId="7951F7DB">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默认</w:t>
            </w:r>
          </w:p>
        </w:tc>
        <w:tc>
          <w:tcPr>
            <w:tcW w:w="1382" w:type="pct"/>
            <w:shd w:val="clear" w:color="auto" w:fill="auto"/>
            <w:tcMar>
              <w:top w:w="15" w:type="dxa"/>
              <w:left w:w="15" w:type="dxa"/>
              <w:bottom w:w="15" w:type="dxa"/>
              <w:right w:w="15" w:type="dxa"/>
            </w:tcMar>
            <w:vAlign w:val="center"/>
          </w:tcPr>
          <w:p w14:paraId="589E9082">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注释</w:t>
            </w:r>
          </w:p>
        </w:tc>
      </w:tr>
      <w:tr w14:paraId="4D06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53" w:type="pct"/>
            <w:tcMar>
              <w:top w:w="15" w:type="dxa"/>
              <w:left w:w="15" w:type="dxa"/>
              <w:bottom w:w="15" w:type="dxa"/>
              <w:right w:w="15" w:type="dxa"/>
            </w:tcMar>
            <w:vAlign w:val="center"/>
          </w:tcPr>
          <w:p w14:paraId="567D9762">
            <w:pPr>
              <w:ind w:firstLine="420"/>
              <w:rPr>
                <w:rFonts w:hint="eastAsia" w:ascii="宋体" w:hAnsi="宋体" w:eastAsia="宋体" w:cs="宋体"/>
                <w:sz w:val="21"/>
                <w:highlight w:val="none"/>
              </w:rPr>
            </w:pPr>
            <w:r>
              <w:rPr>
                <w:rFonts w:hint="eastAsia" w:ascii="宋体" w:hAnsi="宋体" w:eastAsia="宋体" w:cs="宋体"/>
                <w:sz w:val="21"/>
                <w:highlight w:val="none"/>
              </w:rPr>
              <w:t>id</w:t>
            </w:r>
          </w:p>
        </w:tc>
        <w:tc>
          <w:tcPr>
            <w:tcW w:w="1049" w:type="pct"/>
            <w:tcMar>
              <w:top w:w="15" w:type="dxa"/>
              <w:left w:w="15" w:type="dxa"/>
              <w:bottom w:w="15" w:type="dxa"/>
              <w:right w:w="15" w:type="dxa"/>
            </w:tcMar>
            <w:vAlign w:val="center"/>
          </w:tcPr>
          <w:p w14:paraId="2B256770">
            <w:pPr>
              <w:ind w:firstLine="420"/>
              <w:rPr>
                <w:rFonts w:hint="eastAsia" w:ascii="宋体" w:hAnsi="宋体" w:eastAsia="宋体" w:cs="宋体"/>
                <w:sz w:val="21"/>
                <w:highlight w:val="none"/>
              </w:rPr>
            </w:pPr>
            <w:r>
              <w:rPr>
                <w:rFonts w:hint="eastAsia" w:ascii="宋体" w:hAnsi="宋体" w:eastAsia="宋体" w:cs="宋体"/>
                <w:sz w:val="21"/>
                <w:highlight w:val="none"/>
              </w:rPr>
              <w:t>uuid</w:t>
            </w:r>
          </w:p>
        </w:tc>
        <w:tc>
          <w:tcPr>
            <w:tcW w:w="722" w:type="pct"/>
            <w:tcMar>
              <w:top w:w="15" w:type="dxa"/>
              <w:left w:w="15" w:type="dxa"/>
              <w:bottom w:w="15" w:type="dxa"/>
              <w:right w:w="15" w:type="dxa"/>
            </w:tcMar>
            <w:vAlign w:val="center"/>
          </w:tcPr>
          <w:p w14:paraId="54FE0F8C">
            <w:pPr>
              <w:ind w:firstLine="420"/>
              <w:rPr>
                <w:rFonts w:hint="eastAsia" w:ascii="宋体" w:hAnsi="宋体" w:eastAsia="宋体" w:cs="宋体"/>
                <w:sz w:val="21"/>
                <w:highlight w:val="none"/>
              </w:rPr>
            </w:pPr>
            <w:r>
              <w:rPr>
                <w:rFonts w:hint="eastAsia" w:ascii="宋体" w:hAnsi="宋体" w:eastAsia="宋体" w:cs="宋体"/>
                <w:sz w:val="21"/>
                <w:highlight w:val="none"/>
              </w:rPr>
              <w:t>NO</w:t>
            </w:r>
          </w:p>
        </w:tc>
        <w:tc>
          <w:tcPr>
            <w:tcW w:w="592" w:type="pct"/>
            <w:tcMar>
              <w:top w:w="15" w:type="dxa"/>
              <w:left w:w="15" w:type="dxa"/>
              <w:bottom w:w="15" w:type="dxa"/>
              <w:right w:w="15" w:type="dxa"/>
            </w:tcMar>
            <w:vAlign w:val="center"/>
          </w:tcPr>
          <w:p w14:paraId="31A76239">
            <w:pPr>
              <w:ind w:firstLine="420"/>
              <w:rPr>
                <w:rFonts w:hint="eastAsia" w:ascii="宋体" w:hAnsi="宋体" w:eastAsia="宋体" w:cs="宋体"/>
                <w:sz w:val="21"/>
                <w:highlight w:val="none"/>
              </w:rPr>
            </w:pPr>
          </w:p>
        </w:tc>
        <w:tc>
          <w:tcPr>
            <w:tcW w:w="1382" w:type="pct"/>
            <w:tcMar>
              <w:top w:w="15" w:type="dxa"/>
              <w:left w:w="15" w:type="dxa"/>
              <w:bottom w:w="15" w:type="dxa"/>
              <w:right w:w="15" w:type="dxa"/>
            </w:tcMar>
            <w:vAlign w:val="center"/>
          </w:tcPr>
          <w:p w14:paraId="7D7001EA">
            <w:pPr>
              <w:ind w:firstLine="420"/>
              <w:rPr>
                <w:rFonts w:hint="eastAsia" w:ascii="宋体" w:hAnsi="宋体" w:eastAsia="宋体" w:cs="宋体"/>
                <w:sz w:val="21"/>
                <w:highlight w:val="none"/>
              </w:rPr>
            </w:pPr>
            <w:r>
              <w:rPr>
                <w:rFonts w:hint="eastAsia" w:ascii="宋体" w:hAnsi="宋体" w:eastAsia="宋体" w:cs="宋体"/>
                <w:sz w:val="21"/>
                <w:highlight w:val="none"/>
              </w:rPr>
              <w:t>车辆类型id</w:t>
            </w:r>
          </w:p>
        </w:tc>
      </w:tr>
      <w:tr w14:paraId="5FD4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53" w:type="pct"/>
            <w:tcMar>
              <w:top w:w="15" w:type="dxa"/>
              <w:left w:w="15" w:type="dxa"/>
              <w:bottom w:w="15" w:type="dxa"/>
              <w:right w:w="15" w:type="dxa"/>
            </w:tcMar>
            <w:vAlign w:val="center"/>
          </w:tcPr>
          <w:p w14:paraId="0A8561F4">
            <w:pPr>
              <w:ind w:firstLine="420"/>
              <w:rPr>
                <w:rFonts w:hint="eastAsia" w:ascii="宋体" w:hAnsi="宋体" w:eastAsia="宋体" w:cs="宋体"/>
                <w:sz w:val="21"/>
                <w:highlight w:val="none"/>
              </w:rPr>
            </w:pPr>
            <w:r>
              <w:rPr>
                <w:rFonts w:hint="eastAsia" w:ascii="宋体" w:hAnsi="宋体" w:eastAsia="宋体" w:cs="宋体"/>
                <w:sz w:val="21"/>
                <w:highlight w:val="none"/>
              </w:rPr>
              <w:t>name</w:t>
            </w:r>
          </w:p>
        </w:tc>
        <w:tc>
          <w:tcPr>
            <w:tcW w:w="1049" w:type="pct"/>
            <w:tcMar>
              <w:top w:w="15" w:type="dxa"/>
              <w:left w:w="15" w:type="dxa"/>
              <w:bottom w:w="15" w:type="dxa"/>
              <w:right w:w="15" w:type="dxa"/>
            </w:tcMar>
            <w:vAlign w:val="center"/>
          </w:tcPr>
          <w:p w14:paraId="3A0B8D55">
            <w:pPr>
              <w:ind w:firstLine="420"/>
              <w:rPr>
                <w:rFonts w:hint="eastAsia" w:ascii="宋体" w:hAnsi="宋体" w:eastAsia="宋体" w:cs="宋体"/>
                <w:sz w:val="21"/>
                <w:highlight w:val="none"/>
              </w:rPr>
            </w:pPr>
            <w:r>
              <w:rPr>
                <w:rFonts w:hint="eastAsia" w:ascii="宋体" w:hAnsi="宋体" w:eastAsia="宋体" w:cs="宋体"/>
                <w:sz w:val="21"/>
                <w:highlight w:val="none"/>
              </w:rPr>
              <w:t>char(4)</w:t>
            </w:r>
          </w:p>
        </w:tc>
        <w:tc>
          <w:tcPr>
            <w:tcW w:w="722" w:type="pct"/>
            <w:tcMar>
              <w:top w:w="15" w:type="dxa"/>
              <w:left w:w="15" w:type="dxa"/>
              <w:bottom w:w="15" w:type="dxa"/>
              <w:right w:w="15" w:type="dxa"/>
            </w:tcMar>
            <w:vAlign w:val="center"/>
          </w:tcPr>
          <w:p w14:paraId="6839B87D">
            <w:pPr>
              <w:ind w:firstLine="420"/>
              <w:rPr>
                <w:rFonts w:hint="eastAsia" w:ascii="宋体" w:hAnsi="宋体" w:eastAsia="宋体" w:cs="宋体"/>
                <w:sz w:val="21"/>
                <w:highlight w:val="none"/>
              </w:rPr>
            </w:pPr>
            <w:r>
              <w:rPr>
                <w:rFonts w:hint="eastAsia" w:ascii="宋体" w:hAnsi="宋体" w:eastAsia="宋体" w:cs="宋体"/>
                <w:sz w:val="21"/>
                <w:highlight w:val="none"/>
              </w:rPr>
              <w:t>NO</w:t>
            </w:r>
          </w:p>
        </w:tc>
        <w:tc>
          <w:tcPr>
            <w:tcW w:w="592" w:type="pct"/>
            <w:tcMar>
              <w:top w:w="15" w:type="dxa"/>
              <w:left w:w="15" w:type="dxa"/>
              <w:bottom w:w="15" w:type="dxa"/>
              <w:right w:w="15" w:type="dxa"/>
            </w:tcMar>
            <w:vAlign w:val="center"/>
          </w:tcPr>
          <w:p w14:paraId="09677F9C">
            <w:pPr>
              <w:ind w:firstLine="420"/>
              <w:rPr>
                <w:rFonts w:hint="eastAsia" w:ascii="宋体" w:hAnsi="宋体" w:eastAsia="宋体" w:cs="宋体"/>
                <w:sz w:val="21"/>
                <w:highlight w:val="none"/>
              </w:rPr>
            </w:pPr>
          </w:p>
        </w:tc>
        <w:tc>
          <w:tcPr>
            <w:tcW w:w="1382" w:type="pct"/>
            <w:tcMar>
              <w:top w:w="15" w:type="dxa"/>
              <w:left w:w="15" w:type="dxa"/>
              <w:bottom w:w="15" w:type="dxa"/>
              <w:right w:w="15" w:type="dxa"/>
            </w:tcMar>
            <w:vAlign w:val="center"/>
          </w:tcPr>
          <w:p w14:paraId="6297423C">
            <w:pPr>
              <w:ind w:firstLine="420"/>
              <w:rPr>
                <w:rFonts w:hint="eastAsia" w:ascii="宋体" w:hAnsi="宋体" w:eastAsia="宋体" w:cs="宋体"/>
                <w:sz w:val="21"/>
                <w:highlight w:val="none"/>
              </w:rPr>
            </w:pPr>
            <w:r>
              <w:rPr>
                <w:rFonts w:hint="eastAsia" w:ascii="宋体" w:hAnsi="宋体" w:eastAsia="宋体" w:cs="宋体"/>
                <w:sz w:val="21"/>
                <w:highlight w:val="none"/>
              </w:rPr>
              <w:t>车辆类型名称</w:t>
            </w:r>
          </w:p>
        </w:tc>
      </w:tr>
      <w:tr w14:paraId="286C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53" w:type="pct"/>
            <w:tcMar>
              <w:top w:w="15" w:type="dxa"/>
              <w:left w:w="15" w:type="dxa"/>
              <w:bottom w:w="15" w:type="dxa"/>
              <w:right w:w="15" w:type="dxa"/>
            </w:tcMar>
            <w:vAlign w:val="center"/>
          </w:tcPr>
          <w:p w14:paraId="06551F88">
            <w:pPr>
              <w:ind w:firstLine="420"/>
              <w:rPr>
                <w:rFonts w:hint="eastAsia" w:ascii="宋体" w:hAnsi="宋体" w:eastAsia="宋体" w:cs="宋体"/>
                <w:sz w:val="21"/>
                <w:highlight w:val="none"/>
              </w:rPr>
            </w:pPr>
            <w:r>
              <w:rPr>
                <w:rFonts w:hint="eastAsia" w:ascii="宋体" w:hAnsi="宋体" w:eastAsia="宋体" w:cs="宋体"/>
                <w:sz w:val="21"/>
                <w:highlight w:val="none"/>
              </w:rPr>
              <w:t>othernames</w:t>
            </w:r>
          </w:p>
        </w:tc>
        <w:tc>
          <w:tcPr>
            <w:tcW w:w="1049" w:type="pct"/>
            <w:tcMar>
              <w:top w:w="15" w:type="dxa"/>
              <w:left w:w="15" w:type="dxa"/>
              <w:bottom w:w="15" w:type="dxa"/>
              <w:right w:w="15" w:type="dxa"/>
            </w:tcMar>
            <w:vAlign w:val="center"/>
          </w:tcPr>
          <w:p w14:paraId="0AA75D5B">
            <w:pPr>
              <w:ind w:firstLine="420"/>
              <w:rPr>
                <w:rFonts w:hint="eastAsia" w:ascii="宋体" w:hAnsi="宋体" w:eastAsia="宋体" w:cs="宋体"/>
                <w:sz w:val="21"/>
                <w:highlight w:val="none"/>
              </w:rPr>
            </w:pPr>
            <w:r>
              <w:rPr>
                <w:rFonts w:hint="eastAsia" w:ascii="宋体" w:hAnsi="宋体" w:eastAsia="宋体" w:cs="宋体"/>
                <w:sz w:val="21"/>
                <w:highlight w:val="none"/>
              </w:rPr>
              <w:t>jsonb</w:t>
            </w:r>
          </w:p>
        </w:tc>
        <w:tc>
          <w:tcPr>
            <w:tcW w:w="722" w:type="pct"/>
            <w:tcMar>
              <w:top w:w="15" w:type="dxa"/>
              <w:left w:w="15" w:type="dxa"/>
              <w:bottom w:w="15" w:type="dxa"/>
              <w:right w:w="15" w:type="dxa"/>
            </w:tcMar>
            <w:vAlign w:val="center"/>
          </w:tcPr>
          <w:p w14:paraId="51B52155">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592" w:type="pct"/>
            <w:tcMar>
              <w:top w:w="15" w:type="dxa"/>
              <w:left w:w="15" w:type="dxa"/>
              <w:bottom w:w="15" w:type="dxa"/>
              <w:right w:w="15" w:type="dxa"/>
            </w:tcMar>
            <w:vAlign w:val="center"/>
          </w:tcPr>
          <w:p w14:paraId="2CCC9957">
            <w:pPr>
              <w:ind w:firstLine="420"/>
              <w:rPr>
                <w:rFonts w:hint="eastAsia" w:ascii="宋体" w:hAnsi="宋体" w:eastAsia="宋体" w:cs="宋体"/>
                <w:sz w:val="21"/>
                <w:highlight w:val="none"/>
              </w:rPr>
            </w:pPr>
          </w:p>
        </w:tc>
        <w:tc>
          <w:tcPr>
            <w:tcW w:w="1382" w:type="pct"/>
            <w:tcMar>
              <w:top w:w="15" w:type="dxa"/>
              <w:left w:w="15" w:type="dxa"/>
              <w:bottom w:w="15" w:type="dxa"/>
              <w:right w:w="15" w:type="dxa"/>
            </w:tcMar>
            <w:vAlign w:val="center"/>
          </w:tcPr>
          <w:p w14:paraId="402361D1">
            <w:pPr>
              <w:ind w:firstLine="420"/>
              <w:rPr>
                <w:rFonts w:hint="eastAsia" w:ascii="宋体" w:hAnsi="宋体" w:eastAsia="宋体" w:cs="宋体"/>
                <w:sz w:val="21"/>
                <w:highlight w:val="none"/>
              </w:rPr>
            </w:pPr>
            <w:r>
              <w:rPr>
                <w:rFonts w:hint="eastAsia" w:ascii="宋体" w:hAnsi="宋体" w:eastAsia="宋体" w:cs="宋体"/>
                <w:sz w:val="21"/>
                <w:highlight w:val="none"/>
              </w:rPr>
              <w:t>车辆类型别名</w:t>
            </w:r>
          </w:p>
        </w:tc>
      </w:tr>
      <w:tr w14:paraId="7D863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53" w:type="pct"/>
            <w:tcMar>
              <w:top w:w="15" w:type="dxa"/>
              <w:left w:w="15" w:type="dxa"/>
              <w:bottom w:w="15" w:type="dxa"/>
              <w:right w:w="15" w:type="dxa"/>
            </w:tcMar>
            <w:vAlign w:val="center"/>
          </w:tcPr>
          <w:p w14:paraId="61975D66">
            <w:pPr>
              <w:ind w:firstLine="420"/>
              <w:rPr>
                <w:rFonts w:hint="eastAsia" w:ascii="宋体" w:hAnsi="宋体" w:eastAsia="宋体" w:cs="宋体"/>
                <w:sz w:val="21"/>
                <w:highlight w:val="none"/>
              </w:rPr>
            </w:pPr>
            <w:r>
              <w:rPr>
                <w:rFonts w:hint="eastAsia" w:ascii="宋体" w:hAnsi="宋体" w:eastAsia="宋体" w:cs="宋体"/>
                <w:sz w:val="21"/>
                <w:highlight w:val="none"/>
              </w:rPr>
              <w:t>code</w:t>
            </w:r>
          </w:p>
        </w:tc>
        <w:tc>
          <w:tcPr>
            <w:tcW w:w="1049" w:type="pct"/>
            <w:tcMar>
              <w:top w:w="15" w:type="dxa"/>
              <w:left w:w="15" w:type="dxa"/>
              <w:bottom w:w="15" w:type="dxa"/>
              <w:right w:w="15" w:type="dxa"/>
            </w:tcMar>
            <w:vAlign w:val="center"/>
          </w:tcPr>
          <w:p w14:paraId="06E70898">
            <w:pPr>
              <w:ind w:firstLine="420"/>
              <w:rPr>
                <w:rFonts w:hint="eastAsia" w:ascii="宋体" w:hAnsi="宋体" w:eastAsia="宋体" w:cs="宋体"/>
                <w:sz w:val="21"/>
                <w:highlight w:val="none"/>
              </w:rPr>
            </w:pPr>
            <w:r>
              <w:rPr>
                <w:rFonts w:hint="eastAsia" w:ascii="宋体" w:hAnsi="宋体" w:eastAsia="宋体" w:cs="宋体"/>
                <w:sz w:val="21"/>
                <w:highlight w:val="none"/>
              </w:rPr>
              <w:t>text</w:t>
            </w:r>
          </w:p>
        </w:tc>
        <w:tc>
          <w:tcPr>
            <w:tcW w:w="722" w:type="pct"/>
            <w:tcMar>
              <w:top w:w="15" w:type="dxa"/>
              <w:left w:w="15" w:type="dxa"/>
              <w:bottom w:w="15" w:type="dxa"/>
              <w:right w:w="15" w:type="dxa"/>
            </w:tcMar>
            <w:vAlign w:val="center"/>
          </w:tcPr>
          <w:p w14:paraId="68417054">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592" w:type="pct"/>
            <w:tcMar>
              <w:top w:w="15" w:type="dxa"/>
              <w:left w:w="15" w:type="dxa"/>
              <w:bottom w:w="15" w:type="dxa"/>
              <w:right w:w="15" w:type="dxa"/>
            </w:tcMar>
            <w:vAlign w:val="center"/>
          </w:tcPr>
          <w:p w14:paraId="317F40CD">
            <w:pPr>
              <w:ind w:firstLine="420"/>
              <w:rPr>
                <w:rFonts w:hint="eastAsia" w:ascii="宋体" w:hAnsi="宋体" w:eastAsia="宋体" w:cs="宋体"/>
                <w:sz w:val="21"/>
                <w:highlight w:val="none"/>
              </w:rPr>
            </w:pPr>
          </w:p>
        </w:tc>
        <w:tc>
          <w:tcPr>
            <w:tcW w:w="1382" w:type="pct"/>
            <w:tcMar>
              <w:top w:w="15" w:type="dxa"/>
              <w:left w:w="15" w:type="dxa"/>
              <w:bottom w:w="15" w:type="dxa"/>
              <w:right w:w="15" w:type="dxa"/>
            </w:tcMar>
            <w:vAlign w:val="center"/>
          </w:tcPr>
          <w:p w14:paraId="79E5BCBB">
            <w:pPr>
              <w:ind w:firstLine="420"/>
              <w:rPr>
                <w:rFonts w:hint="eastAsia" w:ascii="宋体" w:hAnsi="宋体" w:eastAsia="宋体" w:cs="宋体"/>
                <w:sz w:val="21"/>
                <w:highlight w:val="none"/>
              </w:rPr>
            </w:pPr>
            <w:r>
              <w:rPr>
                <w:rFonts w:hint="eastAsia" w:ascii="宋体" w:hAnsi="宋体" w:eastAsia="宋体" w:cs="宋体"/>
                <w:sz w:val="21"/>
                <w:highlight w:val="none"/>
              </w:rPr>
              <w:t>车辆类型代码</w:t>
            </w:r>
          </w:p>
        </w:tc>
      </w:tr>
      <w:tr w14:paraId="637E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53" w:type="pct"/>
            <w:tcMar>
              <w:top w:w="15" w:type="dxa"/>
              <w:left w:w="15" w:type="dxa"/>
              <w:bottom w:w="15" w:type="dxa"/>
              <w:right w:w="15" w:type="dxa"/>
            </w:tcMar>
            <w:vAlign w:val="center"/>
          </w:tcPr>
          <w:p w14:paraId="22049D54">
            <w:pPr>
              <w:ind w:firstLine="420"/>
              <w:rPr>
                <w:rFonts w:hint="eastAsia" w:ascii="宋体" w:hAnsi="宋体" w:eastAsia="宋体" w:cs="宋体"/>
                <w:sz w:val="21"/>
                <w:highlight w:val="none"/>
              </w:rPr>
            </w:pPr>
            <w:r>
              <w:rPr>
                <w:rFonts w:hint="eastAsia" w:ascii="宋体" w:hAnsi="宋体" w:eastAsia="宋体" w:cs="宋体"/>
                <w:sz w:val="21"/>
                <w:highlight w:val="none"/>
              </w:rPr>
              <w:t>create_time</w:t>
            </w:r>
          </w:p>
        </w:tc>
        <w:tc>
          <w:tcPr>
            <w:tcW w:w="1049" w:type="pct"/>
            <w:tcMar>
              <w:top w:w="15" w:type="dxa"/>
              <w:left w:w="15" w:type="dxa"/>
              <w:bottom w:w="15" w:type="dxa"/>
              <w:right w:w="15" w:type="dxa"/>
            </w:tcMar>
            <w:vAlign w:val="center"/>
          </w:tcPr>
          <w:p w14:paraId="26145C96">
            <w:pPr>
              <w:ind w:firstLine="420"/>
              <w:rPr>
                <w:rFonts w:hint="eastAsia" w:ascii="宋体" w:hAnsi="宋体" w:eastAsia="宋体" w:cs="宋体"/>
                <w:sz w:val="21"/>
                <w:highlight w:val="none"/>
              </w:rPr>
            </w:pPr>
            <w:r>
              <w:rPr>
                <w:rFonts w:hint="eastAsia" w:ascii="宋体" w:hAnsi="宋体" w:eastAsia="宋体" w:cs="宋体"/>
                <w:sz w:val="21"/>
                <w:highlight w:val="none"/>
              </w:rPr>
              <w:t>bigint</w:t>
            </w:r>
          </w:p>
        </w:tc>
        <w:tc>
          <w:tcPr>
            <w:tcW w:w="722" w:type="pct"/>
            <w:tcMar>
              <w:top w:w="15" w:type="dxa"/>
              <w:left w:w="15" w:type="dxa"/>
              <w:bottom w:w="15" w:type="dxa"/>
              <w:right w:w="15" w:type="dxa"/>
            </w:tcMar>
            <w:vAlign w:val="center"/>
          </w:tcPr>
          <w:p w14:paraId="76309B63">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592" w:type="pct"/>
            <w:tcMar>
              <w:top w:w="15" w:type="dxa"/>
              <w:left w:w="15" w:type="dxa"/>
              <w:bottom w:w="15" w:type="dxa"/>
              <w:right w:w="15" w:type="dxa"/>
            </w:tcMar>
            <w:vAlign w:val="center"/>
          </w:tcPr>
          <w:p w14:paraId="41C62E4F">
            <w:pPr>
              <w:ind w:firstLine="420"/>
              <w:rPr>
                <w:rFonts w:hint="eastAsia" w:ascii="宋体" w:hAnsi="宋体" w:eastAsia="宋体" w:cs="宋体"/>
                <w:sz w:val="21"/>
                <w:highlight w:val="none"/>
              </w:rPr>
            </w:pPr>
          </w:p>
        </w:tc>
        <w:tc>
          <w:tcPr>
            <w:tcW w:w="1382" w:type="pct"/>
            <w:tcMar>
              <w:top w:w="15" w:type="dxa"/>
              <w:left w:w="15" w:type="dxa"/>
              <w:bottom w:w="15" w:type="dxa"/>
              <w:right w:w="15" w:type="dxa"/>
            </w:tcMar>
            <w:vAlign w:val="center"/>
          </w:tcPr>
          <w:p w14:paraId="6AEB6496">
            <w:pPr>
              <w:ind w:firstLine="420"/>
              <w:rPr>
                <w:rFonts w:hint="eastAsia" w:ascii="宋体" w:hAnsi="宋体" w:eastAsia="宋体" w:cs="宋体"/>
                <w:sz w:val="21"/>
                <w:highlight w:val="none"/>
              </w:rPr>
            </w:pPr>
            <w:r>
              <w:rPr>
                <w:rFonts w:hint="eastAsia" w:ascii="宋体" w:hAnsi="宋体" w:eastAsia="宋体" w:cs="宋体"/>
                <w:sz w:val="21"/>
                <w:highlight w:val="none"/>
              </w:rPr>
              <w:t>创建时间</w:t>
            </w:r>
          </w:p>
        </w:tc>
      </w:tr>
      <w:tr w14:paraId="7195E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53" w:type="pct"/>
            <w:tcMar>
              <w:top w:w="15" w:type="dxa"/>
              <w:left w:w="15" w:type="dxa"/>
              <w:bottom w:w="15" w:type="dxa"/>
              <w:right w:w="15" w:type="dxa"/>
            </w:tcMar>
            <w:vAlign w:val="center"/>
          </w:tcPr>
          <w:p w14:paraId="132B3012">
            <w:pPr>
              <w:ind w:firstLine="420"/>
              <w:rPr>
                <w:rFonts w:hint="eastAsia" w:ascii="宋体" w:hAnsi="宋体" w:eastAsia="宋体" w:cs="宋体"/>
                <w:sz w:val="21"/>
                <w:highlight w:val="none"/>
              </w:rPr>
            </w:pPr>
            <w:r>
              <w:rPr>
                <w:rFonts w:hint="eastAsia" w:ascii="宋体" w:hAnsi="宋体" w:eastAsia="宋体" w:cs="宋体"/>
                <w:sz w:val="21"/>
                <w:highlight w:val="none"/>
              </w:rPr>
              <w:t>update_time</w:t>
            </w:r>
          </w:p>
        </w:tc>
        <w:tc>
          <w:tcPr>
            <w:tcW w:w="1049" w:type="pct"/>
            <w:tcMar>
              <w:top w:w="15" w:type="dxa"/>
              <w:left w:w="15" w:type="dxa"/>
              <w:bottom w:w="15" w:type="dxa"/>
              <w:right w:w="15" w:type="dxa"/>
            </w:tcMar>
            <w:vAlign w:val="center"/>
          </w:tcPr>
          <w:p w14:paraId="7ADFE705">
            <w:pPr>
              <w:ind w:firstLine="420"/>
              <w:rPr>
                <w:rFonts w:hint="eastAsia" w:ascii="宋体" w:hAnsi="宋体" w:eastAsia="宋体" w:cs="宋体"/>
                <w:sz w:val="21"/>
                <w:highlight w:val="none"/>
              </w:rPr>
            </w:pPr>
            <w:r>
              <w:rPr>
                <w:rFonts w:hint="eastAsia" w:ascii="宋体" w:hAnsi="宋体" w:eastAsia="宋体" w:cs="宋体"/>
                <w:sz w:val="21"/>
                <w:highlight w:val="none"/>
              </w:rPr>
              <w:t>bigint</w:t>
            </w:r>
          </w:p>
        </w:tc>
        <w:tc>
          <w:tcPr>
            <w:tcW w:w="722" w:type="pct"/>
            <w:tcMar>
              <w:top w:w="15" w:type="dxa"/>
              <w:left w:w="15" w:type="dxa"/>
              <w:bottom w:w="15" w:type="dxa"/>
              <w:right w:w="15" w:type="dxa"/>
            </w:tcMar>
            <w:vAlign w:val="center"/>
          </w:tcPr>
          <w:p w14:paraId="7AAEABC4">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592" w:type="pct"/>
            <w:tcMar>
              <w:top w:w="15" w:type="dxa"/>
              <w:left w:w="15" w:type="dxa"/>
              <w:bottom w:w="15" w:type="dxa"/>
              <w:right w:w="15" w:type="dxa"/>
            </w:tcMar>
            <w:vAlign w:val="center"/>
          </w:tcPr>
          <w:p w14:paraId="1A006F46">
            <w:pPr>
              <w:ind w:firstLine="420"/>
              <w:rPr>
                <w:rFonts w:hint="eastAsia" w:ascii="宋体" w:hAnsi="宋体" w:eastAsia="宋体" w:cs="宋体"/>
                <w:sz w:val="21"/>
                <w:highlight w:val="none"/>
              </w:rPr>
            </w:pPr>
          </w:p>
        </w:tc>
        <w:tc>
          <w:tcPr>
            <w:tcW w:w="1382" w:type="pct"/>
            <w:tcMar>
              <w:top w:w="15" w:type="dxa"/>
              <w:left w:w="15" w:type="dxa"/>
              <w:bottom w:w="15" w:type="dxa"/>
              <w:right w:w="15" w:type="dxa"/>
            </w:tcMar>
            <w:vAlign w:val="center"/>
          </w:tcPr>
          <w:p w14:paraId="1DB987A7">
            <w:pPr>
              <w:ind w:firstLine="420"/>
              <w:rPr>
                <w:rFonts w:hint="eastAsia" w:ascii="宋体" w:hAnsi="宋体" w:eastAsia="宋体" w:cs="宋体"/>
                <w:sz w:val="21"/>
                <w:highlight w:val="none"/>
              </w:rPr>
            </w:pPr>
            <w:r>
              <w:rPr>
                <w:rFonts w:hint="eastAsia" w:ascii="宋体" w:hAnsi="宋体" w:eastAsia="宋体" w:cs="宋体"/>
                <w:sz w:val="21"/>
                <w:highlight w:val="none"/>
              </w:rPr>
              <w:t>更新时间</w:t>
            </w:r>
          </w:p>
        </w:tc>
      </w:tr>
      <w:tr w14:paraId="558D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53" w:type="pct"/>
            <w:tcMar>
              <w:top w:w="15" w:type="dxa"/>
              <w:left w:w="15" w:type="dxa"/>
              <w:bottom w:w="15" w:type="dxa"/>
              <w:right w:w="15" w:type="dxa"/>
            </w:tcMar>
            <w:vAlign w:val="center"/>
          </w:tcPr>
          <w:p w14:paraId="1EB81491">
            <w:pPr>
              <w:ind w:firstLine="420"/>
              <w:rPr>
                <w:rFonts w:hint="eastAsia" w:ascii="宋体" w:hAnsi="宋体" w:eastAsia="宋体" w:cs="宋体"/>
                <w:sz w:val="21"/>
                <w:highlight w:val="none"/>
              </w:rPr>
            </w:pPr>
            <w:r>
              <w:rPr>
                <w:rFonts w:hint="eastAsia" w:ascii="宋体" w:hAnsi="宋体" w:eastAsia="宋体" w:cs="宋体"/>
                <w:sz w:val="21"/>
                <w:highlight w:val="none"/>
              </w:rPr>
              <w:t>status</w:t>
            </w:r>
          </w:p>
        </w:tc>
        <w:tc>
          <w:tcPr>
            <w:tcW w:w="1049" w:type="pct"/>
            <w:tcMar>
              <w:top w:w="15" w:type="dxa"/>
              <w:left w:w="15" w:type="dxa"/>
              <w:bottom w:w="15" w:type="dxa"/>
              <w:right w:w="15" w:type="dxa"/>
            </w:tcMar>
            <w:vAlign w:val="center"/>
          </w:tcPr>
          <w:p w14:paraId="16F9B959">
            <w:pPr>
              <w:ind w:firstLine="420"/>
              <w:rPr>
                <w:rFonts w:hint="eastAsia" w:ascii="宋体" w:hAnsi="宋体" w:eastAsia="宋体" w:cs="宋体"/>
                <w:sz w:val="21"/>
                <w:highlight w:val="none"/>
              </w:rPr>
            </w:pPr>
            <w:r>
              <w:rPr>
                <w:rFonts w:hint="eastAsia" w:ascii="宋体" w:hAnsi="宋体" w:eastAsia="宋体" w:cs="宋体"/>
                <w:sz w:val="21"/>
                <w:highlight w:val="none"/>
              </w:rPr>
              <w:t>smallint</w:t>
            </w:r>
          </w:p>
        </w:tc>
        <w:tc>
          <w:tcPr>
            <w:tcW w:w="722" w:type="pct"/>
            <w:tcMar>
              <w:top w:w="15" w:type="dxa"/>
              <w:left w:w="15" w:type="dxa"/>
              <w:bottom w:w="15" w:type="dxa"/>
              <w:right w:w="15" w:type="dxa"/>
            </w:tcMar>
            <w:vAlign w:val="center"/>
          </w:tcPr>
          <w:p w14:paraId="0548476E">
            <w:pPr>
              <w:ind w:firstLine="420"/>
              <w:rPr>
                <w:rFonts w:hint="eastAsia" w:ascii="宋体" w:hAnsi="宋体" w:eastAsia="宋体" w:cs="宋体"/>
                <w:sz w:val="21"/>
                <w:highlight w:val="none"/>
              </w:rPr>
            </w:pPr>
            <w:r>
              <w:rPr>
                <w:rFonts w:hint="eastAsia" w:ascii="宋体" w:hAnsi="宋体" w:eastAsia="宋体" w:cs="宋体"/>
                <w:sz w:val="21"/>
                <w:highlight w:val="none"/>
              </w:rPr>
              <w:t>NO</w:t>
            </w:r>
          </w:p>
        </w:tc>
        <w:tc>
          <w:tcPr>
            <w:tcW w:w="592" w:type="pct"/>
            <w:tcMar>
              <w:top w:w="15" w:type="dxa"/>
              <w:left w:w="15" w:type="dxa"/>
              <w:bottom w:w="15" w:type="dxa"/>
              <w:right w:w="15" w:type="dxa"/>
            </w:tcMar>
            <w:vAlign w:val="center"/>
          </w:tcPr>
          <w:p w14:paraId="40E8EE00">
            <w:pPr>
              <w:ind w:firstLine="420"/>
              <w:rPr>
                <w:rFonts w:hint="eastAsia" w:ascii="宋体" w:hAnsi="宋体" w:eastAsia="宋体" w:cs="宋体"/>
                <w:sz w:val="21"/>
                <w:highlight w:val="none"/>
              </w:rPr>
            </w:pPr>
            <w:r>
              <w:rPr>
                <w:rFonts w:hint="eastAsia" w:ascii="宋体" w:hAnsi="宋体" w:eastAsia="宋体" w:cs="宋体"/>
                <w:sz w:val="21"/>
                <w:highlight w:val="none"/>
              </w:rPr>
              <w:t>1</w:t>
            </w:r>
          </w:p>
        </w:tc>
        <w:tc>
          <w:tcPr>
            <w:tcW w:w="1382" w:type="pct"/>
            <w:tcMar>
              <w:top w:w="15" w:type="dxa"/>
              <w:left w:w="15" w:type="dxa"/>
              <w:bottom w:w="15" w:type="dxa"/>
              <w:right w:w="15" w:type="dxa"/>
            </w:tcMar>
            <w:vAlign w:val="center"/>
          </w:tcPr>
          <w:p w14:paraId="42FF41D4">
            <w:pPr>
              <w:ind w:firstLine="420"/>
              <w:rPr>
                <w:rFonts w:hint="eastAsia" w:ascii="宋体" w:hAnsi="宋体" w:eastAsia="宋体" w:cs="宋体"/>
                <w:sz w:val="21"/>
                <w:highlight w:val="none"/>
              </w:rPr>
            </w:pPr>
            <w:r>
              <w:rPr>
                <w:rFonts w:hint="eastAsia" w:ascii="宋体" w:hAnsi="宋体" w:eastAsia="宋体" w:cs="宋体"/>
                <w:sz w:val="21"/>
                <w:highlight w:val="none"/>
              </w:rPr>
              <w:t>车辆类型状态</w:t>
            </w:r>
          </w:p>
        </w:tc>
      </w:tr>
      <w:tr w14:paraId="2891C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53" w:type="pct"/>
            <w:tcMar>
              <w:top w:w="15" w:type="dxa"/>
              <w:left w:w="15" w:type="dxa"/>
              <w:bottom w:w="15" w:type="dxa"/>
              <w:right w:w="15" w:type="dxa"/>
            </w:tcMar>
            <w:vAlign w:val="center"/>
          </w:tcPr>
          <w:p w14:paraId="25359E21">
            <w:pPr>
              <w:ind w:firstLine="420"/>
              <w:rPr>
                <w:rFonts w:hint="eastAsia" w:ascii="宋体" w:hAnsi="宋体" w:eastAsia="宋体" w:cs="宋体"/>
                <w:sz w:val="21"/>
                <w:highlight w:val="none"/>
              </w:rPr>
            </w:pPr>
            <w:r>
              <w:rPr>
                <w:rFonts w:hint="eastAsia" w:ascii="宋体" w:hAnsi="宋体" w:eastAsia="宋体" w:cs="宋体"/>
                <w:sz w:val="21"/>
                <w:highlight w:val="none"/>
              </w:rPr>
              <w:t>offlineday</w:t>
            </w:r>
          </w:p>
        </w:tc>
        <w:tc>
          <w:tcPr>
            <w:tcW w:w="1049" w:type="pct"/>
            <w:tcMar>
              <w:top w:w="15" w:type="dxa"/>
              <w:left w:w="15" w:type="dxa"/>
              <w:bottom w:w="15" w:type="dxa"/>
              <w:right w:w="15" w:type="dxa"/>
            </w:tcMar>
            <w:vAlign w:val="center"/>
          </w:tcPr>
          <w:p w14:paraId="15002CE3">
            <w:pPr>
              <w:ind w:firstLine="420"/>
              <w:rPr>
                <w:rFonts w:hint="eastAsia" w:ascii="宋体" w:hAnsi="宋体" w:eastAsia="宋体" w:cs="宋体"/>
                <w:sz w:val="21"/>
                <w:highlight w:val="none"/>
              </w:rPr>
            </w:pPr>
            <w:r>
              <w:rPr>
                <w:rFonts w:hint="eastAsia" w:ascii="宋体" w:hAnsi="宋体" w:eastAsia="宋体" w:cs="宋体"/>
                <w:sz w:val="21"/>
                <w:highlight w:val="none"/>
              </w:rPr>
              <w:t>int</w:t>
            </w:r>
          </w:p>
        </w:tc>
        <w:tc>
          <w:tcPr>
            <w:tcW w:w="722" w:type="pct"/>
            <w:tcMar>
              <w:top w:w="15" w:type="dxa"/>
              <w:left w:w="15" w:type="dxa"/>
              <w:bottom w:w="15" w:type="dxa"/>
              <w:right w:w="15" w:type="dxa"/>
            </w:tcMar>
            <w:vAlign w:val="center"/>
          </w:tcPr>
          <w:p w14:paraId="42C6AC39">
            <w:pPr>
              <w:ind w:firstLine="420"/>
              <w:rPr>
                <w:rFonts w:hint="eastAsia" w:ascii="宋体" w:hAnsi="宋体" w:eastAsia="宋体" w:cs="宋体"/>
                <w:sz w:val="21"/>
                <w:highlight w:val="none"/>
              </w:rPr>
            </w:pPr>
            <w:r>
              <w:rPr>
                <w:rFonts w:hint="eastAsia" w:ascii="宋体" w:hAnsi="宋体" w:eastAsia="宋体" w:cs="宋体"/>
                <w:sz w:val="21"/>
                <w:highlight w:val="none"/>
              </w:rPr>
              <w:t>NO</w:t>
            </w:r>
          </w:p>
        </w:tc>
        <w:tc>
          <w:tcPr>
            <w:tcW w:w="592" w:type="pct"/>
            <w:tcMar>
              <w:top w:w="15" w:type="dxa"/>
              <w:left w:w="15" w:type="dxa"/>
              <w:bottom w:w="15" w:type="dxa"/>
              <w:right w:w="15" w:type="dxa"/>
            </w:tcMar>
            <w:vAlign w:val="center"/>
          </w:tcPr>
          <w:p w14:paraId="5AC9E38B">
            <w:pPr>
              <w:ind w:firstLine="420"/>
              <w:rPr>
                <w:rFonts w:hint="eastAsia" w:ascii="宋体" w:hAnsi="宋体" w:eastAsia="宋体" w:cs="宋体"/>
                <w:sz w:val="21"/>
                <w:highlight w:val="none"/>
              </w:rPr>
            </w:pPr>
            <w:r>
              <w:rPr>
                <w:rFonts w:hint="eastAsia" w:ascii="宋体" w:hAnsi="宋体" w:eastAsia="宋体" w:cs="宋体"/>
                <w:sz w:val="21"/>
                <w:highlight w:val="none"/>
              </w:rPr>
              <w:t>10</w:t>
            </w:r>
          </w:p>
        </w:tc>
        <w:tc>
          <w:tcPr>
            <w:tcW w:w="1382" w:type="pct"/>
            <w:tcMar>
              <w:top w:w="15" w:type="dxa"/>
              <w:left w:w="15" w:type="dxa"/>
              <w:bottom w:w="15" w:type="dxa"/>
              <w:right w:w="15" w:type="dxa"/>
            </w:tcMar>
            <w:vAlign w:val="center"/>
          </w:tcPr>
          <w:p w14:paraId="0E2B275D">
            <w:pPr>
              <w:ind w:firstLine="420"/>
              <w:rPr>
                <w:rFonts w:hint="eastAsia" w:ascii="宋体" w:hAnsi="宋体" w:eastAsia="宋体" w:cs="宋体"/>
                <w:sz w:val="21"/>
                <w:highlight w:val="none"/>
              </w:rPr>
            </w:pPr>
            <w:r>
              <w:rPr>
                <w:rFonts w:hint="eastAsia" w:ascii="宋体" w:hAnsi="宋体" w:eastAsia="宋体" w:cs="宋体"/>
                <w:sz w:val="21"/>
                <w:highlight w:val="none"/>
              </w:rPr>
              <w:t>离线天数</w:t>
            </w:r>
          </w:p>
        </w:tc>
      </w:tr>
      <w:tr w14:paraId="2139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53" w:type="pct"/>
            <w:tcMar>
              <w:top w:w="15" w:type="dxa"/>
              <w:left w:w="15" w:type="dxa"/>
              <w:bottom w:w="15" w:type="dxa"/>
              <w:right w:w="15" w:type="dxa"/>
            </w:tcMar>
            <w:vAlign w:val="center"/>
          </w:tcPr>
          <w:p w14:paraId="7ADC8671">
            <w:pPr>
              <w:ind w:firstLine="420"/>
              <w:rPr>
                <w:rFonts w:hint="eastAsia" w:ascii="宋体" w:hAnsi="宋体" w:eastAsia="宋体" w:cs="宋体"/>
                <w:sz w:val="21"/>
                <w:highlight w:val="none"/>
              </w:rPr>
            </w:pPr>
            <w:r>
              <w:rPr>
                <w:rFonts w:hint="eastAsia" w:ascii="宋体" w:hAnsi="宋体" w:eastAsia="宋体" w:cs="宋体"/>
                <w:sz w:val="21"/>
                <w:highlight w:val="none"/>
              </w:rPr>
              <w:t>attribute</w:t>
            </w:r>
          </w:p>
        </w:tc>
        <w:tc>
          <w:tcPr>
            <w:tcW w:w="1049" w:type="pct"/>
            <w:tcMar>
              <w:top w:w="15" w:type="dxa"/>
              <w:left w:w="15" w:type="dxa"/>
              <w:bottom w:w="15" w:type="dxa"/>
              <w:right w:w="15" w:type="dxa"/>
            </w:tcMar>
            <w:vAlign w:val="center"/>
          </w:tcPr>
          <w:p w14:paraId="791E9BC0">
            <w:pPr>
              <w:ind w:firstLine="420"/>
              <w:rPr>
                <w:rFonts w:hint="eastAsia" w:ascii="宋体" w:hAnsi="宋体" w:eastAsia="宋体" w:cs="宋体"/>
                <w:sz w:val="21"/>
                <w:highlight w:val="none"/>
              </w:rPr>
            </w:pPr>
            <w:r>
              <w:rPr>
                <w:rFonts w:hint="eastAsia" w:ascii="宋体" w:hAnsi="宋体" w:eastAsia="宋体" w:cs="宋体"/>
                <w:sz w:val="21"/>
                <w:highlight w:val="none"/>
              </w:rPr>
              <w:t>varchar(10)</w:t>
            </w:r>
          </w:p>
        </w:tc>
        <w:tc>
          <w:tcPr>
            <w:tcW w:w="722" w:type="pct"/>
            <w:tcMar>
              <w:top w:w="15" w:type="dxa"/>
              <w:left w:w="15" w:type="dxa"/>
              <w:bottom w:w="15" w:type="dxa"/>
              <w:right w:w="15" w:type="dxa"/>
            </w:tcMar>
            <w:vAlign w:val="center"/>
          </w:tcPr>
          <w:p w14:paraId="264A1AF3">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592" w:type="pct"/>
            <w:tcMar>
              <w:top w:w="15" w:type="dxa"/>
              <w:left w:w="15" w:type="dxa"/>
              <w:bottom w:w="15" w:type="dxa"/>
              <w:right w:w="15" w:type="dxa"/>
            </w:tcMar>
            <w:vAlign w:val="center"/>
          </w:tcPr>
          <w:p w14:paraId="03F89C0C">
            <w:pPr>
              <w:ind w:firstLine="420"/>
              <w:rPr>
                <w:rFonts w:hint="eastAsia" w:ascii="宋体" w:hAnsi="宋体" w:eastAsia="宋体" w:cs="宋体"/>
                <w:sz w:val="21"/>
                <w:highlight w:val="none"/>
              </w:rPr>
            </w:pPr>
          </w:p>
        </w:tc>
        <w:tc>
          <w:tcPr>
            <w:tcW w:w="1382" w:type="pct"/>
            <w:tcMar>
              <w:top w:w="15" w:type="dxa"/>
              <w:left w:w="15" w:type="dxa"/>
              <w:bottom w:w="15" w:type="dxa"/>
              <w:right w:w="15" w:type="dxa"/>
            </w:tcMar>
            <w:vAlign w:val="center"/>
          </w:tcPr>
          <w:p w14:paraId="73871B93">
            <w:pPr>
              <w:ind w:firstLine="420"/>
              <w:rPr>
                <w:rFonts w:hint="eastAsia" w:ascii="宋体" w:hAnsi="宋体" w:eastAsia="宋体" w:cs="宋体"/>
                <w:sz w:val="21"/>
                <w:highlight w:val="none"/>
              </w:rPr>
            </w:pPr>
            <w:r>
              <w:rPr>
                <w:rFonts w:hint="eastAsia" w:ascii="宋体" w:hAnsi="宋体" w:eastAsia="宋体" w:cs="宋体"/>
                <w:sz w:val="21"/>
                <w:highlight w:val="none"/>
              </w:rPr>
              <w:t>车辆类型属性</w:t>
            </w:r>
          </w:p>
        </w:tc>
      </w:tr>
      <w:tr w14:paraId="63AA7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53" w:type="pct"/>
            <w:tcMar>
              <w:top w:w="15" w:type="dxa"/>
              <w:left w:w="15" w:type="dxa"/>
              <w:bottom w:w="15" w:type="dxa"/>
              <w:right w:w="15" w:type="dxa"/>
            </w:tcMar>
            <w:vAlign w:val="center"/>
          </w:tcPr>
          <w:p w14:paraId="3F4D33B3">
            <w:pPr>
              <w:ind w:firstLine="420"/>
              <w:rPr>
                <w:rFonts w:hint="eastAsia" w:ascii="宋体" w:hAnsi="宋体" w:eastAsia="宋体" w:cs="宋体"/>
                <w:sz w:val="21"/>
                <w:highlight w:val="none"/>
              </w:rPr>
            </w:pPr>
            <w:r>
              <w:rPr>
                <w:rFonts w:hint="eastAsia" w:ascii="宋体" w:hAnsi="宋体" w:eastAsia="宋体" w:cs="宋体"/>
                <w:sz w:val="21"/>
                <w:highlight w:val="none"/>
              </w:rPr>
              <w:t>create_time</w:t>
            </w:r>
          </w:p>
        </w:tc>
        <w:tc>
          <w:tcPr>
            <w:tcW w:w="1049" w:type="pct"/>
            <w:tcMar>
              <w:top w:w="15" w:type="dxa"/>
              <w:left w:w="15" w:type="dxa"/>
              <w:bottom w:w="15" w:type="dxa"/>
              <w:right w:w="15" w:type="dxa"/>
            </w:tcMar>
            <w:vAlign w:val="center"/>
          </w:tcPr>
          <w:p w14:paraId="0FC52AA7">
            <w:pPr>
              <w:ind w:firstLine="420"/>
              <w:rPr>
                <w:rFonts w:hint="eastAsia" w:ascii="宋体" w:hAnsi="宋体" w:eastAsia="宋体" w:cs="宋体"/>
                <w:sz w:val="21"/>
                <w:highlight w:val="none"/>
              </w:rPr>
            </w:pPr>
            <w:r>
              <w:rPr>
                <w:rFonts w:hint="eastAsia" w:ascii="宋体" w:hAnsi="宋体" w:eastAsia="宋体" w:cs="宋体"/>
                <w:sz w:val="21"/>
                <w:highlight w:val="none"/>
              </w:rPr>
              <w:t>int(11)</w:t>
            </w:r>
          </w:p>
        </w:tc>
        <w:tc>
          <w:tcPr>
            <w:tcW w:w="722" w:type="pct"/>
            <w:tcMar>
              <w:top w:w="15" w:type="dxa"/>
              <w:left w:w="15" w:type="dxa"/>
              <w:bottom w:w="15" w:type="dxa"/>
              <w:right w:w="15" w:type="dxa"/>
            </w:tcMar>
            <w:vAlign w:val="center"/>
          </w:tcPr>
          <w:p w14:paraId="1A020D3B">
            <w:pPr>
              <w:ind w:firstLine="420"/>
              <w:rPr>
                <w:rFonts w:hint="eastAsia" w:ascii="宋体" w:hAnsi="宋体" w:eastAsia="宋体" w:cs="宋体"/>
                <w:sz w:val="21"/>
                <w:highlight w:val="none"/>
              </w:rPr>
            </w:pPr>
            <w:r>
              <w:rPr>
                <w:rFonts w:hint="eastAsia" w:ascii="宋体" w:hAnsi="宋体" w:eastAsia="宋体" w:cs="宋体"/>
                <w:sz w:val="21"/>
                <w:highlight w:val="none"/>
              </w:rPr>
              <w:t>NO</w:t>
            </w:r>
          </w:p>
        </w:tc>
        <w:tc>
          <w:tcPr>
            <w:tcW w:w="592" w:type="pct"/>
            <w:tcMar>
              <w:top w:w="15" w:type="dxa"/>
              <w:left w:w="15" w:type="dxa"/>
              <w:bottom w:w="15" w:type="dxa"/>
              <w:right w:w="15" w:type="dxa"/>
            </w:tcMar>
            <w:vAlign w:val="center"/>
          </w:tcPr>
          <w:p w14:paraId="5BC24BA0">
            <w:pPr>
              <w:ind w:firstLine="420"/>
              <w:rPr>
                <w:rFonts w:hint="eastAsia" w:ascii="宋体" w:hAnsi="宋体" w:eastAsia="宋体" w:cs="宋体"/>
                <w:sz w:val="21"/>
                <w:highlight w:val="none"/>
              </w:rPr>
            </w:pPr>
            <w:r>
              <w:rPr>
                <w:rFonts w:hint="eastAsia" w:ascii="宋体" w:hAnsi="宋体" w:eastAsia="宋体" w:cs="宋体"/>
                <w:sz w:val="21"/>
                <w:highlight w:val="none"/>
              </w:rPr>
              <w:t>0</w:t>
            </w:r>
          </w:p>
        </w:tc>
        <w:tc>
          <w:tcPr>
            <w:tcW w:w="1382" w:type="pct"/>
            <w:tcMar>
              <w:top w:w="15" w:type="dxa"/>
              <w:left w:w="15" w:type="dxa"/>
              <w:bottom w:w="15" w:type="dxa"/>
              <w:right w:w="15" w:type="dxa"/>
            </w:tcMar>
            <w:vAlign w:val="center"/>
          </w:tcPr>
          <w:p w14:paraId="47DC25FF">
            <w:pPr>
              <w:ind w:firstLine="420"/>
              <w:rPr>
                <w:rFonts w:hint="eastAsia" w:ascii="宋体" w:hAnsi="宋体" w:eastAsia="宋体" w:cs="宋体"/>
                <w:sz w:val="21"/>
                <w:highlight w:val="none"/>
              </w:rPr>
            </w:pPr>
            <w:r>
              <w:rPr>
                <w:rFonts w:hint="eastAsia" w:ascii="宋体" w:hAnsi="宋体" w:eastAsia="宋体" w:cs="宋体"/>
                <w:sz w:val="21"/>
                <w:highlight w:val="none"/>
              </w:rPr>
              <w:t>入库时间</w:t>
            </w:r>
          </w:p>
        </w:tc>
      </w:tr>
      <w:tr w14:paraId="2CE58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53" w:type="pct"/>
            <w:tcMar>
              <w:top w:w="15" w:type="dxa"/>
              <w:left w:w="15" w:type="dxa"/>
              <w:bottom w:w="15" w:type="dxa"/>
              <w:right w:w="15" w:type="dxa"/>
            </w:tcMar>
            <w:vAlign w:val="center"/>
          </w:tcPr>
          <w:p w14:paraId="1EC5DC0A">
            <w:pPr>
              <w:ind w:firstLine="420"/>
              <w:rPr>
                <w:rFonts w:hint="eastAsia" w:ascii="宋体" w:hAnsi="宋体" w:eastAsia="宋体" w:cs="宋体"/>
                <w:sz w:val="21"/>
                <w:highlight w:val="none"/>
              </w:rPr>
            </w:pPr>
            <w:r>
              <w:rPr>
                <w:rFonts w:hint="eastAsia" w:ascii="宋体" w:hAnsi="宋体" w:eastAsia="宋体" w:cs="宋体"/>
                <w:sz w:val="21"/>
                <w:highlight w:val="none"/>
              </w:rPr>
              <w:t>update_time</w:t>
            </w:r>
          </w:p>
        </w:tc>
        <w:tc>
          <w:tcPr>
            <w:tcW w:w="1049" w:type="pct"/>
            <w:tcMar>
              <w:top w:w="15" w:type="dxa"/>
              <w:left w:w="15" w:type="dxa"/>
              <w:bottom w:w="15" w:type="dxa"/>
              <w:right w:w="15" w:type="dxa"/>
            </w:tcMar>
            <w:vAlign w:val="center"/>
          </w:tcPr>
          <w:p w14:paraId="279725EE">
            <w:pPr>
              <w:ind w:firstLine="420"/>
              <w:rPr>
                <w:rFonts w:hint="eastAsia" w:ascii="宋体" w:hAnsi="宋体" w:eastAsia="宋体" w:cs="宋体"/>
                <w:sz w:val="21"/>
                <w:highlight w:val="none"/>
              </w:rPr>
            </w:pPr>
            <w:r>
              <w:rPr>
                <w:rFonts w:hint="eastAsia" w:ascii="宋体" w:hAnsi="宋体" w:eastAsia="宋体" w:cs="宋体"/>
                <w:sz w:val="21"/>
                <w:highlight w:val="none"/>
              </w:rPr>
              <w:t>int(11)</w:t>
            </w:r>
          </w:p>
        </w:tc>
        <w:tc>
          <w:tcPr>
            <w:tcW w:w="722" w:type="pct"/>
            <w:tcMar>
              <w:top w:w="15" w:type="dxa"/>
              <w:left w:w="15" w:type="dxa"/>
              <w:bottom w:w="15" w:type="dxa"/>
              <w:right w:w="15" w:type="dxa"/>
            </w:tcMar>
            <w:vAlign w:val="center"/>
          </w:tcPr>
          <w:p w14:paraId="6C96DB13">
            <w:pPr>
              <w:ind w:firstLine="420"/>
              <w:rPr>
                <w:rFonts w:hint="eastAsia" w:ascii="宋体" w:hAnsi="宋体" w:eastAsia="宋体" w:cs="宋体"/>
                <w:sz w:val="21"/>
                <w:highlight w:val="none"/>
              </w:rPr>
            </w:pPr>
            <w:r>
              <w:rPr>
                <w:rFonts w:hint="eastAsia" w:ascii="宋体" w:hAnsi="宋体" w:eastAsia="宋体" w:cs="宋体"/>
                <w:sz w:val="21"/>
                <w:highlight w:val="none"/>
              </w:rPr>
              <w:t>NO</w:t>
            </w:r>
          </w:p>
        </w:tc>
        <w:tc>
          <w:tcPr>
            <w:tcW w:w="592" w:type="pct"/>
            <w:tcMar>
              <w:top w:w="15" w:type="dxa"/>
              <w:left w:w="15" w:type="dxa"/>
              <w:bottom w:w="15" w:type="dxa"/>
              <w:right w:w="15" w:type="dxa"/>
            </w:tcMar>
            <w:vAlign w:val="center"/>
          </w:tcPr>
          <w:p w14:paraId="725F49E8">
            <w:pPr>
              <w:ind w:firstLine="420"/>
              <w:rPr>
                <w:rFonts w:hint="eastAsia" w:ascii="宋体" w:hAnsi="宋体" w:eastAsia="宋体" w:cs="宋体"/>
                <w:sz w:val="21"/>
                <w:highlight w:val="none"/>
              </w:rPr>
            </w:pPr>
            <w:r>
              <w:rPr>
                <w:rFonts w:hint="eastAsia" w:ascii="宋体" w:hAnsi="宋体" w:eastAsia="宋体" w:cs="宋体"/>
                <w:sz w:val="21"/>
                <w:highlight w:val="none"/>
              </w:rPr>
              <w:t>0</w:t>
            </w:r>
          </w:p>
        </w:tc>
        <w:tc>
          <w:tcPr>
            <w:tcW w:w="1382" w:type="pct"/>
            <w:tcMar>
              <w:top w:w="15" w:type="dxa"/>
              <w:left w:w="15" w:type="dxa"/>
              <w:bottom w:w="15" w:type="dxa"/>
              <w:right w:w="15" w:type="dxa"/>
            </w:tcMar>
            <w:vAlign w:val="center"/>
          </w:tcPr>
          <w:p w14:paraId="4CA33999">
            <w:pPr>
              <w:ind w:firstLine="420"/>
              <w:rPr>
                <w:rFonts w:hint="eastAsia" w:ascii="宋体" w:hAnsi="宋体" w:eastAsia="宋体" w:cs="宋体"/>
                <w:sz w:val="21"/>
                <w:highlight w:val="none"/>
              </w:rPr>
            </w:pPr>
            <w:r>
              <w:rPr>
                <w:rFonts w:hint="eastAsia" w:ascii="宋体" w:hAnsi="宋体" w:eastAsia="宋体" w:cs="宋体"/>
                <w:sz w:val="21"/>
                <w:highlight w:val="none"/>
              </w:rPr>
              <w:t>更新时间</w:t>
            </w:r>
          </w:p>
        </w:tc>
      </w:tr>
      <w:tr w14:paraId="64B1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253" w:type="pct"/>
            <w:tcMar>
              <w:top w:w="15" w:type="dxa"/>
              <w:left w:w="15" w:type="dxa"/>
              <w:bottom w:w="15" w:type="dxa"/>
              <w:right w:w="15" w:type="dxa"/>
            </w:tcMar>
            <w:vAlign w:val="center"/>
          </w:tcPr>
          <w:p w14:paraId="7C80FA48">
            <w:pPr>
              <w:ind w:firstLine="420"/>
              <w:rPr>
                <w:rFonts w:hint="eastAsia" w:ascii="宋体" w:hAnsi="宋体" w:eastAsia="宋体" w:cs="宋体"/>
                <w:sz w:val="21"/>
                <w:highlight w:val="none"/>
              </w:rPr>
            </w:pPr>
            <w:r>
              <w:rPr>
                <w:rFonts w:hint="eastAsia" w:ascii="宋体" w:hAnsi="宋体" w:eastAsia="宋体" w:cs="宋体"/>
                <w:sz w:val="21"/>
                <w:highlight w:val="none"/>
              </w:rPr>
              <w:t>_deleted</w:t>
            </w:r>
          </w:p>
        </w:tc>
        <w:tc>
          <w:tcPr>
            <w:tcW w:w="1049" w:type="pct"/>
            <w:tcMar>
              <w:top w:w="15" w:type="dxa"/>
              <w:left w:w="15" w:type="dxa"/>
              <w:bottom w:w="15" w:type="dxa"/>
              <w:right w:w="15" w:type="dxa"/>
            </w:tcMar>
            <w:vAlign w:val="center"/>
          </w:tcPr>
          <w:p w14:paraId="7B0E89EC">
            <w:pPr>
              <w:ind w:firstLine="420"/>
              <w:rPr>
                <w:rFonts w:hint="eastAsia" w:ascii="宋体" w:hAnsi="宋体" w:eastAsia="宋体" w:cs="宋体"/>
                <w:sz w:val="21"/>
                <w:highlight w:val="none"/>
              </w:rPr>
            </w:pPr>
            <w:r>
              <w:rPr>
                <w:rFonts w:hint="eastAsia" w:ascii="宋体" w:hAnsi="宋体" w:eastAsia="宋体" w:cs="宋体"/>
                <w:sz w:val="21"/>
                <w:highlight w:val="none"/>
              </w:rPr>
              <w:t>boolean</w:t>
            </w:r>
          </w:p>
        </w:tc>
        <w:tc>
          <w:tcPr>
            <w:tcW w:w="722" w:type="pct"/>
            <w:tcMar>
              <w:top w:w="15" w:type="dxa"/>
              <w:left w:w="15" w:type="dxa"/>
              <w:bottom w:w="15" w:type="dxa"/>
              <w:right w:w="15" w:type="dxa"/>
            </w:tcMar>
            <w:vAlign w:val="center"/>
          </w:tcPr>
          <w:p w14:paraId="77CE26FB">
            <w:pPr>
              <w:ind w:firstLine="420"/>
              <w:rPr>
                <w:rFonts w:hint="eastAsia" w:ascii="宋体" w:hAnsi="宋体" w:eastAsia="宋体" w:cs="宋体"/>
                <w:sz w:val="21"/>
                <w:highlight w:val="none"/>
              </w:rPr>
            </w:pPr>
            <w:r>
              <w:rPr>
                <w:rFonts w:hint="eastAsia" w:ascii="宋体" w:hAnsi="宋体" w:eastAsia="宋体" w:cs="宋体"/>
                <w:sz w:val="21"/>
                <w:highlight w:val="none"/>
              </w:rPr>
              <w:t>NO</w:t>
            </w:r>
          </w:p>
        </w:tc>
        <w:tc>
          <w:tcPr>
            <w:tcW w:w="592" w:type="pct"/>
            <w:tcMar>
              <w:top w:w="15" w:type="dxa"/>
              <w:left w:w="15" w:type="dxa"/>
              <w:bottom w:w="15" w:type="dxa"/>
              <w:right w:w="15" w:type="dxa"/>
            </w:tcMar>
            <w:vAlign w:val="center"/>
          </w:tcPr>
          <w:p w14:paraId="3ABA5BF4">
            <w:pPr>
              <w:ind w:firstLine="420"/>
              <w:rPr>
                <w:rFonts w:hint="eastAsia" w:ascii="宋体" w:hAnsi="宋体" w:eastAsia="宋体" w:cs="宋体"/>
                <w:sz w:val="21"/>
                <w:highlight w:val="none"/>
              </w:rPr>
            </w:pPr>
            <w:r>
              <w:rPr>
                <w:rFonts w:hint="eastAsia" w:ascii="宋体" w:hAnsi="宋体" w:eastAsia="宋体" w:cs="宋体"/>
                <w:sz w:val="21"/>
                <w:highlight w:val="none"/>
              </w:rPr>
              <w:t>fasle</w:t>
            </w:r>
          </w:p>
        </w:tc>
        <w:tc>
          <w:tcPr>
            <w:tcW w:w="1382" w:type="pct"/>
            <w:tcMar>
              <w:top w:w="15" w:type="dxa"/>
              <w:left w:w="15" w:type="dxa"/>
              <w:bottom w:w="15" w:type="dxa"/>
              <w:right w:w="15" w:type="dxa"/>
            </w:tcMar>
            <w:vAlign w:val="center"/>
          </w:tcPr>
          <w:p w14:paraId="1A66615B">
            <w:pPr>
              <w:ind w:firstLine="420"/>
              <w:rPr>
                <w:rFonts w:hint="eastAsia" w:ascii="宋体" w:hAnsi="宋体" w:eastAsia="宋体" w:cs="宋体"/>
                <w:sz w:val="21"/>
                <w:highlight w:val="none"/>
              </w:rPr>
            </w:pPr>
            <w:r>
              <w:rPr>
                <w:rFonts w:hint="eastAsia" w:ascii="宋体" w:hAnsi="宋体" w:eastAsia="宋体" w:cs="宋体"/>
                <w:sz w:val="21"/>
                <w:highlight w:val="none"/>
              </w:rPr>
              <w:t>是否删除</w:t>
            </w:r>
          </w:p>
        </w:tc>
      </w:tr>
    </w:tbl>
    <w:p w14:paraId="0D2D8CA8">
      <w:pPr>
        <w:pStyle w:val="64"/>
        <w:ind w:firstLine="0" w:firstLineChars="0"/>
        <w:rPr>
          <w:rFonts w:hint="eastAsia" w:ascii="宋体" w:hAnsi="宋体" w:eastAsia="宋体" w:cs="宋体"/>
          <w:highlight w:val="none"/>
        </w:rPr>
      </w:pPr>
    </w:p>
    <w:p w14:paraId="2779D1B7">
      <w:pPr>
        <w:pStyle w:val="6"/>
        <w:bidi w:val="0"/>
        <w:rPr>
          <w:rFonts w:hint="eastAsia"/>
          <w:highlight w:val="none"/>
        </w:rPr>
      </w:pPr>
      <w:r>
        <w:rPr>
          <w:rFonts w:hint="eastAsia"/>
          <w:highlight w:val="none"/>
        </w:rPr>
        <w:t>车辆表</w:t>
      </w:r>
    </w:p>
    <w:p w14:paraId="076F144E">
      <w:pPr>
        <w:pStyle w:val="65"/>
        <w:rPr>
          <w:rFonts w:hint="eastAsia" w:ascii="宋体" w:hAnsi="宋体" w:eastAsia="宋体" w:cs="宋体"/>
          <w:highlight w:val="none"/>
        </w:rPr>
      </w:pPr>
      <w:r>
        <w:rPr>
          <w:rFonts w:hint="eastAsia" w:ascii="宋体" w:hAnsi="宋体" w:eastAsia="宋体" w:cs="宋体"/>
          <w:highlight w:val="none"/>
        </w:rPr>
        <w:t>车辆表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2"/>
        <w:gridCol w:w="2198"/>
        <w:gridCol w:w="1343"/>
        <w:gridCol w:w="741"/>
        <w:gridCol w:w="2560"/>
      </w:tblGrid>
      <w:tr w14:paraId="356CE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4B6A9800">
            <w:pPr>
              <w:ind w:firstLine="422"/>
              <w:textAlignment w:val="baseline"/>
              <w:rPr>
                <w:rFonts w:hint="eastAsia" w:ascii="宋体" w:hAnsi="宋体" w:eastAsia="宋体" w:cs="宋体"/>
                <w:b/>
                <w:bCs/>
                <w:sz w:val="21"/>
                <w:highlight w:val="none"/>
              </w:rPr>
            </w:pPr>
            <w:r>
              <w:rPr>
                <w:rFonts w:hint="eastAsia" w:ascii="宋体" w:hAnsi="宋体" w:eastAsia="宋体" w:cs="宋体"/>
                <w:b/>
                <w:bCs/>
                <w:sz w:val="21"/>
                <w:highlight w:val="none"/>
              </w:rPr>
              <w:t>字段</w:t>
            </w:r>
          </w:p>
        </w:tc>
        <w:tc>
          <w:tcPr>
            <w:tcW w:w="1184" w:type="pct"/>
          </w:tcPr>
          <w:p w14:paraId="53562385">
            <w:pPr>
              <w:ind w:firstLine="422"/>
              <w:textAlignment w:val="baseline"/>
              <w:rPr>
                <w:rFonts w:hint="eastAsia" w:ascii="宋体" w:hAnsi="宋体" w:eastAsia="宋体" w:cs="宋体"/>
                <w:b/>
                <w:bCs/>
                <w:sz w:val="21"/>
                <w:highlight w:val="none"/>
              </w:rPr>
            </w:pPr>
            <w:r>
              <w:rPr>
                <w:rFonts w:hint="eastAsia" w:ascii="宋体" w:hAnsi="宋体" w:eastAsia="宋体" w:cs="宋体"/>
                <w:b/>
                <w:bCs/>
                <w:sz w:val="21"/>
                <w:highlight w:val="none"/>
              </w:rPr>
              <w:t>类型</w:t>
            </w:r>
          </w:p>
        </w:tc>
        <w:tc>
          <w:tcPr>
            <w:tcW w:w="724" w:type="pct"/>
          </w:tcPr>
          <w:p w14:paraId="2A9D9842">
            <w:pPr>
              <w:ind w:firstLine="0" w:firstLineChars="0"/>
              <w:textAlignment w:val="baseline"/>
              <w:rPr>
                <w:rFonts w:hint="eastAsia" w:ascii="宋体" w:hAnsi="宋体" w:eastAsia="宋体" w:cs="宋体"/>
                <w:b/>
                <w:bCs/>
                <w:sz w:val="21"/>
                <w:highlight w:val="none"/>
              </w:rPr>
            </w:pPr>
            <w:r>
              <w:rPr>
                <w:rFonts w:hint="eastAsia" w:ascii="宋体" w:hAnsi="宋体" w:eastAsia="宋体" w:cs="宋体"/>
                <w:b/>
                <w:bCs/>
                <w:sz w:val="21"/>
                <w:highlight w:val="none"/>
              </w:rPr>
              <w:t>允许空</w:t>
            </w:r>
          </w:p>
        </w:tc>
        <w:tc>
          <w:tcPr>
            <w:tcW w:w="394" w:type="pct"/>
          </w:tcPr>
          <w:p w14:paraId="7AE6E7E0">
            <w:pPr>
              <w:ind w:firstLine="0" w:firstLineChars="0"/>
              <w:textAlignment w:val="baseline"/>
              <w:rPr>
                <w:rFonts w:hint="eastAsia" w:ascii="宋体" w:hAnsi="宋体" w:eastAsia="宋体" w:cs="宋体"/>
                <w:b/>
                <w:bCs/>
                <w:sz w:val="21"/>
                <w:highlight w:val="none"/>
              </w:rPr>
            </w:pPr>
            <w:r>
              <w:rPr>
                <w:rFonts w:hint="eastAsia" w:ascii="宋体" w:hAnsi="宋体" w:eastAsia="宋体" w:cs="宋体"/>
                <w:b/>
                <w:bCs/>
                <w:sz w:val="21"/>
                <w:highlight w:val="none"/>
              </w:rPr>
              <w:t>默认</w:t>
            </w:r>
          </w:p>
        </w:tc>
        <w:tc>
          <w:tcPr>
            <w:tcW w:w="1379" w:type="pct"/>
          </w:tcPr>
          <w:p w14:paraId="075A7CA8">
            <w:pPr>
              <w:ind w:firstLine="422"/>
              <w:textAlignment w:val="baseline"/>
              <w:rPr>
                <w:rFonts w:hint="eastAsia" w:ascii="宋体" w:hAnsi="宋体" w:eastAsia="宋体" w:cs="宋体"/>
                <w:b/>
                <w:bCs/>
                <w:sz w:val="21"/>
                <w:highlight w:val="none"/>
              </w:rPr>
            </w:pPr>
            <w:r>
              <w:rPr>
                <w:rFonts w:hint="eastAsia" w:ascii="宋体" w:hAnsi="宋体" w:eastAsia="宋体" w:cs="宋体"/>
                <w:b/>
                <w:bCs/>
                <w:sz w:val="21"/>
                <w:highlight w:val="none"/>
              </w:rPr>
              <w:t>注释</w:t>
            </w:r>
          </w:p>
        </w:tc>
      </w:tr>
      <w:tr w14:paraId="29DD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2E8C0AF8">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id</w:t>
            </w:r>
          </w:p>
        </w:tc>
        <w:tc>
          <w:tcPr>
            <w:tcW w:w="1184" w:type="pct"/>
          </w:tcPr>
          <w:p w14:paraId="4D8D9AB1">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uuid</w:t>
            </w:r>
          </w:p>
        </w:tc>
        <w:tc>
          <w:tcPr>
            <w:tcW w:w="724" w:type="pct"/>
          </w:tcPr>
          <w:p w14:paraId="4C7466E5">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NO</w:t>
            </w:r>
          </w:p>
        </w:tc>
        <w:tc>
          <w:tcPr>
            <w:tcW w:w="394" w:type="pct"/>
          </w:tcPr>
          <w:p w14:paraId="289C3CEE">
            <w:pPr>
              <w:ind w:firstLine="420"/>
              <w:textAlignment w:val="baseline"/>
              <w:rPr>
                <w:rFonts w:hint="eastAsia" w:ascii="宋体" w:hAnsi="宋体" w:eastAsia="宋体" w:cs="宋体"/>
                <w:sz w:val="21"/>
                <w:highlight w:val="none"/>
              </w:rPr>
            </w:pPr>
          </w:p>
        </w:tc>
        <w:tc>
          <w:tcPr>
            <w:tcW w:w="1379" w:type="pct"/>
          </w:tcPr>
          <w:p w14:paraId="0CDA32DB">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车辆ID</w:t>
            </w:r>
          </w:p>
        </w:tc>
      </w:tr>
      <w:tr w14:paraId="0710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3AE0E34D">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number</w:t>
            </w:r>
          </w:p>
        </w:tc>
        <w:tc>
          <w:tcPr>
            <w:tcW w:w="1184" w:type="pct"/>
          </w:tcPr>
          <w:p w14:paraId="607CD56A">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text</w:t>
            </w:r>
          </w:p>
        </w:tc>
        <w:tc>
          <w:tcPr>
            <w:tcW w:w="724" w:type="pct"/>
          </w:tcPr>
          <w:p w14:paraId="3014388C">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YES</w:t>
            </w:r>
          </w:p>
        </w:tc>
        <w:tc>
          <w:tcPr>
            <w:tcW w:w="394" w:type="pct"/>
          </w:tcPr>
          <w:p w14:paraId="12CA2210">
            <w:pPr>
              <w:ind w:firstLine="420"/>
              <w:textAlignment w:val="baseline"/>
              <w:rPr>
                <w:rFonts w:hint="eastAsia" w:ascii="宋体" w:hAnsi="宋体" w:eastAsia="宋体" w:cs="宋体"/>
                <w:sz w:val="21"/>
                <w:highlight w:val="none"/>
              </w:rPr>
            </w:pPr>
          </w:p>
        </w:tc>
        <w:tc>
          <w:tcPr>
            <w:tcW w:w="1379" w:type="pct"/>
          </w:tcPr>
          <w:p w14:paraId="6F897310">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车牌号</w:t>
            </w:r>
          </w:p>
        </w:tc>
      </w:tr>
      <w:tr w14:paraId="5101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0E407662">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devid</w:t>
            </w:r>
          </w:p>
        </w:tc>
        <w:tc>
          <w:tcPr>
            <w:tcW w:w="1184" w:type="pct"/>
          </w:tcPr>
          <w:p w14:paraId="5A0A3B4E">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text</w:t>
            </w:r>
          </w:p>
        </w:tc>
        <w:tc>
          <w:tcPr>
            <w:tcW w:w="724" w:type="pct"/>
          </w:tcPr>
          <w:p w14:paraId="559217E5">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YES</w:t>
            </w:r>
          </w:p>
        </w:tc>
        <w:tc>
          <w:tcPr>
            <w:tcW w:w="394" w:type="pct"/>
          </w:tcPr>
          <w:p w14:paraId="60AB8FFF">
            <w:pPr>
              <w:ind w:firstLine="420"/>
              <w:textAlignment w:val="baseline"/>
              <w:rPr>
                <w:rFonts w:hint="eastAsia" w:ascii="宋体" w:hAnsi="宋体" w:eastAsia="宋体" w:cs="宋体"/>
                <w:sz w:val="21"/>
                <w:highlight w:val="none"/>
              </w:rPr>
            </w:pPr>
          </w:p>
        </w:tc>
        <w:tc>
          <w:tcPr>
            <w:tcW w:w="1379" w:type="pct"/>
          </w:tcPr>
          <w:p w14:paraId="30C00161">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设备号</w:t>
            </w:r>
          </w:p>
        </w:tc>
      </w:tr>
      <w:tr w14:paraId="2C0C3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497AC4B9">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sim</w:t>
            </w:r>
          </w:p>
        </w:tc>
        <w:tc>
          <w:tcPr>
            <w:tcW w:w="1184" w:type="pct"/>
          </w:tcPr>
          <w:p w14:paraId="05D9D74F">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text</w:t>
            </w:r>
          </w:p>
        </w:tc>
        <w:tc>
          <w:tcPr>
            <w:tcW w:w="724" w:type="pct"/>
          </w:tcPr>
          <w:p w14:paraId="1125ACF8">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YES</w:t>
            </w:r>
          </w:p>
        </w:tc>
        <w:tc>
          <w:tcPr>
            <w:tcW w:w="394" w:type="pct"/>
          </w:tcPr>
          <w:p w14:paraId="6D697391">
            <w:pPr>
              <w:ind w:firstLine="420"/>
              <w:textAlignment w:val="baseline"/>
              <w:rPr>
                <w:rFonts w:hint="eastAsia" w:ascii="宋体" w:hAnsi="宋体" w:eastAsia="宋体" w:cs="宋体"/>
                <w:sz w:val="21"/>
                <w:highlight w:val="none"/>
              </w:rPr>
            </w:pPr>
          </w:p>
        </w:tc>
        <w:tc>
          <w:tcPr>
            <w:tcW w:w="1379" w:type="pct"/>
          </w:tcPr>
          <w:p w14:paraId="01837AD7">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卡号</w:t>
            </w:r>
          </w:p>
        </w:tc>
      </w:tr>
      <w:tr w14:paraId="204B8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6AFFA1AE">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vehicletype</w:t>
            </w:r>
          </w:p>
        </w:tc>
        <w:tc>
          <w:tcPr>
            <w:tcW w:w="1184" w:type="pct"/>
          </w:tcPr>
          <w:p w14:paraId="6BEA8F53">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uuid</w:t>
            </w:r>
          </w:p>
        </w:tc>
        <w:tc>
          <w:tcPr>
            <w:tcW w:w="724" w:type="pct"/>
          </w:tcPr>
          <w:p w14:paraId="2089562B">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NO</w:t>
            </w:r>
          </w:p>
        </w:tc>
        <w:tc>
          <w:tcPr>
            <w:tcW w:w="394" w:type="pct"/>
          </w:tcPr>
          <w:p w14:paraId="4FBB8291">
            <w:pPr>
              <w:ind w:firstLine="420"/>
              <w:textAlignment w:val="baseline"/>
              <w:rPr>
                <w:rFonts w:hint="eastAsia" w:ascii="宋体" w:hAnsi="宋体" w:eastAsia="宋体" w:cs="宋体"/>
                <w:sz w:val="21"/>
                <w:highlight w:val="none"/>
              </w:rPr>
            </w:pPr>
          </w:p>
        </w:tc>
        <w:tc>
          <w:tcPr>
            <w:tcW w:w="1379" w:type="pct"/>
          </w:tcPr>
          <w:p w14:paraId="678CD16F">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车辆类型id</w:t>
            </w:r>
          </w:p>
        </w:tc>
      </w:tr>
      <w:tr w14:paraId="219B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0D104841">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department</w:t>
            </w:r>
          </w:p>
        </w:tc>
        <w:tc>
          <w:tcPr>
            <w:tcW w:w="1184" w:type="pct"/>
          </w:tcPr>
          <w:p w14:paraId="44B09C16">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uuid</w:t>
            </w:r>
          </w:p>
        </w:tc>
        <w:tc>
          <w:tcPr>
            <w:tcW w:w="724" w:type="pct"/>
          </w:tcPr>
          <w:p w14:paraId="4660D3DB">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NO</w:t>
            </w:r>
          </w:p>
        </w:tc>
        <w:tc>
          <w:tcPr>
            <w:tcW w:w="394" w:type="pct"/>
          </w:tcPr>
          <w:p w14:paraId="0BAC4690">
            <w:pPr>
              <w:ind w:firstLine="420"/>
              <w:textAlignment w:val="baseline"/>
              <w:rPr>
                <w:rFonts w:hint="eastAsia" w:ascii="宋体" w:hAnsi="宋体" w:eastAsia="宋体" w:cs="宋体"/>
                <w:sz w:val="21"/>
                <w:highlight w:val="none"/>
              </w:rPr>
            </w:pPr>
          </w:p>
        </w:tc>
        <w:tc>
          <w:tcPr>
            <w:tcW w:w="1379" w:type="pct"/>
          </w:tcPr>
          <w:p w14:paraId="6B1BB928">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所属部门id</w:t>
            </w:r>
          </w:p>
        </w:tc>
      </w:tr>
      <w:tr w14:paraId="57BD7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59E307A1">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posowner</w:t>
            </w:r>
          </w:p>
        </w:tc>
        <w:tc>
          <w:tcPr>
            <w:tcW w:w="1184" w:type="pct"/>
          </w:tcPr>
          <w:p w14:paraId="75A8918A">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text</w:t>
            </w:r>
          </w:p>
        </w:tc>
        <w:tc>
          <w:tcPr>
            <w:tcW w:w="724" w:type="pct"/>
          </w:tcPr>
          <w:p w14:paraId="5EE4441B">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YES</w:t>
            </w:r>
          </w:p>
        </w:tc>
        <w:tc>
          <w:tcPr>
            <w:tcW w:w="394" w:type="pct"/>
          </w:tcPr>
          <w:p w14:paraId="7615AC14">
            <w:pPr>
              <w:ind w:firstLine="420"/>
              <w:textAlignment w:val="baseline"/>
              <w:rPr>
                <w:rFonts w:hint="eastAsia" w:ascii="宋体" w:hAnsi="宋体" w:eastAsia="宋体" w:cs="宋体"/>
                <w:sz w:val="21"/>
                <w:highlight w:val="none"/>
              </w:rPr>
            </w:pPr>
          </w:p>
        </w:tc>
        <w:tc>
          <w:tcPr>
            <w:tcW w:w="1379" w:type="pct"/>
          </w:tcPr>
          <w:p w14:paraId="3877672A">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所属机场</w:t>
            </w:r>
          </w:p>
        </w:tc>
      </w:tr>
      <w:tr w14:paraId="593F4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1BC9FDBA">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vehiclestatus</w:t>
            </w:r>
          </w:p>
        </w:tc>
        <w:tc>
          <w:tcPr>
            <w:tcW w:w="1184" w:type="pct"/>
          </w:tcPr>
          <w:p w14:paraId="2F177DFF">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smallint</w:t>
            </w:r>
          </w:p>
        </w:tc>
        <w:tc>
          <w:tcPr>
            <w:tcW w:w="724" w:type="pct"/>
          </w:tcPr>
          <w:p w14:paraId="334966AB">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NO</w:t>
            </w:r>
          </w:p>
        </w:tc>
        <w:tc>
          <w:tcPr>
            <w:tcW w:w="394" w:type="pct"/>
          </w:tcPr>
          <w:p w14:paraId="21F48F75">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1</w:t>
            </w:r>
          </w:p>
        </w:tc>
        <w:tc>
          <w:tcPr>
            <w:tcW w:w="1379" w:type="pct"/>
          </w:tcPr>
          <w:p w14:paraId="3E302D1B">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车辆状态</w:t>
            </w:r>
          </w:p>
        </w:tc>
      </w:tr>
      <w:tr w14:paraId="31A7E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6BBD67AE">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install_time</w:t>
            </w:r>
          </w:p>
        </w:tc>
        <w:tc>
          <w:tcPr>
            <w:tcW w:w="1184" w:type="pct"/>
          </w:tcPr>
          <w:p w14:paraId="5C3F696F">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bigint</w:t>
            </w:r>
          </w:p>
        </w:tc>
        <w:tc>
          <w:tcPr>
            <w:tcW w:w="724" w:type="pct"/>
          </w:tcPr>
          <w:p w14:paraId="07BC9E78">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YES</w:t>
            </w:r>
          </w:p>
        </w:tc>
        <w:tc>
          <w:tcPr>
            <w:tcW w:w="394" w:type="pct"/>
          </w:tcPr>
          <w:p w14:paraId="6A181E95">
            <w:pPr>
              <w:ind w:firstLine="420"/>
              <w:textAlignment w:val="baseline"/>
              <w:rPr>
                <w:rFonts w:hint="eastAsia" w:ascii="宋体" w:hAnsi="宋体" w:eastAsia="宋体" w:cs="宋体"/>
                <w:sz w:val="21"/>
                <w:highlight w:val="none"/>
              </w:rPr>
            </w:pPr>
          </w:p>
        </w:tc>
        <w:tc>
          <w:tcPr>
            <w:tcW w:w="1379" w:type="pct"/>
          </w:tcPr>
          <w:p w14:paraId="3A5A34CA">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安装日期</w:t>
            </w:r>
          </w:p>
        </w:tc>
      </w:tr>
      <w:tr w14:paraId="104F3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11CD7EB5">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protocol</w:t>
            </w:r>
          </w:p>
        </w:tc>
        <w:tc>
          <w:tcPr>
            <w:tcW w:w="1184" w:type="pct"/>
          </w:tcPr>
          <w:p w14:paraId="13829842">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smallint</w:t>
            </w:r>
          </w:p>
        </w:tc>
        <w:tc>
          <w:tcPr>
            <w:tcW w:w="724" w:type="pct"/>
          </w:tcPr>
          <w:p w14:paraId="1417DFCA">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YES</w:t>
            </w:r>
          </w:p>
        </w:tc>
        <w:tc>
          <w:tcPr>
            <w:tcW w:w="394" w:type="pct"/>
          </w:tcPr>
          <w:p w14:paraId="72F10A9E">
            <w:pPr>
              <w:ind w:firstLine="420"/>
              <w:textAlignment w:val="baseline"/>
              <w:rPr>
                <w:rFonts w:hint="eastAsia" w:ascii="宋体" w:hAnsi="宋体" w:eastAsia="宋体" w:cs="宋体"/>
                <w:sz w:val="21"/>
                <w:highlight w:val="none"/>
              </w:rPr>
            </w:pPr>
          </w:p>
        </w:tc>
        <w:tc>
          <w:tcPr>
            <w:tcW w:w="1379" w:type="pct"/>
          </w:tcPr>
          <w:p w14:paraId="24313F1E">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所选协议</w:t>
            </w:r>
          </w:p>
        </w:tc>
      </w:tr>
      <w:tr w14:paraId="7A286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49B69EB6">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viewable</w:t>
            </w:r>
          </w:p>
        </w:tc>
        <w:tc>
          <w:tcPr>
            <w:tcW w:w="1184" w:type="pct"/>
          </w:tcPr>
          <w:p w14:paraId="7DF396E3">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int</w:t>
            </w:r>
          </w:p>
        </w:tc>
        <w:tc>
          <w:tcPr>
            <w:tcW w:w="724" w:type="pct"/>
          </w:tcPr>
          <w:p w14:paraId="04F07C74">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YES</w:t>
            </w:r>
          </w:p>
        </w:tc>
        <w:tc>
          <w:tcPr>
            <w:tcW w:w="394" w:type="pct"/>
          </w:tcPr>
          <w:p w14:paraId="18E31688">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0</w:t>
            </w:r>
          </w:p>
        </w:tc>
        <w:tc>
          <w:tcPr>
            <w:tcW w:w="1379" w:type="pct"/>
          </w:tcPr>
          <w:p w14:paraId="5AE40F36">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是否可观看视频</w:t>
            </w:r>
          </w:p>
        </w:tc>
      </w:tr>
      <w:tr w14:paraId="78C5A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79FBF5AC">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device_type</w:t>
            </w:r>
          </w:p>
        </w:tc>
        <w:tc>
          <w:tcPr>
            <w:tcW w:w="1184" w:type="pct"/>
          </w:tcPr>
          <w:p w14:paraId="520CD014">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int</w:t>
            </w:r>
          </w:p>
        </w:tc>
        <w:tc>
          <w:tcPr>
            <w:tcW w:w="724" w:type="pct"/>
          </w:tcPr>
          <w:p w14:paraId="50976E33">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YES</w:t>
            </w:r>
          </w:p>
        </w:tc>
        <w:tc>
          <w:tcPr>
            <w:tcW w:w="394" w:type="pct"/>
          </w:tcPr>
          <w:p w14:paraId="5C6B79AF">
            <w:pPr>
              <w:ind w:firstLine="420"/>
              <w:textAlignment w:val="baseline"/>
              <w:rPr>
                <w:rFonts w:hint="eastAsia" w:ascii="宋体" w:hAnsi="宋体" w:eastAsia="宋体" w:cs="宋体"/>
                <w:sz w:val="21"/>
                <w:highlight w:val="none"/>
              </w:rPr>
            </w:pPr>
          </w:p>
        </w:tc>
        <w:tc>
          <w:tcPr>
            <w:tcW w:w="1379" w:type="pct"/>
          </w:tcPr>
          <w:p w14:paraId="222822A4">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设备类型</w:t>
            </w:r>
          </w:p>
        </w:tc>
      </w:tr>
      <w:tr w14:paraId="56E0D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52D42FD5">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device_source</w:t>
            </w:r>
          </w:p>
        </w:tc>
        <w:tc>
          <w:tcPr>
            <w:tcW w:w="1184" w:type="pct"/>
          </w:tcPr>
          <w:p w14:paraId="313BDCB7">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int</w:t>
            </w:r>
          </w:p>
        </w:tc>
        <w:tc>
          <w:tcPr>
            <w:tcW w:w="724" w:type="pct"/>
          </w:tcPr>
          <w:p w14:paraId="608F2641">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YES</w:t>
            </w:r>
          </w:p>
        </w:tc>
        <w:tc>
          <w:tcPr>
            <w:tcW w:w="394" w:type="pct"/>
          </w:tcPr>
          <w:p w14:paraId="6EBB7A48">
            <w:pPr>
              <w:ind w:firstLine="420"/>
              <w:textAlignment w:val="baseline"/>
              <w:rPr>
                <w:rFonts w:hint="eastAsia" w:ascii="宋体" w:hAnsi="宋体" w:eastAsia="宋体" w:cs="宋体"/>
                <w:sz w:val="21"/>
                <w:highlight w:val="none"/>
              </w:rPr>
            </w:pPr>
          </w:p>
        </w:tc>
        <w:tc>
          <w:tcPr>
            <w:tcW w:w="1379" w:type="pct"/>
          </w:tcPr>
          <w:p w14:paraId="294F00DD">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设备来源</w:t>
            </w:r>
          </w:p>
        </w:tc>
      </w:tr>
      <w:tr w14:paraId="75B4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0A93EF3D">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vehiclemodel</w:t>
            </w:r>
          </w:p>
        </w:tc>
        <w:tc>
          <w:tcPr>
            <w:tcW w:w="1184" w:type="pct"/>
          </w:tcPr>
          <w:p w14:paraId="684DAEFB">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text</w:t>
            </w:r>
          </w:p>
        </w:tc>
        <w:tc>
          <w:tcPr>
            <w:tcW w:w="724" w:type="pct"/>
          </w:tcPr>
          <w:p w14:paraId="073EB964">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YES</w:t>
            </w:r>
          </w:p>
        </w:tc>
        <w:tc>
          <w:tcPr>
            <w:tcW w:w="394" w:type="pct"/>
          </w:tcPr>
          <w:p w14:paraId="0C5ADB84">
            <w:pPr>
              <w:ind w:firstLine="420"/>
              <w:textAlignment w:val="baseline"/>
              <w:rPr>
                <w:rFonts w:hint="eastAsia" w:ascii="宋体" w:hAnsi="宋体" w:eastAsia="宋体" w:cs="宋体"/>
                <w:sz w:val="21"/>
                <w:highlight w:val="none"/>
              </w:rPr>
            </w:pPr>
          </w:p>
        </w:tc>
        <w:tc>
          <w:tcPr>
            <w:tcW w:w="1379" w:type="pct"/>
          </w:tcPr>
          <w:p w14:paraId="14A4148C">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车辆型号</w:t>
            </w:r>
          </w:p>
        </w:tc>
      </w:tr>
      <w:tr w14:paraId="14E12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3B87CA7B">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charge_unit</w:t>
            </w:r>
          </w:p>
        </w:tc>
        <w:tc>
          <w:tcPr>
            <w:tcW w:w="1184" w:type="pct"/>
          </w:tcPr>
          <w:p w14:paraId="636FAB1F">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varchar(20)</w:t>
            </w:r>
          </w:p>
        </w:tc>
        <w:tc>
          <w:tcPr>
            <w:tcW w:w="724" w:type="pct"/>
          </w:tcPr>
          <w:p w14:paraId="4E04A751">
            <w:pPr>
              <w:ind w:firstLine="210" w:firstLineChars="10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YES</w:t>
            </w:r>
          </w:p>
        </w:tc>
        <w:tc>
          <w:tcPr>
            <w:tcW w:w="394" w:type="pct"/>
          </w:tcPr>
          <w:p w14:paraId="2393AD36">
            <w:pPr>
              <w:ind w:firstLine="420"/>
              <w:textAlignment w:val="baseline"/>
              <w:rPr>
                <w:rFonts w:hint="eastAsia" w:ascii="宋体" w:hAnsi="宋体" w:eastAsia="宋体" w:cs="宋体"/>
                <w:sz w:val="21"/>
                <w:highlight w:val="none"/>
              </w:rPr>
            </w:pPr>
          </w:p>
        </w:tc>
        <w:tc>
          <w:tcPr>
            <w:tcW w:w="1379" w:type="pct"/>
          </w:tcPr>
          <w:p w14:paraId="7368C1D6">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付费单位</w:t>
            </w:r>
          </w:p>
        </w:tc>
      </w:tr>
      <w:tr w14:paraId="2FDE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1D3D5263">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vin</w:t>
            </w:r>
          </w:p>
        </w:tc>
        <w:tc>
          <w:tcPr>
            <w:tcW w:w="1184" w:type="pct"/>
          </w:tcPr>
          <w:p w14:paraId="548E7070">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varchar(100)</w:t>
            </w:r>
          </w:p>
        </w:tc>
        <w:tc>
          <w:tcPr>
            <w:tcW w:w="724" w:type="pct"/>
          </w:tcPr>
          <w:p w14:paraId="777C55AC">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YES</w:t>
            </w:r>
          </w:p>
        </w:tc>
        <w:tc>
          <w:tcPr>
            <w:tcW w:w="394" w:type="pct"/>
          </w:tcPr>
          <w:p w14:paraId="77EF9148">
            <w:pPr>
              <w:ind w:firstLine="420"/>
              <w:textAlignment w:val="baseline"/>
              <w:rPr>
                <w:rFonts w:hint="eastAsia" w:ascii="宋体" w:hAnsi="宋体" w:eastAsia="宋体" w:cs="宋体"/>
                <w:sz w:val="21"/>
                <w:highlight w:val="none"/>
              </w:rPr>
            </w:pPr>
          </w:p>
        </w:tc>
        <w:tc>
          <w:tcPr>
            <w:tcW w:w="1379" w:type="pct"/>
          </w:tcPr>
          <w:p w14:paraId="3CA56347">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车架号</w:t>
            </w:r>
          </w:p>
        </w:tc>
      </w:tr>
      <w:tr w14:paraId="3404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04CE3549">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engine</w:t>
            </w:r>
          </w:p>
        </w:tc>
        <w:tc>
          <w:tcPr>
            <w:tcW w:w="1184" w:type="pct"/>
          </w:tcPr>
          <w:p w14:paraId="75DEE3F1">
            <w:pPr>
              <w:ind w:firstLine="420"/>
              <w:textAlignment w:val="baseline"/>
              <w:rPr>
                <w:rFonts w:hint="eastAsia" w:ascii="宋体" w:hAnsi="宋体" w:eastAsia="宋体" w:cs="宋体"/>
                <w:sz w:val="21"/>
                <w:highlight w:val="none"/>
              </w:rPr>
            </w:pPr>
            <w:r>
              <w:rPr>
                <w:rFonts w:hint="eastAsia" w:ascii="宋体" w:hAnsi="宋体" w:eastAsia="宋体" w:cs="宋体"/>
                <w:sz w:val="21"/>
                <w:highlight w:val="none"/>
              </w:rPr>
              <w:t>varchar(100)</w:t>
            </w:r>
          </w:p>
        </w:tc>
        <w:tc>
          <w:tcPr>
            <w:tcW w:w="724" w:type="pct"/>
          </w:tcPr>
          <w:p w14:paraId="02DB9E20">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YES</w:t>
            </w:r>
          </w:p>
        </w:tc>
        <w:tc>
          <w:tcPr>
            <w:tcW w:w="394" w:type="pct"/>
          </w:tcPr>
          <w:p w14:paraId="3E4DD19F">
            <w:pPr>
              <w:ind w:firstLine="420"/>
              <w:textAlignment w:val="baseline"/>
              <w:rPr>
                <w:rFonts w:hint="eastAsia" w:ascii="宋体" w:hAnsi="宋体" w:eastAsia="宋体" w:cs="宋体"/>
                <w:sz w:val="21"/>
                <w:highlight w:val="none"/>
              </w:rPr>
            </w:pPr>
          </w:p>
        </w:tc>
        <w:tc>
          <w:tcPr>
            <w:tcW w:w="1379" w:type="pct"/>
          </w:tcPr>
          <w:p w14:paraId="4A6F89BE">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发动机号</w:t>
            </w:r>
          </w:p>
        </w:tc>
      </w:tr>
      <w:tr w14:paraId="6C321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1F0E08B0">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channelobj</w:t>
            </w:r>
          </w:p>
        </w:tc>
        <w:tc>
          <w:tcPr>
            <w:tcW w:w="1184" w:type="pct"/>
          </w:tcPr>
          <w:p w14:paraId="78700F6A">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text</w:t>
            </w:r>
          </w:p>
        </w:tc>
        <w:tc>
          <w:tcPr>
            <w:tcW w:w="724" w:type="pct"/>
          </w:tcPr>
          <w:p w14:paraId="7E0C60A5">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YES</w:t>
            </w:r>
          </w:p>
        </w:tc>
        <w:tc>
          <w:tcPr>
            <w:tcW w:w="394" w:type="pct"/>
          </w:tcPr>
          <w:p w14:paraId="3BE4A5FC">
            <w:pPr>
              <w:ind w:firstLine="420"/>
              <w:textAlignment w:val="baseline"/>
              <w:rPr>
                <w:rFonts w:hint="eastAsia" w:ascii="宋体" w:hAnsi="宋体" w:eastAsia="宋体" w:cs="宋体"/>
                <w:sz w:val="21"/>
                <w:highlight w:val="none"/>
              </w:rPr>
            </w:pPr>
          </w:p>
        </w:tc>
        <w:tc>
          <w:tcPr>
            <w:tcW w:w="1379" w:type="pct"/>
          </w:tcPr>
          <w:p w14:paraId="4DC07AC1">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摄像头配置对象</w:t>
            </w:r>
          </w:p>
        </w:tc>
      </w:tr>
      <w:tr w14:paraId="67C2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59F01040">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scrap_time</w:t>
            </w:r>
          </w:p>
        </w:tc>
        <w:tc>
          <w:tcPr>
            <w:tcW w:w="1184" w:type="pct"/>
          </w:tcPr>
          <w:p w14:paraId="69AC467B">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date</w:t>
            </w:r>
          </w:p>
        </w:tc>
        <w:tc>
          <w:tcPr>
            <w:tcW w:w="724" w:type="pct"/>
          </w:tcPr>
          <w:p w14:paraId="1118D7B8">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YES</w:t>
            </w:r>
          </w:p>
        </w:tc>
        <w:tc>
          <w:tcPr>
            <w:tcW w:w="394" w:type="pct"/>
          </w:tcPr>
          <w:p w14:paraId="01186B10">
            <w:pPr>
              <w:ind w:firstLine="420"/>
              <w:textAlignment w:val="baseline"/>
              <w:rPr>
                <w:rFonts w:hint="eastAsia" w:ascii="宋体" w:hAnsi="宋体" w:eastAsia="宋体" w:cs="宋体"/>
                <w:sz w:val="21"/>
                <w:highlight w:val="none"/>
              </w:rPr>
            </w:pPr>
          </w:p>
        </w:tc>
        <w:tc>
          <w:tcPr>
            <w:tcW w:w="1379" w:type="pct"/>
          </w:tcPr>
          <w:p w14:paraId="20D007A7">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报废日期</w:t>
            </w:r>
          </w:p>
        </w:tc>
      </w:tr>
      <w:tr w14:paraId="392C8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2305F811">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create_time</w:t>
            </w:r>
          </w:p>
        </w:tc>
        <w:tc>
          <w:tcPr>
            <w:tcW w:w="1184" w:type="pct"/>
          </w:tcPr>
          <w:p w14:paraId="370A5AB9">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timestamp</w:t>
            </w:r>
          </w:p>
        </w:tc>
        <w:tc>
          <w:tcPr>
            <w:tcW w:w="724" w:type="pct"/>
          </w:tcPr>
          <w:p w14:paraId="23474E0A">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YES</w:t>
            </w:r>
          </w:p>
        </w:tc>
        <w:tc>
          <w:tcPr>
            <w:tcW w:w="394" w:type="pct"/>
          </w:tcPr>
          <w:p w14:paraId="01899F84">
            <w:pPr>
              <w:ind w:firstLine="420"/>
              <w:textAlignment w:val="baseline"/>
              <w:rPr>
                <w:rFonts w:hint="eastAsia" w:ascii="宋体" w:hAnsi="宋体" w:eastAsia="宋体" w:cs="宋体"/>
                <w:sz w:val="21"/>
                <w:highlight w:val="none"/>
              </w:rPr>
            </w:pPr>
          </w:p>
        </w:tc>
        <w:tc>
          <w:tcPr>
            <w:tcW w:w="1379" w:type="pct"/>
          </w:tcPr>
          <w:p w14:paraId="17B9422E">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创建时间</w:t>
            </w:r>
          </w:p>
        </w:tc>
      </w:tr>
      <w:tr w14:paraId="67B02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7D308146">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update_time</w:t>
            </w:r>
          </w:p>
        </w:tc>
        <w:tc>
          <w:tcPr>
            <w:tcW w:w="1184" w:type="pct"/>
          </w:tcPr>
          <w:p w14:paraId="48DC4A13">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timestamp</w:t>
            </w:r>
          </w:p>
        </w:tc>
        <w:tc>
          <w:tcPr>
            <w:tcW w:w="724" w:type="pct"/>
          </w:tcPr>
          <w:p w14:paraId="46128741">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YES</w:t>
            </w:r>
          </w:p>
        </w:tc>
        <w:tc>
          <w:tcPr>
            <w:tcW w:w="394" w:type="pct"/>
          </w:tcPr>
          <w:p w14:paraId="4FDBA5F9">
            <w:pPr>
              <w:ind w:firstLine="420"/>
              <w:textAlignment w:val="baseline"/>
              <w:rPr>
                <w:rFonts w:hint="eastAsia" w:ascii="宋体" w:hAnsi="宋体" w:eastAsia="宋体" w:cs="宋体"/>
                <w:sz w:val="21"/>
                <w:highlight w:val="none"/>
              </w:rPr>
            </w:pPr>
          </w:p>
        </w:tc>
        <w:tc>
          <w:tcPr>
            <w:tcW w:w="1379" w:type="pct"/>
          </w:tcPr>
          <w:p w14:paraId="387B27BC">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更新时间</w:t>
            </w:r>
          </w:p>
        </w:tc>
      </w:tr>
      <w:tr w14:paraId="7E38A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6D00C165">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is_mute</w:t>
            </w:r>
          </w:p>
        </w:tc>
        <w:tc>
          <w:tcPr>
            <w:tcW w:w="1184" w:type="pct"/>
          </w:tcPr>
          <w:p w14:paraId="510825BE">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int</w:t>
            </w:r>
          </w:p>
        </w:tc>
        <w:tc>
          <w:tcPr>
            <w:tcW w:w="724" w:type="pct"/>
          </w:tcPr>
          <w:p w14:paraId="409CD326">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YES</w:t>
            </w:r>
          </w:p>
        </w:tc>
        <w:tc>
          <w:tcPr>
            <w:tcW w:w="394" w:type="pct"/>
          </w:tcPr>
          <w:p w14:paraId="5B5D2C93">
            <w:pPr>
              <w:ind w:firstLine="420"/>
              <w:textAlignment w:val="baseline"/>
              <w:rPr>
                <w:rFonts w:hint="eastAsia" w:ascii="宋体" w:hAnsi="宋体" w:eastAsia="宋体" w:cs="宋体"/>
                <w:sz w:val="21"/>
                <w:highlight w:val="none"/>
              </w:rPr>
            </w:pPr>
          </w:p>
        </w:tc>
        <w:tc>
          <w:tcPr>
            <w:tcW w:w="1379" w:type="pct"/>
          </w:tcPr>
          <w:p w14:paraId="2083E017">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是否禁音</w:t>
            </w:r>
          </w:p>
        </w:tc>
      </w:tr>
      <w:tr w14:paraId="6DFB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5D69C066">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comment</w:t>
            </w:r>
          </w:p>
        </w:tc>
        <w:tc>
          <w:tcPr>
            <w:tcW w:w="1184" w:type="pct"/>
          </w:tcPr>
          <w:p w14:paraId="3D06E597">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text</w:t>
            </w:r>
          </w:p>
        </w:tc>
        <w:tc>
          <w:tcPr>
            <w:tcW w:w="724" w:type="pct"/>
          </w:tcPr>
          <w:p w14:paraId="4CA2B835">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YES</w:t>
            </w:r>
          </w:p>
        </w:tc>
        <w:tc>
          <w:tcPr>
            <w:tcW w:w="394" w:type="pct"/>
          </w:tcPr>
          <w:p w14:paraId="1981A7BE">
            <w:pPr>
              <w:ind w:firstLine="420"/>
              <w:textAlignment w:val="baseline"/>
              <w:rPr>
                <w:rFonts w:hint="eastAsia" w:ascii="宋体" w:hAnsi="宋体" w:eastAsia="宋体" w:cs="宋体"/>
                <w:sz w:val="21"/>
                <w:highlight w:val="none"/>
              </w:rPr>
            </w:pPr>
          </w:p>
        </w:tc>
        <w:tc>
          <w:tcPr>
            <w:tcW w:w="1379" w:type="pct"/>
          </w:tcPr>
          <w:p w14:paraId="1E0CD960">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备注</w:t>
            </w:r>
          </w:p>
        </w:tc>
      </w:tr>
      <w:tr w14:paraId="6C94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16" w:type="pct"/>
          </w:tcPr>
          <w:p w14:paraId="766397A3">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_deleted</w:t>
            </w:r>
          </w:p>
        </w:tc>
        <w:tc>
          <w:tcPr>
            <w:tcW w:w="1184" w:type="pct"/>
          </w:tcPr>
          <w:p w14:paraId="65BD4651">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boolean</w:t>
            </w:r>
          </w:p>
        </w:tc>
        <w:tc>
          <w:tcPr>
            <w:tcW w:w="724" w:type="pct"/>
          </w:tcPr>
          <w:p w14:paraId="293F863E">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NO</w:t>
            </w:r>
          </w:p>
        </w:tc>
        <w:tc>
          <w:tcPr>
            <w:tcW w:w="394" w:type="pct"/>
          </w:tcPr>
          <w:p w14:paraId="050DB2D2">
            <w:pPr>
              <w:ind w:firstLine="0" w:firstLineChars="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false</w:t>
            </w:r>
          </w:p>
        </w:tc>
        <w:tc>
          <w:tcPr>
            <w:tcW w:w="1379" w:type="pct"/>
          </w:tcPr>
          <w:p w14:paraId="7991E1E6">
            <w:pPr>
              <w:ind w:firstLine="420"/>
              <w:textAlignment w:val="baseline"/>
              <w:rPr>
                <w:rFonts w:hint="eastAsia" w:ascii="宋体" w:hAnsi="宋体" w:eastAsia="宋体" w:cs="宋体"/>
                <w:sz w:val="21"/>
                <w:highlight w:val="none"/>
              </w:rPr>
            </w:pPr>
            <w:r>
              <w:rPr>
                <w:rFonts w:hint="eastAsia" w:ascii="宋体" w:hAnsi="宋体" w:eastAsia="宋体" w:cs="宋体"/>
                <w:color w:val="595959"/>
                <w:kern w:val="0"/>
                <w:sz w:val="21"/>
                <w:highlight w:val="none"/>
              </w:rPr>
              <w:t>是否删除</w:t>
            </w:r>
          </w:p>
        </w:tc>
      </w:tr>
    </w:tbl>
    <w:p w14:paraId="0DF21A0E">
      <w:pPr>
        <w:pStyle w:val="64"/>
        <w:rPr>
          <w:rFonts w:hint="eastAsia" w:ascii="宋体" w:hAnsi="宋体" w:eastAsia="宋体" w:cs="宋体"/>
          <w:highlight w:val="none"/>
        </w:rPr>
      </w:pPr>
    </w:p>
    <w:p w14:paraId="1BDE495B">
      <w:pPr>
        <w:pStyle w:val="6"/>
        <w:keepNext/>
        <w:keepLines/>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eastAsia"/>
          <w:highlight w:val="none"/>
        </w:rPr>
      </w:pPr>
      <w:r>
        <w:rPr>
          <w:rFonts w:hint="eastAsia"/>
          <w:highlight w:val="none"/>
        </w:rPr>
        <w:t>电子围栏表</w:t>
      </w:r>
    </w:p>
    <w:p w14:paraId="39B0D95D">
      <w:pPr>
        <w:pStyle w:val="65"/>
        <w:rPr>
          <w:rFonts w:hint="eastAsia" w:ascii="宋体" w:hAnsi="宋体" w:eastAsia="宋体" w:cs="宋体"/>
          <w:highlight w:val="none"/>
        </w:rPr>
      </w:pPr>
      <w:r>
        <w:rPr>
          <w:rFonts w:hint="eastAsia" w:ascii="宋体" w:hAnsi="宋体" w:eastAsia="宋体" w:cs="宋体"/>
          <w:highlight w:val="none"/>
        </w:rPr>
        <w:t>电子围栏表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5"/>
        <w:gridCol w:w="2636"/>
        <w:gridCol w:w="1318"/>
        <w:gridCol w:w="1074"/>
        <w:gridCol w:w="2035"/>
      </w:tblGrid>
      <w:tr w14:paraId="494B0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118" w:type="pct"/>
            <w:shd w:val="clear" w:color="auto" w:fill="auto"/>
            <w:tcMar>
              <w:top w:w="15" w:type="dxa"/>
              <w:left w:w="15" w:type="dxa"/>
              <w:bottom w:w="15" w:type="dxa"/>
              <w:right w:w="15" w:type="dxa"/>
            </w:tcMar>
            <w:vAlign w:val="center"/>
          </w:tcPr>
          <w:p w14:paraId="508F8C31">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字段</w:t>
            </w:r>
          </w:p>
        </w:tc>
        <w:tc>
          <w:tcPr>
            <w:tcW w:w="1448" w:type="pct"/>
            <w:shd w:val="clear" w:color="auto" w:fill="auto"/>
            <w:tcMar>
              <w:top w:w="15" w:type="dxa"/>
              <w:left w:w="15" w:type="dxa"/>
              <w:bottom w:w="15" w:type="dxa"/>
              <w:right w:w="15" w:type="dxa"/>
            </w:tcMar>
            <w:vAlign w:val="center"/>
          </w:tcPr>
          <w:p w14:paraId="2E02119D">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类型</w:t>
            </w:r>
          </w:p>
        </w:tc>
        <w:tc>
          <w:tcPr>
            <w:tcW w:w="724" w:type="pct"/>
            <w:shd w:val="clear" w:color="auto" w:fill="auto"/>
            <w:tcMar>
              <w:top w:w="15" w:type="dxa"/>
              <w:left w:w="15" w:type="dxa"/>
              <w:bottom w:w="15" w:type="dxa"/>
              <w:right w:w="15" w:type="dxa"/>
            </w:tcMar>
            <w:vAlign w:val="center"/>
          </w:tcPr>
          <w:p w14:paraId="206A7766">
            <w:pPr>
              <w:ind w:firstLine="422"/>
              <w:jc w:val="center"/>
              <w:rPr>
                <w:rFonts w:hint="eastAsia" w:ascii="宋体" w:hAnsi="宋体" w:eastAsia="宋体" w:cs="宋体"/>
                <w:b/>
                <w:bCs/>
                <w:sz w:val="21"/>
                <w:highlight w:val="none"/>
              </w:rPr>
            </w:pPr>
            <w:r>
              <w:rPr>
                <w:rFonts w:hint="eastAsia" w:ascii="宋体" w:hAnsi="宋体" w:eastAsia="宋体" w:cs="宋体"/>
                <w:b/>
                <w:bCs/>
                <w:sz w:val="21"/>
                <w:highlight w:val="none"/>
              </w:rPr>
              <w:t>允许空</w:t>
            </w:r>
          </w:p>
        </w:tc>
        <w:tc>
          <w:tcPr>
            <w:tcW w:w="590" w:type="pct"/>
            <w:shd w:val="clear" w:color="auto" w:fill="auto"/>
            <w:tcMar>
              <w:top w:w="15" w:type="dxa"/>
              <w:left w:w="15" w:type="dxa"/>
              <w:bottom w:w="15" w:type="dxa"/>
              <w:right w:w="15" w:type="dxa"/>
            </w:tcMar>
            <w:vAlign w:val="center"/>
          </w:tcPr>
          <w:p w14:paraId="2F7342D9">
            <w:pPr>
              <w:ind w:firstLine="422"/>
              <w:jc w:val="left"/>
              <w:rPr>
                <w:rFonts w:hint="eastAsia" w:ascii="宋体" w:hAnsi="宋体" w:eastAsia="宋体" w:cs="宋体"/>
                <w:b/>
                <w:bCs/>
                <w:sz w:val="21"/>
                <w:highlight w:val="none"/>
              </w:rPr>
            </w:pPr>
            <w:r>
              <w:rPr>
                <w:rFonts w:hint="eastAsia" w:ascii="宋体" w:hAnsi="宋体" w:eastAsia="宋体" w:cs="宋体"/>
                <w:b/>
                <w:bCs/>
                <w:sz w:val="21"/>
                <w:highlight w:val="none"/>
              </w:rPr>
              <w:t>默认</w:t>
            </w:r>
          </w:p>
        </w:tc>
        <w:tc>
          <w:tcPr>
            <w:tcW w:w="1117" w:type="pct"/>
            <w:shd w:val="clear" w:color="auto" w:fill="auto"/>
            <w:tcMar>
              <w:top w:w="15" w:type="dxa"/>
              <w:left w:w="15" w:type="dxa"/>
              <w:bottom w:w="15" w:type="dxa"/>
              <w:right w:w="15" w:type="dxa"/>
            </w:tcMar>
            <w:vAlign w:val="center"/>
          </w:tcPr>
          <w:p w14:paraId="73D83A8C">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注释</w:t>
            </w:r>
          </w:p>
        </w:tc>
      </w:tr>
      <w:tr w14:paraId="216EF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Mar>
              <w:top w:w="15" w:type="dxa"/>
              <w:left w:w="15" w:type="dxa"/>
              <w:bottom w:w="15" w:type="dxa"/>
              <w:right w:w="15" w:type="dxa"/>
            </w:tcMar>
            <w:vAlign w:val="center"/>
          </w:tcPr>
          <w:p w14:paraId="5DEADFDF">
            <w:pPr>
              <w:ind w:firstLine="420"/>
              <w:rPr>
                <w:rFonts w:hint="eastAsia" w:ascii="宋体" w:hAnsi="宋体" w:eastAsia="宋体" w:cs="宋体"/>
                <w:sz w:val="21"/>
                <w:highlight w:val="none"/>
              </w:rPr>
            </w:pPr>
            <w:r>
              <w:rPr>
                <w:rFonts w:hint="eastAsia" w:ascii="宋体" w:hAnsi="宋体" w:eastAsia="宋体" w:cs="宋体"/>
                <w:sz w:val="21"/>
                <w:highlight w:val="none"/>
              </w:rPr>
              <w:t>id</w:t>
            </w:r>
          </w:p>
        </w:tc>
        <w:tc>
          <w:tcPr>
            <w:tcW w:w="1448" w:type="pct"/>
            <w:tcMar>
              <w:top w:w="15" w:type="dxa"/>
              <w:left w:w="15" w:type="dxa"/>
              <w:bottom w:w="15" w:type="dxa"/>
              <w:right w:w="15" w:type="dxa"/>
            </w:tcMar>
            <w:vAlign w:val="center"/>
          </w:tcPr>
          <w:p w14:paraId="169B6573">
            <w:pPr>
              <w:ind w:firstLine="420"/>
              <w:rPr>
                <w:rFonts w:hint="eastAsia" w:ascii="宋体" w:hAnsi="宋体" w:eastAsia="宋体" w:cs="宋体"/>
                <w:sz w:val="21"/>
                <w:highlight w:val="none"/>
              </w:rPr>
            </w:pPr>
            <w:r>
              <w:rPr>
                <w:rFonts w:hint="eastAsia" w:ascii="宋体" w:hAnsi="宋体" w:eastAsia="宋体" w:cs="宋体"/>
                <w:sz w:val="21"/>
                <w:highlight w:val="none"/>
              </w:rPr>
              <w:t>uuid</w:t>
            </w:r>
          </w:p>
        </w:tc>
        <w:tc>
          <w:tcPr>
            <w:tcW w:w="724" w:type="pct"/>
            <w:tcMar>
              <w:top w:w="15" w:type="dxa"/>
              <w:left w:w="15" w:type="dxa"/>
              <w:bottom w:w="15" w:type="dxa"/>
              <w:right w:w="15" w:type="dxa"/>
            </w:tcMar>
            <w:vAlign w:val="center"/>
          </w:tcPr>
          <w:p w14:paraId="628FB4C8">
            <w:pPr>
              <w:ind w:firstLine="420"/>
              <w:jc w:val="center"/>
              <w:rPr>
                <w:rFonts w:hint="eastAsia" w:ascii="宋体" w:hAnsi="宋体" w:eastAsia="宋体" w:cs="宋体"/>
                <w:sz w:val="21"/>
                <w:highlight w:val="none"/>
              </w:rPr>
            </w:pPr>
            <w:r>
              <w:rPr>
                <w:rFonts w:hint="eastAsia" w:ascii="宋体" w:hAnsi="宋体" w:eastAsia="宋体" w:cs="宋体"/>
                <w:sz w:val="21"/>
                <w:highlight w:val="none"/>
              </w:rPr>
              <w:t>NO</w:t>
            </w:r>
          </w:p>
        </w:tc>
        <w:tc>
          <w:tcPr>
            <w:tcW w:w="590" w:type="pct"/>
            <w:tcMar>
              <w:top w:w="15" w:type="dxa"/>
              <w:left w:w="15" w:type="dxa"/>
              <w:bottom w:w="15" w:type="dxa"/>
              <w:right w:w="15" w:type="dxa"/>
            </w:tcMar>
            <w:vAlign w:val="center"/>
          </w:tcPr>
          <w:p w14:paraId="3E174BDA">
            <w:pPr>
              <w:ind w:firstLine="420"/>
              <w:jc w:val="left"/>
              <w:rPr>
                <w:rFonts w:hint="eastAsia" w:ascii="宋体" w:hAnsi="宋体" w:eastAsia="宋体" w:cs="宋体"/>
                <w:sz w:val="21"/>
                <w:highlight w:val="none"/>
              </w:rPr>
            </w:pPr>
          </w:p>
        </w:tc>
        <w:tc>
          <w:tcPr>
            <w:tcW w:w="1117" w:type="pct"/>
            <w:tcMar>
              <w:top w:w="15" w:type="dxa"/>
              <w:left w:w="15" w:type="dxa"/>
              <w:bottom w:w="15" w:type="dxa"/>
              <w:right w:w="15" w:type="dxa"/>
            </w:tcMar>
            <w:vAlign w:val="center"/>
          </w:tcPr>
          <w:p w14:paraId="1EC5B2F4">
            <w:pPr>
              <w:ind w:firstLine="420"/>
              <w:rPr>
                <w:rFonts w:hint="eastAsia" w:ascii="宋体" w:hAnsi="宋体" w:eastAsia="宋体" w:cs="宋体"/>
                <w:sz w:val="21"/>
                <w:highlight w:val="none"/>
              </w:rPr>
            </w:pPr>
            <w:r>
              <w:rPr>
                <w:rFonts w:hint="eastAsia" w:ascii="宋体" w:hAnsi="宋体" w:eastAsia="宋体" w:cs="宋体"/>
                <w:sz w:val="21"/>
                <w:highlight w:val="none"/>
              </w:rPr>
              <w:t>电子围栏id</w:t>
            </w:r>
          </w:p>
        </w:tc>
      </w:tr>
      <w:tr w14:paraId="04E9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Mar>
              <w:top w:w="15" w:type="dxa"/>
              <w:left w:w="15" w:type="dxa"/>
              <w:bottom w:w="15" w:type="dxa"/>
              <w:right w:w="15" w:type="dxa"/>
            </w:tcMar>
            <w:vAlign w:val="center"/>
          </w:tcPr>
          <w:p w14:paraId="39D6CDDF">
            <w:pPr>
              <w:ind w:firstLine="420"/>
              <w:rPr>
                <w:rFonts w:hint="eastAsia" w:ascii="宋体" w:hAnsi="宋体" w:eastAsia="宋体" w:cs="宋体"/>
                <w:sz w:val="21"/>
                <w:highlight w:val="none"/>
              </w:rPr>
            </w:pPr>
            <w:r>
              <w:rPr>
                <w:rFonts w:hint="eastAsia" w:ascii="宋体" w:hAnsi="宋体" w:eastAsia="宋体" w:cs="宋体"/>
                <w:sz w:val="21"/>
                <w:highlight w:val="none"/>
              </w:rPr>
              <w:t>name</w:t>
            </w:r>
          </w:p>
        </w:tc>
        <w:tc>
          <w:tcPr>
            <w:tcW w:w="1448" w:type="pct"/>
            <w:tcMar>
              <w:top w:w="15" w:type="dxa"/>
              <w:left w:w="15" w:type="dxa"/>
              <w:bottom w:w="15" w:type="dxa"/>
              <w:right w:w="15" w:type="dxa"/>
            </w:tcMar>
            <w:vAlign w:val="center"/>
          </w:tcPr>
          <w:p w14:paraId="00A4A98D">
            <w:pPr>
              <w:ind w:firstLine="420"/>
              <w:rPr>
                <w:rFonts w:hint="eastAsia" w:ascii="宋体" w:hAnsi="宋体" w:eastAsia="宋体" w:cs="宋体"/>
                <w:sz w:val="21"/>
                <w:highlight w:val="none"/>
              </w:rPr>
            </w:pPr>
            <w:r>
              <w:rPr>
                <w:rFonts w:hint="eastAsia" w:ascii="宋体" w:hAnsi="宋体" w:eastAsia="宋体" w:cs="宋体"/>
                <w:sz w:val="21"/>
                <w:highlight w:val="none"/>
              </w:rPr>
              <w:t>text</w:t>
            </w:r>
          </w:p>
        </w:tc>
        <w:tc>
          <w:tcPr>
            <w:tcW w:w="724" w:type="pct"/>
            <w:tcMar>
              <w:top w:w="15" w:type="dxa"/>
              <w:left w:w="15" w:type="dxa"/>
              <w:bottom w:w="15" w:type="dxa"/>
              <w:right w:w="15" w:type="dxa"/>
            </w:tcMar>
            <w:vAlign w:val="center"/>
          </w:tcPr>
          <w:p w14:paraId="480928EA">
            <w:pPr>
              <w:ind w:firstLine="420"/>
              <w:jc w:val="center"/>
              <w:rPr>
                <w:rFonts w:hint="eastAsia" w:ascii="宋体" w:hAnsi="宋体" w:eastAsia="宋体" w:cs="宋体"/>
                <w:sz w:val="21"/>
                <w:highlight w:val="none"/>
              </w:rPr>
            </w:pPr>
            <w:r>
              <w:rPr>
                <w:rFonts w:hint="eastAsia" w:ascii="宋体" w:hAnsi="宋体" w:eastAsia="宋体" w:cs="宋体"/>
                <w:sz w:val="21"/>
                <w:highlight w:val="none"/>
              </w:rPr>
              <w:t>NO</w:t>
            </w:r>
          </w:p>
        </w:tc>
        <w:tc>
          <w:tcPr>
            <w:tcW w:w="590" w:type="pct"/>
            <w:tcMar>
              <w:top w:w="15" w:type="dxa"/>
              <w:left w:w="15" w:type="dxa"/>
              <w:bottom w:w="15" w:type="dxa"/>
              <w:right w:w="15" w:type="dxa"/>
            </w:tcMar>
            <w:vAlign w:val="center"/>
          </w:tcPr>
          <w:p w14:paraId="227376AC">
            <w:pPr>
              <w:ind w:firstLine="420"/>
              <w:jc w:val="left"/>
              <w:rPr>
                <w:rFonts w:hint="eastAsia" w:ascii="宋体" w:hAnsi="宋体" w:eastAsia="宋体" w:cs="宋体"/>
                <w:sz w:val="21"/>
                <w:highlight w:val="none"/>
              </w:rPr>
            </w:pPr>
          </w:p>
        </w:tc>
        <w:tc>
          <w:tcPr>
            <w:tcW w:w="1117" w:type="pct"/>
            <w:tcMar>
              <w:top w:w="15" w:type="dxa"/>
              <w:left w:w="15" w:type="dxa"/>
              <w:bottom w:w="15" w:type="dxa"/>
              <w:right w:w="15" w:type="dxa"/>
            </w:tcMar>
            <w:vAlign w:val="center"/>
          </w:tcPr>
          <w:p w14:paraId="429C655F">
            <w:pPr>
              <w:ind w:firstLine="420"/>
              <w:rPr>
                <w:rFonts w:hint="eastAsia" w:ascii="宋体" w:hAnsi="宋体" w:eastAsia="宋体" w:cs="宋体"/>
                <w:sz w:val="21"/>
                <w:highlight w:val="none"/>
              </w:rPr>
            </w:pPr>
            <w:r>
              <w:rPr>
                <w:rFonts w:hint="eastAsia" w:ascii="宋体" w:hAnsi="宋体" w:eastAsia="宋体" w:cs="宋体"/>
                <w:sz w:val="21"/>
                <w:highlight w:val="none"/>
              </w:rPr>
              <w:t>电子围栏名称</w:t>
            </w:r>
          </w:p>
        </w:tc>
      </w:tr>
      <w:tr w14:paraId="6CDE3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Mar>
              <w:top w:w="15" w:type="dxa"/>
              <w:left w:w="15" w:type="dxa"/>
              <w:bottom w:w="15" w:type="dxa"/>
              <w:right w:w="15" w:type="dxa"/>
            </w:tcMar>
            <w:vAlign w:val="center"/>
          </w:tcPr>
          <w:p w14:paraId="194C4574">
            <w:pPr>
              <w:ind w:firstLine="420"/>
              <w:rPr>
                <w:rFonts w:hint="eastAsia" w:ascii="宋体" w:hAnsi="宋体" w:eastAsia="宋体" w:cs="宋体"/>
                <w:sz w:val="21"/>
                <w:highlight w:val="none"/>
              </w:rPr>
            </w:pPr>
            <w:r>
              <w:rPr>
                <w:rFonts w:hint="eastAsia" w:ascii="宋体" w:hAnsi="宋体" w:eastAsia="宋体" w:cs="宋体"/>
                <w:sz w:val="21"/>
                <w:highlight w:val="none"/>
              </w:rPr>
              <w:t>area</w:t>
            </w:r>
          </w:p>
        </w:tc>
        <w:tc>
          <w:tcPr>
            <w:tcW w:w="1448" w:type="pct"/>
            <w:tcMar>
              <w:top w:w="15" w:type="dxa"/>
              <w:left w:w="15" w:type="dxa"/>
              <w:bottom w:w="15" w:type="dxa"/>
              <w:right w:w="15" w:type="dxa"/>
            </w:tcMar>
            <w:vAlign w:val="center"/>
          </w:tcPr>
          <w:p w14:paraId="1E1137B4">
            <w:pPr>
              <w:ind w:firstLine="420"/>
              <w:rPr>
                <w:rFonts w:hint="eastAsia" w:ascii="宋体" w:hAnsi="宋体" w:eastAsia="宋体" w:cs="宋体"/>
                <w:sz w:val="21"/>
                <w:highlight w:val="none"/>
              </w:rPr>
            </w:pPr>
            <w:r>
              <w:rPr>
                <w:rFonts w:hint="eastAsia" w:ascii="宋体" w:hAnsi="宋体" w:eastAsia="宋体" w:cs="宋体"/>
                <w:sz w:val="21"/>
                <w:highlight w:val="none"/>
              </w:rPr>
              <w:t>geometry(Polygon)</w:t>
            </w:r>
          </w:p>
        </w:tc>
        <w:tc>
          <w:tcPr>
            <w:tcW w:w="724" w:type="pct"/>
            <w:tcMar>
              <w:top w:w="15" w:type="dxa"/>
              <w:left w:w="15" w:type="dxa"/>
              <w:bottom w:w="15" w:type="dxa"/>
              <w:right w:w="15" w:type="dxa"/>
            </w:tcMar>
            <w:vAlign w:val="center"/>
          </w:tcPr>
          <w:p w14:paraId="1592AF96">
            <w:pPr>
              <w:ind w:firstLine="420"/>
              <w:jc w:val="center"/>
              <w:rPr>
                <w:rFonts w:hint="eastAsia" w:ascii="宋体" w:hAnsi="宋体" w:eastAsia="宋体" w:cs="宋体"/>
                <w:sz w:val="21"/>
                <w:highlight w:val="none"/>
              </w:rPr>
            </w:pPr>
            <w:r>
              <w:rPr>
                <w:rFonts w:hint="eastAsia" w:ascii="宋体" w:hAnsi="宋体" w:eastAsia="宋体" w:cs="宋体"/>
                <w:sz w:val="21"/>
                <w:highlight w:val="none"/>
              </w:rPr>
              <w:t>NO</w:t>
            </w:r>
          </w:p>
        </w:tc>
        <w:tc>
          <w:tcPr>
            <w:tcW w:w="590" w:type="pct"/>
            <w:tcMar>
              <w:top w:w="15" w:type="dxa"/>
              <w:left w:w="15" w:type="dxa"/>
              <w:bottom w:w="15" w:type="dxa"/>
              <w:right w:w="15" w:type="dxa"/>
            </w:tcMar>
            <w:vAlign w:val="center"/>
          </w:tcPr>
          <w:p w14:paraId="3766D400">
            <w:pPr>
              <w:ind w:firstLine="420"/>
              <w:jc w:val="left"/>
              <w:rPr>
                <w:rFonts w:hint="eastAsia" w:ascii="宋体" w:hAnsi="宋体" w:eastAsia="宋体" w:cs="宋体"/>
                <w:sz w:val="21"/>
                <w:highlight w:val="none"/>
              </w:rPr>
            </w:pPr>
          </w:p>
        </w:tc>
        <w:tc>
          <w:tcPr>
            <w:tcW w:w="1117" w:type="pct"/>
            <w:tcMar>
              <w:top w:w="15" w:type="dxa"/>
              <w:left w:w="15" w:type="dxa"/>
              <w:bottom w:w="15" w:type="dxa"/>
              <w:right w:w="15" w:type="dxa"/>
            </w:tcMar>
            <w:vAlign w:val="center"/>
          </w:tcPr>
          <w:p w14:paraId="7EDFDAEA">
            <w:pPr>
              <w:ind w:firstLine="420"/>
              <w:rPr>
                <w:rFonts w:hint="eastAsia" w:ascii="宋体" w:hAnsi="宋体" w:eastAsia="宋体" w:cs="宋体"/>
                <w:sz w:val="21"/>
                <w:highlight w:val="none"/>
              </w:rPr>
            </w:pPr>
            <w:r>
              <w:rPr>
                <w:rFonts w:hint="eastAsia" w:ascii="宋体" w:hAnsi="宋体" w:eastAsia="宋体" w:cs="宋体"/>
                <w:sz w:val="21"/>
                <w:highlight w:val="none"/>
              </w:rPr>
              <w:t>电子围栏区域</w:t>
            </w:r>
          </w:p>
        </w:tc>
      </w:tr>
      <w:tr w14:paraId="11E6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Mar>
              <w:top w:w="15" w:type="dxa"/>
              <w:left w:w="15" w:type="dxa"/>
              <w:bottom w:w="15" w:type="dxa"/>
              <w:right w:w="15" w:type="dxa"/>
            </w:tcMar>
            <w:vAlign w:val="center"/>
          </w:tcPr>
          <w:p w14:paraId="24105406">
            <w:pPr>
              <w:ind w:firstLine="420"/>
              <w:rPr>
                <w:rFonts w:hint="eastAsia" w:ascii="宋体" w:hAnsi="宋体" w:eastAsia="宋体" w:cs="宋体"/>
                <w:sz w:val="21"/>
                <w:highlight w:val="none"/>
              </w:rPr>
            </w:pPr>
            <w:r>
              <w:rPr>
                <w:rFonts w:hint="eastAsia" w:ascii="宋体" w:hAnsi="宋体" w:eastAsia="宋体" w:cs="宋体"/>
                <w:sz w:val="21"/>
                <w:highlight w:val="none"/>
              </w:rPr>
              <w:t>limit_speed</w:t>
            </w:r>
          </w:p>
        </w:tc>
        <w:tc>
          <w:tcPr>
            <w:tcW w:w="1448" w:type="pct"/>
            <w:tcMar>
              <w:top w:w="15" w:type="dxa"/>
              <w:left w:w="15" w:type="dxa"/>
              <w:bottom w:w="15" w:type="dxa"/>
              <w:right w:w="15" w:type="dxa"/>
            </w:tcMar>
            <w:vAlign w:val="center"/>
          </w:tcPr>
          <w:p w14:paraId="217430D7">
            <w:pPr>
              <w:ind w:firstLine="420"/>
              <w:rPr>
                <w:rFonts w:hint="eastAsia" w:ascii="宋体" w:hAnsi="宋体" w:eastAsia="宋体" w:cs="宋体"/>
                <w:sz w:val="21"/>
                <w:highlight w:val="none"/>
              </w:rPr>
            </w:pPr>
            <w:r>
              <w:rPr>
                <w:rFonts w:hint="eastAsia" w:ascii="宋体" w:hAnsi="宋体" w:eastAsia="宋体" w:cs="宋体"/>
                <w:sz w:val="21"/>
                <w:highlight w:val="none"/>
              </w:rPr>
              <w:t>double</w:t>
            </w:r>
          </w:p>
        </w:tc>
        <w:tc>
          <w:tcPr>
            <w:tcW w:w="724" w:type="pct"/>
            <w:tcMar>
              <w:top w:w="15" w:type="dxa"/>
              <w:left w:w="15" w:type="dxa"/>
              <w:bottom w:w="15" w:type="dxa"/>
              <w:right w:w="15" w:type="dxa"/>
            </w:tcMar>
            <w:vAlign w:val="center"/>
          </w:tcPr>
          <w:p w14:paraId="0182669A">
            <w:pPr>
              <w:ind w:firstLine="420"/>
              <w:jc w:val="center"/>
              <w:rPr>
                <w:rFonts w:hint="eastAsia" w:ascii="宋体" w:hAnsi="宋体" w:eastAsia="宋体" w:cs="宋体"/>
                <w:sz w:val="21"/>
                <w:highlight w:val="none"/>
              </w:rPr>
            </w:pPr>
            <w:r>
              <w:rPr>
                <w:rFonts w:hint="eastAsia" w:ascii="宋体" w:hAnsi="宋体" w:eastAsia="宋体" w:cs="宋体"/>
                <w:sz w:val="21"/>
                <w:highlight w:val="none"/>
              </w:rPr>
              <w:t>YES</w:t>
            </w:r>
          </w:p>
        </w:tc>
        <w:tc>
          <w:tcPr>
            <w:tcW w:w="590" w:type="pct"/>
            <w:tcMar>
              <w:top w:w="15" w:type="dxa"/>
              <w:left w:w="15" w:type="dxa"/>
              <w:bottom w:w="15" w:type="dxa"/>
              <w:right w:w="15" w:type="dxa"/>
            </w:tcMar>
            <w:vAlign w:val="center"/>
          </w:tcPr>
          <w:p w14:paraId="02A6C1CB">
            <w:pPr>
              <w:ind w:firstLine="420"/>
              <w:jc w:val="left"/>
              <w:rPr>
                <w:rFonts w:hint="eastAsia" w:ascii="宋体" w:hAnsi="宋体" w:eastAsia="宋体" w:cs="宋体"/>
                <w:sz w:val="21"/>
                <w:highlight w:val="none"/>
              </w:rPr>
            </w:pPr>
          </w:p>
        </w:tc>
        <w:tc>
          <w:tcPr>
            <w:tcW w:w="1117" w:type="pct"/>
            <w:tcMar>
              <w:top w:w="15" w:type="dxa"/>
              <w:left w:w="15" w:type="dxa"/>
              <w:bottom w:w="15" w:type="dxa"/>
              <w:right w:w="15" w:type="dxa"/>
            </w:tcMar>
            <w:vAlign w:val="center"/>
          </w:tcPr>
          <w:p w14:paraId="526543CA">
            <w:pPr>
              <w:ind w:firstLine="420"/>
              <w:rPr>
                <w:rFonts w:hint="eastAsia" w:ascii="宋体" w:hAnsi="宋体" w:eastAsia="宋体" w:cs="宋体"/>
                <w:sz w:val="21"/>
                <w:highlight w:val="none"/>
              </w:rPr>
            </w:pPr>
            <w:r>
              <w:rPr>
                <w:rFonts w:hint="eastAsia" w:ascii="宋体" w:hAnsi="宋体" w:eastAsia="宋体" w:cs="宋体"/>
                <w:sz w:val="21"/>
                <w:highlight w:val="none"/>
              </w:rPr>
              <w:t>限制速度</w:t>
            </w:r>
          </w:p>
        </w:tc>
      </w:tr>
      <w:tr w14:paraId="53050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Mar>
              <w:top w:w="15" w:type="dxa"/>
              <w:left w:w="15" w:type="dxa"/>
              <w:bottom w:w="15" w:type="dxa"/>
              <w:right w:w="15" w:type="dxa"/>
            </w:tcMar>
            <w:vAlign w:val="center"/>
          </w:tcPr>
          <w:p w14:paraId="53CED6C4">
            <w:pPr>
              <w:ind w:firstLine="420"/>
              <w:rPr>
                <w:rFonts w:hint="eastAsia" w:ascii="宋体" w:hAnsi="宋体" w:eastAsia="宋体" w:cs="宋体"/>
                <w:sz w:val="21"/>
                <w:highlight w:val="none"/>
              </w:rPr>
            </w:pPr>
            <w:r>
              <w:rPr>
                <w:rFonts w:hint="eastAsia" w:ascii="宋体" w:hAnsi="宋体" w:eastAsia="宋体" w:cs="宋体"/>
                <w:sz w:val="21"/>
                <w:highlight w:val="none"/>
              </w:rPr>
              <w:t>posowner</w:t>
            </w:r>
          </w:p>
        </w:tc>
        <w:tc>
          <w:tcPr>
            <w:tcW w:w="1448" w:type="pct"/>
            <w:tcMar>
              <w:top w:w="15" w:type="dxa"/>
              <w:left w:w="15" w:type="dxa"/>
              <w:bottom w:w="15" w:type="dxa"/>
              <w:right w:w="15" w:type="dxa"/>
            </w:tcMar>
            <w:vAlign w:val="center"/>
          </w:tcPr>
          <w:p w14:paraId="41120B0C">
            <w:pPr>
              <w:ind w:firstLine="420"/>
              <w:rPr>
                <w:rFonts w:hint="eastAsia" w:ascii="宋体" w:hAnsi="宋体" w:eastAsia="宋体" w:cs="宋体"/>
                <w:sz w:val="21"/>
                <w:highlight w:val="none"/>
              </w:rPr>
            </w:pPr>
            <w:r>
              <w:rPr>
                <w:rFonts w:hint="eastAsia" w:ascii="宋体" w:hAnsi="宋体" w:eastAsia="宋体" w:cs="宋体"/>
                <w:sz w:val="21"/>
                <w:highlight w:val="none"/>
              </w:rPr>
              <w:t>text</w:t>
            </w:r>
          </w:p>
        </w:tc>
        <w:tc>
          <w:tcPr>
            <w:tcW w:w="724" w:type="pct"/>
            <w:tcMar>
              <w:top w:w="15" w:type="dxa"/>
              <w:left w:w="15" w:type="dxa"/>
              <w:bottom w:w="15" w:type="dxa"/>
              <w:right w:w="15" w:type="dxa"/>
            </w:tcMar>
            <w:vAlign w:val="center"/>
          </w:tcPr>
          <w:p w14:paraId="6C3EB023">
            <w:pPr>
              <w:ind w:firstLine="420"/>
              <w:jc w:val="center"/>
              <w:rPr>
                <w:rFonts w:hint="eastAsia" w:ascii="宋体" w:hAnsi="宋体" w:eastAsia="宋体" w:cs="宋体"/>
                <w:sz w:val="21"/>
                <w:highlight w:val="none"/>
              </w:rPr>
            </w:pPr>
            <w:r>
              <w:rPr>
                <w:rFonts w:hint="eastAsia" w:ascii="宋体" w:hAnsi="宋体" w:eastAsia="宋体" w:cs="宋体"/>
                <w:sz w:val="21"/>
                <w:highlight w:val="none"/>
              </w:rPr>
              <w:t>YES</w:t>
            </w:r>
          </w:p>
        </w:tc>
        <w:tc>
          <w:tcPr>
            <w:tcW w:w="590" w:type="pct"/>
            <w:tcMar>
              <w:top w:w="15" w:type="dxa"/>
              <w:left w:w="15" w:type="dxa"/>
              <w:bottom w:w="15" w:type="dxa"/>
              <w:right w:w="15" w:type="dxa"/>
            </w:tcMar>
            <w:vAlign w:val="center"/>
          </w:tcPr>
          <w:p w14:paraId="3BF81451">
            <w:pPr>
              <w:ind w:firstLine="420"/>
              <w:jc w:val="left"/>
              <w:rPr>
                <w:rFonts w:hint="eastAsia" w:ascii="宋体" w:hAnsi="宋体" w:eastAsia="宋体" w:cs="宋体"/>
                <w:sz w:val="21"/>
                <w:highlight w:val="none"/>
              </w:rPr>
            </w:pPr>
          </w:p>
        </w:tc>
        <w:tc>
          <w:tcPr>
            <w:tcW w:w="1117" w:type="pct"/>
            <w:tcMar>
              <w:top w:w="15" w:type="dxa"/>
              <w:left w:w="15" w:type="dxa"/>
              <w:bottom w:w="15" w:type="dxa"/>
              <w:right w:w="15" w:type="dxa"/>
            </w:tcMar>
            <w:vAlign w:val="center"/>
          </w:tcPr>
          <w:p w14:paraId="37304CF4">
            <w:pPr>
              <w:pStyle w:val="53"/>
              <w:ind w:firstLine="0" w:firstLineChars="0"/>
              <w:rPr>
                <w:rFonts w:hint="eastAsia" w:ascii="宋体" w:hAnsi="宋体" w:eastAsia="宋体" w:cs="宋体"/>
                <w:sz w:val="21"/>
                <w:highlight w:val="none"/>
              </w:rPr>
            </w:pPr>
            <w:r>
              <w:rPr>
                <w:rFonts w:hint="eastAsia" w:ascii="宋体" w:hAnsi="宋体" w:eastAsia="宋体" w:cs="宋体"/>
                <w:sz w:val="21"/>
                <w:highlight w:val="none"/>
              </w:rPr>
              <w:t>所属机场</w:t>
            </w:r>
          </w:p>
        </w:tc>
      </w:tr>
      <w:tr w14:paraId="0896E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Mar>
              <w:top w:w="15" w:type="dxa"/>
              <w:left w:w="15" w:type="dxa"/>
              <w:bottom w:w="15" w:type="dxa"/>
              <w:right w:w="15" w:type="dxa"/>
            </w:tcMar>
            <w:vAlign w:val="center"/>
          </w:tcPr>
          <w:p w14:paraId="038B8636">
            <w:pPr>
              <w:ind w:firstLine="420"/>
              <w:rPr>
                <w:rFonts w:hint="eastAsia" w:ascii="宋体" w:hAnsi="宋体" w:eastAsia="宋体" w:cs="宋体"/>
                <w:sz w:val="21"/>
                <w:highlight w:val="none"/>
              </w:rPr>
            </w:pPr>
            <w:r>
              <w:rPr>
                <w:rFonts w:hint="eastAsia" w:ascii="宋体" w:hAnsi="宋体" w:eastAsia="宋体" w:cs="宋体"/>
                <w:sz w:val="21"/>
                <w:highlight w:val="none"/>
              </w:rPr>
              <w:t>visible</w:t>
            </w:r>
          </w:p>
        </w:tc>
        <w:tc>
          <w:tcPr>
            <w:tcW w:w="1448" w:type="pct"/>
            <w:tcMar>
              <w:top w:w="15" w:type="dxa"/>
              <w:left w:w="15" w:type="dxa"/>
              <w:bottom w:w="15" w:type="dxa"/>
              <w:right w:w="15" w:type="dxa"/>
            </w:tcMar>
            <w:vAlign w:val="center"/>
          </w:tcPr>
          <w:p w14:paraId="1AA88190">
            <w:pPr>
              <w:ind w:firstLine="420"/>
              <w:rPr>
                <w:rFonts w:hint="eastAsia" w:ascii="宋体" w:hAnsi="宋体" w:eastAsia="宋体" w:cs="宋体"/>
                <w:sz w:val="21"/>
                <w:highlight w:val="none"/>
              </w:rPr>
            </w:pPr>
            <w:r>
              <w:rPr>
                <w:rFonts w:hint="eastAsia" w:ascii="宋体" w:hAnsi="宋体" w:eastAsia="宋体" w:cs="宋体"/>
                <w:sz w:val="21"/>
                <w:highlight w:val="none"/>
              </w:rPr>
              <w:t>boolean</w:t>
            </w:r>
          </w:p>
        </w:tc>
        <w:tc>
          <w:tcPr>
            <w:tcW w:w="724" w:type="pct"/>
            <w:tcMar>
              <w:top w:w="15" w:type="dxa"/>
              <w:left w:w="15" w:type="dxa"/>
              <w:bottom w:w="15" w:type="dxa"/>
              <w:right w:w="15" w:type="dxa"/>
            </w:tcMar>
            <w:vAlign w:val="center"/>
          </w:tcPr>
          <w:p w14:paraId="4D7F30C7">
            <w:pPr>
              <w:ind w:firstLine="420"/>
              <w:jc w:val="center"/>
              <w:rPr>
                <w:rFonts w:hint="eastAsia" w:ascii="宋体" w:hAnsi="宋体" w:eastAsia="宋体" w:cs="宋体"/>
                <w:sz w:val="21"/>
                <w:highlight w:val="none"/>
              </w:rPr>
            </w:pPr>
            <w:r>
              <w:rPr>
                <w:rFonts w:hint="eastAsia" w:ascii="宋体" w:hAnsi="宋体" w:eastAsia="宋体" w:cs="宋体"/>
                <w:sz w:val="21"/>
                <w:highlight w:val="none"/>
              </w:rPr>
              <w:t>NO</w:t>
            </w:r>
          </w:p>
        </w:tc>
        <w:tc>
          <w:tcPr>
            <w:tcW w:w="590" w:type="pct"/>
            <w:tcMar>
              <w:top w:w="15" w:type="dxa"/>
              <w:left w:w="15" w:type="dxa"/>
              <w:bottom w:w="15" w:type="dxa"/>
              <w:right w:w="15" w:type="dxa"/>
            </w:tcMar>
            <w:vAlign w:val="center"/>
          </w:tcPr>
          <w:p w14:paraId="237F165D">
            <w:pPr>
              <w:ind w:firstLine="420"/>
              <w:jc w:val="left"/>
              <w:rPr>
                <w:rFonts w:hint="eastAsia" w:ascii="宋体" w:hAnsi="宋体" w:eastAsia="宋体" w:cs="宋体"/>
                <w:sz w:val="21"/>
                <w:highlight w:val="none"/>
              </w:rPr>
            </w:pPr>
            <w:r>
              <w:rPr>
                <w:rFonts w:hint="eastAsia" w:ascii="宋体" w:hAnsi="宋体" w:eastAsia="宋体" w:cs="宋体"/>
                <w:sz w:val="21"/>
                <w:highlight w:val="none"/>
              </w:rPr>
              <w:t>true</w:t>
            </w:r>
          </w:p>
        </w:tc>
        <w:tc>
          <w:tcPr>
            <w:tcW w:w="1117" w:type="pct"/>
            <w:tcMar>
              <w:top w:w="15" w:type="dxa"/>
              <w:left w:w="15" w:type="dxa"/>
              <w:bottom w:w="15" w:type="dxa"/>
              <w:right w:w="15" w:type="dxa"/>
            </w:tcMar>
            <w:vAlign w:val="center"/>
          </w:tcPr>
          <w:p w14:paraId="5D89BFFB">
            <w:pPr>
              <w:pStyle w:val="53"/>
              <w:ind w:firstLine="0" w:firstLineChars="0"/>
              <w:rPr>
                <w:rFonts w:hint="eastAsia" w:ascii="宋体" w:hAnsi="宋体" w:eastAsia="宋体" w:cs="宋体"/>
                <w:sz w:val="21"/>
                <w:highlight w:val="none"/>
              </w:rPr>
            </w:pPr>
            <w:r>
              <w:rPr>
                <w:rFonts w:hint="eastAsia" w:ascii="宋体" w:hAnsi="宋体" w:eastAsia="宋体" w:cs="宋体"/>
                <w:sz w:val="21"/>
                <w:highlight w:val="none"/>
              </w:rPr>
              <w:t>是否可见</w:t>
            </w:r>
          </w:p>
        </w:tc>
      </w:tr>
      <w:tr w14:paraId="1299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Mar>
              <w:top w:w="15" w:type="dxa"/>
              <w:left w:w="15" w:type="dxa"/>
              <w:bottom w:w="15" w:type="dxa"/>
              <w:right w:w="15" w:type="dxa"/>
            </w:tcMar>
            <w:vAlign w:val="center"/>
          </w:tcPr>
          <w:p w14:paraId="1FB538A7">
            <w:pPr>
              <w:ind w:firstLine="420"/>
              <w:rPr>
                <w:rFonts w:hint="eastAsia" w:ascii="宋体" w:hAnsi="宋体" w:eastAsia="宋体" w:cs="宋体"/>
                <w:sz w:val="21"/>
                <w:highlight w:val="none"/>
              </w:rPr>
            </w:pPr>
            <w:r>
              <w:rPr>
                <w:rFonts w:hint="eastAsia" w:ascii="宋体" w:hAnsi="宋体" w:eastAsia="宋体" w:cs="宋体"/>
                <w:sz w:val="21"/>
                <w:highlight w:val="none"/>
              </w:rPr>
              <w:t>depts</w:t>
            </w:r>
          </w:p>
        </w:tc>
        <w:tc>
          <w:tcPr>
            <w:tcW w:w="1448" w:type="pct"/>
            <w:tcMar>
              <w:top w:w="15" w:type="dxa"/>
              <w:left w:w="15" w:type="dxa"/>
              <w:bottom w:w="15" w:type="dxa"/>
              <w:right w:w="15" w:type="dxa"/>
            </w:tcMar>
            <w:vAlign w:val="center"/>
          </w:tcPr>
          <w:p w14:paraId="064B2D0C">
            <w:pPr>
              <w:ind w:firstLine="420"/>
              <w:rPr>
                <w:rFonts w:hint="eastAsia" w:ascii="宋体" w:hAnsi="宋体" w:eastAsia="宋体" w:cs="宋体"/>
                <w:sz w:val="21"/>
                <w:highlight w:val="none"/>
              </w:rPr>
            </w:pPr>
            <w:r>
              <w:rPr>
                <w:rFonts w:hint="eastAsia" w:ascii="宋体" w:hAnsi="宋体" w:eastAsia="宋体" w:cs="宋体"/>
                <w:sz w:val="21"/>
                <w:highlight w:val="none"/>
              </w:rPr>
              <w:t>text</w:t>
            </w:r>
          </w:p>
        </w:tc>
        <w:tc>
          <w:tcPr>
            <w:tcW w:w="724" w:type="pct"/>
            <w:tcMar>
              <w:top w:w="15" w:type="dxa"/>
              <w:left w:w="15" w:type="dxa"/>
              <w:bottom w:w="15" w:type="dxa"/>
              <w:right w:w="15" w:type="dxa"/>
            </w:tcMar>
            <w:vAlign w:val="center"/>
          </w:tcPr>
          <w:p w14:paraId="0D0BD8B0">
            <w:pPr>
              <w:ind w:firstLine="420"/>
              <w:jc w:val="center"/>
              <w:rPr>
                <w:rFonts w:hint="eastAsia" w:ascii="宋体" w:hAnsi="宋体" w:eastAsia="宋体" w:cs="宋体"/>
                <w:sz w:val="21"/>
                <w:highlight w:val="none"/>
              </w:rPr>
            </w:pPr>
            <w:r>
              <w:rPr>
                <w:rFonts w:hint="eastAsia" w:ascii="宋体" w:hAnsi="宋体" w:eastAsia="宋体" w:cs="宋体"/>
                <w:sz w:val="21"/>
                <w:highlight w:val="none"/>
              </w:rPr>
              <w:t>YES</w:t>
            </w:r>
          </w:p>
        </w:tc>
        <w:tc>
          <w:tcPr>
            <w:tcW w:w="590" w:type="pct"/>
            <w:tcMar>
              <w:top w:w="15" w:type="dxa"/>
              <w:left w:w="15" w:type="dxa"/>
              <w:bottom w:w="15" w:type="dxa"/>
              <w:right w:w="15" w:type="dxa"/>
            </w:tcMar>
            <w:vAlign w:val="center"/>
          </w:tcPr>
          <w:p w14:paraId="1A849BAD">
            <w:pPr>
              <w:ind w:firstLine="420"/>
              <w:jc w:val="left"/>
              <w:rPr>
                <w:rFonts w:hint="eastAsia" w:ascii="宋体" w:hAnsi="宋体" w:eastAsia="宋体" w:cs="宋体"/>
                <w:sz w:val="21"/>
                <w:highlight w:val="none"/>
              </w:rPr>
            </w:pPr>
          </w:p>
        </w:tc>
        <w:tc>
          <w:tcPr>
            <w:tcW w:w="1117" w:type="pct"/>
            <w:tcMar>
              <w:top w:w="15" w:type="dxa"/>
              <w:left w:w="15" w:type="dxa"/>
              <w:bottom w:w="15" w:type="dxa"/>
              <w:right w:w="15" w:type="dxa"/>
            </w:tcMar>
            <w:vAlign w:val="center"/>
          </w:tcPr>
          <w:p w14:paraId="6C54F71D">
            <w:pPr>
              <w:pStyle w:val="53"/>
              <w:ind w:firstLine="0" w:firstLineChars="0"/>
              <w:rPr>
                <w:rFonts w:hint="eastAsia" w:ascii="宋体" w:hAnsi="宋体" w:eastAsia="宋体" w:cs="宋体"/>
                <w:sz w:val="21"/>
                <w:highlight w:val="none"/>
              </w:rPr>
            </w:pPr>
            <w:r>
              <w:rPr>
                <w:rFonts w:hint="eastAsia" w:ascii="宋体" w:hAnsi="宋体" w:eastAsia="宋体" w:cs="宋体"/>
                <w:sz w:val="21"/>
                <w:highlight w:val="none"/>
              </w:rPr>
              <w:t>部门</w:t>
            </w:r>
          </w:p>
        </w:tc>
      </w:tr>
      <w:tr w14:paraId="766D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Mar>
              <w:top w:w="15" w:type="dxa"/>
              <w:left w:w="15" w:type="dxa"/>
              <w:bottom w:w="15" w:type="dxa"/>
              <w:right w:w="15" w:type="dxa"/>
            </w:tcMar>
            <w:vAlign w:val="center"/>
          </w:tcPr>
          <w:p w14:paraId="13BCC0D3">
            <w:pPr>
              <w:ind w:firstLine="420"/>
              <w:rPr>
                <w:rFonts w:hint="eastAsia" w:ascii="宋体" w:hAnsi="宋体" w:eastAsia="宋体" w:cs="宋体"/>
                <w:sz w:val="21"/>
                <w:highlight w:val="none"/>
              </w:rPr>
            </w:pPr>
            <w:r>
              <w:rPr>
                <w:rFonts w:hint="eastAsia" w:ascii="宋体" w:hAnsi="宋体" w:eastAsia="宋体" w:cs="宋体"/>
                <w:sz w:val="21"/>
                <w:highlight w:val="none"/>
              </w:rPr>
              <w:t>types</w:t>
            </w:r>
          </w:p>
        </w:tc>
        <w:tc>
          <w:tcPr>
            <w:tcW w:w="1448" w:type="pct"/>
            <w:tcMar>
              <w:top w:w="15" w:type="dxa"/>
              <w:left w:w="15" w:type="dxa"/>
              <w:bottom w:w="15" w:type="dxa"/>
              <w:right w:w="15" w:type="dxa"/>
            </w:tcMar>
            <w:vAlign w:val="center"/>
          </w:tcPr>
          <w:p w14:paraId="4B3E150D">
            <w:pPr>
              <w:ind w:firstLine="420"/>
              <w:rPr>
                <w:rFonts w:hint="eastAsia" w:ascii="宋体" w:hAnsi="宋体" w:eastAsia="宋体" w:cs="宋体"/>
                <w:sz w:val="21"/>
                <w:highlight w:val="none"/>
              </w:rPr>
            </w:pPr>
            <w:r>
              <w:rPr>
                <w:rFonts w:hint="eastAsia" w:ascii="宋体" w:hAnsi="宋体" w:eastAsia="宋体" w:cs="宋体"/>
                <w:sz w:val="21"/>
                <w:highlight w:val="none"/>
              </w:rPr>
              <w:t>text</w:t>
            </w:r>
          </w:p>
        </w:tc>
        <w:tc>
          <w:tcPr>
            <w:tcW w:w="724" w:type="pct"/>
            <w:tcMar>
              <w:top w:w="15" w:type="dxa"/>
              <w:left w:w="15" w:type="dxa"/>
              <w:bottom w:w="15" w:type="dxa"/>
              <w:right w:w="15" w:type="dxa"/>
            </w:tcMar>
            <w:vAlign w:val="center"/>
          </w:tcPr>
          <w:p w14:paraId="27BA689E">
            <w:pPr>
              <w:ind w:firstLine="420"/>
              <w:jc w:val="center"/>
              <w:rPr>
                <w:rFonts w:hint="eastAsia" w:ascii="宋体" w:hAnsi="宋体" w:eastAsia="宋体" w:cs="宋体"/>
                <w:sz w:val="21"/>
                <w:highlight w:val="none"/>
              </w:rPr>
            </w:pPr>
            <w:r>
              <w:rPr>
                <w:rFonts w:hint="eastAsia" w:ascii="宋体" w:hAnsi="宋体" w:eastAsia="宋体" w:cs="宋体"/>
                <w:sz w:val="21"/>
                <w:highlight w:val="none"/>
              </w:rPr>
              <w:t>YES</w:t>
            </w:r>
          </w:p>
        </w:tc>
        <w:tc>
          <w:tcPr>
            <w:tcW w:w="590" w:type="pct"/>
            <w:tcMar>
              <w:top w:w="15" w:type="dxa"/>
              <w:left w:w="15" w:type="dxa"/>
              <w:bottom w:w="15" w:type="dxa"/>
              <w:right w:w="15" w:type="dxa"/>
            </w:tcMar>
            <w:vAlign w:val="center"/>
          </w:tcPr>
          <w:p w14:paraId="354C4785">
            <w:pPr>
              <w:ind w:firstLine="420"/>
              <w:jc w:val="left"/>
              <w:rPr>
                <w:rFonts w:hint="eastAsia" w:ascii="宋体" w:hAnsi="宋体" w:eastAsia="宋体" w:cs="宋体"/>
                <w:sz w:val="21"/>
                <w:highlight w:val="none"/>
              </w:rPr>
            </w:pPr>
          </w:p>
        </w:tc>
        <w:tc>
          <w:tcPr>
            <w:tcW w:w="1117" w:type="pct"/>
            <w:tcMar>
              <w:top w:w="15" w:type="dxa"/>
              <w:left w:w="15" w:type="dxa"/>
              <w:bottom w:w="15" w:type="dxa"/>
              <w:right w:w="15" w:type="dxa"/>
            </w:tcMar>
            <w:vAlign w:val="center"/>
          </w:tcPr>
          <w:p w14:paraId="4A609627">
            <w:pPr>
              <w:pStyle w:val="53"/>
              <w:ind w:firstLine="0" w:firstLineChars="0"/>
              <w:rPr>
                <w:rFonts w:hint="eastAsia" w:ascii="宋体" w:hAnsi="宋体" w:eastAsia="宋体" w:cs="宋体"/>
                <w:sz w:val="21"/>
                <w:highlight w:val="none"/>
              </w:rPr>
            </w:pPr>
            <w:r>
              <w:rPr>
                <w:rFonts w:hint="eastAsia" w:ascii="宋体" w:hAnsi="宋体" w:eastAsia="宋体" w:cs="宋体"/>
                <w:sz w:val="21"/>
                <w:highlight w:val="none"/>
              </w:rPr>
              <w:t>车辆类型</w:t>
            </w:r>
          </w:p>
        </w:tc>
      </w:tr>
      <w:tr w14:paraId="7E5C5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Mar>
              <w:top w:w="15" w:type="dxa"/>
              <w:left w:w="15" w:type="dxa"/>
              <w:bottom w:w="15" w:type="dxa"/>
              <w:right w:w="15" w:type="dxa"/>
            </w:tcMar>
            <w:vAlign w:val="center"/>
          </w:tcPr>
          <w:p w14:paraId="56252AE8">
            <w:pPr>
              <w:ind w:firstLine="420"/>
              <w:rPr>
                <w:rFonts w:hint="eastAsia" w:ascii="宋体" w:hAnsi="宋体" w:eastAsia="宋体" w:cs="宋体"/>
                <w:sz w:val="21"/>
                <w:highlight w:val="none"/>
              </w:rPr>
            </w:pPr>
            <w:r>
              <w:rPr>
                <w:rFonts w:hint="eastAsia" w:ascii="宋体" w:hAnsi="宋体" w:eastAsia="宋体" w:cs="宋体"/>
                <w:sz w:val="21"/>
                <w:highlight w:val="none"/>
              </w:rPr>
              <w:t>area_type</w:t>
            </w:r>
          </w:p>
        </w:tc>
        <w:tc>
          <w:tcPr>
            <w:tcW w:w="1448" w:type="pct"/>
            <w:tcMar>
              <w:top w:w="15" w:type="dxa"/>
              <w:left w:w="15" w:type="dxa"/>
              <w:bottom w:w="15" w:type="dxa"/>
              <w:right w:w="15" w:type="dxa"/>
            </w:tcMar>
            <w:vAlign w:val="center"/>
          </w:tcPr>
          <w:p w14:paraId="6AEBE391">
            <w:pPr>
              <w:ind w:firstLine="420"/>
              <w:rPr>
                <w:rFonts w:hint="eastAsia" w:ascii="宋体" w:hAnsi="宋体" w:eastAsia="宋体" w:cs="宋体"/>
                <w:sz w:val="21"/>
                <w:highlight w:val="none"/>
              </w:rPr>
            </w:pPr>
            <w:r>
              <w:rPr>
                <w:rFonts w:hint="eastAsia" w:ascii="宋体" w:hAnsi="宋体" w:eastAsia="宋体" w:cs="宋体"/>
                <w:sz w:val="21"/>
                <w:highlight w:val="none"/>
              </w:rPr>
              <w:t>int</w:t>
            </w:r>
          </w:p>
        </w:tc>
        <w:tc>
          <w:tcPr>
            <w:tcW w:w="724" w:type="pct"/>
            <w:tcMar>
              <w:top w:w="15" w:type="dxa"/>
              <w:left w:w="15" w:type="dxa"/>
              <w:bottom w:w="15" w:type="dxa"/>
              <w:right w:w="15" w:type="dxa"/>
            </w:tcMar>
            <w:vAlign w:val="center"/>
          </w:tcPr>
          <w:p w14:paraId="768610FB">
            <w:pPr>
              <w:ind w:firstLine="420"/>
              <w:jc w:val="center"/>
              <w:rPr>
                <w:rFonts w:hint="eastAsia" w:ascii="宋体" w:hAnsi="宋体" w:eastAsia="宋体" w:cs="宋体"/>
                <w:sz w:val="21"/>
                <w:highlight w:val="none"/>
              </w:rPr>
            </w:pPr>
            <w:r>
              <w:rPr>
                <w:rFonts w:hint="eastAsia" w:ascii="宋体" w:hAnsi="宋体" w:eastAsia="宋体" w:cs="宋体"/>
                <w:sz w:val="21"/>
                <w:highlight w:val="none"/>
              </w:rPr>
              <w:t>YES</w:t>
            </w:r>
          </w:p>
        </w:tc>
        <w:tc>
          <w:tcPr>
            <w:tcW w:w="590" w:type="pct"/>
            <w:tcMar>
              <w:top w:w="15" w:type="dxa"/>
              <w:left w:w="15" w:type="dxa"/>
              <w:bottom w:w="15" w:type="dxa"/>
              <w:right w:w="15" w:type="dxa"/>
            </w:tcMar>
            <w:vAlign w:val="center"/>
          </w:tcPr>
          <w:p w14:paraId="10466F30">
            <w:pPr>
              <w:ind w:firstLine="420"/>
              <w:jc w:val="left"/>
              <w:rPr>
                <w:rFonts w:hint="eastAsia" w:ascii="宋体" w:hAnsi="宋体" w:eastAsia="宋体" w:cs="宋体"/>
                <w:sz w:val="21"/>
                <w:highlight w:val="none"/>
              </w:rPr>
            </w:pPr>
          </w:p>
        </w:tc>
        <w:tc>
          <w:tcPr>
            <w:tcW w:w="1117" w:type="pct"/>
            <w:tcMar>
              <w:top w:w="15" w:type="dxa"/>
              <w:left w:w="15" w:type="dxa"/>
              <w:bottom w:w="15" w:type="dxa"/>
              <w:right w:w="15" w:type="dxa"/>
            </w:tcMar>
            <w:vAlign w:val="center"/>
          </w:tcPr>
          <w:p w14:paraId="79243D9B">
            <w:pPr>
              <w:pStyle w:val="53"/>
              <w:ind w:firstLine="0" w:firstLineChars="0"/>
              <w:rPr>
                <w:rFonts w:hint="eastAsia" w:ascii="宋体" w:hAnsi="宋体" w:eastAsia="宋体" w:cs="宋体"/>
                <w:sz w:val="21"/>
                <w:highlight w:val="none"/>
              </w:rPr>
            </w:pPr>
            <w:r>
              <w:rPr>
                <w:rFonts w:hint="eastAsia" w:ascii="宋体" w:hAnsi="宋体" w:eastAsia="宋体" w:cs="宋体"/>
                <w:sz w:val="21"/>
                <w:highlight w:val="none"/>
              </w:rPr>
              <w:t>围栏类型</w:t>
            </w:r>
          </w:p>
        </w:tc>
      </w:tr>
      <w:tr w14:paraId="463E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Mar>
              <w:top w:w="15" w:type="dxa"/>
              <w:left w:w="15" w:type="dxa"/>
              <w:bottom w:w="15" w:type="dxa"/>
              <w:right w:w="15" w:type="dxa"/>
            </w:tcMar>
            <w:vAlign w:val="center"/>
          </w:tcPr>
          <w:p w14:paraId="3709A571">
            <w:pPr>
              <w:ind w:firstLine="420"/>
              <w:rPr>
                <w:rFonts w:hint="eastAsia" w:ascii="宋体" w:hAnsi="宋体" w:eastAsia="宋体" w:cs="宋体"/>
                <w:sz w:val="21"/>
                <w:highlight w:val="none"/>
              </w:rPr>
            </w:pPr>
            <w:r>
              <w:rPr>
                <w:rFonts w:hint="eastAsia" w:ascii="宋体" w:hAnsi="宋体" w:eastAsia="宋体" w:cs="宋体"/>
                <w:sz w:val="21"/>
                <w:highlight w:val="none"/>
              </w:rPr>
              <w:t>area_prop</w:t>
            </w:r>
          </w:p>
        </w:tc>
        <w:tc>
          <w:tcPr>
            <w:tcW w:w="1448" w:type="pct"/>
            <w:tcMar>
              <w:top w:w="15" w:type="dxa"/>
              <w:left w:w="15" w:type="dxa"/>
              <w:bottom w:w="15" w:type="dxa"/>
              <w:right w:w="15" w:type="dxa"/>
            </w:tcMar>
            <w:vAlign w:val="center"/>
          </w:tcPr>
          <w:p w14:paraId="081CB267">
            <w:pPr>
              <w:ind w:firstLine="420"/>
              <w:rPr>
                <w:rFonts w:hint="eastAsia" w:ascii="宋体" w:hAnsi="宋体" w:eastAsia="宋体" w:cs="宋体"/>
                <w:sz w:val="21"/>
                <w:highlight w:val="none"/>
              </w:rPr>
            </w:pPr>
            <w:r>
              <w:rPr>
                <w:rFonts w:hint="eastAsia" w:ascii="宋体" w:hAnsi="宋体" w:eastAsia="宋体" w:cs="宋体"/>
                <w:sz w:val="21"/>
                <w:highlight w:val="none"/>
              </w:rPr>
              <w:t>int</w:t>
            </w:r>
          </w:p>
        </w:tc>
        <w:tc>
          <w:tcPr>
            <w:tcW w:w="724" w:type="pct"/>
            <w:tcMar>
              <w:top w:w="15" w:type="dxa"/>
              <w:left w:w="15" w:type="dxa"/>
              <w:bottom w:w="15" w:type="dxa"/>
              <w:right w:w="15" w:type="dxa"/>
            </w:tcMar>
            <w:vAlign w:val="center"/>
          </w:tcPr>
          <w:p w14:paraId="4FF4BE6F">
            <w:pPr>
              <w:ind w:firstLine="420"/>
              <w:jc w:val="center"/>
              <w:rPr>
                <w:rFonts w:hint="eastAsia" w:ascii="宋体" w:hAnsi="宋体" w:eastAsia="宋体" w:cs="宋体"/>
                <w:sz w:val="21"/>
                <w:highlight w:val="none"/>
              </w:rPr>
            </w:pPr>
            <w:r>
              <w:rPr>
                <w:rFonts w:hint="eastAsia" w:ascii="宋体" w:hAnsi="宋体" w:eastAsia="宋体" w:cs="宋体"/>
                <w:sz w:val="21"/>
                <w:highlight w:val="none"/>
              </w:rPr>
              <w:t>YES</w:t>
            </w:r>
          </w:p>
        </w:tc>
        <w:tc>
          <w:tcPr>
            <w:tcW w:w="590" w:type="pct"/>
            <w:tcMar>
              <w:top w:w="15" w:type="dxa"/>
              <w:left w:w="15" w:type="dxa"/>
              <w:bottom w:w="15" w:type="dxa"/>
              <w:right w:w="15" w:type="dxa"/>
            </w:tcMar>
            <w:vAlign w:val="center"/>
          </w:tcPr>
          <w:p w14:paraId="7B3A77D2">
            <w:pPr>
              <w:ind w:firstLine="420"/>
              <w:jc w:val="left"/>
              <w:rPr>
                <w:rFonts w:hint="eastAsia" w:ascii="宋体" w:hAnsi="宋体" w:eastAsia="宋体" w:cs="宋体"/>
                <w:sz w:val="21"/>
                <w:highlight w:val="none"/>
              </w:rPr>
            </w:pPr>
          </w:p>
        </w:tc>
        <w:tc>
          <w:tcPr>
            <w:tcW w:w="1117" w:type="pct"/>
            <w:tcMar>
              <w:top w:w="15" w:type="dxa"/>
              <w:left w:w="15" w:type="dxa"/>
              <w:bottom w:w="15" w:type="dxa"/>
              <w:right w:w="15" w:type="dxa"/>
            </w:tcMar>
            <w:vAlign w:val="center"/>
          </w:tcPr>
          <w:p w14:paraId="0D13A8C8">
            <w:pPr>
              <w:pStyle w:val="53"/>
              <w:ind w:firstLine="0" w:firstLineChars="0"/>
              <w:rPr>
                <w:rFonts w:hint="eastAsia" w:ascii="宋体" w:hAnsi="宋体" w:eastAsia="宋体" w:cs="宋体"/>
                <w:sz w:val="21"/>
                <w:highlight w:val="none"/>
              </w:rPr>
            </w:pPr>
            <w:r>
              <w:rPr>
                <w:rFonts w:hint="eastAsia" w:ascii="宋体" w:hAnsi="宋体" w:eastAsia="宋体" w:cs="宋体"/>
                <w:sz w:val="21"/>
                <w:highlight w:val="none"/>
              </w:rPr>
              <w:t>围栏属性</w:t>
            </w:r>
          </w:p>
        </w:tc>
      </w:tr>
      <w:tr w14:paraId="71C2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Mar>
              <w:top w:w="15" w:type="dxa"/>
              <w:left w:w="15" w:type="dxa"/>
              <w:bottom w:w="15" w:type="dxa"/>
              <w:right w:w="15" w:type="dxa"/>
            </w:tcMar>
            <w:vAlign w:val="center"/>
          </w:tcPr>
          <w:p w14:paraId="6D7D5A70">
            <w:pPr>
              <w:ind w:firstLine="420"/>
              <w:rPr>
                <w:rFonts w:hint="eastAsia" w:ascii="宋体" w:hAnsi="宋体" w:eastAsia="宋体" w:cs="宋体"/>
                <w:sz w:val="21"/>
                <w:highlight w:val="none"/>
              </w:rPr>
            </w:pPr>
            <w:r>
              <w:rPr>
                <w:rFonts w:hint="eastAsia" w:ascii="宋体" w:hAnsi="宋体" w:eastAsia="宋体" w:cs="宋体"/>
                <w:sz w:val="21"/>
                <w:highlight w:val="none"/>
              </w:rPr>
              <w:t>defaultairport</w:t>
            </w:r>
          </w:p>
        </w:tc>
        <w:tc>
          <w:tcPr>
            <w:tcW w:w="1448" w:type="pct"/>
            <w:tcMar>
              <w:top w:w="15" w:type="dxa"/>
              <w:left w:w="15" w:type="dxa"/>
              <w:bottom w:w="15" w:type="dxa"/>
              <w:right w:w="15" w:type="dxa"/>
            </w:tcMar>
            <w:vAlign w:val="center"/>
          </w:tcPr>
          <w:p w14:paraId="7D036010">
            <w:pPr>
              <w:ind w:firstLine="420"/>
              <w:rPr>
                <w:rFonts w:hint="eastAsia" w:ascii="宋体" w:hAnsi="宋体" w:eastAsia="宋体" w:cs="宋体"/>
                <w:sz w:val="21"/>
                <w:highlight w:val="none"/>
              </w:rPr>
            </w:pPr>
            <w:r>
              <w:rPr>
                <w:rFonts w:hint="eastAsia" w:ascii="宋体" w:hAnsi="宋体" w:eastAsia="宋体" w:cs="宋体"/>
                <w:sz w:val="21"/>
                <w:highlight w:val="none"/>
              </w:rPr>
              <w:t>varchar(20)</w:t>
            </w:r>
          </w:p>
        </w:tc>
        <w:tc>
          <w:tcPr>
            <w:tcW w:w="724" w:type="pct"/>
            <w:tcMar>
              <w:top w:w="15" w:type="dxa"/>
              <w:left w:w="15" w:type="dxa"/>
              <w:bottom w:w="15" w:type="dxa"/>
              <w:right w:w="15" w:type="dxa"/>
            </w:tcMar>
            <w:vAlign w:val="center"/>
          </w:tcPr>
          <w:p w14:paraId="05893CE1">
            <w:pPr>
              <w:ind w:firstLine="420"/>
              <w:jc w:val="center"/>
              <w:rPr>
                <w:rFonts w:hint="eastAsia" w:ascii="宋体" w:hAnsi="宋体" w:eastAsia="宋体" w:cs="宋体"/>
                <w:sz w:val="21"/>
                <w:highlight w:val="none"/>
              </w:rPr>
            </w:pPr>
            <w:r>
              <w:rPr>
                <w:rFonts w:hint="eastAsia" w:ascii="宋体" w:hAnsi="宋体" w:eastAsia="宋体" w:cs="宋体"/>
                <w:sz w:val="21"/>
                <w:highlight w:val="none"/>
              </w:rPr>
              <w:t>YES</w:t>
            </w:r>
          </w:p>
        </w:tc>
        <w:tc>
          <w:tcPr>
            <w:tcW w:w="590" w:type="pct"/>
            <w:tcMar>
              <w:top w:w="15" w:type="dxa"/>
              <w:left w:w="15" w:type="dxa"/>
              <w:bottom w:w="15" w:type="dxa"/>
              <w:right w:w="15" w:type="dxa"/>
            </w:tcMar>
            <w:vAlign w:val="center"/>
          </w:tcPr>
          <w:p w14:paraId="7CF128F9">
            <w:pPr>
              <w:ind w:firstLine="420"/>
              <w:jc w:val="left"/>
              <w:rPr>
                <w:rFonts w:hint="eastAsia" w:ascii="宋体" w:hAnsi="宋体" w:eastAsia="宋体" w:cs="宋体"/>
                <w:sz w:val="21"/>
                <w:highlight w:val="none"/>
              </w:rPr>
            </w:pPr>
          </w:p>
        </w:tc>
        <w:tc>
          <w:tcPr>
            <w:tcW w:w="1117" w:type="pct"/>
            <w:tcMar>
              <w:top w:w="15" w:type="dxa"/>
              <w:left w:w="15" w:type="dxa"/>
              <w:bottom w:w="15" w:type="dxa"/>
              <w:right w:w="15" w:type="dxa"/>
            </w:tcMar>
            <w:vAlign w:val="center"/>
          </w:tcPr>
          <w:p w14:paraId="4ABDE339">
            <w:pPr>
              <w:pStyle w:val="53"/>
              <w:ind w:firstLine="0" w:firstLineChars="0"/>
              <w:rPr>
                <w:rFonts w:hint="eastAsia" w:ascii="宋体" w:hAnsi="宋体" w:eastAsia="宋体" w:cs="宋体"/>
                <w:sz w:val="21"/>
                <w:highlight w:val="none"/>
              </w:rPr>
            </w:pPr>
            <w:r>
              <w:rPr>
                <w:rFonts w:hint="eastAsia" w:ascii="宋体" w:hAnsi="宋体" w:eastAsia="宋体" w:cs="宋体"/>
                <w:sz w:val="21"/>
                <w:highlight w:val="none"/>
              </w:rPr>
              <w:t>默认机场</w:t>
            </w:r>
          </w:p>
        </w:tc>
      </w:tr>
      <w:tr w14:paraId="3852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Mar>
              <w:top w:w="15" w:type="dxa"/>
              <w:left w:w="15" w:type="dxa"/>
              <w:bottom w:w="15" w:type="dxa"/>
              <w:right w:w="15" w:type="dxa"/>
            </w:tcMar>
            <w:vAlign w:val="center"/>
          </w:tcPr>
          <w:p w14:paraId="5DB7C126">
            <w:pPr>
              <w:ind w:firstLine="420"/>
              <w:rPr>
                <w:rFonts w:hint="eastAsia" w:ascii="宋体" w:hAnsi="宋体" w:eastAsia="宋体" w:cs="宋体"/>
                <w:sz w:val="21"/>
                <w:highlight w:val="none"/>
              </w:rPr>
            </w:pPr>
            <w:r>
              <w:rPr>
                <w:rFonts w:hint="eastAsia" w:ascii="宋体" w:hAnsi="宋体" w:eastAsia="宋体" w:cs="宋体"/>
                <w:sz w:val="21"/>
                <w:highlight w:val="none"/>
              </w:rPr>
              <w:t>_deleted</w:t>
            </w:r>
          </w:p>
        </w:tc>
        <w:tc>
          <w:tcPr>
            <w:tcW w:w="1448" w:type="pct"/>
            <w:tcMar>
              <w:top w:w="15" w:type="dxa"/>
              <w:left w:w="15" w:type="dxa"/>
              <w:bottom w:w="15" w:type="dxa"/>
              <w:right w:w="15" w:type="dxa"/>
            </w:tcMar>
            <w:vAlign w:val="center"/>
          </w:tcPr>
          <w:p w14:paraId="6D79ABA3">
            <w:pPr>
              <w:ind w:firstLine="420"/>
              <w:rPr>
                <w:rFonts w:hint="eastAsia" w:ascii="宋体" w:hAnsi="宋体" w:eastAsia="宋体" w:cs="宋体"/>
                <w:sz w:val="21"/>
                <w:highlight w:val="none"/>
              </w:rPr>
            </w:pPr>
            <w:r>
              <w:rPr>
                <w:rFonts w:hint="eastAsia" w:ascii="宋体" w:hAnsi="宋体" w:eastAsia="宋体" w:cs="宋体"/>
                <w:sz w:val="21"/>
                <w:highlight w:val="none"/>
              </w:rPr>
              <w:t>boolean</w:t>
            </w:r>
          </w:p>
        </w:tc>
        <w:tc>
          <w:tcPr>
            <w:tcW w:w="724" w:type="pct"/>
            <w:tcMar>
              <w:top w:w="15" w:type="dxa"/>
              <w:left w:w="15" w:type="dxa"/>
              <w:bottom w:w="15" w:type="dxa"/>
              <w:right w:w="15" w:type="dxa"/>
            </w:tcMar>
            <w:vAlign w:val="center"/>
          </w:tcPr>
          <w:p w14:paraId="6FBA8E70">
            <w:pPr>
              <w:ind w:firstLine="420"/>
              <w:jc w:val="center"/>
              <w:rPr>
                <w:rFonts w:hint="eastAsia" w:ascii="宋体" w:hAnsi="宋体" w:eastAsia="宋体" w:cs="宋体"/>
                <w:sz w:val="21"/>
                <w:highlight w:val="none"/>
              </w:rPr>
            </w:pPr>
            <w:r>
              <w:rPr>
                <w:rFonts w:hint="eastAsia" w:ascii="宋体" w:hAnsi="宋体" w:eastAsia="宋体" w:cs="宋体"/>
                <w:sz w:val="21"/>
                <w:highlight w:val="none"/>
              </w:rPr>
              <w:t>YES</w:t>
            </w:r>
          </w:p>
        </w:tc>
        <w:tc>
          <w:tcPr>
            <w:tcW w:w="590" w:type="pct"/>
            <w:tcMar>
              <w:top w:w="15" w:type="dxa"/>
              <w:left w:w="15" w:type="dxa"/>
              <w:bottom w:w="15" w:type="dxa"/>
              <w:right w:w="15" w:type="dxa"/>
            </w:tcMar>
            <w:vAlign w:val="center"/>
          </w:tcPr>
          <w:p w14:paraId="62F75333">
            <w:pPr>
              <w:ind w:firstLine="420"/>
              <w:jc w:val="left"/>
              <w:rPr>
                <w:rFonts w:hint="eastAsia" w:ascii="宋体" w:hAnsi="宋体" w:eastAsia="宋体" w:cs="宋体"/>
                <w:sz w:val="21"/>
                <w:highlight w:val="none"/>
              </w:rPr>
            </w:pPr>
            <w:r>
              <w:rPr>
                <w:rFonts w:hint="eastAsia" w:ascii="宋体" w:hAnsi="宋体" w:eastAsia="宋体" w:cs="宋体"/>
                <w:sz w:val="21"/>
                <w:highlight w:val="none"/>
              </w:rPr>
              <w:t>false</w:t>
            </w:r>
          </w:p>
        </w:tc>
        <w:tc>
          <w:tcPr>
            <w:tcW w:w="1117" w:type="pct"/>
            <w:tcMar>
              <w:top w:w="15" w:type="dxa"/>
              <w:left w:w="15" w:type="dxa"/>
              <w:bottom w:w="15" w:type="dxa"/>
              <w:right w:w="15" w:type="dxa"/>
            </w:tcMar>
            <w:vAlign w:val="center"/>
          </w:tcPr>
          <w:p w14:paraId="453FB6C0">
            <w:pPr>
              <w:pStyle w:val="53"/>
              <w:ind w:firstLine="0" w:firstLineChars="0"/>
              <w:rPr>
                <w:rFonts w:hint="eastAsia" w:ascii="宋体" w:hAnsi="宋体" w:eastAsia="宋体" w:cs="宋体"/>
                <w:sz w:val="21"/>
                <w:highlight w:val="none"/>
              </w:rPr>
            </w:pPr>
            <w:r>
              <w:rPr>
                <w:rFonts w:hint="eastAsia" w:ascii="宋体" w:hAnsi="宋体" w:eastAsia="宋体" w:cs="宋体"/>
                <w:sz w:val="21"/>
                <w:highlight w:val="none"/>
              </w:rPr>
              <w:t>是否删除</w:t>
            </w:r>
          </w:p>
        </w:tc>
      </w:tr>
      <w:tr w14:paraId="6F6B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8" w:type="pct"/>
            <w:tcMar>
              <w:top w:w="15" w:type="dxa"/>
              <w:left w:w="15" w:type="dxa"/>
              <w:bottom w:w="15" w:type="dxa"/>
              <w:right w:w="15" w:type="dxa"/>
            </w:tcMar>
            <w:vAlign w:val="center"/>
          </w:tcPr>
          <w:p w14:paraId="58D5C050">
            <w:pPr>
              <w:ind w:firstLine="420"/>
              <w:rPr>
                <w:rFonts w:hint="eastAsia" w:ascii="宋体" w:hAnsi="宋体" w:eastAsia="宋体" w:cs="宋体"/>
                <w:sz w:val="21"/>
                <w:highlight w:val="none"/>
              </w:rPr>
            </w:pPr>
            <w:r>
              <w:rPr>
                <w:rFonts w:hint="eastAsia" w:ascii="宋体" w:hAnsi="宋体" w:eastAsia="宋体" w:cs="宋体"/>
                <w:sz w:val="21"/>
                <w:highlight w:val="none"/>
              </w:rPr>
              <w:t>voice</w:t>
            </w:r>
          </w:p>
        </w:tc>
        <w:tc>
          <w:tcPr>
            <w:tcW w:w="1448" w:type="pct"/>
            <w:tcMar>
              <w:top w:w="15" w:type="dxa"/>
              <w:left w:w="15" w:type="dxa"/>
              <w:bottom w:w="15" w:type="dxa"/>
              <w:right w:w="15" w:type="dxa"/>
            </w:tcMar>
            <w:vAlign w:val="center"/>
          </w:tcPr>
          <w:p w14:paraId="1B3F957B">
            <w:pPr>
              <w:ind w:firstLine="420"/>
              <w:rPr>
                <w:rFonts w:hint="eastAsia" w:ascii="宋体" w:hAnsi="宋体" w:eastAsia="宋体" w:cs="宋体"/>
                <w:sz w:val="21"/>
                <w:highlight w:val="none"/>
              </w:rPr>
            </w:pPr>
            <w:r>
              <w:rPr>
                <w:rFonts w:hint="eastAsia" w:ascii="宋体" w:hAnsi="宋体" w:eastAsia="宋体" w:cs="宋体"/>
                <w:sz w:val="21"/>
                <w:highlight w:val="none"/>
              </w:rPr>
              <w:t>text</w:t>
            </w:r>
          </w:p>
        </w:tc>
        <w:tc>
          <w:tcPr>
            <w:tcW w:w="724" w:type="pct"/>
            <w:tcMar>
              <w:top w:w="15" w:type="dxa"/>
              <w:left w:w="15" w:type="dxa"/>
              <w:bottom w:w="15" w:type="dxa"/>
              <w:right w:w="15" w:type="dxa"/>
            </w:tcMar>
            <w:vAlign w:val="center"/>
          </w:tcPr>
          <w:p w14:paraId="7156500B">
            <w:pPr>
              <w:ind w:firstLine="420"/>
              <w:jc w:val="center"/>
              <w:rPr>
                <w:rFonts w:hint="eastAsia" w:ascii="宋体" w:hAnsi="宋体" w:eastAsia="宋体" w:cs="宋体"/>
                <w:sz w:val="21"/>
                <w:highlight w:val="none"/>
              </w:rPr>
            </w:pPr>
            <w:r>
              <w:rPr>
                <w:rFonts w:hint="eastAsia" w:ascii="宋体" w:hAnsi="宋体" w:eastAsia="宋体" w:cs="宋体"/>
                <w:sz w:val="21"/>
                <w:highlight w:val="none"/>
              </w:rPr>
              <w:t>YES</w:t>
            </w:r>
          </w:p>
        </w:tc>
        <w:tc>
          <w:tcPr>
            <w:tcW w:w="590" w:type="pct"/>
            <w:tcMar>
              <w:top w:w="15" w:type="dxa"/>
              <w:left w:w="15" w:type="dxa"/>
              <w:bottom w:w="15" w:type="dxa"/>
              <w:right w:w="15" w:type="dxa"/>
            </w:tcMar>
            <w:vAlign w:val="center"/>
          </w:tcPr>
          <w:p w14:paraId="1749B753">
            <w:pPr>
              <w:ind w:firstLine="420"/>
              <w:jc w:val="left"/>
              <w:rPr>
                <w:rFonts w:hint="eastAsia" w:ascii="宋体" w:hAnsi="宋体" w:eastAsia="宋体" w:cs="宋体"/>
                <w:sz w:val="21"/>
                <w:highlight w:val="none"/>
              </w:rPr>
            </w:pPr>
          </w:p>
        </w:tc>
        <w:tc>
          <w:tcPr>
            <w:tcW w:w="1117" w:type="pct"/>
            <w:tcMar>
              <w:top w:w="15" w:type="dxa"/>
              <w:left w:w="15" w:type="dxa"/>
              <w:bottom w:w="15" w:type="dxa"/>
              <w:right w:w="15" w:type="dxa"/>
            </w:tcMar>
            <w:vAlign w:val="center"/>
          </w:tcPr>
          <w:p w14:paraId="020AB26A">
            <w:pPr>
              <w:pStyle w:val="53"/>
              <w:ind w:firstLine="0" w:firstLineChars="0"/>
              <w:rPr>
                <w:rFonts w:hint="eastAsia" w:ascii="宋体" w:hAnsi="宋体" w:eastAsia="宋体" w:cs="宋体"/>
                <w:sz w:val="21"/>
                <w:highlight w:val="none"/>
              </w:rPr>
            </w:pPr>
            <w:r>
              <w:rPr>
                <w:rFonts w:hint="eastAsia" w:ascii="宋体" w:hAnsi="宋体" w:eastAsia="宋体" w:cs="宋体"/>
                <w:sz w:val="21"/>
                <w:highlight w:val="none"/>
              </w:rPr>
              <w:t>语音播报设置</w:t>
            </w:r>
          </w:p>
        </w:tc>
      </w:tr>
    </w:tbl>
    <w:p w14:paraId="7F04296B">
      <w:pPr>
        <w:pStyle w:val="64"/>
        <w:ind w:firstLine="0" w:firstLineChars="0"/>
        <w:rPr>
          <w:rFonts w:hint="eastAsia" w:ascii="宋体" w:hAnsi="宋体" w:eastAsia="宋体" w:cs="宋体"/>
          <w:highlight w:val="none"/>
        </w:rPr>
      </w:pPr>
    </w:p>
    <w:p w14:paraId="5DB5E947">
      <w:pPr>
        <w:pStyle w:val="6"/>
        <w:keepNext/>
        <w:keepLines/>
        <w:pageBreakBefore w:val="0"/>
        <w:widowControl w:val="0"/>
        <w:kinsoku/>
        <w:wordWrap/>
        <w:overflowPunct/>
        <w:topLinePunct w:val="0"/>
        <w:autoSpaceDE/>
        <w:autoSpaceDN/>
        <w:bidi w:val="0"/>
        <w:adjustRightInd/>
        <w:snapToGrid/>
        <w:spacing w:line="400" w:lineRule="exact"/>
        <w:ind w:left="422" w:hanging="422" w:hangingChars="200"/>
        <w:textAlignment w:val="auto"/>
        <w:rPr>
          <w:rFonts w:hint="eastAsia"/>
          <w:highlight w:val="none"/>
        </w:rPr>
      </w:pPr>
      <w:r>
        <w:rPr>
          <w:rFonts w:hint="eastAsia"/>
          <w:highlight w:val="none"/>
        </w:rPr>
        <w:t>车辆运行统计表</w:t>
      </w:r>
    </w:p>
    <w:p w14:paraId="26C328EE">
      <w:pPr>
        <w:pStyle w:val="65"/>
        <w:rPr>
          <w:rFonts w:hint="eastAsia" w:ascii="宋体" w:hAnsi="宋体" w:eastAsia="宋体" w:cs="宋体"/>
          <w:highlight w:val="none"/>
        </w:rPr>
      </w:pPr>
      <w:r>
        <w:rPr>
          <w:rFonts w:hint="eastAsia" w:ascii="宋体" w:hAnsi="宋体" w:eastAsia="宋体" w:cs="宋体"/>
          <w:highlight w:val="none"/>
        </w:rPr>
        <w:t>车辆运行统计表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1"/>
        <w:gridCol w:w="1744"/>
        <w:gridCol w:w="1371"/>
        <w:gridCol w:w="1373"/>
        <w:gridCol w:w="2119"/>
      </w:tblGrid>
      <w:tr w14:paraId="79FE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369" w:type="pct"/>
            <w:shd w:val="clear" w:color="auto" w:fill="auto"/>
            <w:tcMar>
              <w:top w:w="15" w:type="dxa"/>
              <w:left w:w="15" w:type="dxa"/>
              <w:bottom w:w="15" w:type="dxa"/>
              <w:right w:w="15" w:type="dxa"/>
            </w:tcMar>
            <w:vAlign w:val="center"/>
          </w:tcPr>
          <w:p w14:paraId="2805E7A9">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字段</w:t>
            </w:r>
          </w:p>
        </w:tc>
        <w:tc>
          <w:tcPr>
            <w:tcW w:w="958" w:type="pct"/>
            <w:shd w:val="clear" w:color="auto" w:fill="auto"/>
            <w:tcMar>
              <w:top w:w="15" w:type="dxa"/>
              <w:left w:w="15" w:type="dxa"/>
              <w:bottom w:w="15" w:type="dxa"/>
              <w:right w:w="15" w:type="dxa"/>
            </w:tcMar>
            <w:vAlign w:val="center"/>
          </w:tcPr>
          <w:p w14:paraId="059516E4">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类型</w:t>
            </w:r>
          </w:p>
        </w:tc>
        <w:tc>
          <w:tcPr>
            <w:tcW w:w="753" w:type="pct"/>
            <w:shd w:val="clear" w:color="auto" w:fill="auto"/>
            <w:tcMar>
              <w:top w:w="15" w:type="dxa"/>
              <w:left w:w="15" w:type="dxa"/>
              <w:bottom w:w="15" w:type="dxa"/>
              <w:right w:w="15" w:type="dxa"/>
            </w:tcMar>
            <w:vAlign w:val="center"/>
          </w:tcPr>
          <w:p w14:paraId="439BC9CC">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允许空</w:t>
            </w:r>
          </w:p>
        </w:tc>
        <w:tc>
          <w:tcPr>
            <w:tcW w:w="754" w:type="pct"/>
            <w:shd w:val="clear" w:color="auto" w:fill="auto"/>
            <w:tcMar>
              <w:top w:w="15" w:type="dxa"/>
              <w:left w:w="15" w:type="dxa"/>
              <w:bottom w:w="15" w:type="dxa"/>
              <w:right w:w="15" w:type="dxa"/>
            </w:tcMar>
            <w:vAlign w:val="center"/>
          </w:tcPr>
          <w:p w14:paraId="4A996DF3">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默认</w:t>
            </w:r>
          </w:p>
        </w:tc>
        <w:tc>
          <w:tcPr>
            <w:tcW w:w="1164" w:type="pct"/>
            <w:shd w:val="clear" w:color="auto" w:fill="auto"/>
            <w:tcMar>
              <w:top w:w="15" w:type="dxa"/>
              <w:left w:w="15" w:type="dxa"/>
              <w:bottom w:w="15" w:type="dxa"/>
              <w:right w:w="15" w:type="dxa"/>
            </w:tcMar>
            <w:vAlign w:val="center"/>
          </w:tcPr>
          <w:p w14:paraId="7B1BF11E">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注释</w:t>
            </w:r>
          </w:p>
        </w:tc>
      </w:tr>
      <w:tr w14:paraId="01D60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pct"/>
            <w:tcMar>
              <w:top w:w="15" w:type="dxa"/>
              <w:left w:w="15" w:type="dxa"/>
              <w:bottom w:w="15" w:type="dxa"/>
              <w:right w:w="15" w:type="dxa"/>
            </w:tcMar>
            <w:vAlign w:val="center"/>
          </w:tcPr>
          <w:p w14:paraId="23C6C050">
            <w:pPr>
              <w:ind w:firstLine="420"/>
              <w:rPr>
                <w:rFonts w:hint="eastAsia" w:ascii="宋体" w:hAnsi="宋体" w:eastAsia="宋体" w:cs="宋体"/>
                <w:sz w:val="21"/>
                <w:highlight w:val="none"/>
              </w:rPr>
            </w:pPr>
            <w:r>
              <w:rPr>
                <w:rFonts w:hint="eastAsia" w:ascii="宋体" w:hAnsi="宋体" w:eastAsia="宋体" w:cs="宋体"/>
                <w:sz w:val="21"/>
                <w:highlight w:val="none"/>
              </w:rPr>
              <w:t>id</w:t>
            </w:r>
          </w:p>
        </w:tc>
        <w:tc>
          <w:tcPr>
            <w:tcW w:w="958" w:type="pct"/>
            <w:tcMar>
              <w:top w:w="15" w:type="dxa"/>
              <w:left w:w="15" w:type="dxa"/>
              <w:bottom w:w="15" w:type="dxa"/>
              <w:right w:w="15" w:type="dxa"/>
            </w:tcMar>
            <w:vAlign w:val="center"/>
          </w:tcPr>
          <w:p w14:paraId="1ACC8346">
            <w:pPr>
              <w:ind w:firstLine="420"/>
              <w:rPr>
                <w:rFonts w:hint="eastAsia" w:ascii="宋体" w:hAnsi="宋体" w:eastAsia="宋体" w:cs="宋体"/>
                <w:sz w:val="21"/>
                <w:highlight w:val="none"/>
              </w:rPr>
            </w:pPr>
            <w:r>
              <w:rPr>
                <w:rFonts w:hint="eastAsia" w:ascii="宋体" w:hAnsi="宋体" w:eastAsia="宋体" w:cs="宋体"/>
                <w:sz w:val="21"/>
                <w:highlight w:val="none"/>
              </w:rPr>
              <w:t>uuid</w:t>
            </w:r>
          </w:p>
        </w:tc>
        <w:tc>
          <w:tcPr>
            <w:tcW w:w="753" w:type="pct"/>
            <w:tcMar>
              <w:top w:w="15" w:type="dxa"/>
              <w:left w:w="15" w:type="dxa"/>
              <w:bottom w:w="15" w:type="dxa"/>
              <w:right w:w="15" w:type="dxa"/>
            </w:tcMar>
            <w:vAlign w:val="center"/>
          </w:tcPr>
          <w:p w14:paraId="32D4CF79">
            <w:pPr>
              <w:ind w:firstLine="420"/>
              <w:rPr>
                <w:rFonts w:hint="eastAsia" w:ascii="宋体" w:hAnsi="宋体" w:eastAsia="宋体" w:cs="宋体"/>
                <w:sz w:val="21"/>
                <w:highlight w:val="none"/>
              </w:rPr>
            </w:pPr>
            <w:r>
              <w:rPr>
                <w:rFonts w:hint="eastAsia" w:ascii="宋体" w:hAnsi="宋体" w:eastAsia="宋体" w:cs="宋体"/>
                <w:sz w:val="21"/>
                <w:highlight w:val="none"/>
              </w:rPr>
              <w:t>NO</w:t>
            </w:r>
          </w:p>
        </w:tc>
        <w:tc>
          <w:tcPr>
            <w:tcW w:w="754" w:type="pct"/>
            <w:tcMar>
              <w:top w:w="15" w:type="dxa"/>
              <w:left w:w="15" w:type="dxa"/>
              <w:bottom w:w="15" w:type="dxa"/>
              <w:right w:w="15" w:type="dxa"/>
            </w:tcMar>
            <w:vAlign w:val="center"/>
          </w:tcPr>
          <w:p w14:paraId="292833E5">
            <w:pPr>
              <w:ind w:firstLine="420"/>
              <w:rPr>
                <w:rFonts w:hint="eastAsia" w:ascii="宋体" w:hAnsi="宋体" w:eastAsia="宋体" w:cs="宋体"/>
                <w:sz w:val="21"/>
                <w:highlight w:val="none"/>
              </w:rPr>
            </w:pPr>
          </w:p>
        </w:tc>
        <w:tc>
          <w:tcPr>
            <w:tcW w:w="1164" w:type="pct"/>
            <w:tcMar>
              <w:top w:w="15" w:type="dxa"/>
              <w:left w:w="15" w:type="dxa"/>
              <w:bottom w:w="15" w:type="dxa"/>
              <w:right w:w="15" w:type="dxa"/>
            </w:tcMar>
            <w:vAlign w:val="center"/>
          </w:tcPr>
          <w:p w14:paraId="065B90FE">
            <w:pPr>
              <w:ind w:firstLine="420"/>
              <w:rPr>
                <w:rFonts w:hint="eastAsia" w:ascii="宋体" w:hAnsi="宋体" w:eastAsia="宋体" w:cs="宋体"/>
                <w:sz w:val="21"/>
                <w:highlight w:val="none"/>
              </w:rPr>
            </w:pPr>
            <w:r>
              <w:rPr>
                <w:rFonts w:hint="eastAsia" w:ascii="宋体" w:hAnsi="宋体" w:eastAsia="宋体" w:cs="宋体"/>
                <w:sz w:val="21"/>
                <w:highlight w:val="none"/>
              </w:rPr>
              <w:t>车辆运行id</w:t>
            </w:r>
          </w:p>
        </w:tc>
      </w:tr>
      <w:tr w14:paraId="4D80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pct"/>
            <w:tcMar>
              <w:top w:w="15" w:type="dxa"/>
              <w:left w:w="15" w:type="dxa"/>
              <w:bottom w:w="15" w:type="dxa"/>
              <w:right w:w="15" w:type="dxa"/>
            </w:tcMar>
            <w:vAlign w:val="center"/>
          </w:tcPr>
          <w:p w14:paraId="0AEED360">
            <w:pPr>
              <w:ind w:firstLine="420"/>
              <w:rPr>
                <w:rFonts w:hint="eastAsia" w:ascii="宋体" w:hAnsi="宋体" w:eastAsia="宋体" w:cs="宋体"/>
                <w:sz w:val="21"/>
                <w:highlight w:val="none"/>
              </w:rPr>
            </w:pPr>
            <w:r>
              <w:rPr>
                <w:rFonts w:hint="eastAsia" w:ascii="宋体" w:hAnsi="宋体" w:eastAsia="宋体" w:cs="宋体"/>
                <w:sz w:val="21"/>
                <w:highlight w:val="none"/>
              </w:rPr>
              <w:t>vehiclenumber</w:t>
            </w:r>
          </w:p>
        </w:tc>
        <w:tc>
          <w:tcPr>
            <w:tcW w:w="958" w:type="pct"/>
            <w:tcMar>
              <w:top w:w="15" w:type="dxa"/>
              <w:left w:w="15" w:type="dxa"/>
              <w:bottom w:w="15" w:type="dxa"/>
              <w:right w:w="15" w:type="dxa"/>
            </w:tcMar>
            <w:vAlign w:val="center"/>
          </w:tcPr>
          <w:p w14:paraId="072FCC58">
            <w:pPr>
              <w:ind w:firstLine="420"/>
              <w:rPr>
                <w:rFonts w:hint="eastAsia" w:ascii="宋体" w:hAnsi="宋体" w:eastAsia="宋体" w:cs="宋体"/>
                <w:sz w:val="21"/>
                <w:highlight w:val="none"/>
              </w:rPr>
            </w:pPr>
            <w:r>
              <w:rPr>
                <w:rFonts w:hint="eastAsia" w:ascii="宋体" w:hAnsi="宋体" w:eastAsia="宋体" w:cs="宋体"/>
                <w:sz w:val="21"/>
                <w:highlight w:val="none"/>
              </w:rPr>
              <w:t>text</w:t>
            </w:r>
          </w:p>
        </w:tc>
        <w:tc>
          <w:tcPr>
            <w:tcW w:w="753" w:type="pct"/>
            <w:tcMar>
              <w:top w:w="15" w:type="dxa"/>
              <w:left w:w="15" w:type="dxa"/>
              <w:bottom w:w="15" w:type="dxa"/>
              <w:right w:w="15" w:type="dxa"/>
            </w:tcMar>
            <w:vAlign w:val="center"/>
          </w:tcPr>
          <w:p w14:paraId="4FBEF47F">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754" w:type="pct"/>
            <w:tcMar>
              <w:top w:w="15" w:type="dxa"/>
              <w:left w:w="15" w:type="dxa"/>
              <w:bottom w:w="15" w:type="dxa"/>
              <w:right w:w="15" w:type="dxa"/>
            </w:tcMar>
            <w:vAlign w:val="center"/>
          </w:tcPr>
          <w:p w14:paraId="6BB680FB">
            <w:pPr>
              <w:ind w:firstLine="420"/>
              <w:rPr>
                <w:rFonts w:hint="eastAsia" w:ascii="宋体" w:hAnsi="宋体" w:eastAsia="宋体" w:cs="宋体"/>
                <w:sz w:val="21"/>
                <w:highlight w:val="none"/>
              </w:rPr>
            </w:pPr>
          </w:p>
        </w:tc>
        <w:tc>
          <w:tcPr>
            <w:tcW w:w="1164" w:type="pct"/>
            <w:tcMar>
              <w:top w:w="15" w:type="dxa"/>
              <w:left w:w="15" w:type="dxa"/>
              <w:bottom w:w="15" w:type="dxa"/>
              <w:right w:w="15" w:type="dxa"/>
            </w:tcMar>
            <w:vAlign w:val="center"/>
          </w:tcPr>
          <w:p w14:paraId="537F161E">
            <w:pPr>
              <w:ind w:firstLine="420"/>
              <w:rPr>
                <w:rFonts w:hint="eastAsia" w:ascii="宋体" w:hAnsi="宋体" w:eastAsia="宋体" w:cs="宋体"/>
                <w:sz w:val="21"/>
                <w:highlight w:val="none"/>
              </w:rPr>
            </w:pPr>
            <w:r>
              <w:rPr>
                <w:rFonts w:hint="eastAsia" w:ascii="宋体" w:hAnsi="宋体" w:eastAsia="宋体" w:cs="宋体"/>
                <w:sz w:val="21"/>
                <w:highlight w:val="none"/>
              </w:rPr>
              <w:t>车牌号</w:t>
            </w:r>
          </w:p>
        </w:tc>
      </w:tr>
      <w:tr w14:paraId="7F281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pct"/>
            <w:tcMar>
              <w:top w:w="15" w:type="dxa"/>
              <w:left w:w="15" w:type="dxa"/>
              <w:bottom w:w="15" w:type="dxa"/>
              <w:right w:w="15" w:type="dxa"/>
            </w:tcMar>
            <w:vAlign w:val="center"/>
          </w:tcPr>
          <w:p w14:paraId="508956F3">
            <w:pPr>
              <w:ind w:firstLine="420"/>
              <w:rPr>
                <w:rFonts w:hint="eastAsia" w:ascii="宋体" w:hAnsi="宋体" w:eastAsia="宋体" w:cs="宋体"/>
                <w:sz w:val="21"/>
                <w:highlight w:val="none"/>
              </w:rPr>
            </w:pPr>
            <w:r>
              <w:rPr>
                <w:rFonts w:hint="eastAsia" w:ascii="宋体" w:hAnsi="宋体" w:eastAsia="宋体" w:cs="宋体"/>
                <w:sz w:val="21"/>
                <w:highlight w:val="none"/>
              </w:rPr>
              <w:t>vehicleid</w:t>
            </w:r>
          </w:p>
        </w:tc>
        <w:tc>
          <w:tcPr>
            <w:tcW w:w="958" w:type="pct"/>
            <w:tcMar>
              <w:top w:w="15" w:type="dxa"/>
              <w:left w:w="15" w:type="dxa"/>
              <w:bottom w:w="15" w:type="dxa"/>
              <w:right w:w="15" w:type="dxa"/>
            </w:tcMar>
            <w:vAlign w:val="center"/>
          </w:tcPr>
          <w:p w14:paraId="3FD996A6">
            <w:pPr>
              <w:ind w:firstLine="420"/>
              <w:rPr>
                <w:rFonts w:hint="eastAsia" w:ascii="宋体" w:hAnsi="宋体" w:eastAsia="宋体" w:cs="宋体"/>
                <w:sz w:val="21"/>
                <w:highlight w:val="none"/>
              </w:rPr>
            </w:pPr>
            <w:r>
              <w:rPr>
                <w:rFonts w:hint="eastAsia" w:ascii="宋体" w:hAnsi="宋体" w:eastAsia="宋体" w:cs="宋体"/>
                <w:sz w:val="21"/>
                <w:highlight w:val="none"/>
              </w:rPr>
              <w:t>uuid</w:t>
            </w:r>
          </w:p>
        </w:tc>
        <w:tc>
          <w:tcPr>
            <w:tcW w:w="753" w:type="pct"/>
            <w:tcMar>
              <w:top w:w="15" w:type="dxa"/>
              <w:left w:w="15" w:type="dxa"/>
              <w:bottom w:w="15" w:type="dxa"/>
              <w:right w:w="15" w:type="dxa"/>
            </w:tcMar>
            <w:vAlign w:val="center"/>
          </w:tcPr>
          <w:p w14:paraId="19752723">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754" w:type="pct"/>
            <w:tcMar>
              <w:top w:w="15" w:type="dxa"/>
              <w:left w:w="15" w:type="dxa"/>
              <w:bottom w:w="15" w:type="dxa"/>
              <w:right w:w="15" w:type="dxa"/>
            </w:tcMar>
            <w:vAlign w:val="center"/>
          </w:tcPr>
          <w:p w14:paraId="3E6B3278">
            <w:pPr>
              <w:ind w:firstLine="420"/>
              <w:rPr>
                <w:rFonts w:hint="eastAsia" w:ascii="宋体" w:hAnsi="宋体" w:eastAsia="宋体" w:cs="宋体"/>
                <w:sz w:val="21"/>
                <w:highlight w:val="none"/>
              </w:rPr>
            </w:pPr>
          </w:p>
        </w:tc>
        <w:tc>
          <w:tcPr>
            <w:tcW w:w="1164" w:type="pct"/>
            <w:tcMar>
              <w:top w:w="15" w:type="dxa"/>
              <w:left w:w="15" w:type="dxa"/>
              <w:bottom w:w="15" w:type="dxa"/>
              <w:right w:w="15" w:type="dxa"/>
            </w:tcMar>
            <w:vAlign w:val="center"/>
          </w:tcPr>
          <w:p w14:paraId="317C0DBF">
            <w:pPr>
              <w:ind w:firstLine="420"/>
              <w:rPr>
                <w:rFonts w:hint="eastAsia" w:ascii="宋体" w:hAnsi="宋体" w:eastAsia="宋体" w:cs="宋体"/>
                <w:sz w:val="21"/>
                <w:highlight w:val="none"/>
              </w:rPr>
            </w:pPr>
            <w:r>
              <w:rPr>
                <w:rFonts w:hint="eastAsia" w:ascii="宋体" w:hAnsi="宋体" w:eastAsia="宋体" w:cs="宋体"/>
                <w:sz w:val="21"/>
                <w:highlight w:val="none"/>
              </w:rPr>
              <w:t>车辆id</w:t>
            </w:r>
          </w:p>
        </w:tc>
      </w:tr>
      <w:tr w14:paraId="2C216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pct"/>
            <w:tcMar>
              <w:top w:w="15" w:type="dxa"/>
              <w:left w:w="15" w:type="dxa"/>
              <w:bottom w:w="15" w:type="dxa"/>
              <w:right w:w="15" w:type="dxa"/>
            </w:tcMar>
            <w:vAlign w:val="center"/>
          </w:tcPr>
          <w:p w14:paraId="411F0F25">
            <w:pPr>
              <w:ind w:firstLine="420"/>
              <w:rPr>
                <w:rFonts w:hint="eastAsia" w:ascii="宋体" w:hAnsi="宋体" w:eastAsia="宋体" w:cs="宋体"/>
                <w:sz w:val="21"/>
                <w:highlight w:val="none"/>
              </w:rPr>
            </w:pPr>
            <w:r>
              <w:rPr>
                <w:rFonts w:hint="eastAsia" w:ascii="宋体" w:hAnsi="宋体" w:eastAsia="宋体" w:cs="宋体"/>
                <w:sz w:val="21"/>
                <w:highlight w:val="none"/>
              </w:rPr>
              <w:t>avgspeed</w:t>
            </w:r>
          </w:p>
        </w:tc>
        <w:tc>
          <w:tcPr>
            <w:tcW w:w="958" w:type="pct"/>
            <w:tcMar>
              <w:top w:w="15" w:type="dxa"/>
              <w:left w:w="15" w:type="dxa"/>
              <w:bottom w:w="15" w:type="dxa"/>
              <w:right w:w="15" w:type="dxa"/>
            </w:tcMar>
            <w:vAlign w:val="center"/>
          </w:tcPr>
          <w:p w14:paraId="5F94C77F">
            <w:pPr>
              <w:ind w:firstLine="420"/>
              <w:rPr>
                <w:rFonts w:hint="eastAsia" w:ascii="宋体" w:hAnsi="宋体" w:eastAsia="宋体" w:cs="宋体"/>
                <w:sz w:val="21"/>
                <w:highlight w:val="none"/>
              </w:rPr>
            </w:pPr>
            <w:r>
              <w:rPr>
                <w:rFonts w:hint="eastAsia" w:ascii="宋体" w:hAnsi="宋体" w:eastAsia="宋体" w:cs="宋体"/>
                <w:sz w:val="21"/>
                <w:highlight w:val="none"/>
              </w:rPr>
              <w:t>double</w:t>
            </w:r>
          </w:p>
        </w:tc>
        <w:tc>
          <w:tcPr>
            <w:tcW w:w="753" w:type="pct"/>
            <w:tcMar>
              <w:top w:w="15" w:type="dxa"/>
              <w:left w:w="15" w:type="dxa"/>
              <w:bottom w:w="15" w:type="dxa"/>
              <w:right w:w="15" w:type="dxa"/>
            </w:tcMar>
            <w:vAlign w:val="center"/>
          </w:tcPr>
          <w:p w14:paraId="69B630CB">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754" w:type="pct"/>
            <w:tcMar>
              <w:top w:w="15" w:type="dxa"/>
              <w:left w:w="15" w:type="dxa"/>
              <w:bottom w:w="15" w:type="dxa"/>
              <w:right w:w="15" w:type="dxa"/>
            </w:tcMar>
            <w:vAlign w:val="center"/>
          </w:tcPr>
          <w:p w14:paraId="0D7ADDE6">
            <w:pPr>
              <w:ind w:firstLine="420"/>
              <w:rPr>
                <w:rFonts w:hint="eastAsia" w:ascii="宋体" w:hAnsi="宋体" w:eastAsia="宋体" w:cs="宋体"/>
                <w:sz w:val="21"/>
                <w:highlight w:val="none"/>
              </w:rPr>
            </w:pPr>
          </w:p>
        </w:tc>
        <w:tc>
          <w:tcPr>
            <w:tcW w:w="1164" w:type="pct"/>
            <w:tcMar>
              <w:top w:w="15" w:type="dxa"/>
              <w:left w:w="15" w:type="dxa"/>
              <w:bottom w:w="15" w:type="dxa"/>
              <w:right w:w="15" w:type="dxa"/>
            </w:tcMar>
            <w:vAlign w:val="center"/>
          </w:tcPr>
          <w:p w14:paraId="3D9F8796">
            <w:pPr>
              <w:ind w:firstLine="420"/>
              <w:rPr>
                <w:rFonts w:hint="eastAsia" w:ascii="宋体" w:hAnsi="宋体" w:eastAsia="宋体" w:cs="宋体"/>
                <w:sz w:val="21"/>
                <w:highlight w:val="none"/>
              </w:rPr>
            </w:pPr>
            <w:r>
              <w:rPr>
                <w:rFonts w:hint="eastAsia" w:ascii="宋体" w:hAnsi="宋体" w:eastAsia="宋体" w:cs="宋体"/>
                <w:sz w:val="21"/>
                <w:highlight w:val="none"/>
              </w:rPr>
              <w:t>平均速度</w:t>
            </w:r>
          </w:p>
        </w:tc>
      </w:tr>
      <w:tr w14:paraId="6FCE7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pct"/>
            <w:tcMar>
              <w:top w:w="15" w:type="dxa"/>
              <w:left w:w="15" w:type="dxa"/>
              <w:bottom w:w="15" w:type="dxa"/>
              <w:right w:w="15" w:type="dxa"/>
            </w:tcMar>
            <w:vAlign w:val="center"/>
          </w:tcPr>
          <w:p w14:paraId="1872849F">
            <w:pPr>
              <w:ind w:firstLine="420"/>
              <w:rPr>
                <w:rFonts w:hint="eastAsia" w:ascii="宋体" w:hAnsi="宋体" w:eastAsia="宋体" w:cs="宋体"/>
                <w:sz w:val="21"/>
                <w:highlight w:val="none"/>
              </w:rPr>
            </w:pPr>
            <w:r>
              <w:rPr>
                <w:rFonts w:hint="eastAsia" w:ascii="宋体" w:hAnsi="宋体" w:eastAsia="宋体" w:cs="宋体"/>
                <w:sz w:val="21"/>
                <w:highlight w:val="none"/>
              </w:rPr>
              <w:t>maxspeed</w:t>
            </w:r>
          </w:p>
        </w:tc>
        <w:tc>
          <w:tcPr>
            <w:tcW w:w="958" w:type="pct"/>
            <w:tcMar>
              <w:top w:w="15" w:type="dxa"/>
              <w:left w:w="15" w:type="dxa"/>
              <w:bottom w:w="15" w:type="dxa"/>
              <w:right w:w="15" w:type="dxa"/>
            </w:tcMar>
            <w:vAlign w:val="center"/>
          </w:tcPr>
          <w:p w14:paraId="7C5684AD">
            <w:pPr>
              <w:ind w:firstLine="420"/>
              <w:rPr>
                <w:rFonts w:hint="eastAsia" w:ascii="宋体" w:hAnsi="宋体" w:eastAsia="宋体" w:cs="宋体"/>
                <w:sz w:val="21"/>
                <w:highlight w:val="none"/>
              </w:rPr>
            </w:pPr>
            <w:r>
              <w:rPr>
                <w:rFonts w:hint="eastAsia" w:ascii="宋体" w:hAnsi="宋体" w:eastAsia="宋体" w:cs="宋体"/>
                <w:sz w:val="21"/>
                <w:highlight w:val="none"/>
              </w:rPr>
              <w:t>double</w:t>
            </w:r>
          </w:p>
        </w:tc>
        <w:tc>
          <w:tcPr>
            <w:tcW w:w="753" w:type="pct"/>
            <w:tcMar>
              <w:top w:w="15" w:type="dxa"/>
              <w:left w:w="15" w:type="dxa"/>
              <w:bottom w:w="15" w:type="dxa"/>
              <w:right w:w="15" w:type="dxa"/>
            </w:tcMar>
            <w:vAlign w:val="center"/>
          </w:tcPr>
          <w:p w14:paraId="1E2CD48A">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754" w:type="pct"/>
            <w:tcMar>
              <w:top w:w="15" w:type="dxa"/>
              <w:left w:w="15" w:type="dxa"/>
              <w:bottom w:w="15" w:type="dxa"/>
              <w:right w:w="15" w:type="dxa"/>
            </w:tcMar>
            <w:vAlign w:val="center"/>
          </w:tcPr>
          <w:p w14:paraId="38E276FE">
            <w:pPr>
              <w:ind w:firstLine="420"/>
              <w:rPr>
                <w:rFonts w:hint="eastAsia" w:ascii="宋体" w:hAnsi="宋体" w:eastAsia="宋体" w:cs="宋体"/>
                <w:sz w:val="21"/>
                <w:highlight w:val="none"/>
              </w:rPr>
            </w:pPr>
          </w:p>
        </w:tc>
        <w:tc>
          <w:tcPr>
            <w:tcW w:w="1164" w:type="pct"/>
            <w:tcMar>
              <w:top w:w="15" w:type="dxa"/>
              <w:left w:w="15" w:type="dxa"/>
              <w:bottom w:w="15" w:type="dxa"/>
              <w:right w:w="15" w:type="dxa"/>
            </w:tcMar>
            <w:vAlign w:val="center"/>
          </w:tcPr>
          <w:p w14:paraId="62FBC557">
            <w:pPr>
              <w:ind w:firstLine="420"/>
              <w:rPr>
                <w:rFonts w:hint="eastAsia" w:ascii="宋体" w:hAnsi="宋体" w:eastAsia="宋体" w:cs="宋体"/>
                <w:sz w:val="21"/>
                <w:highlight w:val="none"/>
              </w:rPr>
            </w:pPr>
            <w:r>
              <w:rPr>
                <w:rFonts w:hint="eastAsia" w:ascii="宋体" w:hAnsi="宋体" w:eastAsia="宋体" w:cs="宋体"/>
                <w:sz w:val="21"/>
                <w:highlight w:val="none"/>
              </w:rPr>
              <w:t>最大速度</w:t>
            </w:r>
          </w:p>
        </w:tc>
      </w:tr>
      <w:tr w14:paraId="05948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pct"/>
            <w:tcMar>
              <w:top w:w="15" w:type="dxa"/>
              <w:left w:w="15" w:type="dxa"/>
              <w:bottom w:w="15" w:type="dxa"/>
              <w:right w:w="15" w:type="dxa"/>
            </w:tcMar>
            <w:vAlign w:val="center"/>
          </w:tcPr>
          <w:p w14:paraId="5EB7C6B0">
            <w:pPr>
              <w:ind w:firstLine="420"/>
              <w:rPr>
                <w:rFonts w:hint="eastAsia" w:ascii="宋体" w:hAnsi="宋体" w:eastAsia="宋体" w:cs="宋体"/>
                <w:sz w:val="21"/>
                <w:highlight w:val="none"/>
              </w:rPr>
            </w:pPr>
            <w:r>
              <w:rPr>
                <w:rFonts w:hint="eastAsia" w:ascii="宋体" w:hAnsi="宋体" w:eastAsia="宋体" w:cs="宋体"/>
                <w:sz w:val="21"/>
                <w:highlight w:val="none"/>
              </w:rPr>
              <w:t>distance</w:t>
            </w:r>
          </w:p>
        </w:tc>
        <w:tc>
          <w:tcPr>
            <w:tcW w:w="958" w:type="pct"/>
            <w:tcMar>
              <w:top w:w="15" w:type="dxa"/>
              <w:left w:w="15" w:type="dxa"/>
              <w:bottom w:w="15" w:type="dxa"/>
              <w:right w:w="15" w:type="dxa"/>
            </w:tcMar>
            <w:vAlign w:val="center"/>
          </w:tcPr>
          <w:p w14:paraId="4B4E34AA">
            <w:pPr>
              <w:ind w:firstLine="420"/>
              <w:rPr>
                <w:rFonts w:hint="eastAsia" w:ascii="宋体" w:hAnsi="宋体" w:eastAsia="宋体" w:cs="宋体"/>
                <w:sz w:val="21"/>
                <w:highlight w:val="none"/>
              </w:rPr>
            </w:pPr>
            <w:r>
              <w:rPr>
                <w:rFonts w:hint="eastAsia" w:ascii="宋体" w:hAnsi="宋体" w:eastAsia="宋体" w:cs="宋体"/>
                <w:sz w:val="21"/>
                <w:highlight w:val="none"/>
              </w:rPr>
              <w:t>double</w:t>
            </w:r>
          </w:p>
        </w:tc>
        <w:tc>
          <w:tcPr>
            <w:tcW w:w="753" w:type="pct"/>
            <w:tcMar>
              <w:top w:w="15" w:type="dxa"/>
              <w:left w:w="15" w:type="dxa"/>
              <w:bottom w:w="15" w:type="dxa"/>
              <w:right w:w="15" w:type="dxa"/>
            </w:tcMar>
            <w:vAlign w:val="center"/>
          </w:tcPr>
          <w:p w14:paraId="124738B9">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754" w:type="pct"/>
            <w:tcMar>
              <w:top w:w="15" w:type="dxa"/>
              <w:left w:w="15" w:type="dxa"/>
              <w:bottom w:w="15" w:type="dxa"/>
              <w:right w:w="15" w:type="dxa"/>
            </w:tcMar>
            <w:vAlign w:val="center"/>
          </w:tcPr>
          <w:p w14:paraId="5157D850">
            <w:pPr>
              <w:ind w:firstLine="420"/>
              <w:rPr>
                <w:rFonts w:hint="eastAsia" w:ascii="宋体" w:hAnsi="宋体" w:eastAsia="宋体" w:cs="宋体"/>
                <w:sz w:val="21"/>
                <w:highlight w:val="none"/>
              </w:rPr>
            </w:pPr>
          </w:p>
        </w:tc>
        <w:tc>
          <w:tcPr>
            <w:tcW w:w="1164" w:type="pct"/>
            <w:tcMar>
              <w:top w:w="15" w:type="dxa"/>
              <w:left w:w="15" w:type="dxa"/>
              <w:bottom w:w="15" w:type="dxa"/>
              <w:right w:w="15" w:type="dxa"/>
            </w:tcMar>
            <w:vAlign w:val="center"/>
          </w:tcPr>
          <w:p w14:paraId="32125D5D">
            <w:pPr>
              <w:ind w:firstLine="420"/>
              <w:rPr>
                <w:rFonts w:hint="eastAsia" w:ascii="宋体" w:hAnsi="宋体" w:eastAsia="宋体" w:cs="宋体"/>
                <w:sz w:val="21"/>
                <w:highlight w:val="none"/>
              </w:rPr>
            </w:pPr>
            <w:r>
              <w:rPr>
                <w:rFonts w:hint="eastAsia" w:ascii="宋体" w:hAnsi="宋体" w:eastAsia="宋体" w:cs="宋体"/>
                <w:sz w:val="21"/>
                <w:highlight w:val="none"/>
              </w:rPr>
              <w:t>距离</w:t>
            </w:r>
          </w:p>
        </w:tc>
      </w:tr>
      <w:tr w14:paraId="251B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pct"/>
            <w:tcMar>
              <w:top w:w="15" w:type="dxa"/>
              <w:left w:w="15" w:type="dxa"/>
              <w:bottom w:w="15" w:type="dxa"/>
              <w:right w:w="15" w:type="dxa"/>
            </w:tcMar>
            <w:vAlign w:val="center"/>
          </w:tcPr>
          <w:p w14:paraId="2EE3E025">
            <w:pPr>
              <w:ind w:firstLine="420"/>
              <w:rPr>
                <w:rFonts w:hint="eastAsia" w:ascii="宋体" w:hAnsi="宋体" w:eastAsia="宋体" w:cs="宋体"/>
                <w:sz w:val="21"/>
                <w:highlight w:val="none"/>
              </w:rPr>
            </w:pPr>
            <w:r>
              <w:rPr>
                <w:rFonts w:hint="eastAsia" w:ascii="宋体" w:hAnsi="宋体" w:eastAsia="宋体" w:cs="宋体"/>
                <w:sz w:val="21"/>
                <w:highlight w:val="none"/>
              </w:rPr>
              <w:t>starttime</w:t>
            </w:r>
          </w:p>
        </w:tc>
        <w:tc>
          <w:tcPr>
            <w:tcW w:w="958" w:type="pct"/>
            <w:tcMar>
              <w:top w:w="15" w:type="dxa"/>
              <w:left w:w="15" w:type="dxa"/>
              <w:bottom w:w="15" w:type="dxa"/>
              <w:right w:w="15" w:type="dxa"/>
            </w:tcMar>
            <w:vAlign w:val="center"/>
          </w:tcPr>
          <w:p w14:paraId="771AB53E">
            <w:pPr>
              <w:ind w:firstLine="420"/>
              <w:rPr>
                <w:rFonts w:hint="eastAsia" w:ascii="宋体" w:hAnsi="宋体" w:eastAsia="宋体" w:cs="宋体"/>
                <w:sz w:val="21"/>
                <w:highlight w:val="none"/>
              </w:rPr>
            </w:pPr>
            <w:r>
              <w:rPr>
                <w:rFonts w:hint="eastAsia" w:ascii="宋体" w:hAnsi="宋体" w:eastAsia="宋体" w:cs="宋体"/>
                <w:sz w:val="21"/>
                <w:highlight w:val="none"/>
              </w:rPr>
              <w:t>timestamp</w:t>
            </w:r>
          </w:p>
        </w:tc>
        <w:tc>
          <w:tcPr>
            <w:tcW w:w="753" w:type="pct"/>
            <w:tcMar>
              <w:top w:w="15" w:type="dxa"/>
              <w:left w:w="15" w:type="dxa"/>
              <w:bottom w:w="15" w:type="dxa"/>
              <w:right w:w="15" w:type="dxa"/>
            </w:tcMar>
            <w:vAlign w:val="center"/>
          </w:tcPr>
          <w:p w14:paraId="56A80881">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754" w:type="pct"/>
            <w:tcMar>
              <w:top w:w="15" w:type="dxa"/>
              <w:left w:w="15" w:type="dxa"/>
              <w:bottom w:w="15" w:type="dxa"/>
              <w:right w:w="15" w:type="dxa"/>
            </w:tcMar>
            <w:vAlign w:val="center"/>
          </w:tcPr>
          <w:p w14:paraId="075B15CF">
            <w:pPr>
              <w:ind w:firstLine="420"/>
              <w:rPr>
                <w:rFonts w:hint="eastAsia" w:ascii="宋体" w:hAnsi="宋体" w:eastAsia="宋体" w:cs="宋体"/>
                <w:sz w:val="21"/>
                <w:highlight w:val="none"/>
              </w:rPr>
            </w:pPr>
          </w:p>
        </w:tc>
        <w:tc>
          <w:tcPr>
            <w:tcW w:w="1164" w:type="pct"/>
            <w:tcMar>
              <w:top w:w="15" w:type="dxa"/>
              <w:left w:w="15" w:type="dxa"/>
              <w:bottom w:w="15" w:type="dxa"/>
              <w:right w:w="15" w:type="dxa"/>
            </w:tcMar>
            <w:vAlign w:val="center"/>
          </w:tcPr>
          <w:p w14:paraId="4C604A9D">
            <w:pPr>
              <w:ind w:firstLine="420"/>
              <w:rPr>
                <w:rFonts w:hint="eastAsia" w:ascii="宋体" w:hAnsi="宋体" w:eastAsia="宋体" w:cs="宋体"/>
                <w:sz w:val="21"/>
                <w:highlight w:val="none"/>
              </w:rPr>
            </w:pPr>
            <w:r>
              <w:rPr>
                <w:rFonts w:hint="eastAsia" w:ascii="宋体" w:hAnsi="宋体" w:eastAsia="宋体" w:cs="宋体"/>
                <w:sz w:val="21"/>
                <w:highlight w:val="none"/>
              </w:rPr>
              <w:t>开始时间</w:t>
            </w:r>
          </w:p>
        </w:tc>
      </w:tr>
      <w:tr w14:paraId="75B52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pct"/>
            <w:tcMar>
              <w:top w:w="15" w:type="dxa"/>
              <w:left w:w="15" w:type="dxa"/>
              <w:bottom w:w="15" w:type="dxa"/>
              <w:right w:w="15" w:type="dxa"/>
            </w:tcMar>
            <w:vAlign w:val="center"/>
          </w:tcPr>
          <w:p w14:paraId="23798AAF">
            <w:pPr>
              <w:ind w:firstLine="420"/>
              <w:rPr>
                <w:rFonts w:hint="eastAsia" w:ascii="宋体" w:hAnsi="宋体" w:eastAsia="宋体" w:cs="宋体"/>
                <w:sz w:val="21"/>
                <w:highlight w:val="none"/>
              </w:rPr>
            </w:pPr>
            <w:r>
              <w:rPr>
                <w:rFonts w:hint="eastAsia" w:ascii="宋体" w:hAnsi="宋体" w:eastAsia="宋体" w:cs="宋体"/>
                <w:sz w:val="21"/>
                <w:highlight w:val="none"/>
              </w:rPr>
              <w:t>endtime</w:t>
            </w:r>
          </w:p>
        </w:tc>
        <w:tc>
          <w:tcPr>
            <w:tcW w:w="958" w:type="pct"/>
            <w:tcMar>
              <w:top w:w="15" w:type="dxa"/>
              <w:left w:w="15" w:type="dxa"/>
              <w:bottom w:w="15" w:type="dxa"/>
              <w:right w:w="15" w:type="dxa"/>
            </w:tcMar>
            <w:vAlign w:val="center"/>
          </w:tcPr>
          <w:p w14:paraId="08CA2B3A">
            <w:pPr>
              <w:ind w:firstLine="420"/>
              <w:rPr>
                <w:rFonts w:hint="eastAsia" w:ascii="宋体" w:hAnsi="宋体" w:eastAsia="宋体" w:cs="宋体"/>
                <w:sz w:val="21"/>
                <w:highlight w:val="none"/>
              </w:rPr>
            </w:pPr>
            <w:r>
              <w:rPr>
                <w:rFonts w:hint="eastAsia" w:ascii="宋体" w:hAnsi="宋体" w:eastAsia="宋体" w:cs="宋体"/>
                <w:sz w:val="21"/>
                <w:highlight w:val="none"/>
              </w:rPr>
              <w:t>timestamp</w:t>
            </w:r>
          </w:p>
        </w:tc>
        <w:tc>
          <w:tcPr>
            <w:tcW w:w="753" w:type="pct"/>
            <w:tcMar>
              <w:top w:w="15" w:type="dxa"/>
              <w:left w:w="15" w:type="dxa"/>
              <w:bottom w:w="15" w:type="dxa"/>
              <w:right w:w="15" w:type="dxa"/>
            </w:tcMar>
            <w:vAlign w:val="center"/>
          </w:tcPr>
          <w:p w14:paraId="4EE906C4">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754" w:type="pct"/>
            <w:tcMar>
              <w:top w:w="15" w:type="dxa"/>
              <w:left w:w="15" w:type="dxa"/>
              <w:bottom w:w="15" w:type="dxa"/>
              <w:right w:w="15" w:type="dxa"/>
            </w:tcMar>
            <w:vAlign w:val="center"/>
          </w:tcPr>
          <w:p w14:paraId="5CB57DF8">
            <w:pPr>
              <w:ind w:firstLine="420"/>
              <w:rPr>
                <w:rFonts w:hint="eastAsia" w:ascii="宋体" w:hAnsi="宋体" w:eastAsia="宋体" w:cs="宋体"/>
                <w:sz w:val="21"/>
                <w:highlight w:val="none"/>
              </w:rPr>
            </w:pPr>
          </w:p>
        </w:tc>
        <w:tc>
          <w:tcPr>
            <w:tcW w:w="1164" w:type="pct"/>
            <w:tcMar>
              <w:top w:w="15" w:type="dxa"/>
              <w:left w:w="15" w:type="dxa"/>
              <w:bottom w:w="15" w:type="dxa"/>
              <w:right w:w="15" w:type="dxa"/>
            </w:tcMar>
            <w:vAlign w:val="center"/>
          </w:tcPr>
          <w:p w14:paraId="39AE7B18">
            <w:pPr>
              <w:ind w:firstLine="420"/>
              <w:rPr>
                <w:rFonts w:hint="eastAsia" w:ascii="宋体" w:hAnsi="宋体" w:eastAsia="宋体" w:cs="宋体"/>
                <w:sz w:val="21"/>
                <w:highlight w:val="none"/>
              </w:rPr>
            </w:pPr>
            <w:r>
              <w:rPr>
                <w:rFonts w:hint="eastAsia" w:ascii="宋体" w:hAnsi="宋体" w:eastAsia="宋体" w:cs="宋体"/>
                <w:sz w:val="21"/>
                <w:highlight w:val="none"/>
              </w:rPr>
              <w:t>结束时间</w:t>
            </w:r>
          </w:p>
        </w:tc>
      </w:tr>
      <w:tr w14:paraId="1F313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pct"/>
            <w:tcMar>
              <w:top w:w="15" w:type="dxa"/>
              <w:left w:w="15" w:type="dxa"/>
              <w:bottom w:w="15" w:type="dxa"/>
              <w:right w:w="15" w:type="dxa"/>
            </w:tcMar>
            <w:vAlign w:val="center"/>
          </w:tcPr>
          <w:p w14:paraId="4181B4DD">
            <w:pPr>
              <w:ind w:firstLine="420"/>
              <w:rPr>
                <w:rFonts w:hint="eastAsia" w:ascii="宋体" w:hAnsi="宋体" w:eastAsia="宋体" w:cs="宋体"/>
                <w:sz w:val="21"/>
                <w:highlight w:val="none"/>
              </w:rPr>
            </w:pPr>
            <w:r>
              <w:rPr>
                <w:rFonts w:hint="eastAsia" w:ascii="宋体" w:hAnsi="宋体" w:eastAsia="宋体" w:cs="宋体"/>
                <w:sz w:val="21"/>
                <w:highlight w:val="none"/>
              </w:rPr>
              <w:t>runningtimestamp</w:t>
            </w:r>
          </w:p>
        </w:tc>
        <w:tc>
          <w:tcPr>
            <w:tcW w:w="958" w:type="pct"/>
            <w:tcMar>
              <w:top w:w="15" w:type="dxa"/>
              <w:left w:w="15" w:type="dxa"/>
              <w:bottom w:w="15" w:type="dxa"/>
              <w:right w:w="15" w:type="dxa"/>
            </w:tcMar>
            <w:vAlign w:val="center"/>
          </w:tcPr>
          <w:p w14:paraId="28044ABE">
            <w:pPr>
              <w:ind w:firstLine="420"/>
              <w:rPr>
                <w:rFonts w:hint="eastAsia" w:ascii="宋体" w:hAnsi="宋体" w:eastAsia="宋体" w:cs="宋体"/>
                <w:sz w:val="21"/>
                <w:highlight w:val="none"/>
              </w:rPr>
            </w:pPr>
            <w:r>
              <w:rPr>
                <w:rFonts w:hint="eastAsia" w:ascii="宋体" w:hAnsi="宋体" w:eastAsia="宋体" w:cs="宋体"/>
                <w:sz w:val="21"/>
                <w:highlight w:val="none"/>
              </w:rPr>
              <w:t>bigint</w:t>
            </w:r>
          </w:p>
        </w:tc>
        <w:tc>
          <w:tcPr>
            <w:tcW w:w="753" w:type="pct"/>
            <w:tcMar>
              <w:top w:w="15" w:type="dxa"/>
              <w:left w:w="15" w:type="dxa"/>
              <w:bottom w:w="15" w:type="dxa"/>
              <w:right w:w="15" w:type="dxa"/>
            </w:tcMar>
            <w:vAlign w:val="center"/>
          </w:tcPr>
          <w:p w14:paraId="47B4274D">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754" w:type="pct"/>
            <w:tcMar>
              <w:top w:w="15" w:type="dxa"/>
              <w:left w:w="15" w:type="dxa"/>
              <w:bottom w:w="15" w:type="dxa"/>
              <w:right w:w="15" w:type="dxa"/>
            </w:tcMar>
            <w:vAlign w:val="center"/>
          </w:tcPr>
          <w:p w14:paraId="65548B5D">
            <w:pPr>
              <w:ind w:firstLine="420"/>
              <w:rPr>
                <w:rFonts w:hint="eastAsia" w:ascii="宋体" w:hAnsi="宋体" w:eastAsia="宋体" w:cs="宋体"/>
                <w:sz w:val="21"/>
                <w:highlight w:val="none"/>
              </w:rPr>
            </w:pPr>
          </w:p>
        </w:tc>
        <w:tc>
          <w:tcPr>
            <w:tcW w:w="1164" w:type="pct"/>
            <w:tcMar>
              <w:top w:w="15" w:type="dxa"/>
              <w:left w:w="15" w:type="dxa"/>
              <w:bottom w:w="15" w:type="dxa"/>
              <w:right w:w="15" w:type="dxa"/>
            </w:tcMar>
            <w:vAlign w:val="center"/>
          </w:tcPr>
          <w:p w14:paraId="7773592E">
            <w:pPr>
              <w:ind w:firstLine="420"/>
              <w:rPr>
                <w:rFonts w:hint="eastAsia" w:ascii="宋体" w:hAnsi="宋体" w:eastAsia="宋体" w:cs="宋体"/>
                <w:sz w:val="21"/>
                <w:highlight w:val="none"/>
              </w:rPr>
            </w:pPr>
            <w:r>
              <w:rPr>
                <w:rFonts w:hint="eastAsia" w:ascii="宋体" w:hAnsi="宋体" w:eastAsia="宋体" w:cs="宋体"/>
                <w:sz w:val="21"/>
                <w:highlight w:val="none"/>
              </w:rPr>
              <w:t>运行的时间戳</w:t>
            </w:r>
          </w:p>
        </w:tc>
      </w:tr>
      <w:tr w14:paraId="2D03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9" w:type="pct"/>
            <w:tcMar>
              <w:top w:w="15" w:type="dxa"/>
              <w:left w:w="15" w:type="dxa"/>
              <w:bottom w:w="15" w:type="dxa"/>
              <w:right w:w="15" w:type="dxa"/>
            </w:tcMar>
            <w:vAlign w:val="center"/>
          </w:tcPr>
          <w:p w14:paraId="3E201C69">
            <w:pPr>
              <w:ind w:firstLine="420"/>
              <w:rPr>
                <w:rFonts w:hint="eastAsia" w:ascii="宋体" w:hAnsi="宋体" w:eastAsia="宋体" w:cs="宋体"/>
                <w:sz w:val="21"/>
                <w:highlight w:val="none"/>
              </w:rPr>
            </w:pPr>
            <w:r>
              <w:rPr>
                <w:rFonts w:hint="eastAsia" w:ascii="宋体" w:hAnsi="宋体" w:eastAsia="宋体" w:cs="宋体"/>
                <w:sz w:val="21"/>
                <w:highlight w:val="none"/>
              </w:rPr>
              <w:t>runningtime</w:t>
            </w:r>
          </w:p>
        </w:tc>
        <w:tc>
          <w:tcPr>
            <w:tcW w:w="958" w:type="pct"/>
            <w:tcMar>
              <w:top w:w="15" w:type="dxa"/>
              <w:left w:w="15" w:type="dxa"/>
              <w:bottom w:w="15" w:type="dxa"/>
              <w:right w:w="15" w:type="dxa"/>
            </w:tcMar>
            <w:vAlign w:val="center"/>
          </w:tcPr>
          <w:p w14:paraId="70EEC368">
            <w:pPr>
              <w:ind w:firstLine="420"/>
              <w:rPr>
                <w:rFonts w:hint="eastAsia" w:ascii="宋体" w:hAnsi="宋体" w:eastAsia="宋体" w:cs="宋体"/>
                <w:sz w:val="21"/>
                <w:highlight w:val="none"/>
              </w:rPr>
            </w:pPr>
            <w:r>
              <w:rPr>
                <w:rFonts w:hint="eastAsia" w:ascii="宋体" w:hAnsi="宋体" w:eastAsia="宋体" w:cs="宋体"/>
                <w:sz w:val="21"/>
                <w:highlight w:val="none"/>
              </w:rPr>
              <w:t>varchar(50)</w:t>
            </w:r>
          </w:p>
        </w:tc>
        <w:tc>
          <w:tcPr>
            <w:tcW w:w="753" w:type="pct"/>
            <w:tcMar>
              <w:top w:w="15" w:type="dxa"/>
              <w:left w:w="15" w:type="dxa"/>
              <w:bottom w:w="15" w:type="dxa"/>
              <w:right w:w="15" w:type="dxa"/>
            </w:tcMar>
            <w:vAlign w:val="center"/>
          </w:tcPr>
          <w:p w14:paraId="12CB4FC4">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754" w:type="pct"/>
            <w:tcMar>
              <w:top w:w="15" w:type="dxa"/>
              <w:left w:w="15" w:type="dxa"/>
              <w:bottom w:w="15" w:type="dxa"/>
              <w:right w:w="15" w:type="dxa"/>
            </w:tcMar>
            <w:vAlign w:val="center"/>
          </w:tcPr>
          <w:p w14:paraId="1CBFC3BC">
            <w:pPr>
              <w:ind w:firstLine="420"/>
              <w:rPr>
                <w:rFonts w:hint="eastAsia" w:ascii="宋体" w:hAnsi="宋体" w:eastAsia="宋体" w:cs="宋体"/>
                <w:sz w:val="21"/>
                <w:highlight w:val="none"/>
              </w:rPr>
            </w:pPr>
          </w:p>
        </w:tc>
        <w:tc>
          <w:tcPr>
            <w:tcW w:w="1164" w:type="pct"/>
            <w:tcMar>
              <w:top w:w="15" w:type="dxa"/>
              <w:left w:w="15" w:type="dxa"/>
              <w:bottom w:w="15" w:type="dxa"/>
              <w:right w:w="15" w:type="dxa"/>
            </w:tcMar>
            <w:vAlign w:val="center"/>
          </w:tcPr>
          <w:p w14:paraId="03C4B940">
            <w:pPr>
              <w:ind w:firstLine="420"/>
              <w:rPr>
                <w:rFonts w:hint="eastAsia" w:ascii="宋体" w:hAnsi="宋体" w:eastAsia="宋体" w:cs="宋体"/>
                <w:sz w:val="21"/>
                <w:highlight w:val="none"/>
              </w:rPr>
            </w:pPr>
            <w:r>
              <w:rPr>
                <w:rFonts w:hint="eastAsia" w:ascii="宋体" w:hAnsi="宋体" w:eastAsia="宋体" w:cs="宋体"/>
                <w:sz w:val="21"/>
                <w:highlight w:val="none"/>
              </w:rPr>
              <w:t>运行的时间字符串</w:t>
            </w:r>
          </w:p>
        </w:tc>
      </w:tr>
    </w:tbl>
    <w:p w14:paraId="7905E2B9">
      <w:pPr>
        <w:pStyle w:val="64"/>
        <w:ind w:firstLine="0" w:firstLineChars="0"/>
        <w:rPr>
          <w:rFonts w:hint="eastAsia" w:ascii="宋体" w:hAnsi="宋体" w:eastAsia="宋体" w:cs="宋体"/>
          <w:highlight w:val="none"/>
        </w:rPr>
      </w:pPr>
    </w:p>
    <w:p w14:paraId="71D7D428">
      <w:pPr>
        <w:pStyle w:val="6"/>
        <w:keepNext/>
        <w:keepLines/>
        <w:pageBreakBefore w:val="0"/>
        <w:widowControl w:val="0"/>
        <w:kinsoku/>
        <w:wordWrap/>
        <w:overflowPunct/>
        <w:topLinePunct w:val="0"/>
        <w:autoSpaceDE/>
        <w:autoSpaceDN/>
        <w:bidi w:val="0"/>
        <w:adjustRightInd/>
        <w:snapToGrid/>
        <w:spacing w:line="400" w:lineRule="exact"/>
        <w:ind w:left="422" w:hanging="422" w:hangingChars="200"/>
        <w:textAlignment w:val="auto"/>
        <w:rPr>
          <w:rFonts w:hint="eastAsia"/>
          <w:highlight w:val="none"/>
        </w:rPr>
      </w:pPr>
      <w:r>
        <w:rPr>
          <w:rFonts w:hint="eastAsia"/>
          <w:highlight w:val="none"/>
        </w:rPr>
        <w:t>车辆时间告警表</w:t>
      </w:r>
    </w:p>
    <w:p w14:paraId="7FF2F398">
      <w:pPr>
        <w:pStyle w:val="65"/>
        <w:rPr>
          <w:rFonts w:hint="eastAsia" w:ascii="宋体" w:hAnsi="宋体" w:eastAsia="宋体" w:cs="宋体"/>
          <w:highlight w:val="none"/>
        </w:rPr>
      </w:pPr>
      <w:r>
        <w:rPr>
          <w:rFonts w:hint="eastAsia" w:ascii="宋体" w:hAnsi="宋体" w:eastAsia="宋体" w:cs="宋体"/>
          <w:highlight w:val="none"/>
        </w:rPr>
        <w:t>车辆时间告警表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1"/>
        <w:gridCol w:w="1677"/>
        <w:gridCol w:w="1495"/>
        <w:gridCol w:w="1247"/>
        <w:gridCol w:w="2368"/>
      </w:tblGrid>
      <w:tr w14:paraId="091A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70" w:type="pct"/>
            <w:shd w:val="clear" w:color="auto" w:fill="auto"/>
            <w:tcMar>
              <w:top w:w="15" w:type="dxa"/>
              <w:left w:w="15" w:type="dxa"/>
              <w:bottom w:w="15" w:type="dxa"/>
              <w:right w:w="15" w:type="dxa"/>
            </w:tcMar>
            <w:vAlign w:val="center"/>
          </w:tcPr>
          <w:p w14:paraId="2678122B">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字段</w:t>
            </w:r>
          </w:p>
        </w:tc>
        <w:tc>
          <w:tcPr>
            <w:tcW w:w="921" w:type="pct"/>
            <w:shd w:val="clear" w:color="auto" w:fill="auto"/>
            <w:tcMar>
              <w:top w:w="15" w:type="dxa"/>
              <w:left w:w="15" w:type="dxa"/>
              <w:bottom w:w="15" w:type="dxa"/>
              <w:right w:w="15" w:type="dxa"/>
            </w:tcMar>
            <w:vAlign w:val="center"/>
          </w:tcPr>
          <w:p w14:paraId="675DD083">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类型</w:t>
            </w:r>
          </w:p>
        </w:tc>
        <w:tc>
          <w:tcPr>
            <w:tcW w:w="821" w:type="pct"/>
            <w:shd w:val="clear" w:color="auto" w:fill="auto"/>
            <w:tcMar>
              <w:top w:w="15" w:type="dxa"/>
              <w:left w:w="15" w:type="dxa"/>
              <w:bottom w:w="15" w:type="dxa"/>
              <w:right w:w="15" w:type="dxa"/>
            </w:tcMar>
            <w:vAlign w:val="center"/>
          </w:tcPr>
          <w:p w14:paraId="15152A14">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允许空</w:t>
            </w:r>
          </w:p>
        </w:tc>
        <w:tc>
          <w:tcPr>
            <w:tcW w:w="685" w:type="pct"/>
            <w:shd w:val="clear" w:color="auto" w:fill="auto"/>
            <w:tcMar>
              <w:top w:w="15" w:type="dxa"/>
              <w:left w:w="15" w:type="dxa"/>
              <w:bottom w:w="15" w:type="dxa"/>
              <w:right w:w="15" w:type="dxa"/>
            </w:tcMar>
            <w:vAlign w:val="center"/>
          </w:tcPr>
          <w:p w14:paraId="67FBF7BD">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默认</w:t>
            </w:r>
          </w:p>
        </w:tc>
        <w:tc>
          <w:tcPr>
            <w:tcW w:w="1301" w:type="pct"/>
            <w:shd w:val="clear" w:color="auto" w:fill="auto"/>
            <w:tcMar>
              <w:top w:w="15" w:type="dxa"/>
              <w:left w:w="15" w:type="dxa"/>
              <w:bottom w:w="15" w:type="dxa"/>
              <w:right w:w="15" w:type="dxa"/>
            </w:tcMar>
            <w:vAlign w:val="center"/>
          </w:tcPr>
          <w:p w14:paraId="485BE986">
            <w:pPr>
              <w:ind w:firstLine="422"/>
              <w:rPr>
                <w:rFonts w:hint="eastAsia" w:ascii="宋体" w:hAnsi="宋体" w:eastAsia="宋体" w:cs="宋体"/>
                <w:b/>
                <w:bCs/>
                <w:sz w:val="21"/>
                <w:highlight w:val="none"/>
              </w:rPr>
            </w:pPr>
            <w:r>
              <w:rPr>
                <w:rFonts w:hint="eastAsia" w:ascii="宋体" w:hAnsi="宋体" w:eastAsia="宋体" w:cs="宋体"/>
                <w:b/>
                <w:bCs/>
                <w:sz w:val="21"/>
                <w:highlight w:val="none"/>
              </w:rPr>
              <w:t>注释</w:t>
            </w:r>
          </w:p>
        </w:tc>
      </w:tr>
      <w:tr w14:paraId="5091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tcMar>
              <w:top w:w="15" w:type="dxa"/>
              <w:left w:w="15" w:type="dxa"/>
              <w:bottom w:w="15" w:type="dxa"/>
              <w:right w:w="15" w:type="dxa"/>
            </w:tcMar>
            <w:vAlign w:val="center"/>
          </w:tcPr>
          <w:p w14:paraId="59D3FB6C">
            <w:pPr>
              <w:ind w:firstLine="420"/>
              <w:rPr>
                <w:rFonts w:hint="eastAsia" w:ascii="宋体" w:hAnsi="宋体" w:eastAsia="宋体" w:cs="宋体"/>
                <w:sz w:val="21"/>
                <w:highlight w:val="none"/>
              </w:rPr>
            </w:pPr>
            <w:r>
              <w:rPr>
                <w:rFonts w:hint="eastAsia" w:ascii="宋体" w:hAnsi="宋体" w:eastAsia="宋体" w:cs="宋体"/>
                <w:sz w:val="21"/>
                <w:highlight w:val="none"/>
              </w:rPr>
              <w:t>id</w:t>
            </w:r>
          </w:p>
        </w:tc>
        <w:tc>
          <w:tcPr>
            <w:tcW w:w="921" w:type="pct"/>
            <w:tcMar>
              <w:top w:w="15" w:type="dxa"/>
              <w:left w:w="15" w:type="dxa"/>
              <w:bottom w:w="15" w:type="dxa"/>
              <w:right w:w="15" w:type="dxa"/>
            </w:tcMar>
            <w:vAlign w:val="center"/>
          </w:tcPr>
          <w:p w14:paraId="34613693">
            <w:pPr>
              <w:ind w:firstLine="420"/>
              <w:rPr>
                <w:rFonts w:hint="eastAsia" w:ascii="宋体" w:hAnsi="宋体" w:eastAsia="宋体" w:cs="宋体"/>
                <w:sz w:val="21"/>
                <w:highlight w:val="none"/>
              </w:rPr>
            </w:pPr>
            <w:r>
              <w:rPr>
                <w:rFonts w:hint="eastAsia" w:ascii="宋体" w:hAnsi="宋体" w:eastAsia="宋体" w:cs="宋体"/>
                <w:sz w:val="21"/>
                <w:highlight w:val="none"/>
              </w:rPr>
              <w:t>int</w:t>
            </w:r>
          </w:p>
        </w:tc>
        <w:tc>
          <w:tcPr>
            <w:tcW w:w="821" w:type="pct"/>
            <w:tcMar>
              <w:top w:w="15" w:type="dxa"/>
              <w:left w:w="15" w:type="dxa"/>
              <w:bottom w:w="15" w:type="dxa"/>
              <w:right w:w="15" w:type="dxa"/>
            </w:tcMar>
            <w:vAlign w:val="center"/>
          </w:tcPr>
          <w:p w14:paraId="1077852A">
            <w:pPr>
              <w:ind w:firstLine="420"/>
              <w:rPr>
                <w:rFonts w:hint="eastAsia" w:ascii="宋体" w:hAnsi="宋体" w:eastAsia="宋体" w:cs="宋体"/>
                <w:sz w:val="21"/>
                <w:highlight w:val="none"/>
              </w:rPr>
            </w:pPr>
            <w:r>
              <w:rPr>
                <w:rFonts w:hint="eastAsia" w:ascii="宋体" w:hAnsi="宋体" w:eastAsia="宋体" w:cs="宋体"/>
                <w:sz w:val="21"/>
                <w:highlight w:val="none"/>
              </w:rPr>
              <w:t>NO</w:t>
            </w:r>
          </w:p>
        </w:tc>
        <w:tc>
          <w:tcPr>
            <w:tcW w:w="685" w:type="pct"/>
            <w:tcMar>
              <w:top w:w="15" w:type="dxa"/>
              <w:left w:w="15" w:type="dxa"/>
              <w:bottom w:w="15" w:type="dxa"/>
              <w:right w:w="15" w:type="dxa"/>
            </w:tcMar>
            <w:vAlign w:val="center"/>
          </w:tcPr>
          <w:p w14:paraId="543C54FA">
            <w:pPr>
              <w:ind w:firstLine="420"/>
              <w:rPr>
                <w:rFonts w:hint="eastAsia" w:ascii="宋体" w:hAnsi="宋体" w:eastAsia="宋体" w:cs="宋体"/>
                <w:sz w:val="21"/>
                <w:highlight w:val="none"/>
              </w:rPr>
            </w:pPr>
          </w:p>
        </w:tc>
        <w:tc>
          <w:tcPr>
            <w:tcW w:w="1301" w:type="pct"/>
            <w:tcMar>
              <w:top w:w="15" w:type="dxa"/>
              <w:left w:w="15" w:type="dxa"/>
              <w:bottom w:w="15" w:type="dxa"/>
              <w:right w:w="15" w:type="dxa"/>
            </w:tcMar>
            <w:vAlign w:val="center"/>
          </w:tcPr>
          <w:p w14:paraId="2994E7EB">
            <w:pPr>
              <w:ind w:firstLine="420"/>
              <w:rPr>
                <w:rFonts w:hint="eastAsia" w:ascii="宋体" w:hAnsi="宋体" w:eastAsia="宋体" w:cs="宋体"/>
                <w:sz w:val="21"/>
                <w:highlight w:val="none"/>
              </w:rPr>
            </w:pPr>
            <w:r>
              <w:rPr>
                <w:rFonts w:hint="eastAsia" w:ascii="宋体" w:hAnsi="宋体" w:eastAsia="宋体" w:cs="宋体"/>
                <w:sz w:val="21"/>
                <w:highlight w:val="none"/>
              </w:rPr>
              <w:t>事件id，自增</w:t>
            </w:r>
          </w:p>
        </w:tc>
      </w:tr>
      <w:tr w14:paraId="71025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tcMar>
              <w:top w:w="15" w:type="dxa"/>
              <w:left w:w="15" w:type="dxa"/>
              <w:bottom w:w="15" w:type="dxa"/>
              <w:right w:w="15" w:type="dxa"/>
            </w:tcMar>
            <w:vAlign w:val="center"/>
          </w:tcPr>
          <w:p w14:paraId="08779878">
            <w:pPr>
              <w:ind w:firstLine="420"/>
              <w:rPr>
                <w:rFonts w:hint="eastAsia" w:ascii="宋体" w:hAnsi="宋体" w:eastAsia="宋体" w:cs="宋体"/>
                <w:sz w:val="21"/>
                <w:highlight w:val="none"/>
              </w:rPr>
            </w:pPr>
            <w:r>
              <w:rPr>
                <w:rFonts w:hint="eastAsia" w:ascii="宋体" w:hAnsi="宋体" w:eastAsia="宋体" w:cs="宋体"/>
                <w:sz w:val="21"/>
                <w:highlight w:val="none"/>
              </w:rPr>
              <w:t>type</w:t>
            </w:r>
          </w:p>
        </w:tc>
        <w:tc>
          <w:tcPr>
            <w:tcW w:w="921" w:type="pct"/>
            <w:tcMar>
              <w:top w:w="15" w:type="dxa"/>
              <w:left w:w="15" w:type="dxa"/>
              <w:bottom w:w="15" w:type="dxa"/>
              <w:right w:w="15" w:type="dxa"/>
            </w:tcMar>
            <w:vAlign w:val="center"/>
          </w:tcPr>
          <w:p w14:paraId="6F20EF02">
            <w:pPr>
              <w:ind w:firstLine="420"/>
              <w:rPr>
                <w:rFonts w:hint="eastAsia" w:ascii="宋体" w:hAnsi="宋体" w:eastAsia="宋体" w:cs="宋体"/>
                <w:sz w:val="21"/>
                <w:highlight w:val="none"/>
              </w:rPr>
            </w:pPr>
            <w:r>
              <w:rPr>
                <w:rFonts w:hint="eastAsia" w:ascii="宋体" w:hAnsi="宋体" w:eastAsia="宋体" w:cs="宋体"/>
                <w:sz w:val="21"/>
                <w:highlight w:val="none"/>
              </w:rPr>
              <w:t>int</w:t>
            </w:r>
          </w:p>
        </w:tc>
        <w:tc>
          <w:tcPr>
            <w:tcW w:w="821" w:type="pct"/>
            <w:tcMar>
              <w:top w:w="15" w:type="dxa"/>
              <w:left w:w="15" w:type="dxa"/>
              <w:bottom w:w="15" w:type="dxa"/>
              <w:right w:w="15" w:type="dxa"/>
            </w:tcMar>
            <w:vAlign w:val="center"/>
          </w:tcPr>
          <w:p w14:paraId="5D7E2180">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685" w:type="pct"/>
            <w:tcMar>
              <w:top w:w="15" w:type="dxa"/>
              <w:left w:w="15" w:type="dxa"/>
              <w:bottom w:w="15" w:type="dxa"/>
              <w:right w:w="15" w:type="dxa"/>
            </w:tcMar>
            <w:vAlign w:val="center"/>
          </w:tcPr>
          <w:p w14:paraId="4AD81C6B">
            <w:pPr>
              <w:ind w:firstLine="420"/>
              <w:rPr>
                <w:rFonts w:hint="eastAsia" w:ascii="宋体" w:hAnsi="宋体" w:eastAsia="宋体" w:cs="宋体"/>
                <w:sz w:val="21"/>
                <w:highlight w:val="none"/>
              </w:rPr>
            </w:pPr>
          </w:p>
        </w:tc>
        <w:tc>
          <w:tcPr>
            <w:tcW w:w="1301" w:type="pct"/>
            <w:tcMar>
              <w:top w:w="15" w:type="dxa"/>
              <w:left w:w="15" w:type="dxa"/>
              <w:bottom w:w="15" w:type="dxa"/>
              <w:right w:w="15" w:type="dxa"/>
            </w:tcMar>
            <w:vAlign w:val="center"/>
          </w:tcPr>
          <w:p w14:paraId="5FC70471">
            <w:pPr>
              <w:ind w:firstLine="420"/>
              <w:rPr>
                <w:rFonts w:hint="eastAsia" w:ascii="宋体" w:hAnsi="宋体" w:eastAsia="宋体" w:cs="宋体"/>
                <w:sz w:val="21"/>
                <w:highlight w:val="none"/>
              </w:rPr>
            </w:pPr>
            <w:r>
              <w:rPr>
                <w:rFonts w:hint="eastAsia" w:ascii="宋体" w:hAnsi="宋体" w:eastAsia="宋体" w:cs="宋体"/>
                <w:sz w:val="21"/>
                <w:highlight w:val="none"/>
              </w:rPr>
              <w:t>事件类型</w:t>
            </w:r>
          </w:p>
        </w:tc>
      </w:tr>
      <w:tr w14:paraId="36DBF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tcMar>
              <w:top w:w="15" w:type="dxa"/>
              <w:left w:w="15" w:type="dxa"/>
              <w:bottom w:w="15" w:type="dxa"/>
              <w:right w:w="15" w:type="dxa"/>
            </w:tcMar>
            <w:vAlign w:val="center"/>
          </w:tcPr>
          <w:p w14:paraId="0316CCC1">
            <w:pPr>
              <w:ind w:firstLine="420"/>
              <w:rPr>
                <w:rFonts w:hint="eastAsia" w:ascii="宋体" w:hAnsi="宋体" w:eastAsia="宋体" w:cs="宋体"/>
                <w:sz w:val="21"/>
                <w:highlight w:val="none"/>
              </w:rPr>
            </w:pPr>
            <w:r>
              <w:rPr>
                <w:rFonts w:hint="eastAsia" w:ascii="宋体" w:hAnsi="宋体" w:eastAsia="宋体" w:cs="宋体"/>
                <w:sz w:val="21"/>
                <w:highlight w:val="none"/>
              </w:rPr>
              <w:t>description</w:t>
            </w:r>
          </w:p>
        </w:tc>
        <w:tc>
          <w:tcPr>
            <w:tcW w:w="921" w:type="pct"/>
            <w:tcMar>
              <w:top w:w="15" w:type="dxa"/>
              <w:left w:w="15" w:type="dxa"/>
              <w:bottom w:w="15" w:type="dxa"/>
              <w:right w:w="15" w:type="dxa"/>
            </w:tcMar>
            <w:vAlign w:val="center"/>
          </w:tcPr>
          <w:p w14:paraId="1CB9C961">
            <w:pPr>
              <w:ind w:firstLine="420"/>
              <w:rPr>
                <w:rFonts w:hint="eastAsia" w:ascii="宋体" w:hAnsi="宋体" w:eastAsia="宋体" w:cs="宋体"/>
                <w:sz w:val="21"/>
                <w:highlight w:val="none"/>
              </w:rPr>
            </w:pPr>
            <w:r>
              <w:rPr>
                <w:rFonts w:hint="eastAsia" w:ascii="宋体" w:hAnsi="宋体" w:eastAsia="宋体" w:cs="宋体"/>
                <w:sz w:val="21"/>
                <w:highlight w:val="none"/>
              </w:rPr>
              <w:t>jsonb</w:t>
            </w:r>
          </w:p>
        </w:tc>
        <w:tc>
          <w:tcPr>
            <w:tcW w:w="821" w:type="pct"/>
            <w:tcMar>
              <w:top w:w="15" w:type="dxa"/>
              <w:left w:w="15" w:type="dxa"/>
              <w:bottom w:w="15" w:type="dxa"/>
              <w:right w:w="15" w:type="dxa"/>
            </w:tcMar>
            <w:vAlign w:val="center"/>
          </w:tcPr>
          <w:p w14:paraId="1E6F49BC">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685" w:type="pct"/>
            <w:tcMar>
              <w:top w:w="15" w:type="dxa"/>
              <w:left w:w="15" w:type="dxa"/>
              <w:bottom w:w="15" w:type="dxa"/>
              <w:right w:w="15" w:type="dxa"/>
            </w:tcMar>
            <w:vAlign w:val="center"/>
          </w:tcPr>
          <w:p w14:paraId="2E6C8452">
            <w:pPr>
              <w:ind w:firstLine="420"/>
              <w:rPr>
                <w:rFonts w:hint="eastAsia" w:ascii="宋体" w:hAnsi="宋体" w:eastAsia="宋体" w:cs="宋体"/>
                <w:sz w:val="21"/>
                <w:highlight w:val="none"/>
              </w:rPr>
            </w:pPr>
          </w:p>
        </w:tc>
        <w:tc>
          <w:tcPr>
            <w:tcW w:w="1301" w:type="pct"/>
            <w:tcMar>
              <w:top w:w="15" w:type="dxa"/>
              <w:left w:w="15" w:type="dxa"/>
              <w:bottom w:w="15" w:type="dxa"/>
              <w:right w:w="15" w:type="dxa"/>
            </w:tcMar>
            <w:vAlign w:val="center"/>
          </w:tcPr>
          <w:p w14:paraId="141CFB29">
            <w:pPr>
              <w:ind w:firstLine="420"/>
              <w:rPr>
                <w:rFonts w:hint="eastAsia" w:ascii="宋体" w:hAnsi="宋体" w:eastAsia="宋体" w:cs="宋体"/>
                <w:sz w:val="21"/>
                <w:highlight w:val="none"/>
              </w:rPr>
            </w:pPr>
            <w:r>
              <w:rPr>
                <w:rFonts w:hint="eastAsia" w:ascii="宋体" w:hAnsi="宋体" w:eastAsia="宋体" w:cs="宋体"/>
                <w:sz w:val="21"/>
                <w:highlight w:val="none"/>
              </w:rPr>
              <w:t>事件描述</w:t>
            </w:r>
          </w:p>
        </w:tc>
      </w:tr>
      <w:tr w14:paraId="28D91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tcMar>
              <w:top w:w="15" w:type="dxa"/>
              <w:left w:w="15" w:type="dxa"/>
              <w:bottom w:w="15" w:type="dxa"/>
              <w:right w:w="15" w:type="dxa"/>
            </w:tcMar>
            <w:vAlign w:val="center"/>
          </w:tcPr>
          <w:p w14:paraId="30B7C8D5">
            <w:pPr>
              <w:ind w:firstLine="420"/>
              <w:rPr>
                <w:rFonts w:hint="eastAsia" w:ascii="宋体" w:hAnsi="宋体" w:eastAsia="宋体" w:cs="宋体"/>
                <w:sz w:val="21"/>
                <w:highlight w:val="none"/>
              </w:rPr>
            </w:pPr>
            <w:r>
              <w:rPr>
                <w:rFonts w:hint="eastAsia" w:ascii="宋体" w:hAnsi="宋体" w:eastAsia="宋体" w:cs="宋体"/>
                <w:sz w:val="21"/>
                <w:highlight w:val="none"/>
              </w:rPr>
              <w:t>vehicleid</w:t>
            </w:r>
          </w:p>
        </w:tc>
        <w:tc>
          <w:tcPr>
            <w:tcW w:w="921" w:type="pct"/>
            <w:tcMar>
              <w:top w:w="15" w:type="dxa"/>
              <w:left w:w="15" w:type="dxa"/>
              <w:bottom w:w="15" w:type="dxa"/>
              <w:right w:w="15" w:type="dxa"/>
            </w:tcMar>
            <w:vAlign w:val="center"/>
          </w:tcPr>
          <w:p w14:paraId="15A06CB2">
            <w:pPr>
              <w:ind w:firstLine="420"/>
              <w:rPr>
                <w:rFonts w:hint="eastAsia" w:ascii="宋体" w:hAnsi="宋体" w:eastAsia="宋体" w:cs="宋体"/>
                <w:sz w:val="21"/>
                <w:highlight w:val="none"/>
              </w:rPr>
            </w:pPr>
            <w:r>
              <w:rPr>
                <w:rFonts w:hint="eastAsia" w:ascii="宋体" w:hAnsi="宋体" w:eastAsia="宋体" w:cs="宋体"/>
                <w:sz w:val="21"/>
                <w:highlight w:val="none"/>
              </w:rPr>
              <w:t>uuid</w:t>
            </w:r>
          </w:p>
        </w:tc>
        <w:tc>
          <w:tcPr>
            <w:tcW w:w="821" w:type="pct"/>
            <w:tcMar>
              <w:top w:w="15" w:type="dxa"/>
              <w:left w:w="15" w:type="dxa"/>
              <w:bottom w:w="15" w:type="dxa"/>
              <w:right w:w="15" w:type="dxa"/>
            </w:tcMar>
            <w:vAlign w:val="center"/>
          </w:tcPr>
          <w:p w14:paraId="4676AFEC">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685" w:type="pct"/>
            <w:tcMar>
              <w:top w:w="15" w:type="dxa"/>
              <w:left w:w="15" w:type="dxa"/>
              <w:bottom w:w="15" w:type="dxa"/>
              <w:right w:w="15" w:type="dxa"/>
            </w:tcMar>
            <w:vAlign w:val="center"/>
          </w:tcPr>
          <w:p w14:paraId="5247C09B">
            <w:pPr>
              <w:ind w:firstLine="420"/>
              <w:rPr>
                <w:rFonts w:hint="eastAsia" w:ascii="宋体" w:hAnsi="宋体" w:eastAsia="宋体" w:cs="宋体"/>
                <w:sz w:val="21"/>
                <w:highlight w:val="none"/>
              </w:rPr>
            </w:pPr>
          </w:p>
        </w:tc>
        <w:tc>
          <w:tcPr>
            <w:tcW w:w="1301" w:type="pct"/>
            <w:tcMar>
              <w:top w:w="15" w:type="dxa"/>
              <w:left w:w="15" w:type="dxa"/>
              <w:bottom w:w="15" w:type="dxa"/>
              <w:right w:w="15" w:type="dxa"/>
            </w:tcMar>
            <w:vAlign w:val="center"/>
          </w:tcPr>
          <w:p w14:paraId="25B4EC47">
            <w:pPr>
              <w:ind w:firstLine="420"/>
              <w:rPr>
                <w:rFonts w:hint="eastAsia" w:ascii="宋体" w:hAnsi="宋体" w:eastAsia="宋体" w:cs="宋体"/>
                <w:sz w:val="21"/>
                <w:highlight w:val="none"/>
              </w:rPr>
            </w:pPr>
            <w:r>
              <w:rPr>
                <w:rFonts w:hint="eastAsia" w:ascii="宋体" w:hAnsi="宋体" w:eastAsia="宋体" w:cs="宋体"/>
                <w:sz w:val="21"/>
                <w:highlight w:val="none"/>
              </w:rPr>
              <w:t>车辆id</w:t>
            </w:r>
          </w:p>
        </w:tc>
      </w:tr>
      <w:tr w14:paraId="51F4C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tcMar>
              <w:top w:w="15" w:type="dxa"/>
              <w:left w:w="15" w:type="dxa"/>
              <w:bottom w:w="15" w:type="dxa"/>
              <w:right w:w="15" w:type="dxa"/>
            </w:tcMar>
            <w:vAlign w:val="center"/>
          </w:tcPr>
          <w:p w14:paraId="2C5A5D81">
            <w:pPr>
              <w:ind w:firstLine="420"/>
              <w:rPr>
                <w:rFonts w:hint="eastAsia" w:ascii="宋体" w:hAnsi="宋体" w:eastAsia="宋体" w:cs="宋体"/>
                <w:sz w:val="21"/>
                <w:highlight w:val="none"/>
              </w:rPr>
            </w:pPr>
            <w:r>
              <w:rPr>
                <w:rFonts w:hint="eastAsia" w:ascii="宋体" w:hAnsi="宋体" w:eastAsia="宋体" w:cs="宋体"/>
                <w:sz w:val="21"/>
                <w:highlight w:val="none"/>
              </w:rPr>
              <w:t>intime</w:t>
            </w:r>
          </w:p>
        </w:tc>
        <w:tc>
          <w:tcPr>
            <w:tcW w:w="921" w:type="pct"/>
            <w:tcMar>
              <w:top w:w="15" w:type="dxa"/>
              <w:left w:w="15" w:type="dxa"/>
              <w:bottom w:w="15" w:type="dxa"/>
              <w:right w:w="15" w:type="dxa"/>
            </w:tcMar>
            <w:vAlign w:val="center"/>
          </w:tcPr>
          <w:p w14:paraId="21C1F1A3">
            <w:pPr>
              <w:ind w:firstLine="420"/>
              <w:rPr>
                <w:rFonts w:hint="eastAsia" w:ascii="宋体" w:hAnsi="宋体" w:eastAsia="宋体" w:cs="宋体"/>
                <w:sz w:val="21"/>
                <w:highlight w:val="none"/>
              </w:rPr>
            </w:pPr>
            <w:r>
              <w:rPr>
                <w:rFonts w:hint="eastAsia" w:ascii="宋体" w:hAnsi="宋体" w:eastAsia="宋体" w:cs="宋体"/>
                <w:sz w:val="21"/>
                <w:highlight w:val="none"/>
              </w:rPr>
              <w:t>bigint</w:t>
            </w:r>
          </w:p>
        </w:tc>
        <w:tc>
          <w:tcPr>
            <w:tcW w:w="821" w:type="pct"/>
            <w:tcMar>
              <w:top w:w="15" w:type="dxa"/>
              <w:left w:w="15" w:type="dxa"/>
              <w:bottom w:w="15" w:type="dxa"/>
              <w:right w:w="15" w:type="dxa"/>
            </w:tcMar>
            <w:vAlign w:val="center"/>
          </w:tcPr>
          <w:p w14:paraId="285FB08A">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685" w:type="pct"/>
            <w:tcMar>
              <w:top w:w="15" w:type="dxa"/>
              <w:left w:w="15" w:type="dxa"/>
              <w:bottom w:w="15" w:type="dxa"/>
              <w:right w:w="15" w:type="dxa"/>
            </w:tcMar>
            <w:vAlign w:val="center"/>
          </w:tcPr>
          <w:p w14:paraId="7A046C0E">
            <w:pPr>
              <w:ind w:firstLine="420"/>
              <w:rPr>
                <w:rFonts w:hint="eastAsia" w:ascii="宋体" w:hAnsi="宋体" w:eastAsia="宋体" w:cs="宋体"/>
                <w:sz w:val="21"/>
                <w:highlight w:val="none"/>
              </w:rPr>
            </w:pPr>
          </w:p>
        </w:tc>
        <w:tc>
          <w:tcPr>
            <w:tcW w:w="1301" w:type="pct"/>
            <w:tcMar>
              <w:top w:w="15" w:type="dxa"/>
              <w:left w:w="15" w:type="dxa"/>
              <w:bottom w:w="15" w:type="dxa"/>
              <w:right w:w="15" w:type="dxa"/>
            </w:tcMar>
            <w:vAlign w:val="center"/>
          </w:tcPr>
          <w:p w14:paraId="16B251B2">
            <w:pPr>
              <w:ind w:firstLine="420"/>
              <w:rPr>
                <w:rFonts w:hint="eastAsia" w:ascii="宋体" w:hAnsi="宋体" w:eastAsia="宋体" w:cs="宋体"/>
                <w:sz w:val="21"/>
                <w:highlight w:val="none"/>
              </w:rPr>
            </w:pPr>
            <w:r>
              <w:rPr>
                <w:rFonts w:hint="eastAsia" w:ascii="宋体" w:hAnsi="宋体" w:eastAsia="宋体" w:cs="宋体"/>
                <w:sz w:val="21"/>
                <w:highlight w:val="none"/>
              </w:rPr>
              <w:t>进入事件时间</w:t>
            </w:r>
          </w:p>
        </w:tc>
      </w:tr>
      <w:tr w14:paraId="260A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tcMar>
              <w:top w:w="15" w:type="dxa"/>
              <w:left w:w="15" w:type="dxa"/>
              <w:bottom w:w="15" w:type="dxa"/>
              <w:right w:w="15" w:type="dxa"/>
            </w:tcMar>
            <w:vAlign w:val="center"/>
          </w:tcPr>
          <w:p w14:paraId="37D62B18">
            <w:pPr>
              <w:ind w:firstLine="420"/>
              <w:rPr>
                <w:rFonts w:hint="eastAsia" w:ascii="宋体" w:hAnsi="宋体" w:eastAsia="宋体" w:cs="宋体"/>
                <w:sz w:val="21"/>
                <w:highlight w:val="none"/>
              </w:rPr>
            </w:pPr>
            <w:r>
              <w:rPr>
                <w:rFonts w:hint="eastAsia" w:ascii="宋体" w:hAnsi="宋体" w:eastAsia="宋体" w:cs="宋体"/>
                <w:sz w:val="21"/>
                <w:highlight w:val="none"/>
              </w:rPr>
              <w:t>outtime</w:t>
            </w:r>
          </w:p>
        </w:tc>
        <w:tc>
          <w:tcPr>
            <w:tcW w:w="921" w:type="pct"/>
            <w:tcMar>
              <w:top w:w="15" w:type="dxa"/>
              <w:left w:w="15" w:type="dxa"/>
              <w:bottom w:w="15" w:type="dxa"/>
              <w:right w:w="15" w:type="dxa"/>
            </w:tcMar>
            <w:vAlign w:val="center"/>
          </w:tcPr>
          <w:p w14:paraId="2E401634">
            <w:pPr>
              <w:ind w:firstLine="420"/>
              <w:rPr>
                <w:rFonts w:hint="eastAsia" w:ascii="宋体" w:hAnsi="宋体" w:eastAsia="宋体" w:cs="宋体"/>
                <w:sz w:val="21"/>
                <w:highlight w:val="none"/>
              </w:rPr>
            </w:pPr>
            <w:r>
              <w:rPr>
                <w:rFonts w:hint="eastAsia" w:ascii="宋体" w:hAnsi="宋体" w:eastAsia="宋体" w:cs="宋体"/>
                <w:sz w:val="21"/>
                <w:highlight w:val="none"/>
              </w:rPr>
              <w:t>bigint</w:t>
            </w:r>
          </w:p>
        </w:tc>
        <w:tc>
          <w:tcPr>
            <w:tcW w:w="821" w:type="pct"/>
            <w:tcMar>
              <w:top w:w="15" w:type="dxa"/>
              <w:left w:w="15" w:type="dxa"/>
              <w:bottom w:w="15" w:type="dxa"/>
              <w:right w:w="15" w:type="dxa"/>
            </w:tcMar>
            <w:vAlign w:val="center"/>
          </w:tcPr>
          <w:p w14:paraId="6BA0A49A">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685" w:type="pct"/>
            <w:tcMar>
              <w:top w:w="15" w:type="dxa"/>
              <w:left w:w="15" w:type="dxa"/>
              <w:bottom w:w="15" w:type="dxa"/>
              <w:right w:w="15" w:type="dxa"/>
            </w:tcMar>
            <w:vAlign w:val="center"/>
          </w:tcPr>
          <w:p w14:paraId="0CD78E60">
            <w:pPr>
              <w:ind w:firstLine="420"/>
              <w:rPr>
                <w:rFonts w:hint="eastAsia" w:ascii="宋体" w:hAnsi="宋体" w:eastAsia="宋体" w:cs="宋体"/>
                <w:sz w:val="21"/>
                <w:highlight w:val="none"/>
              </w:rPr>
            </w:pPr>
          </w:p>
        </w:tc>
        <w:tc>
          <w:tcPr>
            <w:tcW w:w="1301" w:type="pct"/>
            <w:tcMar>
              <w:top w:w="15" w:type="dxa"/>
              <w:left w:w="15" w:type="dxa"/>
              <w:bottom w:w="15" w:type="dxa"/>
              <w:right w:w="15" w:type="dxa"/>
            </w:tcMar>
            <w:vAlign w:val="center"/>
          </w:tcPr>
          <w:p w14:paraId="447DB80A">
            <w:pPr>
              <w:ind w:firstLine="420"/>
              <w:rPr>
                <w:rFonts w:hint="eastAsia" w:ascii="宋体" w:hAnsi="宋体" w:eastAsia="宋体" w:cs="宋体"/>
                <w:sz w:val="21"/>
                <w:highlight w:val="none"/>
              </w:rPr>
            </w:pPr>
            <w:r>
              <w:rPr>
                <w:rFonts w:hint="eastAsia" w:ascii="宋体" w:hAnsi="宋体" w:eastAsia="宋体" w:cs="宋体"/>
                <w:sz w:val="21"/>
                <w:highlight w:val="none"/>
              </w:rPr>
              <w:t>结束事件时间</w:t>
            </w:r>
          </w:p>
        </w:tc>
      </w:tr>
      <w:tr w14:paraId="14FC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tcMar>
              <w:top w:w="15" w:type="dxa"/>
              <w:left w:w="15" w:type="dxa"/>
              <w:bottom w:w="15" w:type="dxa"/>
              <w:right w:w="15" w:type="dxa"/>
            </w:tcMar>
            <w:vAlign w:val="center"/>
          </w:tcPr>
          <w:p w14:paraId="70CDD87B">
            <w:pPr>
              <w:ind w:firstLine="420"/>
              <w:rPr>
                <w:rFonts w:hint="eastAsia" w:ascii="宋体" w:hAnsi="宋体" w:eastAsia="宋体" w:cs="宋体"/>
                <w:sz w:val="21"/>
                <w:highlight w:val="none"/>
              </w:rPr>
            </w:pPr>
            <w:r>
              <w:rPr>
                <w:rFonts w:hint="eastAsia" w:ascii="宋体" w:hAnsi="宋体" w:eastAsia="宋体" w:cs="宋体"/>
                <w:sz w:val="21"/>
                <w:highlight w:val="none"/>
              </w:rPr>
              <w:t>maxspeed</w:t>
            </w:r>
          </w:p>
        </w:tc>
        <w:tc>
          <w:tcPr>
            <w:tcW w:w="921" w:type="pct"/>
            <w:tcMar>
              <w:top w:w="15" w:type="dxa"/>
              <w:left w:w="15" w:type="dxa"/>
              <w:bottom w:w="15" w:type="dxa"/>
              <w:right w:w="15" w:type="dxa"/>
            </w:tcMar>
            <w:vAlign w:val="center"/>
          </w:tcPr>
          <w:p w14:paraId="23F6C8FE">
            <w:pPr>
              <w:ind w:firstLine="420"/>
              <w:rPr>
                <w:rFonts w:hint="eastAsia" w:ascii="宋体" w:hAnsi="宋体" w:eastAsia="宋体" w:cs="宋体"/>
                <w:sz w:val="21"/>
                <w:highlight w:val="none"/>
              </w:rPr>
            </w:pPr>
            <w:r>
              <w:rPr>
                <w:rFonts w:hint="eastAsia" w:ascii="宋体" w:hAnsi="宋体" w:eastAsia="宋体" w:cs="宋体"/>
                <w:sz w:val="21"/>
                <w:highlight w:val="none"/>
              </w:rPr>
              <w:t>double</w:t>
            </w:r>
          </w:p>
        </w:tc>
        <w:tc>
          <w:tcPr>
            <w:tcW w:w="821" w:type="pct"/>
            <w:tcMar>
              <w:top w:w="15" w:type="dxa"/>
              <w:left w:w="15" w:type="dxa"/>
              <w:bottom w:w="15" w:type="dxa"/>
              <w:right w:w="15" w:type="dxa"/>
            </w:tcMar>
            <w:vAlign w:val="center"/>
          </w:tcPr>
          <w:p w14:paraId="4D8977BD">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685" w:type="pct"/>
            <w:tcMar>
              <w:top w:w="15" w:type="dxa"/>
              <w:left w:w="15" w:type="dxa"/>
              <w:bottom w:w="15" w:type="dxa"/>
              <w:right w:w="15" w:type="dxa"/>
            </w:tcMar>
            <w:vAlign w:val="center"/>
          </w:tcPr>
          <w:p w14:paraId="2DC361BB">
            <w:pPr>
              <w:ind w:firstLine="420"/>
              <w:rPr>
                <w:rFonts w:hint="eastAsia" w:ascii="宋体" w:hAnsi="宋体" w:eastAsia="宋体" w:cs="宋体"/>
                <w:sz w:val="21"/>
                <w:highlight w:val="none"/>
              </w:rPr>
            </w:pPr>
          </w:p>
        </w:tc>
        <w:tc>
          <w:tcPr>
            <w:tcW w:w="1301" w:type="pct"/>
            <w:tcMar>
              <w:top w:w="15" w:type="dxa"/>
              <w:left w:w="15" w:type="dxa"/>
              <w:bottom w:w="15" w:type="dxa"/>
              <w:right w:w="15" w:type="dxa"/>
            </w:tcMar>
            <w:vAlign w:val="center"/>
          </w:tcPr>
          <w:p w14:paraId="3B891521">
            <w:pPr>
              <w:ind w:firstLine="420"/>
              <w:rPr>
                <w:rFonts w:hint="eastAsia" w:ascii="宋体" w:hAnsi="宋体" w:eastAsia="宋体" w:cs="宋体"/>
                <w:sz w:val="21"/>
                <w:highlight w:val="none"/>
              </w:rPr>
            </w:pPr>
            <w:r>
              <w:rPr>
                <w:rFonts w:hint="eastAsia" w:ascii="宋体" w:hAnsi="宋体" w:eastAsia="宋体" w:cs="宋体"/>
                <w:sz w:val="21"/>
                <w:highlight w:val="none"/>
              </w:rPr>
              <w:t>最大速度</w:t>
            </w:r>
          </w:p>
        </w:tc>
      </w:tr>
      <w:tr w14:paraId="3CD1B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tcMar>
              <w:top w:w="15" w:type="dxa"/>
              <w:left w:w="15" w:type="dxa"/>
              <w:bottom w:w="15" w:type="dxa"/>
              <w:right w:w="15" w:type="dxa"/>
            </w:tcMar>
            <w:vAlign w:val="center"/>
          </w:tcPr>
          <w:p w14:paraId="3466217D">
            <w:pPr>
              <w:ind w:firstLine="420"/>
              <w:rPr>
                <w:rFonts w:hint="eastAsia" w:ascii="宋体" w:hAnsi="宋体" w:eastAsia="宋体" w:cs="宋体"/>
                <w:sz w:val="21"/>
                <w:highlight w:val="none"/>
              </w:rPr>
            </w:pPr>
            <w:r>
              <w:rPr>
                <w:rFonts w:hint="eastAsia" w:ascii="宋体" w:hAnsi="宋体" w:eastAsia="宋体" w:cs="宋体"/>
                <w:sz w:val="21"/>
                <w:highlight w:val="none"/>
              </w:rPr>
              <w:t>avgspeed</w:t>
            </w:r>
          </w:p>
        </w:tc>
        <w:tc>
          <w:tcPr>
            <w:tcW w:w="921" w:type="pct"/>
            <w:tcMar>
              <w:top w:w="15" w:type="dxa"/>
              <w:left w:w="15" w:type="dxa"/>
              <w:bottom w:w="15" w:type="dxa"/>
              <w:right w:w="15" w:type="dxa"/>
            </w:tcMar>
            <w:vAlign w:val="center"/>
          </w:tcPr>
          <w:p w14:paraId="4D1F86C9">
            <w:pPr>
              <w:ind w:firstLine="420"/>
              <w:rPr>
                <w:rFonts w:hint="eastAsia" w:ascii="宋体" w:hAnsi="宋体" w:eastAsia="宋体" w:cs="宋体"/>
                <w:sz w:val="21"/>
                <w:highlight w:val="none"/>
              </w:rPr>
            </w:pPr>
            <w:r>
              <w:rPr>
                <w:rFonts w:hint="eastAsia" w:ascii="宋体" w:hAnsi="宋体" w:eastAsia="宋体" w:cs="宋体"/>
                <w:sz w:val="21"/>
                <w:highlight w:val="none"/>
              </w:rPr>
              <w:t>double</w:t>
            </w:r>
          </w:p>
        </w:tc>
        <w:tc>
          <w:tcPr>
            <w:tcW w:w="821" w:type="pct"/>
            <w:tcMar>
              <w:top w:w="15" w:type="dxa"/>
              <w:left w:w="15" w:type="dxa"/>
              <w:bottom w:w="15" w:type="dxa"/>
              <w:right w:w="15" w:type="dxa"/>
            </w:tcMar>
            <w:vAlign w:val="center"/>
          </w:tcPr>
          <w:p w14:paraId="4D82A6B5">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685" w:type="pct"/>
            <w:tcMar>
              <w:top w:w="15" w:type="dxa"/>
              <w:left w:w="15" w:type="dxa"/>
              <w:bottom w:w="15" w:type="dxa"/>
              <w:right w:w="15" w:type="dxa"/>
            </w:tcMar>
            <w:vAlign w:val="center"/>
          </w:tcPr>
          <w:p w14:paraId="284257DB">
            <w:pPr>
              <w:ind w:firstLine="420"/>
              <w:rPr>
                <w:rFonts w:hint="eastAsia" w:ascii="宋体" w:hAnsi="宋体" w:eastAsia="宋体" w:cs="宋体"/>
                <w:sz w:val="21"/>
                <w:highlight w:val="none"/>
              </w:rPr>
            </w:pPr>
          </w:p>
        </w:tc>
        <w:tc>
          <w:tcPr>
            <w:tcW w:w="1301" w:type="pct"/>
            <w:tcMar>
              <w:top w:w="15" w:type="dxa"/>
              <w:left w:w="15" w:type="dxa"/>
              <w:bottom w:w="15" w:type="dxa"/>
              <w:right w:w="15" w:type="dxa"/>
            </w:tcMar>
            <w:vAlign w:val="center"/>
          </w:tcPr>
          <w:p w14:paraId="143127D4">
            <w:pPr>
              <w:ind w:firstLine="420"/>
              <w:rPr>
                <w:rFonts w:hint="eastAsia" w:ascii="宋体" w:hAnsi="宋体" w:eastAsia="宋体" w:cs="宋体"/>
                <w:sz w:val="21"/>
                <w:highlight w:val="none"/>
              </w:rPr>
            </w:pPr>
            <w:r>
              <w:rPr>
                <w:rFonts w:hint="eastAsia" w:ascii="宋体" w:hAnsi="宋体" w:eastAsia="宋体" w:cs="宋体"/>
                <w:sz w:val="21"/>
                <w:highlight w:val="none"/>
              </w:rPr>
              <w:t>平均速度</w:t>
            </w:r>
          </w:p>
        </w:tc>
      </w:tr>
      <w:tr w14:paraId="1EBE9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tcMar>
              <w:top w:w="15" w:type="dxa"/>
              <w:left w:w="15" w:type="dxa"/>
              <w:bottom w:w="15" w:type="dxa"/>
              <w:right w:w="15" w:type="dxa"/>
            </w:tcMar>
            <w:vAlign w:val="center"/>
          </w:tcPr>
          <w:p w14:paraId="555F5D91">
            <w:pPr>
              <w:ind w:firstLine="420"/>
              <w:rPr>
                <w:rFonts w:hint="eastAsia" w:ascii="宋体" w:hAnsi="宋体" w:eastAsia="宋体" w:cs="宋体"/>
                <w:sz w:val="21"/>
                <w:highlight w:val="none"/>
              </w:rPr>
            </w:pPr>
            <w:r>
              <w:rPr>
                <w:rFonts w:hint="eastAsia" w:ascii="宋体" w:hAnsi="宋体" w:eastAsia="宋体" w:cs="宋体"/>
                <w:sz w:val="21"/>
                <w:highlight w:val="none"/>
              </w:rPr>
              <w:t>area</w:t>
            </w:r>
          </w:p>
        </w:tc>
        <w:tc>
          <w:tcPr>
            <w:tcW w:w="921" w:type="pct"/>
            <w:tcMar>
              <w:top w:w="15" w:type="dxa"/>
              <w:left w:w="15" w:type="dxa"/>
              <w:bottom w:w="15" w:type="dxa"/>
              <w:right w:w="15" w:type="dxa"/>
            </w:tcMar>
            <w:vAlign w:val="center"/>
          </w:tcPr>
          <w:p w14:paraId="469578DD">
            <w:pPr>
              <w:ind w:firstLine="420"/>
              <w:rPr>
                <w:rFonts w:hint="eastAsia" w:ascii="宋体" w:hAnsi="宋体" w:eastAsia="宋体" w:cs="宋体"/>
                <w:sz w:val="21"/>
                <w:highlight w:val="none"/>
              </w:rPr>
            </w:pPr>
            <w:r>
              <w:rPr>
                <w:rFonts w:hint="eastAsia" w:ascii="宋体" w:hAnsi="宋体" w:eastAsia="宋体" w:cs="宋体"/>
                <w:sz w:val="21"/>
                <w:highlight w:val="none"/>
              </w:rPr>
              <w:t>uuid</w:t>
            </w:r>
          </w:p>
        </w:tc>
        <w:tc>
          <w:tcPr>
            <w:tcW w:w="821" w:type="pct"/>
            <w:tcMar>
              <w:top w:w="15" w:type="dxa"/>
              <w:left w:w="15" w:type="dxa"/>
              <w:bottom w:w="15" w:type="dxa"/>
              <w:right w:w="15" w:type="dxa"/>
            </w:tcMar>
            <w:vAlign w:val="center"/>
          </w:tcPr>
          <w:p w14:paraId="6F4A936B">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685" w:type="pct"/>
            <w:tcMar>
              <w:top w:w="15" w:type="dxa"/>
              <w:left w:w="15" w:type="dxa"/>
              <w:bottom w:w="15" w:type="dxa"/>
              <w:right w:w="15" w:type="dxa"/>
            </w:tcMar>
            <w:vAlign w:val="center"/>
          </w:tcPr>
          <w:p w14:paraId="1B06679C">
            <w:pPr>
              <w:ind w:firstLine="420"/>
              <w:rPr>
                <w:rFonts w:hint="eastAsia" w:ascii="宋体" w:hAnsi="宋体" w:eastAsia="宋体" w:cs="宋体"/>
                <w:sz w:val="21"/>
                <w:highlight w:val="none"/>
              </w:rPr>
            </w:pPr>
          </w:p>
        </w:tc>
        <w:tc>
          <w:tcPr>
            <w:tcW w:w="1301" w:type="pct"/>
            <w:tcMar>
              <w:top w:w="15" w:type="dxa"/>
              <w:left w:w="15" w:type="dxa"/>
              <w:bottom w:w="15" w:type="dxa"/>
              <w:right w:w="15" w:type="dxa"/>
            </w:tcMar>
            <w:vAlign w:val="center"/>
          </w:tcPr>
          <w:p w14:paraId="5FC18956">
            <w:pPr>
              <w:ind w:firstLine="420"/>
              <w:rPr>
                <w:rFonts w:hint="eastAsia" w:ascii="宋体" w:hAnsi="宋体" w:eastAsia="宋体" w:cs="宋体"/>
                <w:sz w:val="21"/>
                <w:highlight w:val="none"/>
              </w:rPr>
            </w:pPr>
            <w:r>
              <w:rPr>
                <w:rFonts w:hint="eastAsia" w:ascii="宋体" w:hAnsi="宋体" w:eastAsia="宋体" w:cs="宋体"/>
                <w:sz w:val="21"/>
                <w:highlight w:val="none"/>
              </w:rPr>
              <w:t>电子围栏id</w:t>
            </w:r>
          </w:p>
        </w:tc>
      </w:tr>
      <w:tr w14:paraId="74603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tcMar>
              <w:top w:w="15" w:type="dxa"/>
              <w:left w:w="15" w:type="dxa"/>
              <w:bottom w:w="15" w:type="dxa"/>
              <w:right w:w="15" w:type="dxa"/>
            </w:tcMar>
            <w:vAlign w:val="center"/>
          </w:tcPr>
          <w:p w14:paraId="1062B0D8">
            <w:pPr>
              <w:ind w:firstLine="420"/>
              <w:rPr>
                <w:rFonts w:hint="eastAsia" w:ascii="宋体" w:hAnsi="宋体" w:eastAsia="宋体" w:cs="宋体"/>
                <w:sz w:val="21"/>
                <w:highlight w:val="none"/>
              </w:rPr>
            </w:pPr>
            <w:r>
              <w:rPr>
                <w:rFonts w:hint="eastAsia" w:ascii="宋体" w:hAnsi="宋体" w:eastAsia="宋体" w:cs="宋体"/>
                <w:sz w:val="21"/>
                <w:highlight w:val="none"/>
              </w:rPr>
              <w:t>eventid</w:t>
            </w:r>
          </w:p>
        </w:tc>
        <w:tc>
          <w:tcPr>
            <w:tcW w:w="921" w:type="pct"/>
            <w:tcMar>
              <w:top w:w="15" w:type="dxa"/>
              <w:left w:w="15" w:type="dxa"/>
              <w:bottom w:w="15" w:type="dxa"/>
              <w:right w:w="15" w:type="dxa"/>
            </w:tcMar>
            <w:vAlign w:val="center"/>
          </w:tcPr>
          <w:p w14:paraId="352702EB">
            <w:pPr>
              <w:ind w:firstLine="420"/>
              <w:rPr>
                <w:rFonts w:hint="eastAsia" w:ascii="宋体" w:hAnsi="宋体" w:eastAsia="宋体" w:cs="宋体"/>
                <w:sz w:val="21"/>
                <w:highlight w:val="none"/>
              </w:rPr>
            </w:pPr>
            <w:r>
              <w:rPr>
                <w:rFonts w:hint="eastAsia" w:ascii="宋体" w:hAnsi="宋体" w:eastAsia="宋体" w:cs="宋体"/>
                <w:sz w:val="21"/>
                <w:highlight w:val="none"/>
              </w:rPr>
              <w:t>bigint</w:t>
            </w:r>
          </w:p>
        </w:tc>
        <w:tc>
          <w:tcPr>
            <w:tcW w:w="821" w:type="pct"/>
            <w:tcMar>
              <w:top w:w="15" w:type="dxa"/>
              <w:left w:w="15" w:type="dxa"/>
              <w:bottom w:w="15" w:type="dxa"/>
              <w:right w:w="15" w:type="dxa"/>
            </w:tcMar>
            <w:vAlign w:val="center"/>
          </w:tcPr>
          <w:p w14:paraId="34A7D0E8">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685" w:type="pct"/>
            <w:tcMar>
              <w:top w:w="15" w:type="dxa"/>
              <w:left w:w="15" w:type="dxa"/>
              <w:bottom w:w="15" w:type="dxa"/>
              <w:right w:w="15" w:type="dxa"/>
            </w:tcMar>
            <w:vAlign w:val="center"/>
          </w:tcPr>
          <w:p w14:paraId="25061E76">
            <w:pPr>
              <w:ind w:firstLine="420"/>
              <w:rPr>
                <w:rFonts w:hint="eastAsia" w:ascii="宋体" w:hAnsi="宋体" w:eastAsia="宋体" w:cs="宋体"/>
                <w:sz w:val="21"/>
                <w:highlight w:val="none"/>
              </w:rPr>
            </w:pPr>
          </w:p>
        </w:tc>
        <w:tc>
          <w:tcPr>
            <w:tcW w:w="1301" w:type="pct"/>
            <w:tcMar>
              <w:top w:w="15" w:type="dxa"/>
              <w:left w:w="15" w:type="dxa"/>
              <w:bottom w:w="15" w:type="dxa"/>
              <w:right w:w="15" w:type="dxa"/>
            </w:tcMar>
            <w:vAlign w:val="center"/>
          </w:tcPr>
          <w:p w14:paraId="76CB67F6">
            <w:pPr>
              <w:ind w:firstLine="420"/>
              <w:rPr>
                <w:rFonts w:hint="eastAsia" w:ascii="宋体" w:hAnsi="宋体" w:eastAsia="宋体" w:cs="宋体"/>
                <w:sz w:val="21"/>
                <w:highlight w:val="none"/>
              </w:rPr>
            </w:pPr>
            <w:r>
              <w:rPr>
                <w:rFonts w:hint="eastAsia" w:ascii="宋体" w:hAnsi="宋体" w:eastAsia="宋体" w:cs="宋体"/>
                <w:sz w:val="21"/>
                <w:highlight w:val="none"/>
              </w:rPr>
              <w:t>事件id</w:t>
            </w:r>
          </w:p>
        </w:tc>
      </w:tr>
      <w:tr w14:paraId="5A682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tcMar>
              <w:top w:w="15" w:type="dxa"/>
              <w:left w:w="15" w:type="dxa"/>
              <w:bottom w:w="15" w:type="dxa"/>
              <w:right w:w="15" w:type="dxa"/>
            </w:tcMar>
            <w:vAlign w:val="center"/>
          </w:tcPr>
          <w:p w14:paraId="2993DFD4">
            <w:pPr>
              <w:ind w:firstLine="420"/>
              <w:rPr>
                <w:rFonts w:hint="eastAsia" w:ascii="宋体" w:hAnsi="宋体" w:eastAsia="宋体" w:cs="宋体"/>
                <w:sz w:val="21"/>
                <w:highlight w:val="none"/>
              </w:rPr>
            </w:pPr>
            <w:r>
              <w:rPr>
                <w:rFonts w:hint="eastAsia" w:ascii="宋体" w:hAnsi="宋体" w:eastAsia="宋体" w:cs="宋体"/>
                <w:sz w:val="21"/>
                <w:highlight w:val="none"/>
              </w:rPr>
              <w:t>coordinate</w:t>
            </w:r>
          </w:p>
        </w:tc>
        <w:tc>
          <w:tcPr>
            <w:tcW w:w="921" w:type="pct"/>
            <w:tcMar>
              <w:top w:w="15" w:type="dxa"/>
              <w:left w:w="15" w:type="dxa"/>
              <w:bottom w:w="15" w:type="dxa"/>
              <w:right w:w="15" w:type="dxa"/>
            </w:tcMar>
            <w:vAlign w:val="center"/>
          </w:tcPr>
          <w:p w14:paraId="28FE9AF7">
            <w:pPr>
              <w:ind w:firstLine="420"/>
              <w:rPr>
                <w:rFonts w:hint="eastAsia" w:ascii="宋体" w:hAnsi="宋体" w:eastAsia="宋体" w:cs="宋体"/>
                <w:sz w:val="21"/>
                <w:highlight w:val="none"/>
              </w:rPr>
            </w:pPr>
            <w:r>
              <w:rPr>
                <w:rFonts w:hint="eastAsia" w:ascii="宋体" w:hAnsi="宋体" w:eastAsia="宋体" w:cs="宋体"/>
                <w:sz w:val="21"/>
                <w:highlight w:val="none"/>
              </w:rPr>
              <w:t>text</w:t>
            </w:r>
          </w:p>
        </w:tc>
        <w:tc>
          <w:tcPr>
            <w:tcW w:w="821" w:type="pct"/>
            <w:tcMar>
              <w:top w:w="15" w:type="dxa"/>
              <w:left w:w="15" w:type="dxa"/>
              <w:bottom w:w="15" w:type="dxa"/>
              <w:right w:w="15" w:type="dxa"/>
            </w:tcMar>
            <w:vAlign w:val="center"/>
          </w:tcPr>
          <w:p w14:paraId="4A8BAC21">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685" w:type="pct"/>
            <w:tcMar>
              <w:top w:w="15" w:type="dxa"/>
              <w:left w:w="15" w:type="dxa"/>
              <w:bottom w:w="15" w:type="dxa"/>
              <w:right w:w="15" w:type="dxa"/>
            </w:tcMar>
            <w:vAlign w:val="center"/>
          </w:tcPr>
          <w:p w14:paraId="6B5742E1">
            <w:pPr>
              <w:ind w:firstLine="420"/>
              <w:rPr>
                <w:rFonts w:hint="eastAsia" w:ascii="宋体" w:hAnsi="宋体" w:eastAsia="宋体" w:cs="宋体"/>
                <w:sz w:val="21"/>
                <w:highlight w:val="none"/>
              </w:rPr>
            </w:pPr>
          </w:p>
        </w:tc>
        <w:tc>
          <w:tcPr>
            <w:tcW w:w="1301" w:type="pct"/>
            <w:tcMar>
              <w:top w:w="15" w:type="dxa"/>
              <w:left w:w="15" w:type="dxa"/>
              <w:bottom w:w="15" w:type="dxa"/>
              <w:right w:w="15" w:type="dxa"/>
            </w:tcMar>
            <w:vAlign w:val="center"/>
          </w:tcPr>
          <w:p w14:paraId="0DADAA3A">
            <w:pPr>
              <w:ind w:firstLine="420"/>
              <w:rPr>
                <w:rFonts w:hint="eastAsia" w:ascii="宋体" w:hAnsi="宋体" w:eastAsia="宋体" w:cs="宋体"/>
                <w:sz w:val="21"/>
                <w:highlight w:val="none"/>
              </w:rPr>
            </w:pPr>
            <w:r>
              <w:rPr>
                <w:rFonts w:hint="eastAsia" w:ascii="宋体" w:hAnsi="宋体" w:eastAsia="宋体" w:cs="宋体"/>
                <w:sz w:val="21"/>
                <w:highlight w:val="none"/>
              </w:rPr>
              <w:t>事件发生坐标点</w:t>
            </w:r>
          </w:p>
        </w:tc>
      </w:tr>
      <w:tr w14:paraId="714A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0" w:type="pct"/>
            <w:tcMar>
              <w:top w:w="15" w:type="dxa"/>
              <w:left w:w="15" w:type="dxa"/>
              <w:bottom w:w="15" w:type="dxa"/>
              <w:right w:w="15" w:type="dxa"/>
            </w:tcMar>
            <w:vAlign w:val="center"/>
          </w:tcPr>
          <w:p w14:paraId="690E955B">
            <w:pPr>
              <w:ind w:firstLine="420"/>
              <w:rPr>
                <w:rFonts w:hint="eastAsia" w:ascii="宋体" w:hAnsi="宋体" w:eastAsia="宋体" w:cs="宋体"/>
                <w:sz w:val="21"/>
                <w:highlight w:val="none"/>
              </w:rPr>
            </w:pPr>
            <w:r>
              <w:rPr>
                <w:rFonts w:hint="eastAsia" w:ascii="宋体" w:hAnsi="宋体" w:eastAsia="宋体" w:cs="宋体"/>
                <w:sz w:val="21"/>
                <w:highlight w:val="none"/>
              </w:rPr>
              <w:t>viewable</w:t>
            </w:r>
          </w:p>
        </w:tc>
        <w:tc>
          <w:tcPr>
            <w:tcW w:w="921" w:type="pct"/>
            <w:tcMar>
              <w:top w:w="15" w:type="dxa"/>
              <w:left w:w="15" w:type="dxa"/>
              <w:bottom w:w="15" w:type="dxa"/>
              <w:right w:w="15" w:type="dxa"/>
            </w:tcMar>
            <w:vAlign w:val="center"/>
          </w:tcPr>
          <w:p w14:paraId="6F84B86B">
            <w:pPr>
              <w:ind w:firstLine="420"/>
              <w:rPr>
                <w:rFonts w:hint="eastAsia" w:ascii="宋体" w:hAnsi="宋体" w:eastAsia="宋体" w:cs="宋体"/>
                <w:sz w:val="21"/>
                <w:highlight w:val="none"/>
              </w:rPr>
            </w:pPr>
            <w:r>
              <w:rPr>
                <w:rFonts w:hint="eastAsia" w:ascii="宋体" w:hAnsi="宋体" w:eastAsia="宋体" w:cs="宋体"/>
                <w:sz w:val="21"/>
                <w:highlight w:val="none"/>
              </w:rPr>
              <w:t>int</w:t>
            </w:r>
          </w:p>
        </w:tc>
        <w:tc>
          <w:tcPr>
            <w:tcW w:w="821" w:type="pct"/>
            <w:tcMar>
              <w:top w:w="15" w:type="dxa"/>
              <w:left w:w="15" w:type="dxa"/>
              <w:bottom w:w="15" w:type="dxa"/>
              <w:right w:w="15" w:type="dxa"/>
            </w:tcMar>
            <w:vAlign w:val="center"/>
          </w:tcPr>
          <w:p w14:paraId="51A3E472">
            <w:pPr>
              <w:ind w:firstLine="420"/>
              <w:rPr>
                <w:rFonts w:hint="eastAsia" w:ascii="宋体" w:hAnsi="宋体" w:eastAsia="宋体" w:cs="宋体"/>
                <w:sz w:val="21"/>
                <w:highlight w:val="none"/>
              </w:rPr>
            </w:pPr>
            <w:r>
              <w:rPr>
                <w:rFonts w:hint="eastAsia" w:ascii="宋体" w:hAnsi="宋体" w:eastAsia="宋体" w:cs="宋体"/>
                <w:sz w:val="21"/>
                <w:highlight w:val="none"/>
              </w:rPr>
              <w:t>YES</w:t>
            </w:r>
          </w:p>
        </w:tc>
        <w:tc>
          <w:tcPr>
            <w:tcW w:w="685" w:type="pct"/>
            <w:tcMar>
              <w:top w:w="15" w:type="dxa"/>
              <w:left w:w="15" w:type="dxa"/>
              <w:bottom w:w="15" w:type="dxa"/>
              <w:right w:w="15" w:type="dxa"/>
            </w:tcMar>
            <w:vAlign w:val="center"/>
          </w:tcPr>
          <w:p w14:paraId="177FC1C2">
            <w:pPr>
              <w:ind w:firstLine="420"/>
              <w:rPr>
                <w:rFonts w:hint="eastAsia" w:ascii="宋体" w:hAnsi="宋体" w:eastAsia="宋体" w:cs="宋体"/>
                <w:sz w:val="21"/>
                <w:highlight w:val="none"/>
              </w:rPr>
            </w:pPr>
          </w:p>
        </w:tc>
        <w:tc>
          <w:tcPr>
            <w:tcW w:w="1301" w:type="pct"/>
            <w:tcMar>
              <w:top w:w="15" w:type="dxa"/>
              <w:left w:w="15" w:type="dxa"/>
              <w:bottom w:w="15" w:type="dxa"/>
              <w:right w:w="15" w:type="dxa"/>
            </w:tcMar>
            <w:vAlign w:val="center"/>
          </w:tcPr>
          <w:p w14:paraId="1B38E8E0">
            <w:pPr>
              <w:ind w:firstLine="420"/>
              <w:rPr>
                <w:rFonts w:hint="eastAsia" w:ascii="宋体" w:hAnsi="宋体" w:eastAsia="宋体" w:cs="宋体"/>
                <w:sz w:val="21"/>
                <w:highlight w:val="none"/>
              </w:rPr>
            </w:pPr>
            <w:r>
              <w:rPr>
                <w:rFonts w:hint="eastAsia" w:ascii="宋体" w:hAnsi="宋体" w:eastAsia="宋体" w:cs="宋体"/>
                <w:sz w:val="21"/>
                <w:highlight w:val="none"/>
              </w:rPr>
              <w:t>是否可见</w:t>
            </w:r>
          </w:p>
        </w:tc>
      </w:tr>
    </w:tbl>
    <w:p w14:paraId="54D38FD0">
      <w:pPr>
        <w:pStyle w:val="64"/>
        <w:rPr>
          <w:rFonts w:hint="eastAsia" w:ascii="宋体" w:hAnsi="宋体" w:eastAsia="宋体" w:cs="宋体"/>
          <w:highlight w:val="none"/>
        </w:rPr>
      </w:pPr>
    </w:p>
    <w:p w14:paraId="53410A62">
      <w:pPr>
        <w:pStyle w:val="6"/>
        <w:keepNext/>
        <w:keepLines/>
        <w:pageBreakBefore w:val="0"/>
        <w:widowControl w:val="0"/>
        <w:kinsoku/>
        <w:wordWrap/>
        <w:overflowPunct/>
        <w:topLinePunct w:val="0"/>
        <w:autoSpaceDE/>
        <w:autoSpaceDN/>
        <w:bidi w:val="0"/>
        <w:adjustRightInd/>
        <w:snapToGrid/>
        <w:spacing w:line="400" w:lineRule="exact"/>
        <w:ind w:left="422" w:hanging="422" w:hangingChars="200"/>
        <w:textAlignment w:val="auto"/>
        <w:rPr>
          <w:rFonts w:hint="eastAsia"/>
          <w:highlight w:val="none"/>
        </w:rPr>
      </w:pPr>
      <w:r>
        <w:rPr>
          <w:rFonts w:hint="eastAsia"/>
          <w:highlight w:val="none"/>
        </w:rPr>
        <w:t>文本指令表</w:t>
      </w:r>
    </w:p>
    <w:p w14:paraId="01383A0E">
      <w:pPr>
        <w:pStyle w:val="65"/>
        <w:rPr>
          <w:rFonts w:hint="eastAsia" w:ascii="宋体" w:hAnsi="宋体" w:eastAsia="宋体" w:cs="宋体"/>
          <w:highlight w:val="none"/>
        </w:rPr>
      </w:pPr>
      <w:r>
        <w:rPr>
          <w:rFonts w:hint="eastAsia" w:ascii="宋体" w:hAnsi="宋体" w:eastAsia="宋体" w:cs="宋体"/>
          <w:highlight w:val="none"/>
        </w:rPr>
        <w:t>文本指令表</w:t>
      </w:r>
    </w:p>
    <w:tbl>
      <w:tblPr>
        <w:tblStyle w:val="3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43"/>
        <w:gridCol w:w="1746"/>
        <w:gridCol w:w="1619"/>
        <w:gridCol w:w="1247"/>
        <w:gridCol w:w="2245"/>
      </w:tblGrid>
      <w:tr w14:paraId="44BA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232" w:type="pct"/>
            <w:shd w:val="clear" w:color="auto" w:fill="auto"/>
            <w:tcMar>
              <w:top w:w="15" w:type="dxa"/>
              <w:left w:w="15" w:type="dxa"/>
              <w:bottom w:w="15" w:type="dxa"/>
              <w:right w:w="15" w:type="dxa"/>
            </w:tcMar>
            <w:vAlign w:val="center"/>
          </w:tcPr>
          <w:p w14:paraId="6517E681">
            <w:pPr>
              <w:ind w:firstLine="361"/>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字段</w:t>
            </w:r>
          </w:p>
        </w:tc>
        <w:tc>
          <w:tcPr>
            <w:tcW w:w="959" w:type="pct"/>
            <w:shd w:val="clear" w:color="auto" w:fill="auto"/>
            <w:tcMar>
              <w:top w:w="15" w:type="dxa"/>
              <w:left w:w="15" w:type="dxa"/>
              <w:bottom w:w="15" w:type="dxa"/>
              <w:right w:w="15" w:type="dxa"/>
            </w:tcMar>
            <w:vAlign w:val="center"/>
          </w:tcPr>
          <w:p w14:paraId="60F2BE46">
            <w:pPr>
              <w:ind w:firstLine="361"/>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类型</w:t>
            </w:r>
          </w:p>
        </w:tc>
        <w:tc>
          <w:tcPr>
            <w:tcW w:w="889" w:type="pct"/>
            <w:shd w:val="clear" w:color="auto" w:fill="auto"/>
            <w:tcMar>
              <w:top w:w="15" w:type="dxa"/>
              <w:left w:w="15" w:type="dxa"/>
              <w:bottom w:w="15" w:type="dxa"/>
              <w:right w:w="15" w:type="dxa"/>
            </w:tcMar>
            <w:vAlign w:val="center"/>
          </w:tcPr>
          <w:p w14:paraId="5B7A7FCF">
            <w:pPr>
              <w:ind w:firstLine="361"/>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允许空</w:t>
            </w:r>
          </w:p>
        </w:tc>
        <w:tc>
          <w:tcPr>
            <w:tcW w:w="685" w:type="pct"/>
            <w:shd w:val="clear" w:color="auto" w:fill="auto"/>
            <w:tcMar>
              <w:top w:w="15" w:type="dxa"/>
              <w:left w:w="15" w:type="dxa"/>
              <w:bottom w:w="15" w:type="dxa"/>
              <w:right w:w="15" w:type="dxa"/>
            </w:tcMar>
            <w:vAlign w:val="center"/>
          </w:tcPr>
          <w:p w14:paraId="0586161F">
            <w:pPr>
              <w:ind w:firstLine="361"/>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默认</w:t>
            </w:r>
          </w:p>
        </w:tc>
        <w:tc>
          <w:tcPr>
            <w:tcW w:w="1233" w:type="pct"/>
            <w:shd w:val="clear" w:color="auto" w:fill="auto"/>
            <w:tcMar>
              <w:top w:w="15" w:type="dxa"/>
              <w:left w:w="15" w:type="dxa"/>
              <w:bottom w:w="15" w:type="dxa"/>
              <w:right w:w="15" w:type="dxa"/>
            </w:tcMar>
            <w:vAlign w:val="center"/>
          </w:tcPr>
          <w:p w14:paraId="040B68A6">
            <w:pPr>
              <w:ind w:firstLine="361"/>
              <w:rPr>
                <w:rFonts w:hint="eastAsia" w:ascii="宋体" w:hAnsi="宋体" w:eastAsia="宋体" w:cs="宋体"/>
                <w:b/>
                <w:bCs/>
                <w:sz w:val="18"/>
                <w:szCs w:val="18"/>
                <w:highlight w:val="none"/>
              </w:rPr>
            </w:pPr>
            <w:r>
              <w:rPr>
                <w:rFonts w:hint="eastAsia" w:ascii="宋体" w:hAnsi="宋体" w:eastAsia="宋体" w:cs="宋体"/>
                <w:b/>
                <w:bCs/>
                <w:sz w:val="18"/>
                <w:szCs w:val="18"/>
                <w:highlight w:val="none"/>
              </w:rPr>
              <w:t>注释</w:t>
            </w:r>
          </w:p>
        </w:tc>
      </w:tr>
      <w:tr w14:paraId="65C50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pct"/>
            <w:tcMar>
              <w:top w:w="15" w:type="dxa"/>
              <w:left w:w="15" w:type="dxa"/>
              <w:bottom w:w="15" w:type="dxa"/>
              <w:right w:w="15" w:type="dxa"/>
            </w:tcMar>
            <w:vAlign w:val="center"/>
          </w:tcPr>
          <w:p w14:paraId="3D850C23">
            <w:pPr>
              <w:ind w:firstLine="420"/>
              <w:rPr>
                <w:rFonts w:hint="eastAsia" w:ascii="宋体" w:hAnsi="宋体" w:eastAsia="宋体" w:cs="宋体"/>
                <w:sz w:val="21"/>
                <w:highlight w:val="none"/>
              </w:rPr>
            </w:pPr>
            <w:r>
              <w:rPr>
                <w:rFonts w:hint="eastAsia" w:ascii="宋体" w:hAnsi="宋体" w:eastAsia="宋体" w:cs="宋体"/>
                <w:sz w:val="21"/>
                <w:highlight w:val="none"/>
              </w:rPr>
              <w:t>id</w:t>
            </w:r>
          </w:p>
        </w:tc>
        <w:tc>
          <w:tcPr>
            <w:tcW w:w="959" w:type="pct"/>
            <w:tcMar>
              <w:top w:w="15" w:type="dxa"/>
              <w:left w:w="15" w:type="dxa"/>
              <w:bottom w:w="15" w:type="dxa"/>
              <w:right w:w="15" w:type="dxa"/>
            </w:tcMar>
            <w:vAlign w:val="center"/>
          </w:tcPr>
          <w:p w14:paraId="342F75C1">
            <w:pPr>
              <w:ind w:firstLine="420"/>
              <w:rPr>
                <w:rFonts w:hint="eastAsia" w:ascii="宋体" w:hAnsi="宋体" w:eastAsia="宋体" w:cs="宋体"/>
                <w:sz w:val="21"/>
                <w:highlight w:val="none"/>
              </w:rPr>
            </w:pPr>
            <w:r>
              <w:rPr>
                <w:rFonts w:hint="eastAsia" w:ascii="宋体" w:hAnsi="宋体" w:eastAsia="宋体" w:cs="宋体"/>
                <w:sz w:val="21"/>
                <w:highlight w:val="none"/>
              </w:rPr>
              <w:t>bigint</w:t>
            </w:r>
          </w:p>
        </w:tc>
        <w:tc>
          <w:tcPr>
            <w:tcW w:w="889" w:type="pct"/>
            <w:tcMar>
              <w:top w:w="15" w:type="dxa"/>
              <w:left w:w="15" w:type="dxa"/>
              <w:bottom w:w="15" w:type="dxa"/>
              <w:right w:w="15" w:type="dxa"/>
            </w:tcMar>
            <w:vAlign w:val="center"/>
          </w:tcPr>
          <w:p w14:paraId="1BC53B31">
            <w:pPr>
              <w:ind w:firstLine="420"/>
              <w:rPr>
                <w:rFonts w:hint="eastAsia" w:ascii="宋体" w:hAnsi="宋体" w:eastAsia="宋体" w:cs="宋体"/>
                <w:sz w:val="21"/>
                <w:highlight w:val="none"/>
              </w:rPr>
            </w:pPr>
            <w:r>
              <w:rPr>
                <w:rFonts w:hint="eastAsia" w:ascii="宋体" w:hAnsi="宋体" w:eastAsia="宋体" w:cs="宋体"/>
                <w:sz w:val="21"/>
                <w:highlight w:val="none"/>
              </w:rPr>
              <w:t>NO</w:t>
            </w:r>
          </w:p>
        </w:tc>
        <w:tc>
          <w:tcPr>
            <w:tcW w:w="685" w:type="pct"/>
            <w:tcMar>
              <w:top w:w="15" w:type="dxa"/>
              <w:left w:w="15" w:type="dxa"/>
              <w:bottom w:w="15" w:type="dxa"/>
              <w:right w:w="15" w:type="dxa"/>
            </w:tcMar>
            <w:vAlign w:val="center"/>
          </w:tcPr>
          <w:p w14:paraId="787C849D">
            <w:pPr>
              <w:ind w:firstLine="420"/>
              <w:rPr>
                <w:rFonts w:hint="eastAsia" w:ascii="宋体" w:hAnsi="宋体" w:eastAsia="宋体" w:cs="宋体"/>
                <w:sz w:val="21"/>
                <w:highlight w:val="none"/>
              </w:rPr>
            </w:pPr>
          </w:p>
        </w:tc>
        <w:tc>
          <w:tcPr>
            <w:tcW w:w="1233" w:type="pct"/>
            <w:tcMar>
              <w:top w:w="15" w:type="dxa"/>
              <w:left w:w="15" w:type="dxa"/>
              <w:bottom w:w="15" w:type="dxa"/>
              <w:right w:w="15" w:type="dxa"/>
            </w:tcMar>
            <w:vAlign w:val="center"/>
          </w:tcPr>
          <w:p w14:paraId="5BF8759E">
            <w:pPr>
              <w:ind w:firstLine="420"/>
              <w:rPr>
                <w:rFonts w:hint="eastAsia" w:ascii="宋体" w:hAnsi="宋体" w:eastAsia="宋体" w:cs="宋体"/>
                <w:sz w:val="21"/>
                <w:highlight w:val="none"/>
              </w:rPr>
            </w:pPr>
            <w:r>
              <w:rPr>
                <w:rFonts w:hint="eastAsia" w:ascii="宋体" w:hAnsi="宋体" w:eastAsia="宋体" w:cs="宋体"/>
                <w:sz w:val="21"/>
                <w:highlight w:val="none"/>
              </w:rPr>
              <w:t>文本指令id</w:t>
            </w:r>
          </w:p>
        </w:tc>
      </w:tr>
      <w:tr w14:paraId="79455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pct"/>
            <w:tcMar>
              <w:top w:w="15" w:type="dxa"/>
              <w:left w:w="15" w:type="dxa"/>
              <w:bottom w:w="15" w:type="dxa"/>
              <w:right w:w="15" w:type="dxa"/>
            </w:tcMar>
            <w:vAlign w:val="center"/>
          </w:tcPr>
          <w:p w14:paraId="53CB52F8">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cmd_type</w:t>
            </w:r>
          </w:p>
        </w:tc>
        <w:tc>
          <w:tcPr>
            <w:tcW w:w="959" w:type="pct"/>
            <w:tcMar>
              <w:top w:w="15" w:type="dxa"/>
              <w:left w:w="15" w:type="dxa"/>
              <w:bottom w:w="15" w:type="dxa"/>
              <w:right w:w="15" w:type="dxa"/>
            </w:tcMar>
            <w:vAlign w:val="center"/>
          </w:tcPr>
          <w:p w14:paraId="3A3ACC96">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int</w:t>
            </w:r>
          </w:p>
        </w:tc>
        <w:tc>
          <w:tcPr>
            <w:tcW w:w="889" w:type="pct"/>
            <w:tcMar>
              <w:top w:w="15" w:type="dxa"/>
              <w:left w:w="15" w:type="dxa"/>
              <w:bottom w:w="15" w:type="dxa"/>
              <w:right w:w="15" w:type="dxa"/>
            </w:tcMar>
            <w:vAlign w:val="center"/>
          </w:tcPr>
          <w:p w14:paraId="7CC75DD2">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YES</w:t>
            </w:r>
          </w:p>
        </w:tc>
        <w:tc>
          <w:tcPr>
            <w:tcW w:w="685" w:type="pct"/>
            <w:tcMar>
              <w:top w:w="15" w:type="dxa"/>
              <w:left w:w="15" w:type="dxa"/>
              <w:bottom w:w="15" w:type="dxa"/>
              <w:right w:w="15" w:type="dxa"/>
            </w:tcMar>
            <w:vAlign w:val="center"/>
          </w:tcPr>
          <w:p w14:paraId="07673E7F">
            <w:pPr>
              <w:ind w:firstLine="440"/>
              <w:rPr>
                <w:rFonts w:hint="eastAsia" w:ascii="宋体" w:hAnsi="宋体" w:eastAsia="宋体" w:cs="宋体"/>
                <w:sz w:val="22"/>
                <w:szCs w:val="22"/>
                <w:highlight w:val="none"/>
              </w:rPr>
            </w:pPr>
          </w:p>
        </w:tc>
        <w:tc>
          <w:tcPr>
            <w:tcW w:w="1233" w:type="pct"/>
            <w:tcMar>
              <w:top w:w="15" w:type="dxa"/>
              <w:left w:w="15" w:type="dxa"/>
              <w:bottom w:w="15" w:type="dxa"/>
              <w:right w:w="15" w:type="dxa"/>
            </w:tcMar>
            <w:vAlign w:val="center"/>
          </w:tcPr>
          <w:p w14:paraId="1ED555B2">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文本指令类型</w:t>
            </w:r>
          </w:p>
        </w:tc>
      </w:tr>
      <w:tr w14:paraId="30CA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pct"/>
            <w:tcMar>
              <w:top w:w="15" w:type="dxa"/>
              <w:left w:w="15" w:type="dxa"/>
              <w:bottom w:w="15" w:type="dxa"/>
              <w:right w:w="15" w:type="dxa"/>
            </w:tcMar>
            <w:vAlign w:val="center"/>
          </w:tcPr>
          <w:p w14:paraId="738FD4D7">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cmd_content</w:t>
            </w:r>
          </w:p>
        </w:tc>
        <w:tc>
          <w:tcPr>
            <w:tcW w:w="959" w:type="pct"/>
            <w:tcMar>
              <w:top w:w="15" w:type="dxa"/>
              <w:left w:w="15" w:type="dxa"/>
              <w:bottom w:w="15" w:type="dxa"/>
              <w:right w:w="15" w:type="dxa"/>
            </w:tcMar>
            <w:vAlign w:val="center"/>
          </w:tcPr>
          <w:p w14:paraId="6FE52215">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text</w:t>
            </w:r>
          </w:p>
        </w:tc>
        <w:tc>
          <w:tcPr>
            <w:tcW w:w="889" w:type="pct"/>
            <w:tcMar>
              <w:top w:w="15" w:type="dxa"/>
              <w:left w:w="15" w:type="dxa"/>
              <w:bottom w:w="15" w:type="dxa"/>
              <w:right w:w="15" w:type="dxa"/>
            </w:tcMar>
            <w:vAlign w:val="center"/>
          </w:tcPr>
          <w:p w14:paraId="445961B6">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YES</w:t>
            </w:r>
          </w:p>
        </w:tc>
        <w:tc>
          <w:tcPr>
            <w:tcW w:w="685" w:type="pct"/>
            <w:tcMar>
              <w:top w:w="15" w:type="dxa"/>
              <w:left w:w="15" w:type="dxa"/>
              <w:bottom w:w="15" w:type="dxa"/>
              <w:right w:w="15" w:type="dxa"/>
            </w:tcMar>
            <w:vAlign w:val="center"/>
          </w:tcPr>
          <w:p w14:paraId="3406541E">
            <w:pPr>
              <w:ind w:firstLine="440"/>
              <w:rPr>
                <w:rFonts w:hint="eastAsia" w:ascii="宋体" w:hAnsi="宋体" w:eastAsia="宋体" w:cs="宋体"/>
                <w:sz w:val="22"/>
                <w:szCs w:val="22"/>
                <w:highlight w:val="none"/>
              </w:rPr>
            </w:pPr>
          </w:p>
        </w:tc>
        <w:tc>
          <w:tcPr>
            <w:tcW w:w="1233" w:type="pct"/>
            <w:tcMar>
              <w:top w:w="15" w:type="dxa"/>
              <w:left w:w="15" w:type="dxa"/>
              <w:bottom w:w="15" w:type="dxa"/>
              <w:right w:w="15" w:type="dxa"/>
            </w:tcMar>
            <w:vAlign w:val="center"/>
          </w:tcPr>
          <w:p w14:paraId="71D5C3EF">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文本指令内容</w:t>
            </w:r>
          </w:p>
        </w:tc>
      </w:tr>
      <w:tr w14:paraId="0E3B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pct"/>
            <w:tcMar>
              <w:top w:w="15" w:type="dxa"/>
              <w:left w:w="15" w:type="dxa"/>
              <w:bottom w:w="15" w:type="dxa"/>
              <w:right w:w="15" w:type="dxa"/>
            </w:tcMar>
            <w:vAlign w:val="center"/>
          </w:tcPr>
          <w:p w14:paraId="67AE7C88">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cmd_status</w:t>
            </w:r>
          </w:p>
        </w:tc>
        <w:tc>
          <w:tcPr>
            <w:tcW w:w="959" w:type="pct"/>
            <w:tcMar>
              <w:top w:w="15" w:type="dxa"/>
              <w:left w:w="15" w:type="dxa"/>
              <w:bottom w:w="15" w:type="dxa"/>
              <w:right w:w="15" w:type="dxa"/>
            </w:tcMar>
            <w:vAlign w:val="center"/>
          </w:tcPr>
          <w:p w14:paraId="2BEC600C">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int</w:t>
            </w:r>
          </w:p>
        </w:tc>
        <w:tc>
          <w:tcPr>
            <w:tcW w:w="889" w:type="pct"/>
            <w:tcMar>
              <w:top w:w="15" w:type="dxa"/>
              <w:left w:w="15" w:type="dxa"/>
              <w:bottom w:w="15" w:type="dxa"/>
              <w:right w:w="15" w:type="dxa"/>
            </w:tcMar>
            <w:vAlign w:val="center"/>
          </w:tcPr>
          <w:p w14:paraId="262D82C1">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YES</w:t>
            </w:r>
          </w:p>
        </w:tc>
        <w:tc>
          <w:tcPr>
            <w:tcW w:w="685" w:type="pct"/>
            <w:tcMar>
              <w:top w:w="15" w:type="dxa"/>
              <w:left w:w="15" w:type="dxa"/>
              <w:bottom w:w="15" w:type="dxa"/>
              <w:right w:w="15" w:type="dxa"/>
            </w:tcMar>
            <w:vAlign w:val="center"/>
          </w:tcPr>
          <w:p w14:paraId="3AFDEA26">
            <w:pPr>
              <w:ind w:firstLine="440"/>
              <w:rPr>
                <w:rFonts w:hint="eastAsia" w:ascii="宋体" w:hAnsi="宋体" w:eastAsia="宋体" w:cs="宋体"/>
                <w:sz w:val="22"/>
                <w:szCs w:val="22"/>
                <w:highlight w:val="none"/>
              </w:rPr>
            </w:pPr>
          </w:p>
        </w:tc>
        <w:tc>
          <w:tcPr>
            <w:tcW w:w="1233" w:type="pct"/>
            <w:tcMar>
              <w:top w:w="15" w:type="dxa"/>
              <w:left w:w="15" w:type="dxa"/>
              <w:bottom w:w="15" w:type="dxa"/>
              <w:right w:w="15" w:type="dxa"/>
            </w:tcMar>
            <w:vAlign w:val="center"/>
          </w:tcPr>
          <w:p w14:paraId="3A0C8AF2">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文本指令状态</w:t>
            </w:r>
          </w:p>
        </w:tc>
      </w:tr>
      <w:tr w14:paraId="2DF9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pct"/>
            <w:tcMar>
              <w:top w:w="15" w:type="dxa"/>
              <w:left w:w="15" w:type="dxa"/>
              <w:bottom w:w="15" w:type="dxa"/>
              <w:right w:w="15" w:type="dxa"/>
            </w:tcMar>
            <w:vAlign w:val="center"/>
          </w:tcPr>
          <w:p w14:paraId="1376B05D">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dev_type</w:t>
            </w:r>
          </w:p>
        </w:tc>
        <w:tc>
          <w:tcPr>
            <w:tcW w:w="959" w:type="pct"/>
            <w:tcMar>
              <w:top w:w="15" w:type="dxa"/>
              <w:left w:w="15" w:type="dxa"/>
              <w:bottom w:w="15" w:type="dxa"/>
              <w:right w:w="15" w:type="dxa"/>
            </w:tcMar>
            <w:vAlign w:val="center"/>
          </w:tcPr>
          <w:p w14:paraId="4B58A086">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int</w:t>
            </w:r>
          </w:p>
        </w:tc>
        <w:tc>
          <w:tcPr>
            <w:tcW w:w="889" w:type="pct"/>
            <w:tcMar>
              <w:top w:w="15" w:type="dxa"/>
              <w:left w:w="15" w:type="dxa"/>
              <w:bottom w:w="15" w:type="dxa"/>
              <w:right w:w="15" w:type="dxa"/>
            </w:tcMar>
            <w:vAlign w:val="center"/>
          </w:tcPr>
          <w:p w14:paraId="22130C20">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YES</w:t>
            </w:r>
          </w:p>
        </w:tc>
        <w:tc>
          <w:tcPr>
            <w:tcW w:w="685" w:type="pct"/>
            <w:tcMar>
              <w:top w:w="15" w:type="dxa"/>
              <w:left w:w="15" w:type="dxa"/>
              <w:bottom w:w="15" w:type="dxa"/>
              <w:right w:w="15" w:type="dxa"/>
            </w:tcMar>
            <w:vAlign w:val="center"/>
          </w:tcPr>
          <w:p w14:paraId="4FC4DA20">
            <w:pPr>
              <w:ind w:firstLine="440"/>
              <w:rPr>
                <w:rFonts w:hint="eastAsia" w:ascii="宋体" w:hAnsi="宋体" w:eastAsia="宋体" w:cs="宋体"/>
                <w:sz w:val="22"/>
                <w:szCs w:val="22"/>
                <w:highlight w:val="none"/>
              </w:rPr>
            </w:pPr>
          </w:p>
        </w:tc>
        <w:tc>
          <w:tcPr>
            <w:tcW w:w="1233" w:type="pct"/>
            <w:tcMar>
              <w:top w:w="15" w:type="dxa"/>
              <w:left w:w="15" w:type="dxa"/>
              <w:bottom w:w="15" w:type="dxa"/>
              <w:right w:w="15" w:type="dxa"/>
            </w:tcMar>
            <w:vAlign w:val="center"/>
          </w:tcPr>
          <w:p w14:paraId="4DF0E7CC">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设备类型</w:t>
            </w:r>
          </w:p>
        </w:tc>
      </w:tr>
      <w:tr w14:paraId="354F3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pct"/>
            <w:tcMar>
              <w:top w:w="15" w:type="dxa"/>
              <w:left w:w="15" w:type="dxa"/>
              <w:bottom w:w="15" w:type="dxa"/>
              <w:right w:w="15" w:type="dxa"/>
            </w:tcMar>
            <w:vAlign w:val="center"/>
          </w:tcPr>
          <w:p w14:paraId="53BFC079">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dev_id</w:t>
            </w:r>
          </w:p>
        </w:tc>
        <w:tc>
          <w:tcPr>
            <w:tcW w:w="959" w:type="pct"/>
            <w:tcMar>
              <w:top w:w="15" w:type="dxa"/>
              <w:left w:w="15" w:type="dxa"/>
              <w:bottom w:w="15" w:type="dxa"/>
              <w:right w:w="15" w:type="dxa"/>
            </w:tcMar>
            <w:vAlign w:val="center"/>
          </w:tcPr>
          <w:p w14:paraId="7E47B520">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varchar(40)</w:t>
            </w:r>
          </w:p>
        </w:tc>
        <w:tc>
          <w:tcPr>
            <w:tcW w:w="889" w:type="pct"/>
            <w:tcMar>
              <w:top w:w="15" w:type="dxa"/>
              <w:left w:w="15" w:type="dxa"/>
              <w:bottom w:w="15" w:type="dxa"/>
              <w:right w:w="15" w:type="dxa"/>
            </w:tcMar>
            <w:vAlign w:val="center"/>
          </w:tcPr>
          <w:p w14:paraId="1FFC7E4B">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YES</w:t>
            </w:r>
          </w:p>
        </w:tc>
        <w:tc>
          <w:tcPr>
            <w:tcW w:w="685" w:type="pct"/>
            <w:tcMar>
              <w:top w:w="15" w:type="dxa"/>
              <w:left w:w="15" w:type="dxa"/>
              <w:bottom w:w="15" w:type="dxa"/>
              <w:right w:w="15" w:type="dxa"/>
            </w:tcMar>
            <w:vAlign w:val="center"/>
          </w:tcPr>
          <w:p w14:paraId="3485CBDA">
            <w:pPr>
              <w:ind w:firstLine="440"/>
              <w:rPr>
                <w:rFonts w:hint="eastAsia" w:ascii="宋体" w:hAnsi="宋体" w:eastAsia="宋体" w:cs="宋体"/>
                <w:sz w:val="22"/>
                <w:szCs w:val="22"/>
                <w:highlight w:val="none"/>
              </w:rPr>
            </w:pPr>
          </w:p>
        </w:tc>
        <w:tc>
          <w:tcPr>
            <w:tcW w:w="1233" w:type="pct"/>
            <w:tcMar>
              <w:top w:w="15" w:type="dxa"/>
              <w:left w:w="15" w:type="dxa"/>
              <w:bottom w:w="15" w:type="dxa"/>
              <w:right w:w="15" w:type="dxa"/>
            </w:tcMar>
            <w:vAlign w:val="center"/>
          </w:tcPr>
          <w:p w14:paraId="0BEA446A">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设备号</w:t>
            </w:r>
          </w:p>
        </w:tc>
      </w:tr>
      <w:tr w14:paraId="0BF4E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pct"/>
            <w:tcMar>
              <w:top w:w="15" w:type="dxa"/>
              <w:left w:w="15" w:type="dxa"/>
              <w:bottom w:w="15" w:type="dxa"/>
              <w:right w:w="15" w:type="dxa"/>
            </w:tcMar>
            <w:vAlign w:val="center"/>
          </w:tcPr>
          <w:p w14:paraId="3C15AE65">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create_time</w:t>
            </w:r>
          </w:p>
        </w:tc>
        <w:tc>
          <w:tcPr>
            <w:tcW w:w="959" w:type="pct"/>
            <w:tcMar>
              <w:top w:w="15" w:type="dxa"/>
              <w:left w:w="15" w:type="dxa"/>
              <w:bottom w:w="15" w:type="dxa"/>
              <w:right w:w="15" w:type="dxa"/>
            </w:tcMar>
            <w:vAlign w:val="center"/>
          </w:tcPr>
          <w:p w14:paraId="26D028CB">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bigint</w:t>
            </w:r>
          </w:p>
        </w:tc>
        <w:tc>
          <w:tcPr>
            <w:tcW w:w="889" w:type="pct"/>
            <w:tcMar>
              <w:top w:w="15" w:type="dxa"/>
              <w:left w:w="15" w:type="dxa"/>
              <w:bottom w:w="15" w:type="dxa"/>
              <w:right w:w="15" w:type="dxa"/>
            </w:tcMar>
            <w:vAlign w:val="center"/>
          </w:tcPr>
          <w:p w14:paraId="1AB9ADE5">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YES</w:t>
            </w:r>
          </w:p>
        </w:tc>
        <w:tc>
          <w:tcPr>
            <w:tcW w:w="685" w:type="pct"/>
            <w:tcMar>
              <w:top w:w="15" w:type="dxa"/>
              <w:left w:w="15" w:type="dxa"/>
              <w:bottom w:w="15" w:type="dxa"/>
              <w:right w:w="15" w:type="dxa"/>
            </w:tcMar>
            <w:vAlign w:val="center"/>
          </w:tcPr>
          <w:p w14:paraId="6050DBDE">
            <w:pPr>
              <w:ind w:firstLine="440"/>
              <w:rPr>
                <w:rFonts w:hint="eastAsia" w:ascii="宋体" w:hAnsi="宋体" w:eastAsia="宋体" w:cs="宋体"/>
                <w:sz w:val="22"/>
                <w:szCs w:val="22"/>
                <w:highlight w:val="none"/>
              </w:rPr>
            </w:pPr>
          </w:p>
        </w:tc>
        <w:tc>
          <w:tcPr>
            <w:tcW w:w="1233" w:type="pct"/>
            <w:tcMar>
              <w:top w:w="15" w:type="dxa"/>
              <w:left w:w="15" w:type="dxa"/>
              <w:bottom w:w="15" w:type="dxa"/>
              <w:right w:w="15" w:type="dxa"/>
            </w:tcMar>
            <w:vAlign w:val="center"/>
          </w:tcPr>
          <w:p w14:paraId="190FBDE6">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创建时间</w:t>
            </w:r>
          </w:p>
        </w:tc>
      </w:tr>
      <w:tr w14:paraId="38AB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pct"/>
            <w:tcMar>
              <w:top w:w="15" w:type="dxa"/>
              <w:left w:w="15" w:type="dxa"/>
              <w:bottom w:w="15" w:type="dxa"/>
              <w:right w:w="15" w:type="dxa"/>
            </w:tcMar>
            <w:vAlign w:val="center"/>
          </w:tcPr>
          <w:p w14:paraId="4DB8A313">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update_time</w:t>
            </w:r>
          </w:p>
        </w:tc>
        <w:tc>
          <w:tcPr>
            <w:tcW w:w="959" w:type="pct"/>
            <w:tcMar>
              <w:top w:w="15" w:type="dxa"/>
              <w:left w:w="15" w:type="dxa"/>
              <w:bottom w:w="15" w:type="dxa"/>
              <w:right w:w="15" w:type="dxa"/>
            </w:tcMar>
            <w:vAlign w:val="center"/>
          </w:tcPr>
          <w:p w14:paraId="3F54E373">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bigint</w:t>
            </w:r>
          </w:p>
        </w:tc>
        <w:tc>
          <w:tcPr>
            <w:tcW w:w="889" w:type="pct"/>
            <w:tcMar>
              <w:top w:w="15" w:type="dxa"/>
              <w:left w:w="15" w:type="dxa"/>
              <w:bottom w:w="15" w:type="dxa"/>
              <w:right w:w="15" w:type="dxa"/>
            </w:tcMar>
            <w:vAlign w:val="center"/>
          </w:tcPr>
          <w:p w14:paraId="36A67A8F">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YES</w:t>
            </w:r>
          </w:p>
        </w:tc>
        <w:tc>
          <w:tcPr>
            <w:tcW w:w="685" w:type="pct"/>
            <w:tcMar>
              <w:top w:w="15" w:type="dxa"/>
              <w:left w:w="15" w:type="dxa"/>
              <w:bottom w:w="15" w:type="dxa"/>
              <w:right w:w="15" w:type="dxa"/>
            </w:tcMar>
            <w:vAlign w:val="center"/>
          </w:tcPr>
          <w:p w14:paraId="2BB89A3D">
            <w:pPr>
              <w:ind w:firstLine="440"/>
              <w:rPr>
                <w:rFonts w:hint="eastAsia" w:ascii="宋体" w:hAnsi="宋体" w:eastAsia="宋体" w:cs="宋体"/>
                <w:sz w:val="22"/>
                <w:szCs w:val="22"/>
                <w:highlight w:val="none"/>
              </w:rPr>
            </w:pPr>
          </w:p>
        </w:tc>
        <w:tc>
          <w:tcPr>
            <w:tcW w:w="1233" w:type="pct"/>
            <w:tcMar>
              <w:top w:w="15" w:type="dxa"/>
              <w:left w:w="15" w:type="dxa"/>
              <w:bottom w:w="15" w:type="dxa"/>
              <w:right w:w="15" w:type="dxa"/>
            </w:tcMar>
            <w:vAlign w:val="center"/>
          </w:tcPr>
          <w:p w14:paraId="6401EB47">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更新时间</w:t>
            </w:r>
          </w:p>
        </w:tc>
      </w:tr>
      <w:tr w14:paraId="2E50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pct"/>
            <w:tcMar>
              <w:top w:w="15" w:type="dxa"/>
              <w:left w:w="15" w:type="dxa"/>
              <w:bottom w:w="15" w:type="dxa"/>
              <w:right w:w="15" w:type="dxa"/>
            </w:tcMar>
            <w:vAlign w:val="center"/>
          </w:tcPr>
          <w:p w14:paraId="3635EDC3">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user_id</w:t>
            </w:r>
          </w:p>
        </w:tc>
        <w:tc>
          <w:tcPr>
            <w:tcW w:w="959" w:type="pct"/>
            <w:tcMar>
              <w:top w:w="15" w:type="dxa"/>
              <w:left w:w="15" w:type="dxa"/>
              <w:bottom w:w="15" w:type="dxa"/>
              <w:right w:w="15" w:type="dxa"/>
            </w:tcMar>
            <w:vAlign w:val="center"/>
          </w:tcPr>
          <w:p w14:paraId="4DEF2ED3">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uuid</w:t>
            </w:r>
          </w:p>
        </w:tc>
        <w:tc>
          <w:tcPr>
            <w:tcW w:w="889" w:type="pct"/>
            <w:tcMar>
              <w:top w:w="15" w:type="dxa"/>
              <w:left w:w="15" w:type="dxa"/>
              <w:bottom w:w="15" w:type="dxa"/>
              <w:right w:w="15" w:type="dxa"/>
            </w:tcMar>
            <w:vAlign w:val="center"/>
          </w:tcPr>
          <w:p w14:paraId="6BE43E73">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YES</w:t>
            </w:r>
          </w:p>
        </w:tc>
        <w:tc>
          <w:tcPr>
            <w:tcW w:w="685" w:type="pct"/>
            <w:tcMar>
              <w:top w:w="15" w:type="dxa"/>
              <w:left w:w="15" w:type="dxa"/>
              <w:bottom w:w="15" w:type="dxa"/>
              <w:right w:w="15" w:type="dxa"/>
            </w:tcMar>
            <w:vAlign w:val="center"/>
          </w:tcPr>
          <w:p w14:paraId="2E3CADE6">
            <w:pPr>
              <w:ind w:firstLine="440"/>
              <w:rPr>
                <w:rFonts w:hint="eastAsia" w:ascii="宋体" w:hAnsi="宋体" w:eastAsia="宋体" w:cs="宋体"/>
                <w:sz w:val="22"/>
                <w:szCs w:val="22"/>
                <w:highlight w:val="none"/>
              </w:rPr>
            </w:pPr>
          </w:p>
        </w:tc>
        <w:tc>
          <w:tcPr>
            <w:tcW w:w="1233" w:type="pct"/>
            <w:tcMar>
              <w:top w:w="15" w:type="dxa"/>
              <w:left w:w="15" w:type="dxa"/>
              <w:bottom w:w="15" w:type="dxa"/>
              <w:right w:w="15" w:type="dxa"/>
            </w:tcMar>
            <w:vAlign w:val="center"/>
          </w:tcPr>
          <w:p w14:paraId="68E82E96">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用户id</w:t>
            </w:r>
          </w:p>
        </w:tc>
      </w:tr>
      <w:tr w14:paraId="64FEA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pct"/>
            <w:tcMar>
              <w:top w:w="15" w:type="dxa"/>
              <w:left w:w="15" w:type="dxa"/>
              <w:bottom w:w="15" w:type="dxa"/>
              <w:right w:w="15" w:type="dxa"/>
            </w:tcMar>
            <w:vAlign w:val="center"/>
          </w:tcPr>
          <w:p w14:paraId="552C910D">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protocol</w:t>
            </w:r>
          </w:p>
        </w:tc>
        <w:tc>
          <w:tcPr>
            <w:tcW w:w="959" w:type="pct"/>
            <w:tcMar>
              <w:top w:w="15" w:type="dxa"/>
              <w:left w:w="15" w:type="dxa"/>
              <w:bottom w:w="15" w:type="dxa"/>
              <w:right w:w="15" w:type="dxa"/>
            </w:tcMar>
            <w:vAlign w:val="center"/>
          </w:tcPr>
          <w:p w14:paraId="29C582EE">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smallint</w:t>
            </w:r>
          </w:p>
        </w:tc>
        <w:tc>
          <w:tcPr>
            <w:tcW w:w="889" w:type="pct"/>
            <w:tcMar>
              <w:top w:w="15" w:type="dxa"/>
              <w:left w:w="15" w:type="dxa"/>
              <w:bottom w:w="15" w:type="dxa"/>
              <w:right w:w="15" w:type="dxa"/>
            </w:tcMar>
            <w:vAlign w:val="center"/>
          </w:tcPr>
          <w:p w14:paraId="193CAAD2">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YES</w:t>
            </w:r>
          </w:p>
        </w:tc>
        <w:tc>
          <w:tcPr>
            <w:tcW w:w="685" w:type="pct"/>
            <w:tcMar>
              <w:top w:w="15" w:type="dxa"/>
              <w:left w:w="15" w:type="dxa"/>
              <w:bottom w:w="15" w:type="dxa"/>
              <w:right w:w="15" w:type="dxa"/>
            </w:tcMar>
            <w:vAlign w:val="center"/>
          </w:tcPr>
          <w:p w14:paraId="47720345">
            <w:pPr>
              <w:ind w:firstLine="440"/>
              <w:rPr>
                <w:rFonts w:hint="eastAsia" w:ascii="宋体" w:hAnsi="宋体" w:eastAsia="宋体" w:cs="宋体"/>
                <w:sz w:val="22"/>
                <w:szCs w:val="22"/>
                <w:highlight w:val="none"/>
              </w:rPr>
            </w:pPr>
          </w:p>
        </w:tc>
        <w:tc>
          <w:tcPr>
            <w:tcW w:w="1233" w:type="pct"/>
            <w:tcMar>
              <w:top w:w="15" w:type="dxa"/>
              <w:left w:w="15" w:type="dxa"/>
              <w:bottom w:w="15" w:type="dxa"/>
              <w:right w:w="15" w:type="dxa"/>
            </w:tcMar>
            <w:vAlign w:val="center"/>
          </w:tcPr>
          <w:p w14:paraId="7BF444C1">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协议类型</w:t>
            </w:r>
          </w:p>
        </w:tc>
      </w:tr>
      <w:tr w14:paraId="32984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pct"/>
            <w:tcMar>
              <w:top w:w="15" w:type="dxa"/>
              <w:left w:w="15" w:type="dxa"/>
              <w:bottom w:w="15" w:type="dxa"/>
              <w:right w:w="15" w:type="dxa"/>
            </w:tcMar>
            <w:vAlign w:val="center"/>
          </w:tcPr>
          <w:p w14:paraId="1841EAA0">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type</w:t>
            </w:r>
          </w:p>
        </w:tc>
        <w:tc>
          <w:tcPr>
            <w:tcW w:w="959" w:type="pct"/>
            <w:tcMar>
              <w:top w:w="15" w:type="dxa"/>
              <w:left w:w="15" w:type="dxa"/>
              <w:bottom w:w="15" w:type="dxa"/>
              <w:right w:w="15" w:type="dxa"/>
            </w:tcMar>
            <w:vAlign w:val="center"/>
          </w:tcPr>
          <w:p w14:paraId="33D2BA9E">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smallint</w:t>
            </w:r>
          </w:p>
        </w:tc>
        <w:tc>
          <w:tcPr>
            <w:tcW w:w="889" w:type="pct"/>
            <w:tcMar>
              <w:top w:w="15" w:type="dxa"/>
              <w:left w:w="15" w:type="dxa"/>
              <w:bottom w:w="15" w:type="dxa"/>
              <w:right w:w="15" w:type="dxa"/>
            </w:tcMar>
            <w:vAlign w:val="center"/>
          </w:tcPr>
          <w:p w14:paraId="364E059B">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YES</w:t>
            </w:r>
          </w:p>
        </w:tc>
        <w:tc>
          <w:tcPr>
            <w:tcW w:w="685" w:type="pct"/>
            <w:tcMar>
              <w:top w:w="15" w:type="dxa"/>
              <w:left w:w="15" w:type="dxa"/>
              <w:bottom w:w="15" w:type="dxa"/>
              <w:right w:w="15" w:type="dxa"/>
            </w:tcMar>
            <w:vAlign w:val="center"/>
          </w:tcPr>
          <w:p w14:paraId="6A39ECB7">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1</w:t>
            </w:r>
          </w:p>
        </w:tc>
        <w:tc>
          <w:tcPr>
            <w:tcW w:w="1233" w:type="pct"/>
            <w:tcMar>
              <w:top w:w="15" w:type="dxa"/>
              <w:left w:w="15" w:type="dxa"/>
              <w:bottom w:w="15" w:type="dxa"/>
              <w:right w:w="15" w:type="dxa"/>
            </w:tcMar>
            <w:vAlign w:val="center"/>
          </w:tcPr>
          <w:p w14:paraId="4B3B076A">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指令类型</w:t>
            </w:r>
          </w:p>
        </w:tc>
      </w:tr>
      <w:tr w14:paraId="76A89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2" w:type="pct"/>
            <w:tcMar>
              <w:top w:w="15" w:type="dxa"/>
              <w:left w:w="15" w:type="dxa"/>
              <w:bottom w:w="15" w:type="dxa"/>
              <w:right w:w="15" w:type="dxa"/>
            </w:tcMar>
            <w:vAlign w:val="center"/>
          </w:tcPr>
          <w:p w14:paraId="17C209D3">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airport</w:t>
            </w:r>
          </w:p>
        </w:tc>
        <w:tc>
          <w:tcPr>
            <w:tcW w:w="959" w:type="pct"/>
            <w:tcMar>
              <w:top w:w="15" w:type="dxa"/>
              <w:left w:w="15" w:type="dxa"/>
              <w:bottom w:w="15" w:type="dxa"/>
              <w:right w:w="15" w:type="dxa"/>
            </w:tcMar>
            <w:vAlign w:val="center"/>
          </w:tcPr>
          <w:p w14:paraId="09FFA4FE">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varchar(10)</w:t>
            </w:r>
          </w:p>
        </w:tc>
        <w:tc>
          <w:tcPr>
            <w:tcW w:w="889" w:type="pct"/>
            <w:tcMar>
              <w:top w:w="15" w:type="dxa"/>
              <w:left w:w="15" w:type="dxa"/>
              <w:bottom w:w="15" w:type="dxa"/>
              <w:right w:w="15" w:type="dxa"/>
            </w:tcMar>
            <w:vAlign w:val="center"/>
          </w:tcPr>
          <w:p w14:paraId="2F6966BC">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YES</w:t>
            </w:r>
          </w:p>
        </w:tc>
        <w:tc>
          <w:tcPr>
            <w:tcW w:w="685" w:type="pct"/>
            <w:tcMar>
              <w:top w:w="15" w:type="dxa"/>
              <w:left w:w="15" w:type="dxa"/>
              <w:bottom w:w="15" w:type="dxa"/>
              <w:right w:w="15" w:type="dxa"/>
            </w:tcMar>
            <w:vAlign w:val="center"/>
          </w:tcPr>
          <w:p w14:paraId="7997188E">
            <w:pPr>
              <w:ind w:firstLine="440"/>
              <w:rPr>
                <w:rFonts w:hint="eastAsia" w:ascii="宋体" w:hAnsi="宋体" w:eastAsia="宋体" w:cs="宋体"/>
                <w:sz w:val="22"/>
                <w:szCs w:val="22"/>
                <w:highlight w:val="none"/>
              </w:rPr>
            </w:pPr>
          </w:p>
        </w:tc>
        <w:tc>
          <w:tcPr>
            <w:tcW w:w="1233" w:type="pct"/>
            <w:tcMar>
              <w:top w:w="15" w:type="dxa"/>
              <w:left w:w="15" w:type="dxa"/>
              <w:bottom w:w="15" w:type="dxa"/>
              <w:right w:w="15" w:type="dxa"/>
            </w:tcMar>
            <w:vAlign w:val="center"/>
          </w:tcPr>
          <w:p w14:paraId="3495ECC2">
            <w:pPr>
              <w:ind w:firstLine="440"/>
              <w:rPr>
                <w:rFonts w:hint="eastAsia" w:ascii="宋体" w:hAnsi="宋体" w:eastAsia="宋体" w:cs="宋体"/>
                <w:sz w:val="22"/>
                <w:szCs w:val="22"/>
                <w:highlight w:val="none"/>
              </w:rPr>
            </w:pPr>
            <w:r>
              <w:rPr>
                <w:rFonts w:hint="eastAsia" w:ascii="宋体" w:hAnsi="宋体" w:eastAsia="宋体" w:cs="宋体"/>
                <w:sz w:val="22"/>
                <w:szCs w:val="22"/>
                <w:highlight w:val="none"/>
              </w:rPr>
              <w:t>机场三字码</w:t>
            </w:r>
          </w:p>
        </w:tc>
      </w:tr>
    </w:tbl>
    <w:p w14:paraId="3D4E541E">
      <w:pPr>
        <w:ind w:firstLine="480"/>
        <w:rPr>
          <w:rFonts w:hint="eastAsia" w:ascii="宋体" w:hAnsi="宋体" w:eastAsia="宋体" w:cs="宋体"/>
          <w:highlight w:val="none"/>
        </w:rPr>
      </w:pPr>
    </w:p>
    <w:p w14:paraId="00FDE0F0">
      <w:pPr>
        <w:pStyle w:val="5"/>
        <w:keepNext/>
        <w:keepLines/>
        <w:pageBreakBefore w:val="0"/>
        <w:widowControl w:val="0"/>
        <w:kinsoku/>
        <w:wordWrap/>
        <w:overflowPunct/>
        <w:topLinePunct w:val="0"/>
        <w:autoSpaceDE/>
        <w:autoSpaceDN/>
        <w:bidi w:val="0"/>
        <w:adjustRightInd/>
        <w:snapToGrid/>
        <w:spacing w:line="400" w:lineRule="exact"/>
        <w:ind w:left="422" w:hanging="422" w:hangingChars="200"/>
        <w:textAlignment w:val="auto"/>
        <w:rPr>
          <w:rFonts w:hint="eastAsia"/>
          <w:highlight w:val="none"/>
        </w:rPr>
      </w:pPr>
      <w:r>
        <w:rPr>
          <w:rFonts w:hint="eastAsia"/>
          <w:highlight w:val="none"/>
        </w:rPr>
        <w:t>数据接口设计</w:t>
      </w:r>
    </w:p>
    <w:p w14:paraId="26AB0917">
      <w:pPr>
        <w:pStyle w:val="65"/>
        <w:rPr>
          <w:rFonts w:hint="eastAsia" w:ascii="宋体" w:hAnsi="宋体" w:eastAsia="宋体" w:cs="宋体"/>
          <w:highlight w:val="none"/>
        </w:rPr>
      </w:pPr>
      <w:r>
        <w:rPr>
          <w:rFonts w:hint="eastAsia" w:ascii="宋体" w:hAnsi="宋体" w:eastAsia="宋体" w:cs="宋体"/>
          <w:highlight w:val="none"/>
        </w:rPr>
        <w:t>本期项目系统提供的数据资源目录表</w:t>
      </w:r>
    </w:p>
    <w:tbl>
      <w:tblPr>
        <w:tblStyle w:val="34"/>
        <w:tblW w:w="515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689"/>
        <w:gridCol w:w="1895"/>
        <w:gridCol w:w="1644"/>
        <w:gridCol w:w="1023"/>
        <w:gridCol w:w="740"/>
        <w:gridCol w:w="692"/>
        <w:gridCol w:w="1135"/>
      </w:tblGrid>
      <w:tr w14:paraId="4FB9B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398" w:type="pct"/>
            <w:vAlign w:val="center"/>
          </w:tcPr>
          <w:p w14:paraId="0A88902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序号</w:t>
            </w:r>
          </w:p>
        </w:tc>
        <w:tc>
          <w:tcPr>
            <w:tcW w:w="880" w:type="pct"/>
            <w:vAlign w:val="center"/>
          </w:tcPr>
          <w:p w14:paraId="340ECA2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数据资源名称</w:t>
            </w:r>
          </w:p>
        </w:tc>
        <w:tc>
          <w:tcPr>
            <w:tcW w:w="988" w:type="pct"/>
            <w:vAlign w:val="center"/>
          </w:tcPr>
          <w:p w14:paraId="366DE8D0">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数据资源项（字段名称）</w:t>
            </w:r>
          </w:p>
        </w:tc>
        <w:tc>
          <w:tcPr>
            <w:tcW w:w="857" w:type="pct"/>
            <w:vAlign w:val="center"/>
          </w:tcPr>
          <w:p w14:paraId="31893CF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数据类型</w:t>
            </w:r>
          </w:p>
        </w:tc>
        <w:tc>
          <w:tcPr>
            <w:tcW w:w="534" w:type="pct"/>
            <w:vAlign w:val="center"/>
          </w:tcPr>
          <w:p w14:paraId="78F44670">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共享</w:t>
            </w:r>
          </w:p>
          <w:p w14:paraId="4E3F22C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条件</w:t>
            </w:r>
          </w:p>
        </w:tc>
        <w:tc>
          <w:tcPr>
            <w:tcW w:w="386" w:type="pct"/>
            <w:vAlign w:val="center"/>
          </w:tcPr>
          <w:p w14:paraId="67273D3B">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共享</w:t>
            </w:r>
          </w:p>
          <w:p w14:paraId="6764FF0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方式</w:t>
            </w:r>
          </w:p>
        </w:tc>
        <w:tc>
          <w:tcPr>
            <w:tcW w:w="361" w:type="pct"/>
            <w:vAlign w:val="center"/>
          </w:tcPr>
          <w:p w14:paraId="2899E19B">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开放</w:t>
            </w:r>
          </w:p>
          <w:p w14:paraId="3270B427">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属性</w:t>
            </w:r>
          </w:p>
        </w:tc>
        <w:tc>
          <w:tcPr>
            <w:tcW w:w="592" w:type="pct"/>
            <w:vAlign w:val="center"/>
          </w:tcPr>
          <w:p w14:paraId="28BC0287">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数据更新频度</w:t>
            </w:r>
          </w:p>
        </w:tc>
      </w:tr>
      <w:tr w14:paraId="00627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14:paraId="23BBC2E0">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w:t>
            </w:r>
          </w:p>
        </w:tc>
        <w:tc>
          <w:tcPr>
            <w:tcW w:w="880" w:type="pct"/>
            <w:vAlign w:val="center"/>
          </w:tcPr>
          <w:p w14:paraId="752FC4EB">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车辆ID</w:t>
            </w:r>
          </w:p>
        </w:tc>
        <w:tc>
          <w:tcPr>
            <w:tcW w:w="988" w:type="pct"/>
            <w:vAlign w:val="center"/>
          </w:tcPr>
          <w:p w14:paraId="44A25864">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id</w:t>
            </w:r>
          </w:p>
        </w:tc>
        <w:tc>
          <w:tcPr>
            <w:tcW w:w="857" w:type="pct"/>
            <w:vAlign w:val="center"/>
          </w:tcPr>
          <w:p w14:paraId="2325D942">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uuid</w:t>
            </w:r>
          </w:p>
        </w:tc>
        <w:tc>
          <w:tcPr>
            <w:tcW w:w="534" w:type="pct"/>
            <w:vAlign w:val="center"/>
          </w:tcPr>
          <w:p w14:paraId="7E0C862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41836374">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688B388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40044F49">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479AA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8" w:type="pct"/>
            <w:vAlign w:val="center"/>
          </w:tcPr>
          <w:p w14:paraId="5DA9818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w:t>
            </w:r>
          </w:p>
        </w:tc>
        <w:tc>
          <w:tcPr>
            <w:tcW w:w="880" w:type="pct"/>
            <w:vAlign w:val="center"/>
          </w:tcPr>
          <w:p w14:paraId="4ADA2BE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车牌号</w:t>
            </w:r>
          </w:p>
        </w:tc>
        <w:tc>
          <w:tcPr>
            <w:tcW w:w="988" w:type="pct"/>
            <w:vAlign w:val="center"/>
          </w:tcPr>
          <w:p w14:paraId="2ED3E0D7">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number</w:t>
            </w:r>
          </w:p>
        </w:tc>
        <w:tc>
          <w:tcPr>
            <w:tcW w:w="857" w:type="pct"/>
            <w:vAlign w:val="center"/>
          </w:tcPr>
          <w:p w14:paraId="1165655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text</w:t>
            </w:r>
          </w:p>
        </w:tc>
        <w:tc>
          <w:tcPr>
            <w:tcW w:w="534" w:type="pct"/>
            <w:vAlign w:val="center"/>
          </w:tcPr>
          <w:p w14:paraId="79EE384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42F33040">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068EE357">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32B43D2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2E72C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13B7FF23">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3</w:t>
            </w:r>
          </w:p>
        </w:tc>
        <w:tc>
          <w:tcPr>
            <w:tcW w:w="880" w:type="pct"/>
            <w:vAlign w:val="center"/>
          </w:tcPr>
          <w:p w14:paraId="14C3908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设备号</w:t>
            </w:r>
          </w:p>
        </w:tc>
        <w:tc>
          <w:tcPr>
            <w:tcW w:w="988" w:type="pct"/>
            <w:vAlign w:val="center"/>
          </w:tcPr>
          <w:p w14:paraId="2D8D127E">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devid</w:t>
            </w:r>
          </w:p>
        </w:tc>
        <w:tc>
          <w:tcPr>
            <w:tcW w:w="857" w:type="pct"/>
            <w:vAlign w:val="center"/>
          </w:tcPr>
          <w:p w14:paraId="180B382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text</w:t>
            </w:r>
          </w:p>
        </w:tc>
        <w:tc>
          <w:tcPr>
            <w:tcW w:w="534" w:type="pct"/>
            <w:vAlign w:val="center"/>
          </w:tcPr>
          <w:p w14:paraId="017500F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00B3A9D4">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0786DB2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5B92EBF4">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737C3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053CAAA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4</w:t>
            </w:r>
          </w:p>
        </w:tc>
        <w:tc>
          <w:tcPr>
            <w:tcW w:w="880" w:type="pct"/>
            <w:vAlign w:val="center"/>
          </w:tcPr>
          <w:p w14:paraId="036C4C13">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卡号</w:t>
            </w:r>
          </w:p>
        </w:tc>
        <w:tc>
          <w:tcPr>
            <w:tcW w:w="988" w:type="pct"/>
            <w:vAlign w:val="center"/>
          </w:tcPr>
          <w:p w14:paraId="6CAF223B">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sim</w:t>
            </w:r>
          </w:p>
        </w:tc>
        <w:tc>
          <w:tcPr>
            <w:tcW w:w="857" w:type="pct"/>
            <w:vAlign w:val="center"/>
          </w:tcPr>
          <w:p w14:paraId="15C12D8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text</w:t>
            </w:r>
          </w:p>
        </w:tc>
        <w:tc>
          <w:tcPr>
            <w:tcW w:w="534" w:type="pct"/>
            <w:vAlign w:val="center"/>
          </w:tcPr>
          <w:p w14:paraId="2EFBF300">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12A61CD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09AE50A3">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7F582479">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2D03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003F08B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5</w:t>
            </w:r>
          </w:p>
        </w:tc>
        <w:tc>
          <w:tcPr>
            <w:tcW w:w="880" w:type="pct"/>
            <w:vAlign w:val="center"/>
          </w:tcPr>
          <w:p w14:paraId="0D3F45F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车辆类型id</w:t>
            </w:r>
          </w:p>
        </w:tc>
        <w:tc>
          <w:tcPr>
            <w:tcW w:w="988" w:type="pct"/>
            <w:vAlign w:val="center"/>
          </w:tcPr>
          <w:p w14:paraId="4F6B6ED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vehicletype</w:t>
            </w:r>
          </w:p>
        </w:tc>
        <w:tc>
          <w:tcPr>
            <w:tcW w:w="857" w:type="pct"/>
            <w:vAlign w:val="center"/>
          </w:tcPr>
          <w:p w14:paraId="6787339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uuid</w:t>
            </w:r>
          </w:p>
        </w:tc>
        <w:tc>
          <w:tcPr>
            <w:tcW w:w="534" w:type="pct"/>
            <w:vAlign w:val="center"/>
          </w:tcPr>
          <w:p w14:paraId="48D2F31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5FC4548E">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09ECA2F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56343C89">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2605A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710A4809">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6</w:t>
            </w:r>
          </w:p>
        </w:tc>
        <w:tc>
          <w:tcPr>
            <w:tcW w:w="880" w:type="pct"/>
            <w:vAlign w:val="center"/>
          </w:tcPr>
          <w:p w14:paraId="327A7483">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所属部门id</w:t>
            </w:r>
          </w:p>
        </w:tc>
        <w:tc>
          <w:tcPr>
            <w:tcW w:w="988" w:type="pct"/>
            <w:vAlign w:val="center"/>
          </w:tcPr>
          <w:p w14:paraId="1ED48728">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department</w:t>
            </w:r>
          </w:p>
        </w:tc>
        <w:tc>
          <w:tcPr>
            <w:tcW w:w="857" w:type="pct"/>
            <w:vAlign w:val="center"/>
          </w:tcPr>
          <w:p w14:paraId="5A51BA88">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uuid</w:t>
            </w:r>
          </w:p>
        </w:tc>
        <w:tc>
          <w:tcPr>
            <w:tcW w:w="534" w:type="pct"/>
            <w:vAlign w:val="center"/>
          </w:tcPr>
          <w:p w14:paraId="0C6DEBAB">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6FF6C70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693F25F2">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369FA83B">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02604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4203C23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7</w:t>
            </w:r>
          </w:p>
        </w:tc>
        <w:tc>
          <w:tcPr>
            <w:tcW w:w="880" w:type="pct"/>
            <w:vAlign w:val="center"/>
          </w:tcPr>
          <w:p w14:paraId="253F5250">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所属机场</w:t>
            </w:r>
          </w:p>
        </w:tc>
        <w:tc>
          <w:tcPr>
            <w:tcW w:w="988" w:type="pct"/>
            <w:vAlign w:val="center"/>
          </w:tcPr>
          <w:p w14:paraId="09458ABA">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posowner</w:t>
            </w:r>
          </w:p>
        </w:tc>
        <w:tc>
          <w:tcPr>
            <w:tcW w:w="857" w:type="pct"/>
            <w:vAlign w:val="center"/>
          </w:tcPr>
          <w:p w14:paraId="4BE7B5D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text</w:t>
            </w:r>
          </w:p>
        </w:tc>
        <w:tc>
          <w:tcPr>
            <w:tcW w:w="534" w:type="pct"/>
            <w:vAlign w:val="center"/>
          </w:tcPr>
          <w:p w14:paraId="1338FD9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0C661C19">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4450971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62C0328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3A4DE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41ADB81E">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8</w:t>
            </w:r>
          </w:p>
        </w:tc>
        <w:tc>
          <w:tcPr>
            <w:tcW w:w="880" w:type="pct"/>
            <w:vAlign w:val="center"/>
          </w:tcPr>
          <w:p w14:paraId="407D298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车辆状态</w:t>
            </w:r>
          </w:p>
        </w:tc>
        <w:tc>
          <w:tcPr>
            <w:tcW w:w="988" w:type="pct"/>
            <w:vAlign w:val="center"/>
          </w:tcPr>
          <w:p w14:paraId="1CAFB7C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vehiclestatus</w:t>
            </w:r>
          </w:p>
        </w:tc>
        <w:tc>
          <w:tcPr>
            <w:tcW w:w="857" w:type="pct"/>
            <w:vAlign w:val="center"/>
          </w:tcPr>
          <w:p w14:paraId="1C291D10">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smallint</w:t>
            </w:r>
          </w:p>
        </w:tc>
        <w:tc>
          <w:tcPr>
            <w:tcW w:w="534" w:type="pct"/>
            <w:vAlign w:val="center"/>
          </w:tcPr>
          <w:p w14:paraId="704CC042">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4B788ED3">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6B0C0F63">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48B747E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061AC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5A2F763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9</w:t>
            </w:r>
          </w:p>
        </w:tc>
        <w:tc>
          <w:tcPr>
            <w:tcW w:w="880" w:type="pct"/>
            <w:vAlign w:val="center"/>
          </w:tcPr>
          <w:p w14:paraId="69D7C1C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安装日期</w:t>
            </w:r>
          </w:p>
        </w:tc>
        <w:tc>
          <w:tcPr>
            <w:tcW w:w="988" w:type="pct"/>
            <w:vAlign w:val="center"/>
          </w:tcPr>
          <w:p w14:paraId="1531AAF0">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install_time</w:t>
            </w:r>
          </w:p>
        </w:tc>
        <w:tc>
          <w:tcPr>
            <w:tcW w:w="857" w:type="pct"/>
            <w:vAlign w:val="center"/>
          </w:tcPr>
          <w:p w14:paraId="2D77832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bigint</w:t>
            </w:r>
          </w:p>
        </w:tc>
        <w:tc>
          <w:tcPr>
            <w:tcW w:w="534" w:type="pct"/>
            <w:vAlign w:val="center"/>
          </w:tcPr>
          <w:p w14:paraId="5CEEE0A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532C778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6BF327B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6A48CE2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44F03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4D6CD30E">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10</w:t>
            </w:r>
          </w:p>
        </w:tc>
        <w:tc>
          <w:tcPr>
            <w:tcW w:w="880" w:type="pct"/>
            <w:vAlign w:val="center"/>
          </w:tcPr>
          <w:p w14:paraId="62E99C2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所选协议</w:t>
            </w:r>
          </w:p>
        </w:tc>
        <w:tc>
          <w:tcPr>
            <w:tcW w:w="988" w:type="pct"/>
            <w:vAlign w:val="center"/>
          </w:tcPr>
          <w:p w14:paraId="371926E4">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protocol</w:t>
            </w:r>
          </w:p>
        </w:tc>
        <w:tc>
          <w:tcPr>
            <w:tcW w:w="857" w:type="pct"/>
            <w:vAlign w:val="center"/>
          </w:tcPr>
          <w:p w14:paraId="5AF5C9A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smallint</w:t>
            </w:r>
          </w:p>
        </w:tc>
        <w:tc>
          <w:tcPr>
            <w:tcW w:w="534" w:type="pct"/>
            <w:vAlign w:val="center"/>
          </w:tcPr>
          <w:p w14:paraId="2246CB50">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10F29142">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44BB589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6243250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05D2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4E1C7869">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11</w:t>
            </w:r>
          </w:p>
        </w:tc>
        <w:tc>
          <w:tcPr>
            <w:tcW w:w="880" w:type="pct"/>
            <w:vAlign w:val="center"/>
          </w:tcPr>
          <w:p w14:paraId="35442BA9">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是否可观看视频</w:t>
            </w:r>
          </w:p>
        </w:tc>
        <w:tc>
          <w:tcPr>
            <w:tcW w:w="988" w:type="pct"/>
            <w:vAlign w:val="center"/>
          </w:tcPr>
          <w:p w14:paraId="134BD23B">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viewable</w:t>
            </w:r>
          </w:p>
        </w:tc>
        <w:tc>
          <w:tcPr>
            <w:tcW w:w="857" w:type="pct"/>
            <w:vAlign w:val="center"/>
          </w:tcPr>
          <w:p w14:paraId="5ECCE11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int</w:t>
            </w:r>
          </w:p>
        </w:tc>
        <w:tc>
          <w:tcPr>
            <w:tcW w:w="534" w:type="pct"/>
            <w:vAlign w:val="center"/>
          </w:tcPr>
          <w:p w14:paraId="74E54B3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1B8428F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38257D34">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11410112">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761EE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02147C2E">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12</w:t>
            </w:r>
          </w:p>
        </w:tc>
        <w:tc>
          <w:tcPr>
            <w:tcW w:w="880" w:type="pct"/>
            <w:vAlign w:val="center"/>
          </w:tcPr>
          <w:p w14:paraId="66ECA5F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设备类型</w:t>
            </w:r>
          </w:p>
        </w:tc>
        <w:tc>
          <w:tcPr>
            <w:tcW w:w="988" w:type="pct"/>
            <w:vAlign w:val="center"/>
          </w:tcPr>
          <w:p w14:paraId="1FA89403">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device_type</w:t>
            </w:r>
          </w:p>
        </w:tc>
        <w:tc>
          <w:tcPr>
            <w:tcW w:w="857" w:type="pct"/>
            <w:vAlign w:val="center"/>
          </w:tcPr>
          <w:p w14:paraId="2142EAF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int</w:t>
            </w:r>
          </w:p>
        </w:tc>
        <w:tc>
          <w:tcPr>
            <w:tcW w:w="534" w:type="pct"/>
            <w:vAlign w:val="center"/>
          </w:tcPr>
          <w:p w14:paraId="1F3BEDB4">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591AD72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75BDA97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081A5AE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4A102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1AAE812E">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13</w:t>
            </w:r>
          </w:p>
        </w:tc>
        <w:tc>
          <w:tcPr>
            <w:tcW w:w="880" w:type="pct"/>
            <w:vAlign w:val="center"/>
          </w:tcPr>
          <w:p w14:paraId="339E8B1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设备来源</w:t>
            </w:r>
          </w:p>
        </w:tc>
        <w:tc>
          <w:tcPr>
            <w:tcW w:w="988" w:type="pct"/>
            <w:vAlign w:val="center"/>
          </w:tcPr>
          <w:p w14:paraId="6449DE58">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device_source</w:t>
            </w:r>
          </w:p>
        </w:tc>
        <w:tc>
          <w:tcPr>
            <w:tcW w:w="857" w:type="pct"/>
            <w:vAlign w:val="center"/>
          </w:tcPr>
          <w:p w14:paraId="00E3C7A4">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int</w:t>
            </w:r>
          </w:p>
        </w:tc>
        <w:tc>
          <w:tcPr>
            <w:tcW w:w="534" w:type="pct"/>
            <w:vAlign w:val="center"/>
          </w:tcPr>
          <w:p w14:paraId="3D6E80B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534DF2A2">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70620E9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7CD6733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193A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67DAC36A">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14</w:t>
            </w:r>
          </w:p>
        </w:tc>
        <w:tc>
          <w:tcPr>
            <w:tcW w:w="880" w:type="pct"/>
            <w:vAlign w:val="center"/>
          </w:tcPr>
          <w:p w14:paraId="4E87B30A">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color w:val="595959"/>
                <w:kern w:val="0"/>
                <w:sz w:val="18"/>
                <w:szCs w:val="18"/>
                <w:highlight w:val="none"/>
              </w:rPr>
              <w:t>车辆型号</w:t>
            </w:r>
          </w:p>
        </w:tc>
        <w:tc>
          <w:tcPr>
            <w:tcW w:w="988" w:type="pct"/>
            <w:vAlign w:val="center"/>
          </w:tcPr>
          <w:p w14:paraId="46EC784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color w:val="595959"/>
                <w:kern w:val="0"/>
                <w:sz w:val="18"/>
                <w:szCs w:val="18"/>
                <w:highlight w:val="none"/>
              </w:rPr>
              <w:t>vehiclemodel</w:t>
            </w:r>
          </w:p>
        </w:tc>
        <w:tc>
          <w:tcPr>
            <w:tcW w:w="857" w:type="pct"/>
            <w:vAlign w:val="center"/>
          </w:tcPr>
          <w:p w14:paraId="78CFEA80">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color w:val="595959"/>
                <w:kern w:val="0"/>
                <w:sz w:val="18"/>
                <w:szCs w:val="18"/>
                <w:highlight w:val="none"/>
              </w:rPr>
              <w:t>text</w:t>
            </w:r>
          </w:p>
        </w:tc>
        <w:tc>
          <w:tcPr>
            <w:tcW w:w="534" w:type="pct"/>
            <w:vAlign w:val="center"/>
          </w:tcPr>
          <w:p w14:paraId="5B642A1B">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2CB0468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018E27B3">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4595A72A">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030D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7EB31EB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15</w:t>
            </w:r>
          </w:p>
        </w:tc>
        <w:tc>
          <w:tcPr>
            <w:tcW w:w="880" w:type="pct"/>
            <w:vAlign w:val="center"/>
          </w:tcPr>
          <w:p w14:paraId="38AE0B5A">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电子围栏id</w:t>
            </w:r>
          </w:p>
        </w:tc>
        <w:tc>
          <w:tcPr>
            <w:tcW w:w="988" w:type="pct"/>
            <w:vAlign w:val="center"/>
          </w:tcPr>
          <w:p w14:paraId="07F6507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id</w:t>
            </w:r>
          </w:p>
        </w:tc>
        <w:tc>
          <w:tcPr>
            <w:tcW w:w="857" w:type="pct"/>
            <w:vAlign w:val="center"/>
          </w:tcPr>
          <w:p w14:paraId="0F78C33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uuid</w:t>
            </w:r>
          </w:p>
        </w:tc>
        <w:tc>
          <w:tcPr>
            <w:tcW w:w="534" w:type="pct"/>
            <w:vAlign w:val="center"/>
          </w:tcPr>
          <w:p w14:paraId="26E6B9E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7C75A17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47C10D74">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542DFB4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5BCAA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3926F3C4">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16</w:t>
            </w:r>
          </w:p>
        </w:tc>
        <w:tc>
          <w:tcPr>
            <w:tcW w:w="880" w:type="pct"/>
            <w:vAlign w:val="center"/>
          </w:tcPr>
          <w:p w14:paraId="26626D8A">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电子围栏名称</w:t>
            </w:r>
          </w:p>
        </w:tc>
        <w:tc>
          <w:tcPr>
            <w:tcW w:w="988" w:type="pct"/>
            <w:vAlign w:val="center"/>
          </w:tcPr>
          <w:p w14:paraId="29110E9E">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name</w:t>
            </w:r>
          </w:p>
        </w:tc>
        <w:tc>
          <w:tcPr>
            <w:tcW w:w="857" w:type="pct"/>
            <w:vAlign w:val="center"/>
          </w:tcPr>
          <w:p w14:paraId="0E6A81D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text</w:t>
            </w:r>
          </w:p>
        </w:tc>
        <w:tc>
          <w:tcPr>
            <w:tcW w:w="534" w:type="pct"/>
            <w:vAlign w:val="center"/>
          </w:tcPr>
          <w:p w14:paraId="2702EE2B">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3677A6C9">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27464B9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4ECE4F72">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39D8A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09043AA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17</w:t>
            </w:r>
          </w:p>
        </w:tc>
        <w:tc>
          <w:tcPr>
            <w:tcW w:w="880" w:type="pct"/>
            <w:vAlign w:val="center"/>
          </w:tcPr>
          <w:p w14:paraId="024BAC8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电子围栏区域</w:t>
            </w:r>
          </w:p>
        </w:tc>
        <w:tc>
          <w:tcPr>
            <w:tcW w:w="988" w:type="pct"/>
            <w:vAlign w:val="center"/>
          </w:tcPr>
          <w:p w14:paraId="2C2795C9">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area</w:t>
            </w:r>
          </w:p>
        </w:tc>
        <w:tc>
          <w:tcPr>
            <w:tcW w:w="857" w:type="pct"/>
            <w:vAlign w:val="center"/>
          </w:tcPr>
          <w:p w14:paraId="05A9FD78">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geometry(Polygon)</w:t>
            </w:r>
          </w:p>
        </w:tc>
        <w:tc>
          <w:tcPr>
            <w:tcW w:w="534" w:type="pct"/>
            <w:vAlign w:val="center"/>
          </w:tcPr>
          <w:p w14:paraId="656D869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35D1FA58">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537DDC7B">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1E8044B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665D6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48A81078">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18</w:t>
            </w:r>
          </w:p>
        </w:tc>
        <w:tc>
          <w:tcPr>
            <w:tcW w:w="880" w:type="pct"/>
            <w:vAlign w:val="center"/>
          </w:tcPr>
          <w:p w14:paraId="728C9E03">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限制速度</w:t>
            </w:r>
          </w:p>
        </w:tc>
        <w:tc>
          <w:tcPr>
            <w:tcW w:w="988" w:type="pct"/>
            <w:vAlign w:val="center"/>
          </w:tcPr>
          <w:p w14:paraId="1796D1C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limit_speed</w:t>
            </w:r>
          </w:p>
        </w:tc>
        <w:tc>
          <w:tcPr>
            <w:tcW w:w="857" w:type="pct"/>
            <w:vAlign w:val="center"/>
          </w:tcPr>
          <w:p w14:paraId="0FFB70EE">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double</w:t>
            </w:r>
          </w:p>
        </w:tc>
        <w:tc>
          <w:tcPr>
            <w:tcW w:w="534" w:type="pct"/>
            <w:vAlign w:val="center"/>
          </w:tcPr>
          <w:p w14:paraId="3C280A9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672A27A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5741113B">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763EE829">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3C989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27D3598E">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19</w:t>
            </w:r>
          </w:p>
        </w:tc>
        <w:tc>
          <w:tcPr>
            <w:tcW w:w="880" w:type="pct"/>
            <w:vAlign w:val="center"/>
          </w:tcPr>
          <w:p w14:paraId="721F5D79">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所属机场</w:t>
            </w:r>
          </w:p>
        </w:tc>
        <w:tc>
          <w:tcPr>
            <w:tcW w:w="988" w:type="pct"/>
            <w:vAlign w:val="center"/>
          </w:tcPr>
          <w:p w14:paraId="3851D05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posowner</w:t>
            </w:r>
          </w:p>
        </w:tc>
        <w:tc>
          <w:tcPr>
            <w:tcW w:w="857" w:type="pct"/>
            <w:vAlign w:val="center"/>
          </w:tcPr>
          <w:p w14:paraId="35B243F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text</w:t>
            </w:r>
          </w:p>
        </w:tc>
        <w:tc>
          <w:tcPr>
            <w:tcW w:w="534" w:type="pct"/>
            <w:vAlign w:val="center"/>
          </w:tcPr>
          <w:p w14:paraId="12E5401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7FD81CB3">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20D1EC4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30620CFA">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034D9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456FE03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20</w:t>
            </w:r>
          </w:p>
        </w:tc>
        <w:tc>
          <w:tcPr>
            <w:tcW w:w="880" w:type="pct"/>
            <w:vAlign w:val="center"/>
          </w:tcPr>
          <w:p w14:paraId="6FFA32EA">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是否可见</w:t>
            </w:r>
          </w:p>
        </w:tc>
        <w:tc>
          <w:tcPr>
            <w:tcW w:w="988" w:type="pct"/>
            <w:vAlign w:val="center"/>
          </w:tcPr>
          <w:p w14:paraId="6C802208">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visible</w:t>
            </w:r>
          </w:p>
        </w:tc>
        <w:tc>
          <w:tcPr>
            <w:tcW w:w="857" w:type="pct"/>
            <w:vAlign w:val="center"/>
          </w:tcPr>
          <w:p w14:paraId="0AA683D2">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boolean</w:t>
            </w:r>
          </w:p>
        </w:tc>
        <w:tc>
          <w:tcPr>
            <w:tcW w:w="534" w:type="pct"/>
            <w:vAlign w:val="center"/>
          </w:tcPr>
          <w:p w14:paraId="311BCCF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1292994A">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1D0F6DE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73F7C500">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68F1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52A2BFCF">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21</w:t>
            </w:r>
          </w:p>
        </w:tc>
        <w:tc>
          <w:tcPr>
            <w:tcW w:w="880" w:type="pct"/>
            <w:vAlign w:val="center"/>
          </w:tcPr>
          <w:p w14:paraId="48A54244">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部门</w:t>
            </w:r>
          </w:p>
        </w:tc>
        <w:tc>
          <w:tcPr>
            <w:tcW w:w="988" w:type="pct"/>
            <w:vAlign w:val="center"/>
          </w:tcPr>
          <w:p w14:paraId="06EC01E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depts</w:t>
            </w:r>
          </w:p>
        </w:tc>
        <w:tc>
          <w:tcPr>
            <w:tcW w:w="857" w:type="pct"/>
            <w:vAlign w:val="center"/>
          </w:tcPr>
          <w:p w14:paraId="27127EB2">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text</w:t>
            </w:r>
          </w:p>
        </w:tc>
        <w:tc>
          <w:tcPr>
            <w:tcW w:w="534" w:type="pct"/>
            <w:vAlign w:val="center"/>
          </w:tcPr>
          <w:p w14:paraId="0B9342D7">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2B77F338">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33BA7F44">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14B117F7">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5207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060ECD8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22</w:t>
            </w:r>
          </w:p>
        </w:tc>
        <w:tc>
          <w:tcPr>
            <w:tcW w:w="880" w:type="pct"/>
            <w:vAlign w:val="center"/>
          </w:tcPr>
          <w:p w14:paraId="00EE7CEC">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车辆类型</w:t>
            </w:r>
          </w:p>
        </w:tc>
        <w:tc>
          <w:tcPr>
            <w:tcW w:w="988" w:type="pct"/>
            <w:vAlign w:val="center"/>
          </w:tcPr>
          <w:p w14:paraId="583B1FE8">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types</w:t>
            </w:r>
          </w:p>
        </w:tc>
        <w:tc>
          <w:tcPr>
            <w:tcW w:w="857" w:type="pct"/>
            <w:vAlign w:val="center"/>
          </w:tcPr>
          <w:p w14:paraId="6F43EDA2">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text</w:t>
            </w:r>
          </w:p>
        </w:tc>
        <w:tc>
          <w:tcPr>
            <w:tcW w:w="534" w:type="pct"/>
            <w:vAlign w:val="center"/>
          </w:tcPr>
          <w:p w14:paraId="1C0049C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521C115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19D1341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09C7D370">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25079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7661397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23</w:t>
            </w:r>
          </w:p>
        </w:tc>
        <w:tc>
          <w:tcPr>
            <w:tcW w:w="880" w:type="pct"/>
            <w:vAlign w:val="center"/>
          </w:tcPr>
          <w:p w14:paraId="0AE7618E">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围栏类型</w:t>
            </w:r>
          </w:p>
        </w:tc>
        <w:tc>
          <w:tcPr>
            <w:tcW w:w="988" w:type="pct"/>
            <w:vAlign w:val="center"/>
          </w:tcPr>
          <w:p w14:paraId="699642D9">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area_type</w:t>
            </w:r>
          </w:p>
        </w:tc>
        <w:tc>
          <w:tcPr>
            <w:tcW w:w="857" w:type="pct"/>
            <w:vAlign w:val="center"/>
          </w:tcPr>
          <w:p w14:paraId="448F7CD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int</w:t>
            </w:r>
          </w:p>
        </w:tc>
        <w:tc>
          <w:tcPr>
            <w:tcW w:w="534" w:type="pct"/>
            <w:vAlign w:val="center"/>
          </w:tcPr>
          <w:p w14:paraId="4FB5F1B1">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1205F11D">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08FFA8E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52FF3E58">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r w14:paraId="48CF1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98" w:type="pct"/>
            <w:vAlign w:val="center"/>
          </w:tcPr>
          <w:p w14:paraId="2F60FBA6">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24</w:t>
            </w:r>
          </w:p>
        </w:tc>
        <w:tc>
          <w:tcPr>
            <w:tcW w:w="880" w:type="pct"/>
            <w:vAlign w:val="center"/>
          </w:tcPr>
          <w:p w14:paraId="36A2C960">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围栏属性</w:t>
            </w:r>
          </w:p>
        </w:tc>
        <w:tc>
          <w:tcPr>
            <w:tcW w:w="988" w:type="pct"/>
            <w:vAlign w:val="center"/>
          </w:tcPr>
          <w:p w14:paraId="1E1438F3">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area_prop</w:t>
            </w:r>
          </w:p>
        </w:tc>
        <w:tc>
          <w:tcPr>
            <w:tcW w:w="857" w:type="pct"/>
            <w:vAlign w:val="center"/>
          </w:tcPr>
          <w:p w14:paraId="08D98A4A">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int</w:t>
            </w:r>
          </w:p>
        </w:tc>
        <w:tc>
          <w:tcPr>
            <w:tcW w:w="534" w:type="pct"/>
            <w:vAlign w:val="center"/>
          </w:tcPr>
          <w:p w14:paraId="1C9ADB5A">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有条件共享</w:t>
            </w:r>
          </w:p>
        </w:tc>
        <w:tc>
          <w:tcPr>
            <w:tcW w:w="386" w:type="pct"/>
            <w:vAlign w:val="center"/>
          </w:tcPr>
          <w:p w14:paraId="7BDDD473">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数据接口</w:t>
            </w:r>
          </w:p>
        </w:tc>
        <w:tc>
          <w:tcPr>
            <w:tcW w:w="361" w:type="pct"/>
            <w:vAlign w:val="center"/>
          </w:tcPr>
          <w:p w14:paraId="082C27EE">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否</w:t>
            </w:r>
          </w:p>
        </w:tc>
        <w:tc>
          <w:tcPr>
            <w:tcW w:w="592" w:type="pct"/>
            <w:vAlign w:val="center"/>
          </w:tcPr>
          <w:p w14:paraId="21049B85">
            <w:pPr>
              <w:widowControl/>
              <w:spacing w:line="240" w:lineRule="auto"/>
              <w:ind w:firstLine="0" w:firstLineChars="0"/>
              <w:jc w:val="center"/>
              <w:rPr>
                <w:rFonts w:hint="eastAsia" w:ascii="宋体" w:hAnsi="宋体" w:eastAsia="宋体" w:cs="宋体"/>
                <w:sz w:val="18"/>
                <w:szCs w:val="18"/>
                <w:highlight w:val="none"/>
              </w:rPr>
            </w:pPr>
            <w:r>
              <w:rPr>
                <w:rFonts w:hint="eastAsia" w:ascii="宋体" w:hAnsi="宋体" w:eastAsia="宋体" w:cs="宋体"/>
                <w:sz w:val="18"/>
                <w:szCs w:val="18"/>
                <w:highlight w:val="none"/>
              </w:rPr>
              <w:t>其他</w:t>
            </w:r>
          </w:p>
        </w:tc>
      </w:tr>
    </w:tbl>
    <w:p w14:paraId="4AC3D632">
      <w:pPr>
        <w:pStyle w:val="65"/>
        <w:rPr>
          <w:rFonts w:hint="eastAsia" w:ascii="宋体" w:hAnsi="宋体" w:eastAsia="宋体" w:cs="宋体"/>
          <w:highlight w:val="none"/>
        </w:rPr>
      </w:pPr>
      <w:r>
        <w:rPr>
          <w:rFonts w:hint="eastAsia" w:ascii="宋体" w:hAnsi="宋体" w:eastAsia="宋体" w:cs="宋体"/>
          <w:highlight w:val="none"/>
        </w:rPr>
        <w:t>本期项目所需外部数据资源目录表</w:t>
      </w:r>
    </w:p>
    <w:tbl>
      <w:tblPr>
        <w:tblStyle w:val="34"/>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874"/>
        <w:gridCol w:w="1911"/>
        <w:gridCol w:w="1273"/>
        <w:gridCol w:w="1208"/>
        <w:gridCol w:w="1255"/>
        <w:gridCol w:w="934"/>
      </w:tblGrid>
      <w:tr w14:paraId="20423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tblHeader/>
          <w:jc w:val="center"/>
        </w:trPr>
        <w:tc>
          <w:tcPr>
            <w:tcW w:w="442" w:type="pct"/>
            <w:vAlign w:val="center"/>
          </w:tcPr>
          <w:p w14:paraId="55FD1A93">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010" w:type="pct"/>
            <w:vAlign w:val="center"/>
          </w:tcPr>
          <w:p w14:paraId="69F14E25">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数据资源名称</w:t>
            </w:r>
          </w:p>
        </w:tc>
        <w:tc>
          <w:tcPr>
            <w:tcW w:w="1030" w:type="pct"/>
            <w:vAlign w:val="center"/>
          </w:tcPr>
          <w:p w14:paraId="694FCBF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数据资源项</w:t>
            </w:r>
          </w:p>
          <w:p w14:paraId="35518DF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（字段名称）</w:t>
            </w:r>
          </w:p>
        </w:tc>
        <w:tc>
          <w:tcPr>
            <w:tcW w:w="686" w:type="pct"/>
            <w:vAlign w:val="center"/>
          </w:tcPr>
          <w:p w14:paraId="14C0FE0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来源部门</w:t>
            </w:r>
          </w:p>
        </w:tc>
        <w:tc>
          <w:tcPr>
            <w:tcW w:w="651" w:type="pct"/>
            <w:vAlign w:val="center"/>
          </w:tcPr>
          <w:p w14:paraId="4ADE0139">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共享方式</w:t>
            </w:r>
          </w:p>
        </w:tc>
        <w:tc>
          <w:tcPr>
            <w:tcW w:w="676" w:type="pct"/>
            <w:vAlign w:val="center"/>
          </w:tcPr>
          <w:p w14:paraId="41E1C7C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数据更新频度</w:t>
            </w:r>
          </w:p>
        </w:tc>
        <w:tc>
          <w:tcPr>
            <w:tcW w:w="503" w:type="pct"/>
            <w:vAlign w:val="center"/>
          </w:tcPr>
          <w:p w14:paraId="0DB97EC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14:paraId="685D2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42" w:type="pct"/>
            <w:vAlign w:val="center"/>
          </w:tcPr>
          <w:p w14:paraId="26ED642A">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010" w:type="pct"/>
            <w:vAlign w:val="center"/>
          </w:tcPr>
          <w:p w14:paraId="7C28799E">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航班号</w:t>
            </w:r>
          </w:p>
        </w:tc>
        <w:tc>
          <w:tcPr>
            <w:tcW w:w="1030" w:type="pct"/>
            <w:vAlign w:val="center"/>
          </w:tcPr>
          <w:p w14:paraId="37CEA4D9">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航班号</w:t>
            </w:r>
          </w:p>
        </w:tc>
        <w:tc>
          <w:tcPr>
            <w:tcW w:w="686" w:type="pct"/>
            <w:vAlign w:val="center"/>
          </w:tcPr>
          <w:p w14:paraId="0D96FBD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7447326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6A64889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2DD891C6">
            <w:pPr>
              <w:spacing w:line="240" w:lineRule="auto"/>
              <w:ind w:firstLine="0" w:firstLineChars="0"/>
              <w:jc w:val="center"/>
              <w:rPr>
                <w:rFonts w:hint="eastAsia" w:ascii="宋体" w:hAnsi="宋体" w:eastAsia="宋体" w:cs="宋体"/>
                <w:sz w:val="21"/>
                <w:szCs w:val="21"/>
                <w:highlight w:val="none"/>
              </w:rPr>
            </w:pPr>
          </w:p>
        </w:tc>
      </w:tr>
      <w:tr w14:paraId="58AB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442" w:type="pct"/>
            <w:vAlign w:val="center"/>
          </w:tcPr>
          <w:p w14:paraId="583B3AB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010" w:type="pct"/>
            <w:vAlign w:val="center"/>
          </w:tcPr>
          <w:p w14:paraId="73485E1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计划起飞时间</w:t>
            </w:r>
          </w:p>
        </w:tc>
        <w:tc>
          <w:tcPr>
            <w:tcW w:w="1030" w:type="pct"/>
            <w:vAlign w:val="center"/>
          </w:tcPr>
          <w:p w14:paraId="3A4E698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计划起飞时间</w:t>
            </w:r>
          </w:p>
        </w:tc>
        <w:tc>
          <w:tcPr>
            <w:tcW w:w="686" w:type="pct"/>
            <w:vAlign w:val="center"/>
          </w:tcPr>
          <w:p w14:paraId="6D3248E9">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3D2404B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29D49919">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5C0220A8">
            <w:pPr>
              <w:spacing w:line="240" w:lineRule="auto"/>
              <w:ind w:firstLine="0" w:firstLineChars="0"/>
              <w:jc w:val="center"/>
              <w:rPr>
                <w:rFonts w:hint="eastAsia" w:ascii="宋体" w:hAnsi="宋体" w:eastAsia="宋体" w:cs="宋体"/>
                <w:sz w:val="21"/>
                <w:szCs w:val="21"/>
                <w:highlight w:val="none"/>
              </w:rPr>
            </w:pPr>
          </w:p>
        </w:tc>
      </w:tr>
      <w:tr w14:paraId="1EE02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4FD6A08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010" w:type="pct"/>
            <w:vAlign w:val="center"/>
          </w:tcPr>
          <w:p w14:paraId="77D90D5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计划到达时间</w:t>
            </w:r>
          </w:p>
        </w:tc>
        <w:tc>
          <w:tcPr>
            <w:tcW w:w="1030" w:type="pct"/>
            <w:vAlign w:val="center"/>
          </w:tcPr>
          <w:p w14:paraId="5CE0D80E">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计划到达时间</w:t>
            </w:r>
          </w:p>
        </w:tc>
        <w:tc>
          <w:tcPr>
            <w:tcW w:w="686" w:type="pct"/>
            <w:vAlign w:val="center"/>
          </w:tcPr>
          <w:p w14:paraId="38CD8633">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3FA228B2">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4B000A28">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5B928409">
            <w:pPr>
              <w:spacing w:line="240" w:lineRule="auto"/>
              <w:ind w:firstLine="0" w:firstLineChars="0"/>
              <w:jc w:val="center"/>
              <w:rPr>
                <w:rFonts w:hint="eastAsia" w:ascii="宋体" w:hAnsi="宋体" w:eastAsia="宋体" w:cs="宋体"/>
                <w:sz w:val="21"/>
                <w:szCs w:val="21"/>
                <w:highlight w:val="none"/>
              </w:rPr>
            </w:pPr>
          </w:p>
        </w:tc>
      </w:tr>
      <w:tr w14:paraId="7BF33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198B205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010" w:type="pct"/>
            <w:vAlign w:val="center"/>
          </w:tcPr>
          <w:p w14:paraId="0965419E">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机位号</w:t>
            </w:r>
          </w:p>
        </w:tc>
        <w:tc>
          <w:tcPr>
            <w:tcW w:w="1030" w:type="pct"/>
            <w:vAlign w:val="center"/>
          </w:tcPr>
          <w:p w14:paraId="0C92F5DC">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机位号</w:t>
            </w:r>
          </w:p>
        </w:tc>
        <w:tc>
          <w:tcPr>
            <w:tcW w:w="686" w:type="pct"/>
            <w:vAlign w:val="center"/>
          </w:tcPr>
          <w:p w14:paraId="7CEEB9E2">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6D5DFF72">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4A1DAB6E">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6F466DE7">
            <w:pPr>
              <w:spacing w:line="240" w:lineRule="auto"/>
              <w:ind w:firstLine="0" w:firstLineChars="0"/>
              <w:jc w:val="center"/>
              <w:rPr>
                <w:rFonts w:hint="eastAsia" w:ascii="宋体" w:hAnsi="宋体" w:eastAsia="宋体" w:cs="宋体"/>
                <w:sz w:val="21"/>
                <w:szCs w:val="21"/>
                <w:highlight w:val="none"/>
              </w:rPr>
            </w:pPr>
          </w:p>
        </w:tc>
      </w:tr>
      <w:tr w14:paraId="4AA4B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3D068D0A">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010" w:type="pct"/>
            <w:vAlign w:val="center"/>
          </w:tcPr>
          <w:p w14:paraId="3F5D98C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起飞机场</w:t>
            </w:r>
          </w:p>
        </w:tc>
        <w:tc>
          <w:tcPr>
            <w:tcW w:w="1030" w:type="pct"/>
            <w:vAlign w:val="center"/>
          </w:tcPr>
          <w:p w14:paraId="04BA72C5">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起飞机场</w:t>
            </w:r>
          </w:p>
        </w:tc>
        <w:tc>
          <w:tcPr>
            <w:tcW w:w="686" w:type="pct"/>
            <w:vAlign w:val="center"/>
          </w:tcPr>
          <w:p w14:paraId="7FD1A1B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2834F0FF">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120E3D7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47595F2A">
            <w:pPr>
              <w:spacing w:line="240" w:lineRule="auto"/>
              <w:ind w:firstLine="0" w:firstLineChars="0"/>
              <w:jc w:val="center"/>
              <w:rPr>
                <w:rFonts w:hint="eastAsia" w:ascii="宋体" w:hAnsi="宋体" w:eastAsia="宋体" w:cs="宋体"/>
                <w:sz w:val="21"/>
                <w:szCs w:val="21"/>
                <w:highlight w:val="none"/>
              </w:rPr>
            </w:pPr>
          </w:p>
        </w:tc>
      </w:tr>
      <w:tr w14:paraId="2A19A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2B7545E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010" w:type="pct"/>
            <w:vAlign w:val="center"/>
          </w:tcPr>
          <w:p w14:paraId="4D06618A">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落地机场</w:t>
            </w:r>
          </w:p>
        </w:tc>
        <w:tc>
          <w:tcPr>
            <w:tcW w:w="1030" w:type="pct"/>
            <w:vAlign w:val="center"/>
          </w:tcPr>
          <w:p w14:paraId="08D8C9B2">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落地机场</w:t>
            </w:r>
          </w:p>
        </w:tc>
        <w:tc>
          <w:tcPr>
            <w:tcW w:w="686" w:type="pct"/>
            <w:vAlign w:val="center"/>
          </w:tcPr>
          <w:p w14:paraId="7FBE6DFA">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478E187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314E593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25C24D3B">
            <w:pPr>
              <w:spacing w:line="240" w:lineRule="auto"/>
              <w:ind w:firstLine="0" w:firstLineChars="0"/>
              <w:jc w:val="center"/>
              <w:rPr>
                <w:rFonts w:hint="eastAsia" w:ascii="宋体" w:hAnsi="宋体" w:eastAsia="宋体" w:cs="宋体"/>
                <w:sz w:val="21"/>
                <w:szCs w:val="21"/>
                <w:highlight w:val="none"/>
              </w:rPr>
            </w:pPr>
          </w:p>
        </w:tc>
      </w:tr>
      <w:tr w14:paraId="072C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3480DE4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010" w:type="pct"/>
            <w:vAlign w:val="center"/>
          </w:tcPr>
          <w:p w14:paraId="4EDCBAF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机位占用状态</w:t>
            </w:r>
          </w:p>
        </w:tc>
        <w:tc>
          <w:tcPr>
            <w:tcW w:w="1030" w:type="pct"/>
            <w:vAlign w:val="center"/>
          </w:tcPr>
          <w:p w14:paraId="04FE4A4A">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机位占用状态</w:t>
            </w:r>
          </w:p>
        </w:tc>
        <w:tc>
          <w:tcPr>
            <w:tcW w:w="686" w:type="pct"/>
            <w:vAlign w:val="center"/>
          </w:tcPr>
          <w:p w14:paraId="2A74AC3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58FF575A">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56C6F953">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2A57D8FE">
            <w:pPr>
              <w:spacing w:line="240" w:lineRule="auto"/>
              <w:ind w:firstLine="0" w:firstLineChars="0"/>
              <w:jc w:val="center"/>
              <w:rPr>
                <w:rFonts w:hint="eastAsia" w:ascii="宋体" w:hAnsi="宋体" w:eastAsia="宋体" w:cs="宋体"/>
                <w:sz w:val="21"/>
                <w:szCs w:val="21"/>
                <w:highlight w:val="none"/>
              </w:rPr>
            </w:pPr>
          </w:p>
        </w:tc>
      </w:tr>
      <w:tr w14:paraId="7380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4BAE905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010" w:type="pct"/>
            <w:vAlign w:val="center"/>
          </w:tcPr>
          <w:p w14:paraId="02E51CE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下一班占用航班</w:t>
            </w:r>
          </w:p>
        </w:tc>
        <w:tc>
          <w:tcPr>
            <w:tcW w:w="1030" w:type="pct"/>
            <w:vAlign w:val="center"/>
          </w:tcPr>
          <w:p w14:paraId="2A935B1C">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下一班占用航班</w:t>
            </w:r>
          </w:p>
        </w:tc>
        <w:tc>
          <w:tcPr>
            <w:tcW w:w="686" w:type="pct"/>
            <w:vAlign w:val="center"/>
          </w:tcPr>
          <w:p w14:paraId="721AFEB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10A99BA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55C516EE">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050D8A52">
            <w:pPr>
              <w:spacing w:line="240" w:lineRule="auto"/>
              <w:ind w:firstLine="0" w:firstLineChars="0"/>
              <w:jc w:val="center"/>
              <w:rPr>
                <w:rFonts w:hint="eastAsia" w:ascii="宋体" w:hAnsi="宋体" w:eastAsia="宋体" w:cs="宋体"/>
                <w:sz w:val="21"/>
                <w:szCs w:val="21"/>
                <w:highlight w:val="none"/>
              </w:rPr>
            </w:pPr>
          </w:p>
        </w:tc>
      </w:tr>
      <w:tr w14:paraId="20022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1683F6A2">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1010" w:type="pct"/>
            <w:vAlign w:val="center"/>
          </w:tcPr>
          <w:p w14:paraId="5F9974CC">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地面保障节点</w:t>
            </w:r>
          </w:p>
        </w:tc>
        <w:tc>
          <w:tcPr>
            <w:tcW w:w="1030" w:type="pct"/>
            <w:vAlign w:val="center"/>
          </w:tcPr>
          <w:p w14:paraId="1D22AF0C">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地面保障节点</w:t>
            </w:r>
          </w:p>
        </w:tc>
        <w:tc>
          <w:tcPr>
            <w:tcW w:w="686" w:type="pct"/>
            <w:vAlign w:val="center"/>
          </w:tcPr>
          <w:p w14:paraId="56A2194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23B0A24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4A4EE77E">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5013BB38">
            <w:pPr>
              <w:spacing w:line="240" w:lineRule="auto"/>
              <w:ind w:firstLine="0" w:firstLineChars="0"/>
              <w:jc w:val="center"/>
              <w:rPr>
                <w:rFonts w:hint="eastAsia" w:ascii="宋体" w:hAnsi="宋体" w:eastAsia="宋体" w:cs="宋体"/>
                <w:sz w:val="21"/>
                <w:szCs w:val="21"/>
                <w:highlight w:val="none"/>
              </w:rPr>
            </w:pPr>
          </w:p>
        </w:tc>
      </w:tr>
      <w:tr w14:paraId="18813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0D0B071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1010" w:type="pct"/>
            <w:vAlign w:val="center"/>
          </w:tcPr>
          <w:p w14:paraId="7B1B4C6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航空器地面位置</w:t>
            </w:r>
          </w:p>
        </w:tc>
        <w:tc>
          <w:tcPr>
            <w:tcW w:w="1030" w:type="pct"/>
            <w:vAlign w:val="center"/>
          </w:tcPr>
          <w:p w14:paraId="614FDA59">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航班器地面位置</w:t>
            </w:r>
          </w:p>
        </w:tc>
        <w:tc>
          <w:tcPr>
            <w:tcW w:w="686" w:type="pct"/>
            <w:vAlign w:val="center"/>
          </w:tcPr>
          <w:p w14:paraId="4F785FC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机坪塔台</w:t>
            </w:r>
          </w:p>
        </w:tc>
        <w:tc>
          <w:tcPr>
            <w:tcW w:w="651" w:type="pct"/>
            <w:vAlign w:val="center"/>
          </w:tcPr>
          <w:p w14:paraId="57FF07C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6DDAE0E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00F37FFA">
            <w:pPr>
              <w:spacing w:line="240" w:lineRule="auto"/>
              <w:ind w:firstLine="0" w:firstLineChars="0"/>
              <w:jc w:val="center"/>
              <w:rPr>
                <w:rFonts w:hint="eastAsia" w:ascii="宋体" w:hAnsi="宋体" w:eastAsia="宋体" w:cs="宋体"/>
                <w:sz w:val="21"/>
                <w:szCs w:val="21"/>
                <w:highlight w:val="none"/>
              </w:rPr>
            </w:pPr>
          </w:p>
        </w:tc>
      </w:tr>
      <w:tr w14:paraId="646CA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3106CABC">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1010" w:type="pct"/>
            <w:vAlign w:val="center"/>
          </w:tcPr>
          <w:p w14:paraId="6C9C6519">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预计起飞时间</w:t>
            </w:r>
          </w:p>
        </w:tc>
        <w:tc>
          <w:tcPr>
            <w:tcW w:w="1030" w:type="pct"/>
            <w:vAlign w:val="center"/>
          </w:tcPr>
          <w:p w14:paraId="46DF6DA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预计起飞时间</w:t>
            </w:r>
          </w:p>
        </w:tc>
        <w:tc>
          <w:tcPr>
            <w:tcW w:w="686" w:type="pct"/>
            <w:vAlign w:val="center"/>
          </w:tcPr>
          <w:p w14:paraId="047D66D3">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59DE5C0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427C8AC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3EE4A3CC">
            <w:pPr>
              <w:spacing w:line="240" w:lineRule="auto"/>
              <w:ind w:firstLine="0" w:firstLineChars="0"/>
              <w:jc w:val="center"/>
              <w:rPr>
                <w:rFonts w:hint="eastAsia" w:ascii="宋体" w:hAnsi="宋体" w:eastAsia="宋体" w:cs="宋体"/>
                <w:sz w:val="21"/>
                <w:szCs w:val="21"/>
                <w:highlight w:val="none"/>
              </w:rPr>
            </w:pPr>
          </w:p>
        </w:tc>
      </w:tr>
      <w:tr w14:paraId="24633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379FCB58">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1010" w:type="pct"/>
            <w:vAlign w:val="center"/>
          </w:tcPr>
          <w:p w14:paraId="0848CFB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实际起飞时间</w:t>
            </w:r>
          </w:p>
        </w:tc>
        <w:tc>
          <w:tcPr>
            <w:tcW w:w="1030" w:type="pct"/>
            <w:vAlign w:val="center"/>
          </w:tcPr>
          <w:p w14:paraId="6C54F2F8">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实际起飞时间</w:t>
            </w:r>
          </w:p>
        </w:tc>
        <w:tc>
          <w:tcPr>
            <w:tcW w:w="686" w:type="pct"/>
            <w:vAlign w:val="center"/>
          </w:tcPr>
          <w:p w14:paraId="11FA1858">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4284B25F">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77BBCE82">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7AEE55EC">
            <w:pPr>
              <w:spacing w:line="240" w:lineRule="auto"/>
              <w:ind w:firstLine="0" w:firstLineChars="0"/>
              <w:jc w:val="center"/>
              <w:rPr>
                <w:rFonts w:hint="eastAsia" w:ascii="宋体" w:hAnsi="宋体" w:eastAsia="宋体" w:cs="宋体"/>
                <w:sz w:val="21"/>
                <w:szCs w:val="21"/>
                <w:highlight w:val="none"/>
              </w:rPr>
            </w:pPr>
          </w:p>
        </w:tc>
      </w:tr>
      <w:tr w14:paraId="7E493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0CA663A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13</w:t>
            </w:r>
          </w:p>
        </w:tc>
        <w:tc>
          <w:tcPr>
            <w:tcW w:w="1010" w:type="pct"/>
            <w:vAlign w:val="center"/>
          </w:tcPr>
          <w:p w14:paraId="6648D8A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预计落地时间</w:t>
            </w:r>
          </w:p>
        </w:tc>
        <w:tc>
          <w:tcPr>
            <w:tcW w:w="1030" w:type="pct"/>
            <w:vAlign w:val="center"/>
          </w:tcPr>
          <w:p w14:paraId="13AD3FB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预计落地时间</w:t>
            </w:r>
          </w:p>
        </w:tc>
        <w:tc>
          <w:tcPr>
            <w:tcW w:w="686" w:type="pct"/>
            <w:vAlign w:val="center"/>
          </w:tcPr>
          <w:p w14:paraId="7872F5CC">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6D4C7F8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2AC557F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6FCBF37F">
            <w:pPr>
              <w:spacing w:line="240" w:lineRule="auto"/>
              <w:ind w:firstLine="0" w:firstLineChars="0"/>
              <w:jc w:val="center"/>
              <w:rPr>
                <w:rFonts w:hint="eastAsia" w:ascii="宋体" w:hAnsi="宋体" w:eastAsia="宋体" w:cs="宋体"/>
                <w:sz w:val="21"/>
                <w:szCs w:val="21"/>
                <w:highlight w:val="none"/>
              </w:rPr>
            </w:pPr>
          </w:p>
        </w:tc>
      </w:tr>
      <w:tr w14:paraId="16AB7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58D263D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14</w:t>
            </w:r>
          </w:p>
        </w:tc>
        <w:tc>
          <w:tcPr>
            <w:tcW w:w="1010" w:type="pct"/>
            <w:vAlign w:val="center"/>
          </w:tcPr>
          <w:p w14:paraId="1A4CFE28">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实际落地时间</w:t>
            </w:r>
          </w:p>
        </w:tc>
        <w:tc>
          <w:tcPr>
            <w:tcW w:w="1030" w:type="pct"/>
            <w:vAlign w:val="center"/>
          </w:tcPr>
          <w:p w14:paraId="16BF103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实际落地时间</w:t>
            </w:r>
          </w:p>
        </w:tc>
        <w:tc>
          <w:tcPr>
            <w:tcW w:w="686" w:type="pct"/>
            <w:vAlign w:val="center"/>
          </w:tcPr>
          <w:p w14:paraId="3ADDACA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65345B2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2498D522">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16355285">
            <w:pPr>
              <w:spacing w:line="240" w:lineRule="auto"/>
              <w:ind w:firstLine="0" w:firstLineChars="0"/>
              <w:jc w:val="center"/>
              <w:rPr>
                <w:rFonts w:hint="eastAsia" w:ascii="宋体" w:hAnsi="宋体" w:eastAsia="宋体" w:cs="宋体"/>
                <w:sz w:val="21"/>
                <w:szCs w:val="21"/>
                <w:highlight w:val="none"/>
              </w:rPr>
            </w:pPr>
          </w:p>
        </w:tc>
      </w:tr>
      <w:tr w14:paraId="4DAD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4A335255">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c>
          <w:tcPr>
            <w:tcW w:w="1010" w:type="pct"/>
            <w:vAlign w:val="center"/>
          </w:tcPr>
          <w:p w14:paraId="2DEA51BC">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关联航班ID</w:t>
            </w:r>
          </w:p>
        </w:tc>
        <w:tc>
          <w:tcPr>
            <w:tcW w:w="1030" w:type="pct"/>
            <w:vAlign w:val="center"/>
          </w:tcPr>
          <w:p w14:paraId="114E5E62">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关联航班ID</w:t>
            </w:r>
          </w:p>
        </w:tc>
        <w:tc>
          <w:tcPr>
            <w:tcW w:w="686" w:type="pct"/>
            <w:tcBorders>
              <w:top w:val="single" w:color="auto" w:sz="4" w:space="0"/>
              <w:left w:val="single" w:color="auto" w:sz="4" w:space="0"/>
              <w:bottom w:val="single" w:color="auto" w:sz="4" w:space="0"/>
              <w:right w:val="single" w:color="auto" w:sz="4" w:space="0"/>
            </w:tcBorders>
            <w:vAlign w:val="center"/>
          </w:tcPr>
          <w:p w14:paraId="06879B3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1B5A36A5">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6EEF0B1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638A5A0F">
            <w:pPr>
              <w:spacing w:line="240" w:lineRule="auto"/>
              <w:ind w:firstLine="0" w:firstLineChars="0"/>
              <w:jc w:val="center"/>
              <w:rPr>
                <w:rFonts w:hint="eastAsia" w:ascii="宋体" w:hAnsi="宋体" w:eastAsia="宋体" w:cs="宋体"/>
                <w:sz w:val="21"/>
                <w:szCs w:val="21"/>
                <w:highlight w:val="none"/>
              </w:rPr>
            </w:pPr>
          </w:p>
        </w:tc>
      </w:tr>
      <w:tr w14:paraId="204C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21C98B9F">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16</w:t>
            </w:r>
          </w:p>
        </w:tc>
        <w:tc>
          <w:tcPr>
            <w:tcW w:w="1010" w:type="pct"/>
            <w:vAlign w:val="center"/>
          </w:tcPr>
          <w:p w14:paraId="4BFE245C">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航班ID</w:t>
            </w:r>
          </w:p>
        </w:tc>
        <w:tc>
          <w:tcPr>
            <w:tcW w:w="1030" w:type="pct"/>
            <w:vAlign w:val="center"/>
          </w:tcPr>
          <w:p w14:paraId="6FC5AFD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航班ID</w:t>
            </w:r>
          </w:p>
        </w:tc>
        <w:tc>
          <w:tcPr>
            <w:tcW w:w="686" w:type="pct"/>
            <w:tcBorders>
              <w:top w:val="single" w:color="auto" w:sz="4" w:space="0"/>
              <w:left w:val="single" w:color="auto" w:sz="4" w:space="0"/>
              <w:bottom w:val="single" w:color="auto" w:sz="4" w:space="0"/>
              <w:right w:val="single" w:color="auto" w:sz="4" w:space="0"/>
            </w:tcBorders>
            <w:vAlign w:val="center"/>
          </w:tcPr>
          <w:p w14:paraId="0DF7C3D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751FF46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65EF03B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1D6E01E9">
            <w:pPr>
              <w:spacing w:line="240" w:lineRule="auto"/>
              <w:ind w:firstLine="0" w:firstLineChars="0"/>
              <w:jc w:val="center"/>
              <w:rPr>
                <w:rFonts w:hint="eastAsia" w:ascii="宋体" w:hAnsi="宋体" w:eastAsia="宋体" w:cs="宋体"/>
                <w:sz w:val="21"/>
                <w:szCs w:val="21"/>
                <w:highlight w:val="none"/>
              </w:rPr>
            </w:pPr>
          </w:p>
        </w:tc>
      </w:tr>
      <w:tr w14:paraId="79948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1EFEB9A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17</w:t>
            </w:r>
          </w:p>
        </w:tc>
        <w:tc>
          <w:tcPr>
            <w:tcW w:w="1010" w:type="pct"/>
            <w:vAlign w:val="center"/>
          </w:tcPr>
          <w:p w14:paraId="2D24E6D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进出港标识</w:t>
            </w:r>
          </w:p>
        </w:tc>
        <w:tc>
          <w:tcPr>
            <w:tcW w:w="1030" w:type="pct"/>
            <w:vAlign w:val="center"/>
          </w:tcPr>
          <w:p w14:paraId="7BB81E7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进出港标识</w:t>
            </w:r>
          </w:p>
        </w:tc>
        <w:tc>
          <w:tcPr>
            <w:tcW w:w="686" w:type="pct"/>
            <w:tcBorders>
              <w:top w:val="single" w:color="auto" w:sz="4" w:space="0"/>
              <w:left w:val="single" w:color="auto" w:sz="4" w:space="0"/>
              <w:bottom w:val="single" w:color="auto" w:sz="4" w:space="0"/>
              <w:right w:val="single" w:color="auto" w:sz="4" w:space="0"/>
            </w:tcBorders>
            <w:vAlign w:val="center"/>
          </w:tcPr>
          <w:p w14:paraId="6175B80F">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7C2308F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671BCCB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30885793">
            <w:pPr>
              <w:spacing w:line="240" w:lineRule="auto"/>
              <w:ind w:firstLine="0" w:firstLineChars="0"/>
              <w:jc w:val="center"/>
              <w:rPr>
                <w:rFonts w:hint="eastAsia" w:ascii="宋体" w:hAnsi="宋体" w:eastAsia="宋体" w:cs="宋体"/>
                <w:sz w:val="21"/>
                <w:szCs w:val="21"/>
                <w:highlight w:val="none"/>
              </w:rPr>
            </w:pPr>
          </w:p>
        </w:tc>
      </w:tr>
      <w:tr w14:paraId="70AE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5146BE7F">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18</w:t>
            </w:r>
          </w:p>
        </w:tc>
        <w:tc>
          <w:tcPr>
            <w:tcW w:w="1010" w:type="pct"/>
            <w:vAlign w:val="center"/>
          </w:tcPr>
          <w:p w14:paraId="2206E56E">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飞机注册号</w:t>
            </w:r>
          </w:p>
        </w:tc>
        <w:tc>
          <w:tcPr>
            <w:tcW w:w="1030" w:type="pct"/>
            <w:vAlign w:val="center"/>
          </w:tcPr>
          <w:p w14:paraId="7D9C77E3">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飞机注册号</w:t>
            </w:r>
          </w:p>
        </w:tc>
        <w:tc>
          <w:tcPr>
            <w:tcW w:w="686" w:type="pct"/>
            <w:tcBorders>
              <w:top w:val="single" w:color="auto" w:sz="4" w:space="0"/>
              <w:left w:val="single" w:color="auto" w:sz="4" w:space="0"/>
              <w:bottom w:val="single" w:color="auto" w:sz="4" w:space="0"/>
              <w:right w:val="single" w:color="auto" w:sz="4" w:space="0"/>
            </w:tcBorders>
            <w:vAlign w:val="center"/>
          </w:tcPr>
          <w:p w14:paraId="76B031E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60766CAA">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3A338D33">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66BCB664">
            <w:pPr>
              <w:spacing w:line="240" w:lineRule="auto"/>
              <w:ind w:firstLine="0" w:firstLineChars="0"/>
              <w:jc w:val="center"/>
              <w:rPr>
                <w:rFonts w:hint="eastAsia" w:ascii="宋体" w:hAnsi="宋体" w:eastAsia="宋体" w:cs="宋体"/>
                <w:sz w:val="21"/>
                <w:szCs w:val="21"/>
                <w:highlight w:val="none"/>
              </w:rPr>
            </w:pPr>
          </w:p>
        </w:tc>
      </w:tr>
      <w:tr w14:paraId="26FB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5EEF8B19">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19</w:t>
            </w:r>
          </w:p>
        </w:tc>
        <w:tc>
          <w:tcPr>
            <w:tcW w:w="1010" w:type="pct"/>
            <w:vAlign w:val="center"/>
          </w:tcPr>
          <w:p w14:paraId="26B82DC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机型</w:t>
            </w:r>
          </w:p>
        </w:tc>
        <w:tc>
          <w:tcPr>
            <w:tcW w:w="1030" w:type="pct"/>
            <w:vAlign w:val="center"/>
          </w:tcPr>
          <w:p w14:paraId="02C1E4A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机型</w:t>
            </w:r>
          </w:p>
        </w:tc>
        <w:tc>
          <w:tcPr>
            <w:tcW w:w="686" w:type="pct"/>
            <w:tcBorders>
              <w:top w:val="single" w:color="auto" w:sz="4" w:space="0"/>
              <w:left w:val="single" w:color="auto" w:sz="4" w:space="0"/>
              <w:bottom w:val="single" w:color="auto" w:sz="4" w:space="0"/>
              <w:right w:val="single" w:color="auto" w:sz="4" w:space="0"/>
            </w:tcBorders>
            <w:vAlign w:val="center"/>
          </w:tcPr>
          <w:p w14:paraId="636D593E">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75058E6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7135891E">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2DDA339E">
            <w:pPr>
              <w:spacing w:line="240" w:lineRule="auto"/>
              <w:ind w:firstLine="0" w:firstLineChars="0"/>
              <w:jc w:val="center"/>
              <w:rPr>
                <w:rFonts w:hint="eastAsia" w:ascii="宋体" w:hAnsi="宋体" w:eastAsia="宋体" w:cs="宋体"/>
                <w:sz w:val="21"/>
                <w:szCs w:val="21"/>
                <w:highlight w:val="none"/>
              </w:rPr>
            </w:pPr>
          </w:p>
        </w:tc>
      </w:tr>
      <w:tr w14:paraId="3C383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442" w:type="pct"/>
            <w:vAlign w:val="center"/>
          </w:tcPr>
          <w:p w14:paraId="0761173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1010" w:type="pct"/>
            <w:vAlign w:val="center"/>
          </w:tcPr>
          <w:p w14:paraId="32C45D6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出发地机场IATA码</w:t>
            </w:r>
          </w:p>
        </w:tc>
        <w:tc>
          <w:tcPr>
            <w:tcW w:w="1030" w:type="pct"/>
            <w:vAlign w:val="center"/>
          </w:tcPr>
          <w:p w14:paraId="323F98F3">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出发地机场IATA码</w:t>
            </w:r>
          </w:p>
        </w:tc>
        <w:tc>
          <w:tcPr>
            <w:tcW w:w="686" w:type="pct"/>
            <w:tcBorders>
              <w:top w:val="single" w:color="auto" w:sz="4" w:space="0"/>
              <w:left w:val="single" w:color="auto" w:sz="4" w:space="0"/>
              <w:bottom w:val="single" w:color="auto" w:sz="4" w:space="0"/>
              <w:right w:val="single" w:color="auto" w:sz="4" w:space="0"/>
            </w:tcBorders>
            <w:vAlign w:val="center"/>
          </w:tcPr>
          <w:p w14:paraId="4CDB710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198BEFB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2877EE9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1C09BA2E">
            <w:pPr>
              <w:spacing w:line="240" w:lineRule="auto"/>
              <w:ind w:firstLine="0" w:firstLineChars="0"/>
              <w:jc w:val="center"/>
              <w:rPr>
                <w:rFonts w:hint="eastAsia" w:ascii="宋体" w:hAnsi="宋体" w:eastAsia="宋体" w:cs="宋体"/>
                <w:sz w:val="21"/>
                <w:szCs w:val="21"/>
                <w:highlight w:val="none"/>
              </w:rPr>
            </w:pPr>
          </w:p>
        </w:tc>
      </w:tr>
      <w:tr w14:paraId="544A5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8" w:hRule="atLeast"/>
          <w:jc w:val="center"/>
        </w:trPr>
        <w:tc>
          <w:tcPr>
            <w:tcW w:w="442" w:type="pct"/>
            <w:vAlign w:val="center"/>
          </w:tcPr>
          <w:p w14:paraId="52F936A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w:t>
            </w:r>
          </w:p>
        </w:tc>
        <w:tc>
          <w:tcPr>
            <w:tcW w:w="1010" w:type="pct"/>
            <w:vAlign w:val="center"/>
          </w:tcPr>
          <w:p w14:paraId="3DB1705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目的地机场IATA码</w:t>
            </w:r>
          </w:p>
        </w:tc>
        <w:tc>
          <w:tcPr>
            <w:tcW w:w="1030" w:type="pct"/>
            <w:vAlign w:val="center"/>
          </w:tcPr>
          <w:p w14:paraId="5B2EA53F">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目的地机场IATA码</w:t>
            </w:r>
          </w:p>
        </w:tc>
        <w:tc>
          <w:tcPr>
            <w:tcW w:w="686" w:type="pct"/>
            <w:tcBorders>
              <w:top w:val="single" w:color="auto" w:sz="4" w:space="0"/>
              <w:left w:val="single" w:color="auto" w:sz="4" w:space="0"/>
              <w:bottom w:val="single" w:color="auto" w:sz="4" w:space="0"/>
              <w:right w:val="single" w:color="auto" w:sz="4" w:space="0"/>
            </w:tcBorders>
            <w:vAlign w:val="center"/>
          </w:tcPr>
          <w:p w14:paraId="2786493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65B388F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339A383C">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3E6C1ABB">
            <w:pPr>
              <w:spacing w:line="240" w:lineRule="auto"/>
              <w:ind w:firstLine="0" w:firstLineChars="0"/>
              <w:jc w:val="center"/>
              <w:rPr>
                <w:rFonts w:hint="eastAsia" w:ascii="宋体" w:hAnsi="宋体" w:eastAsia="宋体" w:cs="宋体"/>
                <w:sz w:val="21"/>
                <w:szCs w:val="21"/>
                <w:highlight w:val="none"/>
              </w:rPr>
            </w:pPr>
          </w:p>
        </w:tc>
      </w:tr>
      <w:tr w14:paraId="5382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42D0E35C">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w:t>
            </w:r>
          </w:p>
        </w:tc>
        <w:tc>
          <w:tcPr>
            <w:tcW w:w="1010" w:type="pct"/>
            <w:vAlign w:val="center"/>
          </w:tcPr>
          <w:p w14:paraId="62AF193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航班状态</w:t>
            </w:r>
          </w:p>
        </w:tc>
        <w:tc>
          <w:tcPr>
            <w:tcW w:w="1030" w:type="pct"/>
            <w:vAlign w:val="center"/>
          </w:tcPr>
          <w:p w14:paraId="72670FD2">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航班状态</w:t>
            </w:r>
          </w:p>
        </w:tc>
        <w:tc>
          <w:tcPr>
            <w:tcW w:w="686" w:type="pct"/>
            <w:tcBorders>
              <w:top w:val="single" w:color="auto" w:sz="4" w:space="0"/>
              <w:left w:val="single" w:color="auto" w:sz="4" w:space="0"/>
              <w:bottom w:val="single" w:color="auto" w:sz="4" w:space="0"/>
              <w:right w:val="single" w:color="auto" w:sz="4" w:space="0"/>
            </w:tcBorders>
            <w:vAlign w:val="center"/>
          </w:tcPr>
          <w:p w14:paraId="76D6D802">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2B29B42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79F0CD2C">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25FC1A1B">
            <w:pPr>
              <w:spacing w:line="240" w:lineRule="auto"/>
              <w:ind w:firstLine="0" w:firstLineChars="0"/>
              <w:jc w:val="center"/>
              <w:rPr>
                <w:rFonts w:hint="eastAsia" w:ascii="宋体" w:hAnsi="宋体" w:eastAsia="宋体" w:cs="宋体"/>
                <w:sz w:val="21"/>
                <w:szCs w:val="21"/>
                <w:highlight w:val="none"/>
              </w:rPr>
            </w:pPr>
          </w:p>
        </w:tc>
      </w:tr>
      <w:tr w14:paraId="115D1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442" w:type="pct"/>
            <w:vAlign w:val="center"/>
          </w:tcPr>
          <w:p w14:paraId="46FF744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23</w:t>
            </w:r>
          </w:p>
        </w:tc>
        <w:tc>
          <w:tcPr>
            <w:tcW w:w="1010" w:type="pct"/>
            <w:vAlign w:val="center"/>
          </w:tcPr>
          <w:p w14:paraId="511D2D73">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停机位编号</w:t>
            </w:r>
          </w:p>
        </w:tc>
        <w:tc>
          <w:tcPr>
            <w:tcW w:w="1030" w:type="pct"/>
            <w:vAlign w:val="center"/>
          </w:tcPr>
          <w:p w14:paraId="67656433">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停机位编号</w:t>
            </w:r>
          </w:p>
        </w:tc>
        <w:tc>
          <w:tcPr>
            <w:tcW w:w="686" w:type="pct"/>
            <w:tcBorders>
              <w:top w:val="single" w:color="auto" w:sz="4" w:space="0"/>
              <w:left w:val="single" w:color="auto" w:sz="4" w:space="0"/>
              <w:bottom w:val="single" w:color="auto" w:sz="4" w:space="0"/>
              <w:right w:val="single" w:color="auto" w:sz="4" w:space="0"/>
            </w:tcBorders>
            <w:vAlign w:val="center"/>
          </w:tcPr>
          <w:p w14:paraId="37C1E70C">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24C98E2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635E488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33103F67">
            <w:pPr>
              <w:spacing w:line="240" w:lineRule="auto"/>
              <w:ind w:firstLine="0" w:firstLineChars="0"/>
              <w:jc w:val="center"/>
              <w:rPr>
                <w:rFonts w:hint="eastAsia" w:ascii="宋体" w:hAnsi="宋体" w:eastAsia="宋体" w:cs="宋体"/>
                <w:sz w:val="21"/>
                <w:szCs w:val="21"/>
                <w:highlight w:val="none"/>
              </w:rPr>
            </w:pPr>
          </w:p>
        </w:tc>
      </w:tr>
      <w:tr w14:paraId="154A2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42" w:type="pct"/>
            <w:vAlign w:val="center"/>
          </w:tcPr>
          <w:p w14:paraId="3A6CE035">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24</w:t>
            </w:r>
          </w:p>
        </w:tc>
        <w:tc>
          <w:tcPr>
            <w:tcW w:w="1010" w:type="pct"/>
            <w:vAlign w:val="center"/>
          </w:tcPr>
          <w:p w14:paraId="7DE21E0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机位变更记录</w:t>
            </w:r>
          </w:p>
        </w:tc>
        <w:tc>
          <w:tcPr>
            <w:tcW w:w="1030" w:type="pct"/>
            <w:vAlign w:val="center"/>
          </w:tcPr>
          <w:p w14:paraId="66A7DFE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机位变更记录</w:t>
            </w:r>
          </w:p>
        </w:tc>
        <w:tc>
          <w:tcPr>
            <w:tcW w:w="686" w:type="pct"/>
            <w:tcBorders>
              <w:top w:val="single" w:color="auto" w:sz="4" w:space="0"/>
              <w:left w:val="single" w:color="auto" w:sz="4" w:space="0"/>
              <w:bottom w:val="single" w:color="auto" w:sz="4" w:space="0"/>
              <w:right w:val="single" w:color="auto" w:sz="4" w:space="0"/>
            </w:tcBorders>
            <w:vAlign w:val="center"/>
          </w:tcPr>
          <w:p w14:paraId="514521BE">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51" w:type="pct"/>
            <w:vAlign w:val="center"/>
          </w:tcPr>
          <w:p w14:paraId="642C4FC9">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676" w:type="pct"/>
            <w:vAlign w:val="center"/>
          </w:tcPr>
          <w:p w14:paraId="12FDC31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503" w:type="pct"/>
            <w:vAlign w:val="center"/>
          </w:tcPr>
          <w:p w14:paraId="2C320081">
            <w:pPr>
              <w:spacing w:line="240" w:lineRule="auto"/>
              <w:ind w:firstLine="0" w:firstLineChars="0"/>
              <w:jc w:val="center"/>
              <w:rPr>
                <w:rFonts w:hint="eastAsia" w:ascii="宋体" w:hAnsi="宋体" w:eastAsia="宋体" w:cs="宋体"/>
                <w:sz w:val="21"/>
                <w:szCs w:val="21"/>
                <w:highlight w:val="none"/>
              </w:rPr>
            </w:pPr>
          </w:p>
        </w:tc>
      </w:tr>
    </w:tbl>
    <w:p w14:paraId="582295C1">
      <w:pPr>
        <w:ind w:firstLine="480"/>
        <w:rPr>
          <w:rFonts w:hint="eastAsia" w:ascii="宋体" w:hAnsi="宋体" w:eastAsia="宋体" w:cs="宋体"/>
          <w:highlight w:val="none"/>
        </w:rPr>
      </w:pPr>
    </w:p>
    <w:p w14:paraId="41D7EDB2">
      <w:pPr>
        <w:pStyle w:val="5"/>
        <w:keepNext/>
        <w:keepLines/>
        <w:pageBreakBefore w:val="0"/>
        <w:widowControl w:val="0"/>
        <w:kinsoku/>
        <w:wordWrap/>
        <w:overflowPunct/>
        <w:topLinePunct w:val="0"/>
        <w:autoSpaceDE/>
        <w:autoSpaceDN/>
        <w:bidi w:val="0"/>
        <w:adjustRightInd/>
        <w:snapToGrid/>
        <w:spacing w:line="400" w:lineRule="exact"/>
        <w:ind w:left="0" w:firstLine="422" w:firstLineChars="200"/>
        <w:textAlignment w:val="auto"/>
        <w:rPr>
          <w:rFonts w:hint="eastAsia"/>
          <w:highlight w:val="none"/>
        </w:rPr>
      </w:pPr>
      <w:r>
        <w:rPr>
          <w:rFonts w:hint="eastAsia"/>
          <w:highlight w:val="none"/>
        </w:rPr>
        <w:t>系统部署</w:t>
      </w:r>
    </w:p>
    <w:p w14:paraId="13C6A4AD">
      <w:pPr>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73040" cy="2823845"/>
            <wp:effectExtent l="0" t="0" r="3810" b="14605"/>
            <wp:docPr id="1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9"/>
                    <pic:cNvPicPr>
                      <a:picLocks noChangeAspect="1"/>
                    </pic:cNvPicPr>
                  </pic:nvPicPr>
                  <pic:blipFill>
                    <a:blip r:embed="rId11"/>
                    <a:srcRect l="6221" b="3824"/>
                    <a:stretch>
                      <a:fillRect/>
                    </a:stretch>
                  </pic:blipFill>
                  <pic:spPr>
                    <a:xfrm>
                      <a:off x="0" y="0"/>
                      <a:ext cx="5273040" cy="2823845"/>
                    </a:xfrm>
                    <a:prstGeom prst="rect">
                      <a:avLst/>
                    </a:prstGeom>
                    <a:noFill/>
                    <a:ln>
                      <a:noFill/>
                    </a:ln>
                  </pic:spPr>
                </pic:pic>
              </a:graphicData>
            </a:graphic>
          </wp:inline>
        </w:drawing>
      </w:r>
    </w:p>
    <w:p w14:paraId="46A8409D">
      <w:pPr>
        <w:pStyle w:val="63"/>
        <w:numPr>
          <w:ilvl w:val="7"/>
          <w:numId w:val="7"/>
        </w:numPr>
        <w:rPr>
          <w:rFonts w:hint="eastAsia" w:ascii="宋体" w:hAnsi="宋体" w:eastAsia="宋体" w:cs="宋体"/>
          <w:highlight w:val="none"/>
        </w:rPr>
      </w:pPr>
      <w:bookmarkStart w:id="145" w:name="_Toc7183"/>
      <w:r>
        <w:rPr>
          <w:rFonts w:hint="eastAsia" w:ascii="宋体" w:hAnsi="宋体" w:eastAsia="宋体" w:cs="宋体"/>
          <w:highlight w:val="none"/>
        </w:rPr>
        <w:t>网络拓扑图</w:t>
      </w:r>
    </w:p>
    <w:p w14:paraId="3FC3909D">
      <w:pPr>
        <w:pStyle w:val="4"/>
        <w:bidi w:val="0"/>
        <w:rPr>
          <w:rFonts w:hint="eastAsia"/>
          <w:highlight w:val="none"/>
        </w:rPr>
      </w:pPr>
      <w:bookmarkStart w:id="146" w:name="_Toc3314"/>
      <w:bookmarkStart w:id="147" w:name="_Toc17352"/>
      <w:bookmarkStart w:id="148" w:name="_Toc4229"/>
      <w:bookmarkStart w:id="149" w:name="_Toc32589"/>
      <w:bookmarkStart w:id="150" w:name="_Toc25335"/>
      <w:bookmarkStart w:id="151" w:name="_Toc27083"/>
      <w:bookmarkStart w:id="152" w:name="_Toc16140"/>
      <w:bookmarkStart w:id="153" w:name="_Toc5442"/>
      <w:bookmarkStart w:id="154" w:name="_Toc15265"/>
      <w:bookmarkStart w:id="155" w:name="_Toc13706"/>
      <w:r>
        <w:rPr>
          <w:rFonts w:hint="eastAsia"/>
          <w:highlight w:val="none"/>
        </w:rPr>
        <w:t>无人机防控系统</w:t>
      </w:r>
      <w:bookmarkEnd w:id="146"/>
      <w:bookmarkEnd w:id="147"/>
      <w:bookmarkEnd w:id="148"/>
      <w:bookmarkEnd w:id="149"/>
      <w:bookmarkEnd w:id="150"/>
      <w:bookmarkEnd w:id="151"/>
      <w:bookmarkEnd w:id="152"/>
      <w:bookmarkEnd w:id="153"/>
      <w:bookmarkEnd w:id="154"/>
      <w:bookmarkEnd w:id="155"/>
    </w:p>
    <w:p w14:paraId="4C8FBF1C">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设计思路</w:t>
      </w:r>
    </w:p>
    <w:p w14:paraId="41A37A7A">
      <w:pPr>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台州机场是军民合用机场，周边地势开阔，跑道是南北走向，新航楼在东北端。在机场新航站楼公安大楼楼顶、北侧下陈派出所、西北侧洪家派出所、南侧新桥派出所、横街派出所，西侧路南派出所各部署1台侦测设备，总体覆盖面积可以有效覆盖全机场周边169.62平方公里，可以有效加强飞行起落航线的覆盖范围。</w:t>
      </w:r>
    </w:p>
    <w:p w14:paraId="379E63FA">
      <w:pPr>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1.在满足安全可靠自主可控要求的前提下，优先选择成熟度高、适配性强的产品，确保系统的稳定性、可靠性；</w:t>
      </w:r>
    </w:p>
    <w:p w14:paraId="526E3680">
      <w:pPr>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2.选择符合相关标准协议的产品，确保产品间可互联互通及今后扩展；</w:t>
      </w:r>
    </w:p>
    <w:p w14:paraId="692DADAE">
      <w:pPr>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3.相关安全设备选择符合相关部门认证的产品；</w:t>
      </w:r>
    </w:p>
    <w:p w14:paraId="186CDC9B">
      <w:pPr>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4.软件产品优先选用开放式体系架构的成熟软件产品，尽量减少自行开发工作，确保系统工作稳定；</w:t>
      </w:r>
    </w:p>
    <w:p w14:paraId="2357EB78">
      <w:pPr>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5.突出实用性和成熟性：设计力求从实用出发，自研部分采用经过验证的成熟技术；外购器材和模块采用主流的商用货架产品进行加固处理。</w:t>
      </w:r>
      <w:bookmarkStart w:id="156" w:name="_Toc492306470"/>
      <w:bookmarkStart w:id="157" w:name="_Toc35813061"/>
      <w:bookmarkStart w:id="158" w:name="_Toc80303026"/>
      <w:bookmarkStart w:id="159" w:name="_Toc320887985"/>
      <w:bookmarkStart w:id="160" w:name="_Toc51845400"/>
      <w:bookmarkStart w:id="161" w:name="_Toc219716660"/>
    </w:p>
    <w:p w14:paraId="7EF1272B">
      <w:pPr>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6.系统软件必须符合本项目要求信息系统安全等级。</w:t>
      </w:r>
    </w:p>
    <w:bookmarkEnd w:id="156"/>
    <w:bookmarkEnd w:id="157"/>
    <w:bookmarkEnd w:id="158"/>
    <w:bookmarkEnd w:id="159"/>
    <w:bookmarkEnd w:id="160"/>
    <w:bookmarkEnd w:id="161"/>
    <w:p w14:paraId="04788EE4">
      <w:pPr>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7.系统硬件应为国产化产品，符合国家关于国产化信创要求，不在信创规定范围内的项目硬件也应为国内厂商提供。</w:t>
      </w:r>
    </w:p>
    <w:p w14:paraId="200E7475">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系统框架</w:t>
      </w:r>
    </w:p>
    <w:p w14:paraId="659665BF">
      <w:pPr>
        <w:pageBreakBefore w:val="0"/>
        <w:widowControl w:val="0"/>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zh-CN"/>
        </w:rPr>
        <w:t>系统采用微服务架构进行设计，可以实现应用组件、应用系统和信息数据的快速融合、重组，并能够随业务灵活改变调整，具有很强的适应性和可扩展性。</w:t>
      </w:r>
    </w:p>
    <w:p w14:paraId="55CA47E5">
      <w:pPr>
        <w:pStyle w:val="12"/>
        <w:ind w:firstLine="0" w:firstLineChars="0"/>
        <w:rPr>
          <w:rFonts w:hint="eastAsia" w:ascii="宋体" w:hAnsi="宋体" w:eastAsia="宋体" w:cs="宋体"/>
          <w:highlight w:val="none"/>
        </w:rPr>
      </w:pPr>
      <w:r>
        <w:rPr>
          <w:rFonts w:hint="eastAsia" w:ascii="宋体" w:hAnsi="宋体" w:eastAsia="宋体" w:cs="宋体"/>
          <w:highlight w:val="none"/>
        </w:rPr>
        <w:object>
          <v:shape id="_x0000_i1025" o:spt="75" type="#_x0000_t75" style="height:265pt;width:415pt;" o:ole="t" filled="f" o:preferrelative="t" stroked="f" coordsize="21600,21600">
            <v:path/>
            <v:fill on="f" focussize="0,0"/>
            <v:stroke on="f" joinstyle="miter"/>
            <v:imagedata r:id="rId13" o:title=""/>
            <o:lock v:ext="edit" aspectratio="t"/>
            <w10:wrap type="none"/>
            <w10:anchorlock/>
          </v:shape>
          <o:OLEObject Type="Embed" ProgID="" ShapeID="_x0000_i1025" DrawAspect="Content" ObjectID="_1468075725" r:id="rId12">
            <o:LockedField>false</o:LockedField>
          </o:OLEObject>
        </w:object>
      </w:r>
    </w:p>
    <w:p w14:paraId="4C351187">
      <w:pPr>
        <w:pStyle w:val="63"/>
        <w:numPr>
          <w:ilvl w:val="7"/>
          <w:numId w:val="7"/>
        </w:numPr>
        <w:rPr>
          <w:rFonts w:hint="eastAsia" w:ascii="宋体" w:hAnsi="宋体" w:eastAsia="宋体" w:cs="宋体"/>
          <w:highlight w:val="none"/>
        </w:rPr>
      </w:pPr>
      <w:r>
        <w:rPr>
          <w:rFonts w:hint="eastAsia" w:ascii="宋体" w:hAnsi="宋体" w:eastAsia="宋体" w:cs="宋体"/>
          <w:highlight w:val="none"/>
        </w:rPr>
        <w:t>无人机防控系统框架图</w:t>
      </w:r>
    </w:p>
    <w:p w14:paraId="2AEE53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基础设施层：设施层主要是指系统的硬件平台，主要包括：计算资源、存储资源、网络资源、安全资源，均采用云资源，还有本项目新建的无线电侦测设备。此外，机场公安现有的单兵无人机反制枪，也可以录入系统进行统一管理。</w:t>
      </w:r>
    </w:p>
    <w:p w14:paraId="13F76F0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数据资源层：数据资源层是系统中处理数据存储的层次，它解决数据存储的结构、模型、内容、数据库管理软件的选型等问题。存储了系统过程中产生的数据，是整个应用体系框架的关键核心部分，使得数据交换、共享、交互成为可能。主要包括关系型和非关系型数据库，可以存储一系列的结构化、空间和非结构化数据，在实现关系型和非关系型数据库协同工作的过程中，使用基于多源异构的数据集成技术，有效存储和管理不同来源、格式、标准、专业的数据。为更深层的数据分析、数据挖掘、领导决策支持提供依据。为应用系统实现数据采集、管理、交换、共享提供有力的支撑。</w:t>
      </w:r>
    </w:p>
    <w:p w14:paraId="166B442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lang w:val="zh-CN"/>
        </w:rPr>
      </w:pPr>
      <w:r>
        <w:rPr>
          <w:rFonts w:hint="eastAsia" w:ascii="宋体" w:hAnsi="宋体" w:eastAsia="宋体" w:cs="宋体"/>
          <w:highlight w:val="none"/>
        </w:rPr>
        <w:t>应用支撑层：</w:t>
      </w:r>
      <w:r>
        <w:rPr>
          <w:rFonts w:hint="eastAsia" w:ascii="宋体" w:hAnsi="宋体" w:eastAsia="宋体" w:cs="宋体"/>
          <w:highlight w:val="none"/>
          <w:lang w:val="zh-CN"/>
        </w:rPr>
        <w:t>基于微服务的系统基础框架，包含：地理信息平台、工作流引擎、接口与交换服务三部分。基础地理信息平台提供地理信息数据聚合与检索服务、空间算法服务以及背景地图可视化服务；工作流</w:t>
      </w:r>
      <w:r>
        <w:rPr>
          <w:rFonts w:hint="eastAsia" w:ascii="宋体" w:hAnsi="宋体" w:eastAsia="宋体" w:cs="宋体"/>
          <w:highlight w:val="none"/>
        </w:rPr>
        <w:t>引擎</w:t>
      </w:r>
      <w:r>
        <w:rPr>
          <w:rFonts w:hint="eastAsia" w:ascii="宋体" w:hAnsi="宋体" w:eastAsia="宋体" w:cs="宋体"/>
          <w:highlight w:val="none"/>
          <w:lang w:val="zh-CN"/>
        </w:rPr>
        <w:t>提供人机交互表单定义服务、流程定义服务、流程执行驱动服务、流程执行监控服务；接口与交换服务提供基础的数据总线服务，包括数据收发服务、格式转换与校验服务。</w:t>
      </w:r>
    </w:p>
    <w:p w14:paraId="2C2323A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lang w:val="zh-CN"/>
        </w:rPr>
      </w:pPr>
      <w:r>
        <w:rPr>
          <w:rFonts w:hint="eastAsia" w:ascii="宋体" w:hAnsi="宋体" w:eastAsia="宋体" w:cs="宋体"/>
          <w:highlight w:val="none"/>
        </w:rPr>
        <w:t>业务应用层：</w:t>
      </w:r>
      <w:r>
        <w:rPr>
          <w:rFonts w:hint="eastAsia" w:ascii="宋体" w:hAnsi="宋体" w:eastAsia="宋体" w:cs="宋体"/>
          <w:highlight w:val="none"/>
          <w:lang w:val="zh-CN"/>
        </w:rPr>
        <w:t>业务应用层是直接面向用户的业务功能，是直观满足用户需求的核心业务，主要包括侦测设备管理、无人机的准入管理、无人机与飞手的定位监视、无人机侵入告警、数据统计与回放。</w:t>
      </w:r>
    </w:p>
    <w:p w14:paraId="5B1B851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本系统的功能框架如下：</w:t>
      </w:r>
    </w:p>
    <w:p w14:paraId="49CD07B6">
      <w:pPr>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66690" cy="1612265"/>
            <wp:effectExtent l="0" t="0" r="0" b="0"/>
            <wp:docPr id="92" name="图片 92" descr="无人机防控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无人机防控系统"/>
                    <pic:cNvPicPr>
                      <a:picLocks noChangeAspect="1"/>
                    </pic:cNvPicPr>
                  </pic:nvPicPr>
                  <pic:blipFill>
                    <a:blip r:embed="rId14"/>
                    <a:stretch>
                      <a:fillRect/>
                    </a:stretch>
                  </pic:blipFill>
                  <pic:spPr>
                    <a:xfrm>
                      <a:off x="0" y="0"/>
                      <a:ext cx="5266690" cy="1612265"/>
                    </a:xfrm>
                    <a:prstGeom prst="rect">
                      <a:avLst/>
                    </a:prstGeom>
                  </pic:spPr>
                </pic:pic>
              </a:graphicData>
            </a:graphic>
          </wp:inline>
        </w:drawing>
      </w:r>
    </w:p>
    <w:p w14:paraId="59ADBAD7">
      <w:pPr>
        <w:pStyle w:val="63"/>
        <w:numPr>
          <w:ilvl w:val="7"/>
          <w:numId w:val="7"/>
        </w:numPr>
        <w:rPr>
          <w:rFonts w:hint="eastAsia" w:ascii="宋体" w:hAnsi="宋体" w:eastAsia="宋体" w:cs="宋体"/>
          <w:highlight w:val="none"/>
        </w:rPr>
      </w:pPr>
      <w:r>
        <w:rPr>
          <w:rFonts w:hint="eastAsia" w:ascii="宋体" w:hAnsi="宋体" w:eastAsia="宋体" w:cs="宋体"/>
          <w:highlight w:val="none"/>
        </w:rPr>
        <w:t>无人机防控系统功能框架图</w:t>
      </w:r>
    </w:p>
    <w:p w14:paraId="78E5AF41">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bookmarkStart w:id="162" w:name="_Toc2853"/>
      <w:bookmarkStart w:id="163" w:name="_Toc11215"/>
      <w:bookmarkStart w:id="164" w:name="_Toc151125996"/>
      <w:r>
        <w:rPr>
          <w:rFonts w:hint="eastAsia"/>
          <w:highlight w:val="none"/>
        </w:rPr>
        <w:t>工作原理</w:t>
      </w:r>
      <w:bookmarkEnd w:id="162"/>
      <w:bookmarkEnd w:id="163"/>
      <w:bookmarkEnd w:id="164"/>
    </w:p>
    <w:p w14:paraId="1E81590F">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zh-CN"/>
        </w:rPr>
        <w:t>设备采用天线主机一体化设计模式，主要由以下几个功能单元组成。</w:t>
      </w:r>
    </w:p>
    <w:p w14:paraId="63426572">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zh-CN"/>
        </w:rPr>
        <w:t>一是天馈单元，主要是接收无线电信号，将高频电磁信号转换为高频电流信号。</w:t>
      </w:r>
    </w:p>
    <w:p w14:paraId="053AADD2">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zh-CN"/>
        </w:rPr>
        <w:t>二是射频信号接收单元，将信号转换为中频信号输出。</w:t>
      </w:r>
    </w:p>
    <w:p w14:paraId="372AF7E1">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zh-CN"/>
        </w:rPr>
        <w:t>三是多通道中频信号处理单元，主要功能是将模拟信号转数字信号，并将数字信号做DDC-FFT等变换，输出频谱、IQ数据、幅度和相位等数据。同时，该单元还实现对外围硬件设备的控制，比如开关控制、GPS数据、射频模块控制等。</w:t>
      </w:r>
    </w:p>
    <w:p w14:paraId="06743B1F">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zh-CN"/>
        </w:rPr>
        <w:t>四是工控主板，主要功能是加载上位机操作软件，实现无线电信号解析，对无人机信号进行侦测与测向。</w:t>
      </w:r>
    </w:p>
    <w:p w14:paraId="340CD992">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zh-CN"/>
        </w:rPr>
        <w:t>五是电源单元，为设备各个部件提供优质的工作电源。</w:t>
      </w:r>
    </w:p>
    <w:p w14:paraId="6C03908D">
      <w:pPr>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lang w:val="zh-CN"/>
        </w:rPr>
      </w:pPr>
    </w:p>
    <w:p w14:paraId="5FCD5B3F">
      <w:pPr>
        <w:ind w:firstLine="0" w:firstLineChars="0"/>
        <w:rPr>
          <w:rFonts w:hint="eastAsia" w:ascii="宋体" w:hAnsi="宋体" w:eastAsia="宋体" w:cs="宋体"/>
          <w:highlight w:val="none"/>
        </w:rPr>
      </w:pPr>
    </w:p>
    <w:p w14:paraId="64325A9F">
      <w:pPr>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73040" cy="2082800"/>
            <wp:effectExtent l="0" t="0" r="3810" b="12700"/>
            <wp:docPr id="3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4"/>
                    <pic:cNvPicPr>
                      <a:picLocks noChangeAspect="1"/>
                    </pic:cNvPicPr>
                  </pic:nvPicPr>
                  <pic:blipFill>
                    <a:blip r:embed="rId15"/>
                    <a:stretch>
                      <a:fillRect/>
                    </a:stretch>
                  </pic:blipFill>
                  <pic:spPr>
                    <a:xfrm>
                      <a:off x="0" y="0"/>
                      <a:ext cx="5273040" cy="2082800"/>
                    </a:xfrm>
                    <a:prstGeom prst="rect">
                      <a:avLst/>
                    </a:prstGeom>
                    <a:noFill/>
                    <a:ln>
                      <a:noFill/>
                    </a:ln>
                  </pic:spPr>
                </pic:pic>
              </a:graphicData>
            </a:graphic>
          </wp:inline>
        </w:drawing>
      </w:r>
    </w:p>
    <w:p w14:paraId="7ACB84B0">
      <w:pPr>
        <w:pStyle w:val="63"/>
        <w:numPr>
          <w:ilvl w:val="7"/>
          <w:numId w:val="7"/>
        </w:numPr>
        <w:rPr>
          <w:rFonts w:hint="eastAsia" w:ascii="宋体" w:hAnsi="宋体" w:eastAsia="宋体" w:cs="宋体"/>
          <w:highlight w:val="none"/>
        </w:rPr>
      </w:pPr>
      <w:r>
        <w:rPr>
          <w:rFonts w:hint="eastAsia" w:ascii="宋体" w:hAnsi="宋体" w:eastAsia="宋体" w:cs="宋体"/>
          <w:highlight w:val="none"/>
        </w:rPr>
        <w:t>关键单元组成框图</w:t>
      </w:r>
    </w:p>
    <w:p w14:paraId="6CAE4899">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软件功能设计</w:t>
      </w:r>
    </w:p>
    <w:p w14:paraId="75240EBD">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165" w:name="_Toc143957636"/>
      <w:bookmarkStart w:id="166" w:name="_Toc128754579"/>
      <w:r>
        <w:rPr>
          <w:rFonts w:hint="eastAsia"/>
          <w:highlight w:val="none"/>
        </w:rPr>
        <w:t>固定设备管理</w:t>
      </w:r>
      <w:bookmarkEnd w:id="165"/>
      <w:bookmarkEnd w:id="166"/>
    </w:p>
    <w:p w14:paraId="03565DE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提供固定侦测反制设备管理功能，包括固定侦测设备的新增、修改、删除、导入与导出。设备信息包括：设备编号、型号、生产厂商、部署地址、部署位置经纬度、探测范围等。可根据设备编号、生产厂商、型号、设备状态等条件对固定侦测设备进行组合条件查询。以列表形式展示满足查询条件的所有固定侦测设备列表，展示：编号、生产厂商、部署地址、探测范围、状态等。</w:t>
      </w:r>
    </w:p>
    <w:p w14:paraId="235E0AEA">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167" w:name="_Toc143957639"/>
      <w:r>
        <w:rPr>
          <w:rFonts w:hint="eastAsia"/>
          <w:highlight w:val="none"/>
        </w:rPr>
        <w:t>无人机准入管理</w:t>
      </w:r>
      <w:bookmarkEnd w:id="167"/>
    </w:p>
    <w:p w14:paraId="69D5873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系统支持黑白名单设置功能，通过对合作无人机目标进行标记，有效区分敌友，避免无差别打击。</w:t>
      </w:r>
    </w:p>
    <w:p w14:paraId="3FB19C34">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168" w:name="_Toc143957641"/>
      <w:bookmarkStart w:id="169" w:name="_Toc143957640"/>
      <w:r>
        <w:rPr>
          <w:rFonts w:hint="eastAsia"/>
          <w:highlight w:val="none"/>
        </w:rPr>
        <w:t>实时无线电监测</w:t>
      </w:r>
      <w:bookmarkEnd w:id="168"/>
    </w:p>
    <w:p w14:paraId="1BC2527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系统可进行多频段24小时无线电监测，系统具备300MHz-6GHz全频段检测能力。支持识别大疆、道通等主流消费级无人机，可识别改装机、穿越机、WIFI机等改造无人机。</w:t>
      </w:r>
      <w:bookmarkStart w:id="170" w:name="_Toc143957645"/>
      <w:r>
        <w:rPr>
          <w:rFonts w:hint="eastAsia" w:ascii="宋体" w:hAnsi="宋体" w:eastAsia="宋体" w:cs="宋体"/>
          <w:highlight w:val="none"/>
        </w:rPr>
        <w:t>侦测到黑飞无人机信号并报警后，系统自动将检测到的无人机无线电信息与数据库中的各种无人机型号无线电信息进行对比，识别出黑飞无人机的型号。</w:t>
      </w:r>
    </w:p>
    <w:p w14:paraId="08E204A2">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无人机轨迹跟踪</w:t>
      </w:r>
      <w:bookmarkEnd w:id="170"/>
    </w:p>
    <w:p w14:paraId="61D8822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根据识别到的无人机型号信息和无线电特征，系统自动地进行黑飞无人机的轨迹跟踪。同时，根据侦测到的无人机信号，解析出其飞手所在位置，从而定位飞手位置信息，辅助公安进行处置追溯。</w:t>
      </w:r>
    </w:p>
    <w:p w14:paraId="4A071BEA">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侦测反制综合显示</w:t>
      </w:r>
      <w:bookmarkEnd w:id="169"/>
    </w:p>
    <w:p w14:paraId="0DC6CDD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在地图上根据位置显示侦测反制装备图标，不同类型装备采用不同图标显示。固定式无人机侦测反制装备根据其固定部署位置显示，单兵无人机反制枪根据其上报的实时定位进行动态显示。</w:t>
      </w:r>
    </w:p>
    <w:p w14:paraId="1ED408F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对于固定式无人机侦测反制装备，根据其开机运行状态采用不同颜色图标区分显示，开机状态下根据其有效侦测和反制范围显示雷达扫描动图。</w:t>
      </w:r>
    </w:p>
    <w:p w14:paraId="47691E0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单兵无人机反制枪，在开机状态下显示其图标，未开机状态下由于无法获取实时定位而不显示，处于反制发射状态时则以醒目颜色进行显示。</w:t>
      </w:r>
    </w:p>
    <w:p w14:paraId="26B30AF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点击侦测反制装备图标可弹出信息面板，显示其设备编号、所属单位、呼号、部署地址、性能参数、电量等信息。</w:t>
      </w:r>
    </w:p>
    <w:p w14:paraId="3DB8F761">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171" w:name="_Toc143957643"/>
      <w:r>
        <w:rPr>
          <w:rFonts w:hint="eastAsia"/>
          <w:highlight w:val="none"/>
        </w:rPr>
        <w:t>异常信号快速报警</w:t>
      </w:r>
      <w:bookmarkEnd w:id="171"/>
    </w:p>
    <w:p w14:paraId="7BF726E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系统监测到“黑飞”无人机信号后进行报警，监测到黑飞无人机信号并报警。平台能进行信息、图标、声光报警提示，并在地图上显示无人机图标、弹出信息列表。</w:t>
      </w:r>
    </w:p>
    <w:p w14:paraId="539CE7AD">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172" w:name="_Toc143957644"/>
      <w:r>
        <w:rPr>
          <w:rFonts w:hint="eastAsia"/>
          <w:highlight w:val="none"/>
        </w:rPr>
        <w:t>设备异常提醒</w:t>
      </w:r>
      <w:bookmarkEnd w:id="172"/>
    </w:p>
    <w:p w14:paraId="4570BDA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系统软件界面可显示各前端设备工作状态，管控人员可在软件界面收到设备异常提醒，并且支持远程一键重启等功能。</w:t>
      </w:r>
    </w:p>
    <w:p w14:paraId="112969EC">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173" w:name="_Toc143957647"/>
      <w:r>
        <w:rPr>
          <w:rFonts w:hint="eastAsia"/>
          <w:highlight w:val="none"/>
        </w:rPr>
        <w:t>数据回放追溯</w:t>
      </w:r>
      <w:bookmarkEnd w:id="173"/>
    </w:p>
    <w:p w14:paraId="7CD12E90">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系统支持无人机入侵数据回放追溯。</w:t>
      </w:r>
    </w:p>
    <w:p w14:paraId="7FF4547A">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174" w:name="_Toc143957648"/>
      <w:r>
        <w:rPr>
          <w:rFonts w:hint="eastAsia"/>
          <w:highlight w:val="none"/>
        </w:rPr>
        <w:t>数据统计分析</w:t>
      </w:r>
      <w:bookmarkEnd w:id="174"/>
    </w:p>
    <w:p w14:paraId="5B59CA6C">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系统可以对运行数据进行统计，如：入侵无人机数量、入侵等级、入侵区域、主要无人机类型等。</w:t>
      </w:r>
    </w:p>
    <w:p w14:paraId="1EB7860D">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配套硬件设计</w:t>
      </w:r>
    </w:p>
    <w:p w14:paraId="019E5B05">
      <w:pPr>
        <w:pStyle w:val="65"/>
        <w:rPr>
          <w:rFonts w:hint="eastAsia" w:ascii="宋体" w:hAnsi="宋体" w:eastAsia="宋体" w:cs="宋体"/>
          <w:highlight w:val="none"/>
        </w:rPr>
      </w:pPr>
      <w:r>
        <w:rPr>
          <w:rFonts w:hint="eastAsia" w:ascii="宋体" w:hAnsi="宋体" w:eastAsia="宋体" w:cs="宋体"/>
          <w:highlight w:val="none"/>
        </w:rPr>
        <w:t>配套硬件清单</w:t>
      </w:r>
    </w:p>
    <w:tbl>
      <w:tblPr>
        <w:tblStyle w:val="34"/>
        <w:tblW w:w="497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1"/>
        <w:gridCol w:w="830"/>
        <w:gridCol w:w="832"/>
        <w:gridCol w:w="2259"/>
        <w:gridCol w:w="1364"/>
      </w:tblGrid>
      <w:tr w14:paraId="55D4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38" w:type="pct"/>
            <w:shd w:val="clear" w:color="000000" w:fill="auto"/>
            <w:vAlign w:val="center"/>
          </w:tcPr>
          <w:p w14:paraId="33168E6F">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硬件名称</w:t>
            </w:r>
          </w:p>
        </w:tc>
        <w:tc>
          <w:tcPr>
            <w:tcW w:w="449" w:type="pct"/>
            <w:shd w:val="clear" w:color="000000" w:fill="auto"/>
            <w:vAlign w:val="center"/>
          </w:tcPr>
          <w:p w14:paraId="0362F3F9">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单位</w:t>
            </w:r>
          </w:p>
        </w:tc>
        <w:tc>
          <w:tcPr>
            <w:tcW w:w="450" w:type="pct"/>
            <w:shd w:val="clear" w:color="000000" w:fill="auto"/>
            <w:vAlign w:val="center"/>
          </w:tcPr>
          <w:p w14:paraId="0636468E">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数量</w:t>
            </w:r>
          </w:p>
        </w:tc>
        <w:tc>
          <w:tcPr>
            <w:tcW w:w="1222" w:type="pct"/>
            <w:shd w:val="clear" w:color="000000" w:fill="auto"/>
            <w:vAlign w:val="center"/>
          </w:tcPr>
          <w:p w14:paraId="6B3D5C0F">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安装位置</w:t>
            </w:r>
          </w:p>
        </w:tc>
        <w:tc>
          <w:tcPr>
            <w:tcW w:w="738" w:type="pct"/>
            <w:shd w:val="clear" w:color="000000" w:fill="auto"/>
            <w:vAlign w:val="center"/>
          </w:tcPr>
          <w:p w14:paraId="2C01A2ED">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备注说明</w:t>
            </w:r>
          </w:p>
        </w:tc>
      </w:tr>
      <w:tr w14:paraId="5C8B9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38" w:type="pct"/>
            <w:vAlign w:val="center"/>
          </w:tcPr>
          <w:p w14:paraId="4470BD8A">
            <w:pPr>
              <w:keepNext w:val="0"/>
              <w:keepLines w:val="0"/>
              <w:pageBreakBefore w:val="0"/>
              <w:widowControl/>
              <w:kinsoku/>
              <w:wordWrap/>
              <w:overflowPunct/>
              <w:topLinePunct w:val="0"/>
              <w:autoSpaceDE/>
              <w:autoSpaceDN/>
              <w:bidi w:val="0"/>
              <w:adjustRightInd/>
              <w:snapToGrid/>
              <w:spacing w:line="300" w:lineRule="exact"/>
              <w:ind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交换机</w:t>
            </w:r>
          </w:p>
        </w:tc>
        <w:tc>
          <w:tcPr>
            <w:tcW w:w="449" w:type="pct"/>
            <w:vAlign w:val="center"/>
          </w:tcPr>
          <w:p w14:paraId="34242D14">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台</w:t>
            </w:r>
          </w:p>
        </w:tc>
        <w:tc>
          <w:tcPr>
            <w:tcW w:w="450" w:type="pct"/>
            <w:vAlign w:val="center"/>
          </w:tcPr>
          <w:p w14:paraId="6AE218DA">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1222" w:type="pct"/>
            <w:vAlign w:val="center"/>
          </w:tcPr>
          <w:p w14:paraId="7EE0530F">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公安大楼</w:t>
            </w:r>
          </w:p>
        </w:tc>
        <w:tc>
          <w:tcPr>
            <w:tcW w:w="738" w:type="pct"/>
            <w:vAlign w:val="center"/>
          </w:tcPr>
          <w:p w14:paraId="7EDF6DFE">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p>
        </w:tc>
      </w:tr>
      <w:tr w14:paraId="3332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38" w:type="pct"/>
            <w:vAlign w:val="center"/>
          </w:tcPr>
          <w:p w14:paraId="7295DA39">
            <w:pPr>
              <w:keepNext w:val="0"/>
              <w:keepLines w:val="0"/>
              <w:pageBreakBefore w:val="0"/>
              <w:widowControl/>
              <w:kinsoku/>
              <w:wordWrap/>
              <w:overflowPunct/>
              <w:topLinePunct w:val="0"/>
              <w:autoSpaceDE/>
              <w:autoSpaceDN/>
              <w:bidi w:val="0"/>
              <w:adjustRightInd/>
              <w:snapToGrid/>
              <w:spacing w:line="300" w:lineRule="exact"/>
              <w:ind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服务器</w:t>
            </w:r>
          </w:p>
        </w:tc>
        <w:tc>
          <w:tcPr>
            <w:tcW w:w="449" w:type="pct"/>
            <w:vAlign w:val="center"/>
          </w:tcPr>
          <w:p w14:paraId="79E1B27E">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批</w:t>
            </w:r>
          </w:p>
        </w:tc>
        <w:tc>
          <w:tcPr>
            <w:tcW w:w="450" w:type="pct"/>
            <w:vAlign w:val="center"/>
          </w:tcPr>
          <w:p w14:paraId="62897A4A">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1</w:t>
            </w:r>
          </w:p>
        </w:tc>
        <w:tc>
          <w:tcPr>
            <w:tcW w:w="1222" w:type="pct"/>
            <w:vAlign w:val="center"/>
          </w:tcPr>
          <w:p w14:paraId="4F256616">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云平台</w:t>
            </w:r>
          </w:p>
        </w:tc>
        <w:tc>
          <w:tcPr>
            <w:tcW w:w="738" w:type="pct"/>
            <w:vAlign w:val="center"/>
          </w:tcPr>
          <w:p w14:paraId="68CA47D6">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p>
        </w:tc>
      </w:tr>
      <w:tr w14:paraId="5C093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1" w:hRule="atLeast"/>
          <w:jc w:val="center"/>
        </w:trPr>
        <w:tc>
          <w:tcPr>
            <w:tcW w:w="2138" w:type="pct"/>
            <w:vAlign w:val="center"/>
          </w:tcPr>
          <w:p w14:paraId="3D36F0EB">
            <w:pPr>
              <w:keepNext w:val="0"/>
              <w:keepLines w:val="0"/>
              <w:pageBreakBefore w:val="0"/>
              <w:widowControl/>
              <w:kinsoku/>
              <w:wordWrap/>
              <w:overflowPunct/>
              <w:topLinePunct w:val="0"/>
              <w:autoSpaceDE/>
              <w:autoSpaceDN/>
              <w:bidi w:val="0"/>
              <w:adjustRightInd/>
              <w:snapToGrid/>
              <w:spacing w:line="300" w:lineRule="exact"/>
              <w:ind w:firstLine="0"/>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无人机侦测设备</w:t>
            </w:r>
          </w:p>
        </w:tc>
        <w:tc>
          <w:tcPr>
            <w:tcW w:w="449" w:type="pct"/>
            <w:vAlign w:val="center"/>
          </w:tcPr>
          <w:p w14:paraId="7FC54CE5">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台</w:t>
            </w:r>
          </w:p>
        </w:tc>
        <w:tc>
          <w:tcPr>
            <w:tcW w:w="450" w:type="pct"/>
            <w:vAlign w:val="center"/>
          </w:tcPr>
          <w:p w14:paraId="4F23F21D">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6</w:t>
            </w:r>
          </w:p>
        </w:tc>
        <w:tc>
          <w:tcPr>
            <w:tcW w:w="1222" w:type="pct"/>
            <w:vAlign w:val="center"/>
          </w:tcPr>
          <w:p w14:paraId="310C255E">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1新机场公安大楼楼顶；</w:t>
            </w:r>
          </w:p>
          <w:p w14:paraId="3A025107">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2下陈派出所；</w:t>
            </w:r>
          </w:p>
          <w:p w14:paraId="05EB5722">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3新桥派出所；</w:t>
            </w:r>
          </w:p>
          <w:p w14:paraId="307A61CF">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4横街派出所；</w:t>
            </w:r>
          </w:p>
          <w:p w14:paraId="62070D5A">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5洪家派出所；</w:t>
            </w:r>
          </w:p>
          <w:p w14:paraId="439816A7">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6路南派出所。</w:t>
            </w:r>
          </w:p>
        </w:tc>
        <w:tc>
          <w:tcPr>
            <w:tcW w:w="738" w:type="pct"/>
            <w:vAlign w:val="center"/>
          </w:tcPr>
          <w:p w14:paraId="3CA9E028">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p>
        </w:tc>
      </w:tr>
      <w:tr w14:paraId="479A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2138" w:type="pct"/>
            <w:vAlign w:val="center"/>
          </w:tcPr>
          <w:p w14:paraId="67855489">
            <w:pPr>
              <w:keepNext w:val="0"/>
              <w:keepLines w:val="0"/>
              <w:pageBreakBefore w:val="0"/>
              <w:widowControl/>
              <w:kinsoku/>
              <w:wordWrap/>
              <w:overflowPunct/>
              <w:topLinePunct w:val="0"/>
              <w:autoSpaceDE/>
              <w:autoSpaceDN/>
              <w:bidi w:val="0"/>
              <w:adjustRightInd/>
              <w:snapToGrid/>
              <w:spacing w:line="300" w:lineRule="exact"/>
              <w:ind w:firstLine="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用户终端主机</w:t>
            </w:r>
          </w:p>
        </w:tc>
        <w:tc>
          <w:tcPr>
            <w:tcW w:w="449" w:type="pct"/>
            <w:vAlign w:val="center"/>
          </w:tcPr>
          <w:p w14:paraId="0109089B">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台</w:t>
            </w:r>
          </w:p>
        </w:tc>
        <w:tc>
          <w:tcPr>
            <w:tcW w:w="450" w:type="pct"/>
            <w:vAlign w:val="center"/>
          </w:tcPr>
          <w:p w14:paraId="529BC6F3">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p>
        </w:tc>
        <w:tc>
          <w:tcPr>
            <w:tcW w:w="1222" w:type="pct"/>
            <w:vAlign w:val="center"/>
          </w:tcPr>
          <w:p w14:paraId="3D2C2B4D">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机场公安大楼</w:t>
            </w:r>
          </w:p>
        </w:tc>
        <w:tc>
          <w:tcPr>
            <w:tcW w:w="738" w:type="pct"/>
            <w:vAlign w:val="center"/>
          </w:tcPr>
          <w:p w14:paraId="6285F1CD">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p>
        </w:tc>
      </w:tr>
      <w:tr w14:paraId="3157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138" w:type="pct"/>
            <w:vAlign w:val="center"/>
          </w:tcPr>
          <w:p w14:paraId="01E06D03">
            <w:pPr>
              <w:keepNext w:val="0"/>
              <w:keepLines w:val="0"/>
              <w:pageBreakBefore w:val="0"/>
              <w:widowControl/>
              <w:kinsoku/>
              <w:wordWrap/>
              <w:overflowPunct/>
              <w:topLinePunct w:val="0"/>
              <w:autoSpaceDE/>
              <w:autoSpaceDN/>
              <w:bidi w:val="0"/>
              <w:adjustRightInd/>
              <w:snapToGrid/>
              <w:spacing w:line="300" w:lineRule="exact"/>
              <w:ind w:firstLine="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color w:val="000000"/>
                <w:kern w:val="0"/>
                <w:sz w:val="21"/>
                <w:szCs w:val="21"/>
                <w:highlight w:val="none"/>
                <w:lang w:bidi="ar"/>
              </w:rPr>
              <w:t>用户终端显示器</w:t>
            </w:r>
          </w:p>
        </w:tc>
        <w:tc>
          <w:tcPr>
            <w:tcW w:w="449" w:type="pct"/>
            <w:vAlign w:val="center"/>
          </w:tcPr>
          <w:p w14:paraId="19C2ABA3">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台</w:t>
            </w:r>
          </w:p>
        </w:tc>
        <w:tc>
          <w:tcPr>
            <w:tcW w:w="450" w:type="pct"/>
            <w:vAlign w:val="center"/>
          </w:tcPr>
          <w:p w14:paraId="5C3F51C0">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r>
              <w:rPr>
                <w:rFonts w:hint="eastAsia" w:ascii="宋体" w:hAnsi="宋体" w:eastAsia="宋体" w:cs="宋体"/>
                <w:color w:val="000000"/>
                <w:sz w:val="21"/>
                <w:szCs w:val="21"/>
                <w:highlight w:val="none"/>
              </w:rPr>
              <w:t>2</w:t>
            </w:r>
          </w:p>
        </w:tc>
        <w:tc>
          <w:tcPr>
            <w:tcW w:w="1222" w:type="pct"/>
            <w:vAlign w:val="center"/>
          </w:tcPr>
          <w:p w14:paraId="043012D0">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机场公安大楼</w:t>
            </w:r>
          </w:p>
        </w:tc>
        <w:tc>
          <w:tcPr>
            <w:tcW w:w="738" w:type="pct"/>
            <w:vAlign w:val="center"/>
          </w:tcPr>
          <w:p w14:paraId="434E63CB">
            <w:pPr>
              <w:keepNext w:val="0"/>
              <w:keepLines w:val="0"/>
              <w:pageBreakBefore w:val="0"/>
              <w:kinsoku/>
              <w:wordWrap/>
              <w:overflowPunct/>
              <w:topLinePunct w:val="0"/>
              <w:autoSpaceDE/>
              <w:autoSpaceDN/>
              <w:bidi w:val="0"/>
              <w:adjustRightInd/>
              <w:snapToGrid/>
              <w:spacing w:line="300" w:lineRule="exact"/>
              <w:ind w:firstLine="0" w:firstLineChars="0"/>
              <w:jc w:val="center"/>
              <w:rPr>
                <w:rFonts w:hint="eastAsia" w:ascii="宋体" w:hAnsi="宋体" w:eastAsia="宋体" w:cs="宋体"/>
                <w:color w:val="000000"/>
                <w:sz w:val="21"/>
                <w:szCs w:val="21"/>
                <w:highlight w:val="none"/>
              </w:rPr>
            </w:pPr>
          </w:p>
        </w:tc>
      </w:tr>
    </w:tbl>
    <w:p w14:paraId="7B267360">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服务云资源</w:t>
      </w:r>
    </w:p>
    <w:p w14:paraId="0D252A9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平台系统需要包括PC服务器、存储、备份等资源，是IT基础设施的核心组成部分，要能够保障各业务平台稳定、可靠、高效地运行，具有良好的可扩充性、可管理效能，满足未来业务系统扩充与资源部署变更的发展需要。根据云计算和大数据理念，运用各种先进的信息技术，为项目平台系统提供先进稳定可靠的计算存储资源。</w:t>
      </w:r>
    </w:p>
    <w:p w14:paraId="65E0322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本次项目服务器资源采用在政府云服务器进行建设的方式。</w:t>
      </w:r>
    </w:p>
    <w:p w14:paraId="64F1FF8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（1）计算模型</w:t>
      </w:r>
    </w:p>
    <w:p w14:paraId="32E5B33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数据库服务器参考基于TPC的评测指标TPC-C进行计算。TPC-C（tpmC）=用户数量*高峰期并发率/响应时间*单笔交易复杂度/（1-富余能力）*60秒</w:t>
      </w:r>
    </w:p>
    <w:p w14:paraId="3118390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用户数量根据业务部门调研所得；</w:t>
      </w:r>
    </w:p>
    <w:p w14:paraId="09501C9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高峰期并发率根据调研所得；</w:t>
      </w:r>
    </w:p>
    <w:p w14:paraId="61662B1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客户端响应时间≤1秒；</w:t>
      </w:r>
    </w:p>
    <w:p w14:paraId="279007D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假设简单业务单笔交易复杂度为3Tpmc，一般业务单笔交易复杂度为5Tpmc，复杂业务单笔交易复杂度为10Tpmc；</w:t>
      </w:r>
    </w:p>
    <w:p w14:paraId="5B88BD6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系统富余能力为40%。</w:t>
      </w:r>
    </w:p>
    <w:p w14:paraId="27D8235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应用服务器参考基于Spec的评测指标SpecJbb进行计算。SpecJbb（bops）=每秒并发要处理的业务量*每笔业务需消耗的SpecJbb峰值/（1-系统冗余处理能力-非JAVA应用所占用的系统资源百分比）。</w:t>
      </w:r>
    </w:p>
    <w:p w14:paraId="29D1910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每秒并发要处理的业务量根据业务部门调研所得；</w:t>
      </w:r>
    </w:p>
    <w:p w14:paraId="67B5CF7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假设简单业务每笔需消耗的SpecJbb峰值取300，一般业务每笔需消耗的SpecJbb峰值取500；复杂业务每笔需消耗的SpecJbb峰值取1000；</w:t>
      </w:r>
    </w:p>
    <w:p w14:paraId="44E5408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系统冗余处理能力取40%；</w:t>
      </w:r>
    </w:p>
    <w:p w14:paraId="29EA5B2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非JAVA应用所占用的系统资源百分比取20%。</w:t>
      </w:r>
    </w:p>
    <w:p w14:paraId="1EB6EF2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其他服务器配置根据数据量规模和行业经验进行规划。</w:t>
      </w:r>
    </w:p>
    <w:p w14:paraId="6B00C5A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（2）所需服务资源。</w:t>
      </w:r>
    </w:p>
    <w:p w14:paraId="17AAF9B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经初步计算预估，项目至少需要1000G存储空间，8核64G内存。</w:t>
      </w:r>
    </w:p>
    <w:p w14:paraId="153A08B2">
      <w:pPr>
        <w:pageBreakBefore w:val="0"/>
        <w:widowControl w:val="0"/>
        <w:tabs>
          <w:tab w:val="left" w:pos="426"/>
        </w:tabs>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获取服务器类型和数量</w:t>
      </w:r>
    </w:p>
    <w:p w14:paraId="6E6C3EC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在这一步中，我们需要获取用户输入的服务器类型和数量。可以通过以下代码实现：</w:t>
      </w:r>
    </w:p>
    <w:p w14:paraId="49B10EEA">
      <w:pPr>
        <w:ind w:firstLine="480"/>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2819400" cy="381000"/>
            <wp:effectExtent l="0" t="0" r="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16"/>
                    <a:stretch>
                      <a:fillRect/>
                    </a:stretch>
                  </pic:blipFill>
                  <pic:spPr>
                    <a:xfrm>
                      <a:off x="0" y="0"/>
                      <a:ext cx="2819400" cy="381000"/>
                    </a:xfrm>
                    <a:prstGeom prst="rect">
                      <a:avLst/>
                    </a:prstGeom>
                    <a:noFill/>
                    <a:ln>
                      <a:noFill/>
                    </a:ln>
                  </pic:spPr>
                </pic:pic>
              </a:graphicData>
            </a:graphic>
          </wp:inline>
        </w:drawing>
      </w:r>
    </w:p>
    <w:p w14:paraId="289610E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上述代码中，input()函数用于获取用户输入的服务器类型和数量，int()函数用于将数量转换为整数类型。</w:t>
      </w:r>
    </w:p>
    <w:p w14:paraId="20127AD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计算服务器资源需求</w:t>
      </w:r>
    </w:p>
    <w:p w14:paraId="7FFEF0D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接下来，我们需要根据用户输入的服务器类型和数量，计算出服务器资源需求。根据政务云服务器资源测算方法，我们可以使用以下代码：</w:t>
      </w:r>
    </w:p>
    <w:p w14:paraId="726AD33A">
      <w:pPr>
        <w:ind w:left="864" w:firstLine="480"/>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3409950" cy="259080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17"/>
                    <a:stretch>
                      <a:fillRect/>
                    </a:stretch>
                  </pic:blipFill>
                  <pic:spPr>
                    <a:xfrm>
                      <a:off x="0" y="0"/>
                      <a:ext cx="3409950" cy="2590800"/>
                    </a:xfrm>
                    <a:prstGeom prst="rect">
                      <a:avLst/>
                    </a:prstGeom>
                    <a:noFill/>
                    <a:ln>
                      <a:noFill/>
                    </a:ln>
                  </pic:spPr>
                </pic:pic>
              </a:graphicData>
            </a:graphic>
          </wp:inline>
        </w:drawing>
      </w:r>
    </w:p>
    <w:p w14:paraId="073657FA">
      <w:pPr>
        <w:ind w:left="864" w:firstLine="480"/>
        <w:rPr>
          <w:rFonts w:hint="eastAsia" w:ascii="宋体" w:hAnsi="宋体" w:eastAsia="宋体" w:cs="宋体"/>
          <w:highlight w:val="none"/>
        </w:rPr>
      </w:pPr>
      <w:r>
        <w:rPr>
          <w:rFonts w:hint="eastAsia" w:ascii="宋体" w:hAnsi="宋体" w:eastAsia="宋体" w:cs="宋体"/>
          <w:highlight w:val="none"/>
        </w:rPr>
        <w:t>硬件需求</w:t>
      </w:r>
    </w:p>
    <w:tbl>
      <w:tblPr>
        <w:tblStyle w:val="34"/>
        <w:tblW w:w="8317" w:type="dxa"/>
        <w:jc w:val="center"/>
        <w:tblLayout w:type="fixed"/>
        <w:tblCellMar>
          <w:top w:w="0" w:type="dxa"/>
          <w:left w:w="108" w:type="dxa"/>
          <w:bottom w:w="0" w:type="dxa"/>
          <w:right w:w="108" w:type="dxa"/>
        </w:tblCellMar>
      </w:tblPr>
      <w:tblGrid>
        <w:gridCol w:w="871"/>
        <w:gridCol w:w="2061"/>
        <w:gridCol w:w="1642"/>
        <w:gridCol w:w="3743"/>
      </w:tblGrid>
      <w:tr w14:paraId="1E1AE18E">
        <w:tblPrEx>
          <w:tblCellMar>
            <w:top w:w="0" w:type="dxa"/>
            <w:left w:w="108" w:type="dxa"/>
            <w:bottom w:w="0" w:type="dxa"/>
            <w:right w:w="108" w:type="dxa"/>
          </w:tblCellMar>
        </w:tblPrEx>
        <w:trPr>
          <w:trHeight w:val="366" w:hRule="atLeast"/>
          <w:jc w:val="center"/>
        </w:trPr>
        <w:tc>
          <w:tcPr>
            <w:tcW w:w="871"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4AD9C7B2">
            <w:pPr>
              <w:widowControl/>
              <w:ind w:firstLine="0" w:firstLineChars="0"/>
              <w:rPr>
                <w:rFonts w:hint="eastAsia" w:ascii="宋体" w:hAnsi="宋体" w:eastAsia="宋体" w:cs="宋体"/>
                <w:b/>
                <w:highlight w:val="none"/>
              </w:rPr>
            </w:pPr>
            <w:r>
              <w:rPr>
                <w:rFonts w:hint="eastAsia" w:ascii="宋体" w:hAnsi="宋体" w:eastAsia="宋体" w:cs="宋体"/>
                <w:b/>
                <w:highlight w:val="none"/>
                <w:lang w:bidi="ar"/>
              </w:rPr>
              <w:t>序号</w:t>
            </w:r>
          </w:p>
        </w:tc>
        <w:tc>
          <w:tcPr>
            <w:tcW w:w="2061"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1FCEC225">
            <w:pPr>
              <w:widowControl/>
              <w:ind w:firstLine="0" w:firstLineChars="0"/>
              <w:rPr>
                <w:rFonts w:hint="eastAsia" w:ascii="宋体" w:hAnsi="宋体" w:eastAsia="宋体" w:cs="宋体"/>
                <w:b/>
                <w:highlight w:val="none"/>
              </w:rPr>
            </w:pPr>
            <w:r>
              <w:rPr>
                <w:rFonts w:hint="eastAsia" w:ascii="宋体" w:hAnsi="宋体" w:eastAsia="宋体" w:cs="宋体"/>
                <w:b/>
                <w:highlight w:val="none"/>
                <w:lang w:bidi="ar"/>
              </w:rPr>
              <w:t>名称</w:t>
            </w:r>
          </w:p>
        </w:tc>
        <w:tc>
          <w:tcPr>
            <w:tcW w:w="1642"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59FACE0C">
            <w:pPr>
              <w:widowControl/>
              <w:ind w:firstLine="0" w:firstLineChars="0"/>
              <w:rPr>
                <w:rFonts w:hint="eastAsia" w:ascii="宋体" w:hAnsi="宋体" w:eastAsia="宋体" w:cs="宋体"/>
                <w:b/>
                <w:highlight w:val="none"/>
              </w:rPr>
            </w:pPr>
            <w:r>
              <w:rPr>
                <w:rFonts w:hint="eastAsia" w:ascii="宋体" w:hAnsi="宋体" w:eastAsia="宋体" w:cs="宋体"/>
                <w:b/>
                <w:highlight w:val="none"/>
                <w:lang w:bidi="ar"/>
              </w:rPr>
              <w:t>数量（台）</w:t>
            </w:r>
          </w:p>
        </w:tc>
        <w:tc>
          <w:tcPr>
            <w:tcW w:w="3743" w:type="dxa"/>
            <w:tcBorders>
              <w:top w:val="single" w:color="auto" w:sz="4" w:space="0"/>
              <w:left w:val="single" w:color="auto" w:sz="4" w:space="0"/>
              <w:bottom w:val="single" w:color="auto" w:sz="4" w:space="0"/>
              <w:right w:val="single" w:color="auto" w:sz="4" w:space="0"/>
            </w:tcBorders>
            <w:shd w:val="clear" w:color="auto" w:fill="BEBEBE" w:themeFill="background1" w:themeFillShade="BF"/>
            <w:vAlign w:val="center"/>
          </w:tcPr>
          <w:p w14:paraId="05BF7C94">
            <w:pPr>
              <w:widowControl/>
              <w:ind w:firstLine="0" w:firstLineChars="0"/>
              <w:rPr>
                <w:rFonts w:hint="eastAsia" w:ascii="宋体" w:hAnsi="宋体" w:eastAsia="宋体" w:cs="宋体"/>
                <w:b/>
                <w:highlight w:val="none"/>
              </w:rPr>
            </w:pPr>
            <w:r>
              <w:rPr>
                <w:rFonts w:hint="eastAsia" w:ascii="宋体" w:hAnsi="宋体" w:eastAsia="宋体" w:cs="宋体"/>
                <w:b/>
                <w:highlight w:val="none"/>
                <w:lang w:bidi="ar"/>
              </w:rPr>
              <w:t>配置</w:t>
            </w:r>
          </w:p>
        </w:tc>
      </w:tr>
      <w:tr w14:paraId="625659FF">
        <w:tblPrEx>
          <w:tblCellMar>
            <w:top w:w="0" w:type="dxa"/>
            <w:left w:w="108" w:type="dxa"/>
            <w:bottom w:w="0" w:type="dxa"/>
            <w:right w:w="108" w:type="dxa"/>
          </w:tblCellMar>
        </w:tblPrEx>
        <w:trPr>
          <w:trHeight w:val="720" w:hRule="atLeast"/>
          <w:jc w:val="center"/>
        </w:trPr>
        <w:tc>
          <w:tcPr>
            <w:tcW w:w="871" w:type="dxa"/>
            <w:tcBorders>
              <w:top w:val="single" w:color="auto" w:sz="4" w:space="0"/>
              <w:left w:val="single" w:color="auto" w:sz="4" w:space="0"/>
              <w:bottom w:val="single" w:color="auto" w:sz="4" w:space="0"/>
              <w:right w:val="single" w:color="auto" w:sz="4" w:space="0"/>
            </w:tcBorders>
            <w:vAlign w:val="center"/>
          </w:tcPr>
          <w:p w14:paraId="084BC960">
            <w:pPr>
              <w:widowControl/>
              <w:ind w:firstLine="0" w:firstLineChars="0"/>
              <w:rPr>
                <w:rFonts w:hint="eastAsia" w:ascii="宋体" w:hAnsi="宋体" w:eastAsia="宋体" w:cs="宋体"/>
                <w:highlight w:val="none"/>
              </w:rPr>
            </w:pPr>
            <w:r>
              <w:rPr>
                <w:rFonts w:hint="eastAsia" w:ascii="宋体" w:hAnsi="宋体" w:eastAsia="宋体" w:cs="宋体"/>
                <w:highlight w:val="none"/>
                <w:lang w:bidi="ar"/>
              </w:rPr>
              <w:t>1</w:t>
            </w:r>
          </w:p>
        </w:tc>
        <w:tc>
          <w:tcPr>
            <w:tcW w:w="2061" w:type="dxa"/>
            <w:tcBorders>
              <w:top w:val="single" w:color="auto" w:sz="4" w:space="0"/>
              <w:left w:val="single" w:color="auto" w:sz="4" w:space="0"/>
              <w:bottom w:val="single" w:color="auto" w:sz="4" w:space="0"/>
              <w:right w:val="single" w:color="auto" w:sz="4" w:space="0"/>
            </w:tcBorders>
            <w:vAlign w:val="center"/>
          </w:tcPr>
          <w:p w14:paraId="5E79119C">
            <w:pPr>
              <w:widowControl/>
              <w:ind w:firstLine="0" w:firstLineChars="0"/>
              <w:rPr>
                <w:rFonts w:hint="eastAsia" w:ascii="宋体" w:hAnsi="宋体" w:eastAsia="宋体" w:cs="宋体"/>
                <w:highlight w:val="none"/>
              </w:rPr>
            </w:pPr>
            <w:r>
              <w:rPr>
                <w:rFonts w:hint="eastAsia" w:ascii="宋体" w:hAnsi="宋体" w:eastAsia="宋体" w:cs="宋体"/>
                <w:highlight w:val="none"/>
                <w:lang w:bidi="ar"/>
              </w:rPr>
              <w:t>生产环境服务器</w:t>
            </w:r>
          </w:p>
        </w:tc>
        <w:tc>
          <w:tcPr>
            <w:tcW w:w="1642" w:type="dxa"/>
            <w:tcBorders>
              <w:top w:val="single" w:color="auto" w:sz="4" w:space="0"/>
              <w:left w:val="single" w:color="auto" w:sz="4" w:space="0"/>
              <w:bottom w:val="single" w:color="auto" w:sz="4" w:space="0"/>
              <w:right w:val="single" w:color="auto" w:sz="4" w:space="0"/>
            </w:tcBorders>
            <w:vAlign w:val="center"/>
          </w:tcPr>
          <w:p w14:paraId="65A56E2D">
            <w:pPr>
              <w:widowControl/>
              <w:ind w:firstLine="0" w:firstLineChars="0"/>
              <w:rPr>
                <w:rFonts w:hint="eastAsia" w:ascii="宋体" w:hAnsi="宋体" w:eastAsia="宋体" w:cs="宋体"/>
                <w:highlight w:val="none"/>
              </w:rPr>
            </w:pPr>
            <w:r>
              <w:rPr>
                <w:rFonts w:hint="eastAsia" w:ascii="宋体" w:hAnsi="宋体" w:eastAsia="宋体" w:cs="宋体"/>
                <w:highlight w:val="none"/>
                <w:lang w:bidi="ar"/>
              </w:rPr>
              <w:t>2</w:t>
            </w:r>
          </w:p>
        </w:tc>
        <w:tc>
          <w:tcPr>
            <w:tcW w:w="3743" w:type="dxa"/>
            <w:tcBorders>
              <w:top w:val="single" w:color="auto" w:sz="4" w:space="0"/>
              <w:left w:val="single" w:color="auto" w:sz="4" w:space="0"/>
              <w:bottom w:val="single" w:color="auto" w:sz="4" w:space="0"/>
              <w:right w:val="single" w:color="auto" w:sz="4" w:space="0"/>
            </w:tcBorders>
            <w:vAlign w:val="center"/>
          </w:tcPr>
          <w:p w14:paraId="1680B2C1">
            <w:pPr>
              <w:pStyle w:val="29"/>
              <w:widowControl/>
              <w:spacing w:before="156" w:beforeAutospacing="0" w:after="156" w:afterAutospacing="0"/>
              <w:ind w:firstLine="0" w:firstLineChars="0"/>
              <w:jc w:val="both"/>
              <w:rPr>
                <w:rFonts w:hint="eastAsia" w:ascii="宋体" w:hAnsi="宋体" w:eastAsia="宋体" w:cs="宋体"/>
                <w:highlight w:val="none"/>
              </w:rPr>
            </w:pPr>
            <w:r>
              <w:rPr>
                <w:rFonts w:hint="eastAsia" w:ascii="宋体" w:hAnsi="宋体" w:eastAsia="宋体" w:cs="宋体"/>
                <w:kern w:val="2"/>
                <w:highlight w:val="none"/>
                <w:lang w:bidi="ar"/>
              </w:rPr>
              <w:t>8CPU/8g内存/80GB硬盘/</w:t>
            </w:r>
          </w:p>
        </w:tc>
      </w:tr>
      <w:tr w14:paraId="1069162F">
        <w:tblPrEx>
          <w:tblCellMar>
            <w:top w:w="0" w:type="dxa"/>
            <w:left w:w="108" w:type="dxa"/>
            <w:bottom w:w="0" w:type="dxa"/>
            <w:right w:w="108" w:type="dxa"/>
          </w:tblCellMar>
        </w:tblPrEx>
        <w:trPr>
          <w:trHeight w:val="732" w:hRule="atLeast"/>
          <w:jc w:val="center"/>
        </w:trPr>
        <w:tc>
          <w:tcPr>
            <w:tcW w:w="871" w:type="dxa"/>
            <w:tcBorders>
              <w:top w:val="single" w:color="auto" w:sz="4" w:space="0"/>
              <w:left w:val="single" w:color="auto" w:sz="4" w:space="0"/>
              <w:bottom w:val="single" w:color="auto" w:sz="4" w:space="0"/>
              <w:right w:val="single" w:color="auto" w:sz="4" w:space="0"/>
            </w:tcBorders>
            <w:vAlign w:val="center"/>
          </w:tcPr>
          <w:p w14:paraId="25C77B35">
            <w:pPr>
              <w:widowControl/>
              <w:ind w:firstLine="0" w:firstLineChars="0"/>
              <w:rPr>
                <w:rFonts w:hint="eastAsia" w:ascii="宋体" w:hAnsi="宋体" w:eastAsia="宋体" w:cs="宋体"/>
                <w:highlight w:val="none"/>
              </w:rPr>
            </w:pPr>
            <w:r>
              <w:rPr>
                <w:rFonts w:hint="eastAsia" w:ascii="宋体" w:hAnsi="宋体" w:eastAsia="宋体" w:cs="宋体"/>
                <w:highlight w:val="none"/>
                <w:lang w:bidi="ar"/>
              </w:rPr>
              <w:t>2</w:t>
            </w:r>
          </w:p>
        </w:tc>
        <w:tc>
          <w:tcPr>
            <w:tcW w:w="2061" w:type="dxa"/>
            <w:tcBorders>
              <w:top w:val="single" w:color="auto" w:sz="4" w:space="0"/>
              <w:left w:val="single" w:color="auto" w:sz="4" w:space="0"/>
              <w:bottom w:val="single" w:color="auto" w:sz="4" w:space="0"/>
              <w:right w:val="single" w:color="auto" w:sz="4" w:space="0"/>
            </w:tcBorders>
            <w:vAlign w:val="center"/>
          </w:tcPr>
          <w:p w14:paraId="70CE657C">
            <w:pPr>
              <w:widowControl/>
              <w:ind w:firstLine="0" w:firstLineChars="0"/>
              <w:rPr>
                <w:rFonts w:hint="eastAsia" w:ascii="宋体" w:hAnsi="宋体" w:eastAsia="宋体" w:cs="宋体"/>
                <w:highlight w:val="none"/>
              </w:rPr>
            </w:pPr>
            <w:r>
              <w:rPr>
                <w:rFonts w:hint="eastAsia" w:ascii="宋体" w:hAnsi="宋体" w:eastAsia="宋体" w:cs="宋体"/>
                <w:highlight w:val="none"/>
                <w:lang w:bidi="ar"/>
              </w:rPr>
              <w:t>测试环境服务器</w:t>
            </w:r>
          </w:p>
        </w:tc>
        <w:tc>
          <w:tcPr>
            <w:tcW w:w="1642" w:type="dxa"/>
            <w:tcBorders>
              <w:top w:val="single" w:color="auto" w:sz="4" w:space="0"/>
              <w:left w:val="single" w:color="auto" w:sz="4" w:space="0"/>
              <w:bottom w:val="single" w:color="auto" w:sz="4" w:space="0"/>
              <w:right w:val="single" w:color="auto" w:sz="4" w:space="0"/>
            </w:tcBorders>
            <w:vAlign w:val="center"/>
          </w:tcPr>
          <w:p w14:paraId="39183FF5">
            <w:pPr>
              <w:widowControl/>
              <w:ind w:firstLine="0" w:firstLineChars="0"/>
              <w:rPr>
                <w:rFonts w:hint="eastAsia" w:ascii="宋体" w:hAnsi="宋体" w:eastAsia="宋体" w:cs="宋体"/>
                <w:highlight w:val="none"/>
              </w:rPr>
            </w:pPr>
            <w:r>
              <w:rPr>
                <w:rFonts w:hint="eastAsia" w:ascii="宋体" w:hAnsi="宋体" w:eastAsia="宋体" w:cs="宋体"/>
                <w:highlight w:val="none"/>
                <w:lang w:bidi="ar"/>
              </w:rPr>
              <w:t>1</w:t>
            </w:r>
          </w:p>
        </w:tc>
        <w:tc>
          <w:tcPr>
            <w:tcW w:w="3743" w:type="dxa"/>
            <w:tcBorders>
              <w:top w:val="single" w:color="auto" w:sz="4" w:space="0"/>
              <w:left w:val="single" w:color="auto" w:sz="4" w:space="0"/>
              <w:bottom w:val="single" w:color="auto" w:sz="4" w:space="0"/>
              <w:right w:val="single" w:color="auto" w:sz="4" w:space="0"/>
            </w:tcBorders>
            <w:vAlign w:val="center"/>
          </w:tcPr>
          <w:p w14:paraId="725A61DB">
            <w:pPr>
              <w:pStyle w:val="29"/>
              <w:widowControl/>
              <w:spacing w:before="156" w:beforeAutospacing="0" w:after="156" w:afterAutospacing="0"/>
              <w:ind w:firstLine="0" w:firstLineChars="0"/>
              <w:jc w:val="both"/>
              <w:rPr>
                <w:rFonts w:hint="eastAsia" w:ascii="宋体" w:hAnsi="宋体" w:eastAsia="宋体" w:cs="宋体"/>
                <w:highlight w:val="none"/>
              </w:rPr>
            </w:pPr>
            <w:r>
              <w:rPr>
                <w:rFonts w:hint="eastAsia" w:ascii="宋体" w:hAnsi="宋体" w:eastAsia="宋体" w:cs="宋体"/>
                <w:kern w:val="2"/>
                <w:highlight w:val="none"/>
                <w:lang w:bidi="ar"/>
              </w:rPr>
              <w:t>4CPU/4G内存/40GB硬盘</w:t>
            </w:r>
          </w:p>
        </w:tc>
      </w:tr>
    </w:tbl>
    <w:p w14:paraId="2A84B3DC">
      <w:pPr>
        <w:ind w:firstLine="480"/>
        <w:rPr>
          <w:rFonts w:hint="eastAsia" w:ascii="宋体" w:hAnsi="宋体" w:eastAsia="宋体" w:cs="宋体"/>
          <w:highlight w:val="none"/>
        </w:rPr>
      </w:pPr>
    </w:p>
    <w:p w14:paraId="3FF4CDE6">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无人机侦测设备</w:t>
      </w:r>
    </w:p>
    <w:p w14:paraId="2D8BB54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本方案计划采用的固定式无人机侦测设备，拟选用固定式无人机侦测设备参数如下：</w:t>
      </w:r>
    </w:p>
    <w:p w14:paraId="63B5BAD5">
      <w:pPr>
        <w:pStyle w:val="65"/>
        <w:rPr>
          <w:rFonts w:hint="eastAsia" w:ascii="宋体" w:hAnsi="宋体" w:eastAsia="宋体" w:cs="宋体"/>
          <w:highlight w:val="none"/>
        </w:rPr>
      </w:pPr>
      <w:r>
        <w:rPr>
          <w:rFonts w:hint="eastAsia" w:ascii="宋体" w:hAnsi="宋体" w:eastAsia="宋体" w:cs="宋体"/>
          <w:highlight w:val="none"/>
        </w:rPr>
        <w:t>无人机侦测设备参数表</w:t>
      </w:r>
    </w:p>
    <w:tbl>
      <w:tblPr>
        <w:tblStyle w:val="34"/>
        <w:tblW w:w="4930" w:type="pct"/>
        <w:jc w:val="center"/>
        <w:tblLayout w:type="autofit"/>
        <w:tblCellMar>
          <w:top w:w="0" w:type="dxa"/>
          <w:left w:w="108" w:type="dxa"/>
          <w:bottom w:w="0" w:type="dxa"/>
          <w:right w:w="108" w:type="dxa"/>
        </w:tblCellMar>
      </w:tblPr>
      <w:tblGrid>
        <w:gridCol w:w="3686"/>
        <w:gridCol w:w="5472"/>
      </w:tblGrid>
      <w:tr w14:paraId="37D5F019">
        <w:tblPrEx>
          <w:tblCellMar>
            <w:top w:w="0" w:type="dxa"/>
            <w:left w:w="108" w:type="dxa"/>
            <w:bottom w:w="0" w:type="dxa"/>
            <w:right w:w="108" w:type="dxa"/>
          </w:tblCellMar>
        </w:tblPrEx>
        <w:trPr>
          <w:trHeight w:val="363" w:hRule="atLeast"/>
          <w:jc w:val="center"/>
        </w:trPr>
        <w:tc>
          <w:tcPr>
            <w:tcW w:w="2012" w:type="pct"/>
            <w:tcBorders>
              <w:top w:val="single" w:color="auto" w:sz="4" w:space="0"/>
              <w:left w:val="single" w:color="auto" w:sz="4" w:space="0"/>
              <w:bottom w:val="single" w:color="auto" w:sz="4" w:space="0"/>
              <w:right w:val="single" w:color="auto" w:sz="4" w:space="0"/>
            </w:tcBorders>
            <w:shd w:val="clear" w:color="auto" w:fill="auto"/>
            <w:vAlign w:val="center"/>
          </w:tcPr>
          <w:p w14:paraId="4DCD6202">
            <w:pPr>
              <w:spacing w:line="240" w:lineRule="auto"/>
              <w:ind w:firstLine="0" w:firstLineChars="0"/>
              <w:jc w:val="center"/>
              <w:rPr>
                <w:rFonts w:hint="eastAsia" w:ascii="宋体" w:hAnsi="宋体" w:eastAsia="宋体" w:cs="宋体"/>
                <w:b/>
                <w:bCs/>
                <w:color w:val="000000"/>
                <w:kern w:val="0"/>
                <w:sz w:val="21"/>
                <w:highlight w:val="none"/>
              </w:rPr>
            </w:pPr>
            <w:r>
              <w:rPr>
                <w:rFonts w:hint="eastAsia" w:ascii="宋体" w:hAnsi="宋体" w:eastAsia="宋体" w:cs="宋体"/>
                <w:b/>
                <w:bCs/>
                <w:color w:val="000000"/>
                <w:kern w:val="0"/>
                <w:sz w:val="21"/>
                <w:highlight w:val="none"/>
              </w:rPr>
              <w:t>项目</w:t>
            </w:r>
          </w:p>
        </w:tc>
        <w:tc>
          <w:tcPr>
            <w:tcW w:w="2987" w:type="pct"/>
            <w:tcBorders>
              <w:top w:val="single" w:color="auto" w:sz="4" w:space="0"/>
              <w:left w:val="nil"/>
              <w:bottom w:val="single" w:color="auto" w:sz="4" w:space="0"/>
              <w:right w:val="single" w:color="auto" w:sz="4" w:space="0"/>
            </w:tcBorders>
            <w:shd w:val="clear" w:color="auto" w:fill="auto"/>
            <w:vAlign w:val="center"/>
          </w:tcPr>
          <w:p w14:paraId="5B35BE64">
            <w:pPr>
              <w:spacing w:line="240" w:lineRule="auto"/>
              <w:ind w:firstLine="0" w:firstLineChars="0"/>
              <w:jc w:val="center"/>
              <w:rPr>
                <w:rFonts w:hint="eastAsia" w:ascii="宋体" w:hAnsi="宋体" w:eastAsia="宋体" w:cs="宋体"/>
                <w:b/>
                <w:bCs/>
                <w:color w:val="000000"/>
                <w:kern w:val="0"/>
                <w:sz w:val="21"/>
                <w:highlight w:val="none"/>
              </w:rPr>
            </w:pPr>
            <w:r>
              <w:rPr>
                <w:rFonts w:hint="eastAsia" w:ascii="宋体" w:hAnsi="宋体" w:eastAsia="宋体" w:cs="宋体"/>
                <w:b/>
                <w:bCs/>
                <w:color w:val="000000"/>
                <w:kern w:val="0"/>
                <w:sz w:val="21"/>
                <w:highlight w:val="none"/>
              </w:rPr>
              <w:t>性能指标</w:t>
            </w:r>
          </w:p>
        </w:tc>
      </w:tr>
      <w:tr w14:paraId="6A187660">
        <w:tblPrEx>
          <w:tblCellMar>
            <w:top w:w="0" w:type="dxa"/>
            <w:left w:w="108" w:type="dxa"/>
            <w:bottom w:w="0" w:type="dxa"/>
            <w:right w:w="108" w:type="dxa"/>
          </w:tblCellMar>
        </w:tblPrEx>
        <w:trPr>
          <w:trHeight w:val="363" w:hRule="atLeast"/>
          <w:jc w:val="center"/>
        </w:trPr>
        <w:tc>
          <w:tcPr>
            <w:tcW w:w="2012" w:type="pct"/>
            <w:tcBorders>
              <w:top w:val="nil"/>
              <w:left w:val="single" w:color="auto" w:sz="4" w:space="0"/>
              <w:bottom w:val="single" w:color="auto" w:sz="4" w:space="0"/>
              <w:right w:val="single" w:color="auto" w:sz="4" w:space="0"/>
            </w:tcBorders>
            <w:shd w:val="clear" w:color="auto" w:fill="auto"/>
            <w:vAlign w:val="center"/>
          </w:tcPr>
          <w:p w14:paraId="2568CCE5">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工作模式</w:t>
            </w:r>
          </w:p>
        </w:tc>
        <w:tc>
          <w:tcPr>
            <w:tcW w:w="2987" w:type="pct"/>
            <w:tcBorders>
              <w:top w:val="nil"/>
              <w:left w:val="nil"/>
              <w:bottom w:val="single" w:color="auto" w:sz="4" w:space="0"/>
              <w:right w:val="single" w:color="auto" w:sz="4" w:space="0"/>
            </w:tcBorders>
            <w:shd w:val="clear" w:color="auto" w:fill="auto"/>
            <w:vAlign w:val="center"/>
          </w:tcPr>
          <w:p w14:paraId="4089308D">
            <w:pPr>
              <w:spacing w:line="240" w:lineRule="auto"/>
              <w:ind w:left="162" w:leftChars="77" w:firstLine="0" w:firstLineChars="0"/>
              <w:jc w:val="left"/>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无源侦测、无线电感知</w:t>
            </w:r>
          </w:p>
        </w:tc>
      </w:tr>
      <w:tr w14:paraId="6C7F2187">
        <w:tblPrEx>
          <w:tblCellMar>
            <w:top w:w="0" w:type="dxa"/>
            <w:left w:w="108" w:type="dxa"/>
            <w:bottom w:w="0" w:type="dxa"/>
            <w:right w:w="108" w:type="dxa"/>
          </w:tblCellMar>
        </w:tblPrEx>
        <w:trPr>
          <w:trHeight w:val="363" w:hRule="atLeast"/>
          <w:jc w:val="center"/>
        </w:trPr>
        <w:tc>
          <w:tcPr>
            <w:tcW w:w="2012" w:type="pct"/>
            <w:tcBorders>
              <w:top w:val="nil"/>
              <w:left w:val="single" w:color="auto" w:sz="4" w:space="0"/>
              <w:bottom w:val="single" w:color="auto" w:sz="4" w:space="0"/>
              <w:right w:val="single" w:color="auto" w:sz="4" w:space="0"/>
            </w:tcBorders>
            <w:shd w:val="clear" w:color="auto" w:fill="auto"/>
            <w:vAlign w:val="center"/>
          </w:tcPr>
          <w:p w14:paraId="478222F5">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作用对象</w:t>
            </w:r>
          </w:p>
        </w:tc>
        <w:tc>
          <w:tcPr>
            <w:tcW w:w="2987" w:type="pct"/>
            <w:tcBorders>
              <w:top w:val="nil"/>
              <w:left w:val="nil"/>
              <w:bottom w:val="single" w:color="auto" w:sz="4" w:space="0"/>
              <w:right w:val="single" w:color="auto" w:sz="4" w:space="0"/>
            </w:tcBorders>
            <w:shd w:val="clear" w:color="auto" w:fill="auto"/>
            <w:vAlign w:val="center"/>
          </w:tcPr>
          <w:p w14:paraId="6683E1ED">
            <w:pPr>
              <w:spacing w:line="240" w:lineRule="auto"/>
              <w:ind w:left="162" w:leftChars="77" w:firstLine="0" w:firstLineChars="0"/>
              <w:jc w:val="left"/>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上行飞控链路、下行图传链路</w:t>
            </w:r>
          </w:p>
        </w:tc>
      </w:tr>
      <w:tr w14:paraId="57C593DF">
        <w:tblPrEx>
          <w:tblCellMar>
            <w:top w:w="0" w:type="dxa"/>
            <w:left w:w="108" w:type="dxa"/>
            <w:bottom w:w="0" w:type="dxa"/>
            <w:right w:w="108" w:type="dxa"/>
          </w:tblCellMar>
        </w:tblPrEx>
        <w:trPr>
          <w:trHeight w:val="363" w:hRule="atLeast"/>
          <w:jc w:val="center"/>
        </w:trPr>
        <w:tc>
          <w:tcPr>
            <w:tcW w:w="2012" w:type="pct"/>
            <w:tcBorders>
              <w:top w:val="nil"/>
              <w:left w:val="single" w:color="auto" w:sz="4" w:space="0"/>
              <w:bottom w:val="single" w:color="auto" w:sz="4" w:space="0"/>
              <w:right w:val="single" w:color="auto" w:sz="4" w:space="0"/>
            </w:tcBorders>
            <w:shd w:val="clear" w:color="auto" w:fill="auto"/>
            <w:vAlign w:val="center"/>
          </w:tcPr>
          <w:p w14:paraId="64362F7A">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工作频段</w:t>
            </w:r>
          </w:p>
        </w:tc>
        <w:tc>
          <w:tcPr>
            <w:tcW w:w="2987" w:type="pct"/>
            <w:tcBorders>
              <w:top w:val="nil"/>
              <w:left w:val="nil"/>
              <w:bottom w:val="single" w:color="auto" w:sz="4" w:space="0"/>
              <w:right w:val="single" w:color="auto" w:sz="4" w:space="0"/>
            </w:tcBorders>
            <w:shd w:val="clear" w:color="auto" w:fill="auto"/>
            <w:vAlign w:val="center"/>
          </w:tcPr>
          <w:p w14:paraId="0DC849D8">
            <w:pPr>
              <w:spacing w:line="240" w:lineRule="auto"/>
              <w:ind w:left="162" w:leftChars="77" w:firstLine="0" w:firstLineChars="0"/>
              <w:jc w:val="left"/>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300MHZ～6GHZ</w:t>
            </w:r>
          </w:p>
        </w:tc>
      </w:tr>
      <w:tr w14:paraId="25336604">
        <w:tblPrEx>
          <w:tblCellMar>
            <w:top w:w="0" w:type="dxa"/>
            <w:left w:w="108" w:type="dxa"/>
            <w:bottom w:w="0" w:type="dxa"/>
            <w:right w:w="108" w:type="dxa"/>
          </w:tblCellMar>
        </w:tblPrEx>
        <w:trPr>
          <w:trHeight w:val="363" w:hRule="atLeast"/>
          <w:jc w:val="center"/>
        </w:trPr>
        <w:tc>
          <w:tcPr>
            <w:tcW w:w="2012" w:type="pct"/>
            <w:tcBorders>
              <w:top w:val="nil"/>
              <w:left w:val="single" w:color="auto" w:sz="4" w:space="0"/>
              <w:bottom w:val="single" w:color="auto" w:sz="4" w:space="0"/>
              <w:right w:val="single" w:color="auto" w:sz="4" w:space="0"/>
            </w:tcBorders>
            <w:shd w:val="clear" w:color="auto" w:fill="auto"/>
            <w:vAlign w:val="center"/>
          </w:tcPr>
          <w:p w14:paraId="51C6B8E3">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刷新频率</w:t>
            </w:r>
          </w:p>
        </w:tc>
        <w:tc>
          <w:tcPr>
            <w:tcW w:w="2987" w:type="pct"/>
            <w:tcBorders>
              <w:top w:val="nil"/>
              <w:left w:val="nil"/>
              <w:bottom w:val="single" w:color="auto" w:sz="4" w:space="0"/>
              <w:right w:val="single" w:color="auto" w:sz="4" w:space="0"/>
            </w:tcBorders>
            <w:shd w:val="clear" w:color="auto" w:fill="auto"/>
            <w:vAlign w:val="center"/>
          </w:tcPr>
          <w:p w14:paraId="4FAFC55D">
            <w:pPr>
              <w:spacing w:line="240" w:lineRule="auto"/>
              <w:ind w:left="162" w:leftChars="77" w:firstLine="0" w:firstLineChars="0"/>
              <w:jc w:val="left"/>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≤2秒</w:t>
            </w:r>
          </w:p>
        </w:tc>
      </w:tr>
      <w:tr w14:paraId="562A9F8B">
        <w:tblPrEx>
          <w:tblCellMar>
            <w:top w:w="0" w:type="dxa"/>
            <w:left w:w="108" w:type="dxa"/>
            <w:bottom w:w="0" w:type="dxa"/>
            <w:right w:w="108" w:type="dxa"/>
          </w:tblCellMar>
        </w:tblPrEx>
        <w:trPr>
          <w:trHeight w:val="363" w:hRule="atLeast"/>
          <w:jc w:val="center"/>
        </w:trPr>
        <w:tc>
          <w:tcPr>
            <w:tcW w:w="2012" w:type="pct"/>
            <w:tcBorders>
              <w:top w:val="nil"/>
              <w:left w:val="single" w:color="auto" w:sz="4" w:space="0"/>
              <w:bottom w:val="single" w:color="auto" w:sz="4" w:space="0"/>
              <w:right w:val="single" w:color="auto" w:sz="4" w:space="0"/>
            </w:tcBorders>
            <w:shd w:val="clear" w:color="auto" w:fill="auto"/>
            <w:vAlign w:val="center"/>
          </w:tcPr>
          <w:p w14:paraId="3FDD6A24">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侦测角度</w:t>
            </w:r>
          </w:p>
        </w:tc>
        <w:tc>
          <w:tcPr>
            <w:tcW w:w="2987" w:type="pct"/>
            <w:tcBorders>
              <w:top w:val="nil"/>
              <w:left w:val="nil"/>
              <w:bottom w:val="single" w:color="auto" w:sz="4" w:space="0"/>
              <w:right w:val="single" w:color="auto" w:sz="4" w:space="0"/>
            </w:tcBorders>
            <w:shd w:val="clear" w:color="auto" w:fill="auto"/>
            <w:vAlign w:val="center"/>
          </w:tcPr>
          <w:p w14:paraId="2C3DB3E2">
            <w:pPr>
              <w:spacing w:line="240" w:lineRule="auto"/>
              <w:ind w:left="162" w:leftChars="77" w:firstLine="0" w:firstLineChars="0"/>
              <w:jc w:val="left"/>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水平360°，俯仰-20°～70°</w:t>
            </w:r>
          </w:p>
        </w:tc>
      </w:tr>
      <w:tr w14:paraId="30EAF959">
        <w:tblPrEx>
          <w:tblCellMar>
            <w:top w:w="0" w:type="dxa"/>
            <w:left w:w="108" w:type="dxa"/>
            <w:bottom w:w="0" w:type="dxa"/>
            <w:right w:w="108" w:type="dxa"/>
          </w:tblCellMar>
        </w:tblPrEx>
        <w:trPr>
          <w:trHeight w:val="363" w:hRule="atLeast"/>
          <w:jc w:val="center"/>
        </w:trPr>
        <w:tc>
          <w:tcPr>
            <w:tcW w:w="2012" w:type="pct"/>
            <w:tcBorders>
              <w:top w:val="nil"/>
              <w:left w:val="single" w:color="auto" w:sz="4" w:space="0"/>
              <w:bottom w:val="single" w:color="auto" w:sz="4" w:space="0"/>
              <w:right w:val="single" w:color="auto" w:sz="4" w:space="0"/>
            </w:tcBorders>
            <w:shd w:val="clear" w:color="auto" w:fill="auto"/>
            <w:vAlign w:val="center"/>
          </w:tcPr>
          <w:p w14:paraId="3C378B69">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侦测半径</w:t>
            </w:r>
          </w:p>
        </w:tc>
        <w:tc>
          <w:tcPr>
            <w:tcW w:w="2987" w:type="pct"/>
            <w:tcBorders>
              <w:top w:val="nil"/>
              <w:left w:val="nil"/>
              <w:bottom w:val="single" w:color="auto" w:sz="4" w:space="0"/>
              <w:right w:val="single" w:color="auto" w:sz="4" w:space="0"/>
            </w:tcBorders>
            <w:shd w:val="clear" w:color="auto" w:fill="auto"/>
            <w:vAlign w:val="center"/>
          </w:tcPr>
          <w:p w14:paraId="39EC14E9">
            <w:pPr>
              <w:spacing w:line="240" w:lineRule="auto"/>
              <w:ind w:left="162" w:leftChars="77" w:firstLine="0" w:firstLineChars="0"/>
              <w:jc w:val="left"/>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3km～10km以内，受环境影响</w:t>
            </w:r>
          </w:p>
        </w:tc>
      </w:tr>
      <w:tr w14:paraId="1D61FD11">
        <w:tblPrEx>
          <w:tblCellMar>
            <w:top w:w="0" w:type="dxa"/>
            <w:left w:w="108" w:type="dxa"/>
            <w:bottom w:w="0" w:type="dxa"/>
            <w:right w:w="108" w:type="dxa"/>
          </w:tblCellMar>
        </w:tblPrEx>
        <w:trPr>
          <w:trHeight w:val="363" w:hRule="atLeast"/>
          <w:jc w:val="center"/>
        </w:trPr>
        <w:tc>
          <w:tcPr>
            <w:tcW w:w="2012" w:type="pct"/>
            <w:tcBorders>
              <w:top w:val="nil"/>
              <w:left w:val="single" w:color="auto" w:sz="4" w:space="0"/>
              <w:bottom w:val="single" w:color="auto" w:sz="4" w:space="0"/>
              <w:right w:val="single" w:color="auto" w:sz="4" w:space="0"/>
            </w:tcBorders>
            <w:shd w:val="clear" w:color="auto" w:fill="auto"/>
            <w:vAlign w:val="center"/>
          </w:tcPr>
          <w:p w14:paraId="416CA8D8">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侦测数量</w:t>
            </w:r>
          </w:p>
        </w:tc>
        <w:tc>
          <w:tcPr>
            <w:tcW w:w="2987" w:type="pct"/>
            <w:tcBorders>
              <w:top w:val="nil"/>
              <w:left w:val="nil"/>
              <w:bottom w:val="single" w:color="auto" w:sz="4" w:space="0"/>
              <w:right w:val="single" w:color="auto" w:sz="4" w:space="0"/>
            </w:tcBorders>
            <w:shd w:val="clear" w:color="auto" w:fill="auto"/>
            <w:vAlign w:val="center"/>
          </w:tcPr>
          <w:p w14:paraId="00963453">
            <w:pPr>
              <w:spacing w:line="240" w:lineRule="auto"/>
              <w:ind w:left="162" w:leftChars="77" w:firstLine="0" w:firstLineChars="0"/>
              <w:jc w:val="left"/>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同时≥40架无人机</w:t>
            </w:r>
          </w:p>
        </w:tc>
      </w:tr>
      <w:tr w14:paraId="05713945">
        <w:tblPrEx>
          <w:tblCellMar>
            <w:top w:w="0" w:type="dxa"/>
            <w:left w:w="108" w:type="dxa"/>
            <w:bottom w:w="0" w:type="dxa"/>
            <w:right w:w="108" w:type="dxa"/>
          </w:tblCellMar>
        </w:tblPrEx>
        <w:trPr>
          <w:trHeight w:val="363" w:hRule="atLeast"/>
          <w:jc w:val="center"/>
        </w:trPr>
        <w:tc>
          <w:tcPr>
            <w:tcW w:w="2012" w:type="pct"/>
            <w:tcBorders>
              <w:top w:val="nil"/>
              <w:left w:val="single" w:color="auto" w:sz="4" w:space="0"/>
              <w:bottom w:val="single" w:color="auto" w:sz="4" w:space="0"/>
              <w:right w:val="single" w:color="auto" w:sz="4" w:space="0"/>
            </w:tcBorders>
            <w:shd w:val="clear" w:color="auto" w:fill="auto"/>
            <w:vAlign w:val="center"/>
          </w:tcPr>
          <w:p w14:paraId="53362F65">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定位进度</w:t>
            </w:r>
          </w:p>
        </w:tc>
        <w:tc>
          <w:tcPr>
            <w:tcW w:w="2987" w:type="pct"/>
            <w:tcBorders>
              <w:top w:val="nil"/>
              <w:left w:val="nil"/>
              <w:bottom w:val="single" w:color="auto" w:sz="4" w:space="0"/>
              <w:right w:val="single" w:color="auto" w:sz="4" w:space="0"/>
            </w:tcBorders>
            <w:shd w:val="clear" w:color="auto" w:fill="auto"/>
            <w:vAlign w:val="center"/>
          </w:tcPr>
          <w:p w14:paraId="60C52033">
            <w:pPr>
              <w:spacing w:line="240" w:lineRule="auto"/>
              <w:ind w:left="162" w:leftChars="77" w:firstLine="0" w:firstLineChars="0"/>
              <w:jc w:val="left"/>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≤3°，解析精度≤2m</w:t>
            </w:r>
          </w:p>
        </w:tc>
      </w:tr>
      <w:tr w14:paraId="609ABC3A">
        <w:tblPrEx>
          <w:tblCellMar>
            <w:top w:w="0" w:type="dxa"/>
            <w:left w:w="108" w:type="dxa"/>
            <w:bottom w:w="0" w:type="dxa"/>
            <w:right w:w="108" w:type="dxa"/>
          </w:tblCellMar>
        </w:tblPrEx>
        <w:trPr>
          <w:trHeight w:val="363" w:hRule="atLeast"/>
          <w:jc w:val="center"/>
        </w:trPr>
        <w:tc>
          <w:tcPr>
            <w:tcW w:w="2012" w:type="pct"/>
            <w:tcBorders>
              <w:top w:val="nil"/>
              <w:left w:val="single" w:color="auto" w:sz="4" w:space="0"/>
              <w:bottom w:val="single" w:color="auto" w:sz="4" w:space="0"/>
              <w:right w:val="single" w:color="auto" w:sz="4" w:space="0"/>
            </w:tcBorders>
            <w:shd w:val="clear" w:color="auto" w:fill="auto"/>
            <w:vAlign w:val="center"/>
          </w:tcPr>
          <w:p w14:paraId="63AEBF64">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工作温度</w:t>
            </w:r>
          </w:p>
        </w:tc>
        <w:tc>
          <w:tcPr>
            <w:tcW w:w="2987" w:type="pct"/>
            <w:tcBorders>
              <w:top w:val="nil"/>
              <w:left w:val="nil"/>
              <w:bottom w:val="single" w:color="auto" w:sz="4" w:space="0"/>
              <w:right w:val="single" w:color="auto" w:sz="4" w:space="0"/>
            </w:tcBorders>
            <w:shd w:val="clear" w:color="auto" w:fill="auto"/>
            <w:vAlign w:val="center"/>
          </w:tcPr>
          <w:p w14:paraId="41F1496D">
            <w:pPr>
              <w:spacing w:line="240" w:lineRule="auto"/>
              <w:ind w:left="162" w:leftChars="77" w:firstLine="0" w:firstLineChars="0"/>
              <w:jc w:val="left"/>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-40℃～70℃</w:t>
            </w:r>
          </w:p>
        </w:tc>
      </w:tr>
      <w:tr w14:paraId="657AD6E0">
        <w:tblPrEx>
          <w:tblCellMar>
            <w:top w:w="0" w:type="dxa"/>
            <w:left w:w="108" w:type="dxa"/>
            <w:bottom w:w="0" w:type="dxa"/>
            <w:right w:w="108" w:type="dxa"/>
          </w:tblCellMar>
        </w:tblPrEx>
        <w:trPr>
          <w:trHeight w:val="374" w:hRule="atLeast"/>
          <w:jc w:val="center"/>
        </w:trPr>
        <w:tc>
          <w:tcPr>
            <w:tcW w:w="2012" w:type="pct"/>
            <w:tcBorders>
              <w:top w:val="nil"/>
              <w:left w:val="single" w:color="auto" w:sz="4" w:space="0"/>
              <w:bottom w:val="single" w:color="auto" w:sz="4" w:space="0"/>
              <w:right w:val="single" w:color="auto" w:sz="4" w:space="0"/>
            </w:tcBorders>
            <w:shd w:val="clear" w:color="auto" w:fill="auto"/>
            <w:vAlign w:val="center"/>
          </w:tcPr>
          <w:p w14:paraId="2B33F0E9">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防护等级</w:t>
            </w:r>
          </w:p>
        </w:tc>
        <w:tc>
          <w:tcPr>
            <w:tcW w:w="2987" w:type="pct"/>
            <w:tcBorders>
              <w:top w:val="nil"/>
              <w:left w:val="nil"/>
              <w:bottom w:val="single" w:color="auto" w:sz="4" w:space="0"/>
              <w:right w:val="single" w:color="auto" w:sz="4" w:space="0"/>
            </w:tcBorders>
            <w:shd w:val="clear" w:color="auto" w:fill="auto"/>
            <w:vAlign w:val="center"/>
          </w:tcPr>
          <w:p w14:paraId="02ADED72">
            <w:pPr>
              <w:spacing w:line="240" w:lineRule="auto"/>
              <w:ind w:left="162" w:leftChars="77" w:firstLine="0" w:firstLineChars="0"/>
              <w:jc w:val="left"/>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IP66</w:t>
            </w:r>
          </w:p>
        </w:tc>
      </w:tr>
    </w:tbl>
    <w:p w14:paraId="34922C84">
      <w:pPr>
        <w:pageBreakBefore w:val="0"/>
        <w:widowControl w:val="0"/>
        <w:kinsoku/>
        <w:wordWrap/>
        <w:overflowPunct/>
        <w:topLinePunct w:val="0"/>
        <w:autoSpaceDE/>
        <w:autoSpaceDN/>
        <w:bidi w:val="0"/>
        <w:adjustRightInd/>
        <w:snapToGrid/>
        <w:spacing w:before="312" w:beforeLines="100"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固定式无人机侦测设备联网运行，定时向无人机防护系统报送运行状态信息及侦测目标信息。机场公安可通过用户终端进行显示与操作，掌握固定式无人机侦测设备的工作状态，监视其侦测发现无人机目标的飞行动态。固定式无人机侦测设备以不慢于2秒一次的频度上报工作状态和侦测到的无人机目标航迹。</w:t>
      </w:r>
    </w:p>
    <w:p w14:paraId="66C285F7">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数据库设计</w:t>
      </w:r>
    </w:p>
    <w:p w14:paraId="4F9A2F8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数据库系统是平台进行数据存储和管理的基础载体，是各系统之间以及与其他机构之间进行数据交换和共享的基础，为各类业务的开展提供完整、统一和准确的数据支持，实现各类数据资源的规范、集中存储与管理。数据库采用关系型数据库管理软件，采用业界领先的以高级结构化查询语言（SQL）为基础的大型关系数据库。</w:t>
      </w:r>
    </w:p>
    <w:p w14:paraId="691EC70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数据库租用政府云平台提供的关系型数据库服务，数据库高可用性由云平台实现和保证，采用云平台提供的云备份服务实现根据备份策略对数据库进行定时本地备份。</w:t>
      </w:r>
    </w:p>
    <w:p w14:paraId="5CC64815">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数据内容</w:t>
      </w:r>
    </w:p>
    <w:p w14:paraId="3DC8471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（1）飞行记录编号</w:t>
      </w:r>
    </w:p>
    <w:p w14:paraId="475C01B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用于标识一条飞行记录的编码。同一次飞行期间所传输的每一条飞行数据报文应当采用相同且唯一的飞行记录编号，编号应当包含无人机产品序列号，即在民航UTMISS系统、制造商无人机管理系统或本项目平台中登记的产品序列号。</w:t>
      </w:r>
    </w:p>
    <w:p w14:paraId="2FB9AFF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（2）无人机序号</w:t>
      </w:r>
    </w:p>
    <w:p w14:paraId="019FF68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无人机出厂时由工信部门分配的序列号，用于唯一标识无人机身份。</w:t>
      </w:r>
    </w:p>
    <w:p w14:paraId="70C0D56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（3）制造商代码</w:t>
      </w:r>
    </w:p>
    <w:p w14:paraId="30C6E99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无人机整机制造商的统一社会信用代码，或组装无人机使用的飞控模块制造商的统一社会信用代码。</w:t>
      </w:r>
    </w:p>
    <w:p w14:paraId="59FD2FA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（4）时间戳</w:t>
      </w:r>
    </w:p>
    <w:p w14:paraId="611B2BE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数据报文发送时的日期和时间编码。</w:t>
      </w:r>
    </w:p>
    <w:p w14:paraId="6A6F58B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（5）累计飞行时长</w:t>
      </w:r>
    </w:p>
    <w:p w14:paraId="4CAC2A1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从本次飞行开始时刻到当前时刻为止的飞行时间总和。</w:t>
      </w:r>
    </w:p>
    <w:p w14:paraId="03D8AA7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（6）坐标系类型</w:t>
      </w:r>
    </w:p>
    <w:p w14:paraId="2A10BB2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CGCS2000、WGS-84或GLONASS-PZ90，默认为WGS-84。</w:t>
      </w:r>
    </w:p>
    <w:p w14:paraId="5EE9714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（7）飞行位置的经度和纬度。</w:t>
      </w:r>
    </w:p>
    <w:p w14:paraId="3CACB3D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当前时刻所在位置的经度和纬度。</w:t>
      </w:r>
    </w:p>
    <w:p w14:paraId="487D597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（8）高度</w:t>
      </w:r>
    </w:p>
    <w:p w14:paraId="0BDEE45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无人机当前时刻所在位置相对于起飞点所在基准面的垂直距离。</w:t>
      </w:r>
    </w:p>
    <w:p w14:paraId="00EA552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（9）实时飞行速度</w:t>
      </w:r>
    </w:p>
    <w:p w14:paraId="38D10BC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无人机当前时刻相对地面的飞行速度。</w:t>
      </w:r>
    </w:p>
    <w:p w14:paraId="46BD0ED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（10）航迹角</w:t>
      </w:r>
    </w:p>
    <w:p w14:paraId="5DEEE24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无人机当前时刻所在位置真北方向顺时针量至地速方向的夹角，范围（0度，360度）。</w:t>
      </w:r>
    </w:p>
    <w:p w14:paraId="306AF8DC">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（11）违规告警信息</w:t>
      </w:r>
    </w:p>
    <w:p w14:paraId="12D9E59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无人机序号、飞行记录编号；</w:t>
      </w:r>
    </w:p>
    <w:p w14:paraId="4C48B6C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告警时间；</w:t>
      </w:r>
    </w:p>
    <w:p w14:paraId="1C97E41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告警类型；</w:t>
      </w:r>
    </w:p>
    <w:p w14:paraId="0A16990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告警坐标、告警空域、告警高度；</w:t>
      </w:r>
    </w:p>
    <w:p w14:paraId="1FFA7F3C">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消除状态、消除时间；</w:t>
      </w:r>
    </w:p>
    <w:p w14:paraId="67EFEFC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处置状态、处置结果。</w:t>
      </w:r>
    </w:p>
    <w:p w14:paraId="7ACE43A3">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数字结构</w:t>
      </w:r>
    </w:p>
    <w:p w14:paraId="5605B3B5">
      <w:pPr>
        <w:pStyle w:val="65"/>
        <w:rPr>
          <w:rFonts w:hint="eastAsia" w:ascii="宋体" w:hAnsi="宋体" w:eastAsia="宋体" w:cs="宋体"/>
          <w:highlight w:val="none"/>
        </w:rPr>
      </w:pPr>
      <w:r>
        <w:rPr>
          <w:rFonts w:hint="eastAsia" w:ascii="宋体" w:hAnsi="宋体" w:eastAsia="宋体" w:cs="宋体"/>
          <w:highlight w:val="none"/>
        </w:rPr>
        <w:t>字典表</w:t>
      </w:r>
    </w:p>
    <w:tbl>
      <w:tblPr>
        <w:tblStyle w:val="35"/>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1245"/>
        <w:gridCol w:w="715"/>
        <w:gridCol w:w="932"/>
        <w:gridCol w:w="1106"/>
        <w:gridCol w:w="1190"/>
        <w:gridCol w:w="2478"/>
      </w:tblGrid>
      <w:tr w14:paraId="6AAC6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blHeader/>
          <w:jc w:val="center"/>
        </w:trPr>
        <w:tc>
          <w:tcPr>
            <w:tcW w:w="804" w:type="pct"/>
            <w:vAlign w:val="center"/>
          </w:tcPr>
          <w:p w14:paraId="33CC0B62">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名称</w:t>
            </w:r>
          </w:p>
        </w:tc>
        <w:tc>
          <w:tcPr>
            <w:tcW w:w="681" w:type="pct"/>
            <w:vAlign w:val="center"/>
          </w:tcPr>
          <w:p w14:paraId="35DD8645">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类型</w:t>
            </w:r>
          </w:p>
        </w:tc>
        <w:tc>
          <w:tcPr>
            <w:tcW w:w="391" w:type="pct"/>
            <w:vAlign w:val="center"/>
          </w:tcPr>
          <w:p w14:paraId="0E74CC7A">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长度</w:t>
            </w:r>
          </w:p>
        </w:tc>
        <w:tc>
          <w:tcPr>
            <w:tcW w:w="510" w:type="pct"/>
            <w:vAlign w:val="center"/>
          </w:tcPr>
          <w:p w14:paraId="31D51BC5">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小数位</w:t>
            </w:r>
          </w:p>
        </w:tc>
        <w:tc>
          <w:tcPr>
            <w:tcW w:w="605" w:type="pct"/>
            <w:vAlign w:val="center"/>
          </w:tcPr>
          <w:p w14:paraId="579717ED">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必填项</w:t>
            </w:r>
          </w:p>
        </w:tc>
        <w:tc>
          <w:tcPr>
            <w:tcW w:w="651" w:type="pct"/>
            <w:vAlign w:val="center"/>
          </w:tcPr>
          <w:p w14:paraId="5A7DC440">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主键</w:t>
            </w:r>
          </w:p>
        </w:tc>
        <w:tc>
          <w:tcPr>
            <w:tcW w:w="1355" w:type="pct"/>
            <w:vAlign w:val="center"/>
          </w:tcPr>
          <w:p w14:paraId="25DEAD55">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注释</w:t>
            </w:r>
          </w:p>
        </w:tc>
      </w:tr>
      <w:tr w14:paraId="5F55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04" w:type="pct"/>
            <w:vAlign w:val="center"/>
          </w:tcPr>
          <w:p w14:paraId="72F0A6E7">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id</w:t>
            </w:r>
          </w:p>
        </w:tc>
        <w:tc>
          <w:tcPr>
            <w:tcW w:w="681" w:type="pct"/>
            <w:vAlign w:val="center"/>
          </w:tcPr>
          <w:p w14:paraId="153FE35B">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bigint</w:t>
            </w:r>
          </w:p>
        </w:tc>
        <w:tc>
          <w:tcPr>
            <w:tcW w:w="391" w:type="pct"/>
            <w:vAlign w:val="center"/>
          </w:tcPr>
          <w:p w14:paraId="4F01E237">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20</w:t>
            </w:r>
          </w:p>
        </w:tc>
        <w:tc>
          <w:tcPr>
            <w:tcW w:w="510" w:type="pct"/>
            <w:vAlign w:val="center"/>
          </w:tcPr>
          <w:p w14:paraId="16502EC0">
            <w:pPr>
              <w:ind w:firstLine="0" w:firstLineChars="0"/>
              <w:jc w:val="center"/>
              <w:rPr>
                <w:rFonts w:hint="eastAsia" w:ascii="宋体" w:hAnsi="宋体" w:eastAsia="宋体" w:cs="宋体"/>
                <w:sz w:val="21"/>
                <w:highlight w:val="none"/>
              </w:rPr>
            </w:pPr>
          </w:p>
        </w:tc>
        <w:tc>
          <w:tcPr>
            <w:tcW w:w="605" w:type="pct"/>
            <w:vAlign w:val="center"/>
          </w:tcPr>
          <w:p w14:paraId="1D1E3C44">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Y</w:t>
            </w:r>
          </w:p>
        </w:tc>
        <w:tc>
          <w:tcPr>
            <w:tcW w:w="651" w:type="pct"/>
            <w:vAlign w:val="center"/>
          </w:tcPr>
          <w:p w14:paraId="2BFABF3E">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Y</w:t>
            </w:r>
          </w:p>
        </w:tc>
        <w:tc>
          <w:tcPr>
            <w:tcW w:w="1355" w:type="pct"/>
            <w:vAlign w:val="center"/>
          </w:tcPr>
          <w:p w14:paraId="4D876C63">
            <w:pPr>
              <w:ind w:firstLine="0" w:firstLineChars="0"/>
              <w:jc w:val="center"/>
              <w:rPr>
                <w:rFonts w:hint="eastAsia" w:ascii="宋体" w:hAnsi="宋体" w:eastAsia="宋体" w:cs="宋体"/>
                <w:sz w:val="21"/>
                <w:highlight w:val="none"/>
              </w:rPr>
            </w:pPr>
          </w:p>
        </w:tc>
      </w:tr>
      <w:tr w14:paraId="60A77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04" w:type="pct"/>
            <w:vAlign w:val="center"/>
          </w:tcPr>
          <w:p w14:paraId="008B9542">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type</w:t>
            </w:r>
          </w:p>
        </w:tc>
        <w:tc>
          <w:tcPr>
            <w:tcW w:w="681" w:type="pct"/>
            <w:vAlign w:val="center"/>
          </w:tcPr>
          <w:p w14:paraId="05E9BF6D">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varchar</w:t>
            </w:r>
          </w:p>
        </w:tc>
        <w:tc>
          <w:tcPr>
            <w:tcW w:w="391" w:type="pct"/>
            <w:vAlign w:val="center"/>
          </w:tcPr>
          <w:p w14:paraId="73615FC9">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100</w:t>
            </w:r>
          </w:p>
        </w:tc>
        <w:tc>
          <w:tcPr>
            <w:tcW w:w="510" w:type="pct"/>
            <w:vAlign w:val="center"/>
          </w:tcPr>
          <w:p w14:paraId="79A48747">
            <w:pPr>
              <w:ind w:firstLine="0" w:firstLineChars="0"/>
              <w:jc w:val="center"/>
              <w:rPr>
                <w:rFonts w:hint="eastAsia" w:ascii="宋体" w:hAnsi="宋体" w:eastAsia="宋体" w:cs="宋体"/>
                <w:sz w:val="21"/>
                <w:highlight w:val="none"/>
              </w:rPr>
            </w:pPr>
          </w:p>
        </w:tc>
        <w:tc>
          <w:tcPr>
            <w:tcW w:w="605" w:type="pct"/>
            <w:vAlign w:val="center"/>
          </w:tcPr>
          <w:p w14:paraId="37E6A6E7">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Y</w:t>
            </w:r>
          </w:p>
        </w:tc>
        <w:tc>
          <w:tcPr>
            <w:tcW w:w="651" w:type="pct"/>
            <w:vAlign w:val="center"/>
          </w:tcPr>
          <w:p w14:paraId="269DCC5A">
            <w:pPr>
              <w:ind w:firstLine="0" w:firstLineChars="0"/>
              <w:jc w:val="center"/>
              <w:rPr>
                <w:rFonts w:hint="eastAsia" w:ascii="宋体" w:hAnsi="宋体" w:eastAsia="宋体" w:cs="宋体"/>
                <w:sz w:val="21"/>
                <w:highlight w:val="none"/>
              </w:rPr>
            </w:pPr>
          </w:p>
        </w:tc>
        <w:tc>
          <w:tcPr>
            <w:tcW w:w="1355" w:type="pct"/>
            <w:vAlign w:val="center"/>
          </w:tcPr>
          <w:p w14:paraId="0EB569C5">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字典类型</w:t>
            </w:r>
          </w:p>
        </w:tc>
      </w:tr>
      <w:tr w14:paraId="08EA0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04" w:type="pct"/>
            <w:vAlign w:val="center"/>
          </w:tcPr>
          <w:p w14:paraId="12E33A3C">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description</w:t>
            </w:r>
          </w:p>
        </w:tc>
        <w:tc>
          <w:tcPr>
            <w:tcW w:w="681" w:type="pct"/>
            <w:vAlign w:val="center"/>
          </w:tcPr>
          <w:p w14:paraId="323DD88E">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varchar</w:t>
            </w:r>
          </w:p>
        </w:tc>
        <w:tc>
          <w:tcPr>
            <w:tcW w:w="391" w:type="pct"/>
            <w:vAlign w:val="center"/>
          </w:tcPr>
          <w:p w14:paraId="09A98160">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100</w:t>
            </w:r>
          </w:p>
        </w:tc>
        <w:tc>
          <w:tcPr>
            <w:tcW w:w="510" w:type="pct"/>
            <w:vAlign w:val="center"/>
          </w:tcPr>
          <w:p w14:paraId="46D505C8">
            <w:pPr>
              <w:ind w:firstLine="0" w:firstLineChars="0"/>
              <w:jc w:val="center"/>
              <w:rPr>
                <w:rFonts w:hint="eastAsia" w:ascii="宋体" w:hAnsi="宋体" w:eastAsia="宋体" w:cs="宋体"/>
                <w:sz w:val="21"/>
                <w:highlight w:val="none"/>
              </w:rPr>
            </w:pPr>
          </w:p>
        </w:tc>
        <w:tc>
          <w:tcPr>
            <w:tcW w:w="605" w:type="pct"/>
            <w:vAlign w:val="center"/>
          </w:tcPr>
          <w:p w14:paraId="754BB58D">
            <w:pPr>
              <w:ind w:firstLine="0" w:firstLineChars="0"/>
              <w:jc w:val="center"/>
              <w:rPr>
                <w:rFonts w:hint="eastAsia" w:ascii="宋体" w:hAnsi="宋体" w:eastAsia="宋体" w:cs="宋体"/>
                <w:sz w:val="21"/>
                <w:highlight w:val="none"/>
              </w:rPr>
            </w:pPr>
          </w:p>
        </w:tc>
        <w:tc>
          <w:tcPr>
            <w:tcW w:w="651" w:type="pct"/>
            <w:vAlign w:val="center"/>
          </w:tcPr>
          <w:p w14:paraId="7480D1A3">
            <w:pPr>
              <w:ind w:firstLine="0" w:firstLineChars="0"/>
              <w:jc w:val="center"/>
              <w:rPr>
                <w:rFonts w:hint="eastAsia" w:ascii="宋体" w:hAnsi="宋体" w:eastAsia="宋体" w:cs="宋体"/>
                <w:sz w:val="21"/>
                <w:highlight w:val="none"/>
              </w:rPr>
            </w:pPr>
          </w:p>
        </w:tc>
        <w:tc>
          <w:tcPr>
            <w:tcW w:w="1355" w:type="pct"/>
            <w:vAlign w:val="center"/>
          </w:tcPr>
          <w:p w14:paraId="0CF75E51">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字典描述</w:t>
            </w:r>
          </w:p>
        </w:tc>
      </w:tr>
      <w:tr w14:paraId="47735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04" w:type="pct"/>
            <w:vAlign w:val="center"/>
          </w:tcPr>
          <w:p w14:paraId="14F0EC13">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system</w:t>
            </w:r>
          </w:p>
        </w:tc>
        <w:tc>
          <w:tcPr>
            <w:tcW w:w="681" w:type="pct"/>
            <w:vAlign w:val="center"/>
          </w:tcPr>
          <w:p w14:paraId="799D4C1F">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tinyint</w:t>
            </w:r>
          </w:p>
        </w:tc>
        <w:tc>
          <w:tcPr>
            <w:tcW w:w="391" w:type="pct"/>
            <w:vAlign w:val="center"/>
          </w:tcPr>
          <w:p w14:paraId="227E3C72">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1</w:t>
            </w:r>
          </w:p>
        </w:tc>
        <w:tc>
          <w:tcPr>
            <w:tcW w:w="510" w:type="pct"/>
            <w:vAlign w:val="center"/>
          </w:tcPr>
          <w:p w14:paraId="5FE1AC91">
            <w:pPr>
              <w:ind w:firstLine="0" w:firstLineChars="0"/>
              <w:jc w:val="center"/>
              <w:rPr>
                <w:rFonts w:hint="eastAsia" w:ascii="宋体" w:hAnsi="宋体" w:eastAsia="宋体" w:cs="宋体"/>
                <w:sz w:val="21"/>
                <w:highlight w:val="none"/>
              </w:rPr>
            </w:pPr>
          </w:p>
        </w:tc>
        <w:tc>
          <w:tcPr>
            <w:tcW w:w="605" w:type="pct"/>
            <w:vAlign w:val="center"/>
          </w:tcPr>
          <w:p w14:paraId="6FA617A1">
            <w:pPr>
              <w:ind w:firstLine="0" w:firstLineChars="0"/>
              <w:jc w:val="center"/>
              <w:rPr>
                <w:rFonts w:hint="eastAsia" w:ascii="宋体" w:hAnsi="宋体" w:eastAsia="宋体" w:cs="宋体"/>
                <w:sz w:val="21"/>
                <w:highlight w:val="none"/>
              </w:rPr>
            </w:pPr>
          </w:p>
        </w:tc>
        <w:tc>
          <w:tcPr>
            <w:tcW w:w="651" w:type="pct"/>
            <w:vAlign w:val="center"/>
          </w:tcPr>
          <w:p w14:paraId="51E57D57">
            <w:pPr>
              <w:ind w:firstLine="0" w:firstLineChars="0"/>
              <w:jc w:val="center"/>
              <w:rPr>
                <w:rFonts w:hint="eastAsia" w:ascii="宋体" w:hAnsi="宋体" w:eastAsia="宋体" w:cs="宋体"/>
                <w:sz w:val="21"/>
                <w:highlight w:val="none"/>
              </w:rPr>
            </w:pPr>
          </w:p>
        </w:tc>
        <w:tc>
          <w:tcPr>
            <w:tcW w:w="1355" w:type="pct"/>
            <w:vAlign w:val="center"/>
          </w:tcPr>
          <w:p w14:paraId="6C064433">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是否系统内置（0－否，1－是）</w:t>
            </w:r>
          </w:p>
        </w:tc>
      </w:tr>
      <w:tr w14:paraId="4289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04" w:type="pct"/>
            <w:vAlign w:val="center"/>
          </w:tcPr>
          <w:p w14:paraId="2E033C69">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remarks</w:t>
            </w:r>
          </w:p>
        </w:tc>
        <w:tc>
          <w:tcPr>
            <w:tcW w:w="681" w:type="pct"/>
            <w:vAlign w:val="center"/>
          </w:tcPr>
          <w:p w14:paraId="4D315386">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varchar</w:t>
            </w:r>
          </w:p>
        </w:tc>
        <w:tc>
          <w:tcPr>
            <w:tcW w:w="391" w:type="pct"/>
            <w:vAlign w:val="center"/>
          </w:tcPr>
          <w:p w14:paraId="785E0B2D">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128</w:t>
            </w:r>
          </w:p>
        </w:tc>
        <w:tc>
          <w:tcPr>
            <w:tcW w:w="510" w:type="pct"/>
            <w:vAlign w:val="center"/>
          </w:tcPr>
          <w:p w14:paraId="4ADFB2D6">
            <w:pPr>
              <w:ind w:firstLine="0" w:firstLineChars="0"/>
              <w:jc w:val="center"/>
              <w:rPr>
                <w:rFonts w:hint="eastAsia" w:ascii="宋体" w:hAnsi="宋体" w:eastAsia="宋体" w:cs="宋体"/>
                <w:sz w:val="21"/>
                <w:highlight w:val="none"/>
              </w:rPr>
            </w:pPr>
          </w:p>
        </w:tc>
        <w:tc>
          <w:tcPr>
            <w:tcW w:w="605" w:type="pct"/>
            <w:vAlign w:val="center"/>
          </w:tcPr>
          <w:p w14:paraId="02DC8E64">
            <w:pPr>
              <w:ind w:firstLine="0" w:firstLineChars="0"/>
              <w:jc w:val="center"/>
              <w:rPr>
                <w:rFonts w:hint="eastAsia" w:ascii="宋体" w:hAnsi="宋体" w:eastAsia="宋体" w:cs="宋体"/>
                <w:sz w:val="21"/>
                <w:highlight w:val="none"/>
              </w:rPr>
            </w:pPr>
          </w:p>
        </w:tc>
        <w:tc>
          <w:tcPr>
            <w:tcW w:w="651" w:type="pct"/>
            <w:vAlign w:val="center"/>
          </w:tcPr>
          <w:p w14:paraId="624F5337">
            <w:pPr>
              <w:ind w:firstLine="0" w:firstLineChars="0"/>
              <w:jc w:val="center"/>
              <w:rPr>
                <w:rFonts w:hint="eastAsia" w:ascii="宋体" w:hAnsi="宋体" w:eastAsia="宋体" w:cs="宋体"/>
                <w:sz w:val="21"/>
                <w:highlight w:val="none"/>
              </w:rPr>
            </w:pPr>
          </w:p>
        </w:tc>
        <w:tc>
          <w:tcPr>
            <w:tcW w:w="1355" w:type="pct"/>
            <w:vAlign w:val="center"/>
          </w:tcPr>
          <w:p w14:paraId="18384A5D">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备注信息</w:t>
            </w:r>
          </w:p>
        </w:tc>
      </w:tr>
      <w:tr w14:paraId="46549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04" w:type="pct"/>
            <w:vAlign w:val="center"/>
          </w:tcPr>
          <w:p w14:paraId="32DB1538">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create_time</w:t>
            </w:r>
          </w:p>
        </w:tc>
        <w:tc>
          <w:tcPr>
            <w:tcW w:w="681" w:type="pct"/>
            <w:vAlign w:val="center"/>
          </w:tcPr>
          <w:p w14:paraId="19C9C15D">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timestamp</w:t>
            </w:r>
          </w:p>
        </w:tc>
        <w:tc>
          <w:tcPr>
            <w:tcW w:w="391" w:type="pct"/>
            <w:vAlign w:val="center"/>
          </w:tcPr>
          <w:p w14:paraId="6C0BD337">
            <w:pPr>
              <w:ind w:firstLine="0" w:firstLineChars="0"/>
              <w:jc w:val="center"/>
              <w:rPr>
                <w:rFonts w:hint="eastAsia" w:ascii="宋体" w:hAnsi="宋体" w:eastAsia="宋体" w:cs="宋体"/>
                <w:sz w:val="21"/>
                <w:highlight w:val="none"/>
              </w:rPr>
            </w:pPr>
          </w:p>
        </w:tc>
        <w:tc>
          <w:tcPr>
            <w:tcW w:w="510" w:type="pct"/>
            <w:vAlign w:val="center"/>
          </w:tcPr>
          <w:p w14:paraId="1CB2DB4B">
            <w:pPr>
              <w:ind w:firstLine="0" w:firstLineChars="0"/>
              <w:jc w:val="center"/>
              <w:rPr>
                <w:rFonts w:hint="eastAsia" w:ascii="宋体" w:hAnsi="宋体" w:eastAsia="宋体" w:cs="宋体"/>
                <w:sz w:val="21"/>
                <w:highlight w:val="none"/>
              </w:rPr>
            </w:pPr>
          </w:p>
        </w:tc>
        <w:tc>
          <w:tcPr>
            <w:tcW w:w="605" w:type="pct"/>
            <w:vAlign w:val="center"/>
          </w:tcPr>
          <w:p w14:paraId="14939EE5">
            <w:pPr>
              <w:ind w:firstLine="0" w:firstLineChars="0"/>
              <w:jc w:val="center"/>
              <w:rPr>
                <w:rFonts w:hint="eastAsia" w:ascii="宋体" w:hAnsi="宋体" w:eastAsia="宋体" w:cs="宋体"/>
                <w:sz w:val="21"/>
                <w:highlight w:val="none"/>
              </w:rPr>
            </w:pPr>
          </w:p>
        </w:tc>
        <w:tc>
          <w:tcPr>
            <w:tcW w:w="651" w:type="pct"/>
            <w:vAlign w:val="center"/>
          </w:tcPr>
          <w:p w14:paraId="7E437813">
            <w:pPr>
              <w:ind w:firstLine="0" w:firstLineChars="0"/>
              <w:jc w:val="center"/>
              <w:rPr>
                <w:rFonts w:hint="eastAsia" w:ascii="宋体" w:hAnsi="宋体" w:eastAsia="宋体" w:cs="宋体"/>
                <w:sz w:val="21"/>
                <w:highlight w:val="none"/>
              </w:rPr>
            </w:pPr>
          </w:p>
        </w:tc>
        <w:tc>
          <w:tcPr>
            <w:tcW w:w="1355" w:type="pct"/>
            <w:vAlign w:val="center"/>
          </w:tcPr>
          <w:p w14:paraId="7D627CA4">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创建时间</w:t>
            </w:r>
          </w:p>
        </w:tc>
      </w:tr>
      <w:tr w14:paraId="03662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804" w:type="pct"/>
            <w:vAlign w:val="center"/>
          </w:tcPr>
          <w:p w14:paraId="3623DD2F">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update_time</w:t>
            </w:r>
          </w:p>
        </w:tc>
        <w:tc>
          <w:tcPr>
            <w:tcW w:w="681" w:type="pct"/>
            <w:vAlign w:val="center"/>
          </w:tcPr>
          <w:p w14:paraId="18E9121E">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timestamp</w:t>
            </w:r>
          </w:p>
        </w:tc>
        <w:tc>
          <w:tcPr>
            <w:tcW w:w="391" w:type="pct"/>
            <w:vAlign w:val="center"/>
          </w:tcPr>
          <w:p w14:paraId="4068CBA9">
            <w:pPr>
              <w:ind w:firstLine="0" w:firstLineChars="0"/>
              <w:jc w:val="center"/>
              <w:rPr>
                <w:rFonts w:hint="eastAsia" w:ascii="宋体" w:hAnsi="宋体" w:eastAsia="宋体" w:cs="宋体"/>
                <w:sz w:val="21"/>
                <w:highlight w:val="none"/>
              </w:rPr>
            </w:pPr>
          </w:p>
        </w:tc>
        <w:tc>
          <w:tcPr>
            <w:tcW w:w="510" w:type="pct"/>
            <w:vAlign w:val="center"/>
          </w:tcPr>
          <w:p w14:paraId="0F59E62B">
            <w:pPr>
              <w:ind w:firstLine="0" w:firstLineChars="0"/>
              <w:jc w:val="center"/>
              <w:rPr>
                <w:rFonts w:hint="eastAsia" w:ascii="宋体" w:hAnsi="宋体" w:eastAsia="宋体" w:cs="宋体"/>
                <w:sz w:val="21"/>
                <w:highlight w:val="none"/>
              </w:rPr>
            </w:pPr>
          </w:p>
        </w:tc>
        <w:tc>
          <w:tcPr>
            <w:tcW w:w="605" w:type="pct"/>
            <w:vAlign w:val="center"/>
          </w:tcPr>
          <w:p w14:paraId="06DFB5F3">
            <w:pPr>
              <w:ind w:firstLine="0" w:firstLineChars="0"/>
              <w:jc w:val="center"/>
              <w:rPr>
                <w:rFonts w:hint="eastAsia" w:ascii="宋体" w:hAnsi="宋体" w:eastAsia="宋体" w:cs="宋体"/>
                <w:sz w:val="21"/>
                <w:highlight w:val="none"/>
              </w:rPr>
            </w:pPr>
          </w:p>
        </w:tc>
        <w:tc>
          <w:tcPr>
            <w:tcW w:w="651" w:type="pct"/>
            <w:vAlign w:val="center"/>
          </w:tcPr>
          <w:p w14:paraId="4F53D2D7">
            <w:pPr>
              <w:ind w:firstLine="0" w:firstLineChars="0"/>
              <w:jc w:val="center"/>
              <w:rPr>
                <w:rFonts w:hint="eastAsia" w:ascii="宋体" w:hAnsi="宋体" w:eastAsia="宋体" w:cs="宋体"/>
                <w:sz w:val="21"/>
                <w:highlight w:val="none"/>
              </w:rPr>
            </w:pPr>
          </w:p>
        </w:tc>
        <w:tc>
          <w:tcPr>
            <w:tcW w:w="1355" w:type="pct"/>
            <w:vAlign w:val="center"/>
          </w:tcPr>
          <w:p w14:paraId="5DCC5859">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更新时间</w:t>
            </w:r>
          </w:p>
        </w:tc>
      </w:tr>
      <w:tr w14:paraId="594F4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804" w:type="pct"/>
            <w:vAlign w:val="center"/>
          </w:tcPr>
          <w:p w14:paraId="01848D22">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del_flag</w:t>
            </w:r>
          </w:p>
        </w:tc>
        <w:tc>
          <w:tcPr>
            <w:tcW w:w="681" w:type="pct"/>
            <w:vAlign w:val="center"/>
          </w:tcPr>
          <w:p w14:paraId="55270D98">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tinyint</w:t>
            </w:r>
          </w:p>
        </w:tc>
        <w:tc>
          <w:tcPr>
            <w:tcW w:w="391" w:type="pct"/>
            <w:vAlign w:val="center"/>
          </w:tcPr>
          <w:p w14:paraId="56415B8E">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1</w:t>
            </w:r>
          </w:p>
        </w:tc>
        <w:tc>
          <w:tcPr>
            <w:tcW w:w="510" w:type="pct"/>
            <w:vAlign w:val="center"/>
          </w:tcPr>
          <w:p w14:paraId="24624C00">
            <w:pPr>
              <w:ind w:firstLine="0" w:firstLineChars="0"/>
              <w:jc w:val="center"/>
              <w:rPr>
                <w:rFonts w:hint="eastAsia" w:ascii="宋体" w:hAnsi="宋体" w:eastAsia="宋体" w:cs="宋体"/>
                <w:sz w:val="21"/>
                <w:highlight w:val="none"/>
              </w:rPr>
            </w:pPr>
          </w:p>
        </w:tc>
        <w:tc>
          <w:tcPr>
            <w:tcW w:w="605" w:type="pct"/>
            <w:vAlign w:val="center"/>
          </w:tcPr>
          <w:p w14:paraId="6A0A67AD">
            <w:pPr>
              <w:ind w:firstLine="0" w:firstLineChars="0"/>
              <w:jc w:val="center"/>
              <w:rPr>
                <w:rFonts w:hint="eastAsia" w:ascii="宋体" w:hAnsi="宋体" w:eastAsia="宋体" w:cs="宋体"/>
                <w:sz w:val="21"/>
                <w:highlight w:val="none"/>
              </w:rPr>
            </w:pPr>
          </w:p>
        </w:tc>
        <w:tc>
          <w:tcPr>
            <w:tcW w:w="651" w:type="pct"/>
            <w:vAlign w:val="center"/>
          </w:tcPr>
          <w:p w14:paraId="2C384339">
            <w:pPr>
              <w:ind w:firstLine="0" w:firstLineChars="0"/>
              <w:jc w:val="center"/>
              <w:rPr>
                <w:rFonts w:hint="eastAsia" w:ascii="宋体" w:hAnsi="宋体" w:eastAsia="宋体" w:cs="宋体"/>
                <w:sz w:val="21"/>
                <w:highlight w:val="none"/>
              </w:rPr>
            </w:pPr>
          </w:p>
        </w:tc>
        <w:tc>
          <w:tcPr>
            <w:tcW w:w="1355" w:type="pct"/>
            <w:vAlign w:val="center"/>
          </w:tcPr>
          <w:p w14:paraId="0577A05A">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删除标识（0－正常，1－删除）</w:t>
            </w:r>
          </w:p>
        </w:tc>
      </w:tr>
    </w:tbl>
    <w:p w14:paraId="51E9037C">
      <w:pPr>
        <w:pStyle w:val="65"/>
        <w:numPr>
          <w:ilvl w:val="255"/>
          <w:numId w:val="0"/>
        </w:numPr>
        <w:jc w:val="both"/>
        <w:rPr>
          <w:rFonts w:hint="eastAsia" w:ascii="宋体" w:hAnsi="宋体" w:eastAsia="宋体" w:cs="宋体"/>
          <w:highlight w:val="none"/>
        </w:rPr>
      </w:pPr>
    </w:p>
    <w:p w14:paraId="73378BBA">
      <w:pPr>
        <w:pStyle w:val="65"/>
        <w:rPr>
          <w:rFonts w:hint="eastAsia" w:ascii="宋体" w:hAnsi="宋体" w:eastAsia="宋体" w:cs="宋体"/>
          <w:highlight w:val="none"/>
        </w:rPr>
      </w:pPr>
      <w:r>
        <w:rPr>
          <w:rFonts w:hint="eastAsia" w:ascii="宋体" w:hAnsi="宋体" w:eastAsia="宋体" w:cs="宋体"/>
          <w:highlight w:val="none"/>
        </w:rPr>
        <w:t>字典项目表</w:t>
      </w:r>
    </w:p>
    <w:tbl>
      <w:tblPr>
        <w:tblStyle w:val="35"/>
        <w:tblW w:w="48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54"/>
        <w:gridCol w:w="1231"/>
        <w:gridCol w:w="707"/>
        <w:gridCol w:w="922"/>
        <w:gridCol w:w="1094"/>
        <w:gridCol w:w="1177"/>
        <w:gridCol w:w="2450"/>
      </w:tblGrid>
      <w:tr w14:paraId="38E5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04" w:type="pct"/>
            <w:vAlign w:val="center"/>
          </w:tcPr>
          <w:p w14:paraId="34F85D0D">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名称</w:t>
            </w:r>
          </w:p>
        </w:tc>
        <w:tc>
          <w:tcPr>
            <w:tcW w:w="681" w:type="pct"/>
            <w:vAlign w:val="center"/>
          </w:tcPr>
          <w:p w14:paraId="37168694">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类型</w:t>
            </w:r>
          </w:p>
        </w:tc>
        <w:tc>
          <w:tcPr>
            <w:tcW w:w="391" w:type="pct"/>
            <w:vAlign w:val="center"/>
          </w:tcPr>
          <w:p w14:paraId="7635A0D9">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长度</w:t>
            </w:r>
          </w:p>
        </w:tc>
        <w:tc>
          <w:tcPr>
            <w:tcW w:w="510" w:type="pct"/>
            <w:vAlign w:val="center"/>
          </w:tcPr>
          <w:p w14:paraId="026890CF">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小数位</w:t>
            </w:r>
          </w:p>
        </w:tc>
        <w:tc>
          <w:tcPr>
            <w:tcW w:w="605" w:type="pct"/>
            <w:vAlign w:val="center"/>
          </w:tcPr>
          <w:p w14:paraId="0087FEF0">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必填项</w:t>
            </w:r>
          </w:p>
        </w:tc>
        <w:tc>
          <w:tcPr>
            <w:tcW w:w="651" w:type="pct"/>
            <w:vAlign w:val="center"/>
          </w:tcPr>
          <w:p w14:paraId="7C4BF755">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主键</w:t>
            </w:r>
          </w:p>
        </w:tc>
        <w:tc>
          <w:tcPr>
            <w:tcW w:w="1355" w:type="pct"/>
            <w:vAlign w:val="center"/>
          </w:tcPr>
          <w:p w14:paraId="095C66EC">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注释</w:t>
            </w:r>
          </w:p>
        </w:tc>
      </w:tr>
      <w:tr w14:paraId="13A2E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14:paraId="472AC077">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id</w:t>
            </w:r>
          </w:p>
        </w:tc>
        <w:tc>
          <w:tcPr>
            <w:tcW w:w="681" w:type="pct"/>
            <w:vAlign w:val="center"/>
          </w:tcPr>
          <w:p w14:paraId="4E266554">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bigint</w:t>
            </w:r>
          </w:p>
        </w:tc>
        <w:tc>
          <w:tcPr>
            <w:tcW w:w="391" w:type="pct"/>
            <w:vAlign w:val="center"/>
          </w:tcPr>
          <w:p w14:paraId="320A2806">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20</w:t>
            </w:r>
          </w:p>
        </w:tc>
        <w:tc>
          <w:tcPr>
            <w:tcW w:w="510" w:type="pct"/>
            <w:vAlign w:val="center"/>
          </w:tcPr>
          <w:p w14:paraId="4AAE4638">
            <w:pPr>
              <w:ind w:firstLine="0" w:firstLineChars="0"/>
              <w:jc w:val="center"/>
              <w:rPr>
                <w:rFonts w:hint="eastAsia" w:ascii="宋体" w:hAnsi="宋体" w:eastAsia="宋体" w:cs="宋体"/>
                <w:sz w:val="21"/>
                <w:highlight w:val="none"/>
              </w:rPr>
            </w:pPr>
          </w:p>
        </w:tc>
        <w:tc>
          <w:tcPr>
            <w:tcW w:w="605" w:type="pct"/>
            <w:vAlign w:val="center"/>
          </w:tcPr>
          <w:p w14:paraId="1AC8BC98">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Y</w:t>
            </w:r>
          </w:p>
        </w:tc>
        <w:tc>
          <w:tcPr>
            <w:tcW w:w="651" w:type="pct"/>
            <w:vAlign w:val="center"/>
          </w:tcPr>
          <w:p w14:paraId="21F7DC6D">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Y</w:t>
            </w:r>
          </w:p>
        </w:tc>
        <w:tc>
          <w:tcPr>
            <w:tcW w:w="1355" w:type="pct"/>
            <w:vAlign w:val="center"/>
          </w:tcPr>
          <w:p w14:paraId="3CD006D5">
            <w:pPr>
              <w:ind w:firstLine="0" w:firstLineChars="0"/>
              <w:jc w:val="center"/>
              <w:rPr>
                <w:rFonts w:hint="eastAsia" w:ascii="宋体" w:hAnsi="宋体" w:eastAsia="宋体" w:cs="宋体"/>
                <w:sz w:val="21"/>
                <w:highlight w:val="none"/>
              </w:rPr>
            </w:pPr>
          </w:p>
        </w:tc>
      </w:tr>
      <w:tr w14:paraId="6BC0A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14:paraId="6C6807E0">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dict_id</w:t>
            </w:r>
          </w:p>
        </w:tc>
        <w:tc>
          <w:tcPr>
            <w:tcW w:w="681" w:type="pct"/>
            <w:vAlign w:val="center"/>
          </w:tcPr>
          <w:p w14:paraId="6E031D06">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bigint</w:t>
            </w:r>
          </w:p>
        </w:tc>
        <w:tc>
          <w:tcPr>
            <w:tcW w:w="391" w:type="pct"/>
            <w:vAlign w:val="center"/>
          </w:tcPr>
          <w:p w14:paraId="087D6ABD">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20</w:t>
            </w:r>
          </w:p>
        </w:tc>
        <w:tc>
          <w:tcPr>
            <w:tcW w:w="510" w:type="pct"/>
            <w:vAlign w:val="center"/>
          </w:tcPr>
          <w:p w14:paraId="4E749C5E">
            <w:pPr>
              <w:ind w:firstLine="0" w:firstLineChars="0"/>
              <w:jc w:val="center"/>
              <w:rPr>
                <w:rFonts w:hint="eastAsia" w:ascii="宋体" w:hAnsi="宋体" w:eastAsia="宋体" w:cs="宋体"/>
                <w:sz w:val="21"/>
                <w:highlight w:val="none"/>
              </w:rPr>
            </w:pPr>
          </w:p>
        </w:tc>
        <w:tc>
          <w:tcPr>
            <w:tcW w:w="605" w:type="pct"/>
            <w:vAlign w:val="center"/>
          </w:tcPr>
          <w:p w14:paraId="6A9F9577">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Y</w:t>
            </w:r>
          </w:p>
        </w:tc>
        <w:tc>
          <w:tcPr>
            <w:tcW w:w="651" w:type="pct"/>
            <w:vAlign w:val="center"/>
          </w:tcPr>
          <w:p w14:paraId="0735F5D6">
            <w:pPr>
              <w:ind w:firstLine="0" w:firstLineChars="0"/>
              <w:jc w:val="center"/>
              <w:rPr>
                <w:rFonts w:hint="eastAsia" w:ascii="宋体" w:hAnsi="宋体" w:eastAsia="宋体" w:cs="宋体"/>
                <w:sz w:val="21"/>
                <w:highlight w:val="none"/>
              </w:rPr>
            </w:pPr>
          </w:p>
        </w:tc>
        <w:tc>
          <w:tcPr>
            <w:tcW w:w="1355" w:type="pct"/>
            <w:vAlign w:val="center"/>
          </w:tcPr>
          <w:p w14:paraId="3C24D308">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所属字段类ID</w:t>
            </w:r>
          </w:p>
        </w:tc>
      </w:tr>
      <w:tr w14:paraId="093F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14:paraId="59DC4225">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value</w:t>
            </w:r>
          </w:p>
        </w:tc>
        <w:tc>
          <w:tcPr>
            <w:tcW w:w="681" w:type="pct"/>
            <w:vAlign w:val="center"/>
          </w:tcPr>
          <w:p w14:paraId="71E26D5D">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varchar</w:t>
            </w:r>
          </w:p>
        </w:tc>
        <w:tc>
          <w:tcPr>
            <w:tcW w:w="391" w:type="pct"/>
            <w:vAlign w:val="center"/>
          </w:tcPr>
          <w:p w14:paraId="168A8685">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32</w:t>
            </w:r>
          </w:p>
        </w:tc>
        <w:tc>
          <w:tcPr>
            <w:tcW w:w="510" w:type="pct"/>
            <w:vAlign w:val="center"/>
          </w:tcPr>
          <w:p w14:paraId="5B574800">
            <w:pPr>
              <w:ind w:firstLine="0" w:firstLineChars="0"/>
              <w:jc w:val="center"/>
              <w:rPr>
                <w:rFonts w:hint="eastAsia" w:ascii="宋体" w:hAnsi="宋体" w:eastAsia="宋体" w:cs="宋体"/>
                <w:sz w:val="21"/>
                <w:highlight w:val="none"/>
              </w:rPr>
            </w:pPr>
          </w:p>
        </w:tc>
        <w:tc>
          <w:tcPr>
            <w:tcW w:w="605" w:type="pct"/>
            <w:vAlign w:val="center"/>
          </w:tcPr>
          <w:p w14:paraId="3E71FDDE">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Y</w:t>
            </w:r>
          </w:p>
        </w:tc>
        <w:tc>
          <w:tcPr>
            <w:tcW w:w="651" w:type="pct"/>
            <w:vAlign w:val="center"/>
          </w:tcPr>
          <w:p w14:paraId="36250DA2">
            <w:pPr>
              <w:ind w:firstLine="0" w:firstLineChars="0"/>
              <w:jc w:val="center"/>
              <w:rPr>
                <w:rFonts w:hint="eastAsia" w:ascii="宋体" w:hAnsi="宋体" w:eastAsia="宋体" w:cs="宋体"/>
                <w:sz w:val="21"/>
                <w:highlight w:val="none"/>
              </w:rPr>
            </w:pPr>
          </w:p>
        </w:tc>
        <w:tc>
          <w:tcPr>
            <w:tcW w:w="1355" w:type="pct"/>
            <w:vAlign w:val="center"/>
          </w:tcPr>
          <w:p w14:paraId="4688CD7A">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数据值</w:t>
            </w:r>
          </w:p>
        </w:tc>
      </w:tr>
      <w:tr w14:paraId="7026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14:paraId="6938B9AB">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label</w:t>
            </w:r>
          </w:p>
        </w:tc>
        <w:tc>
          <w:tcPr>
            <w:tcW w:w="681" w:type="pct"/>
            <w:vAlign w:val="center"/>
          </w:tcPr>
          <w:p w14:paraId="4037B302">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tinyint</w:t>
            </w:r>
          </w:p>
        </w:tc>
        <w:tc>
          <w:tcPr>
            <w:tcW w:w="391" w:type="pct"/>
            <w:vAlign w:val="center"/>
          </w:tcPr>
          <w:p w14:paraId="33DB1E0E">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32</w:t>
            </w:r>
          </w:p>
        </w:tc>
        <w:tc>
          <w:tcPr>
            <w:tcW w:w="510" w:type="pct"/>
            <w:vAlign w:val="center"/>
          </w:tcPr>
          <w:p w14:paraId="781CE01D">
            <w:pPr>
              <w:ind w:firstLine="0" w:firstLineChars="0"/>
              <w:jc w:val="center"/>
              <w:rPr>
                <w:rFonts w:hint="eastAsia" w:ascii="宋体" w:hAnsi="宋体" w:eastAsia="宋体" w:cs="宋体"/>
                <w:sz w:val="21"/>
                <w:highlight w:val="none"/>
              </w:rPr>
            </w:pPr>
          </w:p>
        </w:tc>
        <w:tc>
          <w:tcPr>
            <w:tcW w:w="605" w:type="pct"/>
            <w:vAlign w:val="center"/>
          </w:tcPr>
          <w:p w14:paraId="06CEC15C">
            <w:pPr>
              <w:ind w:firstLine="0" w:firstLineChars="0"/>
              <w:jc w:val="center"/>
              <w:rPr>
                <w:rFonts w:hint="eastAsia" w:ascii="宋体" w:hAnsi="宋体" w:eastAsia="宋体" w:cs="宋体"/>
                <w:sz w:val="21"/>
                <w:highlight w:val="none"/>
              </w:rPr>
            </w:pPr>
          </w:p>
        </w:tc>
        <w:tc>
          <w:tcPr>
            <w:tcW w:w="651" w:type="pct"/>
            <w:vAlign w:val="center"/>
          </w:tcPr>
          <w:p w14:paraId="44DC8D9C">
            <w:pPr>
              <w:ind w:firstLine="0" w:firstLineChars="0"/>
              <w:jc w:val="center"/>
              <w:rPr>
                <w:rFonts w:hint="eastAsia" w:ascii="宋体" w:hAnsi="宋体" w:eastAsia="宋体" w:cs="宋体"/>
                <w:sz w:val="21"/>
                <w:highlight w:val="none"/>
              </w:rPr>
            </w:pPr>
          </w:p>
        </w:tc>
        <w:tc>
          <w:tcPr>
            <w:tcW w:w="1355" w:type="pct"/>
            <w:vAlign w:val="center"/>
          </w:tcPr>
          <w:p w14:paraId="5C31736F">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标签名</w:t>
            </w:r>
          </w:p>
        </w:tc>
      </w:tr>
      <w:tr w14:paraId="2EDEB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14:paraId="0A668BD8">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type</w:t>
            </w:r>
          </w:p>
        </w:tc>
        <w:tc>
          <w:tcPr>
            <w:tcW w:w="681" w:type="pct"/>
            <w:vAlign w:val="center"/>
          </w:tcPr>
          <w:p w14:paraId="1B0F84F5">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varchar</w:t>
            </w:r>
          </w:p>
        </w:tc>
        <w:tc>
          <w:tcPr>
            <w:tcW w:w="391" w:type="pct"/>
            <w:vAlign w:val="center"/>
          </w:tcPr>
          <w:p w14:paraId="3D6C7A47">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100</w:t>
            </w:r>
          </w:p>
        </w:tc>
        <w:tc>
          <w:tcPr>
            <w:tcW w:w="510" w:type="pct"/>
            <w:vAlign w:val="center"/>
          </w:tcPr>
          <w:p w14:paraId="059BD661">
            <w:pPr>
              <w:ind w:firstLine="0" w:firstLineChars="0"/>
              <w:jc w:val="center"/>
              <w:rPr>
                <w:rFonts w:hint="eastAsia" w:ascii="宋体" w:hAnsi="宋体" w:eastAsia="宋体" w:cs="宋体"/>
                <w:sz w:val="21"/>
                <w:highlight w:val="none"/>
              </w:rPr>
            </w:pPr>
          </w:p>
        </w:tc>
        <w:tc>
          <w:tcPr>
            <w:tcW w:w="605" w:type="pct"/>
            <w:vAlign w:val="center"/>
          </w:tcPr>
          <w:p w14:paraId="467BFFE2">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Y</w:t>
            </w:r>
          </w:p>
        </w:tc>
        <w:tc>
          <w:tcPr>
            <w:tcW w:w="651" w:type="pct"/>
            <w:vAlign w:val="center"/>
          </w:tcPr>
          <w:p w14:paraId="1E14673B">
            <w:pPr>
              <w:ind w:firstLine="0" w:firstLineChars="0"/>
              <w:jc w:val="center"/>
              <w:rPr>
                <w:rFonts w:hint="eastAsia" w:ascii="宋体" w:hAnsi="宋体" w:eastAsia="宋体" w:cs="宋体"/>
                <w:sz w:val="21"/>
                <w:highlight w:val="none"/>
              </w:rPr>
            </w:pPr>
          </w:p>
        </w:tc>
        <w:tc>
          <w:tcPr>
            <w:tcW w:w="1355" w:type="pct"/>
            <w:vAlign w:val="center"/>
          </w:tcPr>
          <w:p w14:paraId="0FC90C04">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类型</w:t>
            </w:r>
          </w:p>
        </w:tc>
      </w:tr>
      <w:tr w14:paraId="684C5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14:paraId="3125AB90">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description</w:t>
            </w:r>
          </w:p>
        </w:tc>
        <w:tc>
          <w:tcPr>
            <w:tcW w:w="681" w:type="pct"/>
            <w:vAlign w:val="center"/>
          </w:tcPr>
          <w:p w14:paraId="0D337CF8">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varchar</w:t>
            </w:r>
          </w:p>
        </w:tc>
        <w:tc>
          <w:tcPr>
            <w:tcW w:w="391" w:type="pct"/>
            <w:vAlign w:val="center"/>
          </w:tcPr>
          <w:p w14:paraId="0B4DFEC7">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128</w:t>
            </w:r>
          </w:p>
        </w:tc>
        <w:tc>
          <w:tcPr>
            <w:tcW w:w="510" w:type="pct"/>
            <w:vAlign w:val="center"/>
          </w:tcPr>
          <w:p w14:paraId="4A33D31D">
            <w:pPr>
              <w:ind w:firstLine="0" w:firstLineChars="0"/>
              <w:jc w:val="center"/>
              <w:rPr>
                <w:rFonts w:hint="eastAsia" w:ascii="宋体" w:hAnsi="宋体" w:eastAsia="宋体" w:cs="宋体"/>
                <w:sz w:val="21"/>
                <w:highlight w:val="none"/>
              </w:rPr>
            </w:pPr>
          </w:p>
        </w:tc>
        <w:tc>
          <w:tcPr>
            <w:tcW w:w="605" w:type="pct"/>
            <w:vAlign w:val="center"/>
          </w:tcPr>
          <w:p w14:paraId="4136C991">
            <w:pPr>
              <w:ind w:firstLine="0" w:firstLineChars="0"/>
              <w:jc w:val="center"/>
              <w:rPr>
                <w:rFonts w:hint="eastAsia" w:ascii="宋体" w:hAnsi="宋体" w:eastAsia="宋体" w:cs="宋体"/>
                <w:sz w:val="21"/>
                <w:highlight w:val="none"/>
              </w:rPr>
            </w:pPr>
          </w:p>
        </w:tc>
        <w:tc>
          <w:tcPr>
            <w:tcW w:w="651" w:type="pct"/>
            <w:vAlign w:val="center"/>
          </w:tcPr>
          <w:p w14:paraId="6DDF84D5">
            <w:pPr>
              <w:ind w:firstLine="0" w:firstLineChars="0"/>
              <w:jc w:val="center"/>
              <w:rPr>
                <w:rFonts w:hint="eastAsia" w:ascii="宋体" w:hAnsi="宋体" w:eastAsia="宋体" w:cs="宋体"/>
                <w:sz w:val="21"/>
                <w:highlight w:val="none"/>
              </w:rPr>
            </w:pPr>
          </w:p>
        </w:tc>
        <w:tc>
          <w:tcPr>
            <w:tcW w:w="1355" w:type="pct"/>
            <w:vAlign w:val="center"/>
          </w:tcPr>
          <w:p w14:paraId="32F7D252">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描述</w:t>
            </w:r>
          </w:p>
        </w:tc>
      </w:tr>
      <w:tr w14:paraId="1BCF6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14:paraId="5505A2F5">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sort</w:t>
            </w:r>
          </w:p>
        </w:tc>
        <w:tc>
          <w:tcPr>
            <w:tcW w:w="681" w:type="pct"/>
            <w:vAlign w:val="center"/>
          </w:tcPr>
          <w:p w14:paraId="54496167">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int</w:t>
            </w:r>
          </w:p>
        </w:tc>
        <w:tc>
          <w:tcPr>
            <w:tcW w:w="391" w:type="pct"/>
            <w:vAlign w:val="center"/>
          </w:tcPr>
          <w:p w14:paraId="1E2A8270">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11</w:t>
            </w:r>
          </w:p>
        </w:tc>
        <w:tc>
          <w:tcPr>
            <w:tcW w:w="510" w:type="pct"/>
            <w:vAlign w:val="center"/>
          </w:tcPr>
          <w:p w14:paraId="5FDACA3E">
            <w:pPr>
              <w:ind w:firstLine="0" w:firstLineChars="0"/>
              <w:jc w:val="center"/>
              <w:rPr>
                <w:rFonts w:hint="eastAsia" w:ascii="宋体" w:hAnsi="宋体" w:eastAsia="宋体" w:cs="宋体"/>
                <w:sz w:val="21"/>
                <w:highlight w:val="none"/>
              </w:rPr>
            </w:pPr>
          </w:p>
        </w:tc>
        <w:tc>
          <w:tcPr>
            <w:tcW w:w="605" w:type="pct"/>
            <w:vAlign w:val="center"/>
          </w:tcPr>
          <w:p w14:paraId="678D9845">
            <w:pPr>
              <w:ind w:firstLine="0" w:firstLineChars="0"/>
              <w:jc w:val="center"/>
              <w:rPr>
                <w:rFonts w:hint="eastAsia" w:ascii="宋体" w:hAnsi="宋体" w:eastAsia="宋体" w:cs="宋体"/>
                <w:sz w:val="21"/>
                <w:highlight w:val="none"/>
              </w:rPr>
            </w:pPr>
          </w:p>
        </w:tc>
        <w:tc>
          <w:tcPr>
            <w:tcW w:w="651" w:type="pct"/>
            <w:vAlign w:val="center"/>
          </w:tcPr>
          <w:p w14:paraId="3E17708C">
            <w:pPr>
              <w:ind w:firstLine="0" w:firstLineChars="0"/>
              <w:jc w:val="center"/>
              <w:rPr>
                <w:rFonts w:hint="eastAsia" w:ascii="宋体" w:hAnsi="宋体" w:eastAsia="宋体" w:cs="宋体"/>
                <w:sz w:val="21"/>
                <w:highlight w:val="none"/>
              </w:rPr>
            </w:pPr>
          </w:p>
        </w:tc>
        <w:tc>
          <w:tcPr>
            <w:tcW w:w="1355" w:type="pct"/>
            <w:vAlign w:val="center"/>
          </w:tcPr>
          <w:p w14:paraId="244590C4">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排序值，默认升序</w:t>
            </w:r>
          </w:p>
        </w:tc>
      </w:tr>
      <w:tr w14:paraId="156D4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14:paraId="7E377CCF">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remarks</w:t>
            </w:r>
          </w:p>
        </w:tc>
        <w:tc>
          <w:tcPr>
            <w:tcW w:w="681" w:type="pct"/>
            <w:vAlign w:val="center"/>
          </w:tcPr>
          <w:p w14:paraId="31BC1BBE">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varchar</w:t>
            </w:r>
          </w:p>
        </w:tc>
        <w:tc>
          <w:tcPr>
            <w:tcW w:w="391" w:type="pct"/>
            <w:vAlign w:val="center"/>
          </w:tcPr>
          <w:p w14:paraId="18811C52">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128</w:t>
            </w:r>
          </w:p>
        </w:tc>
        <w:tc>
          <w:tcPr>
            <w:tcW w:w="510" w:type="pct"/>
            <w:vAlign w:val="center"/>
          </w:tcPr>
          <w:p w14:paraId="2C283687">
            <w:pPr>
              <w:ind w:firstLine="0" w:firstLineChars="0"/>
              <w:jc w:val="center"/>
              <w:rPr>
                <w:rFonts w:hint="eastAsia" w:ascii="宋体" w:hAnsi="宋体" w:eastAsia="宋体" w:cs="宋体"/>
                <w:sz w:val="21"/>
                <w:highlight w:val="none"/>
              </w:rPr>
            </w:pPr>
          </w:p>
        </w:tc>
        <w:tc>
          <w:tcPr>
            <w:tcW w:w="605" w:type="pct"/>
            <w:vAlign w:val="center"/>
          </w:tcPr>
          <w:p w14:paraId="1DC0B07D">
            <w:pPr>
              <w:ind w:firstLine="0" w:firstLineChars="0"/>
              <w:jc w:val="center"/>
              <w:rPr>
                <w:rFonts w:hint="eastAsia" w:ascii="宋体" w:hAnsi="宋体" w:eastAsia="宋体" w:cs="宋体"/>
                <w:sz w:val="21"/>
                <w:highlight w:val="none"/>
              </w:rPr>
            </w:pPr>
          </w:p>
        </w:tc>
        <w:tc>
          <w:tcPr>
            <w:tcW w:w="651" w:type="pct"/>
            <w:vAlign w:val="center"/>
          </w:tcPr>
          <w:p w14:paraId="043F5DEA">
            <w:pPr>
              <w:ind w:firstLine="0" w:firstLineChars="0"/>
              <w:jc w:val="center"/>
              <w:rPr>
                <w:rFonts w:hint="eastAsia" w:ascii="宋体" w:hAnsi="宋体" w:eastAsia="宋体" w:cs="宋体"/>
                <w:sz w:val="21"/>
                <w:highlight w:val="none"/>
              </w:rPr>
            </w:pPr>
          </w:p>
        </w:tc>
        <w:tc>
          <w:tcPr>
            <w:tcW w:w="1355" w:type="pct"/>
            <w:vAlign w:val="center"/>
          </w:tcPr>
          <w:p w14:paraId="0E029DD2">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备注信息</w:t>
            </w:r>
          </w:p>
        </w:tc>
      </w:tr>
      <w:tr w14:paraId="6351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14:paraId="1BC45B66">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create_time</w:t>
            </w:r>
          </w:p>
        </w:tc>
        <w:tc>
          <w:tcPr>
            <w:tcW w:w="681" w:type="pct"/>
            <w:vAlign w:val="center"/>
          </w:tcPr>
          <w:p w14:paraId="56F32B39">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timestamp</w:t>
            </w:r>
          </w:p>
        </w:tc>
        <w:tc>
          <w:tcPr>
            <w:tcW w:w="391" w:type="pct"/>
            <w:vAlign w:val="center"/>
          </w:tcPr>
          <w:p w14:paraId="49CE1B5F">
            <w:pPr>
              <w:ind w:firstLine="0" w:firstLineChars="0"/>
              <w:jc w:val="center"/>
              <w:rPr>
                <w:rFonts w:hint="eastAsia" w:ascii="宋体" w:hAnsi="宋体" w:eastAsia="宋体" w:cs="宋体"/>
                <w:sz w:val="21"/>
                <w:highlight w:val="none"/>
              </w:rPr>
            </w:pPr>
          </w:p>
        </w:tc>
        <w:tc>
          <w:tcPr>
            <w:tcW w:w="510" w:type="pct"/>
            <w:vAlign w:val="center"/>
          </w:tcPr>
          <w:p w14:paraId="02FCFA69">
            <w:pPr>
              <w:ind w:firstLine="0" w:firstLineChars="0"/>
              <w:jc w:val="center"/>
              <w:rPr>
                <w:rFonts w:hint="eastAsia" w:ascii="宋体" w:hAnsi="宋体" w:eastAsia="宋体" w:cs="宋体"/>
                <w:sz w:val="21"/>
                <w:highlight w:val="none"/>
              </w:rPr>
            </w:pPr>
          </w:p>
        </w:tc>
        <w:tc>
          <w:tcPr>
            <w:tcW w:w="605" w:type="pct"/>
            <w:vAlign w:val="center"/>
          </w:tcPr>
          <w:p w14:paraId="3E1F3B07">
            <w:pPr>
              <w:ind w:firstLine="0" w:firstLineChars="0"/>
              <w:jc w:val="center"/>
              <w:rPr>
                <w:rFonts w:hint="eastAsia" w:ascii="宋体" w:hAnsi="宋体" w:eastAsia="宋体" w:cs="宋体"/>
                <w:sz w:val="21"/>
                <w:highlight w:val="none"/>
              </w:rPr>
            </w:pPr>
          </w:p>
        </w:tc>
        <w:tc>
          <w:tcPr>
            <w:tcW w:w="651" w:type="pct"/>
            <w:vAlign w:val="center"/>
          </w:tcPr>
          <w:p w14:paraId="4F284DD1">
            <w:pPr>
              <w:ind w:firstLine="0" w:firstLineChars="0"/>
              <w:jc w:val="center"/>
              <w:rPr>
                <w:rFonts w:hint="eastAsia" w:ascii="宋体" w:hAnsi="宋体" w:eastAsia="宋体" w:cs="宋体"/>
                <w:sz w:val="21"/>
                <w:highlight w:val="none"/>
              </w:rPr>
            </w:pPr>
          </w:p>
        </w:tc>
        <w:tc>
          <w:tcPr>
            <w:tcW w:w="1355" w:type="pct"/>
            <w:vAlign w:val="center"/>
          </w:tcPr>
          <w:p w14:paraId="583E2656">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创建时间</w:t>
            </w:r>
          </w:p>
        </w:tc>
      </w:tr>
      <w:tr w14:paraId="66BE6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04" w:type="pct"/>
            <w:vAlign w:val="center"/>
          </w:tcPr>
          <w:p w14:paraId="4DC6CE78">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update_time</w:t>
            </w:r>
          </w:p>
        </w:tc>
        <w:tc>
          <w:tcPr>
            <w:tcW w:w="681" w:type="pct"/>
            <w:vAlign w:val="center"/>
          </w:tcPr>
          <w:p w14:paraId="5EEBA7AF">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timestamp</w:t>
            </w:r>
          </w:p>
        </w:tc>
        <w:tc>
          <w:tcPr>
            <w:tcW w:w="391" w:type="pct"/>
            <w:vAlign w:val="center"/>
          </w:tcPr>
          <w:p w14:paraId="118CD977">
            <w:pPr>
              <w:ind w:firstLine="0" w:firstLineChars="0"/>
              <w:jc w:val="center"/>
              <w:rPr>
                <w:rFonts w:hint="eastAsia" w:ascii="宋体" w:hAnsi="宋体" w:eastAsia="宋体" w:cs="宋体"/>
                <w:sz w:val="21"/>
                <w:highlight w:val="none"/>
              </w:rPr>
            </w:pPr>
          </w:p>
        </w:tc>
        <w:tc>
          <w:tcPr>
            <w:tcW w:w="510" w:type="pct"/>
            <w:vAlign w:val="center"/>
          </w:tcPr>
          <w:p w14:paraId="637F6B7E">
            <w:pPr>
              <w:ind w:firstLine="0" w:firstLineChars="0"/>
              <w:jc w:val="center"/>
              <w:rPr>
                <w:rFonts w:hint="eastAsia" w:ascii="宋体" w:hAnsi="宋体" w:eastAsia="宋体" w:cs="宋体"/>
                <w:sz w:val="21"/>
                <w:highlight w:val="none"/>
              </w:rPr>
            </w:pPr>
          </w:p>
        </w:tc>
        <w:tc>
          <w:tcPr>
            <w:tcW w:w="605" w:type="pct"/>
            <w:vAlign w:val="center"/>
          </w:tcPr>
          <w:p w14:paraId="2A4BA2A2">
            <w:pPr>
              <w:ind w:firstLine="0" w:firstLineChars="0"/>
              <w:jc w:val="center"/>
              <w:rPr>
                <w:rFonts w:hint="eastAsia" w:ascii="宋体" w:hAnsi="宋体" w:eastAsia="宋体" w:cs="宋体"/>
                <w:sz w:val="21"/>
                <w:highlight w:val="none"/>
              </w:rPr>
            </w:pPr>
          </w:p>
        </w:tc>
        <w:tc>
          <w:tcPr>
            <w:tcW w:w="651" w:type="pct"/>
            <w:vAlign w:val="center"/>
          </w:tcPr>
          <w:p w14:paraId="32AADCDF">
            <w:pPr>
              <w:ind w:firstLine="0" w:firstLineChars="0"/>
              <w:jc w:val="center"/>
              <w:rPr>
                <w:rFonts w:hint="eastAsia" w:ascii="宋体" w:hAnsi="宋体" w:eastAsia="宋体" w:cs="宋体"/>
                <w:sz w:val="21"/>
                <w:highlight w:val="none"/>
              </w:rPr>
            </w:pPr>
          </w:p>
        </w:tc>
        <w:tc>
          <w:tcPr>
            <w:tcW w:w="1355" w:type="pct"/>
            <w:vAlign w:val="center"/>
          </w:tcPr>
          <w:p w14:paraId="5FE81D71">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更新时间</w:t>
            </w:r>
          </w:p>
        </w:tc>
      </w:tr>
      <w:tr w14:paraId="3B8A9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04" w:type="pct"/>
            <w:vAlign w:val="center"/>
          </w:tcPr>
          <w:p w14:paraId="329CB85B">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del_flag</w:t>
            </w:r>
          </w:p>
        </w:tc>
        <w:tc>
          <w:tcPr>
            <w:tcW w:w="681" w:type="pct"/>
            <w:vAlign w:val="center"/>
          </w:tcPr>
          <w:p w14:paraId="41595B57">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tinyint</w:t>
            </w:r>
          </w:p>
        </w:tc>
        <w:tc>
          <w:tcPr>
            <w:tcW w:w="391" w:type="pct"/>
            <w:vAlign w:val="center"/>
          </w:tcPr>
          <w:p w14:paraId="1C12021B">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1</w:t>
            </w:r>
          </w:p>
        </w:tc>
        <w:tc>
          <w:tcPr>
            <w:tcW w:w="510" w:type="pct"/>
            <w:vAlign w:val="center"/>
          </w:tcPr>
          <w:p w14:paraId="79E7960E">
            <w:pPr>
              <w:ind w:firstLine="0" w:firstLineChars="0"/>
              <w:jc w:val="center"/>
              <w:rPr>
                <w:rFonts w:hint="eastAsia" w:ascii="宋体" w:hAnsi="宋体" w:eastAsia="宋体" w:cs="宋体"/>
                <w:sz w:val="21"/>
                <w:highlight w:val="none"/>
              </w:rPr>
            </w:pPr>
          </w:p>
        </w:tc>
        <w:tc>
          <w:tcPr>
            <w:tcW w:w="605" w:type="pct"/>
            <w:vAlign w:val="center"/>
          </w:tcPr>
          <w:p w14:paraId="44748588">
            <w:pPr>
              <w:ind w:firstLine="0" w:firstLineChars="0"/>
              <w:jc w:val="center"/>
              <w:rPr>
                <w:rFonts w:hint="eastAsia" w:ascii="宋体" w:hAnsi="宋体" w:eastAsia="宋体" w:cs="宋体"/>
                <w:sz w:val="21"/>
                <w:highlight w:val="none"/>
              </w:rPr>
            </w:pPr>
          </w:p>
        </w:tc>
        <w:tc>
          <w:tcPr>
            <w:tcW w:w="651" w:type="pct"/>
            <w:vAlign w:val="center"/>
          </w:tcPr>
          <w:p w14:paraId="4533825B">
            <w:pPr>
              <w:ind w:firstLine="0" w:firstLineChars="0"/>
              <w:jc w:val="center"/>
              <w:rPr>
                <w:rFonts w:hint="eastAsia" w:ascii="宋体" w:hAnsi="宋体" w:eastAsia="宋体" w:cs="宋体"/>
                <w:sz w:val="21"/>
                <w:highlight w:val="none"/>
              </w:rPr>
            </w:pPr>
          </w:p>
        </w:tc>
        <w:tc>
          <w:tcPr>
            <w:tcW w:w="1355" w:type="pct"/>
            <w:vAlign w:val="center"/>
          </w:tcPr>
          <w:p w14:paraId="641CAFA1">
            <w:pPr>
              <w:ind w:firstLine="0" w:firstLineChars="0"/>
              <w:jc w:val="center"/>
              <w:rPr>
                <w:rFonts w:hint="eastAsia" w:ascii="宋体" w:hAnsi="宋体" w:eastAsia="宋体" w:cs="宋体"/>
                <w:sz w:val="21"/>
                <w:highlight w:val="none"/>
              </w:rPr>
            </w:pPr>
            <w:r>
              <w:rPr>
                <w:rFonts w:hint="eastAsia" w:ascii="宋体" w:hAnsi="宋体" w:eastAsia="宋体" w:cs="宋体"/>
                <w:sz w:val="21"/>
                <w:highlight w:val="none"/>
              </w:rPr>
              <w:t>删除标识（0－正常，1－删除）</w:t>
            </w:r>
          </w:p>
        </w:tc>
      </w:tr>
    </w:tbl>
    <w:p w14:paraId="4E53D611">
      <w:pPr>
        <w:ind w:firstLine="0" w:firstLineChars="0"/>
        <w:rPr>
          <w:rFonts w:hint="eastAsia" w:ascii="宋体" w:hAnsi="宋体" w:eastAsia="宋体" w:cs="宋体"/>
          <w:highlight w:val="none"/>
        </w:rPr>
      </w:pPr>
    </w:p>
    <w:p w14:paraId="01481A6E">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数据流设计</w:t>
      </w:r>
    </w:p>
    <w:p w14:paraId="462A8FAE">
      <w:pPr>
        <w:pStyle w:val="12"/>
        <w:ind w:firstLine="0" w:firstLineChars="0"/>
        <w:rPr>
          <w:rFonts w:hint="eastAsia" w:ascii="宋体" w:hAnsi="宋体" w:eastAsia="宋体" w:cs="宋体"/>
          <w:highlight w:val="none"/>
        </w:rPr>
      </w:pPr>
      <w:r>
        <w:rPr>
          <w:rFonts w:hint="eastAsia" w:ascii="宋体" w:hAnsi="宋体" w:eastAsia="宋体" w:cs="宋体"/>
          <w:highlight w:val="none"/>
        </w:rPr>
        <w:object>
          <v:shape id="_x0000_i1026" o:spt="75" type="#_x0000_t75" style="height:291.5pt;width:415pt;" o:ole="t" filled="f" o:preferrelative="t" stroked="f" coordsize="21600,21600">
            <v:path/>
            <v:fill on="f" focussize="0,0"/>
            <v:stroke on="f" joinstyle="miter"/>
            <v:imagedata r:id="rId19" o:title=""/>
            <o:lock v:ext="edit" aspectratio="t"/>
            <w10:wrap type="none"/>
            <w10:anchorlock/>
          </v:shape>
          <o:OLEObject Type="Embed" ProgID="" ShapeID="_x0000_i1026" DrawAspect="Content" ObjectID="_1468075726" r:id="rId18">
            <o:LockedField>false</o:LockedField>
          </o:OLEObject>
        </w:object>
      </w:r>
    </w:p>
    <w:p w14:paraId="69D6D602">
      <w:pPr>
        <w:pStyle w:val="63"/>
        <w:numPr>
          <w:ilvl w:val="7"/>
          <w:numId w:val="7"/>
        </w:numPr>
        <w:rPr>
          <w:rFonts w:hint="eastAsia" w:ascii="宋体" w:hAnsi="宋体" w:eastAsia="宋体" w:cs="宋体"/>
          <w:highlight w:val="none"/>
        </w:rPr>
      </w:pPr>
      <w:r>
        <w:rPr>
          <w:rFonts w:hint="eastAsia" w:ascii="宋体" w:hAnsi="宋体" w:eastAsia="宋体" w:cs="宋体"/>
          <w:highlight w:val="none"/>
        </w:rPr>
        <w:t>无人机防控系统网络拓扑图</w:t>
      </w:r>
    </w:p>
    <w:p w14:paraId="71DD012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无人机防护系统</w:t>
      </w:r>
      <w:r>
        <w:rPr>
          <w:rFonts w:hint="eastAsia" w:ascii="宋体" w:hAnsi="宋体" w:eastAsia="宋体" w:cs="宋体"/>
          <w:highlight w:val="none"/>
          <w:lang w:bidi="he-IL"/>
        </w:rPr>
        <w:t>是基于政务外网的应用平台，利用政务云资源提供计算、存储、安全服务。无人机侦测设备通过政务外网接入政务云。</w:t>
      </w:r>
      <w:r>
        <w:rPr>
          <w:rFonts w:hint="eastAsia" w:ascii="宋体" w:hAnsi="宋体" w:eastAsia="宋体" w:cs="宋体"/>
          <w:highlight w:val="none"/>
        </w:rPr>
        <w:t>用户终端从消息总线订阅无人机侦测设备的实时动态信息，根据设备动态信息控制设备显示状态及显示位置变更。通过监视界面以地图为背景查看设备实时部署位置，掌握设备开机运行状态。</w:t>
      </w:r>
    </w:p>
    <w:p w14:paraId="46836EF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本方案中固定式无人机侦测设备，可实现无人机的侦测、识别、定位、跟踪、反制五位一体。系统融合了频谱感知、定位算法、逆向解析、多源融合等多种技术，共同实现对违规非法无人机的有效管控。可以提供无线电监测、无人机定位识别、无人机轨迹跟踪、飞手定位等功能。无人机侦测定位设备是基于频谱感知和人工智能技术，对无人机的飞控链路和图传链路进行识别分类。</w:t>
      </w:r>
    </w:p>
    <w:p w14:paraId="3B4411F5">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数据接口设计</w:t>
      </w:r>
    </w:p>
    <w:p w14:paraId="3D71A7E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政务信息资源，是指政务部门在履行职责过程中制作或者获取的，以一定形式记录、保存的文件、资料、图表和数据等各类信息资源，包括政务部门直接或者通过第三方依法采集的、依法授权管理的和因履行职责需要依托政务信息系统形成的信息资源等。</w:t>
      </w:r>
    </w:p>
    <w:p w14:paraId="4C429F0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政务信息资源实行目录管理。政务信息资源目录是实现全市政务信息资源共享开放和业务协同的基础，是各政务部门间信息资源共享及向社会开放的依据。</w:t>
      </w:r>
    </w:p>
    <w:p w14:paraId="32DBE18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本项目系统提供的数据资源设计如下表所示：</w:t>
      </w:r>
    </w:p>
    <w:p w14:paraId="3866E569">
      <w:pPr>
        <w:pStyle w:val="65"/>
        <w:rPr>
          <w:rFonts w:hint="eastAsia" w:ascii="宋体" w:hAnsi="宋体" w:eastAsia="宋体" w:cs="宋体"/>
          <w:highlight w:val="none"/>
        </w:rPr>
      </w:pPr>
      <w:r>
        <w:rPr>
          <w:rFonts w:hint="eastAsia" w:ascii="宋体" w:hAnsi="宋体" w:eastAsia="宋体" w:cs="宋体"/>
          <w:highlight w:val="none"/>
        </w:rPr>
        <w:t>本项目系统提供的数据资源目录表</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428"/>
        <w:gridCol w:w="1515"/>
        <w:gridCol w:w="1242"/>
        <w:gridCol w:w="1407"/>
        <w:gridCol w:w="1166"/>
        <w:gridCol w:w="799"/>
        <w:gridCol w:w="1032"/>
      </w:tblGrid>
      <w:tr w14:paraId="3B02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blHeader/>
        </w:trPr>
        <w:tc>
          <w:tcPr>
            <w:tcW w:w="376" w:type="pct"/>
            <w:shd w:val="clear" w:color="auto" w:fill="auto"/>
            <w:vAlign w:val="center"/>
          </w:tcPr>
          <w:p w14:paraId="5E7BB4ED">
            <w:pPr>
              <w:spacing w:line="240" w:lineRule="auto"/>
              <w:ind w:firstLine="0" w:firstLineChars="0"/>
              <w:jc w:val="center"/>
              <w:rPr>
                <w:rFonts w:hint="eastAsia" w:ascii="宋体" w:hAnsi="宋体" w:eastAsia="宋体" w:cs="宋体"/>
                <w:b/>
                <w:bCs/>
                <w:color w:val="000000"/>
                <w:kern w:val="0"/>
                <w:sz w:val="21"/>
                <w:highlight w:val="none"/>
              </w:rPr>
            </w:pPr>
            <w:r>
              <w:rPr>
                <w:rFonts w:hint="eastAsia" w:ascii="宋体" w:hAnsi="宋体" w:eastAsia="宋体" w:cs="宋体"/>
                <w:b/>
                <w:bCs/>
                <w:color w:val="000000"/>
                <w:kern w:val="0"/>
                <w:sz w:val="21"/>
                <w:highlight w:val="none"/>
              </w:rPr>
              <w:t>序号</w:t>
            </w:r>
          </w:p>
        </w:tc>
        <w:tc>
          <w:tcPr>
            <w:tcW w:w="768" w:type="pct"/>
            <w:shd w:val="clear" w:color="auto" w:fill="auto"/>
            <w:vAlign w:val="center"/>
          </w:tcPr>
          <w:p w14:paraId="4AD8C263">
            <w:pPr>
              <w:spacing w:line="240" w:lineRule="auto"/>
              <w:ind w:firstLine="0" w:firstLineChars="0"/>
              <w:jc w:val="center"/>
              <w:rPr>
                <w:rFonts w:hint="eastAsia" w:ascii="宋体" w:hAnsi="宋体" w:eastAsia="宋体" w:cs="宋体"/>
                <w:b/>
                <w:bCs/>
                <w:color w:val="000000"/>
                <w:kern w:val="0"/>
                <w:sz w:val="21"/>
                <w:highlight w:val="none"/>
              </w:rPr>
            </w:pPr>
            <w:r>
              <w:rPr>
                <w:rFonts w:hint="eastAsia" w:ascii="宋体" w:hAnsi="宋体" w:eastAsia="宋体" w:cs="宋体"/>
                <w:b/>
                <w:bCs/>
                <w:color w:val="000000"/>
                <w:kern w:val="0"/>
                <w:sz w:val="21"/>
                <w:highlight w:val="none"/>
              </w:rPr>
              <w:t>数据资源名称</w:t>
            </w:r>
          </w:p>
        </w:tc>
        <w:tc>
          <w:tcPr>
            <w:tcW w:w="815" w:type="pct"/>
            <w:shd w:val="clear" w:color="auto" w:fill="auto"/>
            <w:vAlign w:val="center"/>
          </w:tcPr>
          <w:p w14:paraId="78A62515">
            <w:pPr>
              <w:spacing w:line="240" w:lineRule="auto"/>
              <w:ind w:firstLine="0" w:firstLineChars="0"/>
              <w:jc w:val="center"/>
              <w:rPr>
                <w:rFonts w:hint="eastAsia" w:ascii="宋体" w:hAnsi="宋体" w:eastAsia="宋体" w:cs="宋体"/>
                <w:b/>
                <w:bCs/>
                <w:color w:val="000000"/>
                <w:kern w:val="0"/>
                <w:sz w:val="21"/>
                <w:highlight w:val="none"/>
              </w:rPr>
            </w:pPr>
            <w:r>
              <w:rPr>
                <w:rFonts w:hint="eastAsia" w:ascii="宋体" w:hAnsi="宋体" w:eastAsia="宋体" w:cs="宋体"/>
                <w:b/>
                <w:bCs/>
                <w:color w:val="000000"/>
                <w:kern w:val="0"/>
                <w:sz w:val="21"/>
                <w:highlight w:val="none"/>
              </w:rPr>
              <w:t>数据资源项</w:t>
            </w:r>
          </w:p>
          <w:p w14:paraId="18E97DA8">
            <w:pPr>
              <w:spacing w:line="240" w:lineRule="auto"/>
              <w:ind w:firstLine="0" w:firstLineChars="0"/>
              <w:jc w:val="center"/>
              <w:rPr>
                <w:rFonts w:hint="eastAsia" w:ascii="宋体" w:hAnsi="宋体" w:eastAsia="宋体" w:cs="宋体"/>
                <w:b/>
                <w:bCs/>
                <w:color w:val="000000"/>
                <w:kern w:val="0"/>
                <w:sz w:val="21"/>
                <w:highlight w:val="none"/>
              </w:rPr>
            </w:pPr>
            <w:r>
              <w:rPr>
                <w:rFonts w:hint="eastAsia" w:ascii="宋体" w:hAnsi="宋体" w:eastAsia="宋体" w:cs="宋体"/>
                <w:b/>
                <w:bCs/>
                <w:color w:val="000000"/>
                <w:kern w:val="0"/>
                <w:sz w:val="21"/>
                <w:highlight w:val="none"/>
              </w:rPr>
              <w:t>（字段名称）</w:t>
            </w:r>
          </w:p>
        </w:tc>
        <w:tc>
          <w:tcPr>
            <w:tcW w:w="668" w:type="pct"/>
            <w:shd w:val="clear" w:color="auto" w:fill="auto"/>
            <w:vAlign w:val="center"/>
          </w:tcPr>
          <w:p w14:paraId="50866694">
            <w:pPr>
              <w:spacing w:line="240" w:lineRule="auto"/>
              <w:ind w:firstLine="0" w:firstLineChars="0"/>
              <w:jc w:val="center"/>
              <w:rPr>
                <w:rFonts w:hint="eastAsia" w:ascii="宋体" w:hAnsi="宋体" w:eastAsia="宋体" w:cs="宋体"/>
                <w:b/>
                <w:bCs/>
                <w:color w:val="000000"/>
                <w:kern w:val="0"/>
                <w:sz w:val="21"/>
                <w:highlight w:val="none"/>
              </w:rPr>
            </w:pPr>
            <w:r>
              <w:rPr>
                <w:rFonts w:hint="eastAsia" w:ascii="宋体" w:hAnsi="宋体" w:eastAsia="宋体" w:cs="宋体"/>
                <w:b/>
                <w:bCs/>
                <w:color w:val="000000"/>
                <w:kern w:val="0"/>
                <w:sz w:val="21"/>
                <w:highlight w:val="none"/>
              </w:rPr>
              <w:t>数据类型</w:t>
            </w:r>
          </w:p>
        </w:tc>
        <w:tc>
          <w:tcPr>
            <w:tcW w:w="757" w:type="pct"/>
            <w:shd w:val="clear" w:color="auto" w:fill="auto"/>
            <w:vAlign w:val="center"/>
          </w:tcPr>
          <w:p w14:paraId="4F1A1FB8">
            <w:pPr>
              <w:spacing w:line="240" w:lineRule="auto"/>
              <w:ind w:firstLine="0" w:firstLineChars="0"/>
              <w:jc w:val="center"/>
              <w:rPr>
                <w:rFonts w:hint="eastAsia" w:ascii="宋体" w:hAnsi="宋体" w:eastAsia="宋体" w:cs="宋体"/>
                <w:b/>
                <w:bCs/>
                <w:color w:val="000000"/>
                <w:kern w:val="0"/>
                <w:sz w:val="21"/>
                <w:highlight w:val="none"/>
              </w:rPr>
            </w:pPr>
            <w:r>
              <w:rPr>
                <w:rFonts w:hint="eastAsia" w:ascii="宋体" w:hAnsi="宋体" w:eastAsia="宋体" w:cs="宋体"/>
                <w:b/>
                <w:bCs/>
                <w:color w:val="000000"/>
                <w:kern w:val="0"/>
                <w:sz w:val="21"/>
                <w:highlight w:val="none"/>
              </w:rPr>
              <w:t>共享条件</w:t>
            </w:r>
          </w:p>
        </w:tc>
        <w:tc>
          <w:tcPr>
            <w:tcW w:w="627" w:type="pct"/>
            <w:shd w:val="clear" w:color="auto" w:fill="auto"/>
            <w:vAlign w:val="center"/>
          </w:tcPr>
          <w:p w14:paraId="383FBB86">
            <w:pPr>
              <w:spacing w:line="240" w:lineRule="auto"/>
              <w:ind w:firstLine="0" w:firstLineChars="0"/>
              <w:jc w:val="center"/>
              <w:rPr>
                <w:rFonts w:hint="eastAsia" w:ascii="宋体" w:hAnsi="宋体" w:eastAsia="宋体" w:cs="宋体"/>
                <w:b/>
                <w:bCs/>
                <w:color w:val="000000"/>
                <w:kern w:val="0"/>
                <w:sz w:val="21"/>
                <w:highlight w:val="none"/>
              </w:rPr>
            </w:pPr>
            <w:r>
              <w:rPr>
                <w:rFonts w:hint="eastAsia" w:ascii="宋体" w:hAnsi="宋体" w:eastAsia="宋体" w:cs="宋体"/>
                <w:b/>
                <w:bCs/>
                <w:color w:val="000000"/>
                <w:kern w:val="0"/>
                <w:sz w:val="21"/>
                <w:highlight w:val="none"/>
              </w:rPr>
              <w:t>共享方式</w:t>
            </w:r>
          </w:p>
        </w:tc>
        <w:tc>
          <w:tcPr>
            <w:tcW w:w="430" w:type="pct"/>
            <w:shd w:val="clear" w:color="auto" w:fill="auto"/>
            <w:vAlign w:val="center"/>
          </w:tcPr>
          <w:p w14:paraId="0009C9D1">
            <w:pPr>
              <w:spacing w:line="240" w:lineRule="auto"/>
              <w:ind w:firstLine="0" w:firstLineChars="0"/>
              <w:jc w:val="center"/>
              <w:rPr>
                <w:rFonts w:hint="eastAsia" w:ascii="宋体" w:hAnsi="宋体" w:eastAsia="宋体" w:cs="宋体"/>
                <w:b/>
                <w:bCs/>
                <w:color w:val="000000"/>
                <w:kern w:val="0"/>
                <w:sz w:val="21"/>
                <w:highlight w:val="none"/>
              </w:rPr>
            </w:pPr>
            <w:r>
              <w:rPr>
                <w:rFonts w:hint="eastAsia" w:ascii="宋体" w:hAnsi="宋体" w:eastAsia="宋体" w:cs="宋体"/>
                <w:b/>
                <w:bCs/>
                <w:color w:val="000000"/>
                <w:kern w:val="0"/>
                <w:sz w:val="21"/>
                <w:highlight w:val="none"/>
              </w:rPr>
              <w:t>开放属性</w:t>
            </w:r>
          </w:p>
        </w:tc>
        <w:tc>
          <w:tcPr>
            <w:tcW w:w="555" w:type="pct"/>
            <w:shd w:val="clear" w:color="auto" w:fill="auto"/>
            <w:vAlign w:val="center"/>
          </w:tcPr>
          <w:p w14:paraId="12900B01">
            <w:pPr>
              <w:spacing w:line="240" w:lineRule="auto"/>
              <w:ind w:firstLine="0" w:firstLineChars="0"/>
              <w:jc w:val="center"/>
              <w:rPr>
                <w:rFonts w:hint="eastAsia" w:ascii="宋体" w:hAnsi="宋体" w:eastAsia="宋体" w:cs="宋体"/>
                <w:b/>
                <w:bCs/>
                <w:color w:val="000000"/>
                <w:kern w:val="0"/>
                <w:sz w:val="21"/>
                <w:highlight w:val="none"/>
              </w:rPr>
            </w:pPr>
            <w:r>
              <w:rPr>
                <w:rFonts w:hint="eastAsia" w:ascii="宋体" w:hAnsi="宋体" w:eastAsia="宋体" w:cs="宋体"/>
                <w:b/>
                <w:bCs/>
                <w:color w:val="000000"/>
                <w:kern w:val="0"/>
                <w:sz w:val="21"/>
                <w:highlight w:val="none"/>
              </w:rPr>
              <w:t>数据更新频度</w:t>
            </w:r>
          </w:p>
        </w:tc>
      </w:tr>
      <w:tr w14:paraId="5BCD8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78A71F86">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1</w:t>
            </w:r>
          </w:p>
        </w:tc>
        <w:tc>
          <w:tcPr>
            <w:tcW w:w="768" w:type="pct"/>
            <w:shd w:val="clear" w:color="000000" w:fill="FFFFFF"/>
            <w:vAlign w:val="center"/>
          </w:tcPr>
          <w:p w14:paraId="3E7149A5">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无人机SN</w:t>
            </w:r>
          </w:p>
        </w:tc>
        <w:tc>
          <w:tcPr>
            <w:tcW w:w="815" w:type="pct"/>
            <w:shd w:val="clear" w:color="000000" w:fill="FFFFFF"/>
            <w:vAlign w:val="center"/>
          </w:tcPr>
          <w:p w14:paraId="1B23236C">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sn</w:t>
            </w:r>
          </w:p>
        </w:tc>
        <w:tc>
          <w:tcPr>
            <w:tcW w:w="668" w:type="pct"/>
            <w:shd w:val="clear" w:color="000000" w:fill="FFFFFF"/>
            <w:vAlign w:val="center"/>
          </w:tcPr>
          <w:p w14:paraId="2E12AFF7">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string</w:t>
            </w:r>
          </w:p>
        </w:tc>
        <w:tc>
          <w:tcPr>
            <w:tcW w:w="757" w:type="pct"/>
            <w:shd w:val="clear" w:color="auto" w:fill="auto"/>
            <w:vAlign w:val="center"/>
          </w:tcPr>
          <w:p w14:paraId="1DF56662">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6A65744C">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512B7860">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0BB5E2E1">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1532B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7728D8E4">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2</w:t>
            </w:r>
          </w:p>
        </w:tc>
        <w:tc>
          <w:tcPr>
            <w:tcW w:w="768" w:type="pct"/>
            <w:shd w:val="clear" w:color="000000" w:fill="FFFFFF"/>
            <w:vAlign w:val="center"/>
          </w:tcPr>
          <w:p w14:paraId="7515917F">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无人机经度</w:t>
            </w:r>
          </w:p>
        </w:tc>
        <w:tc>
          <w:tcPr>
            <w:tcW w:w="815" w:type="pct"/>
            <w:shd w:val="clear" w:color="000000" w:fill="FFFFFF"/>
            <w:vAlign w:val="center"/>
          </w:tcPr>
          <w:p w14:paraId="577B99EA">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lng</w:t>
            </w:r>
          </w:p>
        </w:tc>
        <w:tc>
          <w:tcPr>
            <w:tcW w:w="668" w:type="pct"/>
            <w:shd w:val="clear" w:color="000000" w:fill="FFFFFF"/>
            <w:vAlign w:val="center"/>
          </w:tcPr>
          <w:p w14:paraId="3BCC8BB0">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double</w:t>
            </w:r>
          </w:p>
        </w:tc>
        <w:tc>
          <w:tcPr>
            <w:tcW w:w="757" w:type="pct"/>
            <w:shd w:val="clear" w:color="auto" w:fill="auto"/>
            <w:vAlign w:val="center"/>
          </w:tcPr>
          <w:p w14:paraId="3117A512">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73247DFA">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5A01C2E0">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109DEA50">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61452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55C4409F">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3</w:t>
            </w:r>
          </w:p>
        </w:tc>
        <w:tc>
          <w:tcPr>
            <w:tcW w:w="768" w:type="pct"/>
            <w:shd w:val="clear" w:color="000000" w:fill="FFFFFF"/>
            <w:vAlign w:val="center"/>
          </w:tcPr>
          <w:p w14:paraId="64EFFB76">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无人机纬度</w:t>
            </w:r>
          </w:p>
        </w:tc>
        <w:tc>
          <w:tcPr>
            <w:tcW w:w="815" w:type="pct"/>
            <w:shd w:val="clear" w:color="000000" w:fill="FFFFFF"/>
            <w:vAlign w:val="center"/>
          </w:tcPr>
          <w:p w14:paraId="658EC6B1">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lat</w:t>
            </w:r>
          </w:p>
        </w:tc>
        <w:tc>
          <w:tcPr>
            <w:tcW w:w="668" w:type="pct"/>
            <w:shd w:val="clear" w:color="000000" w:fill="FFFFFF"/>
            <w:vAlign w:val="center"/>
          </w:tcPr>
          <w:p w14:paraId="31695290">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double</w:t>
            </w:r>
          </w:p>
        </w:tc>
        <w:tc>
          <w:tcPr>
            <w:tcW w:w="757" w:type="pct"/>
            <w:shd w:val="clear" w:color="auto" w:fill="auto"/>
            <w:vAlign w:val="center"/>
          </w:tcPr>
          <w:p w14:paraId="3091251F">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4B49E2B0">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6C8A5E44">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134F38DD">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69B55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351AF29E">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4</w:t>
            </w:r>
          </w:p>
        </w:tc>
        <w:tc>
          <w:tcPr>
            <w:tcW w:w="768" w:type="pct"/>
            <w:shd w:val="clear" w:color="000000" w:fill="FFFFFF"/>
            <w:vAlign w:val="center"/>
          </w:tcPr>
          <w:p w14:paraId="65DA609A">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无人机高度</w:t>
            </w:r>
          </w:p>
        </w:tc>
        <w:tc>
          <w:tcPr>
            <w:tcW w:w="815" w:type="pct"/>
            <w:shd w:val="clear" w:color="000000" w:fill="FFFFFF"/>
            <w:vAlign w:val="center"/>
          </w:tcPr>
          <w:p w14:paraId="05B8DF8C">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alt</w:t>
            </w:r>
          </w:p>
        </w:tc>
        <w:tc>
          <w:tcPr>
            <w:tcW w:w="668" w:type="pct"/>
            <w:shd w:val="clear" w:color="000000" w:fill="FFFFFF"/>
            <w:vAlign w:val="center"/>
          </w:tcPr>
          <w:p w14:paraId="2064AB0B">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int</w:t>
            </w:r>
          </w:p>
        </w:tc>
        <w:tc>
          <w:tcPr>
            <w:tcW w:w="757" w:type="pct"/>
            <w:shd w:val="clear" w:color="auto" w:fill="auto"/>
            <w:vAlign w:val="center"/>
          </w:tcPr>
          <w:p w14:paraId="51028CC7">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69DF8894">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3F87913F">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4EDC04EA">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00C18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6C9D2CAB">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5</w:t>
            </w:r>
          </w:p>
        </w:tc>
        <w:tc>
          <w:tcPr>
            <w:tcW w:w="768" w:type="pct"/>
            <w:shd w:val="clear" w:color="000000" w:fill="FFFFFF"/>
            <w:vAlign w:val="center"/>
          </w:tcPr>
          <w:p w14:paraId="64C785EB">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无人机速度</w:t>
            </w:r>
          </w:p>
        </w:tc>
        <w:tc>
          <w:tcPr>
            <w:tcW w:w="815" w:type="pct"/>
            <w:shd w:val="clear" w:color="000000" w:fill="FFFFFF"/>
            <w:vAlign w:val="center"/>
          </w:tcPr>
          <w:p w14:paraId="5569747E">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spe</w:t>
            </w:r>
          </w:p>
        </w:tc>
        <w:tc>
          <w:tcPr>
            <w:tcW w:w="668" w:type="pct"/>
            <w:shd w:val="clear" w:color="000000" w:fill="FFFFFF"/>
            <w:vAlign w:val="center"/>
          </w:tcPr>
          <w:p w14:paraId="49A6E3BC">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double</w:t>
            </w:r>
          </w:p>
        </w:tc>
        <w:tc>
          <w:tcPr>
            <w:tcW w:w="757" w:type="pct"/>
            <w:shd w:val="clear" w:color="auto" w:fill="auto"/>
            <w:vAlign w:val="center"/>
          </w:tcPr>
          <w:p w14:paraId="227B7499">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7534C820">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04EE7CD3">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4C374E3E">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602E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1B1B20F7">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6</w:t>
            </w:r>
          </w:p>
        </w:tc>
        <w:tc>
          <w:tcPr>
            <w:tcW w:w="768" w:type="pct"/>
            <w:shd w:val="clear" w:color="000000" w:fill="FFFFFF"/>
            <w:vAlign w:val="center"/>
          </w:tcPr>
          <w:p w14:paraId="7ACC6F42">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无人机航向</w:t>
            </w:r>
          </w:p>
        </w:tc>
        <w:tc>
          <w:tcPr>
            <w:tcW w:w="815" w:type="pct"/>
            <w:shd w:val="clear" w:color="000000" w:fill="FFFFFF"/>
            <w:vAlign w:val="center"/>
          </w:tcPr>
          <w:p w14:paraId="0FD51FEB">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yaw</w:t>
            </w:r>
          </w:p>
        </w:tc>
        <w:tc>
          <w:tcPr>
            <w:tcW w:w="668" w:type="pct"/>
            <w:shd w:val="clear" w:color="000000" w:fill="FFFFFF"/>
            <w:vAlign w:val="center"/>
          </w:tcPr>
          <w:p w14:paraId="7E3629A6">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int</w:t>
            </w:r>
          </w:p>
        </w:tc>
        <w:tc>
          <w:tcPr>
            <w:tcW w:w="757" w:type="pct"/>
            <w:shd w:val="clear" w:color="auto" w:fill="auto"/>
            <w:vAlign w:val="center"/>
          </w:tcPr>
          <w:p w14:paraId="7EE8B6BE">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40B79787">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5E3CDD4C">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6002A2D8">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35985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661EC8BA">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7</w:t>
            </w:r>
          </w:p>
        </w:tc>
        <w:tc>
          <w:tcPr>
            <w:tcW w:w="768" w:type="pct"/>
            <w:shd w:val="clear" w:color="000000" w:fill="FFFFFF"/>
            <w:vAlign w:val="center"/>
          </w:tcPr>
          <w:p w14:paraId="460770B2">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无人机厂商</w:t>
            </w:r>
          </w:p>
        </w:tc>
        <w:tc>
          <w:tcPr>
            <w:tcW w:w="815" w:type="pct"/>
            <w:shd w:val="clear" w:color="000000" w:fill="FFFFFF"/>
            <w:vAlign w:val="center"/>
          </w:tcPr>
          <w:p w14:paraId="267B3070">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mch</w:t>
            </w:r>
          </w:p>
        </w:tc>
        <w:tc>
          <w:tcPr>
            <w:tcW w:w="668" w:type="pct"/>
            <w:shd w:val="clear" w:color="000000" w:fill="FFFFFF"/>
            <w:vAlign w:val="center"/>
          </w:tcPr>
          <w:p w14:paraId="5EFDEF02">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string</w:t>
            </w:r>
          </w:p>
        </w:tc>
        <w:tc>
          <w:tcPr>
            <w:tcW w:w="757" w:type="pct"/>
            <w:shd w:val="clear" w:color="auto" w:fill="auto"/>
            <w:vAlign w:val="center"/>
          </w:tcPr>
          <w:p w14:paraId="4EC71404">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4657B3B2">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2D959021">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5DC6FB02">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1B23E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3167BE38">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8</w:t>
            </w:r>
          </w:p>
        </w:tc>
        <w:tc>
          <w:tcPr>
            <w:tcW w:w="768" w:type="pct"/>
            <w:shd w:val="clear" w:color="000000" w:fill="FFFFFF"/>
            <w:vAlign w:val="center"/>
          </w:tcPr>
          <w:p w14:paraId="73F92DED">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无人机型号</w:t>
            </w:r>
          </w:p>
        </w:tc>
        <w:tc>
          <w:tcPr>
            <w:tcW w:w="815" w:type="pct"/>
            <w:shd w:val="clear" w:color="000000" w:fill="FFFFFF"/>
            <w:vAlign w:val="center"/>
          </w:tcPr>
          <w:p w14:paraId="3963D728">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model</w:t>
            </w:r>
          </w:p>
        </w:tc>
        <w:tc>
          <w:tcPr>
            <w:tcW w:w="668" w:type="pct"/>
            <w:shd w:val="clear" w:color="000000" w:fill="FFFFFF"/>
            <w:vAlign w:val="center"/>
          </w:tcPr>
          <w:p w14:paraId="4641EF53">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string</w:t>
            </w:r>
          </w:p>
        </w:tc>
        <w:tc>
          <w:tcPr>
            <w:tcW w:w="757" w:type="pct"/>
            <w:shd w:val="clear" w:color="auto" w:fill="auto"/>
            <w:vAlign w:val="center"/>
          </w:tcPr>
          <w:p w14:paraId="6A871C2A">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5C506F5E">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14CD4982">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2289CA55">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36B1A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4BFB742F">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9</w:t>
            </w:r>
          </w:p>
        </w:tc>
        <w:tc>
          <w:tcPr>
            <w:tcW w:w="768" w:type="pct"/>
            <w:shd w:val="clear" w:color="000000" w:fill="FFFFFF"/>
            <w:vAlign w:val="center"/>
          </w:tcPr>
          <w:p w14:paraId="08A4FB5B">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设备状态</w:t>
            </w:r>
          </w:p>
        </w:tc>
        <w:tc>
          <w:tcPr>
            <w:tcW w:w="815" w:type="pct"/>
            <w:shd w:val="clear" w:color="000000" w:fill="FFFFFF"/>
            <w:vAlign w:val="center"/>
          </w:tcPr>
          <w:p w14:paraId="3C4B8217">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devsts</w:t>
            </w:r>
          </w:p>
        </w:tc>
        <w:tc>
          <w:tcPr>
            <w:tcW w:w="668" w:type="pct"/>
            <w:shd w:val="clear" w:color="000000" w:fill="FFFFFF"/>
            <w:vAlign w:val="center"/>
          </w:tcPr>
          <w:p w14:paraId="37CA7064">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string</w:t>
            </w:r>
          </w:p>
        </w:tc>
        <w:tc>
          <w:tcPr>
            <w:tcW w:w="757" w:type="pct"/>
            <w:shd w:val="clear" w:color="auto" w:fill="auto"/>
            <w:vAlign w:val="center"/>
          </w:tcPr>
          <w:p w14:paraId="6C468378">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682E75F2">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596FBFB8">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2F1AEAE2">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271DA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599EF696">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10</w:t>
            </w:r>
          </w:p>
        </w:tc>
        <w:tc>
          <w:tcPr>
            <w:tcW w:w="768" w:type="pct"/>
            <w:shd w:val="clear" w:color="000000" w:fill="FFFFFF"/>
            <w:vAlign w:val="center"/>
          </w:tcPr>
          <w:p w14:paraId="4266BB9F">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位置经度</w:t>
            </w:r>
          </w:p>
        </w:tc>
        <w:tc>
          <w:tcPr>
            <w:tcW w:w="815" w:type="pct"/>
            <w:shd w:val="clear" w:color="000000" w:fill="FFFFFF"/>
            <w:vAlign w:val="center"/>
          </w:tcPr>
          <w:p w14:paraId="7A38A883">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lng</w:t>
            </w:r>
          </w:p>
        </w:tc>
        <w:tc>
          <w:tcPr>
            <w:tcW w:w="668" w:type="pct"/>
            <w:shd w:val="clear" w:color="000000" w:fill="FFFFFF"/>
            <w:vAlign w:val="center"/>
          </w:tcPr>
          <w:p w14:paraId="6AA59D0D">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double</w:t>
            </w:r>
          </w:p>
        </w:tc>
        <w:tc>
          <w:tcPr>
            <w:tcW w:w="757" w:type="pct"/>
            <w:shd w:val="clear" w:color="auto" w:fill="auto"/>
            <w:vAlign w:val="center"/>
          </w:tcPr>
          <w:p w14:paraId="6E86F87A">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4AF74AB8">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0BFA4BFD">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1C41E5E7">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02B5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370B35B8">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11</w:t>
            </w:r>
          </w:p>
        </w:tc>
        <w:tc>
          <w:tcPr>
            <w:tcW w:w="768" w:type="pct"/>
            <w:shd w:val="clear" w:color="000000" w:fill="FFFFFF"/>
            <w:vAlign w:val="center"/>
          </w:tcPr>
          <w:p w14:paraId="4418AB49">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位置纬度</w:t>
            </w:r>
          </w:p>
        </w:tc>
        <w:tc>
          <w:tcPr>
            <w:tcW w:w="815" w:type="pct"/>
            <w:shd w:val="clear" w:color="000000" w:fill="FFFFFF"/>
            <w:vAlign w:val="center"/>
          </w:tcPr>
          <w:p w14:paraId="016FE863">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lat</w:t>
            </w:r>
          </w:p>
        </w:tc>
        <w:tc>
          <w:tcPr>
            <w:tcW w:w="668" w:type="pct"/>
            <w:shd w:val="clear" w:color="000000" w:fill="FFFFFF"/>
            <w:vAlign w:val="center"/>
          </w:tcPr>
          <w:p w14:paraId="3D32E1C7">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double</w:t>
            </w:r>
          </w:p>
        </w:tc>
        <w:tc>
          <w:tcPr>
            <w:tcW w:w="757" w:type="pct"/>
            <w:shd w:val="clear" w:color="auto" w:fill="auto"/>
            <w:vAlign w:val="center"/>
          </w:tcPr>
          <w:p w14:paraId="640C5187">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47A0A33A">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78A2B338">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14C272AB">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1843F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117C6527">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12</w:t>
            </w:r>
          </w:p>
        </w:tc>
        <w:tc>
          <w:tcPr>
            <w:tcW w:w="768" w:type="pct"/>
            <w:shd w:val="clear" w:color="000000" w:fill="FFFFFF"/>
            <w:vAlign w:val="center"/>
          </w:tcPr>
          <w:p w14:paraId="6C414C61">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目标状态</w:t>
            </w:r>
          </w:p>
        </w:tc>
        <w:tc>
          <w:tcPr>
            <w:tcW w:w="815" w:type="pct"/>
            <w:shd w:val="clear" w:color="000000" w:fill="FFFFFF"/>
            <w:vAlign w:val="center"/>
          </w:tcPr>
          <w:p w14:paraId="201C1376">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tarsts</w:t>
            </w:r>
          </w:p>
        </w:tc>
        <w:tc>
          <w:tcPr>
            <w:tcW w:w="668" w:type="pct"/>
            <w:shd w:val="clear" w:color="000000" w:fill="FFFFFF"/>
            <w:vAlign w:val="center"/>
          </w:tcPr>
          <w:p w14:paraId="702350D5">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string</w:t>
            </w:r>
          </w:p>
        </w:tc>
        <w:tc>
          <w:tcPr>
            <w:tcW w:w="757" w:type="pct"/>
            <w:shd w:val="clear" w:color="auto" w:fill="auto"/>
            <w:vAlign w:val="center"/>
          </w:tcPr>
          <w:p w14:paraId="15E0F9B6">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72D8782E">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75877E55">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6A068C5F">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068F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038123AE">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13</w:t>
            </w:r>
          </w:p>
        </w:tc>
        <w:tc>
          <w:tcPr>
            <w:tcW w:w="768" w:type="pct"/>
            <w:shd w:val="clear" w:color="000000" w:fill="FFFFFF"/>
            <w:vAlign w:val="center"/>
          </w:tcPr>
          <w:p w14:paraId="0C42760C">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俯仰角</w:t>
            </w:r>
          </w:p>
        </w:tc>
        <w:tc>
          <w:tcPr>
            <w:tcW w:w="815" w:type="pct"/>
            <w:shd w:val="clear" w:color="000000" w:fill="FFFFFF"/>
            <w:vAlign w:val="center"/>
          </w:tcPr>
          <w:p w14:paraId="6CB767CC">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pit</w:t>
            </w:r>
          </w:p>
        </w:tc>
        <w:tc>
          <w:tcPr>
            <w:tcW w:w="668" w:type="pct"/>
            <w:shd w:val="clear" w:color="000000" w:fill="FFFFFF"/>
            <w:vAlign w:val="center"/>
          </w:tcPr>
          <w:p w14:paraId="5315FB36">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int</w:t>
            </w:r>
          </w:p>
        </w:tc>
        <w:tc>
          <w:tcPr>
            <w:tcW w:w="757" w:type="pct"/>
            <w:shd w:val="clear" w:color="auto" w:fill="auto"/>
            <w:vAlign w:val="center"/>
          </w:tcPr>
          <w:p w14:paraId="0D533B6F">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4D1BCB9E">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3E5F5260">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69E80EE1">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09B2A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537B03A4">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14</w:t>
            </w:r>
          </w:p>
        </w:tc>
        <w:tc>
          <w:tcPr>
            <w:tcW w:w="768" w:type="pct"/>
            <w:shd w:val="clear" w:color="000000" w:fill="FFFFFF"/>
            <w:vAlign w:val="center"/>
          </w:tcPr>
          <w:p w14:paraId="31477B47">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方位角</w:t>
            </w:r>
          </w:p>
        </w:tc>
        <w:tc>
          <w:tcPr>
            <w:tcW w:w="815" w:type="pct"/>
            <w:shd w:val="clear" w:color="000000" w:fill="FFFFFF"/>
            <w:vAlign w:val="center"/>
          </w:tcPr>
          <w:p w14:paraId="1E511E53">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azi</w:t>
            </w:r>
          </w:p>
        </w:tc>
        <w:tc>
          <w:tcPr>
            <w:tcW w:w="668" w:type="pct"/>
            <w:shd w:val="clear" w:color="000000" w:fill="FFFFFF"/>
            <w:vAlign w:val="center"/>
          </w:tcPr>
          <w:p w14:paraId="29050D3A">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int</w:t>
            </w:r>
          </w:p>
        </w:tc>
        <w:tc>
          <w:tcPr>
            <w:tcW w:w="757" w:type="pct"/>
            <w:shd w:val="clear" w:color="auto" w:fill="auto"/>
            <w:vAlign w:val="center"/>
          </w:tcPr>
          <w:p w14:paraId="41D930F4">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4437D409">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2CCE3D7B">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7F1953D9">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r w14:paraId="2C176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376" w:type="pct"/>
            <w:shd w:val="clear" w:color="auto" w:fill="auto"/>
            <w:vAlign w:val="center"/>
          </w:tcPr>
          <w:p w14:paraId="25ACD089">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15</w:t>
            </w:r>
          </w:p>
        </w:tc>
        <w:tc>
          <w:tcPr>
            <w:tcW w:w="768" w:type="pct"/>
            <w:shd w:val="clear" w:color="000000" w:fill="FFFFFF"/>
            <w:vAlign w:val="center"/>
          </w:tcPr>
          <w:p w14:paraId="71C8D2A9">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设备运行模式</w:t>
            </w:r>
          </w:p>
        </w:tc>
        <w:tc>
          <w:tcPr>
            <w:tcW w:w="815" w:type="pct"/>
            <w:shd w:val="clear" w:color="000000" w:fill="FFFFFF"/>
            <w:vAlign w:val="center"/>
          </w:tcPr>
          <w:p w14:paraId="404694C1">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mode</w:t>
            </w:r>
          </w:p>
        </w:tc>
        <w:tc>
          <w:tcPr>
            <w:tcW w:w="668" w:type="pct"/>
            <w:shd w:val="clear" w:color="000000" w:fill="FFFFFF"/>
            <w:vAlign w:val="center"/>
          </w:tcPr>
          <w:p w14:paraId="6EC59796">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string</w:t>
            </w:r>
          </w:p>
        </w:tc>
        <w:tc>
          <w:tcPr>
            <w:tcW w:w="757" w:type="pct"/>
            <w:shd w:val="clear" w:color="auto" w:fill="auto"/>
            <w:vAlign w:val="center"/>
          </w:tcPr>
          <w:p w14:paraId="2D554FC7">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有条件共享</w:t>
            </w:r>
          </w:p>
        </w:tc>
        <w:tc>
          <w:tcPr>
            <w:tcW w:w="627" w:type="pct"/>
            <w:shd w:val="clear" w:color="auto" w:fill="auto"/>
            <w:vAlign w:val="center"/>
          </w:tcPr>
          <w:p w14:paraId="3CE2498E">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数据接口</w:t>
            </w:r>
          </w:p>
        </w:tc>
        <w:tc>
          <w:tcPr>
            <w:tcW w:w="430" w:type="pct"/>
            <w:shd w:val="clear" w:color="auto" w:fill="auto"/>
            <w:vAlign w:val="center"/>
          </w:tcPr>
          <w:p w14:paraId="502C9245">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否</w:t>
            </w:r>
          </w:p>
        </w:tc>
        <w:tc>
          <w:tcPr>
            <w:tcW w:w="555" w:type="pct"/>
            <w:shd w:val="clear" w:color="auto" w:fill="auto"/>
            <w:vAlign w:val="center"/>
          </w:tcPr>
          <w:p w14:paraId="58F4380F">
            <w:pPr>
              <w:spacing w:line="240" w:lineRule="auto"/>
              <w:ind w:firstLine="0" w:firstLineChars="0"/>
              <w:jc w:val="center"/>
              <w:rPr>
                <w:rFonts w:hint="eastAsia" w:ascii="宋体" w:hAnsi="宋体" w:eastAsia="宋体" w:cs="宋体"/>
                <w:color w:val="000000"/>
                <w:kern w:val="0"/>
                <w:sz w:val="21"/>
                <w:highlight w:val="none"/>
              </w:rPr>
            </w:pPr>
            <w:r>
              <w:rPr>
                <w:rFonts w:hint="eastAsia" w:ascii="宋体" w:hAnsi="宋体" w:eastAsia="宋体" w:cs="宋体"/>
                <w:color w:val="000000"/>
                <w:kern w:val="0"/>
                <w:sz w:val="21"/>
                <w:highlight w:val="none"/>
              </w:rPr>
              <w:t>实时</w:t>
            </w:r>
          </w:p>
        </w:tc>
      </w:tr>
    </w:tbl>
    <w:p w14:paraId="19B85D30">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系统部署</w:t>
      </w:r>
    </w:p>
    <w:p w14:paraId="50DBBA6D">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175" w:name="_Toc170241218"/>
      <w:r>
        <w:rPr>
          <w:rFonts w:hint="eastAsia"/>
          <w:highlight w:val="none"/>
        </w:rPr>
        <w:t>所需部署的设备</w:t>
      </w:r>
      <w:bookmarkEnd w:id="175"/>
    </w:p>
    <w:p w14:paraId="188BC616">
      <w:pPr>
        <w:pageBreakBefore w:val="0"/>
        <w:widowControl w:val="0"/>
        <w:numPr>
          <w:ilvl w:val="0"/>
          <w:numId w:val="17"/>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PC用户终端2台，部署在机场公安指定办公场所；</w:t>
      </w:r>
    </w:p>
    <w:p w14:paraId="453AEF57">
      <w:pPr>
        <w:pageBreakBefore w:val="0"/>
        <w:widowControl w:val="0"/>
        <w:numPr>
          <w:ilvl w:val="0"/>
          <w:numId w:val="17"/>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无人机侦测设备6套，部署在机场及周边，详情见后文；</w:t>
      </w:r>
    </w:p>
    <w:p w14:paraId="00FCC309">
      <w:pPr>
        <w:pageBreakBefore w:val="0"/>
        <w:widowControl w:val="0"/>
        <w:numPr>
          <w:ilvl w:val="0"/>
          <w:numId w:val="17"/>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无人机防护系统1套，部署在市政府云服务器上。</w:t>
      </w:r>
    </w:p>
    <w:p w14:paraId="7BD2EF5B">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176" w:name="_Toc170241219"/>
      <w:r>
        <w:rPr>
          <w:rFonts w:hint="eastAsia"/>
          <w:highlight w:val="none"/>
        </w:rPr>
        <w:t>侦测设备部署选址条件</w:t>
      </w:r>
      <w:bookmarkEnd w:id="176"/>
    </w:p>
    <w:p w14:paraId="6635740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无人机侦测设备部署选址主要考虑以下4点因素：</w:t>
      </w:r>
    </w:p>
    <w:p w14:paraId="2BB08982">
      <w:pPr>
        <w:pageBreakBefore w:val="0"/>
        <w:widowControl w:val="0"/>
        <w:numPr>
          <w:ilvl w:val="0"/>
          <w:numId w:val="18"/>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无人机侦测设备需要1m</w:t>
      </w:r>
      <w:r>
        <w:rPr>
          <w:rFonts w:hint="eastAsia" w:ascii="宋体" w:hAnsi="宋体" w:eastAsia="宋体" w:cs="宋体"/>
          <w:highlight w:val="none"/>
          <w:vertAlign w:val="superscript"/>
        </w:rPr>
        <w:t>3</w:t>
      </w:r>
      <w:r>
        <w:rPr>
          <w:rFonts w:hint="eastAsia" w:ascii="宋体" w:hAnsi="宋体" w:eastAsia="宋体" w:cs="宋体"/>
          <w:highlight w:val="none"/>
        </w:rPr>
        <w:t>的架设空间，便于引接外部市电和网络环境，且由于是依靠无线电侦测，需要考虑周围环境的遮挡，应部署在楼顶或相对开阔地域。</w:t>
      </w:r>
    </w:p>
    <w:p w14:paraId="2E9801B7">
      <w:pPr>
        <w:pageBreakBefore w:val="0"/>
        <w:widowControl w:val="0"/>
        <w:numPr>
          <w:ilvl w:val="0"/>
          <w:numId w:val="18"/>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无人机侦测设备本身存在信号范围盲区，太近或太远侦测效果会减弱，建议设备与设备之间能形成相互覆盖，设备间隔距离控制在0.5km～3km范围内。</w:t>
      </w:r>
    </w:p>
    <w:p w14:paraId="188699E2">
      <w:pPr>
        <w:pageBreakBefore w:val="0"/>
        <w:widowControl w:val="0"/>
        <w:numPr>
          <w:ilvl w:val="0"/>
          <w:numId w:val="18"/>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设备部署地点应充分考虑用户单位便于协调范围内。本项目主要涉及用户为机场民航和机场公安，因此，部署地点宜选择在机场东侧（民航区域）、新航站楼区域、机场公安分局、公安派出所等地。</w:t>
      </w:r>
    </w:p>
    <w:p w14:paraId="7ECA22C1">
      <w:pPr>
        <w:pageBreakBefore w:val="0"/>
        <w:widowControl w:val="0"/>
        <w:numPr>
          <w:ilvl w:val="0"/>
          <w:numId w:val="18"/>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基于前3点条件基础上，设备部署的侦测能力覆盖应优先考虑机场飞行区侦测覆盖，进而考虑机场两端起降航线区域，即南北两端。</w:t>
      </w:r>
    </w:p>
    <w:p w14:paraId="2BA43409">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177" w:name="_Toc170241220"/>
      <w:r>
        <w:rPr>
          <w:rFonts w:hint="eastAsia"/>
          <w:highlight w:val="none"/>
        </w:rPr>
        <w:t>拟部署地点</w:t>
      </w:r>
      <w:bookmarkEnd w:id="177"/>
    </w:p>
    <w:p w14:paraId="556D02B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台州机场是军民合用机场，周边地势开阔，跑道为南北走向，新机场在跑道东北侧。拟在新机场公安大楼楼顶部署1台侦测设备，可以有效覆盖全机场周边3公里。在北侧下陈派出所、西北侧洪家派出所、南侧新桥派出所、横街派出所，西侧路南派出所各部署1台侦测设备，可以有效加强飞行起落航线的覆盖范围。</w:t>
      </w:r>
    </w:p>
    <w:p w14:paraId="520E820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无人机侦测设备采集的数据信息，通过网络传输至新航站楼公安大楼的指挥中心。</w:t>
      </w:r>
    </w:p>
    <w:p w14:paraId="119EDB9A">
      <w:pPr>
        <w:pStyle w:val="65"/>
        <w:rPr>
          <w:rFonts w:hint="eastAsia" w:ascii="宋体" w:hAnsi="宋体" w:eastAsia="宋体" w:cs="宋体"/>
          <w:highlight w:val="none"/>
        </w:rPr>
      </w:pPr>
      <w:r>
        <w:rPr>
          <w:rFonts w:hint="eastAsia" w:ascii="宋体" w:hAnsi="宋体" w:eastAsia="宋体" w:cs="宋体"/>
          <w:highlight w:val="none"/>
        </w:rPr>
        <w:t>配套硬件清单</w:t>
      </w:r>
    </w:p>
    <w:tbl>
      <w:tblPr>
        <w:tblStyle w:val="3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701"/>
        <w:gridCol w:w="709"/>
        <w:gridCol w:w="2693"/>
        <w:gridCol w:w="1276"/>
        <w:gridCol w:w="1213"/>
      </w:tblGrid>
      <w:tr w14:paraId="0E0C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04" w:type="dxa"/>
            <w:vAlign w:val="center"/>
          </w:tcPr>
          <w:p w14:paraId="165B57FF">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序号</w:t>
            </w:r>
          </w:p>
        </w:tc>
        <w:tc>
          <w:tcPr>
            <w:tcW w:w="1701" w:type="dxa"/>
            <w:vAlign w:val="center"/>
          </w:tcPr>
          <w:p w14:paraId="494B9C31">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设备名称</w:t>
            </w:r>
          </w:p>
        </w:tc>
        <w:tc>
          <w:tcPr>
            <w:tcW w:w="709" w:type="dxa"/>
            <w:vAlign w:val="center"/>
          </w:tcPr>
          <w:p w14:paraId="74B3D35F">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数量</w:t>
            </w:r>
          </w:p>
        </w:tc>
        <w:tc>
          <w:tcPr>
            <w:tcW w:w="2693" w:type="dxa"/>
            <w:vAlign w:val="center"/>
          </w:tcPr>
          <w:p w14:paraId="31C0DFF8">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安装位置</w:t>
            </w:r>
          </w:p>
        </w:tc>
        <w:tc>
          <w:tcPr>
            <w:tcW w:w="1276" w:type="dxa"/>
            <w:vAlign w:val="center"/>
          </w:tcPr>
          <w:p w14:paraId="4F5CFBB1">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供电来源</w:t>
            </w:r>
          </w:p>
        </w:tc>
        <w:tc>
          <w:tcPr>
            <w:tcW w:w="1213" w:type="dxa"/>
            <w:vAlign w:val="center"/>
          </w:tcPr>
          <w:p w14:paraId="3D30A3E5">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通信来源</w:t>
            </w:r>
          </w:p>
        </w:tc>
      </w:tr>
      <w:tr w14:paraId="5E698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0CAF17DB">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1</w:t>
            </w:r>
          </w:p>
        </w:tc>
        <w:tc>
          <w:tcPr>
            <w:tcW w:w="1701" w:type="dxa"/>
            <w:vMerge w:val="restart"/>
            <w:vAlign w:val="center"/>
          </w:tcPr>
          <w:p w14:paraId="3432EF78">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kern w:val="0"/>
                <w:sz w:val="21"/>
                <w:highlight w:val="none"/>
              </w:rPr>
              <w:t>无人机侦测设备</w:t>
            </w:r>
          </w:p>
        </w:tc>
        <w:tc>
          <w:tcPr>
            <w:tcW w:w="709" w:type="dxa"/>
            <w:vAlign w:val="center"/>
          </w:tcPr>
          <w:p w14:paraId="2119B04D">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1</w:t>
            </w:r>
          </w:p>
        </w:tc>
        <w:tc>
          <w:tcPr>
            <w:tcW w:w="2693" w:type="dxa"/>
            <w:vAlign w:val="center"/>
          </w:tcPr>
          <w:p w14:paraId="718D4E6A">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kern w:val="0"/>
                <w:sz w:val="21"/>
                <w:highlight w:val="none"/>
              </w:rPr>
              <w:t>新航站楼公安大楼楼顶</w:t>
            </w:r>
          </w:p>
        </w:tc>
        <w:tc>
          <w:tcPr>
            <w:tcW w:w="1276" w:type="dxa"/>
            <w:vAlign w:val="center"/>
          </w:tcPr>
          <w:p w14:paraId="55062D8B">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公安</w:t>
            </w:r>
          </w:p>
        </w:tc>
        <w:tc>
          <w:tcPr>
            <w:tcW w:w="1213" w:type="dxa"/>
            <w:vAlign w:val="center"/>
          </w:tcPr>
          <w:p w14:paraId="690E2335">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公安</w:t>
            </w:r>
          </w:p>
        </w:tc>
      </w:tr>
      <w:tr w14:paraId="33F4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12BEACBA">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2</w:t>
            </w:r>
          </w:p>
        </w:tc>
        <w:tc>
          <w:tcPr>
            <w:tcW w:w="1701" w:type="dxa"/>
            <w:vMerge w:val="continue"/>
            <w:vAlign w:val="center"/>
          </w:tcPr>
          <w:p w14:paraId="37F51BB6">
            <w:pPr>
              <w:overflowPunct w:val="0"/>
              <w:adjustRightInd w:val="0"/>
              <w:ind w:firstLine="0" w:firstLineChars="0"/>
              <w:jc w:val="center"/>
              <w:rPr>
                <w:rFonts w:hint="eastAsia" w:ascii="宋体" w:hAnsi="宋体" w:eastAsia="宋体" w:cs="宋体"/>
                <w:bCs/>
                <w:kern w:val="0"/>
                <w:sz w:val="21"/>
                <w:highlight w:val="none"/>
              </w:rPr>
            </w:pPr>
          </w:p>
        </w:tc>
        <w:tc>
          <w:tcPr>
            <w:tcW w:w="709" w:type="dxa"/>
            <w:vAlign w:val="center"/>
          </w:tcPr>
          <w:p w14:paraId="5134DB2D">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1</w:t>
            </w:r>
          </w:p>
        </w:tc>
        <w:tc>
          <w:tcPr>
            <w:tcW w:w="2693" w:type="dxa"/>
            <w:vAlign w:val="center"/>
          </w:tcPr>
          <w:p w14:paraId="73C920D1">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kern w:val="0"/>
                <w:sz w:val="21"/>
                <w:highlight w:val="none"/>
              </w:rPr>
              <w:t>下陈派出所</w:t>
            </w:r>
          </w:p>
        </w:tc>
        <w:tc>
          <w:tcPr>
            <w:tcW w:w="1276" w:type="dxa"/>
            <w:vAlign w:val="center"/>
          </w:tcPr>
          <w:p w14:paraId="05FCD91B">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公安</w:t>
            </w:r>
          </w:p>
        </w:tc>
        <w:tc>
          <w:tcPr>
            <w:tcW w:w="1213" w:type="dxa"/>
            <w:vAlign w:val="center"/>
          </w:tcPr>
          <w:p w14:paraId="502198EE">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公安</w:t>
            </w:r>
          </w:p>
        </w:tc>
      </w:tr>
      <w:tr w14:paraId="73274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F308469">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3</w:t>
            </w:r>
          </w:p>
        </w:tc>
        <w:tc>
          <w:tcPr>
            <w:tcW w:w="1701" w:type="dxa"/>
            <w:vMerge w:val="continue"/>
            <w:vAlign w:val="center"/>
          </w:tcPr>
          <w:p w14:paraId="1354959A">
            <w:pPr>
              <w:overflowPunct w:val="0"/>
              <w:adjustRightInd w:val="0"/>
              <w:ind w:firstLine="0" w:firstLineChars="0"/>
              <w:jc w:val="center"/>
              <w:rPr>
                <w:rFonts w:hint="eastAsia" w:ascii="宋体" w:hAnsi="宋体" w:eastAsia="宋体" w:cs="宋体"/>
                <w:bCs/>
                <w:kern w:val="0"/>
                <w:sz w:val="21"/>
                <w:highlight w:val="none"/>
              </w:rPr>
            </w:pPr>
          </w:p>
        </w:tc>
        <w:tc>
          <w:tcPr>
            <w:tcW w:w="709" w:type="dxa"/>
            <w:vAlign w:val="center"/>
          </w:tcPr>
          <w:p w14:paraId="2EFBE62D">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1</w:t>
            </w:r>
          </w:p>
        </w:tc>
        <w:tc>
          <w:tcPr>
            <w:tcW w:w="2693" w:type="dxa"/>
            <w:vAlign w:val="center"/>
          </w:tcPr>
          <w:p w14:paraId="10BA0CCA">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kern w:val="0"/>
                <w:sz w:val="21"/>
                <w:highlight w:val="none"/>
              </w:rPr>
              <w:t>新桥派出所</w:t>
            </w:r>
          </w:p>
        </w:tc>
        <w:tc>
          <w:tcPr>
            <w:tcW w:w="1276" w:type="dxa"/>
            <w:vAlign w:val="center"/>
          </w:tcPr>
          <w:p w14:paraId="4C895CF3">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公安</w:t>
            </w:r>
          </w:p>
        </w:tc>
        <w:tc>
          <w:tcPr>
            <w:tcW w:w="1213" w:type="dxa"/>
            <w:vAlign w:val="center"/>
          </w:tcPr>
          <w:p w14:paraId="4CBFBFA0">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公安</w:t>
            </w:r>
          </w:p>
        </w:tc>
      </w:tr>
      <w:tr w14:paraId="7EBD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4AD99CC">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4</w:t>
            </w:r>
          </w:p>
        </w:tc>
        <w:tc>
          <w:tcPr>
            <w:tcW w:w="1701" w:type="dxa"/>
            <w:vMerge w:val="continue"/>
            <w:vAlign w:val="center"/>
          </w:tcPr>
          <w:p w14:paraId="52F1F628">
            <w:pPr>
              <w:overflowPunct w:val="0"/>
              <w:adjustRightInd w:val="0"/>
              <w:ind w:firstLine="0" w:firstLineChars="0"/>
              <w:jc w:val="center"/>
              <w:rPr>
                <w:rFonts w:hint="eastAsia" w:ascii="宋体" w:hAnsi="宋体" w:eastAsia="宋体" w:cs="宋体"/>
                <w:bCs/>
                <w:kern w:val="0"/>
                <w:sz w:val="21"/>
                <w:highlight w:val="none"/>
              </w:rPr>
            </w:pPr>
          </w:p>
        </w:tc>
        <w:tc>
          <w:tcPr>
            <w:tcW w:w="709" w:type="dxa"/>
            <w:vAlign w:val="center"/>
          </w:tcPr>
          <w:p w14:paraId="277D4E93">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1</w:t>
            </w:r>
          </w:p>
        </w:tc>
        <w:tc>
          <w:tcPr>
            <w:tcW w:w="2693" w:type="dxa"/>
            <w:vAlign w:val="center"/>
          </w:tcPr>
          <w:p w14:paraId="0D3C226A">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kern w:val="0"/>
                <w:sz w:val="21"/>
                <w:highlight w:val="none"/>
              </w:rPr>
              <w:t>横街派出所</w:t>
            </w:r>
          </w:p>
        </w:tc>
        <w:tc>
          <w:tcPr>
            <w:tcW w:w="1276" w:type="dxa"/>
            <w:vAlign w:val="center"/>
          </w:tcPr>
          <w:p w14:paraId="5700FB26">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公安</w:t>
            </w:r>
          </w:p>
        </w:tc>
        <w:tc>
          <w:tcPr>
            <w:tcW w:w="1213" w:type="dxa"/>
            <w:vAlign w:val="center"/>
          </w:tcPr>
          <w:p w14:paraId="5BAFB4F3">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公安</w:t>
            </w:r>
          </w:p>
        </w:tc>
      </w:tr>
      <w:tr w14:paraId="06AD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CCD79BC">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5</w:t>
            </w:r>
          </w:p>
        </w:tc>
        <w:tc>
          <w:tcPr>
            <w:tcW w:w="1701" w:type="dxa"/>
            <w:vMerge w:val="continue"/>
            <w:vAlign w:val="center"/>
          </w:tcPr>
          <w:p w14:paraId="01C3F97E">
            <w:pPr>
              <w:overflowPunct w:val="0"/>
              <w:adjustRightInd w:val="0"/>
              <w:ind w:firstLine="0" w:firstLineChars="0"/>
              <w:jc w:val="center"/>
              <w:rPr>
                <w:rFonts w:hint="eastAsia" w:ascii="宋体" w:hAnsi="宋体" w:eastAsia="宋体" w:cs="宋体"/>
                <w:bCs/>
                <w:kern w:val="0"/>
                <w:sz w:val="21"/>
                <w:highlight w:val="none"/>
              </w:rPr>
            </w:pPr>
          </w:p>
        </w:tc>
        <w:tc>
          <w:tcPr>
            <w:tcW w:w="709" w:type="dxa"/>
            <w:vAlign w:val="center"/>
          </w:tcPr>
          <w:p w14:paraId="5647023B">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1</w:t>
            </w:r>
          </w:p>
        </w:tc>
        <w:tc>
          <w:tcPr>
            <w:tcW w:w="2693" w:type="dxa"/>
            <w:vAlign w:val="center"/>
          </w:tcPr>
          <w:p w14:paraId="7D2D78C2">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洪家派出所</w:t>
            </w:r>
          </w:p>
        </w:tc>
        <w:tc>
          <w:tcPr>
            <w:tcW w:w="1276" w:type="dxa"/>
            <w:vAlign w:val="center"/>
          </w:tcPr>
          <w:p w14:paraId="547EADD3">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公安</w:t>
            </w:r>
          </w:p>
        </w:tc>
        <w:tc>
          <w:tcPr>
            <w:tcW w:w="1213" w:type="dxa"/>
            <w:vAlign w:val="center"/>
          </w:tcPr>
          <w:p w14:paraId="1ADF6187">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公安</w:t>
            </w:r>
          </w:p>
        </w:tc>
      </w:tr>
      <w:tr w14:paraId="35B56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40341368">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6</w:t>
            </w:r>
          </w:p>
        </w:tc>
        <w:tc>
          <w:tcPr>
            <w:tcW w:w="1701" w:type="dxa"/>
            <w:vMerge w:val="continue"/>
            <w:vAlign w:val="center"/>
          </w:tcPr>
          <w:p w14:paraId="28D94E74">
            <w:pPr>
              <w:overflowPunct w:val="0"/>
              <w:adjustRightInd w:val="0"/>
              <w:ind w:firstLine="0" w:firstLineChars="0"/>
              <w:jc w:val="center"/>
              <w:rPr>
                <w:rFonts w:hint="eastAsia" w:ascii="宋体" w:hAnsi="宋体" w:eastAsia="宋体" w:cs="宋体"/>
                <w:bCs/>
                <w:kern w:val="0"/>
                <w:sz w:val="21"/>
                <w:highlight w:val="none"/>
              </w:rPr>
            </w:pPr>
          </w:p>
        </w:tc>
        <w:tc>
          <w:tcPr>
            <w:tcW w:w="709" w:type="dxa"/>
            <w:vAlign w:val="center"/>
          </w:tcPr>
          <w:p w14:paraId="33A39188">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1</w:t>
            </w:r>
          </w:p>
        </w:tc>
        <w:tc>
          <w:tcPr>
            <w:tcW w:w="2693" w:type="dxa"/>
            <w:vAlign w:val="center"/>
          </w:tcPr>
          <w:p w14:paraId="2512DCA2">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路南派出所</w:t>
            </w:r>
          </w:p>
        </w:tc>
        <w:tc>
          <w:tcPr>
            <w:tcW w:w="1276" w:type="dxa"/>
            <w:vAlign w:val="center"/>
          </w:tcPr>
          <w:p w14:paraId="5FA6FE9A">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公安</w:t>
            </w:r>
          </w:p>
        </w:tc>
        <w:tc>
          <w:tcPr>
            <w:tcW w:w="1213" w:type="dxa"/>
            <w:vAlign w:val="center"/>
          </w:tcPr>
          <w:p w14:paraId="24824C4A">
            <w:pPr>
              <w:overflowPunct w:val="0"/>
              <w:adjustRightInd w:val="0"/>
              <w:ind w:firstLine="0" w:firstLineChars="0"/>
              <w:jc w:val="center"/>
              <w:rPr>
                <w:rFonts w:hint="eastAsia" w:ascii="宋体" w:hAnsi="宋体" w:eastAsia="宋体" w:cs="宋体"/>
                <w:bCs/>
                <w:kern w:val="0"/>
                <w:sz w:val="21"/>
                <w:highlight w:val="none"/>
              </w:rPr>
            </w:pPr>
            <w:r>
              <w:rPr>
                <w:rFonts w:hint="eastAsia" w:ascii="宋体" w:hAnsi="宋体" w:eastAsia="宋体" w:cs="宋体"/>
                <w:bCs/>
                <w:kern w:val="0"/>
                <w:sz w:val="21"/>
                <w:highlight w:val="none"/>
              </w:rPr>
              <w:t>公安</w:t>
            </w:r>
          </w:p>
        </w:tc>
      </w:tr>
    </w:tbl>
    <w:p w14:paraId="0C32DCF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在台州机场及周边派出所部署6套无人机频谱侦测定位设备，部署位置示意图如下：</w:t>
      </w:r>
    </w:p>
    <w:p w14:paraId="1652B8D5">
      <w:pPr>
        <w:pStyle w:val="12"/>
        <w:ind w:firstLine="400"/>
        <w:jc w:val="center"/>
        <w:rPr>
          <w:rFonts w:hint="eastAsia" w:ascii="宋体" w:hAnsi="宋体" w:eastAsia="宋体" w:cs="宋体"/>
          <w:highlight w:val="none"/>
        </w:rPr>
      </w:pPr>
      <w:r>
        <w:rPr>
          <w:rFonts w:hint="eastAsia" w:ascii="宋体" w:hAnsi="宋体" w:eastAsia="宋体" w:cs="宋体"/>
          <w:highlight w:val="none"/>
        </w:rPr>
        <w:drawing>
          <wp:inline distT="0" distB="0" distL="0" distR="0">
            <wp:extent cx="4060190" cy="4738370"/>
            <wp:effectExtent l="0" t="0" r="8890" b="1270"/>
            <wp:docPr id="18568148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14853"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60190" cy="4738370"/>
                    </a:xfrm>
                    <a:prstGeom prst="rect">
                      <a:avLst/>
                    </a:prstGeom>
                    <a:noFill/>
                    <a:ln>
                      <a:noFill/>
                    </a:ln>
                  </pic:spPr>
                </pic:pic>
              </a:graphicData>
            </a:graphic>
          </wp:inline>
        </w:drawing>
      </w:r>
    </w:p>
    <w:p w14:paraId="7E898E74">
      <w:pPr>
        <w:pStyle w:val="63"/>
        <w:numPr>
          <w:ilvl w:val="7"/>
          <w:numId w:val="7"/>
        </w:numPr>
        <w:rPr>
          <w:rFonts w:hint="eastAsia" w:ascii="宋体" w:hAnsi="宋体" w:eastAsia="宋体" w:cs="宋体"/>
          <w:highlight w:val="none"/>
        </w:rPr>
      </w:pPr>
      <w:r>
        <w:rPr>
          <w:rFonts w:hint="eastAsia" w:ascii="宋体" w:hAnsi="宋体" w:eastAsia="宋体" w:cs="宋体"/>
          <w:highlight w:val="none"/>
        </w:rPr>
        <w:t>侦测设备部署位置示意图</w:t>
      </w:r>
    </w:p>
    <w:p w14:paraId="7E2AF87D">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178" w:name="_Toc170241221"/>
      <w:r>
        <w:rPr>
          <w:rFonts w:hint="eastAsia"/>
          <w:highlight w:val="none"/>
        </w:rPr>
        <w:t>部署场地环境要求</w:t>
      </w:r>
      <w:bookmarkEnd w:id="178"/>
    </w:p>
    <w:p w14:paraId="518BD97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本项目实施是依托机场和公安部门已有场地，包括供电和网络保障，不进行项目计费。</w:t>
      </w:r>
    </w:p>
    <w:p w14:paraId="7D2235B1">
      <w:pPr>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highlight w:val="none"/>
        </w:rPr>
      </w:pPr>
      <w:r>
        <w:rPr>
          <w:rFonts w:hint="eastAsia" w:ascii="宋体" w:hAnsi="宋体" w:eastAsia="宋体" w:cs="宋体"/>
          <w:highlight w:val="none"/>
        </w:rPr>
        <w:t>无人机侦测设备需要1m</w:t>
      </w:r>
      <w:r>
        <w:rPr>
          <w:rFonts w:hint="eastAsia" w:ascii="宋体" w:hAnsi="宋体" w:eastAsia="宋体" w:cs="宋体"/>
          <w:highlight w:val="none"/>
          <w:vertAlign w:val="superscript"/>
        </w:rPr>
        <w:t>3</w:t>
      </w:r>
      <w:r>
        <w:rPr>
          <w:rFonts w:hint="eastAsia" w:ascii="宋体" w:hAnsi="宋体" w:eastAsia="宋体" w:cs="宋体"/>
          <w:highlight w:val="none"/>
        </w:rPr>
        <w:t>的架设空间，</w:t>
      </w:r>
      <w:r>
        <w:rPr>
          <w:rFonts w:hint="eastAsia" w:ascii="宋体" w:hAnsi="宋体" w:eastAsia="宋体" w:cs="宋体"/>
          <w:color w:val="000000" w:themeColor="text1"/>
          <w:highlight w:val="none"/>
          <w14:textFill>
            <w14:solidFill>
              <w14:schemeClr w14:val="tx1"/>
            </w14:solidFill>
          </w14:textFill>
        </w:rPr>
        <w:t>在用户指定的地点部署安装与集成调试侦测设备，为设备引接220V标准电源和网络线缆，对设备进行参数设置、调试和测试。</w:t>
      </w:r>
      <w:bookmarkEnd w:id="145"/>
    </w:p>
    <w:p w14:paraId="2472BF7D">
      <w:pPr>
        <w:pStyle w:val="4"/>
        <w:bidi w:val="0"/>
        <w:rPr>
          <w:rFonts w:hint="eastAsia"/>
          <w:highlight w:val="none"/>
        </w:rPr>
      </w:pPr>
      <w:bookmarkStart w:id="179" w:name="_Toc11616"/>
      <w:bookmarkStart w:id="180" w:name="_Toc2292"/>
      <w:bookmarkStart w:id="181" w:name="_Toc8084"/>
      <w:bookmarkStart w:id="182" w:name="_Toc15406"/>
      <w:bookmarkStart w:id="183" w:name="_Toc32625"/>
      <w:bookmarkStart w:id="184" w:name="_Toc12502"/>
      <w:bookmarkStart w:id="185" w:name="_Toc29540"/>
      <w:bookmarkStart w:id="186" w:name="_Toc32206"/>
      <w:bookmarkStart w:id="187" w:name="_Toc9073"/>
      <w:bookmarkStart w:id="188" w:name="_Toc4954"/>
      <w:r>
        <w:rPr>
          <w:rFonts w:hint="eastAsia"/>
          <w:highlight w:val="none"/>
        </w:rPr>
        <w:t>应急救援会商系统</w:t>
      </w:r>
      <w:bookmarkEnd w:id="179"/>
      <w:bookmarkEnd w:id="180"/>
      <w:bookmarkEnd w:id="181"/>
      <w:bookmarkEnd w:id="182"/>
      <w:bookmarkEnd w:id="183"/>
      <w:bookmarkEnd w:id="184"/>
      <w:bookmarkEnd w:id="185"/>
      <w:bookmarkEnd w:id="186"/>
      <w:bookmarkEnd w:id="187"/>
      <w:bookmarkEnd w:id="188"/>
    </w:p>
    <w:p w14:paraId="6128DF5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color w:val="000000"/>
          <w:szCs w:val="24"/>
          <w:highlight w:val="none"/>
        </w:rPr>
        <w:t>应急救援会商系统</w:t>
      </w:r>
      <w:r>
        <w:rPr>
          <w:rFonts w:hint="eastAsia" w:ascii="宋体" w:hAnsi="宋体" w:eastAsia="宋体" w:cs="宋体"/>
          <w:szCs w:val="24"/>
          <w:highlight w:val="none"/>
        </w:rPr>
        <w:t>是一款倡导绿色环保理念、实现智能高效办公会议的整体软硬件系统。它作为一种具有环保特点的会议解决方案，近年来席卷全国的办公信息化应用，已从大型机关扩展到地方机关，从市级城市扩展到县级城市。</w:t>
      </w:r>
    </w:p>
    <w:p w14:paraId="780E2BD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color w:val="000000"/>
          <w:szCs w:val="24"/>
          <w:highlight w:val="none"/>
        </w:rPr>
        <w:t>应急救援会商系统</w:t>
      </w:r>
      <w:r>
        <w:rPr>
          <w:rFonts w:hint="eastAsia" w:ascii="宋体" w:hAnsi="宋体" w:eastAsia="宋体" w:cs="宋体"/>
          <w:szCs w:val="24"/>
          <w:highlight w:val="none"/>
        </w:rPr>
        <w:t>组成：服务器端、管理端、客户端。</w:t>
      </w:r>
    </w:p>
    <w:p w14:paraId="52B5636C">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服务器端：服务器负责会议室管理、用户管理、权限管理，会议进程控制，以及会议进行时数据等信息的转发。具备会前功能包括：发布会议主题、安排人员座位、设置人员权限、上传会议资料、预设开会时间、编辑铭牌背景、添加投票选项，会中功能包括：统一签到、支持书写技术、支持终端自由信号交互、支持投票等功能。会后功能包括：对资料的保存、自动清空会议文件机制的处理等。</w:t>
      </w:r>
    </w:p>
    <w:p w14:paraId="13B4119C">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管理端：由会议助理/管理员操作，用于控制会议的各项功能，例如：上传会议资料、拟写会议议程、组织会议投票、协助主讲者发起与停止屏幕共享等。</w:t>
      </w:r>
    </w:p>
    <w:p w14:paraId="7E144C4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客户端：供参会者使用，参会者使用触控技术，在终端设备进行会议签到、浏览会议议程、查看会议材料、同屏互动、对会议进行圈点批注等操作。</w:t>
      </w:r>
    </w:p>
    <w:p w14:paraId="6BC06D34">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设计思路</w:t>
      </w:r>
    </w:p>
    <w:p w14:paraId="502A637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本次设计范围总计1间45.5平米会商室。该会商室主要用于机场运行中心AOC日常会商研判、应急救援等活动使用，会商室的智能化系统应功能先进，设施完备，应当具有智能性、先进性、兼容性及可扩展性。该会议系统将高质量的音频、视频和诸多智能特性紧密结合在一起，通过数字信号处理、压缩编码技术和数据传输等新技术的融入，实现更多、更齐全的会议会话、视频传输、信息传输功能。</w:t>
      </w:r>
    </w:p>
    <w:p w14:paraId="0537BF81">
      <w:pPr>
        <w:pageBreakBefore w:val="0"/>
        <w:widowControl w:val="0"/>
        <w:numPr>
          <w:ilvl w:val="0"/>
          <w:numId w:val="19"/>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集中管理：建设统一的智能会议管理平台，从会前、会中、会后进行全流程集中管理。</w:t>
      </w:r>
    </w:p>
    <w:p w14:paraId="46BA6C76">
      <w:pPr>
        <w:pageBreakBefore w:val="0"/>
        <w:widowControl w:val="0"/>
        <w:numPr>
          <w:ilvl w:val="0"/>
          <w:numId w:val="19"/>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无纸化：提高与会者的开会效率，同时节省大量资料印刷费用，完全符合国家低碳、环保理念。</w:t>
      </w:r>
    </w:p>
    <w:p w14:paraId="78DFD856">
      <w:pPr>
        <w:pageBreakBefore w:val="0"/>
        <w:widowControl w:val="0"/>
        <w:numPr>
          <w:ilvl w:val="0"/>
          <w:numId w:val="19"/>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数据统计：分析会议平均时长、会议室空闲率、会议总数、会议高峰分析或者查看会议室预订情况。</w:t>
      </w:r>
    </w:p>
    <w:p w14:paraId="3E7B438B">
      <w:pPr>
        <w:pageBreakBefore w:val="0"/>
        <w:widowControl w:val="0"/>
        <w:numPr>
          <w:ilvl w:val="0"/>
          <w:numId w:val="19"/>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可扩展性：平台具有先进性，随着技术的发展与进步，可以得到扩展、完善和提高。</w:t>
      </w:r>
    </w:p>
    <w:p w14:paraId="19DAFF5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会议系统所有硬件包括服务器、终端等，处理器、操作系统以及数据库全部满足国产化要求。</w:t>
      </w:r>
    </w:p>
    <w:p w14:paraId="01829044">
      <w:pPr>
        <w:pageBreakBefore w:val="0"/>
        <w:widowControl w:val="0"/>
        <w:numPr>
          <w:ilvl w:val="0"/>
          <w:numId w:val="20"/>
        </w:numPr>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提供全面全流程的会议及会务管理功能，以满足单位的日常会议管理需要，为会议发起和会议管理人员提供WEB服务平台，会议管理人员只需简单操作即可快速建立会议，发布会议信息。</w:t>
      </w:r>
    </w:p>
    <w:p w14:paraId="08E52426">
      <w:pPr>
        <w:pageBreakBefore w:val="0"/>
        <w:widowControl w:val="0"/>
        <w:numPr>
          <w:ilvl w:val="0"/>
          <w:numId w:val="20"/>
        </w:numPr>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为参会人员提供各种参会服务，参会人员只需使用专用会议终端，即可进行会场签到、全面获取会议及会务信息，随时随地阅读会议资料文件，参与会议互动。</w:t>
      </w:r>
    </w:p>
    <w:p w14:paraId="59A8760F">
      <w:pPr>
        <w:pageBreakBefore w:val="0"/>
        <w:widowControl w:val="0"/>
        <w:numPr>
          <w:ilvl w:val="0"/>
          <w:numId w:val="20"/>
        </w:numPr>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参会人员可使用专用会议终端开展会议现场会议资料的同屏阅读功能，即主讲人能控制所有参会人员所看的会议资料进度，保持会议现场会议资料阅读的同屏同步。</w:t>
      </w:r>
    </w:p>
    <w:p w14:paraId="2EC601E4">
      <w:pPr>
        <w:pageBreakBefore w:val="0"/>
        <w:widowControl w:val="0"/>
        <w:numPr>
          <w:ilvl w:val="0"/>
          <w:numId w:val="20"/>
        </w:numPr>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参会人员可使用话筒发言，支持数量限制、先入先出、发言申请、声控模式、自由讨论等多种发言模式。</w:t>
      </w:r>
    </w:p>
    <w:p w14:paraId="7D43614A">
      <w:pPr>
        <w:pageBreakBefore w:val="0"/>
        <w:widowControl w:val="0"/>
        <w:numPr>
          <w:ilvl w:val="0"/>
          <w:numId w:val="20"/>
        </w:numPr>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扩声系统做到均匀覆盖，并保证整体扩声声压级和传声增益，音箱具有大动态，高灵敏度，音质丰满，中、高音通透清晰等特点，且外观优雅美观，主要适用于高端人声语音扩声场合。</w:t>
      </w:r>
    </w:p>
    <w:p w14:paraId="1CF84F71">
      <w:pPr>
        <w:pageBreakBefore w:val="0"/>
        <w:widowControl w:val="0"/>
        <w:numPr>
          <w:ilvl w:val="0"/>
          <w:numId w:val="20"/>
        </w:numPr>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会议结束后，会议终端中的文件可自动清除、销毁。会议资料如文档批注、会议纪要等自动上传服务器端进行保存，参会人员可在WEB服务平台登录后查看。</w:t>
      </w:r>
    </w:p>
    <w:p w14:paraId="7D0C69C1">
      <w:pPr>
        <w:pageBreakBefore w:val="0"/>
        <w:widowControl w:val="0"/>
        <w:numPr>
          <w:ilvl w:val="0"/>
          <w:numId w:val="20"/>
        </w:numPr>
        <w:kinsoku/>
        <w:wordWrap/>
        <w:overflowPunct/>
        <w:topLinePunct w:val="0"/>
        <w:autoSpaceDE/>
        <w:autoSpaceDN/>
        <w:bidi w:val="0"/>
        <w:adjustRightInd/>
        <w:snapToGrid/>
        <w:spacing w:line="400" w:lineRule="exact"/>
        <w:ind w:left="0" w:firstLine="420" w:firstLineChars="200"/>
        <w:textAlignment w:val="auto"/>
        <w:rPr>
          <w:rFonts w:hint="eastAsia" w:ascii="宋体" w:hAnsi="宋体" w:eastAsia="宋体" w:cs="宋体"/>
          <w:highlight w:val="none"/>
        </w:rPr>
      </w:pPr>
      <w:r>
        <w:rPr>
          <w:rFonts w:hint="eastAsia" w:ascii="宋体" w:hAnsi="宋体" w:eastAsia="宋体" w:cs="宋体"/>
          <w:highlight w:val="none"/>
        </w:rPr>
        <w:t>所有的应急救援会商系统终端的画面都可以投到至少86寸智慧屏显示，也能将通常的视频源信号（笔记本电脑、台式PC、电子白板等）在应急救援会商系统终端显示。</w:t>
      </w:r>
    </w:p>
    <w:p w14:paraId="60420ACC">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系统框架</w:t>
      </w:r>
    </w:p>
    <w:p w14:paraId="60A50D5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应急救援会商系统</w:t>
      </w:r>
      <w:r>
        <w:rPr>
          <w:rFonts w:hint="eastAsia" w:ascii="宋体" w:hAnsi="宋体" w:eastAsia="宋体" w:cs="宋体"/>
          <w:highlight w:val="none"/>
        </w:rPr>
        <w:t>主要用于机场运行中心AOC日常会商研判、应急救援等活动，</w:t>
      </w:r>
      <w:r>
        <w:rPr>
          <w:rFonts w:hint="eastAsia" w:ascii="宋体" w:hAnsi="宋体" w:eastAsia="宋体" w:cs="宋体"/>
          <w:szCs w:val="24"/>
          <w:highlight w:val="none"/>
        </w:rPr>
        <w:t>系统组成：</w:t>
      </w:r>
      <w:r>
        <w:rPr>
          <w:rFonts w:hint="eastAsia" w:ascii="宋体" w:hAnsi="宋体" w:eastAsia="宋体" w:cs="宋体"/>
          <w:color w:val="000000"/>
          <w:szCs w:val="24"/>
          <w:highlight w:val="none"/>
        </w:rPr>
        <w:t>应急救援会商系统</w:t>
      </w:r>
      <w:r>
        <w:rPr>
          <w:rFonts w:hint="eastAsia" w:ascii="宋体" w:hAnsi="宋体" w:eastAsia="宋体" w:cs="宋体"/>
          <w:szCs w:val="24"/>
          <w:highlight w:val="none"/>
        </w:rPr>
        <w:t>、</w:t>
      </w:r>
      <w:r>
        <w:rPr>
          <w:rFonts w:hint="eastAsia" w:ascii="宋体" w:hAnsi="宋体" w:eastAsia="宋体" w:cs="宋体"/>
          <w:color w:val="000000"/>
          <w:szCs w:val="24"/>
          <w:highlight w:val="none"/>
        </w:rPr>
        <w:t>视频显示系统</w:t>
      </w:r>
      <w:r>
        <w:rPr>
          <w:rFonts w:hint="eastAsia" w:ascii="宋体" w:hAnsi="宋体" w:eastAsia="宋体" w:cs="宋体"/>
          <w:szCs w:val="24"/>
          <w:highlight w:val="none"/>
        </w:rPr>
        <w:t>管理端、</w:t>
      </w:r>
      <w:r>
        <w:rPr>
          <w:rFonts w:hint="eastAsia" w:ascii="宋体" w:hAnsi="宋体" w:eastAsia="宋体" w:cs="宋体"/>
          <w:color w:val="000000"/>
          <w:szCs w:val="24"/>
          <w:highlight w:val="none"/>
        </w:rPr>
        <w:t>扩声系统</w:t>
      </w:r>
      <w:r>
        <w:rPr>
          <w:rFonts w:hint="eastAsia" w:ascii="宋体" w:hAnsi="宋体" w:eastAsia="宋体" w:cs="宋体"/>
          <w:szCs w:val="24"/>
          <w:highlight w:val="none"/>
        </w:rPr>
        <w:t>。</w:t>
      </w:r>
    </w:p>
    <w:p w14:paraId="36FDF5FC">
      <w:pPr>
        <w:pStyle w:val="53"/>
        <w:pageBreakBefore w:val="0"/>
        <w:widowControl w:val="0"/>
        <w:numPr>
          <w:ilvl w:val="0"/>
          <w:numId w:val="21"/>
        </w:numPr>
        <w:kinsoku/>
        <w:wordWrap/>
        <w:overflowPunct/>
        <w:topLinePunct w:val="0"/>
        <w:autoSpaceDE/>
        <w:autoSpaceDN/>
        <w:bidi w:val="0"/>
        <w:adjustRightInd/>
        <w:snapToGrid/>
        <w:spacing w:line="400" w:lineRule="exact"/>
        <w:ind w:left="0" w:firstLine="560" w:firstLineChars="0"/>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应急救援会商系统：应急救援会商办公终端采用17.3寸高清宽屏设计，麦克风采用集成与升降屏一体升降结构，专用系统平台开发的新一代高效数字化智能会议系统，管理者在短时间内能完成考勤管理、会议议程、座位安排、文件分发共享、同屏互动、信号切换、会议投票、分组讨论、资料查阅、对接视频会议等功能，通过这个平台，与会者各部门单位可进行实时的会商和有效的信息沟通；改变了传统会议低效、单一、资源浪费、保密隐患等问题，实现会议全程无纸化。</w:t>
      </w:r>
    </w:p>
    <w:p w14:paraId="47D2988B">
      <w:pPr>
        <w:pStyle w:val="53"/>
        <w:pageBreakBefore w:val="0"/>
        <w:widowControl w:val="0"/>
        <w:numPr>
          <w:ilvl w:val="0"/>
          <w:numId w:val="21"/>
        </w:numPr>
        <w:kinsoku/>
        <w:wordWrap/>
        <w:overflowPunct/>
        <w:topLinePunct w:val="0"/>
        <w:autoSpaceDE/>
        <w:autoSpaceDN/>
        <w:bidi w:val="0"/>
        <w:adjustRightInd/>
        <w:snapToGrid/>
        <w:spacing w:line="400" w:lineRule="exact"/>
        <w:ind w:left="0" w:firstLine="560" w:firstLineChars="0"/>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视频显示系统：至少86寸智慧屏采用了4K超高清屏幕，画质细腻流畅，清晰无色差，高透防爆钢化玻璃，支持20点触摸，顺滑流畅的书写体验。支持多画面投屏，适应PC、iPad、手机等多设备投屏，实现4画面同传。内置1300W高清摄像头和8路全向阵列麦克风。</w:t>
      </w:r>
    </w:p>
    <w:p w14:paraId="7532D7B9">
      <w:pPr>
        <w:pStyle w:val="53"/>
        <w:pageBreakBefore w:val="0"/>
        <w:widowControl w:val="0"/>
        <w:numPr>
          <w:ilvl w:val="0"/>
          <w:numId w:val="21"/>
        </w:numPr>
        <w:kinsoku/>
        <w:wordWrap/>
        <w:overflowPunct/>
        <w:topLinePunct w:val="0"/>
        <w:autoSpaceDE/>
        <w:autoSpaceDN/>
        <w:bidi w:val="0"/>
        <w:adjustRightInd/>
        <w:snapToGrid/>
        <w:spacing w:line="400" w:lineRule="exact"/>
        <w:ind w:left="0" w:firstLine="560" w:firstLineChars="0"/>
        <w:textAlignment w:val="auto"/>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扩声系统：会议室音响要求具有较高音质，减少噪声，在安装位置上要求整洁干净，考虑壁挂式2套阵列音柱安装。可以实现会议讨论、资料展示/演示、多媒体视听应用，视频会议等需求。</w:t>
      </w:r>
    </w:p>
    <w:p w14:paraId="3A8ABC2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本系统的功能框架如下：</w:t>
      </w:r>
    </w:p>
    <w:p w14:paraId="77603BCA">
      <w:pPr>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64150" cy="3659505"/>
            <wp:effectExtent l="0" t="0" r="0" b="0"/>
            <wp:docPr id="93" name="图片 93" descr="应急救援会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应急救援会商系统"/>
                    <pic:cNvPicPr>
                      <a:picLocks noChangeAspect="1"/>
                    </pic:cNvPicPr>
                  </pic:nvPicPr>
                  <pic:blipFill>
                    <a:blip r:embed="rId21"/>
                    <a:stretch>
                      <a:fillRect/>
                    </a:stretch>
                  </pic:blipFill>
                  <pic:spPr>
                    <a:xfrm>
                      <a:off x="0" y="0"/>
                      <a:ext cx="5264150" cy="3659505"/>
                    </a:xfrm>
                    <a:prstGeom prst="rect">
                      <a:avLst/>
                    </a:prstGeom>
                  </pic:spPr>
                </pic:pic>
              </a:graphicData>
            </a:graphic>
          </wp:inline>
        </w:drawing>
      </w:r>
    </w:p>
    <w:p w14:paraId="41E2B39C">
      <w:pPr>
        <w:pStyle w:val="63"/>
        <w:numPr>
          <w:ilvl w:val="7"/>
          <w:numId w:val="7"/>
        </w:numPr>
        <w:rPr>
          <w:rFonts w:hint="eastAsia" w:ascii="宋体" w:hAnsi="宋体" w:eastAsia="宋体" w:cs="宋体"/>
          <w:highlight w:val="none"/>
        </w:rPr>
      </w:pPr>
      <w:r>
        <w:rPr>
          <w:rFonts w:hint="eastAsia" w:ascii="宋体" w:hAnsi="宋体" w:eastAsia="宋体" w:cs="宋体"/>
          <w:highlight w:val="none"/>
        </w:rPr>
        <w:t>应急救援会商系统功能框架图</w:t>
      </w:r>
    </w:p>
    <w:p w14:paraId="311151FF">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软件功能设计</w:t>
      </w:r>
    </w:p>
    <w:p w14:paraId="008373D0">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总体功能设计</w:t>
      </w:r>
    </w:p>
    <w:p w14:paraId="4DFEB3AD">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WEB访问模式，实现管理员登录、参会人员登录，支持参会人会前预览会议资料，支持历史会议资料检索归档，支持更换皮肤主题，系统自带不少于10套皮肤主题；</w:t>
      </w:r>
    </w:p>
    <w:p w14:paraId="3F3FC7C5">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多会议管理：实现多会议管理功能，可同时上传多场会议文件资料，一键启动会议。会议排期：允许会务人员选择时间段来创建会议，支持预先将不同会议按时间安排在不同会议室；</w:t>
      </w:r>
    </w:p>
    <w:p w14:paraId="0CDFA04B">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会议室管理：实现多个会议室分区，支持多会议室管理功能，同时可以管理多个会议室，每个会议室多台会议终端，支持多会议室召开不同会议互不影响，支持多会议室召开同一会议（异地多会议室同时开会）；</w:t>
      </w:r>
    </w:p>
    <w:p w14:paraId="7A151AE9">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人员排座：实现对参会人员进行可视化模拟排位，自动排座：点击一键排座按钮可以对人员自动排座；手动排座：支持拖动参会人员图标安排人员就位，且终端实时显示模拟排位后的参会人员信息，支持模板式设计，支持不同的会议有不同的座位安排方式；</w:t>
      </w:r>
    </w:p>
    <w:p w14:paraId="16B6494B">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会议议题设置：实现新建议题、导入议题、支持管理多个会议议题，每个议题可以独立上传多份文件，支持议题内上传文件夹，以议题+文件夹+文件无限级目录文件展示。实现对议题和文件排序，支持设置文件权限（指定参会人员查看权限，无权限的参会人员自动屏蔽该文件显示）。支持设置文件密级（普通、秘密、机密），参会人员若本身密级低于文件密级，则自动屏蔽该文件显示，无法查看文件，参会人员若本身密级等于或高于文件密级，则可以收到并查看文件；</w:t>
      </w:r>
    </w:p>
    <w:p w14:paraId="6A268468">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会议议程设置：支持上传doc、docx、pdf、jpg、png格式文件作为会议议程，支持在线创建议程；</w:t>
      </w:r>
    </w:p>
    <w:p w14:paraId="62B27287">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前/后屏设置：实现设计客户端首页/会议铭牌界面，背景图可自定义上传；支持输入自定义内容，会议名称、参会人姓名、职务、座位号可显示或隐藏；支持编辑文本框字号大小、位置、颜色以及字体，支持将文本框居中排列位置；</w:t>
      </w:r>
    </w:p>
    <w:p w14:paraId="72E0A2B2">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会议信息发布：支持把本次会议信息实时显示到会议预定屏/会议门牌，显示会议名称、开会时间等信息；</w:t>
      </w:r>
    </w:p>
    <w:p w14:paraId="2ECE77F5">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中控功能：可选择会议室并对该会议室进行统一控制，控制会议终端全部统一上升、下降、停止（仅限升降/翻转类设备），控制会议终端统一开机、关机；</w:t>
      </w:r>
    </w:p>
    <w:p w14:paraId="41DCBE0E">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会议搜索：实现按照会议标题、会议分类、会议室分区、会议室、会议状态、会议时间进行会议搜索；</w:t>
      </w:r>
    </w:p>
    <w:p w14:paraId="4C7406F0">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会议归档：按照会议名称进行会议资料归档，对议题材料、与会人员、投票信息、会议纪要、白板文件进行归档，支持下载会议签到表（含人员姓名、部门、是否签到、签到时间）；</w:t>
      </w:r>
    </w:p>
    <w:p w14:paraId="1A3AF597">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会议统计：实现以每日会议场次/人次折线图、会议类型统计柱状图、会议类型统计饼状图、会议室统计柱状图进行统计展示；</w:t>
      </w:r>
    </w:p>
    <w:p w14:paraId="62EC5182">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应用管理：分为主持人应用、普通用户应用管理，可自定义客户端首页和管理页应用模块排列顺序，可自定义客户端应用模块的启用/禁用；</w:t>
      </w:r>
    </w:p>
    <w:p w14:paraId="1EFFD626">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管理员身份鉴别：系统进行管理员身份鉴别，只有输入正确的身份鉴别信息，方可通过身份鉴别。管理员口令长度可设置，口令至少为8位，复杂度为大小写英文字母、数字和特殊字符中两者以上的组合。具有身份鉴别尝试次数限制功能，尝试次数应可设置，且至多为5次。具有超时认证功能。具有管理员口令更换周期设置功能，更换周期至多为7天。</w:t>
      </w:r>
    </w:p>
    <w:p w14:paraId="57C73530">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安全审计：管理员操作审计日志内容包括产品配置、策略设置、审计结果查询等，普通用户操作审计日志内容。能够按照账号、时间等参数对审计日志进行查询。应支持会议的审计与统计管理。审计日志保存周期可以由安全保密管理员配置。</w:t>
      </w:r>
    </w:p>
    <w:p w14:paraId="105053EC">
      <w:pPr>
        <w:pageBreakBefore w:val="0"/>
        <w:widowControl w:val="0"/>
        <w:numPr>
          <w:ilvl w:val="0"/>
          <w:numId w:val="22"/>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管理员权限划分：系统初始具有相互独立、相互制约的系统管理员、安全保密管理员和安全审计员三个管理员角色。系统管理员主要负责用户管理；安全保密管理员主要负责用户权限管理、用户日志和安全审计员日志的审查分析；安全审计员主要负责对系统管理员、安全保密管理员的操作行为进行审计。</w:t>
      </w:r>
    </w:p>
    <w:p w14:paraId="74B04445">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189" w:name="_Toc169517495"/>
      <w:r>
        <w:rPr>
          <w:rFonts w:hint="eastAsia"/>
          <w:highlight w:val="none"/>
        </w:rPr>
        <w:t>功能</w:t>
      </w:r>
      <w:bookmarkEnd w:id="189"/>
      <w:r>
        <w:rPr>
          <w:rFonts w:hint="eastAsia"/>
          <w:highlight w:val="none"/>
        </w:rPr>
        <w:t>详细描述</w:t>
      </w:r>
    </w:p>
    <w:p w14:paraId="29380C78">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一站式全周期会议服务</w:t>
      </w:r>
    </w:p>
    <w:p w14:paraId="664325B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同时为会议代表、会议组织者在会前、会中、会后各阶段提供信息化支撑，实现全方位、高质量的精确服务管理，让会议代表获得五星级贴心服务体验，使会议服务工作协同高效。建立以集中会议服务为模式、为会议代表提供全方位、高效、实时、安全的会议服务。会议代表获得全新的会议体验，感受无处不在的会议秘书服务，实现会议材料的安全有效管理，提升会议服务质量感知。实现安全高效的会议会务管理工作。</w:t>
      </w:r>
    </w:p>
    <w:p w14:paraId="390BD52C">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远程会议功能</w:t>
      </w:r>
    </w:p>
    <w:p w14:paraId="15FDC91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为用户带来便捷高效的沟通体验。它支持高清视频通话，具备优质音频体验，能多端接入，还提供屏幕共享、互动协作、会议录制与回放、安全加密及会议管理与控制等功能。适用于跨区域团队协作、紧急事件处理、专家远程指导、培训与教育等场景，极大拓展了应急救援会商系统的应用范围和价值。</w:t>
      </w:r>
    </w:p>
    <w:p w14:paraId="44180B23">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无纸化高效率低碳办公</w:t>
      </w:r>
    </w:p>
    <w:p w14:paraId="697015C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将会议管理、会议材料、会议指南等日常办公资料全部电子化，变成可永久存储、随时调用、无需纸质媒介的数字化形式，全程无纸化、低碳办公。为会议代表提供无纸化实时服务，降低会议成本。支持常用格式文件在线预览，支持pdf格式文档的原笔迹批注，可播放PPT的原始动画效果。支持客户端一键同屏，有同屏权限客户端可以在会议过程中一键同屏画面到其他会议终端，进行讨论。</w:t>
      </w:r>
    </w:p>
    <w:p w14:paraId="0BFF775D">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提供实时交互的服务平台</w:t>
      </w:r>
    </w:p>
    <w:p w14:paraId="6292F3F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预设多种呼叫项目内容，具备的茶、水、咖啡、纸笔、话筒、鲜花、服务人员等呼叫，协助会议代表方便、快捷地处理各种日常事务，让会议代表能够更加全身心地参与到会议的各项安排中。与会人员可通过在线视频观看显示视频会议、外置PC电脑桌面等信号，支持与会人员单独观看显示信号画面，支持外部信号实时广播画面到所有</w:t>
      </w:r>
      <w:r>
        <w:rPr>
          <w:rFonts w:hint="eastAsia" w:ascii="宋体" w:hAnsi="宋体" w:eastAsia="宋体" w:cs="宋体"/>
          <w:color w:val="000000"/>
          <w:szCs w:val="24"/>
          <w:highlight w:val="none"/>
        </w:rPr>
        <w:t>应急救援会商</w:t>
      </w:r>
      <w:r>
        <w:rPr>
          <w:rFonts w:hint="eastAsia" w:ascii="宋体" w:hAnsi="宋体" w:eastAsia="宋体" w:cs="宋体"/>
          <w:szCs w:val="24"/>
          <w:highlight w:val="none"/>
        </w:rPr>
        <w:t>终端和大屏幕并同步显示。</w:t>
      </w:r>
    </w:p>
    <w:p w14:paraId="3AA71C82">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智能化整理会议材料</w:t>
      </w:r>
    </w:p>
    <w:p w14:paraId="37FD7AC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会议秘书在会中可通过会议纪要进行会议详情的记录，会议纪要文件可同步给其他参会人员观看，支持会议秘书发起签字确认，所有参会人员签字确认，签字完成后会议纪要文件自动流转后上传到后台。按照会议名称进行会议资料归档，对议题材料、与会人员、投票信息、会议纪要、白板文件进行归档，支持下载会议签到表（含人员姓名、部门、是否签到、签到时间）。</w:t>
      </w:r>
    </w:p>
    <w:p w14:paraId="125BC5B7">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流程化、协同化的会务管理</w:t>
      </w:r>
    </w:p>
    <w:p w14:paraId="65BCB16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建立以服务会议代表为中心，以集团到各分公司、各部门为方式的会务管理平台，管理员负责会议事务的派发和跟踪，协调处理会议过程中各个需求，从而把会务的各个环节紧密联系在一起，使会务工作协同高效。支持多会议室管理功能，同时可以管理多个会议室，每个会议室多台会议终端，支持多会议室召开不同会议互不影响，支持多会议室召开同一会议（异地多会议室同时开会）。</w:t>
      </w:r>
    </w:p>
    <w:p w14:paraId="12EEB7E7">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提供可靠的信息安全保障</w:t>
      </w:r>
    </w:p>
    <w:p w14:paraId="6B11D99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通过权限控制、安全认证、网络安全等手段全面保证会议材料的安全。系统初始具有相互独立、相互制约的系统管理员、安全保密管理员和安全审计员三个管理员角色。管理员操作审计日志内容包括产品配置、策略设置、审计结果查询等，普通用户操作审计日志内容。能够按照账号、时间等参数对审计日志进行查询。系统进行管理员身份鉴别，只有输入正确的身份鉴别信息，方可通过身份鉴别。管理员口令长度可设置，口令至少为8位，复杂度为大小写英文字母、数字和特殊字符中两者以上的组合。</w:t>
      </w:r>
    </w:p>
    <w:p w14:paraId="26D4F99B">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支持文档格式</w:t>
      </w:r>
    </w:p>
    <w:p w14:paraId="5378661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支持主流计算平台的视频、音频、图片压缩文件、版式和流式格式等。</w:t>
      </w:r>
    </w:p>
    <w:p w14:paraId="4CF10500">
      <w:pPr>
        <w:pStyle w:val="65"/>
        <w:rPr>
          <w:rFonts w:hint="eastAsia" w:ascii="宋体" w:hAnsi="宋体" w:eastAsia="宋体" w:cs="宋体"/>
          <w:szCs w:val="24"/>
          <w:highlight w:val="none"/>
        </w:rPr>
      </w:pPr>
      <w:r>
        <w:rPr>
          <w:rFonts w:hint="eastAsia" w:ascii="宋体" w:hAnsi="宋体" w:eastAsia="宋体" w:cs="宋体"/>
          <w:highlight w:val="none"/>
        </w:rPr>
        <w:t>支持文档格式对照表</w:t>
      </w:r>
    </w:p>
    <w:tbl>
      <w:tblPr>
        <w:tblStyle w:val="34"/>
        <w:tblW w:w="47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6771"/>
      </w:tblGrid>
      <w:tr w14:paraId="6EA0D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195" w:type="pct"/>
          </w:tcPr>
          <w:p w14:paraId="5559B4E1">
            <w:pPr>
              <w:ind w:firstLine="0" w:firstLineChars="0"/>
              <w:rPr>
                <w:rFonts w:hint="eastAsia" w:ascii="宋体" w:hAnsi="宋体" w:eastAsia="宋体" w:cs="宋体"/>
                <w:b/>
                <w:bCs/>
                <w:szCs w:val="24"/>
                <w:highlight w:val="none"/>
              </w:rPr>
            </w:pPr>
            <w:r>
              <w:rPr>
                <w:rFonts w:hint="eastAsia" w:ascii="宋体" w:hAnsi="宋体" w:eastAsia="宋体" w:cs="宋体"/>
                <w:b/>
                <w:bCs/>
                <w:szCs w:val="24"/>
                <w:highlight w:val="none"/>
              </w:rPr>
              <w:t>软件类型</w:t>
            </w:r>
          </w:p>
        </w:tc>
        <w:tc>
          <w:tcPr>
            <w:tcW w:w="3804" w:type="pct"/>
          </w:tcPr>
          <w:p w14:paraId="6D7CFA72">
            <w:pPr>
              <w:ind w:firstLine="0" w:firstLineChars="0"/>
              <w:rPr>
                <w:rFonts w:hint="eastAsia" w:ascii="宋体" w:hAnsi="宋体" w:eastAsia="宋体" w:cs="宋体"/>
                <w:b/>
                <w:bCs/>
                <w:szCs w:val="24"/>
                <w:highlight w:val="none"/>
              </w:rPr>
            </w:pPr>
            <w:r>
              <w:rPr>
                <w:rFonts w:hint="eastAsia" w:ascii="宋体" w:hAnsi="宋体" w:eastAsia="宋体" w:cs="宋体"/>
                <w:b/>
                <w:bCs/>
                <w:szCs w:val="24"/>
                <w:highlight w:val="none"/>
              </w:rPr>
              <w:t>支持格式</w:t>
            </w:r>
          </w:p>
        </w:tc>
      </w:tr>
      <w:tr w14:paraId="43C75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95" w:type="pct"/>
          </w:tcPr>
          <w:p w14:paraId="2B8C850C">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视频软件</w:t>
            </w:r>
          </w:p>
        </w:tc>
        <w:tc>
          <w:tcPr>
            <w:tcW w:w="3804" w:type="pct"/>
          </w:tcPr>
          <w:p w14:paraId="48D8E49E">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mp4、avi、rmvb、wmv、3pg、mkv、mpeg、rm等</w:t>
            </w:r>
          </w:p>
        </w:tc>
      </w:tr>
      <w:tr w14:paraId="40FB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95" w:type="pct"/>
          </w:tcPr>
          <w:p w14:paraId="5085B608">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图片软件</w:t>
            </w:r>
          </w:p>
        </w:tc>
        <w:tc>
          <w:tcPr>
            <w:tcW w:w="3804" w:type="pct"/>
          </w:tcPr>
          <w:p w14:paraId="34A53550">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gif、bmp、png、jpg、tiff、jpeg</w:t>
            </w:r>
          </w:p>
        </w:tc>
      </w:tr>
      <w:tr w14:paraId="5555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95" w:type="pct"/>
          </w:tcPr>
          <w:p w14:paraId="785B726B">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音频软件</w:t>
            </w:r>
          </w:p>
        </w:tc>
        <w:tc>
          <w:tcPr>
            <w:tcW w:w="3804" w:type="pct"/>
          </w:tcPr>
          <w:p w14:paraId="674175EB">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wav、wma、mp3、mp4</w:t>
            </w:r>
          </w:p>
        </w:tc>
      </w:tr>
      <w:tr w14:paraId="751C2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95" w:type="pct"/>
          </w:tcPr>
          <w:p w14:paraId="52D08582">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压缩软件</w:t>
            </w:r>
          </w:p>
        </w:tc>
        <w:tc>
          <w:tcPr>
            <w:tcW w:w="3804" w:type="pct"/>
          </w:tcPr>
          <w:p w14:paraId="249EA492">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7z、jar、zip、gz、tar、tar.gz、rar</w:t>
            </w:r>
          </w:p>
        </w:tc>
      </w:tr>
      <w:tr w14:paraId="38BC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95" w:type="pct"/>
          </w:tcPr>
          <w:p w14:paraId="552E3768">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版式软件</w:t>
            </w:r>
          </w:p>
        </w:tc>
        <w:tc>
          <w:tcPr>
            <w:tcW w:w="3804" w:type="pct"/>
          </w:tcPr>
          <w:p w14:paraId="69107DF3">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ofd、pdf</w:t>
            </w:r>
          </w:p>
        </w:tc>
      </w:tr>
      <w:tr w14:paraId="3B1A6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95" w:type="pct"/>
          </w:tcPr>
          <w:p w14:paraId="3D075E81">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文字处理软件</w:t>
            </w:r>
          </w:p>
        </w:tc>
        <w:tc>
          <w:tcPr>
            <w:tcW w:w="3804" w:type="pct"/>
          </w:tcPr>
          <w:p w14:paraId="5EC15D05">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doc、docx、wps及名录内厂商格式</w:t>
            </w:r>
          </w:p>
        </w:tc>
      </w:tr>
      <w:tr w14:paraId="757C4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195" w:type="pct"/>
          </w:tcPr>
          <w:p w14:paraId="7DFCDC10">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表格处理软件</w:t>
            </w:r>
          </w:p>
        </w:tc>
        <w:tc>
          <w:tcPr>
            <w:tcW w:w="3804" w:type="pct"/>
          </w:tcPr>
          <w:p w14:paraId="6893499F">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xls、xlsx、et、dpt、uos及名录内厂商格式</w:t>
            </w:r>
          </w:p>
        </w:tc>
      </w:tr>
      <w:tr w14:paraId="060D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195" w:type="pct"/>
          </w:tcPr>
          <w:p w14:paraId="3B3D7222">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演示文档软件</w:t>
            </w:r>
          </w:p>
        </w:tc>
        <w:tc>
          <w:tcPr>
            <w:tcW w:w="3804" w:type="pct"/>
          </w:tcPr>
          <w:p w14:paraId="3F504902">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ppt、pptx、dps、pps、pot、uop及名录内厂商格式</w:t>
            </w:r>
          </w:p>
        </w:tc>
      </w:tr>
    </w:tbl>
    <w:p w14:paraId="57223856">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支持国产化平台</w:t>
      </w:r>
    </w:p>
    <w:p w14:paraId="56D81CA6">
      <w:pPr>
        <w:pageBreakBefore w:val="0"/>
        <w:widowControl w:val="0"/>
        <w:numPr>
          <w:ilvl w:val="0"/>
          <w:numId w:val="23"/>
        </w:numPr>
        <w:kinsoku/>
        <w:wordWrap/>
        <w:overflowPunct/>
        <w:topLinePunct w:val="0"/>
        <w:autoSpaceDE/>
        <w:autoSpaceDN/>
        <w:bidi w:val="0"/>
        <w:adjustRightInd/>
        <w:snapToGrid/>
        <w:spacing w:line="400" w:lineRule="exact"/>
        <w:ind w:left="0" w:firstLine="0"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支持各种主流CPU（兆芯、龙芯、海光、飞腾、申威、鲲鹏等）。</w:t>
      </w:r>
    </w:p>
    <w:p w14:paraId="3BCFEB3D">
      <w:pPr>
        <w:pageBreakBefore w:val="0"/>
        <w:widowControl w:val="0"/>
        <w:numPr>
          <w:ilvl w:val="0"/>
          <w:numId w:val="23"/>
        </w:numPr>
        <w:kinsoku/>
        <w:wordWrap/>
        <w:overflowPunct/>
        <w:topLinePunct w:val="0"/>
        <w:autoSpaceDE/>
        <w:autoSpaceDN/>
        <w:bidi w:val="0"/>
        <w:adjustRightInd/>
        <w:snapToGrid/>
        <w:spacing w:line="400" w:lineRule="exact"/>
        <w:ind w:left="0" w:firstLine="0"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支持各种主流操作系统（统信UOS、中标麒麟、中科方德、鸿蒙等）。</w:t>
      </w:r>
    </w:p>
    <w:p w14:paraId="32806252">
      <w:pPr>
        <w:pageBreakBefore w:val="0"/>
        <w:widowControl w:val="0"/>
        <w:numPr>
          <w:ilvl w:val="0"/>
          <w:numId w:val="23"/>
        </w:numPr>
        <w:kinsoku/>
        <w:wordWrap/>
        <w:overflowPunct/>
        <w:topLinePunct w:val="0"/>
        <w:autoSpaceDE/>
        <w:autoSpaceDN/>
        <w:bidi w:val="0"/>
        <w:adjustRightInd/>
        <w:snapToGrid/>
        <w:spacing w:line="400" w:lineRule="exact"/>
        <w:ind w:left="0" w:firstLine="0"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不同操作系统的客户端可混合组网与会。用户可按需组织桌面客户端、移动客户端并存的异构终端会议。</w:t>
      </w:r>
    </w:p>
    <w:p w14:paraId="0248B17E">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安全保密策略</w:t>
      </w:r>
    </w:p>
    <w:p w14:paraId="39CDF01D">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安全认证措施</w:t>
      </w:r>
    </w:p>
    <w:p w14:paraId="2C814B00">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color w:val="000000"/>
          <w:szCs w:val="24"/>
          <w:highlight w:val="none"/>
        </w:rPr>
        <w:t>应急救援会商系统</w:t>
      </w:r>
      <w:r>
        <w:rPr>
          <w:rFonts w:hint="eastAsia" w:ascii="宋体" w:hAnsi="宋体" w:eastAsia="宋体" w:cs="宋体"/>
          <w:szCs w:val="24"/>
          <w:highlight w:val="none"/>
        </w:rPr>
        <w:t>三员通过授权的固定终端进行账号密码登入会议管理系统。参会人员和会务管理人员使用企业目前使用的USB-Key认证进行身份统一验证，并进行第二重账号密码登入会议终端。主要通过以下几种安全措施：</w:t>
      </w:r>
    </w:p>
    <w:p w14:paraId="77270DE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sym w:font="Wingdings" w:char="00D8"/>
      </w:r>
      <w:r>
        <w:rPr>
          <w:rFonts w:hint="eastAsia" w:ascii="宋体" w:hAnsi="宋体" w:eastAsia="宋体" w:cs="宋体"/>
          <w:szCs w:val="24"/>
          <w:highlight w:val="none"/>
        </w:rPr>
        <w:t>权限认证措施：每次访问系统需要进行权限认证和验证是否合法登入，如果没有权限或者不合法不允许操作。</w:t>
      </w:r>
    </w:p>
    <w:p w14:paraId="304D14A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sym w:font="Wingdings" w:char="00D8"/>
      </w:r>
      <w:r>
        <w:rPr>
          <w:rFonts w:hint="eastAsia" w:ascii="宋体" w:hAnsi="宋体" w:eastAsia="宋体" w:cs="宋体"/>
          <w:szCs w:val="24"/>
          <w:highlight w:val="none"/>
        </w:rPr>
        <w:t>双重认证措施：访问保密信息，启用再次认证才允许操作。</w:t>
      </w:r>
    </w:p>
    <w:p w14:paraId="181E64A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sym w:font="Wingdings" w:char="00D8"/>
      </w:r>
      <w:r>
        <w:rPr>
          <w:rFonts w:hint="eastAsia" w:ascii="宋体" w:hAnsi="宋体" w:eastAsia="宋体" w:cs="宋体"/>
          <w:szCs w:val="24"/>
          <w:highlight w:val="none"/>
        </w:rPr>
        <w:t>双因子认证措施：系统支持双因子认证，可以把不同的认证方式组合认证。</w:t>
      </w:r>
    </w:p>
    <w:p w14:paraId="6107F23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sym w:font="Wingdings" w:char="00D8"/>
      </w:r>
      <w:r>
        <w:rPr>
          <w:rFonts w:hint="eastAsia" w:ascii="宋体" w:hAnsi="宋体" w:eastAsia="宋体" w:cs="宋体"/>
          <w:szCs w:val="24"/>
          <w:highlight w:val="none"/>
        </w:rPr>
        <w:t>认证日志措施：对系统的操作都需要记录认证，安全审计有据可查。</w:t>
      </w:r>
    </w:p>
    <w:p w14:paraId="08E3435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管理员进入系统都需要通过安全认证，才可以进入系统。当进入系统后，所有的操作都需要获取相应的操作权限认证，有权限才允许对应的操作。</w:t>
      </w:r>
    </w:p>
    <w:p w14:paraId="119BAFB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系统支持可以把不同的认证方式进行组合，每次访问系统都需要进行权限认证，验证是否合法登入，如果没有权限或者不合法，就不允许操作，并且系统会自动记录认证信息，在安全审计时有据可查，同时在查看保密文件的时候也可以打上查看人名字的水印，防止拍照流出文件信息。支持以下几种可支持的认证方式：</w:t>
      </w:r>
    </w:p>
    <w:p w14:paraId="1CB08EB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sym w:font="Wingdings" w:char="00D8"/>
      </w:r>
      <w:r>
        <w:rPr>
          <w:rFonts w:hint="eastAsia" w:ascii="宋体" w:hAnsi="宋体" w:eastAsia="宋体" w:cs="宋体"/>
          <w:szCs w:val="24"/>
          <w:highlight w:val="none"/>
        </w:rPr>
        <w:t>账号密码认证方式：每人都有系统的账号密码，进入系统需要输入账号和密码，验证通过才能操作系统。</w:t>
      </w:r>
    </w:p>
    <w:p w14:paraId="3C5EF14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sym w:font="Wingdings" w:char="00D8"/>
      </w:r>
      <w:r>
        <w:rPr>
          <w:rFonts w:hint="eastAsia" w:ascii="宋体" w:hAnsi="宋体" w:eastAsia="宋体" w:cs="宋体"/>
          <w:szCs w:val="24"/>
          <w:highlight w:val="none"/>
        </w:rPr>
        <w:t>刷卡认证方式：可以通过ID或者IC卡，刷卡进入系统。</w:t>
      </w:r>
    </w:p>
    <w:p w14:paraId="215ABD2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sym w:font="Wingdings" w:char="00D8"/>
      </w:r>
      <w:r>
        <w:rPr>
          <w:rFonts w:hint="eastAsia" w:ascii="宋体" w:hAnsi="宋体" w:eastAsia="宋体" w:cs="宋体"/>
          <w:szCs w:val="24"/>
          <w:highlight w:val="none"/>
        </w:rPr>
        <w:t>指纹认证方式：提前在系统录入个人指纹，每次进入需要指纹认证才能进入系统。</w:t>
      </w:r>
    </w:p>
    <w:p w14:paraId="3117803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sym w:font="Wingdings" w:char="00D8"/>
      </w:r>
      <w:r>
        <w:rPr>
          <w:rFonts w:hint="eastAsia" w:ascii="宋体" w:hAnsi="宋体" w:eastAsia="宋体" w:cs="宋体"/>
          <w:szCs w:val="24"/>
          <w:highlight w:val="none"/>
        </w:rPr>
        <w:t>人脸识别认证方式：提前在系统录入个人人脸数据，每次进入需要人脸识别认证才能进入系统。</w:t>
      </w:r>
    </w:p>
    <w:p w14:paraId="6D9FCD1F">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文件加密</w:t>
      </w:r>
    </w:p>
    <w:p w14:paraId="268D0F1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文件加密采用加密算法进行加密，加密算法采用国家标准的加密算法，对文件进行加密保证数据存储的安全性。从文件上传和传输保存都是加密状态，只有打开文件的时候解密出来，关闭文件就马上会删除解密出来的文件。打开文件时需要验证是否有权限查看此份文件，保证文件的安全。</w:t>
      </w:r>
    </w:p>
    <w:p w14:paraId="0C894791">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文件自动销毁</w:t>
      </w:r>
    </w:p>
    <w:p w14:paraId="098B477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会议文件资料数据自动销毁，实现会后不留痕迹，正常结束会议时，客户端自动清理文件，彻底销毁会中重要文件，以防不法分子窃取重要数据资料，避免泄密的可能。文件销毁过程不显示，无提示，做到无感体验。</w:t>
      </w:r>
    </w:p>
    <w:p w14:paraId="3F416624">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安全密级</w:t>
      </w:r>
    </w:p>
    <w:p w14:paraId="4AF8389C">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会议密级：创建会议可以设置会议保密级别，设置会议保密级别，根据参会人员密级，只能参加相应级别密级以下的会议。</w:t>
      </w:r>
    </w:p>
    <w:p w14:paraId="2FA0A81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文件密级：上传会议文件的时候，可以设定文件密级，参会人员根据设定的密级，只能查看相应密级以下的文件。</w:t>
      </w:r>
    </w:p>
    <w:p w14:paraId="415D580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参会人员：密级系统可以给参会人员设定密级，如果没有设定密级，默认最低密级。参会人员根据自己的密级只能参加相应密级以下的会议和查看相应密级以下的文件。</w:t>
      </w:r>
    </w:p>
    <w:p w14:paraId="35066D3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安全密级与人员身份绑定，严格控制访问权限，系统根据用户的职务、岗位，甚至具体到个人控制访问权限。每个用户都有密级标识（普通、秘密、机密），用户只能访问到自己被授权和密级范围内的信息，不能越权访问。</w:t>
      </w:r>
    </w:p>
    <w:p w14:paraId="5299AA8E">
      <w:pPr>
        <w:ind w:firstLine="480"/>
        <w:rPr>
          <w:rFonts w:hint="eastAsia" w:ascii="宋体" w:hAnsi="宋体" w:eastAsia="宋体" w:cs="宋体"/>
          <w:szCs w:val="24"/>
          <w:highlight w:val="none"/>
        </w:rPr>
      </w:pPr>
      <w:r>
        <w:rPr>
          <w:rFonts w:hint="eastAsia" w:ascii="宋体" w:hAnsi="宋体" w:eastAsia="宋体" w:cs="宋体"/>
          <w:szCs w:val="24"/>
          <w:highlight w:val="none"/>
        </w:rPr>
        <w:drawing>
          <wp:inline distT="0" distB="0" distL="114300" distR="114300">
            <wp:extent cx="4240530" cy="1581150"/>
            <wp:effectExtent l="0" t="0" r="7620" b="0"/>
            <wp:docPr id="2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6"/>
                    <pic:cNvPicPr>
                      <a:picLocks noChangeAspect="1"/>
                    </pic:cNvPicPr>
                  </pic:nvPicPr>
                  <pic:blipFill>
                    <a:blip r:embed="rId22"/>
                    <a:stretch>
                      <a:fillRect/>
                    </a:stretch>
                  </pic:blipFill>
                  <pic:spPr>
                    <a:xfrm>
                      <a:off x="0" y="0"/>
                      <a:ext cx="4240530" cy="1581150"/>
                    </a:xfrm>
                    <a:prstGeom prst="rect">
                      <a:avLst/>
                    </a:prstGeom>
                    <a:noFill/>
                    <a:ln>
                      <a:noFill/>
                    </a:ln>
                  </pic:spPr>
                </pic:pic>
              </a:graphicData>
            </a:graphic>
          </wp:inline>
        </w:drawing>
      </w:r>
    </w:p>
    <w:p w14:paraId="6C30EAEA">
      <w:pPr>
        <w:pStyle w:val="63"/>
        <w:numPr>
          <w:ilvl w:val="7"/>
          <w:numId w:val="7"/>
        </w:numPr>
        <w:rPr>
          <w:rFonts w:hint="eastAsia" w:ascii="宋体" w:hAnsi="宋体" w:eastAsia="宋体" w:cs="宋体"/>
          <w:highlight w:val="none"/>
        </w:rPr>
      </w:pPr>
      <w:r>
        <w:rPr>
          <w:rFonts w:hint="eastAsia" w:ascii="宋体" w:hAnsi="宋体" w:eastAsia="宋体" w:cs="宋体"/>
          <w:highlight w:val="none"/>
        </w:rPr>
        <w:t>安全密级示意图</w:t>
      </w:r>
    </w:p>
    <w:p w14:paraId="2BB1115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支持文件查看权限设定，无权限的参会人员自动屏蔽该文件显示，支持设置文件密级标识（普通、秘密、机密），参会人员若本身密级低于文件密级，则自动屏蔽该文件显示，无法查看文件，参会人员若本身密级等于或高于文件密级，则可以收到并查看文件。</w:t>
      </w:r>
    </w:p>
    <w:p w14:paraId="42F2F3AC">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安全审计</w:t>
      </w:r>
    </w:p>
    <w:p w14:paraId="7D7AE8B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针对发布文档、授权、建立栏目、登录、密级篡改进行日志改造，实时生成符合保密测评要求的日志，支持按照时间、操作者、功能模块搜索日志，日志内容包括操作模块、事件内容、事件结果、行为类别、事件时间、操作人、操作者ip、日志类型等。审计日志保存周期可以由安全保密管理员配置，能够配置为3个月、6个月、12个月等。</w:t>
      </w:r>
    </w:p>
    <w:p w14:paraId="6F3FCA5D">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身份鉴别</w:t>
      </w:r>
    </w:p>
    <w:p w14:paraId="7D43500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系统进行身份鉴别，只有输入正确的身份鉴别信息，方可通过身份鉴别。管理员口令长度应可设置，口令至少为8位，复杂度为大小写英文字母、数字和特殊字符中两者以上的组合。具有身份鉴别尝试次数限制功能，尝试次数可设置，且至多为5次。具有超时认证功能。具有管理员口令更换周期设置功能，更换周期至多为7天。预防有关身份鉴别数据的重用（如不显示默认的登录用户名和记录口令，管理员远程管理采用Https传输协议或私有传输协议等）。</w:t>
      </w:r>
    </w:p>
    <w:p w14:paraId="1A626C06">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三员管理</w:t>
      </w:r>
    </w:p>
    <w:p w14:paraId="4CD6D44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系统设计三员管理，最大限度上减少系统权限带来的风险，三员相互制约、互相监督。三类管理员分别负责系统的运行保障管理、安全保密管理、对运行保障管理和安全保密管理行为的安全审计管理。内部多⼈管理互相监督使⽤会议系统，保证内部使⽤的安全。</w:t>
      </w:r>
    </w:p>
    <w:p w14:paraId="689BA207">
      <w:pPr>
        <w:ind w:firstLine="480"/>
        <w:rPr>
          <w:rFonts w:hint="eastAsia" w:ascii="宋体" w:hAnsi="宋体" w:eastAsia="宋体" w:cs="宋体"/>
          <w:szCs w:val="24"/>
          <w:highlight w:val="none"/>
        </w:rPr>
      </w:pPr>
      <w:r>
        <w:rPr>
          <w:rFonts w:hint="eastAsia" w:ascii="宋体" w:hAnsi="宋体" w:eastAsia="宋体" w:cs="宋体"/>
          <w:szCs w:val="24"/>
          <w:highlight w:val="none"/>
        </w:rPr>
        <w:drawing>
          <wp:inline distT="0" distB="0" distL="114300" distR="114300">
            <wp:extent cx="4664710" cy="1915160"/>
            <wp:effectExtent l="0" t="0" r="2540" b="8890"/>
            <wp:docPr id="2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7"/>
                    <pic:cNvPicPr>
                      <a:picLocks noChangeAspect="1"/>
                    </pic:cNvPicPr>
                  </pic:nvPicPr>
                  <pic:blipFill>
                    <a:blip r:embed="rId23"/>
                    <a:srcRect l="2245" t="2336" r="2386" b="2698"/>
                    <a:stretch>
                      <a:fillRect/>
                    </a:stretch>
                  </pic:blipFill>
                  <pic:spPr>
                    <a:xfrm>
                      <a:off x="0" y="0"/>
                      <a:ext cx="4664710" cy="1915160"/>
                    </a:xfrm>
                    <a:prstGeom prst="rect">
                      <a:avLst/>
                    </a:prstGeom>
                    <a:noFill/>
                    <a:ln>
                      <a:noFill/>
                    </a:ln>
                  </pic:spPr>
                </pic:pic>
              </a:graphicData>
            </a:graphic>
          </wp:inline>
        </w:drawing>
      </w:r>
    </w:p>
    <w:p w14:paraId="35A3E3C0">
      <w:pPr>
        <w:pStyle w:val="63"/>
        <w:numPr>
          <w:ilvl w:val="7"/>
          <w:numId w:val="7"/>
        </w:numPr>
        <w:rPr>
          <w:rFonts w:hint="eastAsia" w:ascii="宋体" w:hAnsi="宋体" w:eastAsia="宋体" w:cs="宋体"/>
          <w:szCs w:val="24"/>
          <w:highlight w:val="none"/>
        </w:rPr>
      </w:pPr>
      <w:r>
        <w:rPr>
          <w:rFonts w:hint="eastAsia" w:ascii="宋体" w:hAnsi="宋体" w:eastAsia="宋体" w:cs="宋体"/>
          <w:highlight w:val="none"/>
        </w:rPr>
        <w:t>三员管理示意图</w:t>
      </w:r>
    </w:p>
    <w:p w14:paraId="6B65043B">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三员分立</w:t>
      </w:r>
    </w:p>
    <w:p w14:paraId="1D60303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color w:val="000000"/>
          <w:szCs w:val="24"/>
          <w:highlight w:val="none"/>
        </w:rPr>
        <w:t>应急救援会商系统</w:t>
      </w:r>
      <w:r>
        <w:rPr>
          <w:rFonts w:hint="eastAsia" w:ascii="宋体" w:hAnsi="宋体" w:eastAsia="宋体" w:cs="宋体"/>
          <w:szCs w:val="24"/>
          <w:highlight w:val="none"/>
        </w:rPr>
        <w:t>管理系统采用三员分立方式，业务系统中通过角色分配的方式赋予管理人系统管理员、安全保密员或审计管理员的身份，并明确了三员在系统中职责与访问权限。</w:t>
      </w:r>
    </w:p>
    <w:p w14:paraId="0E266D4C">
      <w:pPr>
        <w:ind w:firstLine="480"/>
        <w:rPr>
          <w:rFonts w:hint="eastAsia" w:ascii="宋体" w:hAnsi="宋体" w:eastAsia="宋体" w:cs="宋体"/>
          <w:szCs w:val="24"/>
          <w:highlight w:val="none"/>
        </w:rPr>
      </w:pPr>
      <w:r>
        <w:rPr>
          <w:rFonts w:hint="eastAsia" w:ascii="宋体" w:hAnsi="宋体" w:eastAsia="宋体" w:cs="宋体"/>
          <w:szCs w:val="24"/>
          <w:highlight w:val="none"/>
        </w:rPr>
        <w:drawing>
          <wp:inline distT="0" distB="0" distL="114300" distR="114300">
            <wp:extent cx="3790950" cy="3074035"/>
            <wp:effectExtent l="0" t="0" r="0" b="12065"/>
            <wp:docPr id="206" name="图片 8" descr="lALPDh0cQ3QRsaTNCD7NCbE_2481_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8" descr="lALPDh0cQ3QRsaTNCD7NCbE_2481_2110"/>
                    <pic:cNvPicPr>
                      <a:picLocks noChangeAspect="1"/>
                    </pic:cNvPicPr>
                  </pic:nvPicPr>
                  <pic:blipFill>
                    <a:blip r:embed="rId24"/>
                    <a:stretch>
                      <a:fillRect/>
                    </a:stretch>
                  </pic:blipFill>
                  <pic:spPr>
                    <a:xfrm>
                      <a:off x="0" y="0"/>
                      <a:ext cx="3790950" cy="3074035"/>
                    </a:xfrm>
                    <a:prstGeom prst="rect">
                      <a:avLst/>
                    </a:prstGeom>
                    <a:noFill/>
                    <a:ln>
                      <a:noFill/>
                    </a:ln>
                  </pic:spPr>
                </pic:pic>
              </a:graphicData>
            </a:graphic>
          </wp:inline>
        </w:drawing>
      </w:r>
    </w:p>
    <w:p w14:paraId="733BC2BD">
      <w:pPr>
        <w:pStyle w:val="63"/>
        <w:numPr>
          <w:ilvl w:val="7"/>
          <w:numId w:val="7"/>
        </w:numPr>
        <w:rPr>
          <w:rFonts w:hint="eastAsia" w:ascii="宋体" w:hAnsi="宋体" w:eastAsia="宋体" w:cs="宋体"/>
          <w:szCs w:val="24"/>
          <w:highlight w:val="none"/>
        </w:rPr>
      </w:pPr>
      <w:r>
        <w:rPr>
          <w:rFonts w:hint="eastAsia" w:ascii="宋体" w:hAnsi="宋体" w:eastAsia="宋体" w:cs="宋体"/>
          <w:szCs w:val="24"/>
          <w:highlight w:val="none"/>
        </w:rPr>
        <w:t>三员分立示意图</w:t>
      </w:r>
    </w:p>
    <w:p w14:paraId="56AACD7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三员职责的划分</w:t>
      </w:r>
    </w:p>
    <w:p w14:paraId="71990AF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在三员管理之上增加一般员工权限，便于预约会议、接收会议通知、参加会议。</w:t>
      </w:r>
    </w:p>
    <w:p w14:paraId="1747BE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在三员管理之上增加会议管理员，便于办会人员管理会议使用。</w:t>
      </w:r>
    </w:p>
    <w:p w14:paraId="365FCF95">
      <w:pPr>
        <w:pStyle w:val="65"/>
        <w:rPr>
          <w:rFonts w:hint="eastAsia" w:ascii="宋体" w:hAnsi="宋体" w:eastAsia="宋体" w:cs="宋体"/>
          <w:szCs w:val="24"/>
          <w:highlight w:val="none"/>
        </w:rPr>
      </w:pPr>
      <w:r>
        <w:rPr>
          <w:rFonts w:hint="eastAsia" w:ascii="宋体" w:hAnsi="宋体" w:eastAsia="宋体" w:cs="宋体"/>
          <w:highlight w:val="none"/>
        </w:rPr>
        <w:t>三员管理职责对照表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4575"/>
        <w:gridCol w:w="3314"/>
      </w:tblGrid>
      <w:tr w14:paraId="5F7F0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blHeader/>
          <w:jc w:val="center"/>
        </w:trPr>
        <w:tc>
          <w:tcPr>
            <w:tcW w:w="1399" w:type="dxa"/>
            <w:tcBorders>
              <w:top w:val="single" w:color="auto" w:sz="4" w:space="0"/>
              <w:left w:val="single" w:color="auto" w:sz="4" w:space="0"/>
              <w:bottom w:val="single" w:color="auto" w:sz="4" w:space="0"/>
              <w:right w:val="single" w:color="auto" w:sz="4" w:space="0"/>
            </w:tcBorders>
            <w:vAlign w:val="center"/>
          </w:tcPr>
          <w:p w14:paraId="14AB4506">
            <w:pPr>
              <w:adjustRightInd w:val="0"/>
              <w:snapToGrid w:val="0"/>
              <w:spacing w:line="240" w:lineRule="auto"/>
              <w:ind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用户名称</w:t>
            </w:r>
          </w:p>
        </w:tc>
        <w:tc>
          <w:tcPr>
            <w:tcW w:w="4575" w:type="dxa"/>
            <w:tcBorders>
              <w:top w:val="single" w:color="auto" w:sz="4" w:space="0"/>
              <w:left w:val="single" w:color="auto" w:sz="4" w:space="0"/>
              <w:bottom w:val="single" w:color="auto" w:sz="4" w:space="0"/>
              <w:right w:val="single" w:color="auto" w:sz="4" w:space="0"/>
            </w:tcBorders>
            <w:vAlign w:val="center"/>
          </w:tcPr>
          <w:p w14:paraId="0983AC02">
            <w:pPr>
              <w:adjustRightInd w:val="0"/>
              <w:snapToGrid w:val="0"/>
              <w:spacing w:line="240" w:lineRule="auto"/>
              <w:ind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职责</w:t>
            </w:r>
          </w:p>
        </w:tc>
        <w:tc>
          <w:tcPr>
            <w:tcW w:w="0" w:type="auto"/>
            <w:tcBorders>
              <w:top w:val="single" w:color="auto" w:sz="4" w:space="0"/>
              <w:left w:val="single" w:color="auto" w:sz="4" w:space="0"/>
              <w:bottom w:val="single" w:color="auto" w:sz="4" w:space="0"/>
              <w:right w:val="single" w:color="auto" w:sz="4" w:space="0"/>
            </w:tcBorders>
            <w:vAlign w:val="center"/>
          </w:tcPr>
          <w:p w14:paraId="1B6A7E61">
            <w:pPr>
              <w:adjustRightInd w:val="0"/>
              <w:snapToGrid w:val="0"/>
              <w:spacing w:line="240" w:lineRule="auto"/>
              <w:ind w:firstLine="0" w:firstLineChars="0"/>
              <w:jc w:val="center"/>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工作内容</w:t>
            </w:r>
          </w:p>
        </w:tc>
      </w:tr>
      <w:tr w14:paraId="4514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399" w:type="dxa"/>
            <w:vAlign w:val="center"/>
          </w:tcPr>
          <w:p w14:paraId="26E87488">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一般员工</w:t>
            </w:r>
          </w:p>
        </w:tc>
        <w:tc>
          <w:tcPr>
            <w:tcW w:w="4575" w:type="dxa"/>
            <w:vAlign w:val="center"/>
          </w:tcPr>
          <w:p w14:paraId="3ECB5E7F">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内部员工可以预约会议、接收会议通知、参加会议。</w:t>
            </w:r>
          </w:p>
        </w:tc>
        <w:tc>
          <w:tcPr>
            <w:tcW w:w="0" w:type="auto"/>
            <w:vAlign w:val="center"/>
          </w:tcPr>
          <w:p w14:paraId="1AF506DB">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查看会议安排、预约会议室，预约状态查看、审批管理。</w:t>
            </w:r>
          </w:p>
        </w:tc>
      </w:tr>
      <w:tr w14:paraId="6BFE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399" w:type="dxa"/>
            <w:vAlign w:val="center"/>
          </w:tcPr>
          <w:p w14:paraId="46812DCE">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会议管理员</w:t>
            </w:r>
          </w:p>
        </w:tc>
        <w:tc>
          <w:tcPr>
            <w:tcW w:w="4575" w:type="dxa"/>
            <w:vAlign w:val="center"/>
          </w:tcPr>
          <w:p w14:paraId="64C70071">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会议管理员负责系统的日常运行工作。</w:t>
            </w:r>
          </w:p>
        </w:tc>
        <w:tc>
          <w:tcPr>
            <w:tcW w:w="0" w:type="auto"/>
            <w:vAlign w:val="center"/>
          </w:tcPr>
          <w:p w14:paraId="4168C944">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会议筹备管理、会议议题管理、会议模板管理、会议资料管理、预约接待管理，会议纪要管理。</w:t>
            </w:r>
          </w:p>
        </w:tc>
      </w:tr>
      <w:tr w14:paraId="14698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399" w:type="dxa"/>
            <w:vAlign w:val="center"/>
          </w:tcPr>
          <w:p w14:paraId="0AE6AD59">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系统管理员</w:t>
            </w:r>
          </w:p>
        </w:tc>
        <w:tc>
          <w:tcPr>
            <w:tcW w:w="4575" w:type="dxa"/>
            <w:tcBorders>
              <w:top w:val="single" w:color="auto" w:sz="4" w:space="0"/>
              <w:left w:val="single" w:color="auto" w:sz="4" w:space="0"/>
              <w:bottom w:val="single" w:color="auto" w:sz="4" w:space="0"/>
              <w:right w:val="single" w:color="auto" w:sz="4" w:space="0"/>
            </w:tcBorders>
            <w:vAlign w:val="center"/>
          </w:tcPr>
          <w:p w14:paraId="4E94D937">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系统管理员负责系统的管理、配置、维护工作。</w:t>
            </w:r>
          </w:p>
        </w:tc>
        <w:tc>
          <w:tcPr>
            <w:tcW w:w="0" w:type="auto"/>
            <w:vAlign w:val="center"/>
          </w:tcPr>
          <w:p w14:paraId="3F5E016D">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会议室管理、人事管理、会议日程管理、资料管理、会议分析模块、会议系统配置。</w:t>
            </w:r>
          </w:p>
        </w:tc>
      </w:tr>
      <w:tr w14:paraId="0FD04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399" w:type="dxa"/>
            <w:vAlign w:val="center"/>
          </w:tcPr>
          <w:p w14:paraId="2EBC47B1">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安全保密员</w:t>
            </w:r>
          </w:p>
        </w:tc>
        <w:tc>
          <w:tcPr>
            <w:tcW w:w="4575" w:type="dxa"/>
            <w:tcBorders>
              <w:top w:val="single" w:color="auto" w:sz="4" w:space="0"/>
              <w:left w:val="single" w:color="auto" w:sz="4" w:space="0"/>
              <w:bottom w:val="single" w:color="auto" w:sz="4" w:space="0"/>
              <w:right w:val="single" w:color="auto" w:sz="4" w:space="0"/>
            </w:tcBorders>
            <w:vAlign w:val="center"/>
          </w:tcPr>
          <w:p w14:paraId="08171377">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安全保密管理员负责系统的日常安全保密管理工作，包括用户账号管理以及安全保密设备和系统所产生日志的审查分析。</w:t>
            </w:r>
          </w:p>
        </w:tc>
        <w:tc>
          <w:tcPr>
            <w:tcW w:w="0" w:type="auto"/>
            <w:vAlign w:val="center"/>
          </w:tcPr>
          <w:p w14:paraId="78527E9D">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系统管理员和会议管理员权限分配、用户启用/禁用，用户账号密码。</w:t>
            </w:r>
          </w:p>
        </w:tc>
      </w:tr>
      <w:tr w14:paraId="78869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atLeast"/>
          <w:jc w:val="center"/>
        </w:trPr>
        <w:tc>
          <w:tcPr>
            <w:tcW w:w="1399" w:type="dxa"/>
            <w:vAlign w:val="center"/>
          </w:tcPr>
          <w:p w14:paraId="44CE334E">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安全审计员</w:t>
            </w:r>
          </w:p>
        </w:tc>
        <w:tc>
          <w:tcPr>
            <w:tcW w:w="4575" w:type="dxa"/>
            <w:tcBorders>
              <w:top w:val="single" w:color="auto" w:sz="4" w:space="0"/>
              <w:left w:val="single" w:color="auto" w:sz="4" w:space="0"/>
              <w:bottom w:val="single" w:color="auto" w:sz="4" w:space="0"/>
              <w:right w:val="single" w:color="auto" w:sz="4" w:space="0"/>
            </w:tcBorders>
            <w:vAlign w:val="center"/>
          </w:tcPr>
          <w:p w14:paraId="35930A5C">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安全审计员主要负责对系统管理员、安全保密管理员的操作行为进行审计跟踪分析和监督检查，及时发现违规行为，并定期向安全保密管理机构汇报相关情况。</w:t>
            </w:r>
          </w:p>
        </w:tc>
        <w:tc>
          <w:tcPr>
            <w:tcW w:w="0" w:type="auto"/>
            <w:vAlign w:val="center"/>
          </w:tcPr>
          <w:p w14:paraId="650128C9">
            <w:pPr>
              <w:adjustRightInd w:val="0"/>
              <w:snapToGrid w:val="0"/>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会议管理员、系统管理员等操作审计。</w:t>
            </w:r>
          </w:p>
        </w:tc>
      </w:tr>
    </w:tbl>
    <w:p w14:paraId="5F6E3707">
      <w:pPr>
        <w:ind w:firstLine="482"/>
        <w:rPr>
          <w:rFonts w:hint="eastAsia" w:ascii="宋体" w:hAnsi="宋体" w:eastAsia="宋体" w:cs="宋体"/>
          <w:b/>
          <w:szCs w:val="24"/>
          <w:highlight w:val="none"/>
        </w:rPr>
      </w:pPr>
    </w:p>
    <w:p w14:paraId="2241E0EF">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190" w:name="_Toc162608566"/>
      <w:bookmarkEnd w:id="190"/>
      <w:r>
        <w:rPr>
          <w:rFonts w:hint="eastAsia"/>
          <w:highlight w:val="none"/>
        </w:rPr>
        <w:t>软件功能相关参数</w:t>
      </w:r>
    </w:p>
    <w:p w14:paraId="545EFF0C">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支持Windows、Android、统信UOS、中标麒麟等国产操作系统，不同操作系统的客户端可混合组网与会，实现会议文件同屏共享；软件支持更换皮肤主题，系统自带不少于六套皮肤主题，支持客户端功能模块通过后台管理系统进行启动或禁用；</w:t>
      </w:r>
    </w:p>
    <w:p w14:paraId="5B6B6179">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2、电子铭牌：进入画面显示与会人员姓名/职务/单位名称/LOGO/会徽/会标等，背景可自定义编辑，标题可自定义内容，支持多行显示；</w:t>
      </w:r>
    </w:p>
    <w:p w14:paraId="4187514C">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3、签到功能：支持免签进入、账号密码签到、手写签到（笔迹增加笔锋效果）、会议密码签到、支持来宾录入自己的信息并参会；</w:t>
      </w:r>
    </w:p>
    <w:p w14:paraId="7F46B17D">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4、与会人员：与会人员可查看会议中自己和其他与会人员的信息，支持可视化排座，以电子图片式可视化显示出实际会场模拟图，后台信息改动客户端可视化排座跟着变化；</w:t>
      </w:r>
    </w:p>
    <w:p w14:paraId="5614034B">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5、同屏交互：支持客户端一键同屏，有同屏权限客户端可以在会议过程中一键同屏画面到其他会议终端，进行讨论，客户端可选择不与其同步（权限可控制），不与主讲人同步的参会人员可选择其他议题会议材料进行浏览、修改和批注，处在异步浏览状态的参会人员支持一键返回到主讲画面并保持与主讲画面一致；主持人可选择同屏到普通用户或大屏，可选择仅当前会议室同屏或所有会议室同屏；</w:t>
      </w:r>
    </w:p>
    <w:p w14:paraId="58CF29E3">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6、快捷功能：支持快捷功能悬浮窗显示，需要的时候弹出，不需要便隐藏，实现任何终端共享屏幕、停止共享、加入共享、退出共享等功能；</w:t>
      </w:r>
    </w:p>
    <w:p w14:paraId="1E86DAE9">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7、文件在线预览：客户端支持doc、docx、xls、xlsx、ppt、pptx、pdf、png、jpg、mp4格式文件在线预览，可播放PPT的原始动画效果，客户端无需安装其他软件，文件既不下载到本地也不缓存到本地，文件只存储于服务端。支持扩展行业用文件格式html、htm、mht、tif、tiff、txt、ceb、gd、dwg、dxf本地打开浏览；</w:t>
      </w:r>
    </w:p>
    <w:p w14:paraId="3688D045">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8、</w:t>
      </w:r>
      <w:r>
        <w:rPr>
          <w:rFonts w:hint="eastAsia" w:ascii="宋体" w:hAnsi="宋体" w:eastAsia="宋体" w:cs="宋体"/>
          <w:szCs w:val="24"/>
          <w:highlight w:val="none"/>
          <w:lang w:bidi="ar"/>
        </w:rPr>
        <w:t>文件</w:t>
      </w:r>
      <w:r>
        <w:rPr>
          <w:rFonts w:hint="eastAsia" w:ascii="宋体" w:hAnsi="宋体" w:eastAsia="宋体" w:cs="宋体"/>
          <w:color w:val="000000"/>
          <w:kern w:val="0"/>
          <w:szCs w:val="24"/>
          <w:highlight w:val="none"/>
          <w:lang w:bidi="ar"/>
        </w:rPr>
        <w:t>编辑：支持打开doc、docx、xls、xlsx格式文件并进行编辑，操作结果可保存，支持pdf批注结果动态叠加到文档中原格式保存；</w:t>
      </w:r>
    </w:p>
    <w:p w14:paraId="39AAC6AD">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9、</w:t>
      </w:r>
      <w:r>
        <w:rPr>
          <w:rFonts w:hint="eastAsia" w:ascii="宋体" w:hAnsi="宋体" w:eastAsia="宋体" w:cs="宋体"/>
          <w:szCs w:val="24"/>
          <w:highlight w:val="none"/>
          <w:lang w:bidi="ar"/>
        </w:rPr>
        <w:t>文件</w:t>
      </w:r>
      <w:r>
        <w:rPr>
          <w:rFonts w:hint="eastAsia" w:ascii="宋体" w:hAnsi="宋体" w:eastAsia="宋体" w:cs="宋体"/>
          <w:color w:val="000000"/>
          <w:kern w:val="0"/>
          <w:szCs w:val="24"/>
          <w:highlight w:val="none"/>
          <w:lang w:bidi="ar"/>
        </w:rPr>
        <w:t>批注：支持pdf格式文档的原笔迹批注，支持个人批注和协同批注，支持多人同时共享在同一文档上批注，支持与会人员设定画笔颜色和粗细，文件展示区域可放大缩小，批注保存（可在客户端查看保存结果）；</w:t>
      </w:r>
    </w:p>
    <w:p w14:paraId="6794ABFE">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10、</w:t>
      </w:r>
      <w:r>
        <w:rPr>
          <w:rFonts w:hint="eastAsia" w:ascii="宋体" w:hAnsi="宋体" w:eastAsia="宋体" w:cs="宋体"/>
          <w:szCs w:val="24"/>
          <w:highlight w:val="none"/>
          <w:lang w:bidi="ar"/>
        </w:rPr>
        <w:t>投票</w:t>
      </w:r>
      <w:r>
        <w:rPr>
          <w:rFonts w:hint="eastAsia" w:ascii="宋体" w:hAnsi="宋体" w:eastAsia="宋体" w:cs="宋体"/>
          <w:color w:val="000000"/>
          <w:kern w:val="0"/>
          <w:szCs w:val="24"/>
          <w:highlight w:val="none"/>
          <w:lang w:bidi="ar"/>
        </w:rPr>
        <w:t>表决：会议投票分为实名/匿名、单选/多选、其他投票选项等类型，与会人员可对投票的内容进行详细的查看和作出投票，表决结果可由主持人推送到大屏幕上显示，以饼状图和柱状图同时显示投票结果，所有数据根据具体投票情况实时更新，投票结果后台可统计；</w:t>
      </w:r>
    </w:p>
    <w:p w14:paraId="4D97249C">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11、在线视频：与会人员可通过在线视频观看显示视频会议、外置PC电脑桌面等信号，支持与会人员单独观看显示信号画面，支持外部信号实时广播画面到所有应急救援指挥中心终端和大屏幕并同步显示，音频可同步播放到调音台；</w:t>
      </w:r>
    </w:p>
    <w:p w14:paraId="3A645FBF">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12、呼叫服务：预设多种呼叫项目内容，具备的茶、水、咖啡、纸笔、话筒、鲜花、服务人员等呼叫，支持自定义输入呼叫内容一键完成，通信客户端有短消息提醒功能，快速方便；</w:t>
      </w:r>
    </w:p>
    <w:p w14:paraId="37B9EB84">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13、会议纪要：会议秘书在会中可通过会议纪要进行会议详情的记录，为方便秘书操作，会议纪要已设置常规的纪要模板，会议纪要文件可同步给其他参会人员观看，支持会议纪要汇签功能，会议秘书发起签字确认，所有参会人员依次签字确认，会议秘书可对签字排序，签字完成后会议纪要文件自动流转后上传到后台；（提供功能界面截图佐证）</w:t>
      </w:r>
    </w:p>
    <w:p w14:paraId="728D0B94">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14、</w:t>
      </w:r>
      <w:r>
        <w:rPr>
          <w:rFonts w:hint="eastAsia" w:ascii="宋体" w:hAnsi="宋体" w:eastAsia="宋体" w:cs="宋体"/>
          <w:szCs w:val="24"/>
          <w:highlight w:val="none"/>
          <w:lang w:bidi="ar"/>
        </w:rPr>
        <w:t>主持</w:t>
      </w:r>
      <w:r>
        <w:rPr>
          <w:rFonts w:hint="eastAsia" w:ascii="宋体" w:hAnsi="宋体" w:eastAsia="宋体" w:cs="宋体"/>
          <w:color w:val="000000"/>
          <w:kern w:val="0"/>
          <w:szCs w:val="24"/>
          <w:highlight w:val="none"/>
          <w:lang w:bidi="ar"/>
        </w:rPr>
        <w:t>权限：主持权限方便会议主持人会议现场主持操作，协助主讲者发起与停止屏幕共享，控制参会人员启用与禁用同屏权限、控制投票的开放与关闭、支持添加、修改、删除投票表决项，控制语音识别功能的开启与关闭，对参会人员的语音识别结果进行校对和保存；</w:t>
      </w:r>
    </w:p>
    <w:p w14:paraId="28022ACC">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highlight w:val="none"/>
        </w:rPr>
      </w:pPr>
      <w:r>
        <w:rPr>
          <w:rFonts w:hint="eastAsia" w:ascii="宋体" w:hAnsi="宋体" w:eastAsia="宋体" w:cs="宋体"/>
          <w:color w:val="000000"/>
          <w:kern w:val="0"/>
          <w:szCs w:val="24"/>
          <w:highlight w:val="none"/>
          <w:lang w:bidi="ar"/>
        </w:rPr>
        <w:t>15、历史会议：支持输入会议标题搜索，可以查看会议状态、会议密级、会议时间、会议室等信息，按照会议标题进行会议资料归档，对议题材料、与会人员、投票信息、会议纪要、白板文件进行归档；</w:t>
      </w:r>
    </w:p>
    <w:p w14:paraId="76309BAA">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配套硬件设计</w:t>
      </w:r>
    </w:p>
    <w:p w14:paraId="41D0B481">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总体设计</w:t>
      </w:r>
    </w:p>
    <w:p w14:paraId="7EA99A7E">
      <w:pPr>
        <w:pageBreakBefore w:val="0"/>
        <w:widowControl w:val="0"/>
        <w:numPr>
          <w:ilvl w:val="0"/>
          <w:numId w:val="24"/>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设计13台应急救援会商办公触控转轴式升降一体显示器。每个座位席设计1台，用于应急救援会商显示、会议操作，嵌入桌面安装，使用时上升，不使用时隐藏于会议桌内。</w:t>
      </w:r>
    </w:p>
    <w:p w14:paraId="4B98C79D">
      <w:pPr>
        <w:pageBreakBefore w:val="0"/>
        <w:widowControl w:val="0"/>
        <w:numPr>
          <w:ilvl w:val="0"/>
          <w:numId w:val="24"/>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设计13台会议终端主机。国产兆芯KX-U6780A处理器，银河麒麟桌面操作系统V10，用于安装应急救援会商办公会议系统软件。</w:t>
      </w:r>
    </w:p>
    <w:p w14:paraId="3F2EA4FB">
      <w:pPr>
        <w:pageBreakBefore w:val="0"/>
        <w:widowControl w:val="0"/>
        <w:numPr>
          <w:ilvl w:val="0"/>
          <w:numId w:val="24"/>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设计13套应急救援会商办公会议系统软件，实现会议文件同屏共享，互通互联、会议签到、会议纪要、呼叫服务等功能。</w:t>
      </w:r>
    </w:p>
    <w:p w14:paraId="7B7C0DF1">
      <w:pPr>
        <w:pageBreakBefore w:val="0"/>
        <w:widowControl w:val="0"/>
        <w:numPr>
          <w:ilvl w:val="0"/>
          <w:numId w:val="24"/>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设计13台超薄升降一体型会议话筒，每个座位席设计1台，与应急救援会商办公触控转轴式升降一体显示器集成一体式，嵌入桌面安装，用于参会人员发言拾音使用。</w:t>
      </w:r>
    </w:p>
    <w:p w14:paraId="612FD1CE">
      <w:pPr>
        <w:pageBreakBefore w:val="0"/>
        <w:widowControl w:val="0"/>
        <w:numPr>
          <w:ilvl w:val="0"/>
          <w:numId w:val="24"/>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设计1台全数字会议发言控制主机，用于连接会议话筒，实现多种发言模式：自由发言、先进先出发言等。</w:t>
      </w:r>
    </w:p>
    <w:p w14:paraId="0290C466">
      <w:pPr>
        <w:pageBreakBefore w:val="0"/>
        <w:widowControl w:val="0"/>
        <w:numPr>
          <w:ilvl w:val="0"/>
          <w:numId w:val="24"/>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设计1台会议管理控制主机。国产海光5380处理器，银河麒麟高级服务器操作系统V10，用于安装应急救援会商集中管理系统软件。</w:t>
      </w:r>
    </w:p>
    <w:p w14:paraId="06CB3A80">
      <w:pPr>
        <w:pageBreakBefore w:val="0"/>
        <w:widowControl w:val="0"/>
        <w:numPr>
          <w:ilvl w:val="0"/>
          <w:numId w:val="24"/>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设计1套应急救援会商集中管理系统软件，为应急救援会商系统提供后台服务的计算机平台。使用文件存储、上传下载，共享，集中控制等后台支持。</w:t>
      </w:r>
    </w:p>
    <w:p w14:paraId="3D8FF1E1">
      <w:pPr>
        <w:pageBreakBefore w:val="0"/>
        <w:widowControl w:val="0"/>
        <w:numPr>
          <w:ilvl w:val="0"/>
          <w:numId w:val="24"/>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设计1台应急救援会商拓展主机。一台设备可带22个应急救援会商办公触控转轴式升降一体显示器，单元与扩展主机点对点有线连接，拓展主机之间可级联。</w:t>
      </w:r>
    </w:p>
    <w:p w14:paraId="563F2A1B">
      <w:pPr>
        <w:pageBreakBefore w:val="0"/>
        <w:widowControl w:val="0"/>
        <w:numPr>
          <w:ilvl w:val="0"/>
          <w:numId w:val="24"/>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设计1台分布式并发推流服务器。国产兆芯KX-U6780A处理器，银河麒麟桌面操作系统V10，用于外部高清视频信号输入在应急救援会商终端显示。</w:t>
      </w:r>
    </w:p>
    <w:p w14:paraId="503F3582">
      <w:pPr>
        <w:pageBreakBefore w:val="0"/>
        <w:widowControl w:val="0"/>
        <w:numPr>
          <w:ilvl w:val="0"/>
          <w:numId w:val="24"/>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设计1台投影控制主机。国产兆芯KX-U6780A处理器，银河麒麟桌面操作系统V10，用于应急救援会商系统和大屏幕视频信号同步输出的转换处理，实现应急救援会商系统与大屏幕的无缝对接。</w:t>
      </w:r>
    </w:p>
    <w:p w14:paraId="23F4A50E">
      <w:pPr>
        <w:pageBreakBefore w:val="0"/>
        <w:widowControl w:val="0"/>
        <w:numPr>
          <w:ilvl w:val="0"/>
          <w:numId w:val="24"/>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设计2只应急救援会商多媒体桌插。含五孔电源*2、USB接口*1、网口*2、3.5音频*1、VGA*1、HDMI*1等接口。</w:t>
      </w:r>
    </w:p>
    <w:p w14:paraId="7B6CC1FB">
      <w:pPr>
        <w:pageBreakBefore w:val="0"/>
        <w:widowControl w:val="0"/>
        <w:numPr>
          <w:ilvl w:val="0"/>
          <w:numId w:val="24"/>
        </w:numPr>
        <w:kinsoku/>
        <w:wordWrap/>
        <w:overflowPunct/>
        <w:topLinePunct w:val="0"/>
        <w:autoSpaceDE/>
        <w:autoSpaceDN/>
        <w:bidi w:val="0"/>
        <w:adjustRightInd/>
        <w:snapToGrid/>
        <w:spacing w:line="400" w:lineRule="exact"/>
        <w:ind w:left="0" w:firstLine="480"/>
        <w:textAlignment w:val="auto"/>
        <w:rPr>
          <w:rFonts w:hint="eastAsia" w:ascii="宋体" w:hAnsi="宋体" w:eastAsia="宋体" w:cs="宋体"/>
          <w:highlight w:val="none"/>
        </w:rPr>
      </w:pPr>
      <w:r>
        <w:rPr>
          <w:rFonts w:hint="eastAsia" w:ascii="宋体" w:hAnsi="宋体" w:eastAsia="宋体" w:cs="宋体"/>
          <w:highlight w:val="none"/>
        </w:rPr>
        <w:t>设计1张定制会议桌。尺寸不小于6.5m*2.2m*0.76m，用于定制开孔安装应急救援会商系统设备。</w:t>
      </w:r>
    </w:p>
    <w:p w14:paraId="165AA75B">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配套硬件清单</w:t>
      </w:r>
    </w:p>
    <w:p w14:paraId="2ED31A90">
      <w:pPr>
        <w:pStyle w:val="65"/>
        <w:rPr>
          <w:rFonts w:hint="eastAsia" w:ascii="宋体" w:hAnsi="宋体" w:eastAsia="宋体" w:cs="宋体"/>
          <w:highlight w:val="none"/>
        </w:rPr>
      </w:pPr>
      <w:r>
        <w:rPr>
          <w:rFonts w:hint="eastAsia" w:ascii="宋体" w:hAnsi="宋体" w:eastAsia="宋体" w:cs="宋体"/>
          <w:highlight w:val="none"/>
        </w:rPr>
        <w:t>配套硬件清单</w:t>
      </w:r>
    </w:p>
    <w:tbl>
      <w:tblPr>
        <w:tblStyle w:val="34"/>
        <w:tblW w:w="49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2"/>
        <w:gridCol w:w="828"/>
        <w:gridCol w:w="830"/>
        <w:gridCol w:w="1951"/>
        <w:gridCol w:w="1658"/>
      </w:tblGrid>
      <w:tr w14:paraId="40398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blHeader/>
        </w:trPr>
        <w:tc>
          <w:tcPr>
            <w:tcW w:w="2137" w:type="pct"/>
            <w:shd w:val="clear" w:color="000000" w:fill="auto"/>
            <w:vAlign w:val="center"/>
          </w:tcPr>
          <w:p w14:paraId="73AECB3E">
            <w:pPr>
              <w:spacing w:line="240" w:lineRule="auto"/>
              <w:ind w:firstLine="0" w:firstLineChars="0"/>
              <w:jc w:val="center"/>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硬件名称</w:t>
            </w:r>
          </w:p>
        </w:tc>
        <w:tc>
          <w:tcPr>
            <w:tcW w:w="450" w:type="pct"/>
            <w:shd w:val="clear" w:color="000000" w:fill="auto"/>
            <w:vAlign w:val="center"/>
          </w:tcPr>
          <w:p w14:paraId="13B80DED">
            <w:pPr>
              <w:spacing w:line="240" w:lineRule="auto"/>
              <w:ind w:firstLine="0" w:firstLineChars="0"/>
              <w:jc w:val="center"/>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单位</w:t>
            </w:r>
          </w:p>
        </w:tc>
        <w:tc>
          <w:tcPr>
            <w:tcW w:w="451" w:type="pct"/>
            <w:shd w:val="clear" w:color="000000" w:fill="auto"/>
            <w:vAlign w:val="center"/>
          </w:tcPr>
          <w:p w14:paraId="16FAEF14">
            <w:pPr>
              <w:spacing w:line="240" w:lineRule="auto"/>
              <w:ind w:firstLine="0" w:firstLineChars="0"/>
              <w:jc w:val="center"/>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数量</w:t>
            </w:r>
          </w:p>
        </w:tc>
        <w:tc>
          <w:tcPr>
            <w:tcW w:w="1060" w:type="pct"/>
            <w:shd w:val="clear" w:color="000000" w:fill="auto"/>
            <w:vAlign w:val="center"/>
          </w:tcPr>
          <w:p w14:paraId="33B28BA9">
            <w:pPr>
              <w:spacing w:line="240" w:lineRule="auto"/>
              <w:ind w:firstLine="0" w:firstLineChars="0"/>
              <w:jc w:val="center"/>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安装位置</w:t>
            </w:r>
          </w:p>
        </w:tc>
        <w:tc>
          <w:tcPr>
            <w:tcW w:w="901" w:type="pct"/>
            <w:shd w:val="clear" w:color="000000" w:fill="auto"/>
            <w:vAlign w:val="center"/>
          </w:tcPr>
          <w:p w14:paraId="63A4B17A">
            <w:pPr>
              <w:spacing w:line="240" w:lineRule="auto"/>
              <w:ind w:firstLine="0" w:firstLineChars="0"/>
              <w:jc w:val="center"/>
              <w:rPr>
                <w:rFonts w:hint="eastAsia" w:ascii="宋体" w:hAnsi="宋体" w:eastAsia="宋体" w:cs="宋体"/>
                <w:b/>
                <w:bCs/>
                <w:color w:val="000000"/>
                <w:szCs w:val="24"/>
                <w:highlight w:val="none"/>
              </w:rPr>
            </w:pPr>
            <w:r>
              <w:rPr>
                <w:rFonts w:hint="eastAsia" w:ascii="宋体" w:hAnsi="宋体" w:eastAsia="宋体" w:cs="宋体"/>
                <w:b/>
                <w:bCs/>
                <w:color w:val="000000"/>
                <w:szCs w:val="24"/>
                <w:highlight w:val="none"/>
              </w:rPr>
              <w:t>备注说明</w:t>
            </w:r>
          </w:p>
        </w:tc>
      </w:tr>
      <w:tr w14:paraId="6572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794D0854">
            <w:pPr>
              <w:widowControl/>
              <w:ind w:firstLine="480"/>
              <w:textAlignment w:val="center"/>
              <w:rPr>
                <w:rFonts w:hint="eastAsia" w:ascii="宋体" w:hAnsi="宋体" w:eastAsia="宋体" w:cs="宋体"/>
                <w:color w:val="000000"/>
                <w:sz w:val="28"/>
                <w:szCs w:val="28"/>
                <w:highlight w:val="none"/>
              </w:rPr>
            </w:pPr>
            <w:r>
              <w:rPr>
                <w:rFonts w:hint="eastAsia" w:ascii="宋体" w:hAnsi="宋体" w:eastAsia="宋体" w:cs="宋体"/>
                <w:color w:val="000000"/>
                <w:kern w:val="0"/>
                <w:szCs w:val="24"/>
                <w:highlight w:val="none"/>
                <w:lang w:bidi="ar"/>
              </w:rPr>
              <w:t>服务器</w:t>
            </w:r>
          </w:p>
        </w:tc>
        <w:tc>
          <w:tcPr>
            <w:tcW w:w="450" w:type="pct"/>
            <w:vAlign w:val="center"/>
          </w:tcPr>
          <w:p w14:paraId="1B4566F8">
            <w:pPr>
              <w:spacing w:line="240" w:lineRule="auto"/>
              <w:ind w:firstLine="0" w:firstLineChars="0"/>
              <w:jc w:val="center"/>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台</w:t>
            </w:r>
          </w:p>
        </w:tc>
        <w:tc>
          <w:tcPr>
            <w:tcW w:w="451" w:type="pct"/>
            <w:vAlign w:val="center"/>
          </w:tcPr>
          <w:p w14:paraId="508BF3A9">
            <w:pPr>
              <w:spacing w:line="240" w:lineRule="auto"/>
              <w:ind w:firstLine="0" w:firstLineChars="0"/>
              <w:jc w:val="center"/>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w:t>
            </w:r>
          </w:p>
        </w:tc>
        <w:tc>
          <w:tcPr>
            <w:tcW w:w="1060" w:type="pct"/>
            <w:vMerge w:val="restart"/>
            <w:vAlign w:val="center"/>
          </w:tcPr>
          <w:p w14:paraId="240F83BF">
            <w:pPr>
              <w:spacing w:line="240" w:lineRule="auto"/>
              <w:ind w:firstLine="0" w:firstLineChars="0"/>
              <w:jc w:val="center"/>
              <w:rPr>
                <w:rFonts w:hint="eastAsia" w:ascii="宋体" w:hAnsi="宋体" w:eastAsia="宋体" w:cs="宋体"/>
                <w:szCs w:val="24"/>
                <w:highlight w:val="none"/>
              </w:rPr>
            </w:pPr>
            <w:r>
              <w:rPr>
                <w:rFonts w:hint="eastAsia" w:ascii="宋体" w:hAnsi="宋体" w:eastAsia="宋体" w:cs="宋体"/>
                <w:szCs w:val="24"/>
                <w:highlight w:val="none"/>
              </w:rPr>
              <w:t>应急救援会议室</w:t>
            </w:r>
          </w:p>
          <w:p w14:paraId="023DF8B4">
            <w:pPr>
              <w:spacing w:line="240" w:lineRule="auto"/>
              <w:ind w:firstLine="0" w:firstLineChars="0"/>
              <w:rPr>
                <w:rFonts w:hint="eastAsia" w:ascii="宋体" w:hAnsi="宋体" w:eastAsia="宋体" w:cs="宋体"/>
                <w:sz w:val="22"/>
                <w:szCs w:val="22"/>
                <w:highlight w:val="none"/>
              </w:rPr>
            </w:pPr>
          </w:p>
        </w:tc>
        <w:tc>
          <w:tcPr>
            <w:tcW w:w="901" w:type="pct"/>
            <w:vAlign w:val="center"/>
          </w:tcPr>
          <w:p w14:paraId="1E7ABB5A">
            <w:pPr>
              <w:spacing w:line="240" w:lineRule="auto"/>
              <w:ind w:firstLine="0" w:firstLineChars="0"/>
              <w:jc w:val="center"/>
              <w:rPr>
                <w:rFonts w:hint="eastAsia" w:ascii="宋体" w:hAnsi="宋体" w:eastAsia="宋体" w:cs="宋体"/>
                <w:color w:val="000000"/>
                <w:szCs w:val="24"/>
                <w:highlight w:val="none"/>
              </w:rPr>
            </w:pPr>
          </w:p>
        </w:tc>
      </w:tr>
      <w:tr w14:paraId="4F9E4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6A449411">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触控转轴式升降一体显示器</w:t>
            </w:r>
          </w:p>
        </w:tc>
        <w:tc>
          <w:tcPr>
            <w:tcW w:w="450" w:type="pct"/>
            <w:vAlign w:val="center"/>
          </w:tcPr>
          <w:p w14:paraId="63F1327B">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372A7E83">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13</w:t>
            </w:r>
          </w:p>
        </w:tc>
        <w:tc>
          <w:tcPr>
            <w:tcW w:w="1060" w:type="pct"/>
            <w:vMerge w:val="continue"/>
            <w:vAlign w:val="center"/>
          </w:tcPr>
          <w:p w14:paraId="74443BA8">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78B19496">
            <w:pPr>
              <w:spacing w:line="240" w:lineRule="auto"/>
              <w:ind w:firstLine="0" w:firstLineChars="0"/>
              <w:jc w:val="center"/>
              <w:rPr>
                <w:rFonts w:hint="eastAsia" w:ascii="宋体" w:hAnsi="宋体" w:eastAsia="宋体" w:cs="宋体"/>
                <w:color w:val="000000"/>
                <w:sz w:val="22"/>
                <w:szCs w:val="22"/>
                <w:highlight w:val="none"/>
              </w:rPr>
            </w:pPr>
          </w:p>
        </w:tc>
      </w:tr>
      <w:tr w14:paraId="24F4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06593316">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会议终端主机</w:t>
            </w:r>
          </w:p>
        </w:tc>
        <w:tc>
          <w:tcPr>
            <w:tcW w:w="450" w:type="pct"/>
            <w:vAlign w:val="center"/>
          </w:tcPr>
          <w:p w14:paraId="27097DDA">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322DEA24">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13</w:t>
            </w:r>
          </w:p>
        </w:tc>
        <w:tc>
          <w:tcPr>
            <w:tcW w:w="1060" w:type="pct"/>
            <w:vMerge w:val="continue"/>
            <w:vAlign w:val="center"/>
          </w:tcPr>
          <w:p w14:paraId="267C27AB">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040A94A1">
            <w:pPr>
              <w:spacing w:line="240" w:lineRule="auto"/>
              <w:ind w:firstLine="0" w:firstLineChars="0"/>
              <w:jc w:val="center"/>
              <w:rPr>
                <w:rFonts w:hint="eastAsia" w:ascii="宋体" w:hAnsi="宋体" w:eastAsia="宋体" w:cs="宋体"/>
                <w:color w:val="000000"/>
                <w:sz w:val="22"/>
                <w:szCs w:val="22"/>
                <w:highlight w:val="none"/>
              </w:rPr>
            </w:pPr>
          </w:p>
        </w:tc>
      </w:tr>
      <w:tr w14:paraId="5BA4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2137" w:type="pct"/>
            <w:vAlign w:val="center"/>
          </w:tcPr>
          <w:p w14:paraId="578D83DB">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超薄升降一体型会议话筒</w:t>
            </w:r>
          </w:p>
        </w:tc>
        <w:tc>
          <w:tcPr>
            <w:tcW w:w="450" w:type="pct"/>
            <w:vAlign w:val="center"/>
          </w:tcPr>
          <w:p w14:paraId="6B085833">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个</w:t>
            </w:r>
          </w:p>
        </w:tc>
        <w:tc>
          <w:tcPr>
            <w:tcW w:w="451" w:type="pct"/>
            <w:vAlign w:val="center"/>
          </w:tcPr>
          <w:p w14:paraId="3A2C8F18">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13</w:t>
            </w:r>
          </w:p>
        </w:tc>
        <w:tc>
          <w:tcPr>
            <w:tcW w:w="1060" w:type="pct"/>
            <w:vMerge w:val="continue"/>
            <w:vAlign w:val="center"/>
          </w:tcPr>
          <w:p w14:paraId="5A7A5B37">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230A4278">
            <w:pPr>
              <w:spacing w:line="240" w:lineRule="auto"/>
              <w:ind w:firstLine="0" w:firstLineChars="0"/>
              <w:jc w:val="center"/>
              <w:rPr>
                <w:rFonts w:hint="eastAsia" w:ascii="宋体" w:hAnsi="宋体" w:eastAsia="宋体" w:cs="宋体"/>
                <w:color w:val="000000"/>
                <w:sz w:val="22"/>
                <w:szCs w:val="22"/>
                <w:highlight w:val="none"/>
              </w:rPr>
            </w:pPr>
          </w:p>
        </w:tc>
      </w:tr>
      <w:tr w14:paraId="1858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5BA2B369">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全数字会议发言控制主机</w:t>
            </w:r>
          </w:p>
        </w:tc>
        <w:tc>
          <w:tcPr>
            <w:tcW w:w="450" w:type="pct"/>
            <w:vAlign w:val="center"/>
          </w:tcPr>
          <w:p w14:paraId="0BC9A887">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5252ED4D">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w:t>
            </w:r>
          </w:p>
        </w:tc>
        <w:tc>
          <w:tcPr>
            <w:tcW w:w="1060" w:type="pct"/>
            <w:vMerge w:val="continue"/>
            <w:vAlign w:val="center"/>
          </w:tcPr>
          <w:p w14:paraId="52668DE5">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435E6BC0">
            <w:pPr>
              <w:spacing w:line="240" w:lineRule="auto"/>
              <w:ind w:firstLine="0" w:firstLineChars="0"/>
              <w:jc w:val="center"/>
              <w:rPr>
                <w:rFonts w:hint="eastAsia" w:ascii="宋体" w:hAnsi="宋体" w:eastAsia="宋体" w:cs="宋体"/>
                <w:color w:val="000000"/>
                <w:sz w:val="22"/>
                <w:szCs w:val="22"/>
                <w:highlight w:val="none"/>
              </w:rPr>
            </w:pPr>
          </w:p>
        </w:tc>
      </w:tr>
      <w:tr w14:paraId="00DB6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131799E5">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会议管理控制主机</w:t>
            </w:r>
          </w:p>
        </w:tc>
        <w:tc>
          <w:tcPr>
            <w:tcW w:w="450" w:type="pct"/>
            <w:vAlign w:val="center"/>
          </w:tcPr>
          <w:p w14:paraId="0B77B4A5">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0A59D83D">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w:t>
            </w:r>
          </w:p>
        </w:tc>
        <w:tc>
          <w:tcPr>
            <w:tcW w:w="1060" w:type="pct"/>
            <w:vMerge w:val="continue"/>
            <w:vAlign w:val="center"/>
          </w:tcPr>
          <w:p w14:paraId="33C95BC6">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4ED29CEF">
            <w:pPr>
              <w:spacing w:line="240" w:lineRule="auto"/>
              <w:ind w:firstLine="0" w:firstLineChars="0"/>
              <w:jc w:val="center"/>
              <w:rPr>
                <w:rFonts w:hint="eastAsia" w:ascii="宋体" w:hAnsi="宋体" w:eastAsia="宋体" w:cs="宋体"/>
                <w:color w:val="000000"/>
                <w:sz w:val="22"/>
                <w:szCs w:val="22"/>
                <w:highlight w:val="none"/>
              </w:rPr>
            </w:pPr>
          </w:p>
        </w:tc>
      </w:tr>
      <w:tr w14:paraId="31861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7CF6E2A1">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会议拓展主机</w:t>
            </w:r>
          </w:p>
        </w:tc>
        <w:tc>
          <w:tcPr>
            <w:tcW w:w="450" w:type="pct"/>
            <w:vAlign w:val="center"/>
          </w:tcPr>
          <w:p w14:paraId="2661318D">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79B6C55C">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w:t>
            </w:r>
          </w:p>
        </w:tc>
        <w:tc>
          <w:tcPr>
            <w:tcW w:w="1060" w:type="pct"/>
            <w:vMerge w:val="continue"/>
            <w:vAlign w:val="center"/>
          </w:tcPr>
          <w:p w14:paraId="73BE6423">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6A148D85">
            <w:pPr>
              <w:spacing w:line="240" w:lineRule="auto"/>
              <w:ind w:firstLine="0" w:firstLineChars="0"/>
              <w:jc w:val="center"/>
              <w:rPr>
                <w:rFonts w:hint="eastAsia" w:ascii="宋体" w:hAnsi="宋体" w:eastAsia="宋体" w:cs="宋体"/>
                <w:color w:val="000000"/>
                <w:sz w:val="22"/>
                <w:szCs w:val="22"/>
                <w:highlight w:val="none"/>
              </w:rPr>
            </w:pPr>
          </w:p>
        </w:tc>
      </w:tr>
      <w:tr w14:paraId="7D5B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00FD7E22">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投影控制主机</w:t>
            </w:r>
          </w:p>
        </w:tc>
        <w:tc>
          <w:tcPr>
            <w:tcW w:w="450" w:type="pct"/>
            <w:vAlign w:val="center"/>
          </w:tcPr>
          <w:p w14:paraId="17DC8D7C">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032C8B32">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w:t>
            </w:r>
          </w:p>
        </w:tc>
        <w:tc>
          <w:tcPr>
            <w:tcW w:w="1060" w:type="pct"/>
            <w:vMerge w:val="continue"/>
            <w:vAlign w:val="center"/>
          </w:tcPr>
          <w:p w14:paraId="5EE49E2B">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0394C523">
            <w:pPr>
              <w:spacing w:line="240" w:lineRule="auto"/>
              <w:ind w:firstLine="0" w:firstLineChars="0"/>
              <w:jc w:val="center"/>
              <w:rPr>
                <w:rFonts w:hint="eastAsia" w:ascii="宋体" w:hAnsi="宋体" w:eastAsia="宋体" w:cs="宋体"/>
                <w:color w:val="000000"/>
                <w:sz w:val="22"/>
                <w:szCs w:val="22"/>
                <w:highlight w:val="none"/>
              </w:rPr>
            </w:pPr>
          </w:p>
        </w:tc>
      </w:tr>
      <w:tr w14:paraId="3CD10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38469D2F">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多媒体桌插</w:t>
            </w:r>
          </w:p>
        </w:tc>
        <w:tc>
          <w:tcPr>
            <w:tcW w:w="450" w:type="pct"/>
            <w:vAlign w:val="center"/>
          </w:tcPr>
          <w:p w14:paraId="0808E79F">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个</w:t>
            </w:r>
          </w:p>
        </w:tc>
        <w:tc>
          <w:tcPr>
            <w:tcW w:w="451" w:type="pct"/>
            <w:vAlign w:val="center"/>
          </w:tcPr>
          <w:p w14:paraId="58AA868B">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2</w:t>
            </w:r>
          </w:p>
        </w:tc>
        <w:tc>
          <w:tcPr>
            <w:tcW w:w="1060" w:type="pct"/>
            <w:vMerge w:val="continue"/>
            <w:vAlign w:val="center"/>
          </w:tcPr>
          <w:p w14:paraId="20F85CC9">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730C6023">
            <w:pPr>
              <w:spacing w:line="240" w:lineRule="auto"/>
              <w:ind w:firstLine="0" w:firstLineChars="0"/>
              <w:jc w:val="center"/>
              <w:rPr>
                <w:rFonts w:hint="eastAsia" w:ascii="宋体" w:hAnsi="宋体" w:eastAsia="宋体" w:cs="宋体"/>
                <w:color w:val="000000"/>
                <w:sz w:val="22"/>
                <w:szCs w:val="22"/>
                <w:highlight w:val="none"/>
              </w:rPr>
            </w:pPr>
          </w:p>
        </w:tc>
      </w:tr>
      <w:tr w14:paraId="169F1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39D61A92">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定制会议工位</w:t>
            </w:r>
          </w:p>
        </w:tc>
        <w:tc>
          <w:tcPr>
            <w:tcW w:w="450" w:type="pct"/>
            <w:vAlign w:val="center"/>
          </w:tcPr>
          <w:p w14:paraId="65C636FE">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套</w:t>
            </w:r>
          </w:p>
        </w:tc>
        <w:tc>
          <w:tcPr>
            <w:tcW w:w="451" w:type="pct"/>
            <w:vAlign w:val="center"/>
          </w:tcPr>
          <w:p w14:paraId="003893F5">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w:t>
            </w:r>
          </w:p>
        </w:tc>
        <w:tc>
          <w:tcPr>
            <w:tcW w:w="1060" w:type="pct"/>
            <w:vMerge w:val="continue"/>
            <w:vAlign w:val="center"/>
          </w:tcPr>
          <w:p w14:paraId="1590BDC7">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6CCD2F5E">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13把椅子</w:t>
            </w:r>
          </w:p>
        </w:tc>
      </w:tr>
      <w:tr w14:paraId="32149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70CB34F8">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至少86寸液晶触控显示单元</w:t>
            </w:r>
          </w:p>
        </w:tc>
        <w:tc>
          <w:tcPr>
            <w:tcW w:w="450" w:type="pct"/>
            <w:vAlign w:val="center"/>
          </w:tcPr>
          <w:p w14:paraId="3EBBF771">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4C1092E0">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w:t>
            </w:r>
          </w:p>
        </w:tc>
        <w:tc>
          <w:tcPr>
            <w:tcW w:w="1060" w:type="pct"/>
            <w:vMerge w:val="continue"/>
            <w:vAlign w:val="center"/>
          </w:tcPr>
          <w:p w14:paraId="32DF79A3">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424A2906">
            <w:pPr>
              <w:spacing w:line="240" w:lineRule="auto"/>
              <w:ind w:firstLine="0" w:firstLineChars="0"/>
              <w:jc w:val="center"/>
              <w:rPr>
                <w:rFonts w:hint="eastAsia" w:ascii="宋体" w:hAnsi="宋体" w:eastAsia="宋体" w:cs="宋体"/>
                <w:color w:val="000000"/>
                <w:sz w:val="22"/>
                <w:szCs w:val="22"/>
                <w:highlight w:val="none"/>
              </w:rPr>
            </w:pPr>
          </w:p>
        </w:tc>
      </w:tr>
      <w:tr w14:paraId="0174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5B08F9A3">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HDMI无缝视频矩阵</w:t>
            </w:r>
          </w:p>
        </w:tc>
        <w:tc>
          <w:tcPr>
            <w:tcW w:w="450" w:type="pct"/>
            <w:vAlign w:val="center"/>
          </w:tcPr>
          <w:p w14:paraId="025DC460">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套</w:t>
            </w:r>
          </w:p>
        </w:tc>
        <w:tc>
          <w:tcPr>
            <w:tcW w:w="451" w:type="pct"/>
            <w:vAlign w:val="center"/>
          </w:tcPr>
          <w:p w14:paraId="62434867">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w:t>
            </w:r>
          </w:p>
        </w:tc>
        <w:tc>
          <w:tcPr>
            <w:tcW w:w="1060" w:type="pct"/>
            <w:vMerge w:val="continue"/>
            <w:vAlign w:val="center"/>
          </w:tcPr>
          <w:p w14:paraId="4A3D73BB">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328DB563">
            <w:pPr>
              <w:spacing w:line="240" w:lineRule="auto"/>
              <w:ind w:firstLine="0" w:firstLineChars="0"/>
              <w:jc w:val="center"/>
              <w:rPr>
                <w:rFonts w:hint="eastAsia" w:ascii="宋体" w:hAnsi="宋体" w:eastAsia="宋体" w:cs="宋体"/>
                <w:color w:val="000000"/>
                <w:sz w:val="22"/>
                <w:szCs w:val="22"/>
                <w:highlight w:val="none"/>
              </w:rPr>
            </w:pPr>
          </w:p>
        </w:tc>
      </w:tr>
      <w:tr w14:paraId="7492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66895503">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无线投屏系统</w:t>
            </w:r>
          </w:p>
        </w:tc>
        <w:tc>
          <w:tcPr>
            <w:tcW w:w="450" w:type="pct"/>
            <w:vAlign w:val="center"/>
          </w:tcPr>
          <w:p w14:paraId="3D8F4502">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套</w:t>
            </w:r>
          </w:p>
        </w:tc>
        <w:tc>
          <w:tcPr>
            <w:tcW w:w="451" w:type="pct"/>
            <w:vAlign w:val="center"/>
          </w:tcPr>
          <w:p w14:paraId="3C5738C4">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w:t>
            </w:r>
          </w:p>
        </w:tc>
        <w:tc>
          <w:tcPr>
            <w:tcW w:w="1060" w:type="pct"/>
            <w:vMerge w:val="continue"/>
            <w:vAlign w:val="center"/>
          </w:tcPr>
          <w:p w14:paraId="79298546">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48EAD8F9">
            <w:pPr>
              <w:spacing w:line="240" w:lineRule="auto"/>
              <w:ind w:firstLine="0" w:firstLineChars="0"/>
              <w:jc w:val="center"/>
              <w:rPr>
                <w:rFonts w:hint="eastAsia" w:ascii="宋体" w:hAnsi="宋体" w:eastAsia="宋体" w:cs="宋体"/>
                <w:color w:val="000000"/>
                <w:sz w:val="22"/>
                <w:szCs w:val="22"/>
                <w:highlight w:val="none"/>
              </w:rPr>
            </w:pPr>
          </w:p>
        </w:tc>
      </w:tr>
      <w:tr w14:paraId="7F7F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379458DA">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阵列音柱</w:t>
            </w:r>
          </w:p>
        </w:tc>
        <w:tc>
          <w:tcPr>
            <w:tcW w:w="450" w:type="pct"/>
            <w:vAlign w:val="center"/>
          </w:tcPr>
          <w:p w14:paraId="51217AA3">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套</w:t>
            </w:r>
          </w:p>
        </w:tc>
        <w:tc>
          <w:tcPr>
            <w:tcW w:w="451" w:type="pct"/>
            <w:vAlign w:val="center"/>
          </w:tcPr>
          <w:p w14:paraId="0C6A9815">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2</w:t>
            </w:r>
          </w:p>
        </w:tc>
        <w:tc>
          <w:tcPr>
            <w:tcW w:w="1060" w:type="pct"/>
            <w:vMerge w:val="continue"/>
            <w:vAlign w:val="center"/>
          </w:tcPr>
          <w:p w14:paraId="70592170">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2664AE4A">
            <w:pPr>
              <w:spacing w:line="240" w:lineRule="auto"/>
              <w:ind w:firstLine="0" w:firstLineChars="0"/>
              <w:jc w:val="center"/>
              <w:rPr>
                <w:rFonts w:hint="eastAsia" w:ascii="宋体" w:hAnsi="宋体" w:eastAsia="宋体" w:cs="宋体"/>
                <w:color w:val="000000"/>
                <w:sz w:val="22"/>
                <w:szCs w:val="22"/>
                <w:highlight w:val="none"/>
              </w:rPr>
            </w:pPr>
          </w:p>
        </w:tc>
      </w:tr>
      <w:tr w14:paraId="40408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4984F555">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功率放大器</w:t>
            </w:r>
          </w:p>
        </w:tc>
        <w:tc>
          <w:tcPr>
            <w:tcW w:w="450" w:type="pct"/>
            <w:vAlign w:val="center"/>
          </w:tcPr>
          <w:p w14:paraId="0CC48956">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6AD55858">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w:t>
            </w:r>
          </w:p>
        </w:tc>
        <w:tc>
          <w:tcPr>
            <w:tcW w:w="1060" w:type="pct"/>
            <w:vMerge w:val="continue"/>
            <w:vAlign w:val="center"/>
          </w:tcPr>
          <w:p w14:paraId="15AB1957">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5FF7CB56">
            <w:pPr>
              <w:spacing w:line="240" w:lineRule="auto"/>
              <w:ind w:firstLine="0" w:firstLineChars="0"/>
              <w:jc w:val="center"/>
              <w:rPr>
                <w:rFonts w:hint="eastAsia" w:ascii="宋体" w:hAnsi="宋体" w:eastAsia="宋体" w:cs="宋体"/>
                <w:color w:val="000000"/>
                <w:sz w:val="22"/>
                <w:szCs w:val="22"/>
                <w:highlight w:val="none"/>
              </w:rPr>
            </w:pPr>
          </w:p>
        </w:tc>
      </w:tr>
      <w:tr w14:paraId="3716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076BC635">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数字音频处理器</w:t>
            </w:r>
          </w:p>
        </w:tc>
        <w:tc>
          <w:tcPr>
            <w:tcW w:w="450" w:type="pct"/>
            <w:vAlign w:val="center"/>
          </w:tcPr>
          <w:p w14:paraId="4C9F8BC3">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1FC18DA3">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w:t>
            </w:r>
          </w:p>
        </w:tc>
        <w:tc>
          <w:tcPr>
            <w:tcW w:w="1060" w:type="pct"/>
            <w:vMerge w:val="continue"/>
            <w:vAlign w:val="center"/>
          </w:tcPr>
          <w:p w14:paraId="5F6358DD">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01550E66">
            <w:pPr>
              <w:spacing w:line="240" w:lineRule="auto"/>
              <w:ind w:firstLine="0" w:firstLineChars="0"/>
              <w:jc w:val="center"/>
              <w:rPr>
                <w:rFonts w:hint="eastAsia" w:ascii="宋体" w:hAnsi="宋体" w:eastAsia="宋体" w:cs="宋体"/>
                <w:color w:val="000000"/>
                <w:sz w:val="22"/>
                <w:szCs w:val="22"/>
                <w:highlight w:val="none"/>
              </w:rPr>
            </w:pPr>
          </w:p>
        </w:tc>
      </w:tr>
      <w:tr w14:paraId="46E23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65CBD1D3">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无线手持话筒</w:t>
            </w:r>
          </w:p>
        </w:tc>
        <w:tc>
          <w:tcPr>
            <w:tcW w:w="450" w:type="pct"/>
            <w:vAlign w:val="center"/>
          </w:tcPr>
          <w:p w14:paraId="573D899B">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个</w:t>
            </w:r>
          </w:p>
        </w:tc>
        <w:tc>
          <w:tcPr>
            <w:tcW w:w="451" w:type="pct"/>
            <w:vAlign w:val="center"/>
          </w:tcPr>
          <w:p w14:paraId="6ED4E61C">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w:t>
            </w:r>
          </w:p>
        </w:tc>
        <w:tc>
          <w:tcPr>
            <w:tcW w:w="1060" w:type="pct"/>
            <w:vMerge w:val="continue"/>
            <w:vAlign w:val="center"/>
          </w:tcPr>
          <w:p w14:paraId="788CA21A">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4633A8DF">
            <w:pPr>
              <w:spacing w:line="240" w:lineRule="auto"/>
              <w:ind w:firstLine="0" w:firstLineChars="0"/>
              <w:jc w:val="center"/>
              <w:rPr>
                <w:rFonts w:hint="eastAsia" w:ascii="宋体" w:hAnsi="宋体" w:eastAsia="宋体" w:cs="宋体"/>
                <w:color w:val="000000"/>
                <w:sz w:val="22"/>
                <w:szCs w:val="22"/>
                <w:highlight w:val="none"/>
              </w:rPr>
            </w:pPr>
          </w:p>
        </w:tc>
      </w:tr>
      <w:tr w14:paraId="5916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7032B551">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拨号电话</w:t>
            </w:r>
          </w:p>
        </w:tc>
        <w:tc>
          <w:tcPr>
            <w:tcW w:w="450" w:type="pct"/>
            <w:vAlign w:val="center"/>
          </w:tcPr>
          <w:p w14:paraId="6462D617">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台</w:t>
            </w:r>
          </w:p>
        </w:tc>
        <w:tc>
          <w:tcPr>
            <w:tcW w:w="451" w:type="pct"/>
            <w:vAlign w:val="center"/>
          </w:tcPr>
          <w:p w14:paraId="3EBC1F53">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13</w:t>
            </w:r>
          </w:p>
        </w:tc>
        <w:tc>
          <w:tcPr>
            <w:tcW w:w="1060" w:type="pct"/>
            <w:vMerge w:val="continue"/>
            <w:vAlign w:val="center"/>
          </w:tcPr>
          <w:p w14:paraId="520A8D5D">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79DE1D4C">
            <w:pPr>
              <w:spacing w:line="240" w:lineRule="auto"/>
              <w:ind w:firstLine="0" w:firstLineChars="0"/>
              <w:jc w:val="center"/>
              <w:rPr>
                <w:rFonts w:hint="eastAsia" w:ascii="宋体" w:hAnsi="宋体" w:eastAsia="宋体" w:cs="宋体"/>
                <w:color w:val="000000"/>
                <w:sz w:val="22"/>
                <w:szCs w:val="22"/>
                <w:highlight w:val="none"/>
              </w:rPr>
            </w:pPr>
          </w:p>
        </w:tc>
      </w:tr>
      <w:tr w14:paraId="3E8E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rPr>
        <w:tc>
          <w:tcPr>
            <w:tcW w:w="2137" w:type="pct"/>
            <w:vAlign w:val="center"/>
          </w:tcPr>
          <w:p w14:paraId="5C5FFDB9">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电源时序器</w:t>
            </w:r>
          </w:p>
        </w:tc>
        <w:tc>
          <w:tcPr>
            <w:tcW w:w="450" w:type="pct"/>
            <w:vAlign w:val="center"/>
          </w:tcPr>
          <w:p w14:paraId="699590A6">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个</w:t>
            </w:r>
          </w:p>
        </w:tc>
        <w:tc>
          <w:tcPr>
            <w:tcW w:w="451" w:type="pct"/>
            <w:vAlign w:val="center"/>
          </w:tcPr>
          <w:p w14:paraId="29DB2678">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w:t>
            </w:r>
          </w:p>
        </w:tc>
        <w:tc>
          <w:tcPr>
            <w:tcW w:w="1060" w:type="pct"/>
            <w:vMerge w:val="continue"/>
            <w:vAlign w:val="center"/>
          </w:tcPr>
          <w:p w14:paraId="575F8E3A">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07E02F99">
            <w:pPr>
              <w:spacing w:line="240" w:lineRule="auto"/>
              <w:ind w:firstLine="0" w:firstLineChars="0"/>
              <w:jc w:val="center"/>
              <w:rPr>
                <w:rFonts w:hint="eastAsia" w:ascii="宋体" w:hAnsi="宋体" w:eastAsia="宋体" w:cs="宋体"/>
                <w:color w:val="000000"/>
                <w:sz w:val="22"/>
                <w:szCs w:val="22"/>
                <w:highlight w:val="none"/>
              </w:rPr>
            </w:pPr>
          </w:p>
        </w:tc>
      </w:tr>
      <w:tr w14:paraId="66FB2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2137" w:type="pct"/>
            <w:vAlign w:val="center"/>
          </w:tcPr>
          <w:p w14:paraId="05DA7B64">
            <w:pPr>
              <w:widowControl/>
              <w:ind w:firstLine="440"/>
              <w:textAlignment w:val="center"/>
              <w:rPr>
                <w:rFonts w:hint="eastAsia" w:ascii="宋体" w:hAnsi="宋体" w:eastAsia="宋体" w:cs="宋体"/>
                <w:color w:val="000000"/>
                <w:sz w:val="22"/>
                <w:szCs w:val="22"/>
                <w:highlight w:val="none"/>
              </w:rPr>
            </w:pPr>
            <w:r>
              <w:rPr>
                <w:rFonts w:hint="eastAsia" w:ascii="宋体" w:hAnsi="宋体" w:eastAsia="宋体" w:cs="宋体"/>
                <w:color w:val="000000"/>
                <w:kern w:val="0"/>
                <w:sz w:val="22"/>
                <w:szCs w:val="22"/>
                <w:highlight w:val="none"/>
                <w:lang w:bidi="ar"/>
              </w:rPr>
              <w:t>专用线缆</w:t>
            </w:r>
          </w:p>
        </w:tc>
        <w:tc>
          <w:tcPr>
            <w:tcW w:w="450" w:type="pct"/>
            <w:vAlign w:val="center"/>
          </w:tcPr>
          <w:p w14:paraId="29BC4FE5">
            <w:pPr>
              <w:spacing w:line="240" w:lineRule="auto"/>
              <w:ind w:firstLine="0" w:firstLineChars="0"/>
              <w:jc w:val="center"/>
              <w:rPr>
                <w:rFonts w:hint="eastAsia" w:ascii="宋体" w:hAnsi="宋体" w:eastAsia="宋体" w:cs="宋体"/>
                <w:color w:val="000000"/>
                <w:sz w:val="22"/>
                <w:szCs w:val="22"/>
                <w:highlight w:val="none"/>
              </w:rPr>
            </w:pPr>
            <w:r>
              <w:rPr>
                <w:rFonts w:hint="eastAsia" w:ascii="宋体" w:hAnsi="宋体" w:eastAsia="宋体" w:cs="宋体"/>
                <w:color w:val="000000"/>
                <w:sz w:val="22"/>
                <w:szCs w:val="22"/>
                <w:highlight w:val="none"/>
              </w:rPr>
              <w:t>批</w:t>
            </w:r>
          </w:p>
        </w:tc>
        <w:tc>
          <w:tcPr>
            <w:tcW w:w="451" w:type="pct"/>
            <w:vAlign w:val="center"/>
          </w:tcPr>
          <w:p w14:paraId="3851D03F">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w:t>
            </w:r>
          </w:p>
        </w:tc>
        <w:tc>
          <w:tcPr>
            <w:tcW w:w="1060" w:type="pct"/>
            <w:vMerge w:val="continue"/>
            <w:vAlign w:val="center"/>
          </w:tcPr>
          <w:p w14:paraId="35AEC260">
            <w:pPr>
              <w:spacing w:line="240" w:lineRule="auto"/>
              <w:ind w:firstLine="0" w:firstLineChars="0"/>
              <w:jc w:val="center"/>
              <w:rPr>
                <w:rFonts w:hint="eastAsia" w:ascii="宋体" w:hAnsi="宋体" w:eastAsia="宋体" w:cs="宋体"/>
                <w:sz w:val="22"/>
                <w:szCs w:val="22"/>
                <w:highlight w:val="none"/>
              </w:rPr>
            </w:pPr>
          </w:p>
        </w:tc>
        <w:tc>
          <w:tcPr>
            <w:tcW w:w="901" w:type="pct"/>
            <w:vAlign w:val="center"/>
          </w:tcPr>
          <w:p w14:paraId="0C63AD47">
            <w:pPr>
              <w:spacing w:line="240" w:lineRule="auto"/>
              <w:ind w:firstLine="0" w:firstLineChars="0"/>
              <w:jc w:val="center"/>
              <w:rPr>
                <w:rFonts w:hint="eastAsia" w:ascii="宋体" w:hAnsi="宋体" w:eastAsia="宋体" w:cs="宋体"/>
                <w:color w:val="000000"/>
                <w:sz w:val="22"/>
                <w:szCs w:val="22"/>
                <w:highlight w:val="none"/>
              </w:rPr>
            </w:pPr>
          </w:p>
        </w:tc>
      </w:tr>
    </w:tbl>
    <w:p w14:paraId="4CE4FF55">
      <w:pPr>
        <w:pStyle w:val="6"/>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视频显示系统</w:t>
      </w:r>
    </w:p>
    <w:p w14:paraId="08244BA1">
      <w:pPr>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b/>
          <w:szCs w:val="24"/>
          <w:highlight w:val="none"/>
        </w:rPr>
      </w:pPr>
      <w:r>
        <w:rPr>
          <w:rFonts w:hint="eastAsia" w:ascii="宋体" w:hAnsi="宋体" w:eastAsia="宋体" w:cs="宋体"/>
          <w:highlight w:val="none"/>
        </w:rPr>
        <w:t>本系统主要用于机场运行中心AOC日常会商研判、应急救援等活动使用，</w:t>
      </w:r>
      <w:r>
        <w:rPr>
          <w:rFonts w:hint="eastAsia" w:ascii="宋体" w:hAnsi="宋体" w:eastAsia="宋体" w:cs="宋体"/>
          <w:color w:val="000000"/>
          <w:szCs w:val="24"/>
          <w:highlight w:val="none"/>
        </w:rPr>
        <w:t>视频显示系</w:t>
      </w:r>
      <w:r>
        <w:rPr>
          <w:rFonts w:hint="eastAsia" w:ascii="宋体" w:hAnsi="宋体" w:eastAsia="宋体" w:cs="宋体"/>
          <w:color w:val="000000"/>
          <w:kern w:val="0"/>
          <w:szCs w:val="24"/>
          <w:highlight w:val="none"/>
        </w:rPr>
        <w:t>统设计的好坏非常重要，设计一套完整的，高标准的视频显示系统，解决了会议室视频资料显示、图片显示、视频显示的需求，提高整个会议的效率；本次会议系统设计针对不同会议室的面积及使用功能设计不同尺寸不同类型的显示设备，力求达到最好的使用效果。</w:t>
      </w:r>
    </w:p>
    <w:p w14:paraId="73761A9B">
      <w:pPr>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根据会场实际使用环境设计一台至少86寸智慧屏，主要用于显示信号源的文字、图片、视频画面等</w:t>
      </w:r>
      <w:r>
        <w:rPr>
          <w:rFonts w:hint="eastAsia" w:ascii="宋体" w:hAnsi="宋体" w:eastAsia="宋体" w:cs="宋体"/>
          <w:color w:val="000000"/>
          <w:kern w:val="0"/>
          <w:szCs w:val="24"/>
          <w:highlight w:val="none"/>
        </w:rPr>
        <w:t>信号，</w:t>
      </w:r>
      <w:r>
        <w:rPr>
          <w:rFonts w:hint="eastAsia" w:ascii="宋体" w:hAnsi="宋体" w:eastAsia="宋体" w:cs="宋体"/>
          <w:szCs w:val="24"/>
          <w:highlight w:val="none"/>
        </w:rPr>
        <w:t>视频接口可随时接入电脑等信号源，这些信号源通过显示设备显示出来。</w:t>
      </w:r>
    </w:p>
    <w:p w14:paraId="14E79237">
      <w:pPr>
        <w:pageBreakBefore w:val="0"/>
        <w:widowControl/>
        <w:numPr>
          <w:ilvl w:val="255"/>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能将通常的视频源信号（</w:t>
      </w:r>
      <w:r>
        <w:rPr>
          <w:rFonts w:hint="eastAsia" w:ascii="宋体" w:hAnsi="宋体" w:eastAsia="宋体" w:cs="宋体"/>
          <w:color w:val="000000"/>
          <w:szCs w:val="24"/>
          <w:highlight w:val="none"/>
        </w:rPr>
        <w:t>应急救援会商</w:t>
      </w:r>
      <w:r>
        <w:rPr>
          <w:rFonts w:hint="eastAsia" w:ascii="宋体" w:hAnsi="宋体" w:eastAsia="宋体" w:cs="宋体"/>
          <w:kern w:val="0"/>
          <w:szCs w:val="24"/>
          <w:highlight w:val="none"/>
        </w:rPr>
        <w:t>会议、笔记本电脑、台式PC、现场摄像等）进行显示；</w:t>
      </w:r>
    </w:p>
    <w:p w14:paraId="12E0FCA8">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支持本地、在线高清视频播放，支持3840×2160@60Hz分辨率视频播放。</w:t>
      </w:r>
    </w:p>
    <w:p w14:paraId="5C49871B">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支持通过无线/有线方式接入网络。</w:t>
      </w:r>
    </w:p>
    <w:p w14:paraId="0BD0FAFE">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浏览网页，支持HTML5浏览器。</w:t>
      </w:r>
    </w:p>
    <w:p w14:paraId="6B399021">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支持OSD，亮度、音量等调节显示。</w:t>
      </w:r>
    </w:p>
    <w:p w14:paraId="1A5B2220">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4K白板无极显示，可对图片自然地进行缩放；</w:t>
      </w:r>
    </w:p>
    <w:p w14:paraId="3538DAE6">
      <w:pPr>
        <w:pageBreakBefore w:val="0"/>
        <w:widowControl/>
        <w:numPr>
          <w:ilvl w:val="0"/>
          <w:numId w:val="25"/>
        </w:numPr>
        <w:kinsoku/>
        <w:wordWrap/>
        <w:overflowPunct/>
        <w:topLinePunct w:val="0"/>
        <w:autoSpaceDE/>
        <w:autoSpaceDN/>
        <w:bidi w:val="0"/>
        <w:adjustRightInd/>
        <w:snapToGrid/>
        <w:spacing w:line="400" w:lineRule="exact"/>
        <w:ind w:left="0" w:firstLine="48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莫氏7级高透防爆钢化玻璃；坚如磐石，势不可挡；采用零贴合工艺技术，玻璃和显示屏之间没有间隙，减少了漫反射，有效地提升显示效果；</w:t>
      </w:r>
    </w:p>
    <w:p w14:paraId="61328903">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支持任意信号源批注功能，可随时进行切换；</w:t>
      </w:r>
    </w:p>
    <w:p w14:paraId="6ABF21A9">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支持多画面投屏，适应PC、iPad、手机等多设备投屏，实现4画面同传；</w:t>
      </w:r>
    </w:p>
    <w:p w14:paraId="417B4DF9">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智能侧边栏菜单，悬浮菜单三指触屏跟随、五指熄屏；</w:t>
      </w:r>
    </w:p>
    <w:p w14:paraId="326B33C8">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配置插拔式国产信创OPS电脑；</w:t>
      </w:r>
    </w:p>
    <w:p w14:paraId="55AE4FD4">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简约控制面板，前置USB全通道跟随，金属按钮一键开关；</w:t>
      </w:r>
    </w:p>
    <w:p w14:paraId="1B395F7F">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内置1300W高清摄像头；</w:t>
      </w:r>
    </w:p>
    <w:p w14:paraId="031138B2">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内置8路全向阵列麦克风，拾音距离10M，信噪比67db；</w:t>
      </w:r>
    </w:p>
    <w:p w14:paraId="46B8C8EC">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自带蓝牙模块，可灵活外接蓝牙音箱；</w:t>
      </w:r>
    </w:p>
    <w:p w14:paraId="3A00F1C9">
      <w:pPr>
        <w:pageBreakBefore w:val="0"/>
        <w:widowControl/>
        <w:numPr>
          <w:ilvl w:val="0"/>
          <w:numId w:val="25"/>
        </w:numPr>
        <w:kinsoku/>
        <w:wordWrap/>
        <w:overflowPunct/>
        <w:topLinePunct w:val="0"/>
        <w:autoSpaceDE/>
        <w:autoSpaceDN/>
        <w:bidi w:val="0"/>
        <w:adjustRightInd/>
        <w:snapToGrid/>
        <w:spacing w:line="400" w:lineRule="exact"/>
        <w:ind w:left="0" w:firstLine="48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会议扫码：轻松分享，扫码带走让资料分享更快捷；无线传屏：多屏互动，一键投屏，双向操控，实现多方设备之间的内容共享；</w:t>
      </w:r>
    </w:p>
    <w:p w14:paraId="514873A6">
      <w:pPr>
        <w:pageBreakBefore w:val="0"/>
        <w:widowControl/>
        <w:numPr>
          <w:ilvl w:val="0"/>
          <w:numId w:val="25"/>
        </w:numPr>
        <w:kinsoku/>
        <w:wordWrap/>
        <w:overflowPunct/>
        <w:topLinePunct w:val="0"/>
        <w:autoSpaceDE/>
        <w:autoSpaceDN/>
        <w:bidi w:val="0"/>
        <w:adjustRightInd/>
        <w:snapToGrid/>
        <w:spacing w:line="400" w:lineRule="exact"/>
        <w:ind w:left="0" w:firstLine="48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书写流畅：顺滑流畅的书写体验，触摸延迟&lt;8MS；触摸菜单：通过手势调取屏幕触摸菜单实现菜单、信号源切换、声音、亮度等功能控制；</w:t>
      </w:r>
    </w:p>
    <w:p w14:paraId="63899A05">
      <w:pPr>
        <w:pageBreakBefore w:val="0"/>
        <w:widowControl/>
        <w:numPr>
          <w:ilvl w:val="0"/>
          <w:numId w:val="25"/>
        </w:numPr>
        <w:kinsoku/>
        <w:wordWrap/>
        <w:overflowPunct/>
        <w:topLinePunct w:val="0"/>
        <w:autoSpaceDE/>
        <w:autoSpaceDN/>
        <w:bidi w:val="0"/>
        <w:adjustRightInd/>
        <w:snapToGrid/>
        <w:spacing w:line="400" w:lineRule="exact"/>
        <w:ind w:left="0" w:firstLine="48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智能信号切换：接入并输入信号，设备将会自动识别并切换到对应的视频信号源通道；</w:t>
      </w:r>
    </w:p>
    <w:p w14:paraId="30E68F2E">
      <w:pPr>
        <w:pageBreakBefore w:val="0"/>
        <w:widowControl/>
        <w:numPr>
          <w:ilvl w:val="0"/>
          <w:numId w:val="25"/>
        </w:numPr>
        <w:kinsoku/>
        <w:wordWrap/>
        <w:overflowPunct/>
        <w:topLinePunct w:val="0"/>
        <w:autoSpaceDE/>
        <w:autoSpaceDN/>
        <w:bidi w:val="0"/>
        <w:adjustRightInd/>
        <w:snapToGrid/>
        <w:spacing w:line="400" w:lineRule="exact"/>
        <w:ind w:left="0" w:firstLine="48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温度检测功能：在一体机菜单界面上显示机器内部温度，当机器内部出现故障，温度超标时会自动关机；</w:t>
      </w:r>
    </w:p>
    <w:p w14:paraId="180F97A1">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手势擦拭功能：通过手势擦拭屏幕上的文字及图案；</w:t>
      </w:r>
    </w:p>
    <w:p w14:paraId="2938ACA5">
      <w:pPr>
        <w:pageBreakBefore w:val="0"/>
        <w:widowControl/>
        <w:numPr>
          <w:ilvl w:val="0"/>
          <w:numId w:val="25"/>
        </w:numPr>
        <w:kinsoku/>
        <w:wordWrap/>
        <w:overflowPunct/>
        <w:topLinePunct w:val="0"/>
        <w:autoSpaceDE/>
        <w:autoSpaceDN/>
        <w:bidi w:val="0"/>
        <w:adjustRightInd/>
        <w:snapToGrid/>
        <w:spacing w:line="400" w:lineRule="exact"/>
        <w:ind w:left="0" w:firstLine="480"/>
        <w:jc w:val="left"/>
        <w:textAlignment w:val="auto"/>
        <w:rPr>
          <w:rFonts w:hint="eastAsia" w:ascii="宋体" w:hAnsi="宋体" w:eastAsia="宋体" w:cs="宋体"/>
          <w:kern w:val="0"/>
          <w:szCs w:val="24"/>
          <w:highlight w:val="none"/>
        </w:rPr>
      </w:pPr>
      <w:r>
        <w:rPr>
          <w:rFonts w:hint="eastAsia" w:ascii="宋体" w:hAnsi="宋体" w:eastAsia="宋体" w:cs="宋体"/>
          <w:kern w:val="0"/>
          <w:szCs w:val="24"/>
          <w:highlight w:val="none"/>
        </w:rPr>
        <w:t>双向操控功能：触摸屏幕即可操控电脑，方便快捷；放大，缩小，拖拽：采用多点触控技术，任意改变图片的大小，随意移动图片位置等。</w:t>
      </w:r>
    </w:p>
    <w:p w14:paraId="7E43EF68">
      <w:pPr>
        <w:pStyle w:val="6"/>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扩声系统</w:t>
      </w:r>
    </w:p>
    <w:p w14:paraId="0F447533">
      <w:pPr>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color w:val="000000"/>
          <w:kern w:val="0"/>
          <w:szCs w:val="24"/>
          <w:highlight w:val="none"/>
        </w:rPr>
        <w:t>音响扩声系统会议室的面积和使用功能，参考国家扩声厅级标准一级进行设计，</w:t>
      </w:r>
      <w:r>
        <w:rPr>
          <w:rFonts w:hint="eastAsia" w:ascii="宋体" w:hAnsi="宋体" w:eastAsia="宋体" w:cs="宋体"/>
          <w:szCs w:val="24"/>
          <w:highlight w:val="none"/>
        </w:rPr>
        <w:t>会议室扩声系统的音响效果应能符合以上GYJ125厅堂扩声系统设计的声学特性指标中的语言扩声一级标准演讲时应能达到语言清晰、无失真、声压余量充分、声场分布均匀、无声反馈啸叫，声像定位正确。</w:t>
      </w:r>
      <w:r>
        <w:rPr>
          <w:rFonts w:hint="eastAsia" w:ascii="宋体" w:hAnsi="宋体" w:eastAsia="宋体" w:cs="宋体"/>
          <w:color w:val="000000"/>
          <w:kern w:val="0"/>
          <w:szCs w:val="24"/>
          <w:highlight w:val="none"/>
        </w:rPr>
        <w:t>音响扩声系统主要由扬声器、功率放大器、音频处理设备、调音台、话筒、音源等设备组成。整个系统选用同类产品中音色优美的高档次音响器材为主组成音响系统，选用同类产品中技术最成熟、性能先进、使用可靠的产品型号，通过计算会议室的音响场地系数进行设计，保证会议室每个角落的声场听觉均匀，没有出现失真、偏音、混音、回响等不良音响效果；会议室的扩声系统主要由三大部分组成：声源、音频处理设备、功放及扬声器系统。</w:t>
      </w:r>
    </w:p>
    <w:p w14:paraId="5050E84A">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设计标准</w:t>
      </w:r>
    </w:p>
    <w:p w14:paraId="4AEC32A7">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rPr>
      </w:pPr>
      <w:r>
        <w:rPr>
          <w:rFonts w:hint="eastAsia" w:ascii="宋体" w:hAnsi="宋体" w:eastAsia="宋体" w:cs="宋体"/>
          <w:szCs w:val="24"/>
          <w:highlight w:val="none"/>
        </w:rPr>
        <w:t>会议室音响扩声系统根据会议室的面积、长宽比例和使用功能，参考国家厅堂扩声设计标准一级进行设计。语言扩声系统一级标准要≥98dB，声场不均匀度要做到1kHz和4kHz时测量≤8dB；传声增益在125~4kHz的平均值要≥-8dB。会议室扩声系统的音响效果应能符合以上GYJ125厅堂扩声系统设计的声学特性指标中的语言扩声一级标准演讲时应能达到语言清晰、无失真、声压余量充分、声场分布均匀、无声反馈啸叫，声像定位正确。</w:t>
      </w:r>
    </w:p>
    <w:p w14:paraId="62600D5A">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rPr>
      </w:pPr>
      <w:r>
        <w:rPr>
          <w:rFonts w:hint="eastAsia" w:ascii="宋体" w:hAnsi="宋体" w:eastAsia="宋体" w:cs="宋体"/>
          <w:szCs w:val="24"/>
          <w:highlight w:val="none"/>
        </w:rPr>
        <w:t>会议室的容积、混响时间决定于建筑结构以及所采用的装潢材料。适当减少原建筑的混响时间，提高信噪比，减少声反射现象，校正长时间、长延迟和高声压级的特定反射声。根据会议室的容积，我们估计总的混响时间最好控制在0.7～0.8s范围内。而其他工作需由扩声系统来完成。</w:t>
      </w:r>
    </w:p>
    <w:p w14:paraId="19ED29FD">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音箱</w:t>
      </w:r>
    </w:p>
    <w:p w14:paraId="3A707ECA">
      <w:pPr>
        <w:pageBreakBefore w:val="0"/>
        <w:widowControl/>
        <w:kinsoku/>
        <w:wordWrap/>
        <w:overflowPunct/>
        <w:topLinePunct w:val="0"/>
        <w:autoSpaceDE/>
        <w:autoSpaceDN/>
        <w:bidi w:val="0"/>
        <w:adjustRightInd/>
        <w:snapToGrid/>
        <w:spacing w:line="400" w:lineRule="exact"/>
        <w:ind w:firstLine="480"/>
        <w:jc w:val="left"/>
        <w:textAlignment w:val="auto"/>
        <w:rPr>
          <w:rFonts w:hint="eastAsia" w:ascii="宋体" w:hAnsi="宋体" w:eastAsia="宋体" w:cs="宋体"/>
          <w:szCs w:val="24"/>
          <w:highlight w:val="none"/>
        </w:rPr>
      </w:pPr>
      <w:r>
        <w:rPr>
          <w:rFonts w:hint="eastAsia" w:ascii="宋体" w:hAnsi="宋体" w:eastAsia="宋体" w:cs="宋体"/>
          <w:szCs w:val="24"/>
          <w:highlight w:val="none"/>
        </w:rPr>
        <w:t>扬声器的选型应按以下原则选用：高灵敏度及宽阔平滑的频率响应、高输出声压及低失真度、有效地控制声音指向性及覆盖面。要求整体扩声扬声器高频清晰，中频具有极高控制力和穿透力，声音饱满，低音扎实。系统声音具有高保真度、清晰、声音较硬度适中。并根据会议室扩声特性一级指标要求，从系统设计入手，结合计算机软件分析，最后设计出系统配置，以减小声能的扩散反射、声干扰、声聚焦等声学现象对语言扩声清晰度造成的不良影响。要求所选的扬声器，既要保证有足够的功率余量，也保证大声压的情况下极低的失真，扩声系统设计通过科学计算会场声场面积，配合相关专业软件进行测试，整个扩声系统采用主次搭配，从前区到后场，从顶部到底部，每个区域都要求能要优质的音响效果，另外结合使用需要，我们设计音箱时采用小功率全频音箱分散式布置在会议室。</w:t>
      </w:r>
    </w:p>
    <w:p w14:paraId="08BCE7D9">
      <w:pPr>
        <w:pageBreakBefore w:val="0"/>
        <w:widowControl/>
        <w:kinsoku/>
        <w:wordWrap/>
        <w:overflowPunct/>
        <w:topLinePunct w:val="0"/>
        <w:autoSpaceDE/>
        <w:autoSpaceDN/>
        <w:bidi w:val="0"/>
        <w:adjustRightInd/>
        <w:snapToGrid/>
        <w:spacing w:line="400" w:lineRule="exact"/>
        <w:ind w:firstLine="480"/>
        <w:jc w:val="left"/>
        <w:textAlignment w:val="auto"/>
        <w:rPr>
          <w:rFonts w:hint="eastAsia" w:ascii="宋体" w:hAnsi="宋体" w:eastAsia="宋体" w:cs="宋体"/>
          <w:szCs w:val="24"/>
          <w:highlight w:val="none"/>
        </w:rPr>
      </w:pPr>
      <w:r>
        <w:rPr>
          <w:rFonts w:hint="eastAsia" w:ascii="宋体" w:hAnsi="宋体" w:eastAsia="宋体" w:cs="宋体"/>
          <w:szCs w:val="24"/>
          <w:highlight w:val="none"/>
        </w:rPr>
        <w:t>扬声器的布局是会议室内扩声系统设计的重要一环，几项重要的扩声系统声学特性指标将直接与此有关。扬声器布局的一般原则是：</w:t>
      </w:r>
    </w:p>
    <w:p w14:paraId="521728DA">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szCs w:val="24"/>
          <w:highlight w:val="none"/>
        </w:rPr>
      </w:pPr>
      <w:r>
        <w:rPr>
          <w:rFonts w:hint="eastAsia" w:ascii="宋体" w:hAnsi="宋体" w:eastAsia="宋体" w:cs="宋体"/>
          <w:szCs w:val="24"/>
          <w:highlight w:val="none"/>
        </w:rPr>
        <w:t>全部听众区内的声压分布均匀；</w:t>
      </w:r>
    </w:p>
    <w:p w14:paraId="5D8715CD">
      <w:pPr>
        <w:pageBreakBefore w:val="0"/>
        <w:widowControl/>
        <w:numPr>
          <w:ilvl w:val="255"/>
          <w:numId w:val="0"/>
        </w:numPr>
        <w:kinsoku/>
        <w:wordWrap/>
        <w:overflowPunct/>
        <w:topLinePunct w:val="0"/>
        <w:autoSpaceDE/>
        <w:autoSpaceDN/>
        <w:bidi w:val="0"/>
        <w:adjustRightInd/>
        <w:snapToGrid/>
        <w:spacing w:line="400" w:lineRule="exact"/>
        <w:jc w:val="left"/>
        <w:textAlignment w:val="auto"/>
        <w:rPr>
          <w:rFonts w:hint="eastAsia" w:ascii="宋体" w:hAnsi="宋体" w:eastAsia="宋体" w:cs="宋体"/>
          <w:szCs w:val="24"/>
          <w:highlight w:val="none"/>
        </w:rPr>
      </w:pPr>
      <w:r>
        <w:rPr>
          <w:rFonts w:hint="eastAsia" w:ascii="宋体" w:hAnsi="宋体" w:eastAsia="宋体" w:cs="宋体"/>
          <w:szCs w:val="24"/>
          <w:highlight w:val="none"/>
        </w:rPr>
        <w:t>听众区上的声源方向感良好，即观众听到的扬声器的声音与看到的发言者在方向上一致；</w:t>
      </w:r>
    </w:p>
    <w:p w14:paraId="225C34D0">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szCs w:val="24"/>
          <w:highlight w:val="none"/>
        </w:rPr>
      </w:pPr>
      <w:r>
        <w:rPr>
          <w:rFonts w:hint="eastAsia" w:ascii="宋体" w:hAnsi="宋体" w:eastAsia="宋体" w:cs="宋体"/>
          <w:szCs w:val="24"/>
          <w:highlight w:val="none"/>
        </w:rPr>
        <w:t>扬声器的位置在建筑上应当是合理的：美观安全，不影响其他设备的使用；</w:t>
      </w:r>
    </w:p>
    <w:p w14:paraId="4662D326">
      <w:pPr>
        <w:pageBreakBefore w:val="0"/>
        <w:widowControl/>
        <w:numPr>
          <w:ilvl w:val="0"/>
          <w:numId w:val="25"/>
        </w:numPr>
        <w:kinsoku/>
        <w:wordWrap/>
        <w:overflowPunct/>
        <w:topLinePunct w:val="0"/>
        <w:autoSpaceDE/>
        <w:autoSpaceDN/>
        <w:bidi w:val="0"/>
        <w:adjustRightInd/>
        <w:snapToGrid/>
        <w:spacing w:line="400" w:lineRule="exact"/>
        <w:ind w:left="420" w:leftChars="200" w:firstLineChars="0"/>
        <w:jc w:val="left"/>
        <w:textAlignment w:val="auto"/>
        <w:rPr>
          <w:rFonts w:hint="eastAsia" w:ascii="宋体" w:hAnsi="宋体" w:eastAsia="宋体" w:cs="宋体"/>
          <w:szCs w:val="24"/>
          <w:highlight w:val="none"/>
        </w:rPr>
      </w:pPr>
      <w:r>
        <w:rPr>
          <w:rFonts w:hint="eastAsia" w:ascii="宋体" w:hAnsi="宋体" w:eastAsia="宋体" w:cs="宋体"/>
          <w:szCs w:val="24"/>
          <w:highlight w:val="none"/>
        </w:rPr>
        <w:t>控制声反馈和避免产生回声干扰。</w:t>
      </w:r>
    </w:p>
    <w:p w14:paraId="584B2C80">
      <w:pPr>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color w:val="000000"/>
          <w:szCs w:val="24"/>
          <w:highlight w:val="none"/>
        </w:rPr>
        <w:t>本次在会议室设计了壁挂式音箱安装方案，做到均匀覆盖，并保证整体扩声声压级和传声增益。具体为：壁挂安装2只全频音箱，做到均匀覆盖，并保证整体扩声声压级和传声增益。音箱具有大动态，高灵敏度，音质丰满，中、高音通透清晰等特点，且外观优雅美观，主要适用于高端人声语音扩声场合。</w:t>
      </w:r>
    </w:p>
    <w:p w14:paraId="56F70038">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音频处理设备</w:t>
      </w:r>
    </w:p>
    <w:p w14:paraId="5CD03664">
      <w:pPr>
        <w:pageBreakBefore w:val="0"/>
        <w:widowControl/>
        <w:kinsoku/>
        <w:wordWrap/>
        <w:overflowPunct/>
        <w:topLinePunct w:val="0"/>
        <w:autoSpaceDE/>
        <w:autoSpaceDN/>
        <w:bidi w:val="0"/>
        <w:adjustRightInd/>
        <w:snapToGrid/>
        <w:spacing w:line="400" w:lineRule="exact"/>
        <w:ind w:firstLine="480"/>
        <w:jc w:val="left"/>
        <w:textAlignment w:val="auto"/>
        <w:rPr>
          <w:rFonts w:hint="eastAsia" w:ascii="宋体" w:hAnsi="宋体" w:eastAsia="宋体" w:cs="宋体"/>
          <w:szCs w:val="24"/>
          <w:highlight w:val="none"/>
        </w:rPr>
      </w:pPr>
      <w:r>
        <w:rPr>
          <w:rFonts w:hint="eastAsia" w:ascii="宋体" w:hAnsi="宋体" w:eastAsia="宋体" w:cs="宋体"/>
          <w:szCs w:val="24"/>
          <w:highlight w:val="none"/>
        </w:rPr>
        <w:t>会议室的扩声系统配置了主控音频处理设备，主控设备采用数字音频处理器、反馈抑制器进行集中处理，数字音频处理器用于处理音频信号和信号混合，把信号集中处理，解决了整个操作过程中繁琐的操作，把操作简单化，达到不同音源同时混合处理；数字音频处理器内置、反啸叫处理器、噪音门，压限等多种效果处理功能，把功能集中化，解决传统扩声系统中分散处理，降低了设备造价和过多设备引起噪音，阻抗不匹配等问题，整个操作可以采用软件设置，简单明了；数字音频处理器主要是处理音频的音色，对音频的低频、中低频、中频、中高频、高频、超高频进行分段处理，到达低音低沉有力，高音洪亮不刺耳。处理器配置有软件，很方便地进行话筒信号、音源信号效果处理，可以根据现场环境设置效果，达到最佳使用效果。</w:t>
      </w:r>
    </w:p>
    <w:p w14:paraId="3AC37032">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功放设备</w:t>
      </w:r>
    </w:p>
    <w:p w14:paraId="76B40E25">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rPr>
      </w:pPr>
      <w:r>
        <w:rPr>
          <w:rFonts w:hint="eastAsia" w:ascii="宋体" w:hAnsi="宋体" w:eastAsia="宋体" w:cs="宋体"/>
          <w:szCs w:val="24"/>
          <w:highlight w:val="none"/>
        </w:rPr>
        <w:t>功放系统应具有全面的保护措施，包括短路保护、开路保护、接、入不匹配负载保护、过热保护、输入过载保护、直流保护、高频过载保护，使功放更稳定工作。提供良好的、稳定的功率输出供给扬声器系统。功放电路设计需合理，线路失真尽可能低，频带展宽，频响曲线平直，噪音低等。</w:t>
      </w:r>
    </w:p>
    <w:p w14:paraId="748F956D">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rPr>
      </w:pPr>
      <w:r>
        <w:rPr>
          <w:rFonts w:hint="eastAsia" w:ascii="宋体" w:hAnsi="宋体" w:eastAsia="宋体" w:cs="宋体"/>
          <w:szCs w:val="24"/>
          <w:highlight w:val="none"/>
        </w:rPr>
        <w:t>会议室的功放都采用具有H类或者D类高效专业级功放，内置有智能软开机系统、线路阻抗检测保护系统、超低信号放大系统等，多共输出模式，通过科学计算音箱常态功率和峰值功率，采用1.5-2.0倍冗余功率量配置，满足在不同音箱下和超长时间工作。</w:t>
      </w:r>
    </w:p>
    <w:p w14:paraId="43647DB2">
      <w:pPr>
        <w:pStyle w:val="6"/>
        <w:pageBreakBefore w:val="0"/>
        <w:kinsoku/>
        <w:wordWrap/>
        <w:overflowPunct/>
        <w:topLinePunct w:val="0"/>
        <w:autoSpaceDE/>
        <w:autoSpaceDN/>
        <w:bidi w:val="0"/>
        <w:adjustRightInd/>
        <w:snapToGrid/>
        <w:spacing w:line="400" w:lineRule="exact"/>
        <w:textAlignment w:val="auto"/>
        <w:rPr>
          <w:rFonts w:hint="eastAsia"/>
          <w:highlight w:val="none"/>
        </w:rPr>
      </w:pPr>
      <w:bookmarkStart w:id="191" w:name="_Toc169517496"/>
      <w:bookmarkStart w:id="192" w:name="_Toc3467"/>
      <w:bookmarkStart w:id="193" w:name="_Toc4573309"/>
      <w:bookmarkStart w:id="194" w:name="_Toc32048"/>
      <w:bookmarkStart w:id="195" w:name="_Toc292783848"/>
      <w:bookmarkStart w:id="196" w:name="_Toc481678677"/>
      <w:bookmarkStart w:id="197" w:name="_Toc86763498"/>
      <w:bookmarkStart w:id="198" w:name="_Toc512530114"/>
      <w:bookmarkStart w:id="199" w:name="_Toc460249689"/>
      <w:bookmarkStart w:id="200" w:name="_Toc162707484"/>
      <w:bookmarkStart w:id="201" w:name="_Toc23402"/>
      <w:bookmarkStart w:id="202" w:name="_Toc511665147"/>
      <w:r>
        <w:rPr>
          <w:rFonts w:hint="eastAsia"/>
          <w:highlight w:val="none"/>
        </w:rPr>
        <w:t>相关硬件配置参数</w:t>
      </w:r>
    </w:p>
    <w:bookmarkEnd w:id="191"/>
    <w:bookmarkEnd w:id="192"/>
    <w:bookmarkEnd w:id="193"/>
    <w:bookmarkEnd w:id="194"/>
    <w:bookmarkEnd w:id="195"/>
    <w:bookmarkEnd w:id="196"/>
    <w:bookmarkEnd w:id="197"/>
    <w:bookmarkEnd w:id="198"/>
    <w:bookmarkEnd w:id="199"/>
    <w:bookmarkEnd w:id="200"/>
    <w:bookmarkEnd w:id="201"/>
    <w:bookmarkEnd w:id="202"/>
    <w:p w14:paraId="0136DC53">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触控转轴式升降一体显示器</w:t>
      </w:r>
    </w:p>
    <w:p w14:paraId="30AF1AA5">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1、一体显示器：≥17.3寸高亮真彩液晶宽屏，屏分辨率≥1920*1080dpi，亮度≥350cd/m2，屏幕比例16:9；</w:t>
      </w:r>
    </w:p>
    <w:p w14:paraId="489DF226">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2、一体触摸屏：电容屏，支持≥10点触控，感应力度≤10g，触摸反应时间≤5ms，动态对比度≥100000：1；</w:t>
      </w:r>
    </w:p>
    <w:p w14:paraId="6E5F88B6">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3、外观尺寸：面板尺寸≤450mm*46*4mm（长宽厚），箱体尺寸≤440mm*46*635mm（长宽高）；</w:t>
      </w:r>
      <w:r>
        <w:rPr>
          <w:rFonts w:hint="eastAsia" w:ascii="宋体" w:hAnsi="宋体" w:eastAsia="宋体" w:cs="宋体"/>
          <w:szCs w:val="24"/>
          <w:highlight w:val="none"/>
          <w:lang w:bidi="ar"/>
        </w:rPr>
        <w:br w:type="textWrapping"/>
      </w:r>
      <w:r>
        <w:rPr>
          <w:rFonts w:hint="eastAsia" w:ascii="宋体" w:hAnsi="宋体" w:eastAsia="宋体" w:cs="宋体"/>
          <w:szCs w:val="24"/>
          <w:highlight w:val="none"/>
          <w:lang w:bidi="ar"/>
        </w:rPr>
        <w:tab/>
      </w:r>
      <w:r>
        <w:rPr>
          <w:rFonts w:hint="eastAsia" w:ascii="宋体" w:hAnsi="宋体" w:eastAsia="宋体" w:cs="宋体"/>
          <w:szCs w:val="24"/>
          <w:highlight w:val="none"/>
          <w:lang w:bidi="ar"/>
        </w:rPr>
        <w:t>4、产品材质：全身为铝合金材质（包括升降器箱体及屏壳），表面采用微细拉丝处理或细磨砂处理，颜色黑色/银色可供选择（其他颜色接受定制）；</w:t>
      </w:r>
      <w:r>
        <w:rPr>
          <w:rFonts w:hint="eastAsia" w:ascii="宋体" w:hAnsi="宋体" w:eastAsia="宋体" w:cs="宋体"/>
          <w:szCs w:val="24"/>
          <w:highlight w:val="none"/>
          <w:lang w:bidi="ar"/>
        </w:rPr>
        <w:br w:type="textWrapping"/>
      </w:r>
      <w:r>
        <w:rPr>
          <w:rFonts w:hint="eastAsia" w:ascii="宋体" w:hAnsi="宋体" w:eastAsia="宋体" w:cs="宋体"/>
          <w:szCs w:val="24"/>
          <w:highlight w:val="none"/>
          <w:lang w:bidi="ar"/>
        </w:rPr>
        <w:tab/>
      </w:r>
      <w:r>
        <w:rPr>
          <w:rFonts w:hint="eastAsia" w:ascii="宋体" w:hAnsi="宋体" w:eastAsia="宋体" w:cs="宋体"/>
          <w:szCs w:val="24"/>
          <w:highlight w:val="none"/>
          <w:lang w:bidi="ar"/>
        </w:rPr>
        <w:t>5、升降系统：单程升降时间≤8秒，嵌入式转轴电动升降系统，自上而下顺装，支持强电保护，防浪涌、防冲击、漏电保护等；支持堵转急停功能，设备升降过程中检测到阻力过大，自动停止运转，防止损坏；（需提供封面具有CMA、ilac-MRA、CNAS标志的第三方权威检测机构的检测报告）</w:t>
      </w:r>
    </w:p>
    <w:p w14:paraId="620C9BA9">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6、角度调节：支持手动（与手动调节笔记本电脑屏幕观看角度一样）和电动两种方式调节屏幕观看角度，调节升降及控制前后仰角0-40度可调；（需提供相关实用新型专利证书）；</w:t>
      </w:r>
    </w:p>
    <w:p w14:paraId="18BC91D1">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7、信号切换功能：支持本地LVDS信号，外接VGA及HDMI信号三路信号输入及切换；</w:t>
      </w:r>
    </w:p>
    <w:p w14:paraId="1532B63A">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8、传动方式：采用双钢丝软传动设计，超静音设计，升降时声音低于35dB；</w:t>
      </w:r>
    </w:p>
    <w:p w14:paraId="5585847E">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9、系统控制：RS-485协议控制升降、暂停、切换信号、主机开关机等动作，整机单12V直流供电；</w:t>
      </w:r>
    </w:p>
    <w:p w14:paraId="7E38C32A">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10、面板按键/接口：按键模块包含上升键（该按键同时支持仰角调节）、下降键（该按键同时支持仰角调节）、停止按键、OSD菜单调节键、VGA／HDMI／LVDS三信号切换键，面板含有USB接口、主机开/关按键；</w:t>
      </w:r>
    </w:p>
    <w:p w14:paraId="62A429F3">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11、不低于接触放电±4kV，空气放电±8kV等级静电放电抗扰度。</w:t>
      </w:r>
    </w:p>
    <w:p w14:paraId="4EEA4DAE">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会议终端主机</w:t>
      </w:r>
    </w:p>
    <w:p w14:paraId="0DB2F676">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1、支撑应急救援会商系统数据及信号通信，工业级微型机箱，网络支持≥1000MEthernet；</w:t>
      </w:r>
    </w:p>
    <w:p w14:paraId="25A5D613">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2、千兆网卡，支持HDMI、VGA信号输出，支持USB3.0通讯，支持音频输入和输出；</w:t>
      </w:r>
    </w:p>
    <w:p w14:paraId="66125C22">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3、主设配置：CPU≥国产8核/8线程，主频≥2.7GHz，≥2G显卡，内存≥8G，硬盘≥120G固态硬盘，国产桌面操作系统；</w:t>
      </w:r>
    </w:p>
    <w:p w14:paraId="69657E42">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4、接口：USB2.0≥2、USB3.0≥2、LINEOUT≥1、MICIN≥1、VGA≥1、HDMI≥1。</w:t>
      </w:r>
    </w:p>
    <w:p w14:paraId="75A9981E">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升降一体型会议话筒</w:t>
      </w:r>
    </w:p>
    <w:p w14:paraId="063DB78E">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1、升降要求：下降时电动自动捋直麦克杆（无需手动），话筒沿导轨捋直，不会伤害到话筒；</w:t>
      </w:r>
    </w:p>
    <w:p w14:paraId="08B7716B">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2、话筒按键：话筒按键开启/关闭时，具有指示灯提示功能，便于使用；</w:t>
      </w:r>
    </w:p>
    <w:p w14:paraId="0086DD82">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3、产品材质：产品全身为铝合金材质（包括箱体），表面采用微细拉丝处理或细磨砂处理，外观表面无螺丝裸露，无线材裸露；</w:t>
      </w:r>
    </w:p>
    <w:p w14:paraId="50EC6A37">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4、运行方式：采用滚轴软传动设计，传动结构无需做润滑保养；超静音设计；</w:t>
      </w:r>
    </w:p>
    <w:p w14:paraId="18B39D58">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5、外观尺寸：面板≤125*46*4mm（可与液晶升降终端面板融合加工），箱体≤115*46*710mm；颜色黑色/银色可供选择（其他颜色可定制）；</w:t>
      </w:r>
    </w:p>
    <w:p w14:paraId="3DA80459">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6、自动闭麦：升降过程自动关闭麦克风，防止机械噪声进入系统；</w:t>
      </w:r>
    </w:p>
    <w:p w14:paraId="71BB99D4">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7、控制方式：本地面板按键控制，远端RS-485协议控制话筒升降；</w:t>
      </w:r>
    </w:p>
    <w:p w14:paraId="45094F81">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8、供电方式：升降器单12V直流供电；接口：RS-485≥2、DC12V≥1、话筒接口≥1；</w:t>
      </w:r>
    </w:p>
    <w:p w14:paraId="113BDA83">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9、话筒具有单指向性响应特性，抗手机高频干扰；连接方式：6芯手拉手电缆连接；</w:t>
      </w:r>
    </w:p>
    <w:p w14:paraId="403A947A">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10、话筒电压：DC24V；电流损耗：≤32mA；灵敏度：≥-42dB；</w:t>
      </w:r>
    </w:p>
    <w:p w14:paraId="225EF1B3">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color w:val="000000"/>
          <w:kern w:val="0"/>
          <w:szCs w:val="24"/>
          <w:highlight w:val="none"/>
          <w:lang w:bidi="ar"/>
        </w:rPr>
      </w:pPr>
      <w:r>
        <w:rPr>
          <w:rFonts w:hint="eastAsia" w:ascii="宋体" w:hAnsi="宋体" w:eastAsia="宋体" w:cs="宋体"/>
          <w:szCs w:val="24"/>
          <w:highlight w:val="none"/>
          <w:lang w:bidi="ar"/>
        </w:rPr>
        <w:t>11、频率响应：≥100Hz～16KHz；咪杆长度：≥440mm；参考拾音距离：≥30cm。</w:t>
      </w:r>
    </w:p>
    <w:p w14:paraId="2F6B30A7">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全数字会议发言控制主机</w:t>
      </w:r>
    </w:p>
    <w:p w14:paraId="3E363B3A">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1、通过会议主机前面板五维导航键盘可对所有会议功能进行集中控制；</w:t>
      </w:r>
    </w:p>
    <w:p w14:paraId="418B01A1">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2、具备≥五路6芯会议单元输出接口，每路可连接≥20台会议单元，可同时连接≥100台会议单元；</w:t>
      </w:r>
    </w:p>
    <w:p w14:paraId="0CCA4400">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3、采用高速RISC嵌入式数字处理硬件架构，全数字音频传输与处理技术，设备之间传输距离可达150米；</w:t>
      </w:r>
    </w:p>
    <w:p w14:paraId="469F648E">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4、装备≥2.8英寸LCD显示屏，中、英文菜单显示，可按需订购任意语言；</w:t>
      </w:r>
    </w:p>
    <w:p w14:paraId="6BE16A09">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5、五种话筒管理模式：数量限制模式：允许同时打开的单元数量1～6个，先进先出模式：达到限制数量后，最后打开的单元覆盖最早打开的单元，申请发言模式：所有代表单元发言，都由执行主席单元否决或批准，声控启动模式：以声音控制开启单元，可调节声控门限，自由讨论模式：允许所有会议单元同时打开；</w:t>
      </w:r>
    </w:p>
    <w:p w14:paraId="41ADBBED">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6、系统支持一线式手拉手连接、Y型线连接、分线盒连接及环形手拉手连接；</w:t>
      </w:r>
    </w:p>
    <w:p w14:paraId="410F593A">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7、具备两个RS-232串口，分别可连接PC电脑与可编程中央控制系统进行控制；</w:t>
      </w:r>
    </w:p>
    <w:p w14:paraId="04DECFA7">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8、具备RS-422与RS-485视频控制方式，通过连接转换器也可进行RS-232控制；</w:t>
      </w:r>
    </w:p>
    <w:p w14:paraId="72D0FB61">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9、协议共享，兼容所有目前流行的摄像机类型，单元的位置互相调换时，通过自动编号可自动修正跟踪单元视频，始终保持正确的跟踪位置；</w:t>
      </w:r>
    </w:p>
    <w:p w14:paraId="56489D8A">
      <w:pPr>
        <w:pageBreakBefore w:val="0"/>
        <w:numPr>
          <w:ilvl w:val="255"/>
          <w:numId w:val="0"/>
        </w:numPr>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10、采用铝合金机身，可安装在19英寸机柜。</w:t>
      </w:r>
    </w:p>
    <w:p w14:paraId="3AD0A727">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会议管理控制主机</w:t>
      </w:r>
    </w:p>
    <w:p w14:paraId="71A94BD9">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1、专业工业级定制机箱，采用（EMI）设计，防电磁辐射干扰，输入电压交流50—60Hz，220V±10%V，≥网络支持1000MEthernet；</w:t>
      </w:r>
    </w:p>
    <w:p w14:paraId="06CFA505">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2、预装应急救援指挥中心集中管理系统软件，支持维护数据库，管理会议文件，会议服务软件，大屏输出控制软件，系统信息备份，采用多种加密结合充分保证信息的安全可靠；</w:t>
      </w:r>
    </w:p>
    <w:p w14:paraId="66FA548E">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3、CPU：国产处理器，≥16核心32线程，主频≥2.5GHz；</w:t>
      </w:r>
    </w:p>
    <w:p w14:paraId="2C8ABE14">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4、内存：≥32GBECCDDR4；</w:t>
      </w:r>
    </w:p>
    <w:p w14:paraId="61AACDB8">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5、硬盘：≥1TB企业级硬盘；</w:t>
      </w:r>
    </w:p>
    <w:p w14:paraId="70A2FE7B">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6、网卡：≥2×千兆网络接口（RJ45）；</w:t>
      </w:r>
    </w:p>
    <w:p w14:paraId="3809B171">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7、接口：VGA≥1，USB3.0≥4；</w:t>
      </w:r>
    </w:p>
    <w:p w14:paraId="66E90029">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rPr>
      </w:pPr>
      <w:r>
        <w:rPr>
          <w:rFonts w:hint="eastAsia" w:ascii="宋体" w:hAnsi="宋体" w:eastAsia="宋体" w:cs="宋体"/>
          <w:szCs w:val="24"/>
          <w:highlight w:val="none"/>
          <w:lang w:bidi="ar"/>
        </w:rPr>
        <w:t>8、国产服务器操作系统。</w:t>
      </w:r>
    </w:p>
    <w:p w14:paraId="13B80302">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会议拓展主机</w:t>
      </w:r>
    </w:p>
    <w:p w14:paraId="15581C9A">
      <w:pPr>
        <w:pageBreakBefore w:val="0"/>
        <w:numPr>
          <w:ilvl w:val="0"/>
          <w:numId w:val="26"/>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支持终端通信，上架式铝合金面板机箱，输入电压交流50—60Hz，220V</w:t>
      </w:r>
    </w:p>
    <w:p w14:paraId="704DEE40">
      <w:pPr>
        <w:pageBreakBefore w:val="0"/>
        <w:numPr>
          <w:ilvl w:val="255"/>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±10%V；</w:t>
      </w:r>
    </w:p>
    <w:p w14:paraId="78B9F0D4">
      <w:pPr>
        <w:pageBreakBefore w:val="0"/>
        <w:numPr>
          <w:ilvl w:val="0"/>
          <w:numId w:val="26"/>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一台设备可带≥22个单元，单元与扩展主机点对点有线连接，拓展主机</w:t>
      </w:r>
    </w:p>
    <w:p w14:paraId="1058DE4B">
      <w:pPr>
        <w:pageBreakBefore w:val="0"/>
        <w:numPr>
          <w:ilvl w:val="255"/>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之间可级联，支持≥1000M带宽以太网与终端通信；</w:t>
      </w:r>
    </w:p>
    <w:p w14:paraId="3C549EAA">
      <w:pPr>
        <w:pageBreakBefore w:val="0"/>
        <w:numPr>
          <w:ilvl w:val="0"/>
          <w:numId w:val="26"/>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固定端口：RS-485控制串口≥4个，千兆以太网口≥24个，千兆光口≥</w:t>
      </w:r>
    </w:p>
    <w:p w14:paraId="1557BB2C">
      <w:pPr>
        <w:pageBreakBefore w:val="0"/>
        <w:numPr>
          <w:ilvl w:val="255"/>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2个，配备网口指示灯（针对每个网口）；（提供设备接口图佐证）；</w:t>
      </w:r>
    </w:p>
    <w:p w14:paraId="61B45189">
      <w:pPr>
        <w:pageBreakBefore w:val="0"/>
        <w:numPr>
          <w:ilvl w:val="0"/>
          <w:numId w:val="26"/>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增强功能：通过对拓展主机物理层及传输层深度优化，同屏效果更好，</w:t>
      </w:r>
    </w:p>
    <w:p w14:paraId="5DA8EAB5">
      <w:pPr>
        <w:pageBreakBefore w:val="0"/>
        <w:numPr>
          <w:ilvl w:val="255"/>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延迟度更小；</w:t>
      </w:r>
    </w:p>
    <w:p w14:paraId="3440F7D9">
      <w:pPr>
        <w:pageBreakBefore w:val="0"/>
        <w:numPr>
          <w:ilvl w:val="0"/>
          <w:numId w:val="26"/>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控制功能：控制会议终端统一上升、下降、停止（仅限升降/翻转类设备），</w:t>
      </w:r>
    </w:p>
    <w:p w14:paraId="3B710E5C">
      <w:pPr>
        <w:pageBreakBefore w:val="0"/>
        <w:numPr>
          <w:ilvl w:val="255"/>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开机、关机。</w:t>
      </w:r>
    </w:p>
    <w:p w14:paraId="7B40A0AE">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分布式并发推流服务器</w:t>
      </w:r>
    </w:p>
    <w:p w14:paraId="79613B6D">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1、专业工业级定制机箱，输入电压交流50—60Hz，220V±10%V，网络支持≥1000MEthernet；</w:t>
      </w:r>
    </w:p>
    <w:p w14:paraId="2231CD7E">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2、支持系统分布式数据推流并发，可对国产系统终端同步推流同屏；支持负载均衡，多台分布式并发推流服务器可组成并发推流服务阵列，可为成千上万台终端进行推流同屏或直播；</w:t>
      </w:r>
    </w:p>
    <w:p w14:paraId="6BA52F37">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3、主设配置：≥国产8核/8线程，主频≥2.7GHz，≥2G显卡，内存≥4G，硬盘≥120G固态硬盘，国产桌面操作系统；</w:t>
      </w:r>
    </w:p>
    <w:p w14:paraId="3B114605">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4、支持音频和高清视频信号采集与编码，支持外部信号实时广播画面到所有应急救援指挥中心终端并同步显示；</w:t>
      </w:r>
    </w:p>
    <w:p w14:paraId="20B7FD2B">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5、视频支持1080P60Hz分辨率，支持SRT/RTSP/RTMPS/UDP/NVR等协议；</w:t>
      </w:r>
    </w:p>
    <w:p w14:paraId="4D781BCF">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6、支持≥1×HDMI视频输入，编码模式：H.265HEVC/H.264/AVC/Mjpeg；</w:t>
      </w:r>
    </w:p>
    <w:p w14:paraId="13CFAF17">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7、输入分辨率≥1920x1080@60P/50p，视频码率：0.16Mbps~32Mbps；</w:t>
      </w:r>
    </w:p>
    <w:p w14:paraId="217CC57F">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8、支持≥1×HDMI内嵌音频输入，≥1×3.5mm音频输入，音频编码：AAC/AAC+/AAC++/MP3/MP2/AC3/G711A/U/Opus。</w:t>
      </w:r>
    </w:p>
    <w:p w14:paraId="4AB15F32">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多媒体桌插</w:t>
      </w:r>
    </w:p>
    <w:p w14:paraId="119DD4A3">
      <w:pPr>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五孔电源*2、USB接口*1、网口*2、3.5音频*1、VGA*1、HDMI*1。</w:t>
      </w:r>
    </w:p>
    <w:p w14:paraId="6EF33206">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定制会议工位</w:t>
      </w:r>
    </w:p>
    <w:p w14:paraId="02D314F5">
      <w:pPr>
        <w:pageBreakBefore w:val="0"/>
        <w:numPr>
          <w:ilvl w:val="0"/>
          <w:numId w:val="27"/>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尺寸：不小于6.5m*2.2m*0.76m。</w:t>
      </w:r>
    </w:p>
    <w:p w14:paraId="76D7A962">
      <w:pPr>
        <w:pageBreakBefore w:val="0"/>
        <w:numPr>
          <w:ilvl w:val="0"/>
          <w:numId w:val="27"/>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基材采用露水河密度板，优质绿色E1级环保产品，甲醛含量低于1.0mg/L，</w:t>
      </w:r>
    </w:p>
    <w:p w14:paraId="4A89FF27">
      <w:pPr>
        <w:pageBreakBefore w:val="0"/>
        <w:numPr>
          <w:ilvl w:val="255"/>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密度大于760KG每立方米，静曲张度大于51.2Mpa，吸水膨胀率小于8.1%。</w:t>
      </w:r>
    </w:p>
    <w:p w14:paraId="2B0E50F6">
      <w:pPr>
        <w:pageBreakBefore w:val="0"/>
        <w:numPr>
          <w:ilvl w:val="0"/>
          <w:numId w:val="27"/>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桌面每个位留终端开孔。台面厚90MM，会议桌四角及台面底边的边线处</w:t>
      </w:r>
    </w:p>
    <w:p w14:paraId="5F44C661">
      <w:pPr>
        <w:pageBreakBefore w:val="0"/>
        <w:numPr>
          <w:ilvl w:val="255"/>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均作圆角处理。</w:t>
      </w:r>
    </w:p>
    <w:p w14:paraId="6C7B6F59">
      <w:pPr>
        <w:pageBreakBefore w:val="0"/>
        <w:numPr>
          <w:ilvl w:val="0"/>
          <w:numId w:val="27"/>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台面下外挡板落地，外观看不到台角。同时为保持稳定台角之间作内拉</w:t>
      </w:r>
    </w:p>
    <w:p w14:paraId="566B89B0">
      <w:pPr>
        <w:pageBreakBefore w:val="0"/>
        <w:numPr>
          <w:ilvl w:val="255"/>
          <w:numId w:val="0"/>
        </w:numPr>
        <w:kinsoku/>
        <w:wordWrap/>
        <w:overflowPunct/>
        <w:topLinePunct w:val="0"/>
        <w:autoSpaceDE/>
        <w:autoSpaceDN/>
        <w:bidi w:val="0"/>
        <w:adjustRightInd/>
        <w:snapToGrid/>
        <w:spacing w:line="400" w:lineRule="exact"/>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板。</w:t>
      </w:r>
    </w:p>
    <w:p w14:paraId="768E158D">
      <w:pPr>
        <w:pageBreakBefore w:val="0"/>
        <w:numPr>
          <w:ilvl w:val="0"/>
          <w:numId w:val="27"/>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油漆表面经过“阳光因子”处理，符合环保要求。</w:t>
      </w:r>
    </w:p>
    <w:p w14:paraId="43DDC2A6">
      <w:pPr>
        <w:pageBreakBefore w:val="0"/>
        <w:numPr>
          <w:ilvl w:val="0"/>
          <w:numId w:val="27"/>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包含13把椅子。</w:t>
      </w:r>
    </w:p>
    <w:p w14:paraId="2D814108">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至少86寸液晶触控显示单元</w:t>
      </w:r>
    </w:p>
    <w:p w14:paraId="52A8AADE">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1.屏尺寸≥86英寸，分辨率≥3840x2160，背光类型为D-LED，亮度≥350cd/㎡，可视角度为≥178°，对比度≥1200：1；</w:t>
      </w:r>
    </w:p>
    <w:p w14:paraId="2BAFF41F">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2.采用红外触摸技术，4毫米全钢化玻璃，防划伤、防撞击、防爆裂、防眩光，最大输出点数≥20点；</w:t>
      </w:r>
    </w:p>
    <w:p w14:paraId="18350B34">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3.内置≥1300W摄像头，镜头视角≥117°，内置≥8阵列线型等距麦克风，拾音距离≥10米；</w:t>
      </w:r>
    </w:p>
    <w:p w14:paraId="45FB775F">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4.支持屏幕亮度大小支持跟随环境光线感应，支持任意信号源批注功能，可随时进行切换；</w:t>
      </w:r>
    </w:p>
    <w:p w14:paraId="5B1F5B2A">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5.支持通过手势调取屏幕触摸菜单实现菜单、信号源切换、声音、亮度等功能控制；</w:t>
      </w:r>
    </w:p>
    <w:p w14:paraId="5CF94A6D">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6.支持在一体机菜单界面上显示机器内部温度，当机器内部出现故障，温度超标时会自动关机；</w:t>
      </w:r>
    </w:p>
    <w:p w14:paraId="62A90E37">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7.具有多功能按键，支持一键（开关机/熄屏/关闭OPS，指示灯，按键截屏）；</w:t>
      </w:r>
    </w:p>
    <w:p w14:paraId="0A932CED">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8.支持多画面投屏，适应PC、iPad、手机等多设备投屏，实现≥4画面同传；</w:t>
      </w:r>
    </w:p>
    <w:p w14:paraId="4B2F2483">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9.支持接入并输入信号，设备将会自动识别并切换到对应的视频信号源通道；</w:t>
      </w:r>
    </w:p>
    <w:p w14:paraId="6A989A11">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10.支持通过手势擦拭屏幕上的文字及图案，支持触摸屏幕即可操控电脑；</w:t>
      </w:r>
    </w:p>
    <w:p w14:paraId="7B5B6E44">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rPr>
      </w:pPr>
      <w:r>
        <w:rPr>
          <w:rFonts w:hint="eastAsia" w:ascii="宋体" w:hAnsi="宋体" w:eastAsia="宋体" w:cs="宋体"/>
          <w:szCs w:val="24"/>
          <w:highlight w:val="none"/>
          <w:lang w:bidi="ar"/>
        </w:rPr>
        <w:t>11.CPU≥国产8核/8线程，主频≥2.7GHz，≥2G显卡，内存≥8G，硬盘≥120G固态硬盘，国产桌面操作系统。</w:t>
      </w:r>
    </w:p>
    <w:p w14:paraId="7DA21CB6">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HDMI无缝视频矩阵</w:t>
      </w:r>
    </w:p>
    <w:p w14:paraId="4F34759E">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1.≥8路HDMI输入，≥8路HDMI输出，标准机架设计；</w:t>
      </w:r>
    </w:p>
    <w:p w14:paraId="2A90FFD9">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2.收发支持HDMI1.3a，可收发≥1920*1080@60Hz视频信号；</w:t>
      </w:r>
    </w:p>
    <w:p w14:paraId="17B3EC52">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3.HDMI传输不失真的状态下收发距离均可达≥30米（1920*1080@60Hz）；</w:t>
      </w:r>
    </w:p>
    <w:p w14:paraId="6C7DBA03">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4.支持无缝切换、无黑屏，支持输出分辨率转换和拼接功能；</w:t>
      </w:r>
    </w:p>
    <w:p w14:paraId="2E55F615">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5.切换通道处理速度快，可通过设备前面板LCD实时显示切换状态，掉电带锁存记忆功能；</w:t>
      </w:r>
    </w:p>
    <w:p w14:paraId="32CE5A2C">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6.控制方式多样：面板按键、遥控器、上位机（RS232）。</w:t>
      </w:r>
    </w:p>
    <w:p w14:paraId="31661BF5">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无线投屏系统</w:t>
      </w:r>
    </w:p>
    <w:p w14:paraId="354B54E8">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接口≥1个USB2.0，最大传输距离≥10米。</w:t>
      </w:r>
    </w:p>
    <w:p w14:paraId="26050606">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阵列音柱</w:t>
      </w:r>
    </w:p>
    <w:p w14:paraId="29C4E16F">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1.有效频率范围：≥120Hz-20kHz</w:t>
      </w:r>
    </w:p>
    <w:p w14:paraId="01091D38">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2.喇叭单元：≥4×3永磁体</w:t>
      </w:r>
    </w:p>
    <w:p w14:paraId="55B2A22B">
      <w:pPr>
        <w:pageBreakBefore w:val="0"/>
        <w:kinsoku/>
        <w:wordWrap/>
        <w:overflowPunct/>
        <w:topLinePunct w:val="0"/>
        <w:autoSpaceDE/>
        <w:autoSpaceDN/>
        <w:bidi w:val="0"/>
        <w:adjustRightInd/>
        <w:snapToGrid/>
        <w:spacing w:line="400" w:lineRule="exact"/>
        <w:ind w:left="420" w:leftChars="200" w:firstLine="0" w:firstLineChars="0"/>
        <w:textAlignment w:val="auto"/>
        <w:rPr>
          <w:rStyle w:val="66"/>
          <w:rFonts w:hint="eastAsia" w:ascii="宋体" w:hAnsi="宋体" w:eastAsia="宋体" w:cs="宋体"/>
          <w:sz w:val="24"/>
          <w:szCs w:val="24"/>
          <w:highlight w:val="none"/>
          <w:lang w:bidi="ar"/>
        </w:rPr>
      </w:pPr>
      <w:r>
        <w:rPr>
          <w:rFonts w:hint="eastAsia" w:ascii="宋体" w:hAnsi="宋体" w:eastAsia="宋体" w:cs="宋体"/>
          <w:color w:val="000000"/>
          <w:kern w:val="0"/>
          <w:szCs w:val="24"/>
          <w:highlight w:val="none"/>
          <w:lang w:bidi="ar"/>
        </w:rPr>
        <w:t>3.额定阻抗：8Ω</w:t>
      </w:r>
    </w:p>
    <w:p w14:paraId="410427A2">
      <w:pPr>
        <w:pageBreakBefore w:val="0"/>
        <w:kinsoku/>
        <w:wordWrap/>
        <w:overflowPunct/>
        <w:topLinePunct w:val="0"/>
        <w:autoSpaceDE/>
        <w:autoSpaceDN/>
        <w:bidi w:val="0"/>
        <w:adjustRightInd/>
        <w:snapToGrid/>
        <w:spacing w:line="400" w:lineRule="exact"/>
        <w:ind w:left="420" w:leftChars="200" w:firstLine="0" w:firstLineChars="0"/>
        <w:textAlignment w:val="auto"/>
        <w:rPr>
          <w:rStyle w:val="66"/>
          <w:rFonts w:hint="eastAsia" w:ascii="宋体" w:hAnsi="宋体" w:eastAsia="宋体" w:cs="宋体"/>
          <w:sz w:val="24"/>
          <w:szCs w:val="24"/>
          <w:highlight w:val="none"/>
          <w:lang w:bidi="ar"/>
        </w:rPr>
      </w:pPr>
      <w:r>
        <w:rPr>
          <w:rStyle w:val="66"/>
          <w:rFonts w:hint="eastAsia" w:ascii="宋体" w:hAnsi="宋体" w:eastAsia="宋体" w:cs="宋体"/>
          <w:sz w:val="24"/>
          <w:szCs w:val="24"/>
          <w:highlight w:val="none"/>
          <w:lang w:bidi="ar"/>
        </w:rPr>
        <w:t>4.音箱功率：≥100W（额定功率），≥400W（峰值功率）</w:t>
      </w:r>
    </w:p>
    <w:p w14:paraId="57715940">
      <w:pPr>
        <w:pageBreakBefore w:val="0"/>
        <w:kinsoku/>
        <w:wordWrap/>
        <w:overflowPunct/>
        <w:topLinePunct w:val="0"/>
        <w:autoSpaceDE/>
        <w:autoSpaceDN/>
        <w:bidi w:val="0"/>
        <w:adjustRightInd/>
        <w:snapToGrid/>
        <w:spacing w:line="400" w:lineRule="exact"/>
        <w:ind w:left="420" w:leftChars="200" w:firstLine="0" w:firstLineChars="0"/>
        <w:textAlignment w:val="auto"/>
        <w:rPr>
          <w:rStyle w:val="66"/>
          <w:rFonts w:hint="eastAsia" w:ascii="宋体" w:hAnsi="宋体" w:eastAsia="宋体" w:cs="宋体"/>
          <w:sz w:val="24"/>
          <w:szCs w:val="24"/>
          <w:highlight w:val="none"/>
          <w:lang w:bidi="ar"/>
        </w:rPr>
      </w:pPr>
      <w:r>
        <w:rPr>
          <w:rStyle w:val="66"/>
          <w:rFonts w:hint="eastAsia" w:ascii="宋体" w:hAnsi="宋体" w:eastAsia="宋体" w:cs="宋体"/>
          <w:sz w:val="24"/>
          <w:szCs w:val="24"/>
          <w:highlight w:val="none"/>
          <w:lang w:bidi="ar"/>
        </w:rPr>
        <w:t>5.特性灵敏度级：≥93dB/w/m</w:t>
      </w:r>
    </w:p>
    <w:p w14:paraId="3279DF91">
      <w:pPr>
        <w:pageBreakBefore w:val="0"/>
        <w:kinsoku/>
        <w:wordWrap/>
        <w:overflowPunct/>
        <w:topLinePunct w:val="0"/>
        <w:autoSpaceDE/>
        <w:autoSpaceDN/>
        <w:bidi w:val="0"/>
        <w:adjustRightInd/>
        <w:snapToGrid/>
        <w:spacing w:line="400" w:lineRule="exact"/>
        <w:ind w:left="420" w:leftChars="200" w:firstLine="0" w:firstLineChars="0"/>
        <w:textAlignment w:val="auto"/>
        <w:rPr>
          <w:rStyle w:val="66"/>
          <w:rFonts w:hint="eastAsia" w:ascii="宋体" w:hAnsi="宋体" w:eastAsia="宋体" w:cs="宋体"/>
          <w:sz w:val="24"/>
          <w:szCs w:val="24"/>
          <w:highlight w:val="none"/>
          <w:lang w:bidi="ar"/>
        </w:rPr>
      </w:pPr>
      <w:r>
        <w:rPr>
          <w:rStyle w:val="66"/>
          <w:rFonts w:hint="eastAsia" w:ascii="宋体" w:hAnsi="宋体" w:eastAsia="宋体" w:cs="宋体"/>
          <w:sz w:val="24"/>
          <w:szCs w:val="24"/>
          <w:highlight w:val="none"/>
          <w:lang w:bidi="ar"/>
        </w:rPr>
        <w:t>6.指定频带内的声压级：≥110dB</w:t>
      </w:r>
    </w:p>
    <w:p w14:paraId="0882860F">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Style w:val="66"/>
          <w:rFonts w:hint="eastAsia" w:ascii="宋体" w:hAnsi="宋体" w:eastAsia="宋体" w:cs="宋体"/>
          <w:sz w:val="24"/>
          <w:szCs w:val="24"/>
          <w:highlight w:val="none"/>
          <w:lang w:bidi="ar"/>
        </w:rPr>
        <w:t>7.总谐波失真：≤3%</w:t>
      </w:r>
    </w:p>
    <w:p w14:paraId="125DB2C3">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功率放大器</w:t>
      </w:r>
    </w:p>
    <w:p w14:paraId="2F9F96FE">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1.功率：≥2×400W/8Ω，≥2×450W/4Ω，≥900W/8Ω桥接；</w:t>
      </w:r>
    </w:p>
    <w:p w14:paraId="187051F0">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2.频率响应：≥20Hz-20KHz,+/-1.5dB，总谐波失真：≤0.1%，信噪比：≥85dB；</w:t>
      </w:r>
    </w:p>
    <w:p w14:paraId="2804187D">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3.优质工频环形变压器和ClassD功放模块；</w:t>
      </w:r>
    </w:p>
    <w:p w14:paraId="402C4502">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4.内置单调制双通道功放技术，内置高瞬态脉冲电流线性电源技术，低内阻，高速电流的供电设计；</w:t>
      </w:r>
    </w:p>
    <w:p w14:paraId="7D603025">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5.从前向后的散热排风系统设计，确保设备长时间，高可靠性能运行和使用；</w:t>
      </w:r>
    </w:p>
    <w:p w14:paraId="6E23F426">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6.前面板独立通道有温度，保护和削峰灯警示；</w:t>
      </w:r>
    </w:p>
    <w:p w14:paraId="745A479E">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7.后面板有0.775V/1.4V灵敏度选择开关；</w:t>
      </w:r>
    </w:p>
    <w:p w14:paraId="467A754E">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8.后面板有立体声/桥接/并联模式选择。</w:t>
      </w:r>
    </w:p>
    <w:p w14:paraId="62F30361">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数字音频处理器</w:t>
      </w:r>
    </w:p>
    <w:p w14:paraId="1FD59C79">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1.模拟输入输出通道不少于8*8；</w:t>
      </w:r>
    </w:p>
    <w:p w14:paraId="60E08793">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2.输入输出采样率不低于48KHz/24bit；</w:t>
      </w:r>
    </w:p>
    <w:p w14:paraId="20BE0665">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3.不小于1.3寸OLED显示屏，支持显示设备名称和IP地址；</w:t>
      </w:r>
    </w:p>
    <w:p w14:paraId="35080B10">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4.需支持Ducker闪避器、SPL自动环境噪声补偿；</w:t>
      </w:r>
    </w:p>
    <w:p w14:paraId="109D2B66">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5.需支持反馈消除、回声消除、噪声消除；</w:t>
      </w:r>
    </w:p>
    <w:p w14:paraId="78969F93">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6.需支持不少于99组场景预设，支持不少于10个用户同时在线管理；</w:t>
      </w:r>
    </w:p>
    <w:p w14:paraId="4574BB18">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7.需内置B/S服务，可通过网页浏览器访问，内嵌通道控制和场景选择功能；</w:t>
      </w:r>
    </w:p>
    <w:p w14:paraId="2A3A68C1">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8.USB接口需具备U盘录制播放及系统升级功能；</w:t>
      </w:r>
    </w:p>
    <w:p w14:paraId="1DD17035">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9.不少于8个可配置GPIO接口，可自定义输入输出；</w:t>
      </w:r>
    </w:p>
    <w:p w14:paraId="06CA6EA9">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10.提供不少于3种第三方控制协议，支持UDP、HTTP、RS232/485协议控制。</w:t>
      </w:r>
    </w:p>
    <w:p w14:paraId="1F03EEDC">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无线手持话筒</w:t>
      </w:r>
    </w:p>
    <w:p w14:paraId="74EF40DD">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1.接收机自带窄波技术、ID编码技术，最多可用到≥24支话筒；</w:t>
      </w:r>
    </w:p>
    <w:p w14:paraId="1998616A">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2.接收机和发射器上可同时显示电池用量，方便后台人员及时更换电池；</w:t>
      </w:r>
    </w:p>
    <w:p w14:paraId="05DDCE31">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3.真分集式（TrueDiversity），接收距离无阻隔≥80米；</w:t>
      </w:r>
    </w:p>
    <w:p w14:paraId="293BE77F">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4.面板LCD液晶显示可同时显示RF/AF信号强度，SQ设置，发射机的电池容量和工作频率；</w:t>
      </w:r>
    </w:p>
    <w:p w14:paraId="7A2CC7BA">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lang w:bidi="ar"/>
        </w:rPr>
      </w:pPr>
      <w:r>
        <w:rPr>
          <w:rFonts w:hint="eastAsia" w:ascii="宋体" w:hAnsi="宋体" w:eastAsia="宋体" w:cs="宋体"/>
          <w:szCs w:val="24"/>
          <w:highlight w:val="none"/>
          <w:lang w:bidi="ar"/>
        </w:rPr>
        <w:t>5.接收距离可调、发射功率可调，输出电平可调；</w:t>
      </w:r>
    </w:p>
    <w:p w14:paraId="22F72D8C">
      <w:pPr>
        <w:pageBreakBefore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color w:val="000000"/>
          <w:kern w:val="0"/>
          <w:szCs w:val="24"/>
          <w:highlight w:val="none"/>
          <w:lang w:bidi="ar"/>
        </w:rPr>
      </w:pPr>
      <w:r>
        <w:rPr>
          <w:rFonts w:hint="eastAsia" w:ascii="宋体" w:hAnsi="宋体" w:eastAsia="宋体" w:cs="宋体"/>
          <w:szCs w:val="24"/>
          <w:highlight w:val="none"/>
          <w:lang w:bidi="ar"/>
        </w:rPr>
        <w:t>6.PLL相位锁定频率合成，独立“音码及杂讯锁定”双重静音控制。</w:t>
      </w:r>
    </w:p>
    <w:p w14:paraId="7F9B1AD0">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电源时序器</w:t>
      </w:r>
    </w:p>
    <w:p w14:paraId="7C609E49">
      <w:pPr>
        <w:pageBreakBefore w:val="0"/>
        <w:numPr>
          <w:ilvl w:val="0"/>
          <w:numId w:val="28"/>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≥2.0寸液晶屏显示，配有输出电压实时显示；</w:t>
      </w:r>
    </w:p>
    <w:p w14:paraId="21A5591F">
      <w:pPr>
        <w:pageBreakBefore w:val="0"/>
        <w:numPr>
          <w:ilvl w:val="0"/>
          <w:numId w:val="28"/>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顺序开启逆序关闭，自由设定通道开关顺序；</w:t>
      </w:r>
    </w:p>
    <w:p w14:paraId="5F58C4D0">
      <w:pPr>
        <w:pageBreakBefore w:val="0"/>
        <w:numPr>
          <w:ilvl w:val="0"/>
          <w:numId w:val="28"/>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每路通道时间间隔可以调节，每路通道可以单独开关；</w:t>
      </w:r>
    </w:p>
    <w:p w14:paraId="6B83557F">
      <w:pPr>
        <w:pageBreakBefore w:val="0"/>
        <w:numPr>
          <w:ilvl w:val="0"/>
          <w:numId w:val="28"/>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具有定时开关机，带有中控功能；</w:t>
      </w:r>
    </w:p>
    <w:p w14:paraId="2873E598">
      <w:pPr>
        <w:pageBreakBefore w:val="0"/>
        <w:numPr>
          <w:ilvl w:val="0"/>
          <w:numId w:val="28"/>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≥十路可控八路电源输出，每路可达≥30A；</w:t>
      </w:r>
    </w:p>
    <w:p w14:paraId="013BC6D3">
      <w:pPr>
        <w:pageBreakBefore w:val="0"/>
        <w:numPr>
          <w:ilvl w:val="0"/>
          <w:numId w:val="28"/>
        </w:numPr>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带232中控功能，可在电脑页面上控制。</w:t>
      </w:r>
    </w:p>
    <w:p w14:paraId="6D472E84">
      <w:pPr>
        <w:pStyle w:val="7"/>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专用线缆</w:t>
      </w:r>
    </w:p>
    <w:p w14:paraId="5ED0820D">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color w:val="000000"/>
          <w:kern w:val="0"/>
          <w:szCs w:val="24"/>
          <w:highlight w:val="none"/>
          <w:lang w:bidi="ar"/>
        </w:rPr>
        <w:t>电源线、网线、VGA线、HDMI线、音频线、管材、接插件等。</w:t>
      </w:r>
    </w:p>
    <w:p w14:paraId="001A1B19">
      <w:pPr>
        <w:pStyle w:val="6"/>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信息传输量要求</w:t>
      </w:r>
    </w:p>
    <w:p w14:paraId="048E308E">
      <w:pPr>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应急救援会商系统中的信息传输包括会议文件、音频、视频以及实时交互数据等。</w:t>
      </w:r>
    </w:p>
    <w:p w14:paraId="5DE959FA">
      <w:pPr>
        <w:pageBreakBefore w:val="0"/>
        <w:numPr>
          <w:ilvl w:val="0"/>
          <w:numId w:val="29"/>
        </w:numPr>
        <w:kinsoku/>
        <w:wordWrap/>
        <w:overflowPunct/>
        <w:topLinePunct w:val="0"/>
        <w:autoSpaceDE/>
        <w:autoSpaceDN/>
        <w:bidi w:val="0"/>
        <w:adjustRightInd/>
        <w:snapToGrid/>
        <w:spacing w:line="400" w:lineRule="exact"/>
        <w:ind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普通文档：有几百KB-1M左右。</w:t>
      </w:r>
    </w:p>
    <w:p w14:paraId="5C2DC257">
      <w:pPr>
        <w:pageBreakBefore w:val="0"/>
        <w:numPr>
          <w:ilvl w:val="0"/>
          <w:numId w:val="29"/>
        </w:numPr>
        <w:kinsoku/>
        <w:wordWrap/>
        <w:overflowPunct/>
        <w:topLinePunct w:val="0"/>
        <w:autoSpaceDE/>
        <w:autoSpaceDN/>
        <w:bidi w:val="0"/>
        <w:adjustRightInd/>
        <w:snapToGrid/>
        <w:spacing w:line="400" w:lineRule="exact"/>
        <w:ind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图片文档：大量高清图片或复杂图表的PPT可能达到几MB甚至几十MB，</w:t>
      </w:r>
    </w:p>
    <w:p w14:paraId="62857A97">
      <w:pPr>
        <w:pageBreakBefore w:val="0"/>
        <w:numPr>
          <w:ilvl w:val="255"/>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Cs w:val="24"/>
          <w:highlight w:val="none"/>
        </w:rPr>
      </w:pPr>
      <w:r>
        <w:rPr>
          <w:rFonts w:hint="eastAsia" w:ascii="宋体" w:hAnsi="宋体" w:eastAsia="宋体" w:cs="宋体"/>
          <w:szCs w:val="24"/>
          <w:highlight w:val="none"/>
        </w:rPr>
        <w:t>1G以下。</w:t>
      </w:r>
    </w:p>
    <w:p w14:paraId="35BCDDC7">
      <w:pPr>
        <w:pageBreakBefore w:val="0"/>
        <w:numPr>
          <w:ilvl w:val="0"/>
          <w:numId w:val="29"/>
        </w:numPr>
        <w:kinsoku/>
        <w:wordWrap/>
        <w:overflowPunct/>
        <w:topLinePunct w:val="0"/>
        <w:autoSpaceDE/>
        <w:autoSpaceDN/>
        <w:bidi w:val="0"/>
        <w:adjustRightInd/>
        <w:snapToGrid/>
        <w:spacing w:line="400" w:lineRule="exact"/>
        <w:ind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音频数据：1小时的音频传输可能在几百MB左右。</w:t>
      </w:r>
    </w:p>
    <w:p w14:paraId="2994FCDA">
      <w:pPr>
        <w:pageBreakBefore w:val="0"/>
        <w:numPr>
          <w:ilvl w:val="0"/>
          <w:numId w:val="29"/>
        </w:numPr>
        <w:kinsoku/>
        <w:wordWrap/>
        <w:overflowPunct/>
        <w:topLinePunct w:val="0"/>
        <w:autoSpaceDE/>
        <w:autoSpaceDN/>
        <w:bidi w:val="0"/>
        <w:adjustRightInd/>
        <w:snapToGrid/>
        <w:spacing w:line="400" w:lineRule="exact"/>
        <w:ind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视频数据：高清视频（如1080p）1小时的传输量可能达到几个GB，而</w:t>
      </w:r>
    </w:p>
    <w:p w14:paraId="53B4FDB4">
      <w:pPr>
        <w:pageBreakBefore w:val="0"/>
        <w:numPr>
          <w:ilvl w:val="255"/>
          <w:numId w:val="0"/>
        </w:numPr>
        <w:kinsoku/>
        <w:wordWrap/>
        <w:overflowPunct/>
        <w:topLinePunct w:val="0"/>
        <w:autoSpaceDE/>
        <w:autoSpaceDN/>
        <w:bidi w:val="0"/>
        <w:adjustRightInd/>
        <w:snapToGrid/>
        <w:spacing w:line="400" w:lineRule="exact"/>
        <w:textAlignment w:val="auto"/>
        <w:rPr>
          <w:rFonts w:hint="eastAsia" w:ascii="宋体" w:hAnsi="宋体" w:eastAsia="宋体" w:cs="宋体"/>
          <w:szCs w:val="24"/>
          <w:highlight w:val="none"/>
        </w:rPr>
      </w:pPr>
      <w:r>
        <w:rPr>
          <w:rFonts w:hint="eastAsia" w:ascii="宋体" w:hAnsi="宋体" w:eastAsia="宋体" w:cs="宋体"/>
          <w:szCs w:val="24"/>
          <w:highlight w:val="none"/>
        </w:rPr>
        <w:t>4K甚至8K视频的传输量会10GB左右。</w:t>
      </w:r>
    </w:p>
    <w:p w14:paraId="6175B94E">
      <w:pPr>
        <w:pStyle w:val="6"/>
        <w:pageBreakBefore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存储量要求</w:t>
      </w:r>
    </w:p>
    <w:p w14:paraId="7C52DA25">
      <w:pPr>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存储量需求主要源于会议文件的长期保存、会议记录、参会人员的批注和操作记录等。</w:t>
      </w:r>
    </w:p>
    <w:p w14:paraId="1187C477">
      <w:pPr>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1天每场会议产生的文件和相关数据平均为300MB。</w:t>
      </w:r>
    </w:p>
    <w:p w14:paraId="2088C8FF">
      <w:pPr>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如果每天有5场会议，每场会议平均产生300MB的数据，一个月（30天）的存储量大约为：</w:t>
      </w:r>
    </w:p>
    <w:p w14:paraId="3A93A838">
      <w:pPr>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存储量（MB）=5×300×30=45000MB≈45GB</w:t>
      </w:r>
    </w:p>
    <w:p w14:paraId="4DA92E0E">
      <w:pPr>
        <w:pageBreakBefore w:val="0"/>
        <w:kinsoku/>
        <w:wordWrap/>
        <w:overflowPunct/>
        <w:topLinePunct w:val="0"/>
        <w:autoSpaceDE/>
        <w:autoSpaceDN/>
        <w:bidi w:val="0"/>
        <w:adjustRightInd/>
        <w:snapToGrid/>
        <w:spacing w:line="400" w:lineRule="exact"/>
        <w:ind w:left="420" w:leftChars="200" w:firstLine="0" w:firstLineChars="0"/>
        <w:textAlignment w:val="auto"/>
        <w:rPr>
          <w:rFonts w:hint="eastAsia" w:ascii="宋体" w:hAnsi="宋体" w:eastAsia="宋体" w:cs="宋体"/>
          <w:color w:val="000000"/>
          <w:kern w:val="0"/>
          <w:szCs w:val="24"/>
          <w:highlight w:val="none"/>
          <w:lang w:bidi="ar"/>
        </w:rPr>
      </w:pPr>
      <w:r>
        <w:rPr>
          <w:rFonts w:hint="eastAsia" w:ascii="宋体" w:hAnsi="宋体" w:eastAsia="宋体" w:cs="宋体"/>
          <w:szCs w:val="24"/>
          <w:highlight w:val="none"/>
        </w:rPr>
        <w:t>按年计算约为540G。按保存3年历史数据，总量约为1.62T。</w:t>
      </w:r>
    </w:p>
    <w:p w14:paraId="6E58B463">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数据库设计</w:t>
      </w:r>
    </w:p>
    <w:p w14:paraId="5C0D29FB">
      <w:pPr>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szCs w:val="24"/>
          <w:highlight w:val="none"/>
        </w:rPr>
        <w:t>应急救援会商系统为成品产品且不提供数据库方面的开发。</w:t>
      </w:r>
    </w:p>
    <w:p w14:paraId="0010714E">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数据流设计</w:t>
      </w:r>
    </w:p>
    <w:p w14:paraId="11D77F20">
      <w:pPr>
        <w:pageBreakBefore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szCs w:val="24"/>
          <w:highlight w:val="none"/>
        </w:rPr>
        <w:t>应急救援会商系统为成品产品且不提供数据库方面的开发。</w:t>
      </w:r>
    </w:p>
    <w:p w14:paraId="1334B48A">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数据接口设计</w:t>
      </w:r>
    </w:p>
    <w:p w14:paraId="67FEBEF5">
      <w:pPr>
        <w:pageBreakBefore w:val="0"/>
        <w:numPr>
          <w:ilvl w:val="0"/>
          <w:numId w:val="30"/>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接入移动云视讯系统进行远程视频会议；目前机场云视讯系统配置在AOC用于应急救援及日常的远程监察，安装于新机场综合楼。</w:t>
      </w:r>
    </w:p>
    <w:p w14:paraId="32F0A6D3">
      <w:pPr>
        <w:pageBreakBefore w:val="0"/>
        <w:numPr>
          <w:ilvl w:val="0"/>
          <w:numId w:val="30"/>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接入机场视频监控系统，能够调用监控系统任意画面并在液晶触控显示单元和其他终端同步显示。</w:t>
      </w:r>
    </w:p>
    <w:p w14:paraId="553CAA8B">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r>
        <w:rPr>
          <w:rFonts w:hint="eastAsia"/>
          <w:highlight w:val="none"/>
        </w:rPr>
        <w:t>系统部署</w:t>
      </w:r>
    </w:p>
    <w:p w14:paraId="136771B0">
      <w:pPr>
        <w:pStyle w:val="6"/>
        <w:keepNext/>
        <w:keepLines/>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系统连接图</w:t>
      </w:r>
    </w:p>
    <w:p w14:paraId="02812297">
      <w:pPr>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72405" cy="3895725"/>
            <wp:effectExtent l="0" t="0" r="4445" b="9525"/>
            <wp:docPr id="207" name="图片 17" descr="台州机场运控中心(装饰)-Mod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17" descr="台州机场运控中心(装饰)-Model2"/>
                    <pic:cNvPicPr>
                      <a:picLocks noChangeAspect="1"/>
                    </pic:cNvPicPr>
                  </pic:nvPicPr>
                  <pic:blipFill>
                    <a:blip r:embed="rId25"/>
                    <a:srcRect l="4773" r="4785"/>
                    <a:stretch>
                      <a:fillRect/>
                    </a:stretch>
                  </pic:blipFill>
                  <pic:spPr>
                    <a:xfrm>
                      <a:off x="0" y="0"/>
                      <a:ext cx="5272405" cy="3895725"/>
                    </a:xfrm>
                    <a:prstGeom prst="rect">
                      <a:avLst/>
                    </a:prstGeom>
                    <a:noFill/>
                    <a:ln>
                      <a:noFill/>
                    </a:ln>
                  </pic:spPr>
                </pic:pic>
              </a:graphicData>
            </a:graphic>
          </wp:inline>
        </w:drawing>
      </w:r>
    </w:p>
    <w:p w14:paraId="2F18B06E">
      <w:pPr>
        <w:pStyle w:val="63"/>
        <w:numPr>
          <w:ilvl w:val="7"/>
          <w:numId w:val="7"/>
        </w:numPr>
        <w:rPr>
          <w:rFonts w:hint="eastAsia" w:ascii="宋体" w:hAnsi="宋体" w:eastAsia="宋体" w:cs="宋体"/>
          <w:highlight w:val="none"/>
        </w:rPr>
      </w:pPr>
      <w:r>
        <w:rPr>
          <w:rFonts w:hint="eastAsia" w:ascii="宋体" w:hAnsi="宋体" w:eastAsia="宋体" w:cs="宋体"/>
          <w:highlight w:val="none"/>
        </w:rPr>
        <w:t>系统连接</w:t>
      </w:r>
    </w:p>
    <w:p w14:paraId="613540EE">
      <w:pPr>
        <w:pStyle w:val="6"/>
        <w:keepNext/>
        <w:keepLines/>
        <w:pageBreakBefore w:val="0"/>
        <w:widowControl w:val="0"/>
        <w:kinsoku/>
        <w:wordWrap/>
        <w:overflowPunct/>
        <w:topLinePunct w:val="0"/>
        <w:autoSpaceDE/>
        <w:autoSpaceDN/>
        <w:bidi w:val="0"/>
        <w:adjustRightInd/>
        <w:snapToGrid/>
        <w:spacing w:line="400" w:lineRule="exact"/>
        <w:ind w:left="422" w:hanging="422" w:hangingChars="200"/>
        <w:textAlignment w:val="auto"/>
        <w:rPr>
          <w:rFonts w:hint="eastAsia"/>
          <w:highlight w:val="none"/>
        </w:rPr>
      </w:pPr>
      <w:r>
        <w:rPr>
          <w:rFonts w:hint="eastAsia"/>
          <w:highlight w:val="none"/>
        </w:rPr>
        <w:t>平面部署图</w:t>
      </w:r>
    </w:p>
    <w:p w14:paraId="5308DA8E">
      <w:pPr>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29225" cy="3321685"/>
            <wp:effectExtent l="0" t="0" r="9525" b="12065"/>
            <wp:docPr id="14" name="内容占位符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内容占位符 3"/>
                    <pic:cNvPicPr>
                      <a:picLocks noChangeAspect="1"/>
                    </pic:cNvPicPr>
                  </pic:nvPicPr>
                  <pic:blipFill>
                    <a:blip r:embed="rId26"/>
                    <a:stretch>
                      <a:fillRect/>
                    </a:stretch>
                  </pic:blipFill>
                  <pic:spPr>
                    <a:xfrm>
                      <a:off x="0" y="0"/>
                      <a:ext cx="5229225" cy="3321685"/>
                    </a:xfrm>
                    <a:prstGeom prst="rect">
                      <a:avLst/>
                    </a:prstGeom>
                  </pic:spPr>
                </pic:pic>
              </a:graphicData>
            </a:graphic>
          </wp:inline>
        </w:drawing>
      </w:r>
    </w:p>
    <w:p w14:paraId="15B5493D">
      <w:pPr>
        <w:pStyle w:val="63"/>
        <w:numPr>
          <w:ilvl w:val="7"/>
          <w:numId w:val="7"/>
        </w:numPr>
        <w:rPr>
          <w:rFonts w:hint="eastAsia" w:ascii="宋体" w:hAnsi="宋体" w:eastAsia="宋体" w:cs="宋体"/>
          <w:highlight w:val="none"/>
        </w:rPr>
      </w:pPr>
      <w:r>
        <w:rPr>
          <w:rFonts w:hint="eastAsia" w:ascii="宋体" w:hAnsi="宋体" w:eastAsia="宋体" w:cs="宋体"/>
          <w:highlight w:val="none"/>
        </w:rPr>
        <w:t>平面部署图</w:t>
      </w:r>
    </w:p>
    <w:p w14:paraId="66C75FDB">
      <w:pPr>
        <w:pStyle w:val="4"/>
        <w:bidi w:val="0"/>
        <w:rPr>
          <w:rFonts w:hint="eastAsia"/>
          <w:highlight w:val="none"/>
        </w:rPr>
      </w:pPr>
      <w:bookmarkStart w:id="203" w:name="_Toc4219"/>
      <w:bookmarkStart w:id="204" w:name="_Toc281"/>
      <w:bookmarkStart w:id="205" w:name="_Toc16171"/>
      <w:bookmarkStart w:id="206" w:name="_Toc18719"/>
      <w:bookmarkStart w:id="207" w:name="_Toc21253"/>
      <w:bookmarkStart w:id="208" w:name="_Toc8489"/>
      <w:bookmarkStart w:id="209" w:name="_Toc7903"/>
      <w:bookmarkStart w:id="210" w:name="_Toc6757"/>
      <w:bookmarkStart w:id="211" w:name="_Toc27960"/>
      <w:bookmarkStart w:id="212" w:name="_Toc14143"/>
      <w:bookmarkStart w:id="213" w:name="_Toc14950"/>
      <w:r>
        <w:rPr>
          <w:rFonts w:hint="eastAsia"/>
          <w:highlight w:val="none"/>
        </w:rPr>
        <w:t>机场智能交通管理系统</w:t>
      </w:r>
      <w:bookmarkEnd w:id="203"/>
      <w:bookmarkEnd w:id="204"/>
      <w:bookmarkEnd w:id="205"/>
      <w:bookmarkEnd w:id="206"/>
      <w:bookmarkEnd w:id="207"/>
      <w:bookmarkEnd w:id="208"/>
      <w:bookmarkEnd w:id="209"/>
      <w:bookmarkEnd w:id="210"/>
      <w:bookmarkEnd w:id="211"/>
      <w:bookmarkEnd w:id="212"/>
      <w:bookmarkEnd w:id="213"/>
    </w:p>
    <w:p w14:paraId="09B54554">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bookmarkStart w:id="214" w:name="_Toc24764"/>
      <w:bookmarkStart w:id="215" w:name="_Toc31919"/>
      <w:bookmarkStart w:id="216" w:name="_Toc20278"/>
      <w:bookmarkStart w:id="217" w:name="_Toc9846"/>
      <w:bookmarkStart w:id="218" w:name="_Toc19564"/>
      <w:bookmarkStart w:id="219" w:name="_Toc30811"/>
      <w:bookmarkStart w:id="220" w:name="_Toc30175"/>
      <w:bookmarkStart w:id="221" w:name="_Toc380"/>
      <w:bookmarkStart w:id="222" w:name="_Toc17071"/>
      <w:bookmarkStart w:id="223" w:name="_Toc9069"/>
      <w:bookmarkStart w:id="224" w:name="OLE_LINK9"/>
      <w:r>
        <w:rPr>
          <w:rFonts w:hint="eastAsia"/>
          <w:highlight w:val="none"/>
        </w:rPr>
        <w:t>多维车辆调度智慧管理系统</w:t>
      </w:r>
      <w:bookmarkEnd w:id="214"/>
      <w:bookmarkEnd w:id="215"/>
      <w:bookmarkEnd w:id="216"/>
      <w:bookmarkEnd w:id="217"/>
      <w:bookmarkEnd w:id="218"/>
      <w:bookmarkEnd w:id="219"/>
      <w:bookmarkEnd w:id="220"/>
      <w:bookmarkEnd w:id="221"/>
      <w:bookmarkEnd w:id="222"/>
      <w:bookmarkEnd w:id="223"/>
    </w:p>
    <w:bookmarkEnd w:id="224"/>
    <w:p w14:paraId="0A316928">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设计思路</w:t>
      </w:r>
    </w:p>
    <w:p w14:paraId="249BDB8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多维车辆调度智慧管理系统（重点面向网约车、出租车、大巴车）基于智能交通控制技术和大数据分析技术，对重点营运车辆开展机场陆侧智慧化调度管控，提高机场网约车和出租车的运营效率和服务质量。其中主要包括网约车管理调度模块和出租车管理调度模块。调度的总体流程核心是“按需上客、快速离场”，即用户确认到达后，系统根据网约车和出租车的蓄车和等待情况，智能调度车辆到达指定停车位进行接客，并快速离场。其中，网约车管理调度模块主要包括进场大厅、呼叫管理、排队管理、接客管理、发布管理、离场管理、赋分赋码等功能；出租车管理调度模块主要包括优先级管理、蓄车实况、放行管理、发布管理等功能。系统需要打通联动蓄车区与候车区电子屏幕，实现信息的有效推送；同时需打通前端车辆感知硬件，获取蓄车等待情况。对车辆的调度总体需要考虑如下要点：</w:t>
      </w:r>
    </w:p>
    <w:p w14:paraId="0A40B1A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效率优先：机场陆侧多维车辆调度系统应尽可能地提高出租车和网约车的服务效率，缩短乘客的等待时间和换乘时间。系统应能根据实时的车流量、客流量和交通状况，动态调整网约车和出租车的供给和分配，实现“快速上客、快速离场”，最大化提升陆侧交通运行效率。</w:t>
      </w:r>
    </w:p>
    <w:p w14:paraId="6EEBA8E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融合分析：多维车辆的有效调度是整个陆侧交通管理的核心，对避免车辆和人流的异常聚集起到至关重要的作用，而做好调度决策必须通过融合多维数据建立调度模型，即陆侧车辆调度系统应能与其他信息系统，如第三方网约/出租车平台、实时客流信息系统、交通执法系统等实现数据共享和功能互联。</w:t>
      </w:r>
    </w:p>
    <w:p w14:paraId="61BACAC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制度可靠：多维车辆调度系统应尽可能有利于防止发生交通事故、违法行为和安全隐患。例如尽可能地实现车辆实名认证、司机背景核查、乘客身份验证、行程监控、紧急求助等。发生突发事件时，系统应能及时响应并与交通、安全、应急管理部门实现信息共享和协同处置。</w:t>
      </w:r>
    </w:p>
    <w:p w14:paraId="56031F7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4）经济合理：由于调度系统的存在对营运车辆在机场的服务行为进行控制，将对现有第三方网约车服务平台的收益产生影响，因此系统应在做好调度的同时建立相应的停车优惠或处罚机制，制定合理的定价策略，平衡供需关系，实现市场化运作。此外调度系统应能比人工现场辅助车辆调度更合理，实现对现场值守人员的减员优化，尽可能降低机场运营成本。</w:t>
      </w:r>
    </w:p>
    <w:p w14:paraId="50DB283E">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系统框架</w:t>
      </w:r>
    </w:p>
    <w:p w14:paraId="02A3B0B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多维车辆调度智慧管理系统框架如下所示：</w:t>
      </w:r>
    </w:p>
    <w:p w14:paraId="5CBEF5F4">
      <w:pPr>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0" distR="0">
            <wp:extent cx="5657215" cy="2276475"/>
            <wp:effectExtent l="0" t="0" r="1206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7" cstate="print">
                      <a:extLst>
                        <a:ext uri="{28A0092B-C50C-407E-A947-70E740481C1C}">
                          <a14:useLocalDpi xmlns:a14="http://schemas.microsoft.com/office/drawing/2010/main" val="0"/>
                        </a:ext>
                      </a:extLst>
                    </a:blip>
                    <a:srcRect t="9294"/>
                    <a:stretch>
                      <a:fillRect/>
                    </a:stretch>
                  </pic:blipFill>
                  <pic:spPr>
                    <a:xfrm>
                      <a:off x="0" y="0"/>
                      <a:ext cx="5657215" cy="2276475"/>
                    </a:xfrm>
                    <a:prstGeom prst="rect">
                      <a:avLst/>
                    </a:prstGeom>
                    <a:noFill/>
                    <a:ln>
                      <a:noFill/>
                    </a:ln>
                  </pic:spPr>
                </pic:pic>
              </a:graphicData>
            </a:graphic>
          </wp:inline>
        </w:drawing>
      </w:r>
    </w:p>
    <w:p w14:paraId="24EE888E">
      <w:pPr>
        <w:pStyle w:val="63"/>
        <w:numPr>
          <w:ilvl w:val="7"/>
          <w:numId w:val="7"/>
        </w:numPr>
        <w:rPr>
          <w:rFonts w:hint="eastAsia" w:ascii="宋体" w:hAnsi="宋体" w:eastAsia="宋体" w:cs="宋体"/>
          <w:highlight w:val="none"/>
        </w:rPr>
      </w:pPr>
      <w:r>
        <w:rPr>
          <w:rFonts w:hint="eastAsia" w:ascii="宋体" w:hAnsi="宋体" w:eastAsia="宋体" w:cs="宋体"/>
          <w:highlight w:val="none"/>
        </w:rPr>
        <w:t>多维车辆调度智慧管理系统框架</w:t>
      </w:r>
    </w:p>
    <w:p w14:paraId="6DF9842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本系统的基础是智慧化的设备感知能力和支撑层数据能力的融汇，因此本方案感知层是核心建设内容之一，通过将枢纽的现有的监控、道闸、地磁感应等相关基础设施进行接口改造，接入平台，实时掌握进出、停留枢纽内的车辆情况；</w:t>
      </w:r>
    </w:p>
    <w:p w14:paraId="1850B55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bookmarkStart w:id="225" w:name="OLE_LINK10"/>
      <w:r>
        <w:rPr>
          <w:rFonts w:hint="eastAsia" w:ascii="宋体" w:hAnsi="宋体" w:eastAsia="宋体" w:cs="宋体"/>
          <w:highlight w:val="none"/>
        </w:rPr>
        <w:t>网络层旨在打破常用的互联网和专网之间的限制，确保数据能够在平台内实现全链路的信息交互；</w:t>
      </w:r>
    </w:p>
    <w:bookmarkEnd w:id="225"/>
    <w:p w14:paraId="6B48F81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数据层包括了上述感知设备的数据信息、涉及采集要素信息、动态推动数据、算法计算数据等信息以及配套数据处理和交换功能；</w:t>
      </w:r>
    </w:p>
    <w:p w14:paraId="6963248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支撑层以现有基础的应用系统通过接口的形式为平台应用提供视频接入的整合、停车信息的汇总结果、航班运载情况的结论信息，以及出租车等待情况、网约车车辆及订单信息内容。</w:t>
      </w:r>
    </w:p>
    <w:p w14:paraId="1B7D780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方案根据枢纽调度业务划分为三个阶段，对枢纽出租车、网约车全链路进行管控，分别为如下：</w:t>
      </w:r>
    </w:p>
    <w:p w14:paraId="3771AF3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源头管理：对出租车、网约车当日进场和出场进行记录，并评价分析每次出入间隔时间。</w:t>
      </w:r>
    </w:p>
    <w:p w14:paraId="1F5B4CD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bookmarkStart w:id="226" w:name="OLE_LINK11"/>
      <w:r>
        <w:rPr>
          <w:rFonts w:hint="eastAsia" w:ascii="宋体" w:hAnsi="宋体" w:eastAsia="宋体" w:cs="宋体"/>
          <w:highlight w:val="none"/>
        </w:rPr>
        <w:t>调度管理：过程调度管理通过设置出租车、网约车进场与接客上客环节的管控手段，修正原有的无序乱序的情况，将叫号与排队的思路和理念引入车辆管理体系，通过管理网约车行动路径、顺序和流线，对网约车实现真正有效的有序管理；对出租车实施合理有序的排序规则，按照进出顺序调整出租车的放行和提高通行效率。</w:t>
      </w:r>
    </w:p>
    <w:bookmarkEnd w:id="226"/>
    <w:p w14:paraId="0CA06E2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bookmarkStart w:id="227" w:name="OLE_LINK12"/>
      <w:r>
        <w:rPr>
          <w:rFonts w:hint="eastAsia" w:ascii="宋体" w:hAnsi="宋体" w:eastAsia="宋体" w:cs="宋体"/>
          <w:highlight w:val="none"/>
        </w:rPr>
        <w:t>事后评估：建立一系列出租车和网约车的行为规范考评管理机制，通过设置车辆行为赋分赋码体系和详细规则，对出租车、网约车行为是否按照合规性经营进行考核；在机场陆侧设置对应的感知设备和车牌视频识别监控，将出租车、网约车行为进行规则性的一一比对；对高分车辆给予车辆调度的优先性，对低分车辆实施调度惩戒以及进场限制等惩罚措施。</w:t>
      </w:r>
    </w:p>
    <w:bookmarkEnd w:id="227"/>
    <w:p w14:paraId="01AE02D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展现层提供包括管理端、移动端以及服务端多种形式的呈现，管理端实现全过程数据信息的记录、台账和调度干预管理，移动端服务于现场执法的信息查询和核对，服务端为用车乘客和车辆司机提供信息提醒和推送。</w:t>
      </w:r>
    </w:p>
    <w:p w14:paraId="0BB0C37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本系统的功能框架如下：</w:t>
      </w:r>
    </w:p>
    <w:p w14:paraId="1746496D">
      <w:pPr>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62880" cy="5792470"/>
            <wp:effectExtent l="0" t="0" r="0" b="0"/>
            <wp:docPr id="94" name="图片 94" descr="多维车辆调度智慧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多维车辆调度智慧管理系统"/>
                    <pic:cNvPicPr>
                      <a:picLocks noChangeAspect="1"/>
                    </pic:cNvPicPr>
                  </pic:nvPicPr>
                  <pic:blipFill>
                    <a:blip r:embed="rId28"/>
                    <a:stretch>
                      <a:fillRect/>
                    </a:stretch>
                  </pic:blipFill>
                  <pic:spPr>
                    <a:xfrm>
                      <a:off x="0" y="0"/>
                      <a:ext cx="5262880" cy="5792470"/>
                    </a:xfrm>
                    <a:prstGeom prst="rect">
                      <a:avLst/>
                    </a:prstGeom>
                  </pic:spPr>
                </pic:pic>
              </a:graphicData>
            </a:graphic>
          </wp:inline>
        </w:drawing>
      </w:r>
    </w:p>
    <w:p w14:paraId="7E7BABBB">
      <w:pPr>
        <w:pStyle w:val="63"/>
        <w:numPr>
          <w:ilvl w:val="7"/>
          <w:numId w:val="7"/>
        </w:numPr>
        <w:rPr>
          <w:rFonts w:hint="eastAsia" w:ascii="宋体" w:hAnsi="宋体" w:eastAsia="宋体" w:cs="宋体"/>
          <w:highlight w:val="none"/>
        </w:rPr>
      </w:pPr>
      <w:r>
        <w:rPr>
          <w:rFonts w:hint="eastAsia" w:ascii="宋体" w:hAnsi="宋体" w:eastAsia="宋体" w:cs="宋体"/>
          <w:highlight w:val="none"/>
        </w:rPr>
        <w:t>多维车辆调度智慧管理系统功能框架图</w:t>
      </w:r>
    </w:p>
    <w:p w14:paraId="69783162">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软件功能设计</w:t>
      </w:r>
    </w:p>
    <w:p w14:paraId="430B7C5B">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228" w:name="OLE_LINK14"/>
      <w:r>
        <w:rPr>
          <w:rFonts w:hint="eastAsia"/>
          <w:highlight w:val="none"/>
        </w:rPr>
        <w:t>网约车管理调度功能</w:t>
      </w:r>
    </w:p>
    <w:p w14:paraId="2AAE7D4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网约车调度管理是以规范网约车行为为基础，通过设置电子围栏限制网约车随意接单，网约车接单范围通过与网约车平台公司进行协调，限制在网约车停车区进行接单，以确认网约车司机能够在网约车停车区进行等待、接单，避免在网约车停车区外的穿行。</w:t>
      </w:r>
    </w:p>
    <w:p w14:paraId="03092547">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进场大厅</w:t>
      </w:r>
    </w:p>
    <w:p w14:paraId="10E7BA69">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等待区可视化</w:t>
      </w:r>
    </w:p>
    <w:p w14:paraId="24E708A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通过对接网约车停车区道闸进场信息，将进入机场的网约车信息进行统计，并通过对接场内监控，将停车分布情况以视频画面的形式进行呈现，并对进出的网约车进行记录，并提供饱和度、排队数量、空车数量等信息提醒展示。</w:t>
      </w:r>
    </w:p>
    <w:p w14:paraId="4E444D48">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网约车机场小程序</w:t>
      </w:r>
    </w:p>
    <w:p w14:paraId="2D558FBC">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利用网约车机场服务小程序，提供网约车司机签到确认的环节，在进场后通过小程序签到，确认个人联系信息无误。系统更新网约车司机更新的个人信息，并实现绑定。</w:t>
      </w:r>
    </w:p>
    <w:p w14:paraId="4677EB3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机场网约车小程序提供了网约车个人查看本人的基本信息和历史接单、赋分赋码细节等内容。</w:t>
      </w:r>
    </w:p>
    <w:p w14:paraId="0186DD72">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进场信息统计</w:t>
      </w:r>
    </w:p>
    <w:p w14:paraId="2DEA10B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提供基于停车场特性的信息统计，包括饱和度、排队数量、空车数量、进出车辆详情信息。</w:t>
      </w:r>
    </w:p>
    <w:p w14:paraId="078F2B93">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呼叫管理</w:t>
      </w:r>
    </w:p>
    <w:p w14:paraId="1A875A2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旅客到达指定位置后通过微信扫码的方式实现网约车呼叫，旅客扫码后可以通过系统对接识别订单或者手动输入网约车信息，呼叫网约车行驶到指定接客区域，旅客可以通过信息显示设备实时查看当前车辆信息。等待中的车辆也能够查看具体旅客的呼叫记录信息。</w:t>
      </w:r>
    </w:p>
    <w:p w14:paraId="5599EDF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呼叫管理为公众用户提供的微信小程序，能够第一时间向用户展示当前网约车排队现状和进程，包括前序和上客位编号。用户可以通过微信扫码调取小程序的呼叫页面，对网约车司机和系统下发到达和等待上客的指令，并实现对司机在机场行为考核分等信息的查看和提醒。</w:t>
      </w:r>
    </w:p>
    <w:p w14:paraId="0D4AAE2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旅客根据网约车上车区提示屏，可以确定屏幕对应的叫车车位，只需要旅客在叫车车位等候，网约车司机即可以实现到达指定车位。</w:t>
      </w:r>
    </w:p>
    <w:p w14:paraId="0507DDB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系统预设叫车的显示屏与车位的对应关系，并对车位实现与屏幕的一一匹配进行预设。</w:t>
      </w:r>
    </w:p>
    <w:p w14:paraId="19D2981E">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呼叫台账</w:t>
      </w:r>
    </w:p>
    <w:p w14:paraId="3F22856C">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呼叫管理后台，记录全量实时网约车呼叫信息，并校验网约车与呼叫人手机关联信息，匹配和判定呼叫的有效性和重复性。</w:t>
      </w:r>
    </w:p>
    <w:p w14:paraId="2A6567DD">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呼叫通知页面</w:t>
      </w:r>
    </w:p>
    <w:p w14:paraId="0F4E44C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通过显示设备提供呼叫、排队实况的通知页面，部署在显示设备上。</w:t>
      </w:r>
    </w:p>
    <w:p w14:paraId="48B168AC">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小程序-呼叫通知及登记</w:t>
      </w:r>
    </w:p>
    <w:p w14:paraId="59097B4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通过小程序扫码实现网约车信息登记和向网约车发送通知等候信息。</w:t>
      </w:r>
    </w:p>
    <w:p w14:paraId="5BCB491A">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小程序-等候信息查看</w:t>
      </w:r>
    </w:p>
    <w:p w14:paraId="20C0636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小程序显示当前呼叫车辆的排队信息页面。</w:t>
      </w:r>
    </w:p>
    <w:p w14:paraId="0FB16086">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小程序-网约车赋分提醒</w:t>
      </w:r>
    </w:p>
    <w:p w14:paraId="22D0B7D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程序自动核验网约车当前评分，对优良差等的网约车行为进行旅客端信息提醒。</w:t>
      </w:r>
    </w:p>
    <w:p w14:paraId="3C289D2D">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排队管理</w:t>
      </w:r>
    </w:p>
    <w:p w14:paraId="7D228F6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呼叫结果，网约车要根据实际的排队离开场区进行上客接客，因此网约车具备排队管理功能，能够查看当前排队的网约车及顺序，能够显示网约车排队等待时间、网约车赋分赋码情况，能够实现排队的调整和手动修改。</w:t>
      </w:r>
    </w:p>
    <w:p w14:paraId="31E53EC3">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排队实况</w:t>
      </w:r>
    </w:p>
    <w:p w14:paraId="42A5838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实时显示当前排队等待信息，包括车辆等待列表，旅客等待列表。给出排队的详情，包括按照车位、按照时长进行排序，接入上客区摄像机画面实时查看。</w:t>
      </w:r>
    </w:p>
    <w:p w14:paraId="62B4815A">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排队预测评估</w:t>
      </w:r>
    </w:p>
    <w:p w14:paraId="41D33E5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根据当前等待时间、当日平均上客时间，当前车辆的排队数量，对每个排队的预估等待时间进行动态评估，并实现全局研判，给出总耗时的分析。</w:t>
      </w:r>
    </w:p>
    <w:p w14:paraId="600ACDD1">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排队干预</w:t>
      </w:r>
    </w:p>
    <w:p w14:paraId="1986B8B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可以根据需要，自定义调节指定车辆的排队顺序，并同步更新其他车辆的排队逻辑，包括插队、优先、后置等操作。</w:t>
      </w:r>
    </w:p>
    <w:p w14:paraId="60686279">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接客管理</w:t>
      </w:r>
    </w:p>
    <w:p w14:paraId="1F96A5A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根据叫号、排队和放行的情况，显示当前上客区的车位实况，包括监控画面，对接客等待时间、停留时间进行统计分析，对停放异常的网约车进行提醒和通知，对接客的实况和乘客排队进行查看。</w:t>
      </w:r>
    </w:p>
    <w:p w14:paraId="715EE95D">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接客实况</w:t>
      </w:r>
    </w:p>
    <w:p w14:paraId="612B76D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接入上客点的实时画面，和实时信息，能够查看指定车位的上客详情，包括旅客和司机信息及画面，以及进出时间节点等。</w:t>
      </w:r>
    </w:p>
    <w:p w14:paraId="5B7BF3A5">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接客统计</w:t>
      </w:r>
    </w:p>
    <w:p w14:paraId="3D3EE85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对接客环节的情况进行统计分析，包括平均上客时间、平均进场离场时间，上客效率统计及排序等统计信息。</w:t>
      </w:r>
    </w:p>
    <w:p w14:paraId="316444EC">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异常提醒</w:t>
      </w:r>
    </w:p>
    <w:p w14:paraId="6EB4DA1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对上客点停放异常、接客时间超时、呼叫时间超长进行设置和记录，对插队行为进行记录，并对旅客和司机进行点对点通知提醒，并通过监控进行抓拍。</w:t>
      </w:r>
    </w:p>
    <w:p w14:paraId="2B207635">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放行信息联动</w:t>
      </w:r>
    </w:p>
    <w:p w14:paraId="1763A9D8">
      <w:pPr>
        <w:pageBreakBefore w:val="0"/>
        <w:widowControl w:val="0"/>
        <w:kinsoku/>
        <w:wordWrap/>
        <w:overflowPunct/>
        <w:topLinePunct w:val="0"/>
        <w:autoSpaceDE/>
        <w:autoSpaceDN/>
        <w:bidi w:val="0"/>
        <w:adjustRightInd/>
        <w:snapToGrid/>
        <w:spacing w:line="400" w:lineRule="exact"/>
        <w:ind w:firstLine="371" w:firstLineChars="177"/>
        <w:textAlignment w:val="auto"/>
        <w:rPr>
          <w:rFonts w:hint="eastAsia" w:ascii="宋体" w:hAnsi="宋体" w:eastAsia="宋体" w:cs="宋体"/>
          <w:szCs w:val="24"/>
          <w:highlight w:val="none"/>
        </w:rPr>
      </w:pPr>
      <w:r>
        <w:rPr>
          <w:rFonts w:hint="eastAsia" w:ascii="宋体" w:hAnsi="宋体" w:eastAsia="宋体" w:cs="宋体"/>
          <w:szCs w:val="24"/>
          <w:highlight w:val="none"/>
        </w:rPr>
        <w:t>与达到层道闸联动，对放行车辆动态设置临时通行权限。</w:t>
      </w:r>
    </w:p>
    <w:p w14:paraId="65778E18">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消息通知管理</w:t>
      </w:r>
    </w:p>
    <w:p w14:paraId="36932BA0">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可以接入短信平台、语音消息平台，向旅客和司机进行点对点或统一定时的信息发布。支持能够按照规则进行信息的推送和个性化推送小程序、短信和语音电话内容。</w:t>
      </w:r>
    </w:p>
    <w:p w14:paraId="46FD6B19">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离场管理</w:t>
      </w:r>
    </w:p>
    <w:p w14:paraId="03026CFC">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通过设置离场通道和布设离场检测设备，对网约车的离场行为进行监督，防止网约车在台州机场内逗留过久，占用停车位，影响其他网约车的进出。网约车在完成订单后，必须在规定的时间内驶出台州机场，否则会受到系统的警告和处罚，将其行为纳入系统记录中，降低信用评级。系统会根据网约车的离场时间和频率，对网约车进行数据分析，优化网约车调度策略，提高网约车周转率。</w:t>
      </w:r>
    </w:p>
    <w:p w14:paraId="0F1BBD4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网约车的离场对接本项目建设停车场收费系统，系统会根据全程记录的等待、接客、离场的行为，单独设置网约车收费标准，对满足网约车呼叫管理全流程的网约车提供免费放行的权限，对与非使用网约车调度管理逻辑的通行车辆，视为普通车辆，按照标准的收费规则进行收费。</w:t>
      </w:r>
    </w:p>
    <w:p w14:paraId="36398D23">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赋分赋码</w:t>
      </w:r>
    </w:p>
    <w:p w14:paraId="58E84C9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通过记录和评估网约车的服务行为和信用状况，建立网约车的信用评价体系，对网约车进行赋码赋分，奖励优质服务，惩罚违规行为，提升网约车的服务水平和形象，保障旅客的安全和权益。例如根据某网约车在停车场接单等待时间长，对其下一次排队优化缩短等待时间；记录乘客投诉事件，对网约车给出信用评价，对信用评价差的网约车限制其在机场内接单。相关规则可在实际运营阶段动态调整优化。</w:t>
      </w:r>
    </w:p>
    <w:p w14:paraId="62CFCEC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对接收费系统，对于高分的网约车给予无订单通行的延长免费时长，并以此作为奖励。</w:t>
      </w:r>
    </w:p>
    <w:p w14:paraId="593D1E95">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网约车行为规范配置</w:t>
      </w:r>
    </w:p>
    <w:p w14:paraId="18CB15F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基于网约车行为规范，设置网约车评分细则，包括评分大类、评分细则、细则分值，赋值周期，赋码规则，初始化规则设计等内容。</w:t>
      </w:r>
    </w:p>
    <w:p w14:paraId="42177F46">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网约车行为匹配</w:t>
      </w:r>
    </w:p>
    <w:p w14:paraId="1A7A7DA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集成网约车行为，包括节点记录，视频捕捉，人工判定等多种行为，提供单车的网约车行为规范匹配，形成行为记录。提供异常修正功能。</w:t>
      </w:r>
    </w:p>
    <w:p w14:paraId="6832D4EB">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网约车评分赋码台账</w:t>
      </w:r>
    </w:p>
    <w:p w14:paraId="011F1B2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根据评分周期，显示每个周期内的参与评分赋码行为的网约车的记录信息，台账信息，包括赋分记录，赋码记录，对应的行为记录；可以通过该模块调整赋分赋码结果。</w:t>
      </w:r>
    </w:p>
    <w:p w14:paraId="2160A013">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网约车奖惩机制配置</w:t>
      </w:r>
    </w:p>
    <w:p w14:paraId="12E9BFA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根据网约车赋分赋码提供奖惩机制的配置，包括接单机制、排队机制、通告机制等分类。</w:t>
      </w:r>
    </w:p>
    <w:p w14:paraId="2C69A12D">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接单记录与行为分析</w:t>
      </w:r>
    </w:p>
    <w:p w14:paraId="6B590C1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提供历史查询功能，能够查询历史网约车接客、排队、空车情况，能够给出相应的网约车历史接单信息，给出对应的接单数量、排队时长、空车状态等相关的排名和查询。</w:t>
      </w:r>
    </w:p>
    <w:p w14:paraId="523163D2">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历史接单</w:t>
      </w:r>
    </w:p>
    <w:p w14:paraId="4BCF5DF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提供全时期的接单记录信息台站，支持多维度的搜索和查看，包括按时间段、按车辆等，合并全过程节点，能够一表总览历史接单。</w:t>
      </w:r>
    </w:p>
    <w:p w14:paraId="6D5464B5">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行为分析</w:t>
      </w:r>
    </w:p>
    <w:p w14:paraId="59A8526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根据历史接单行为，提供行为分析可视化图表，包括接单偏好、时间分布、日期分布、耗时、效率、频次等信息，能够关联航班信息进行关联信息查看，也能根据统计指标按照大小进行查看。</w:t>
      </w:r>
      <w:bookmarkEnd w:id="228"/>
    </w:p>
    <w:p w14:paraId="296D89B1">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出租车管理调度功能</w:t>
      </w:r>
    </w:p>
    <w:p w14:paraId="6A480A17">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出租车决策模型搭建</w:t>
      </w:r>
    </w:p>
    <w:p w14:paraId="68B7F66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出租车决策模型是对出租车司机决策，是否选择机场等待还是放空返程的一种评估模型，该模型分析了影响出租车司机在决策等待还是放空的影响指标，并提出了哪些因素影响司机选择，并提出了司机累计单位时间收益与平均收益达到一致的影响参数。</w:t>
      </w:r>
    </w:p>
    <w:p w14:paraId="7475F79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通过动态对台州机场的运行信息采集，可以将理论模型通过数据验证，并动态调整当前实时情况，决定上述因素的主要关键的动态模型包括如下所示：</w:t>
      </w:r>
    </w:p>
    <w:p w14:paraId="6CA8FC1A">
      <w:pPr>
        <w:pageBreakBefore w:val="0"/>
        <w:widowControl w:val="0"/>
        <w:numPr>
          <w:ilvl w:val="0"/>
          <w:numId w:val="31"/>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当前时间段（t）的乘坐出租车的候车人数</w:t>
      </w:r>
    </w:p>
    <w:p w14:paraId="29DC68F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给出t时刻起单位时间内的候车人数H(t)的如下估计：</w:t>
      </w:r>
    </w:p>
    <w:p w14:paraId="07B34E0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基于陆侧交通预测预警评估系统的预测（根据每个时间段到达机场的航班数、飞机机型以及乘坐率（用历史数据估计），统计出各个时间段到达乘客的数量）。</w:t>
      </w:r>
    </w:p>
    <w:p w14:paraId="04C63AC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可以实现动态时间t时段下还没上出租车的余下乘客数为：</w:t>
      </w:r>
    </w:p>
    <w:p w14:paraId="43C93636">
      <w:pPr>
        <w:ind w:firstLine="480"/>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2457450" cy="431800"/>
            <wp:effectExtent l="0" t="0" r="0" b="635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9"/>
                    <a:stretch>
                      <a:fillRect/>
                    </a:stretch>
                  </pic:blipFill>
                  <pic:spPr>
                    <a:xfrm>
                      <a:off x="0" y="0"/>
                      <a:ext cx="2457450" cy="431800"/>
                    </a:xfrm>
                    <a:prstGeom prst="rect">
                      <a:avLst/>
                    </a:prstGeom>
                    <a:noFill/>
                    <a:ln>
                      <a:noFill/>
                    </a:ln>
                  </pic:spPr>
                </pic:pic>
              </a:graphicData>
            </a:graphic>
          </wp:inline>
        </w:drawing>
      </w:r>
    </w:p>
    <w:p w14:paraId="19319AA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其中v乘客步行出港的速度，Y（t）为t时刻下的余下等候乘客数，Z(t)B（t）为当前时间段选择出租车出行的旅客人数。</w:t>
      </w:r>
    </w:p>
    <w:p w14:paraId="1F0599E9">
      <w:pPr>
        <w:keepNext w:val="0"/>
        <w:keepLines w:val="0"/>
        <w:pageBreakBefore w:val="0"/>
        <w:widowControl w:val="0"/>
        <w:numPr>
          <w:ilvl w:val="0"/>
          <w:numId w:val="31"/>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机场等待载客的出租车排队等待时间T</w:t>
      </w:r>
      <w:r>
        <w:rPr>
          <w:rFonts w:hint="eastAsia" w:ascii="宋体" w:hAnsi="宋体" w:eastAsia="宋体" w:cs="宋体"/>
          <w:highlight w:val="none"/>
          <w:vertAlign w:val="subscript"/>
        </w:rPr>
        <w:t>0</w:t>
      </w:r>
    </w:p>
    <w:p w14:paraId="34EE327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通过设置车辆在蓄车不等待的情况下的服务时间为μ</w:t>
      </w:r>
      <w:r>
        <w:rPr>
          <w:rFonts w:hint="eastAsia" w:ascii="宋体" w:hAnsi="宋体" w:eastAsia="宋体" w:cs="宋体"/>
          <w:highlight w:val="none"/>
          <w:vertAlign w:val="subscript"/>
        </w:rPr>
        <w:t>0，</w:t>
      </w:r>
      <w:r>
        <w:rPr>
          <w:rFonts w:hint="eastAsia" w:ascii="宋体" w:hAnsi="宋体" w:eastAsia="宋体" w:cs="宋体"/>
          <w:highlight w:val="none"/>
        </w:rPr>
        <w:t>即平均每小时上客区共行走驶离车辆数为n</w:t>
      </w:r>
      <w:r>
        <w:rPr>
          <w:rFonts w:hint="eastAsia" w:ascii="宋体" w:hAnsi="宋体" w:eastAsia="宋体" w:cs="宋体"/>
          <w:highlight w:val="none"/>
          <w:vertAlign w:val="subscript"/>
        </w:rPr>
        <w:t>0</w:t>
      </w:r>
      <w:r>
        <w:rPr>
          <w:rFonts w:hint="eastAsia" w:ascii="宋体" w:hAnsi="宋体" w:eastAsia="宋体" w:cs="宋体"/>
          <w:highlight w:val="none"/>
        </w:rPr>
        <w:t>=60/u</w:t>
      </w:r>
      <w:r>
        <w:rPr>
          <w:rFonts w:hint="eastAsia" w:ascii="宋体" w:hAnsi="宋体" w:eastAsia="宋体" w:cs="宋体"/>
          <w:highlight w:val="none"/>
          <w:vertAlign w:val="subscript"/>
        </w:rPr>
        <w:t>0</w:t>
      </w:r>
      <w:r>
        <w:rPr>
          <w:rFonts w:hint="eastAsia" w:ascii="宋体" w:hAnsi="宋体" w:eastAsia="宋体" w:cs="宋体"/>
          <w:highlight w:val="none"/>
        </w:rPr>
        <w:t>辆。其中μ</w:t>
      </w:r>
      <w:r>
        <w:rPr>
          <w:rFonts w:hint="eastAsia" w:ascii="宋体" w:hAnsi="宋体" w:eastAsia="宋体" w:cs="宋体"/>
          <w:highlight w:val="none"/>
          <w:vertAlign w:val="subscript"/>
        </w:rPr>
        <w:t>0</w:t>
      </w:r>
      <w:r>
        <w:rPr>
          <w:rFonts w:hint="eastAsia" w:ascii="宋体" w:hAnsi="宋体" w:eastAsia="宋体" w:cs="宋体"/>
          <w:highlight w:val="none"/>
        </w:rPr>
        <w:t>为离开蓄车、到达上客点、上客走人的时间之和。</w:t>
      </w:r>
    </w:p>
    <w:p w14:paraId="31121F1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vertAlign w:val="subscript"/>
        </w:rPr>
      </w:pPr>
      <w:r>
        <w:rPr>
          <w:rFonts w:hint="eastAsia" w:ascii="宋体" w:hAnsi="宋体" w:eastAsia="宋体" w:cs="宋体"/>
          <w:highlight w:val="none"/>
        </w:rPr>
        <w:t>对于平均设置每辆出租车承载乘客数量为k</w:t>
      </w:r>
      <w:r>
        <w:rPr>
          <w:rFonts w:hint="eastAsia" w:ascii="宋体" w:hAnsi="宋体" w:eastAsia="宋体" w:cs="宋体"/>
          <w:highlight w:val="none"/>
          <w:vertAlign w:val="subscript"/>
        </w:rPr>
        <w:t>0</w:t>
      </w:r>
      <w:r>
        <w:rPr>
          <w:rFonts w:hint="eastAsia" w:ascii="宋体" w:hAnsi="宋体" w:eastAsia="宋体" w:cs="宋体"/>
          <w:highlight w:val="none"/>
        </w:rPr>
        <w:t>，对于t时刻起单位时间的所需出租车数量为Q(t)=H(t)/k</w:t>
      </w:r>
      <w:r>
        <w:rPr>
          <w:rFonts w:hint="eastAsia" w:ascii="宋体" w:hAnsi="宋体" w:eastAsia="宋体" w:cs="宋体"/>
          <w:highlight w:val="none"/>
          <w:vertAlign w:val="subscript"/>
        </w:rPr>
        <w:t>0。</w:t>
      </w:r>
    </w:p>
    <w:p w14:paraId="1F3FDA3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对于闲时，候车乘客数量不足时，即放行的车辆大于所需车辆时候，分为两种一是临时接乘，其选择评估需要依据历史非忙时航班现场采集的信息进行处理分析，本模型中不考虑；二是通过补偿接客，即来的出租车超出了本次航班的出租旅客需求量。需要额外增加航班间的等待时间，需要运行数据持续完善。这类司机符合泊松分布</w:t>
      </w:r>
      <w:r>
        <w:rPr>
          <w:rFonts w:hint="eastAsia" w:ascii="宋体" w:hAnsi="宋体" w:eastAsia="宋体" w:cs="宋体"/>
          <w:szCs w:val="24"/>
          <w:highlight w:val="none"/>
        </w:rPr>
        <w:t>P(X=x)=e</w:t>
      </w:r>
      <w:r>
        <w:rPr>
          <w:rFonts w:hint="eastAsia" w:ascii="宋体" w:hAnsi="宋体" w:eastAsia="宋体" w:cs="宋体"/>
          <w:szCs w:val="24"/>
          <w:highlight w:val="none"/>
          <w:vertAlign w:val="superscript"/>
        </w:rPr>
        <w:t>-λ</w:t>
      </w:r>
      <w:r>
        <w:rPr>
          <w:rFonts w:hint="eastAsia" w:ascii="宋体" w:hAnsi="宋体" w:eastAsia="宋体" w:cs="宋体"/>
          <w:szCs w:val="24"/>
          <w:highlight w:val="none"/>
        </w:rPr>
        <w:t>•λ</w:t>
      </w:r>
      <w:r>
        <w:rPr>
          <w:rFonts w:hint="eastAsia" w:ascii="宋体" w:hAnsi="宋体" w:eastAsia="宋体" w:cs="宋体"/>
          <w:szCs w:val="24"/>
          <w:highlight w:val="none"/>
          <w:vertAlign w:val="superscript"/>
        </w:rPr>
        <w:t>x</w:t>
      </w:r>
      <w:r>
        <w:rPr>
          <w:rFonts w:hint="eastAsia" w:ascii="宋体" w:hAnsi="宋体" w:eastAsia="宋体" w:cs="宋体"/>
          <w:szCs w:val="24"/>
          <w:highlight w:val="none"/>
        </w:rPr>
        <w:t>/x!</w:t>
      </w:r>
      <w:r>
        <w:rPr>
          <w:rFonts w:hint="eastAsia" w:ascii="宋体" w:hAnsi="宋体" w:eastAsia="宋体" w:cs="宋体"/>
          <w:highlight w:val="none"/>
        </w:rPr>
        <w:t>。</w:t>
      </w:r>
    </w:p>
    <w:p w14:paraId="654EF7C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考虑到出租车司机排队蓄车的等候时间满足多服务台的排队系统，以流到达的模式进行参数估算，满足M/M/c排队模型，通过排队模型公式进行计算，不考虑蓄车的情况，为如下公式：</w:t>
      </w:r>
    </w:p>
    <w:p w14:paraId="6FA2A16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p>
    <w:p w14:paraId="4C585A55">
      <w:pPr>
        <w:ind w:firstLine="480"/>
        <w:rPr>
          <w:rFonts w:hint="eastAsia" w:ascii="宋体" w:hAnsi="宋体" w:eastAsia="宋体" w:cs="宋体"/>
          <w:highlight w:val="none"/>
        </w:rPr>
      </w:pPr>
      <w:r>
        <w:rPr>
          <w:rFonts w:hint="eastAsia" w:ascii="宋体" w:hAnsi="宋体" w:eastAsia="宋体" w:cs="宋体"/>
          <w:position w:val="-54"/>
          <w:szCs w:val="24"/>
          <w:highlight w:val="none"/>
        </w:rPr>
        <w:object>
          <v:shape id="_x0000_i1027" o:spt="75" type="#_x0000_t75" style="height:72.8pt;width:139.9pt;" o:ole="t" filled="f" o:preferrelative="t" stroked="f" coordsize="21600,21600">
            <v:path/>
            <v:fill on="f" focussize="0,0"/>
            <v:stroke on="f"/>
            <v:imagedata r:id="rId31" o:title=""/>
            <o:lock v:ext="edit" aspectratio="t"/>
            <w10:wrap type="none"/>
            <w10:anchorlock/>
          </v:shape>
          <o:OLEObject Type="Embed" ProgID="Equation.3" ShapeID="_x0000_i1027" DrawAspect="Content" ObjectID="_1468075727" r:id="rId30">
            <o:LockedField>false</o:LockedField>
          </o:OLEObject>
        </w:object>
      </w:r>
    </w:p>
    <w:p w14:paraId="3BD12A0E">
      <w:pPr>
        <w:ind w:firstLine="480"/>
        <w:rPr>
          <w:rFonts w:hint="eastAsia" w:ascii="宋体" w:hAnsi="宋体" w:eastAsia="宋体" w:cs="宋体"/>
          <w:highlight w:val="none"/>
        </w:rPr>
      </w:pPr>
    </w:p>
    <w:p w14:paraId="4D15F1A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其中c为每次放行的出租车数量，ρ =λ/μ</w:t>
      </w:r>
      <w:r>
        <w:rPr>
          <w:rFonts w:hint="eastAsia" w:ascii="宋体" w:hAnsi="宋体" w:eastAsia="宋体" w:cs="宋体"/>
          <w:highlight w:val="none"/>
          <w:vertAlign w:val="subscript"/>
        </w:rPr>
        <w:t>率</w:t>
      </w:r>
      <w:r>
        <w:rPr>
          <w:rFonts w:hint="eastAsia" w:ascii="宋体" w:hAnsi="宋体" w:eastAsia="宋体" w:cs="宋体"/>
          <w:highlight w:val="none"/>
        </w:rPr>
        <w:t>。λ为出租车平均到达率。</w:t>
      </w:r>
    </w:p>
    <w:p w14:paraId="5DE5B2B2">
      <w:pPr>
        <w:keepNext w:val="0"/>
        <w:keepLines w:val="0"/>
        <w:pageBreakBefore w:val="0"/>
        <w:widowControl w:val="0"/>
        <w:numPr>
          <w:ilvl w:val="0"/>
          <w:numId w:val="31"/>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台州出租车载客收益评估</w:t>
      </w:r>
    </w:p>
    <w:p w14:paraId="500534A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highlight w:val="none"/>
        </w:rPr>
        <w:t>根据</w:t>
      </w:r>
      <w:r>
        <w:rPr>
          <w:rFonts w:hint="eastAsia" w:ascii="宋体" w:hAnsi="宋体" w:eastAsia="宋体" w:cs="宋体"/>
          <w:szCs w:val="24"/>
          <w:highlight w:val="none"/>
        </w:rPr>
        <w:t>《关于调整台州市区客运出租汽车运价的通知》，明确了自2016年1月25日起，台州市调整市区客运出租汽车运价。调整后，起步价8元，起步里程2公里，车公里运价为2.5元/公里。单程行驶超过7公里部分运价加收50%的回空费。设油耗为c</w:t>
      </w:r>
      <w:r>
        <w:rPr>
          <w:rFonts w:hint="eastAsia" w:ascii="宋体" w:hAnsi="宋体" w:eastAsia="宋体" w:cs="宋体"/>
          <w:szCs w:val="24"/>
          <w:highlight w:val="none"/>
          <w:vertAlign w:val="subscript"/>
        </w:rPr>
        <w:t>0，</w:t>
      </w:r>
      <w:r>
        <w:rPr>
          <w:rFonts w:hint="eastAsia" w:ascii="宋体" w:hAnsi="宋体" w:eastAsia="宋体" w:cs="宋体"/>
          <w:szCs w:val="24"/>
          <w:highlight w:val="none"/>
        </w:rPr>
        <w:t>因此对于假设出租车乘客达成x公里的收益为</w:t>
      </w:r>
    </w:p>
    <w:p w14:paraId="72C0AF6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R</w:t>
      </w:r>
      <w:r>
        <w:rPr>
          <w:rFonts w:hint="eastAsia" w:ascii="宋体" w:hAnsi="宋体" w:eastAsia="宋体" w:cs="宋体"/>
          <w:szCs w:val="24"/>
          <w:highlight w:val="none"/>
          <w:vertAlign w:val="subscript"/>
        </w:rPr>
        <w:t>1</w:t>
      </w:r>
      <w:r>
        <w:rPr>
          <w:rFonts w:hint="eastAsia" w:ascii="宋体" w:hAnsi="宋体" w:eastAsia="宋体" w:cs="宋体"/>
          <w:szCs w:val="24"/>
          <w:highlight w:val="none"/>
        </w:rPr>
        <w:t>=8+2.5*（x-2）+0.5*2.5*(x-7)-c</w:t>
      </w:r>
      <w:r>
        <w:rPr>
          <w:rFonts w:hint="eastAsia" w:ascii="宋体" w:hAnsi="宋体" w:eastAsia="宋体" w:cs="宋体"/>
          <w:szCs w:val="24"/>
          <w:highlight w:val="none"/>
          <w:vertAlign w:val="subscript"/>
        </w:rPr>
        <w:t>0</w:t>
      </w:r>
      <w:r>
        <w:rPr>
          <w:rFonts w:hint="eastAsia" w:ascii="宋体" w:hAnsi="宋体" w:eastAsia="宋体" w:cs="宋体"/>
          <w:szCs w:val="24"/>
          <w:highlight w:val="none"/>
        </w:rPr>
        <w:t>*x，当x&gt;7;</w:t>
      </w:r>
    </w:p>
    <w:p w14:paraId="65169F2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R</w:t>
      </w:r>
      <w:r>
        <w:rPr>
          <w:rFonts w:hint="eastAsia" w:ascii="宋体" w:hAnsi="宋体" w:eastAsia="宋体" w:cs="宋体"/>
          <w:szCs w:val="24"/>
          <w:highlight w:val="none"/>
          <w:vertAlign w:val="subscript"/>
        </w:rPr>
        <w:t>2</w:t>
      </w:r>
      <w:r>
        <w:rPr>
          <w:rFonts w:hint="eastAsia" w:ascii="宋体" w:hAnsi="宋体" w:eastAsia="宋体" w:cs="宋体"/>
          <w:szCs w:val="24"/>
          <w:highlight w:val="none"/>
        </w:rPr>
        <w:t>=8+2.5*（x-2）-c</w:t>
      </w:r>
      <w:r>
        <w:rPr>
          <w:rFonts w:hint="eastAsia" w:ascii="宋体" w:hAnsi="宋体" w:eastAsia="宋体" w:cs="宋体"/>
          <w:szCs w:val="24"/>
          <w:highlight w:val="none"/>
          <w:vertAlign w:val="subscript"/>
        </w:rPr>
        <w:t>0</w:t>
      </w:r>
      <w:r>
        <w:rPr>
          <w:rFonts w:hint="eastAsia" w:ascii="宋体" w:hAnsi="宋体" w:eastAsia="宋体" w:cs="宋体"/>
          <w:szCs w:val="24"/>
          <w:highlight w:val="none"/>
        </w:rPr>
        <w:t>*x，当下7&gt;x&gt;2;</w:t>
      </w:r>
    </w:p>
    <w:p w14:paraId="2FE4314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R</w:t>
      </w:r>
      <w:r>
        <w:rPr>
          <w:rFonts w:hint="eastAsia" w:ascii="宋体" w:hAnsi="宋体" w:eastAsia="宋体" w:cs="宋体"/>
          <w:szCs w:val="24"/>
          <w:highlight w:val="none"/>
          <w:vertAlign w:val="subscript"/>
        </w:rPr>
        <w:t>3</w:t>
      </w:r>
      <w:r>
        <w:rPr>
          <w:rFonts w:hint="eastAsia" w:ascii="宋体" w:hAnsi="宋体" w:eastAsia="宋体" w:cs="宋体"/>
          <w:szCs w:val="24"/>
          <w:highlight w:val="none"/>
        </w:rPr>
        <w:t>=8-c</w:t>
      </w:r>
      <w:r>
        <w:rPr>
          <w:rFonts w:hint="eastAsia" w:ascii="宋体" w:hAnsi="宋体" w:eastAsia="宋体" w:cs="宋体"/>
          <w:szCs w:val="24"/>
          <w:highlight w:val="none"/>
          <w:vertAlign w:val="subscript"/>
        </w:rPr>
        <w:t>0</w:t>
      </w:r>
      <w:r>
        <w:rPr>
          <w:rFonts w:hint="eastAsia" w:ascii="宋体" w:hAnsi="宋体" w:eastAsia="宋体" w:cs="宋体"/>
          <w:szCs w:val="24"/>
          <w:highlight w:val="none"/>
        </w:rPr>
        <w:t>*x，当x&lt;2。</w:t>
      </w:r>
    </w:p>
    <w:p w14:paraId="6043144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旅客出行的距离具备随机性，根据台州出租车旅客历史记录，可以估算出行距离在2公里以内，2-7公里，7公里以上的概率分布为f(x)。</w:t>
      </w:r>
    </w:p>
    <w:p w14:paraId="086EF84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平均载客路程为E(x)=</w:t>
      </w:r>
      <w:r>
        <w:rPr>
          <w:rFonts w:hint="eastAsia" w:ascii="宋体" w:hAnsi="宋体" w:eastAsia="宋体" w:cs="宋体"/>
          <w:position w:val="-32"/>
          <w:szCs w:val="24"/>
          <w:highlight w:val="none"/>
        </w:rPr>
        <w:object>
          <v:shape id="_x0000_i1028" o:spt="75" type="#_x0000_t75" style="height:38pt;width:49pt;" o:ole="t" filled="f" o:preferrelative="t" stroked="f" coordsize="21600,21600">
            <v:path/>
            <v:fill on="f" focussize="0,0"/>
            <v:stroke on="f" joinstyle="miter"/>
            <v:imagedata r:id="rId33" o:title=""/>
            <o:lock v:ext="edit" aspectratio="t"/>
            <w10:wrap type="none"/>
            <w10:anchorlock/>
          </v:shape>
          <o:OLEObject Type="Embed" ProgID="Equation.3" ShapeID="_x0000_i1028" DrawAspect="Content" ObjectID="_1468075728" r:id="rId32">
            <o:LockedField>false</o:LockedField>
          </o:OLEObject>
        </w:object>
      </w:r>
      <w:r>
        <w:rPr>
          <w:rFonts w:hint="eastAsia" w:ascii="宋体" w:hAnsi="宋体" w:eastAsia="宋体" w:cs="宋体"/>
          <w:szCs w:val="24"/>
          <w:highlight w:val="none"/>
        </w:rPr>
        <w:t>.</w:t>
      </w:r>
    </w:p>
    <w:p w14:paraId="2437DD57">
      <w:pPr>
        <w:ind w:firstLine="480"/>
        <w:rPr>
          <w:rFonts w:hint="eastAsia" w:ascii="宋体" w:hAnsi="宋体" w:eastAsia="宋体" w:cs="宋体"/>
          <w:szCs w:val="24"/>
          <w:highlight w:val="none"/>
        </w:rPr>
      </w:pPr>
      <w:r>
        <w:rPr>
          <w:rFonts w:hint="eastAsia" w:ascii="宋体" w:hAnsi="宋体" w:eastAsia="宋体" w:cs="宋体"/>
          <w:szCs w:val="24"/>
          <w:highlight w:val="none"/>
        </w:rPr>
        <w:t>平均的收益期待为E(R)=R（E(x)）=</w:t>
      </w:r>
      <w:r>
        <w:rPr>
          <w:rFonts w:hint="eastAsia" w:ascii="宋体" w:hAnsi="宋体" w:eastAsia="宋体" w:cs="宋体"/>
          <w:position w:val="-18"/>
          <w:szCs w:val="24"/>
          <w:highlight w:val="none"/>
        </w:rPr>
        <w:object>
          <v:shape id="_x0000_i1029" o:spt="75" type="#_x0000_t75" style="height:26pt;width:303pt;" o:ole="t" filled="f" o:preferrelative="t" stroked="f" coordsize="21600,21600">
            <v:path/>
            <v:fill on="f" focussize="0,0"/>
            <v:stroke on="f" joinstyle="miter"/>
            <v:imagedata r:id="rId35" o:title=""/>
            <o:lock v:ext="edit" aspectratio="t"/>
            <w10:wrap type="none"/>
            <w10:anchorlock/>
          </v:shape>
          <o:OLEObject Type="Embed" ProgID="Equation.3" ShapeID="_x0000_i1029" DrawAspect="Content" ObjectID="_1468075729" r:id="rId34">
            <o:LockedField>false</o:LockedField>
          </o:OLEObject>
        </w:object>
      </w:r>
    </w:p>
    <w:p w14:paraId="0E331DC3">
      <w:pPr>
        <w:ind w:firstLine="480"/>
        <w:rPr>
          <w:rFonts w:hint="eastAsia" w:ascii="宋体" w:hAnsi="宋体" w:eastAsia="宋体" w:cs="宋体"/>
          <w:szCs w:val="24"/>
          <w:highlight w:val="none"/>
          <w:vertAlign w:val="subscript"/>
        </w:rPr>
      </w:pPr>
      <w:r>
        <w:rPr>
          <w:rFonts w:hint="eastAsia" w:ascii="宋体" w:hAnsi="宋体" w:eastAsia="宋体" w:cs="宋体"/>
          <w:szCs w:val="24"/>
          <w:highlight w:val="none"/>
        </w:rPr>
        <w:t>预估设置出租车司机的载客平均时速为v</w:t>
      </w:r>
      <w:r>
        <w:rPr>
          <w:rFonts w:hint="eastAsia" w:ascii="宋体" w:hAnsi="宋体" w:eastAsia="宋体" w:cs="宋体"/>
          <w:szCs w:val="24"/>
          <w:highlight w:val="none"/>
          <w:vertAlign w:val="subscript"/>
        </w:rPr>
        <w:t>0</w:t>
      </w:r>
      <w:r>
        <w:rPr>
          <w:rFonts w:hint="eastAsia" w:ascii="宋体" w:hAnsi="宋体" w:eastAsia="宋体" w:cs="宋体"/>
          <w:szCs w:val="24"/>
          <w:highlight w:val="none"/>
        </w:rPr>
        <w:t>公里每小时，因此平均载客时间为t0=E(x)/v</w:t>
      </w:r>
      <w:r>
        <w:rPr>
          <w:rFonts w:hint="eastAsia" w:ascii="宋体" w:hAnsi="宋体" w:eastAsia="宋体" w:cs="宋体"/>
          <w:szCs w:val="24"/>
          <w:highlight w:val="none"/>
          <w:vertAlign w:val="subscript"/>
        </w:rPr>
        <w:t>0</w:t>
      </w:r>
    </w:p>
    <w:p w14:paraId="5A097C6F">
      <w:pPr>
        <w:ind w:firstLine="480"/>
        <w:rPr>
          <w:rFonts w:hint="eastAsia" w:ascii="宋体" w:hAnsi="宋体" w:eastAsia="宋体" w:cs="宋体"/>
          <w:szCs w:val="24"/>
          <w:highlight w:val="none"/>
        </w:rPr>
      </w:pPr>
      <w:r>
        <w:rPr>
          <w:rFonts w:hint="eastAsia" w:ascii="宋体" w:hAnsi="宋体" w:eastAsia="宋体" w:cs="宋体"/>
          <w:szCs w:val="24"/>
          <w:highlight w:val="none"/>
        </w:rPr>
        <w:t>则当该出租车司机选择载客时，其单位时间所获得平均净收益为</w:t>
      </w:r>
    </w:p>
    <w:p w14:paraId="38F789D0">
      <w:pPr>
        <w:ind w:firstLine="480"/>
        <w:rPr>
          <w:rFonts w:hint="eastAsia" w:ascii="宋体" w:hAnsi="宋体" w:eastAsia="宋体" w:cs="宋体"/>
          <w:szCs w:val="24"/>
          <w:highlight w:val="none"/>
        </w:rPr>
      </w:pPr>
      <w:r>
        <w:rPr>
          <w:rFonts w:hint="eastAsia" w:ascii="宋体" w:hAnsi="宋体" w:eastAsia="宋体" w:cs="宋体"/>
          <w:position w:val="-24"/>
          <w:szCs w:val="24"/>
          <w:highlight w:val="none"/>
        </w:rPr>
        <w:object>
          <v:shape id="_x0000_i1030" o:spt="75" type="#_x0000_t75" style="height:31pt;width:58pt;" o:ole="t" filled="f" o:preferrelative="t" stroked="f" coordsize="21600,21600">
            <v:path/>
            <v:fill on="f" focussize="0,0"/>
            <v:stroke on="f" joinstyle="miter"/>
            <v:imagedata r:id="rId37" o:title=""/>
            <o:lock v:ext="edit" aspectratio="t"/>
            <w10:wrap type="none"/>
            <w10:anchorlock/>
          </v:shape>
          <o:OLEObject Type="Embed" ProgID="Equation.3" ShapeID="_x0000_i1030" DrawAspect="Content" ObjectID="_1468075730" r:id="rId36">
            <o:LockedField>false</o:LockedField>
          </o:OLEObject>
        </w:object>
      </w:r>
      <w:r>
        <w:rPr>
          <w:rFonts w:hint="eastAsia" w:ascii="宋体" w:hAnsi="宋体" w:eastAsia="宋体" w:cs="宋体"/>
          <w:szCs w:val="24"/>
          <w:highlight w:val="none"/>
        </w:rPr>
        <w:t>，其中T</w:t>
      </w:r>
      <w:r>
        <w:rPr>
          <w:rFonts w:hint="eastAsia" w:ascii="宋体" w:hAnsi="宋体" w:eastAsia="宋体" w:cs="宋体"/>
          <w:szCs w:val="24"/>
          <w:highlight w:val="none"/>
          <w:vertAlign w:val="subscript"/>
        </w:rPr>
        <w:t>0</w:t>
      </w:r>
      <w:r>
        <w:rPr>
          <w:rFonts w:hint="eastAsia" w:ascii="宋体" w:hAnsi="宋体" w:eastAsia="宋体" w:cs="宋体"/>
          <w:szCs w:val="24"/>
          <w:highlight w:val="none"/>
        </w:rPr>
        <w:t>为等待时间。</w:t>
      </w:r>
    </w:p>
    <w:p w14:paraId="0B6EC217">
      <w:pPr>
        <w:numPr>
          <w:ilvl w:val="0"/>
          <w:numId w:val="31"/>
        </w:numPr>
        <w:ind w:firstLine="480"/>
        <w:rPr>
          <w:rFonts w:hint="eastAsia" w:ascii="宋体" w:hAnsi="宋体" w:eastAsia="宋体" w:cs="宋体"/>
          <w:highlight w:val="none"/>
        </w:rPr>
      </w:pPr>
      <w:r>
        <w:rPr>
          <w:rFonts w:hint="eastAsia" w:ascii="宋体" w:hAnsi="宋体" w:eastAsia="宋体" w:cs="宋体"/>
          <w:highlight w:val="none"/>
        </w:rPr>
        <w:t>台州出租车空返收益评估</w:t>
      </w:r>
    </w:p>
    <w:p w14:paraId="33189172">
      <w:pPr>
        <w:ind w:firstLine="480"/>
        <w:rPr>
          <w:rFonts w:hint="eastAsia" w:ascii="宋体" w:hAnsi="宋体" w:eastAsia="宋体" w:cs="宋体"/>
          <w:highlight w:val="none"/>
        </w:rPr>
      </w:pPr>
      <w:r>
        <w:rPr>
          <w:rFonts w:hint="eastAsia" w:ascii="宋体" w:hAnsi="宋体" w:eastAsia="宋体" w:cs="宋体"/>
          <w:highlight w:val="none"/>
        </w:rPr>
        <w:t>比较出租车司机在机场等候载客开始到其搭载乘客到达目的地终止的这段时间</w:t>
      </w:r>
      <w:r>
        <w:rPr>
          <w:rFonts w:hint="eastAsia" w:ascii="宋体" w:hAnsi="宋体" w:eastAsia="宋体" w:cs="宋体"/>
          <w:highlight w:val="none"/>
        </w:rPr>
        <w:drawing>
          <wp:inline distT="0" distB="0" distL="114300" distR="114300">
            <wp:extent cx="409575" cy="171450"/>
            <wp:effectExtent l="0" t="0" r="9525" b="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8"/>
                    <a:stretch>
                      <a:fillRect/>
                    </a:stretch>
                  </pic:blipFill>
                  <pic:spPr>
                    <a:xfrm>
                      <a:off x="0" y="0"/>
                      <a:ext cx="409575" cy="171450"/>
                    </a:xfrm>
                    <a:prstGeom prst="rect">
                      <a:avLst/>
                    </a:prstGeom>
                    <a:noFill/>
                    <a:ln>
                      <a:noFill/>
                    </a:ln>
                  </pic:spPr>
                </pic:pic>
              </a:graphicData>
            </a:graphic>
          </wp:inline>
        </w:drawing>
      </w:r>
      <w:r>
        <w:rPr>
          <w:rFonts w:hint="eastAsia" w:ascii="宋体" w:hAnsi="宋体" w:eastAsia="宋体" w:cs="宋体"/>
          <w:highlight w:val="none"/>
        </w:rPr>
        <w:t>内，对于选择空载返回主城的出租车司机，设其空载返回主城市区所需时间为t</w:t>
      </w:r>
      <w:r>
        <w:rPr>
          <w:rFonts w:hint="eastAsia" w:ascii="宋体" w:hAnsi="宋体" w:eastAsia="宋体" w:cs="宋体"/>
          <w:highlight w:val="none"/>
          <w:vertAlign w:val="subscript"/>
        </w:rPr>
        <w:t>1，</w:t>
      </w:r>
      <w:r>
        <w:rPr>
          <w:rFonts w:hint="eastAsia" w:ascii="宋体" w:hAnsi="宋体" w:eastAsia="宋体" w:cs="宋体"/>
          <w:highlight w:val="none"/>
        </w:rPr>
        <w:t>然后在余下的</w:t>
      </w:r>
      <w:r>
        <w:rPr>
          <w:rFonts w:hint="eastAsia" w:ascii="宋体" w:hAnsi="宋体" w:eastAsia="宋体" w:cs="宋体"/>
          <w:highlight w:val="none"/>
        </w:rPr>
        <w:drawing>
          <wp:inline distT="0" distB="0" distL="114300" distR="114300">
            <wp:extent cx="409575" cy="171450"/>
            <wp:effectExtent l="0" t="0" r="9525" b="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38"/>
                    <a:stretch>
                      <a:fillRect/>
                    </a:stretch>
                  </pic:blipFill>
                  <pic:spPr>
                    <a:xfrm>
                      <a:off x="0" y="0"/>
                      <a:ext cx="409575" cy="171450"/>
                    </a:xfrm>
                    <a:prstGeom prst="rect">
                      <a:avLst/>
                    </a:prstGeom>
                    <a:noFill/>
                    <a:ln>
                      <a:noFill/>
                    </a:ln>
                  </pic:spPr>
                </pic:pic>
              </a:graphicData>
            </a:graphic>
          </wp:inline>
        </w:drawing>
      </w:r>
      <w:r>
        <w:rPr>
          <w:rFonts w:hint="eastAsia" w:ascii="宋体" w:hAnsi="宋体" w:eastAsia="宋体" w:cs="宋体"/>
          <w:highlight w:val="none"/>
        </w:rPr>
        <w:t>-t</w:t>
      </w:r>
      <w:r>
        <w:rPr>
          <w:rFonts w:hint="eastAsia" w:ascii="宋体" w:hAnsi="宋体" w:eastAsia="宋体" w:cs="宋体"/>
          <w:highlight w:val="none"/>
          <w:vertAlign w:val="subscript"/>
        </w:rPr>
        <w:t>1</w:t>
      </w:r>
      <w:r>
        <w:rPr>
          <w:rFonts w:hint="eastAsia" w:ascii="宋体" w:hAnsi="宋体" w:eastAsia="宋体" w:cs="宋体"/>
          <w:highlight w:val="none"/>
        </w:rPr>
        <w:t>时间内，平均营运时间收益为（</w:t>
      </w:r>
      <w:r>
        <w:rPr>
          <w:rFonts w:hint="eastAsia" w:ascii="宋体" w:hAnsi="宋体" w:eastAsia="宋体" w:cs="宋体"/>
          <w:position w:val="-6"/>
          <w:highlight w:val="none"/>
        </w:rPr>
        <w:object>
          <v:shape id="_x0000_i1031" o:spt="75" type="#_x0000_t75" style="height:14pt;width:51pt;" o:ole="t" filled="f" o:preferrelative="t" stroked="f" coordsize="21600,21600">
            <v:path/>
            <v:fill on="f" focussize="0,0"/>
            <v:stroke on="f" joinstyle="miter"/>
            <v:imagedata r:id="rId40" o:title=""/>
            <o:lock v:ext="edit" aspectratio="t"/>
            <w10:wrap type="none"/>
            <w10:anchorlock/>
          </v:shape>
          <o:OLEObject Type="Embed" ProgID="Equation.3" ShapeID="_x0000_i1031" DrawAspect="Content" ObjectID="_1468075731" r:id="rId39">
            <o:LockedField>false</o:LockedField>
          </o:OLEObject>
        </w:object>
      </w:r>
      <w:r>
        <w:rPr>
          <w:rFonts w:hint="eastAsia" w:ascii="宋体" w:hAnsi="宋体" w:eastAsia="宋体" w:cs="宋体"/>
          <w:highlight w:val="none"/>
        </w:rPr>
        <w:t>）*R</w:t>
      </w:r>
      <w:r>
        <w:rPr>
          <w:rFonts w:hint="eastAsia" w:ascii="宋体" w:hAnsi="宋体" w:eastAsia="宋体" w:cs="宋体"/>
          <w:highlight w:val="none"/>
          <w:vertAlign w:val="subscript"/>
        </w:rPr>
        <w:t>均</w:t>
      </w:r>
      <w:r>
        <w:rPr>
          <w:rFonts w:hint="eastAsia" w:ascii="宋体" w:hAnsi="宋体" w:eastAsia="宋体" w:cs="宋体"/>
          <w:highlight w:val="none"/>
        </w:rPr>
        <w:t>元，则其单位时间内的收益为</w:t>
      </w:r>
      <w:r>
        <w:rPr>
          <w:rFonts w:hint="eastAsia" w:ascii="宋体" w:hAnsi="宋体" w:eastAsia="宋体" w:cs="宋体"/>
          <w:position w:val="-24"/>
          <w:highlight w:val="none"/>
        </w:rPr>
        <w:object>
          <v:shape id="_x0000_i1032" o:spt="75" type="#_x0000_t75" style="height:31pt;width:100pt;" o:ole="t" filled="f" o:preferrelative="t" stroked="f" coordsize="21600,21600">
            <v:path/>
            <v:fill on="f" focussize="0,0"/>
            <v:stroke on="f" joinstyle="miter"/>
            <v:imagedata r:id="rId42" o:title=""/>
            <o:lock v:ext="edit" aspectratio="t"/>
            <w10:wrap type="none"/>
            <w10:anchorlock/>
          </v:shape>
          <o:OLEObject Type="Embed" ProgID="Equation.3" ShapeID="_x0000_i1032" DrawAspect="Content" ObjectID="_1468075732" r:id="rId41">
            <o:LockedField>false</o:LockedField>
          </o:OLEObject>
        </w:object>
      </w:r>
    </w:p>
    <w:p w14:paraId="509098E1">
      <w:pPr>
        <w:keepNext w:val="0"/>
        <w:keepLines w:val="0"/>
        <w:pageBreakBefore w:val="0"/>
        <w:widowControl w:val="0"/>
        <w:numPr>
          <w:ilvl w:val="0"/>
          <w:numId w:val="31"/>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出租车决策的动态指标及初始化</w:t>
      </w:r>
    </w:p>
    <w:p w14:paraId="5645E11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因此影响出租车司机偏好的主要依据是k1和k2收益的偏好。当k1大于k2时，出租车司机对于选择机场是愿意的。</w:t>
      </w:r>
    </w:p>
    <w:p w14:paraId="51D99BD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本数据模型如下参数为动态采集，其中通过动态参数的调整，可以优化出不同情况下的出租车选择偏好，动态指标如下：</w:t>
      </w:r>
    </w:p>
    <w:p w14:paraId="243BF7BF">
      <w:pPr>
        <w:keepNext w:val="0"/>
        <w:keepLines w:val="0"/>
        <w:pageBreakBefore w:val="0"/>
        <w:widowControl w:val="0"/>
        <w:numPr>
          <w:ilvl w:val="0"/>
          <w:numId w:val="32"/>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Z（t）为t时段下的乘客总数，该数量为动态指标。初始化阶段根据台州的历史航班数量情况对预设，按照年吞吐量250万人次估算，按照平均分布的方式进行评估，可以初设Z（t）设置300人。</w:t>
      </w:r>
      <w:r>
        <w:rPr>
          <w:rFonts w:hint="eastAsia" w:ascii="宋体" w:hAnsi="宋体" w:eastAsia="宋体" w:cs="宋体"/>
          <w:highlight w:val="none"/>
        </w:rPr>
        <w:t>B（t）处于一个动态理论值，根据调研初始化设置为30%。</w:t>
      </w:r>
    </w:p>
    <w:p w14:paraId="2B9C2B29">
      <w:pPr>
        <w:keepNext w:val="0"/>
        <w:keepLines w:val="0"/>
        <w:pageBreakBefore w:val="0"/>
        <w:widowControl w:val="0"/>
        <w:numPr>
          <w:ilvl w:val="0"/>
          <w:numId w:val="32"/>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H（t）为t时刻下的出租车等待人数。实际为动态指标，应根据公式及当前排队两组数据组成，在初始化阶段，可以简化估算。即Z(t)*</w:t>
      </w:r>
      <w:r>
        <w:rPr>
          <w:rFonts w:hint="eastAsia" w:ascii="宋体" w:hAnsi="宋体" w:eastAsia="宋体" w:cs="宋体"/>
          <w:highlight w:val="none"/>
        </w:rPr>
        <w:t>B(t)=90人次。</w:t>
      </w:r>
    </w:p>
    <w:p w14:paraId="21309665">
      <w:pPr>
        <w:keepNext w:val="0"/>
        <w:keepLines w:val="0"/>
        <w:pageBreakBefore w:val="0"/>
        <w:widowControl w:val="0"/>
        <w:numPr>
          <w:ilvl w:val="0"/>
          <w:numId w:val="32"/>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highlight w:val="none"/>
        </w:rPr>
        <w:t>μ</w:t>
      </w:r>
      <w:r>
        <w:rPr>
          <w:rFonts w:hint="eastAsia" w:ascii="宋体" w:hAnsi="宋体" w:eastAsia="宋体" w:cs="宋体"/>
          <w:highlight w:val="none"/>
          <w:vertAlign w:val="subscript"/>
        </w:rPr>
        <w:t>0</w:t>
      </w:r>
      <w:r>
        <w:rPr>
          <w:rFonts w:hint="eastAsia" w:ascii="宋体" w:hAnsi="宋体" w:eastAsia="宋体" w:cs="宋体"/>
          <w:szCs w:val="24"/>
          <w:highlight w:val="none"/>
        </w:rPr>
        <w:t>为出租车</w:t>
      </w:r>
      <w:r>
        <w:rPr>
          <w:rFonts w:hint="eastAsia" w:ascii="宋体" w:hAnsi="宋体" w:eastAsia="宋体" w:cs="宋体"/>
          <w:highlight w:val="none"/>
        </w:rPr>
        <w:t>μ</w:t>
      </w:r>
      <w:r>
        <w:rPr>
          <w:rFonts w:hint="eastAsia" w:ascii="宋体" w:hAnsi="宋体" w:eastAsia="宋体" w:cs="宋体"/>
          <w:highlight w:val="none"/>
          <w:vertAlign w:val="subscript"/>
        </w:rPr>
        <w:t>0</w:t>
      </w:r>
      <w:r>
        <w:rPr>
          <w:rFonts w:hint="eastAsia" w:ascii="宋体" w:hAnsi="宋体" w:eastAsia="宋体" w:cs="宋体"/>
          <w:highlight w:val="none"/>
        </w:rPr>
        <w:t>为离开蓄车、到达上客点、上客走人的时间之和，理论上也是一个动态值，可以根据出租车道闸和地磁识别进一步分析确认。初始阶段考虑到形成距离较近，可以估算设置为2分钟左右，因此在不等待的时间下初设n</w:t>
      </w:r>
      <w:r>
        <w:rPr>
          <w:rFonts w:hint="eastAsia" w:ascii="宋体" w:hAnsi="宋体" w:eastAsia="宋体" w:cs="宋体"/>
          <w:highlight w:val="none"/>
          <w:vertAlign w:val="subscript"/>
        </w:rPr>
        <w:t>0</w:t>
      </w:r>
      <w:r>
        <w:rPr>
          <w:rFonts w:hint="eastAsia" w:ascii="宋体" w:hAnsi="宋体" w:eastAsia="宋体" w:cs="宋体"/>
          <w:highlight w:val="none"/>
        </w:rPr>
        <w:t>为每小时出租车可以接客的车辆数为30辆左右。</w:t>
      </w:r>
    </w:p>
    <w:p w14:paraId="600653A4">
      <w:pPr>
        <w:keepNext w:val="0"/>
        <w:keepLines w:val="0"/>
        <w:pageBreakBefore w:val="0"/>
        <w:widowControl w:val="0"/>
        <w:numPr>
          <w:ilvl w:val="0"/>
          <w:numId w:val="32"/>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假设需要等待的情况下，假设当前每天需要超范围等待的车辆占总数的10%，需要等待额外的航班进行补偿，因此当前等待时间</w:t>
      </w:r>
      <w:r>
        <w:rPr>
          <w:rFonts w:hint="eastAsia" w:ascii="宋体" w:hAnsi="宋体" w:eastAsia="宋体" w:cs="宋体"/>
          <w:highlight w:val="none"/>
        </w:rPr>
        <w:t>μ</w:t>
      </w:r>
      <w:r>
        <w:rPr>
          <w:rFonts w:hint="eastAsia" w:ascii="宋体" w:hAnsi="宋体" w:eastAsia="宋体" w:cs="宋体"/>
          <w:highlight w:val="none"/>
          <w:vertAlign w:val="subscript"/>
        </w:rPr>
        <w:t>2</w:t>
      </w:r>
      <w:r>
        <w:rPr>
          <w:rFonts w:hint="eastAsia" w:ascii="宋体" w:hAnsi="宋体" w:eastAsia="宋体" w:cs="宋体"/>
          <w:highlight w:val="none"/>
        </w:rPr>
        <w:t>=30分钟。该动态指标也需要持续更新，初始化设置为30分钟。</w:t>
      </w:r>
    </w:p>
    <w:p w14:paraId="6DC3A832">
      <w:pPr>
        <w:keepNext w:val="0"/>
        <w:keepLines w:val="0"/>
        <w:pageBreakBefore w:val="0"/>
        <w:widowControl w:val="0"/>
        <w:numPr>
          <w:ilvl w:val="0"/>
          <w:numId w:val="32"/>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因此平均服务数量</w:t>
      </w:r>
      <w:r>
        <w:rPr>
          <w:rFonts w:hint="eastAsia" w:ascii="宋体" w:hAnsi="宋体" w:eastAsia="宋体" w:cs="宋体"/>
          <w:highlight w:val="none"/>
        </w:rPr>
        <w:t>μ</w:t>
      </w:r>
      <w:r>
        <w:rPr>
          <w:rFonts w:hint="eastAsia" w:ascii="宋体" w:hAnsi="宋体" w:eastAsia="宋体" w:cs="宋体"/>
          <w:highlight w:val="none"/>
          <w:vertAlign w:val="subscript"/>
        </w:rPr>
        <w:t>率</w:t>
      </w:r>
      <w:r>
        <w:rPr>
          <w:rFonts w:hint="eastAsia" w:ascii="宋体" w:hAnsi="宋体" w:eastAsia="宋体" w:cs="宋体"/>
          <w:szCs w:val="24"/>
          <w:highlight w:val="none"/>
        </w:rPr>
        <w:t>=0.9*30+0.1*2=27辆/小时。</w:t>
      </w:r>
    </w:p>
    <w:p w14:paraId="06187C68">
      <w:pPr>
        <w:keepNext w:val="0"/>
        <w:keepLines w:val="0"/>
        <w:pageBreakBefore w:val="0"/>
        <w:widowControl w:val="0"/>
        <w:numPr>
          <w:ilvl w:val="0"/>
          <w:numId w:val="32"/>
        </w:numPr>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因为本项目上客提供了批量放行的功能，本项目上客车位容纳11个车位，可以对同时上客提供5个放行。基于排队系统的公式，利用排队论知识，对于单位时间内到达率λ可以通过统计单位时间内到达蓄车池的出租车数量进行均值评估，该参数也是动态参数可以初设为λ=20辆，ρ=20/27=0.74。</w:t>
      </w:r>
    </w:p>
    <w:p w14:paraId="172AC50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因此出租车平均等待时间在下列公式计算下通过初始认定的预设数据的计算为</w:t>
      </w:r>
    </w:p>
    <w:p w14:paraId="7469472B">
      <w:pPr>
        <w:ind w:firstLine="480"/>
        <w:rPr>
          <w:rFonts w:hint="eastAsia" w:ascii="宋体" w:hAnsi="宋体" w:eastAsia="宋体" w:cs="宋体"/>
          <w:szCs w:val="24"/>
          <w:highlight w:val="none"/>
        </w:rPr>
      </w:pPr>
      <w:r>
        <w:rPr>
          <w:rFonts w:hint="eastAsia" w:ascii="宋体" w:hAnsi="宋体" w:eastAsia="宋体" w:cs="宋体"/>
          <w:position w:val="-54"/>
          <w:szCs w:val="24"/>
          <w:highlight w:val="none"/>
        </w:rPr>
        <w:object>
          <v:shape id="_x0000_i1033" o:spt="75" type="#_x0000_t75" style="height:64pt;width:123pt;" o:ole="t" filled="f" o:preferrelative="t" stroked="f" coordsize="21600,21600">
            <v:path/>
            <v:fill on="f" focussize="0,0"/>
            <v:stroke on="f" joinstyle="miter"/>
            <v:imagedata r:id="rId31" o:title=""/>
            <o:lock v:ext="edit" aspectratio="t"/>
            <w10:wrap type="none"/>
            <w10:anchorlock/>
          </v:shape>
          <o:OLEObject Type="Embed" ProgID="Equation.3" ShapeID="_x0000_i1033" DrawAspect="Content" ObjectID="_1468075733" r:id="rId43">
            <o:LockedField>false</o:LockedField>
          </o:OLEObject>
        </w:object>
      </w:r>
      <w:r>
        <w:rPr>
          <w:rFonts w:hint="eastAsia" w:ascii="宋体" w:hAnsi="宋体" w:eastAsia="宋体" w:cs="宋体"/>
          <w:szCs w:val="24"/>
          <w:highlight w:val="none"/>
        </w:rPr>
        <w:t>=0.25小时</w:t>
      </w:r>
    </w:p>
    <w:p w14:paraId="05DC2EF7">
      <w:pPr>
        <w:keepNext w:val="0"/>
        <w:keepLines w:val="0"/>
        <w:pageBreakBefore w:val="0"/>
        <w:widowControl w:val="0"/>
        <w:numPr>
          <w:ilvl w:val="0"/>
          <w:numId w:val="32"/>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出租车收益评估</w:t>
      </w:r>
    </w:p>
    <w:p w14:paraId="6B027466">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根据出租车平均时速40公里/小时进行评估，油耗按照每公里0.3元计算。空返车辆在5公里处接到订单（距离路桥区10公里，距离台州市区16公里，估算10公里接单）进行评估。实际上速度V和实际接单距离L油耗C</w:t>
      </w:r>
      <w:r>
        <w:rPr>
          <w:rFonts w:hint="eastAsia" w:ascii="宋体" w:hAnsi="宋体" w:eastAsia="宋体" w:cs="宋体"/>
          <w:szCs w:val="24"/>
          <w:highlight w:val="none"/>
          <w:vertAlign w:val="subscript"/>
        </w:rPr>
        <w:t>0</w:t>
      </w:r>
      <w:r>
        <w:rPr>
          <w:rFonts w:hint="eastAsia" w:ascii="宋体" w:hAnsi="宋体" w:eastAsia="宋体" w:cs="宋体"/>
          <w:szCs w:val="24"/>
          <w:highlight w:val="none"/>
        </w:rPr>
        <w:t>也是动态的。</w:t>
      </w:r>
    </w:p>
    <w:p w14:paraId="58384F82">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如果在机场接单：</w:t>
      </w:r>
    </w:p>
    <w:p w14:paraId="034F2225">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当x&gt;7，收益R</w:t>
      </w:r>
      <w:r>
        <w:rPr>
          <w:rFonts w:hint="eastAsia" w:ascii="宋体" w:hAnsi="宋体" w:eastAsia="宋体" w:cs="宋体"/>
          <w:szCs w:val="24"/>
          <w:highlight w:val="none"/>
          <w:vertAlign w:val="subscript"/>
        </w:rPr>
        <w:t>1</w:t>
      </w:r>
      <w:r>
        <w:rPr>
          <w:rFonts w:hint="eastAsia" w:ascii="宋体" w:hAnsi="宋体" w:eastAsia="宋体" w:cs="宋体"/>
          <w:szCs w:val="24"/>
          <w:highlight w:val="none"/>
        </w:rPr>
        <w:t>=8+2.5*（x-2）+0.5*2.5*(x-7)-c</w:t>
      </w:r>
      <w:r>
        <w:rPr>
          <w:rFonts w:hint="eastAsia" w:ascii="宋体" w:hAnsi="宋体" w:eastAsia="宋体" w:cs="宋体"/>
          <w:szCs w:val="24"/>
          <w:highlight w:val="none"/>
          <w:vertAlign w:val="subscript"/>
        </w:rPr>
        <w:t>0</w:t>
      </w:r>
      <w:r>
        <w:rPr>
          <w:rFonts w:hint="eastAsia" w:ascii="宋体" w:hAnsi="宋体" w:eastAsia="宋体" w:cs="宋体"/>
          <w:szCs w:val="24"/>
          <w:highlight w:val="none"/>
        </w:rPr>
        <w:t>*x=3.45x-5.75元；</w:t>
      </w:r>
    </w:p>
    <w:p w14:paraId="0DDD98D8">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highlight w:val="none"/>
        </w:rPr>
        <w:t>净收益k1=(3.45x-7.75)/(0.25+x/40)</w:t>
      </w:r>
      <w:r>
        <w:rPr>
          <w:rFonts w:hint="eastAsia" w:ascii="宋体" w:hAnsi="宋体" w:eastAsia="宋体" w:cs="宋体"/>
          <w:szCs w:val="24"/>
          <w:highlight w:val="none"/>
        </w:rPr>
        <w:t>元/小时</w:t>
      </w:r>
    </w:p>
    <w:p w14:paraId="093D612E">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当下7&gt;x&gt;2，收益R</w:t>
      </w:r>
      <w:r>
        <w:rPr>
          <w:rFonts w:hint="eastAsia" w:ascii="宋体" w:hAnsi="宋体" w:eastAsia="宋体" w:cs="宋体"/>
          <w:szCs w:val="24"/>
          <w:highlight w:val="none"/>
          <w:vertAlign w:val="subscript"/>
        </w:rPr>
        <w:t>2</w:t>
      </w:r>
      <w:r>
        <w:rPr>
          <w:rFonts w:hint="eastAsia" w:ascii="宋体" w:hAnsi="宋体" w:eastAsia="宋体" w:cs="宋体"/>
          <w:szCs w:val="24"/>
          <w:highlight w:val="none"/>
        </w:rPr>
        <w:t>=8+2.5*（x-2）-c</w:t>
      </w:r>
      <w:r>
        <w:rPr>
          <w:rFonts w:hint="eastAsia" w:ascii="宋体" w:hAnsi="宋体" w:eastAsia="宋体" w:cs="宋体"/>
          <w:szCs w:val="24"/>
          <w:highlight w:val="none"/>
          <w:vertAlign w:val="subscript"/>
        </w:rPr>
        <w:t>0</w:t>
      </w:r>
      <w:r>
        <w:rPr>
          <w:rFonts w:hint="eastAsia" w:ascii="宋体" w:hAnsi="宋体" w:eastAsia="宋体" w:cs="宋体"/>
          <w:szCs w:val="24"/>
          <w:highlight w:val="none"/>
        </w:rPr>
        <w:t>*x=2.2x+3元；</w:t>
      </w:r>
    </w:p>
    <w:p w14:paraId="12C5C980">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highlight w:val="none"/>
        </w:rPr>
        <w:t>净收益k1=(2.2x-3)/(0.25+x/40)</w:t>
      </w:r>
      <w:r>
        <w:rPr>
          <w:rFonts w:hint="eastAsia" w:ascii="宋体" w:hAnsi="宋体" w:eastAsia="宋体" w:cs="宋体"/>
          <w:szCs w:val="24"/>
          <w:highlight w:val="none"/>
        </w:rPr>
        <w:t>元/小时</w:t>
      </w:r>
    </w:p>
    <w:p w14:paraId="48CFF849">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当x&lt;2，收益R</w:t>
      </w:r>
      <w:r>
        <w:rPr>
          <w:rFonts w:hint="eastAsia" w:ascii="宋体" w:hAnsi="宋体" w:eastAsia="宋体" w:cs="宋体"/>
          <w:szCs w:val="24"/>
          <w:highlight w:val="none"/>
          <w:vertAlign w:val="subscript"/>
        </w:rPr>
        <w:t>3</w:t>
      </w:r>
      <w:r>
        <w:rPr>
          <w:rFonts w:hint="eastAsia" w:ascii="宋体" w:hAnsi="宋体" w:eastAsia="宋体" w:cs="宋体"/>
          <w:szCs w:val="24"/>
          <w:highlight w:val="none"/>
        </w:rPr>
        <w:t>=8-c</w:t>
      </w:r>
      <w:r>
        <w:rPr>
          <w:rFonts w:hint="eastAsia" w:ascii="宋体" w:hAnsi="宋体" w:eastAsia="宋体" w:cs="宋体"/>
          <w:szCs w:val="24"/>
          <w:highlight w:val="none"/>
          <w:vertAlign w:val="subscript"/>
        </w:rPr>
        <w:t>0</w:t>
      </w:r>
      <w:r>
        <w:rPr>
          <w:rFonts w:hint="eastAsia" w:ascii="宋体" w:hAnsi="宋体" w:eastAsia="宋体" w:cs="宋体"/>
          <w:szCs w:val="24"/>
          <w:highlight w:val="none"/>
        </w:rPr>
        <w:t>*x=8-0.3x元。</w:t>
      </w:r>
    </w:p>
    <w:p w14:paraId="6D74D89E">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highlight w:val="none"/>
        </w:rPr>
        <w:t>净收益k1=(8-0.3x)/(0.25+x/40)</w:t>
      </w:r>
      <w:r>
        <w:rPr>
          <w:rFonts w:hint="eastAsia" w:ascii="宋体" w:hAnsi="宋体" w:eastAsia="宋体" w:cs="宋体"/>
          <w:szCs w:val="24"/>
          <w:highlight w:val="none"/>
        </w:rPr>
        <w:t>元/小时</w:t>
      </w:r>
    </w:p>
    <w:p w14:paraId="36A705E8">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如果不在机场接单，5公里接单所需时间为5/40=0.125小时，与选择在机场接单的同行相比，其单位时间收益k2为：</w:t>
      </w:r>
    </w:p>
    <w:p w14:paraId="409A6D53">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vertAlign w:val="subscript"/>
        </w:rPr>
      </w:pPr>
      <w:r>
        <w:rPr>
          <w:rFonts w:hint="eastAsia" w:ascii="宋体" w:hAnsi="宋体" w:eastAsia="宋体" w:cs="宋体"/>
          <w:szCs w:val="24"/>
          <w:highlight w:val="none"/>
        </w:rPr>
        <w:t>k2=(0.25+x/40-0.125)</w:t>
      </w:r>
      <w:r>
        <w:rPr>
          <w:rFonts w:hint="eastAsia" w:ascii="宋体" w:hAnsi="宋体" w:eastAsia="宋体" w:cs="宋体"/>
          <w:highlight w:val="none"/>
        </w:rPr>
        <w:t>R</w:t>
      </w:r>
      <w:r>
        <w:rPr>
          <w:rFonts w:hint="eastAsia" w:ascii="宋体" w:hAnsi="宋体" w:eastAsia="宋体" w:cs="宋体"/>
          <w:highlight w:val="none"/>
          <w:vertAlign w:val="subscript"/>
        </w:rPr>
        <w:t>均</w:t>
      </w:r>
      <w:r>
        <w:rPr>
          <w:rFonts w:hint="eastAsia" w:ascii="宋体" w:hAnsi="宋体" w:eastAsia="宋体" w:cs="宋体"/>
          <w:highlight w:val="none"/>
        </w:rPr>
        <w:t>。R</w:t>
      </w:r>
      <w:r>
        <w:rPr>
          <w:rFonts w:hint="eastAsia" w:ascii="宋体" w:hAnsi="宋体" w:eastAsia="宋体" w:cs="宋体"/>
          <w:highlight w:val="none"/>
          <w:vertAlign w:val="subscript"/>
        </w:rPr>
        <w:t>均</w:t>
      </w:r>
      <w:r>
        <w:rPr>
          <w:rFonts w:hint="eastAsia" w:ascii="宋体" w:hAnsi="宋体" w:eastAsia="宋体" w:cs="宋体"/>
          <w:highlight w:val="none"/>
        </w:rPr>
        <w:t>为出租车在台州市区的平均小时收益，也是一个动态值，根据行业统计，按照一个班次12小时收益500元，R</w:t>
      </w:r>
      <w:r>
        <w:rPr>
          <w:rFonts w:hint="eastAsia" w:ascii="宋体" w:hAnsi="宋体" w:eastAsia="宋体" w:cs="宋体"/>
          <w:highlight w:val="none"/>
          <w:vertAlign w:val="subscript"/>
        </w:rPr>
        <w:t>均</w:t>
      </w:r>
      <w:r>
        <w:rPr>
          <w:rFonts w:hint="eastAsia" w:ascii="宋体" w:hAnsi="宋体" w:eastAsia="宋体" w:cs="宋体"/>
          <w:highlight w:val="none"/>
        </w:rPr>
        <w:t>初始设置为42块钱/小时。因此</w:t>
      </w:r>
      <w:r>
        <w:rPr>
          <w:rFonts w:hint="eastAsia" w:ascii="宋体" w:hAnsi="宋体" w:eastAsia="宋体" w:cs="宋体"/>
          <w:szCs w:val="24"/>
          <w:highlight w:val="none"/>
        </w:rPr>
        <w:t>k2=1.05x+5.55元/小时。</w:t>
      </w:r>
    </w:p>
    <w:p w14:paraId="7F60CD09">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基于上述评估，对k1和k2做比较，可以得出如下结论：</w:t>
      </w:r>
    </w:p>
    <w:p w14:paraId="3FA6C1D7">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无论在当前初设值的情况下，出租车司机选择在机场等待接单均更为划算。</w:t>
      </w:r>
    </w:p>
    <w:p w14:paraId="7B671A69">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对于动态参数变化后，如果计算出的对应的里程x</w:t>
      </w:r>
      <w:r>
        <w:rPr>
          <w:rFonts w:hint="eastAsia" w:ascii="宋体" w:hAnsi="宋体" w:eastAsia="宋体" w:cs="宋体"/>
          <w:szCs w:val="24"/>
          <w:highlight w:val="none"/>
          <w:vertAlign w:val="subscript"/>
        </w:rPr>
        <w:t>实际</w:t>
      </w:r>
      <w:r>
        <w:rPr>
          <w:rFonts w:hint="eastAsia" w:ascii="宋体" w:hAnsi="宋体" w:eastAsia="宋体" w:cs="宋体"/>
          <w:szCs w:val="24"/>
          <w:highlight w:val="none"/>
        </w:rPr>
        <w:t>，产生的单位收益k</w:t>
      </w:r>
      <w:r>
        <w:rPr>
          <w:rFonts w:hint="eastAsia" w:ascii="宋体" w:hAnsi="宋体" w:eastAsia="宋体" w:cs="宋体"/>
          <w:szCs w:val="24"/>
          <w:highlight w:val="none"/>
          <w:vertAlign w:val="subscript"/>
        </w:rPr>
        <w:t>1实际</w:t>
      </w:r>
      <w:r>
        <w:rPr>
          <w:rFonts w:hint="eastAsia" w:ascii="宋体" w:hAnsi="宋体" w:eastAsia="宋体" w:cs="宋体"/>
          <w:szCs w:val="24"/>
          <w:highlight w:val="none"/>
        </w:rPr>
        <w:t>小于k</w:t>
      </w:r>
      <w:r>
        <w:rPr>
          <w:rFonts w:hint="eastAsia" w:ascii="宋体" w:hAnsi="宋体" w:eastAsia="宋体" w:cs="宋体"/>
          <w:szCs w:val="24"/>
          <w:highlight w:val="none"/>
          <w:vertAlign w:val="subscript"/>
        </w:rPr>
        <w:t>2实际</w:t>
      </w:r>
      <w:r>
        <w:rPr>
          <w:rFonts w:hint="eastAsia" w:ascii="宋体" w:hAnsi="宋体" w:eastAsia="宋体" w:cs="宋体"/>
          <w:szCs w:val="24"/>
          <w:highlight w:val="none"/>
        </w:rPr>
        <w:t>，则要对当前出租车给予优先权。</w:t>
      </w:r>
    </w:p>
    <w:p w14:paraId="3D6D2F06">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本项目中如无法获取里程信息，可以使用出租车往返道闸的时间差的中值进行初步评估。即x=（本次进道闸-上次出道闸）/2*V。</w:t>
      </w:r>
    </w:p>
    <w:p w14:paraId="20B1BCD8">
      <w:pPr>
        <w:keepNext w:val="0"/>
        <w:keepLines w:val="0"/>
        <w:pageBreakBefore w:val="0"/>
        <w:widowControl w:val="0"/>
        <w:numPr>
          <w:ilvl w:val="0"/>
          <w:numId w:val="31"/>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模型在本项目中的动态适应关系</w:t>
      </w:r>
    </w:p>
    <w:p w14:paraId="5DA65EC4">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本项目配套硬件在航站楼到达层出口处安装了智能识别摄像机，能够对出口处出口人数进行识别，也在出租车上客点处安装了人员识别摄像机，能够动态去评估当前出租车实际等待人数，从而对放行车节点和数量进行控制。系统模型内置在软件程序中，可以选择实时调整，上述推导是在为模型应用做初始化。</w:t>
      </w:r>
    </w:p>
    <w:p w14:paraId="528E7D2A">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当前等待人数决定了放行速度，即有人等待就立刻放人。属于放行条件，总乘车人数和平均等待时长放行时长是为评估出租车优先级车道选择进行标定。标定值是以平均单位时长收益为参考，因此当前等待人数对优先级选择影响不大。</w:t>
      </w:r>
    </w:p>
    <w:p w14:paraId="3F6486AE">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本项目对接了航班动态信息，能够对单位时间内的航班数量进行计算和用车需求进行预估，从而对当前出租车等候状态进行预测。该功能集成在“陆侧交通预测预警评估”模块中，实现对陆侧交通需求整体把控。</w:t>
      </w:r>
    </w:p>
    <w:p w14:paraId="0E8F938F">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7.基于调研的分析成果</w:t>
      </w:r>
    </w:p>
    <w:p w14:paraId="351CA054">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本项目设计团队于今年前往省内类似规模机场进行调研，其中以义乌机场与台州机场规模和吞吐量最为相似，调研成果如下：</w:t>
      </w:r>
    </w:p>
    <w:p w14:paraId="263F8604">
      <w:pPr>
        <w:pStyle w:val="53"/>
        <w:keepNext w:val="0"/>
        <w:keepLines w:val="0"/>
        <w:pageBreakBefore w:val="0"/>
        <w:widowControl w:val="0"/>
        <w:numPr>
          <w:ilvl w:val="0"/>
          <w:numId w:val="33"/>
        </w:numPr>
        <w:kinsoku/>
        <w:wordWrap/>
        <w:overflowPunct/>
        <w:topLinePunct w:val="0"/>
        <w:autoSpaceDE/>
        <w:autoSpaceDN/>
        <w:bidi w:val="0"/>
        <w:adjustRightInd/>
        <w:snapToGrid/>
        <w:spacing w:line="400" w:lineRule="exact"/>
        <w:ind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义乌机场规模与结构</w:t>
      </w:r>
    </w:p>
    <w:p w14:paraId="6E051693">
      <w:pPr>
        <w:keepNext w:val="0"/>
        <w:keepLines w:val="0"/>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义乌机场4D军民合用机场，年吞吐量200-300万人次左右，其通行结构与台州机场类似，均为绕环岛通行，如下图所示：</w:t>
      </w:r>
    </w:p>
    <w:p w14:paraId="543FFE69">
      <w:pPr>
        <w:ind w:firstLine="0" w:firstLineChars="0"/>
        <w:rPr>
          <w:rFonts w:hint="eastAsia" w:ascii="宋体" w:hAnsi="宋体" w:eastAsia="宋体" w:cs="宋体"/>
          <w:szCs w:val="24"/>
          <w:highlight w:val="none"/>
        </w:rPr>
      </w:pPr>
      <w:r>
        <w:rPr>
          <w:rFonts w:hint="eastAsia" w:ascii="宋体" w:hAnsi="宋体" w:eastAsia="宋体" w:cs="宋体"/>
          <w:highlight w:val="none"/>
        </w:rPr>
        <w:drawing>
          <wp:inline distT="0" distB="0" distL="0" distR="0">
            <wp:extent cx="5274310" cy="2449195"/>
            <wp:effectExtent l="0" t="0" r="254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4"/>
                    <a:stretch>
                      <a:fillRect/>
                    </a:stretch>
                  </pic:blipFill>
                  <pic:spPr>
                    <a:xfrm>
                      <a:off x="0" y="0"/>
                      <a:ext cx="5274310" cy="2449195"/>
                    </a:xfrm>
                    <a:prstGeom prst="rect">
                      <a:avLst/>
                    </a:prstGeom>
                  </pic:spPr>
                </pic:pic>
              </a:graphicData>
            </a:graphic>
          </wp:inline>
        </w:drawing>
      </w:r>
    </w:p>
    <w:p w14:paraId="360FE979">
      <w:pPr>
        <w:pStyle w:val="53"/>
        <w:keepNext w:val="0"/>
        <w:keepLines w:val="0"/>
        <w:pageBreakBefore w:val="0"/>
        <w:widowControl w:val="0"/>
        <w:numPr>
          <w:ilvl w:val="0"/>
          <w:numId w:val="33"/>
        </w:numPr>
        <w:kinsoku/>
        <w:wordWrap/>
        <w:overflowPunct/>
        <w:topLinePunct w:val="0"/>
        <w:autoSpaceDE/>
        <w:autoSpaceDN/>
        <w:bidi w:val="0"/>
        <w:adjustRightInd/>
        <w:snapToGrid/>
        <w:spacing w:line="400" w:lineRule="exact"/>
        <w:ind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地面停车分布</w:t>
      </w:r>
    </w:p>
    <w:p w14:paraId="1B7C8CF1">
      <w:pPr>
        <w:keepNext w:val="0"/>
        <w:keepLines w:val="0"/>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达到层进设置网约车、公交及特殊车辆通道，其中公交车：2个站台，2个车位，马路对侧2个车位，共4个，放在远测；出租车：一字长排，放在近侧。如下图所示：</w:t>
      </w:r>
    </w:p>
    <w:p w14:paraId="1437C60E">
      <w:pPr>
        <w:ind w:left="480" w:firstLine="0" w:firstLineChars="0"/>
        <w:rPr>
          <w:rFonts w:hint="eastAsia" w:ascii="宋体" w:hAnsi="宋体" w:eastAsia="宋体" w:cs="宋体"/>
          <w:szCs w:val="24"/>
          <w:highlight w:val="none"/>
        </w:rPr>
      </w:pPr>
      <w:r>
        <w:rPr>
          <w:rFonts w:hint="eastAsia" w:ascii="宋体" w:hAnsi="宋体" w:eastAsia="宋体" w:cs="宋体"/>
          <w:highlight w:val="none"/>
        </w:rPr>
        <w:drawing>
          <wp:inline distT="0" distB="0" distL="0" distR="0">
            <wp:extent cx="5274310" cy="2392045"/>
            <wp:effectExtent l="0" t="0" r="254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5"/>
                    <a:stretch>
                      <a:fillRect/>
                    </a:stretch>
                  </pic:blipFill>
                  <pic:spPr>
                    <a:xfrm>
                      <a:off x="0" y="0"/>
                      <a:ext cx="5274310" cy="2392045"/>
                    </a:xfrm>
                    <a:prstGeom prst="rect">
                      <a:avLst/>
                    </a:prstGeom>
                  </pic:spPr>
                </pic:pic>
              </a:graphicData>
            </a:graphic>
          </wp:inline>
        </w:drawing>
      </w:r>
    </w:p>
    <w:p w14:paraId="3AB5CC05">
      <w:pPr>
        <w:keepNext w:val="0"/>
        <w:keepLines w:val="0"/>
        <w:pageBreakBefore w:val="0"/>
        <w:widowControl w:val="0"/>
        <w:kinsoku/>
        <w:wordWrap/>
        <w:overflowPunct/>
        <w:topLinePunct w:val="0"/>
        <w:autoSpaceDE/>
        <w:autoSpaceDN/>
        <w:bidi w:val="0"/>
        <w:adjustRightInd/>
        <w:snapToGrid/>
        <w:spacing w:line="400" w:lineRule="atLeas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网约车设置在远端停车区，乘客到达层需要直接走到停车区上车，不少网约车外面接单（从业司机透露非忙时1：1），或正对到达出口上客方便，容易拥堵；无单独照明，共享停车场设置，5个充电车位。如下图所示：</w:t>
      </w:r>
    </w:p>
    <w:p w14:paraId="6B60B9D9">
      <w:pPr>
        <w:ind w:left="480" w:firstLine="0" w:firstLineChars="0"/>
        <w:rPr>
          <w:rFonts w:hint="eastAsia" w:ascii="宋体" w:hAnsi="宋体" w:eastAsia="宋体" w:cs="宋体"/>
          <w:szCs w:val="24"/>
          <w:highlight w:val="none"/>
        </w:rPr>
      </w:pPr>
      <w:r>
        <w:rPr>
          <w:rFonts w:hint="eastAsia" w:ascii="宋体" w:hAnsi="宋体" w:eastAsia="宋体" w:cs="宋体"/>
          <w:highlight w:val="none"/>
        </w:rPr>
        <w:drawing>
          <wp:inline distT="0" distB="0" distL="0" distR="0">
            <wp:extent cx="5200650" cy="31432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6"/>
                    <a:stretch>
                      <a:fillRect/>
                    </a:stretch>
                  </pic:blipFill>
                  <pic:spPr>
                    <a:xfrm>
                      <a:off x="0" y="0"/>
                      <a:ext cx="5200917" cy="3143412"/>
                    </a:xfrm>
                    <a:prstGeom prst="rect">
                      <a:avLst/>
                    </a:prstGeom>
                  </pic:spPr>
                </pic:pic>
              </a:graphicData>
            </a:graphic>
          </wp:inline>
        </w:drawing>
      </w:r>
    </w:p>
    <w:p w14:paraId="78C6B87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出租车蓄车：可排3列，每列12车，从到达层排队可排37个左右，累计73个车位。出行通道：3列并一列，出入口人工指挥。通道出租和公交共享通行。如下图所示：</w:t>
      </w:r>
    </w:p>
    <w:p w14:paraId="7A9F5FCE">
      <w:pPr>
        <w:ind w:left="480" w:firstLine="0" w:firstLineChars="0"/>
        <w:rPr>
          <w:rFonts w:hint="eastAsia" w:ascii="宋体" w:hAnsi="宋体" w:eastAsia="宋体" w:cs="宋体"/>
          <w:szCs w:val="24"/>
          <w:highlight w:val="none"/>
        </w:rPr>
      </w:pPr>
      <w:r>
        <w:rPr>
          <w:rFonts w:hint="eastAsia" w:ascii="宋体" w:hAnsi="宋体" w:eastAsia="宋体" w:cs="宋体"/>
          <w:highlight w:val="none"/>
        </w:rPr>
        <w:drawing>
          <wp:inline distT="0" distB="0" distL="0" distR="0">
            <wp:extent cx="4883150" cy="3378200"/>
            <wp:effectExtent l="0" t="0" r="12700" b="1270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7"/>
                    <a:stretch>
                      <a:fillRect/>
                    </a:stretch>
                  </pic:blipFill>
                  <pic:spPr>
                    <a:xfrm>
                      <a:off x="0" y="0"/>
                      <a:ext cx="4883401" cy="3378374"/>
                    </a:xfrm>
                    <a:prstGeom prst="rect">
                      <a:avLst/>
                    </a:prstGeom>
                  </pic:spPr>
                </pic:pic>
              </a:graphicData>
            </a:graphic>
          </wp:inline>
        </w:drawing>
      </w:r>
    </w:p>
    <w:p w14:paraId="4F2B530D">
      <w:pPr>
        <w:pStyle w:val="53"/>
        <w:keepNext w:val="0"/>
        <w:keepLines w:val="0"/>
        <w:pageBreakBefore w:val="0"/>
        <w:widowControl w:val="0"/>
        <w:numPr>
          <w:ilvl w:val="0"/>
          <w:numId w:val="33"/>
        </w:numPr>
        <w:kinsoku/>
        <w:wordWrap/>
        <w:overflowPunct/>
        <w:topLinePunct w:val="0"/>
        <w:autoSpaceDE/>
        <w:autoSpaceDN/>
        <w:bidi w:val="0"/>
        <w:adjustRightInd/>
        <w:snapToGrid/>
        <w:spacing w:line="400" w:lineRule="exact"/>
        <w:ind w:left="0" w:firstLine="420" w:firstLineChars="200"/>
        <w:jc w:val="left"/>
        <w:textAlignment w:val="auto"/>
        <w:rPr>
          <w:rFonts w:hint="eastAsia" w:ascii="宋体" w:hAnsi="宋体" w:eastAsia="宋体" w:cs="宋体"/>
          <w:szCs w:val="24"/>
          <w:highlight w:val="none"/>
        </w:rPr>
      </w:pPr>
      <w:r>
        <w:rPr>
          <w:rFonts w:hint="eastAsia" w:ascii="宋体" w:hAnsi="宋体" w:eastAsia="宋体" w:cs="宋体"/>
          <w:szCs w:val="24"/>
          <w:highlight w:val="none"/>
        </w:rPr>
        <w:t>车辆停放数量及车辆乘客使用占比分析</w:t>
      </w:r>
    </w:p>
    <w:p w14:paraId="4C1E053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调研团队基于当日的出租车和网约车停靠时间和数量，以及乘客的选择进行了现场统计，如下：</w:t>
      </w:r>
    </w:p>
    <w:tbl>
      <w:tblPr>
        <w:tblStyle w:val="35"/>
        <w:tblW w:w="0" w:type="auto"/>
        <w:tblInd w:w="4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3"/>
        <w:gridCol w:w="2596"/>
        <w:gridCol w:w="2597"/>
      </w:tblGrid>
      <w:tr w14:paraId="280DA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tcPr>
          <w:p w14:paraId="36BC0E77">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时间</w:t>
            </w:r>
          </w:p>
        </w:tc>
        <w:tc>
          <w:tcPr>
            <w:tcW w:w="2596" w:type="dxa"/>
          </w:tcPr>
          <w:p w14:paraId="6783B721">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出租车等待数量</w:t>
            </w:r>
          </w:p>
        </w:tc>
        <w:tc>
          <w:tcPr>
            <w:tcW w:w="2597" w:type="dxa"/>
          </w:tcPr>
          <w:p w14:paraId="43156D44">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网约车等待数量</w:t>
            </w:r>
          </w:p>
        </w:tc>
      </w:tr>
      <w:tr w14:paraId="2516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tcPr>
          <w:p w14:paraId="2E19DF3D">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9:50</w:t>
            </w:r>
          </w:p>
        </w:tc>
        <w:tc>
          <w:tcPr>
            <w:tcW w:w="2596" w:type="dxa"/>
          </w:tcPr>
          <w:p w14:paraId="3195F5C3">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53</w:t>
            </w:r>
          </w:p>
        </w:tc>
        <w:tc>
          <w:tcPr>
            <w:tcW w:w="2597" w:type="dxa"/>
          </w:tcPr>
          <w:p w14:paraId="61020212">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18</w:t>
            </w:r>
          </w:p>
        </w:tc>
      </w:tr>
      <w:tr w14:paraId="4B208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tcPr>
          <w:p w14:paraId="632C422F">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10:30</w:t>
            </w:r>
          </w:p>
        </w:tc>
        <w:tc>
          <w:tcPr>
            <w:tcW w:w="2596" w:type="dxa"/>
          </w:tcPr>
          <w:p w14:paraId="33F3EE59">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50</w:t>
            </w:r>
          </w:p>
        </w:tc>
        <w:tc>
          <w:tcPr>
            <w:tcW w:w="2597" w:type="dxa"/>
          </w:tcPr>
          <w:p w14:paraId="300BAE0A">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17</w:t>
            </w:r>
          </w:p>
        </w:tc>
      </w:tr>
      <w:tr w14:paraId="36068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tcPr>
          <w:p w14:paraId="3A5DEFF1">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15:45</w:t>
            </w:r>
          </w:p>
        </w:tc>
        <w:tc>
          <w:tcPr>
            <w:tcW w:w="2596" w:type="dxa"/>
          </w:tcPr>
          <w:p w14:paraId="40CABFC0">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20</w:t>
            </w:r>
          </w:p>
        </w:tc>
        <w:tc>
          <w:tcPr>
            <w:tcW w:w="2597" w:type="dxa"/>
          </w:tcPr>
          <w:p w14:paraId="3D2B025D">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34</w:t>
            </w:r>
          </w:p>
        </w:tc>
      </w:tr>
      <w:tr w14:paraId="54837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tcPr>
          <w:p w14:paraId="3458D2C3">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16:40</w:t>
            </w:r>
          </w:p>
        </w:tc>
        <w:tc>
          <w:tcPr>
            <w:tcW w:w="2596" w:type="dxa"/>
          </w:tcPr>
          <w:p w14:paraId="4E9A4FF1">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7</w:t>
            </w:r>
          </w:p>
        </w:tc>
        <w:tc>
          <w:tcPr>
            <w:tcW w:w="2597" w:type="dxa"/>
          </w:tcPr>
          <w:p w14:paraId="10F9A6DF">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14</w:t>
            </w:r>
          </w:p>
        </w:tc>
      </w:tr>
      <w:tr w14:paraId="56D1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3" w:type="dxa"/>
          </w:tcPr>
          <w:p w14:paraId="5255B887">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19:00</w:t>
            </w:r>
          </w:p>
        </w:tc>
        <w:tc>
          <w:tcPr>
            <w:tcW w:w="2596" w:type="dxa"/>
          </w:tcPr>
          <w:p w14:paraId="3D94F606">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53</w:t>
            </w:r>
          </w:p>
        </w:tc>
        <w:tc>
          <w:tcPr>
            <w:tcW w:w="2597" w:type="dxa"/>
          </w:tcPr>
          <w:p w14:paraId="16AF1C00">
            <w:pPr>
              <w:ind w:firstLine="0" w:firstLineChars="0"/>
              <w:rPr>
                <w:rFonts w:hint="eastAsia" w:ascii="宋体" w:hAnsi="宋体" w:eastAsia="宋体" w:cs="宋体"/>
                <w:szCs w:val="24"/>
                <w:highlight w:val="none"/>
              </w:rPr>
            </w:pPr>
            <w:r>
              <w:rPr>
                <w:rFonts w:hint="eastAsia" w:ascii="宋体" w:hAnsi="宋体" w:eastAsia="宋体" w:cs="宋体"/>
                <w:szCs w:val="24"/>
                <w:highlight w:val="none"/>
              </w:rPr>
              <w:t>47</w:t>
            </w:r>
          </w:p>
        </w:tc>
      </w:tr>
    </w:tbl>
    <w:p w14:paraId="4BCAA4C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整体上看，出租车使用总占比略大于网约车。</w:t>
      </w:r>
    </w:p>
    <w:p w14:paraId="381F443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Cs w:val="24"/>
          <w:highlight w:val="none"/>
        </w:rPr>
      </w:pPr>
      <w:r>
        <w:rPr>
          <w:rFonts w:hint="eastAsia" w:ascii="宋体" w:hAnsi="宋体" w:eastAsia="宋体" w:cs="宋体"/>
          <w:szCs w:val="24"/>
          <w:highlight w:val="none"/>
        </w:rPr>
        <w:t>根据流量普查，结果如下：</w:t>
      </w:r>
    </w:p>
    <w:tbl>
      <w:tblPr>
        <w:tblStyle w:val="34"/>
        <w:tblW w:w="0" w:type="auto"/>
        <w:tblInd w:w="195" w:type="dxa"/>
        <w:tblLayout w:type="autofit"/>
        <w:tblCellMar>
          <w:top w:w="0" w:type="dxa"/>
          <w:left w:w="108" w:type="dxa"/>
          <w:bottom w:w="0" w:type="dxa"/>
          <w:right w:w="108" w:type="dxa"/>
        </w:tblCellMar>
      </w:tblPr>
      <w:tblGrid>
        <w:gridCol w:w="1536"/>
        <w:gridCol w:w="2908"/>
        <w:gridCol w:w="4015"/>
      </w:tblGrid>
      <w:tr w14:paraId="2569F1E5">
        <w:tblPrEx>
          <w:tblCellMar>
            <w:top w:w="0" w:type="dxa"/>
            <w:left w:w="108" w:type="dxa"/>
            <w:bottom w:w="0" w:type="dxa"/>
            <w:right w:w="108" w:type="dxa"/>
          </w:tblCellMar>
        </w:tblPrEx>
        <w:trPr>
          <w:trHeight w:val="727" w:hRule="atLeast"/>
        </w:trPr>
        <w:tc>
          <w:tcPr>
            <w:tcW w:w="1536" w:type="dxa"/>
            <w:vMerge w:val="restart"/>
            <w:tcBorders>
              <w:top w:val="single" w:color="000000" w:sz="4" w:space="0"/>
              <w:left w:val="single" w:color="000000" w:sz="4" w:space="0"/>
              <w:bottom w:val="single" w:color="000000" w:sz="4" w:space="0"/>
              <w:right w:val="single" w:color="000000" w:sz="4" w:space="0"/>
            </w:tcBorders>
            <w:shd w:val="clear" w:color="auto" w:fill="D9D9D9"/>
            <w:vAlign w:val="center"/>
          </w:tcPr>
          <w:p w14:paraId="22891CD2">
            <w:pPr>
              <w:widowControl/>
              <w:ind w:firstLine="0" w:firstLineChars="0"/>
              <w:jc w:val="center"/>
              <w:textAlignment w:val="center"/>
              <w:rPr>
                <w:rFonts w:hint="eastAsia" w:ascii="宋体" w:hAnsi="宋体" w:eastAsia="宋体" w:cs="宋体"/>
                <w:b/>
                <w:bCs/>
                <w:color w:val="000000"/>
                <w:szCs w:val="24"/>
                <w:highlight w:val="none"/>
              </w:rPr>
            </w:pPr>
            <w:r>
              <w:rPr>
                <w:rFonts w:hint="eastAsia" w:ascii="宋体" w:hAnsi="宋体" w:eastAsia="宋体" w:cs="宋体"/>
                <w:b/>
                <w:bCs/>
                <w:color w:val="000000"/>
                <w:kern w:val="0"/>
                <w:szCs w:val="24"/>
                <w:highlight w:val="none"/>
                <w:lang w:bidi="ar"/>
              </w:rPr>
              <w:t>统计时间</w:t>
            </w:r>
          </w:p>
        </w:tc>
        <w:tc>
          <w:tcPr>
            <w:tcW w:w="2908"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1235D2A">
            <w:pPr>
              <w:widowControl/>
              <w:ind w:firstLine="0" w:firstLineChars="0"/>
              <w:jc w:val="center"/>
              <w:textAlignment w:val="center"/>
              <w:rPr>
                <w:rFonts w:hint="eastAsia" w:ascii="宋体" w:hAnsi="宋体" w:eastAsia="宋体" w:cs="宋体"/>
                <w:b/>
                <w:bCs/>
                <w:color w:val="000000"/>
                <w:szCs w:val="24"/>
                <w:highlight w:val="none"/>
              </w:rPr>
            </w:pPr>
            <w:r>
              <w:rPr>
                <w:rFonts w:hint="eastAsia" w:ascii="宋体" w:hAnsi="宋体" w:eastAsia="宋体" w:cs="宋体"/>
                <w:b/>
                <w:bCs/>
                <w:color w:val="000000"/>
                <w:kern w:val="0"/>
                <w:szCs w:val="24"/>
                <w:highlight w:val="none"/>
                <w:lang w:bidi="ar"/>
              </w:rPr>
              <w:t>2023.11.28</w:t>
            </w:r>
          </w:p>
        </w:tc>
        <w:tc>
          <w:tcPr>
            <w:tcW w:w="4015"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44B9C290">
            <w:pPr>
              <w:widowControl/>
              <w:ind w:firstLine="0" w:firstLineChars="0"/>
              <w:jc w:val="center"/>
              <w:textAlignment w:val="center"/>
              <w:rPr>
                <w:rFonts w:hint="eastAsia" w:ascii="宋体" w:hAnsi="宋体" w:eastAsia="宋体" w:cs="宋体"/>
                <w:b/>
                <w:bCs/>
                <w:color w:val="000000"/>
                <w:szCs w:val="24"/>
                <w:highlight w:val="none"/>
              </w:rPr>
            </w:pPr>
            <w:r>
              <w:rPr>
                <w:rFonts w:hint="eastAsia" w:ascii="宋体" w:hAnsi="宋体" w:eastAsia="宋体" w:cs="宋体"/>
                <w:b/>
                <w:bCs/>
                <w:color w:val="000000"/>
                <w:kern w:val="0"/>
                <w:szCs w:val="24"/>
                <w:highlight w:val="none"/>
                <w:lang w:bidi="ar"/>
              </w:rPr>
              <w:t>2023.11.28</w:t>
            </w:r>
          </w:p>
        </w:tc>
      </w:tr>
      <w:tr w14:paraId="5EDBD487">
        <w:tblPrEx>
          <w:tblCellMar>
            <w:top w:w="0" w:type="dxa"/>
            <w:left w:w="108" w:type="dxa"/>
            <w:bottom w:w="0" w:type="dxa"/>
            <w:right w:w="108" w:type="dxa"/>
          </w:tblCellMar>
        </w:tblPrEx>
        <w:trPr>
          <w:trHeight w:val="352"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D9D9D9"/>
            <w:vAlign w:val="center"/>
          </w:tcPr>
          <w:p w14:paraId="6C71AC7D">
            <w:pPr>
              <w:ind w:firstLine="482"/>
              <w:jc w:val="center"/>
              <w:rPr>
                <w:rFonts w:hint="eastAsia" w:ascii="宋体" w:hAnsi="宋体" w:eastAsia="宋体" w:cs="宋体"/>
                <w:b/>
                <w:bCs/>
                <w:color w:val="000000"/>
                <w:szCs w:val="24"/>
                <w:highlight w:val="none"/>
              </w:rPr>
            </w:pPr>
          </w:p>
        </w:tc>
        <w:tc>
          <w:tcPr>
            <w:tcW w:w="2908"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5FF3307E">
            <w:pPr>
              <w:widowControl/>
              <w:ind w:firstLine="0" w:firstLineChars="0"/>
              <w:jc w:val="center"/>
              <w:textAlignment w:val="center"/>
              <w:rPr>
                <w:rFonts w:hint="eastAsia" w:ascii="宋体" w:hAnsi="宋体" w:eastAsia="宋体" w:cs="宋体"/>
                <w:b/>
                <w:bCs/>
                <w:color w:val="000000"/>
                <w:szCs w:val="24"/>
                <w:highlight w:val="none"/>
              </w:rPr>
            </w:pPr>
            <w:r>
              <w:rPr>
                <w:rFonts w:hint="eastAsia" w:ascii="宋体" w:hAnsi="宋体" w:eastAsia="宋体" w:cs="宋体"/>
                <w:b/>
                <w:bCs/>
                <w:color w:val="000000"/>
                <w:kern w:val="0"/>
                <w:szCs w:val="24"/>
                <w:highlight w:val="none"/>
                <w:lang w:bidi="ar"/>
              </w:rPr>
              <w:t>15：45—16：45</w:t>
            </w:r>
          </w:p>
        </w:tc>
        <w:tc>
          <w:tcPr>
            <w:tcW w:w="4015" w:type="dxa"/>
            <w:tcBorders>
              <w:top w:val="single" w:color="000000" w:sz="4" w:space="0"/>
              <w:left w:val="single" w:color="000000" w:sz="4" w:space="0"/>
              <w:bottom w:val="single" w:color="000000" w:sz="4" w:space="0"/>
              <w:right w:val="single" w:color="000000" w:sz="4" w:space="0"/>
            </w:tcBorders>
            <w:shd w:val="clear" w:color="auto" w:fill="D9D9D9"/>
            <w:vAlign w:val="center"/>
          </w:tcPr>
          <w:p w14:paraId="0F983FFF">
            <w:pPr>
              <w:widowControl/>
              <w:ind w:firstLine="0" w:firstLineChars="0"/>
              <w:jc w:val="center"/>
              <w:textAlignment w:val="center"/>
              <w:rPr>
                <w:rFonts w:hint="eastAsia" w:ascii="宋体" w:hAnsi="宋体" w:eastAsia="宋体" w:cs="宋体"/>
                <w:b/>
                <w:bCs/>
                <w:color w:val="000000"/>
                <w:szCs w:val="24"/>
                <w:highlight w:val="none"/>
              </w:rPr>
            </w:pPr>
            <w:r>
              <w:rPr>
                <w:rFonts w:hint="eastAsia" w:ascii="宋体" w:hAnsi="宋体" w:eastAsia="宋体" w:cs="宋体"/>
                <w:b/>
                <w:bCs/>
                <w:color w:val="000000"/>
                <w:kern w:val="0"/>
                <w:szCs w:val="24"/>
                <w:highlight w:val="none"/>
                <w:lang w:bidi="ar"/>
              </w:rPr>
              <w:t>19：00——20：20</w:t>
            </w:r>
          </w:p>
        </w:tc>
      </w:tr>
      <w:tr w14:paraId="7BA0B7E7">
        <w:tblPrEx>
          <w:tblCellMar>
            <w:top w:w="0" w:type="dxa"/>
            <w:left w:w="108" w:type="dxa"/>
            <w:bottom w:w="0" w:type="dxa"/>
            <w:right w:w="108" w:type="dxa"/>
          </w:tblCellMar>
        </w:tblPrEx>
        <w:trPr>
          <w:trHeight w:val="352" w:hRule="atLeast"/>
        </w:trPr>
        <w:tc>
          <w:tcPr>
            <w:tcW w:w="1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753668">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航班数量</w:t>
            </w:r>
          </w:p>
        </w:tc>
        <w:tc>
          <w:tcPr>
            <w:tcW w:w="29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B4F4D1">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3</w:t>
            </w:r>
          </w:p>
        </w:tc>
        <w:tc>
          <w:tcPr>
            <w:tcW w:w="40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20E93E">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6</w:t>
            </w:r>
          </w:p>
        </w:tc>
      </w:tr>
      <w:tr w14:paraId="379F838A">
        <w:tblPrEx>
          <w:tblCellMar>
            <w:top w:w="0" w:type="dxa"/>
            <w:left w:w="108" w:type="dxa"/>
            <w:bottom w:w="0" w:type="dxa"/>
            <w:right w:w="108" w:type="dxa"/>
          </w:tblCellMar>
        </w:tblPrEx>
        <w:trPr>
          <w:trHeight w:val="1473" w:hRule="atLeast"/>
        </w:trPr>
        <w:tc>
          <w:tcPr>
            <w:tcW w:w="153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FBC0497">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航班信息</w:t>
            </w:r>
          </w:p>
        </w:tc>
        <w:tc>
          <w:tcPr>
            <w:tcW w:w="29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08EF72">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CZ8616太原-义乌</w:t>
            </w:r>
          </w:p>
        </w:tc>
        <w:tc>
          <w:tcPr>
            <w:tcW w:w="401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0D6B30B">
            <w:pPr>
              <w:widowControl/>
              <w:ind w:firstLine="0" w:firstLineChars="0"/>
              <w:jc w:val="center"/>
              <w:textAlignment w:val="top"/>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CZ5124三亚-揭阳-义乌MF1931广州-义乌CZ5910珠海-义乌GY7249成都-义乌KN5909北京-义乌CZ8521沈阳-义乌</w:t>
            </w:r>
          </w:p>
        </w:tc>
      </w:tr>
      <w:tr w14:paraId="6AEF590B">
        <w:tblPrEx>
          <w:tblCellMar>
            <w:top w:w="0" w:type="dxa"/>
            <w:left w:w="108" w:type="dxa"/>
            <w:bottom w:w="0" w:type="dxa"/>
            <w:right w:w="108" w:type="dxa"/>
          </w:tblCellMar>
        </w:tblPrEx>
        <w:trPr>
          <w:trHeight w:val="352"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D86171A">
            <w:pPr>
              <w:ind w:firstLine="480"/>
              <w:jc w:val="center"/>
              <w:rPr>
                <w:rFonts w:hint="eastAsia" w:ascii="宋体" w:hAnsi="宋体" w:eastAsia="宋体" w:cs="宋体"/>
                <w:color w:val="000000"/>
                <w:szCs w:val="24"/>
                <w:highlight w:val="none"/>
              </w:rPr>
            </w:pPr>
          </w:p>
        </w:tc>
        <w:tc>
          <w:tcPr>
            <w:tcW w:w="29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3135B6">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MF1873广州-义乌</w:t>
            </w:r>
          </w:p>
        </w:tc>
        <w:tc>
          <w:tcPr>
            <w:tcW w:w="401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6E644EF">
            <w:pPr>
              <w:ind w:firstLine="480"/>
              <w:jc w:val="center"/>
              <w:rPr>
                <w:rFonts w:hint="eastAsia" w:ascii="宋体" w:hAnsi="宋体" w:eastAsia="宋体" w:cs="宋体"/>
                <w:color w:val="000000"/>
                <w:szCs w:val="24"/>
                <w:highlight w:val="none"/>
              </w:rPr>
            </w:pPr>
          </w:p>
        </w:tc>
      </w:tr>
      <w:tr w14:paraId="54412E93">
        <w:tblPrEx>
          <w:tblCellMar>
            <w:top w:w="0" w:type="dxa"/>
            <w:left w:w="108" w:type="dxa"/>
            <w:bottom w:w="0" w:type="dxa"/>
            <w:right w:w="108" w:type="dxa"/>
          </w:tblCellMar>
        </w:tblPrEx>
        <w:trPr>
          <w:trHeight w:val="352" w:hRule="atLeast"/>
        </w:trPr>
        <w:tc>
          <w:tcPr>
            <w:tcW w:w="153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B37DB20">
            <w:pPr>
              <w:ind w:firstLine="480"/>
              <w:jc w:val="center"/>
              <w:rPr>
                <w:rFonts w:hint="eastAsia" w:ascii="宋体" w:hAnsi="宋体" w:eastAsia="宋体" w:cs="宋体"/>
                <w:color w:val="000000"/>
                <w:szCs w:val="24"/>
                <w:highlight w:val="none"/>
              </w:rPr>
            </w:pPr>
          </w:p>
        </w:tc>
        <w:tc>
          <w:tcPr>
            <w:tcW w:w="29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DE5CA1">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CZ8960北京-义乌</w:t>
            </w:r>
          </w:p>
        </w:tc>
        <w:tc>
          <w:tcPr>
            <w:tcW w:w="401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9445A8">
            <w:pPr>
              <w:ind w:firstLine="480"/>
              <w:jc w:val="center"/>
              <w:rPr>
                <w:rFonts w:hint="eastAsia" w:ascii="宋体" w:hAnsi="宋体" w:eastAsia="宋体" w:cs="宋体"/>
                <w:color w:val="000000"/>
                <w:szCs w:val="24"/>
                <w:highlight w:val="none"/>
              </w:rPr>
            </w:pPr>
          </w:p>
        </w:tc>
      </w:tr>
      <w:tr w14:paraId="4C6B0DF8">
        <w:tblPrEx>
          <w:tblCellMar>
            <w:top w:w="0" w:type="dxa"/>
            <w:left w:w="108" w:type="dxa"/>
            <w:bottom w:w="0" w:type="dxa"/>
            <w:right w:w="108" w:type="dxa"/>
          </w:tblCellMar>
        </w:tblPrEx>
        <w:trPr>
          <w:trHeight w:val="352" w:hRule="atLeast"/>
        </w:trPr>
        <w:tc>
          <w:tcPr>
            <w:tcW w:w="1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A490A5">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出租车</w:t>
            </w:r>
          </w:p>
        </w:tc>
        <w:tc>
          <w:tcPr>
            <w:tcW w:w="29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E0294">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24辆次/36人次</w:t>
            </w:r>
          </w:p>
        </w:tc>
        <w:tc>
          <w:tcPr>
            <w:tcW w:w="40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C5AC2D">
            <w:pPr>
              <w:widowControl/>
              <w:ind w:firstLine="0" w:firstLineChars="0"/>
              <w:jc w:val="center"/>
              <w:textAlignment w:val="top"/>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64辆次/101人次</w:t>
            </w:r>
          </w:p>
        </w:tc>
      </w:tr>
      <w:tr w14:paraId="10B94643">
        <w:tblPrEx>
          <w:tblCellMar>
            <w:top w:w="0" w:type="dxa"/>
            <w:left w:w="108" w:type="dxa"/>
            <w:bottom w:w="0" w:type="dxa"/>
            <w:right w:w="108" w:type="dxa"/>
          </w:tblCellMar>
        </w:tblPrEx>
        <w:trPr>
          <w:trHeight w:val="352" w:hRule="atLeast"/>
        </w:trPr>
        <w:tc>
          <w:tcPr>
            <w:tcW w:w="1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03B1D8">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网约车出行</w:t>
            </w:r>
          </w:p>
        </w:tc>
        <w:tc>
          <w:tcPr>
            <w:tcW w:w="29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CA81A3">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27辆次/37人次</w:t>
            </w:r>
          </w:p>
        </w:tc>
        <w:tc>
          <w:tcPr>
            <w:tcW w:w="40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DC1FB5">
            <w:pPr>
              <w:widowControl/>
              <w:ind w:firstLine="0" w:firstLineChars="0"/>
              <w:jc w:val="center"/>
              <w:textAlignment w:val="top"/>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75辆次/98人次</w:t>
            </w:r>
          </w:p>
        </w:tc>
      </w:tr>
      <w:tr w14:paraId="44FC7578">
        <w:tblPrEx>
          <w:tblCellMar>
            <w:top w:w="0" w:type="dxa"/>
            <w:left w:w="108" w:type="dxa"/>
            <w:bottom w:w="0" w:type="dxa"/>
            <w:right w:w="108" w:type="dxa"/>
          </w:tblCellMar>
        </w:tblPrEx>
        <w:trPr>
          <w:trHeight w:val="363" w:hRule="atLeast"/>
        </w:trPr>
        <w:tc>
          <w:tcPr>
            <w:tcW w:w="153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C93435">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私家车出行</w:t>
            </w:r>
          </w:p>
        </w:tc>
        <w:tc>
          <w:tcPr>
            <w:tcW w:w="2908"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E4B41C">
            <w:pPr>
              <w:widowControl/>
              <w:ind w:firstLine="0" w:firstLineChars="0"/>
              <w:jc w:val="center"/>
              <w:textAlignment w:val="center"/>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64辆次/64人次</w:t>
            </w:r>
          </w:p>
        </w:tc>
        <w:tc>
          <w:tcPr>
            <w:tcW w:w="4015"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DE94BA">
            <w:pPr>
              <w:widowControl/>
              <w:ind w:firstLine="0" w:firstLineChars="0"/>
              <w:jc w:val="center"/>
              <w:textAlignment w:val="top"/>
              <w:rPr>
                <w:rFonts w:hint="eastAsia" w:ascii="宋体" w:hAnsi="宋体" w:eastAsia="宋体" w:cs="宋体"/>
                <w:color w:val="000000"/>
                <w:szCs w:val="24"/>
                <w:highlight w:val="none"/>
              </w:rPr>
            </w:pPr>
            <w:r>
              <w:rPr>
                <w:rFonts w:hint="eastAsia" w:ascii="宋体" w:hAnsi="宋体" w:eastAsia="宋体" w:cs="宋体"/>
                <w:color w:val="000000"/>
                <w:kern w:val="0"/>
                <w:szCs w:val="24"/>
                <w:highlight w:val="none"/>
                <w:lang w:bidi="ar"/>
              </w:rPr>
              <w:t>153两次/153人次</w:t>
            </w:r>
          </w:p>
        </w:tc>
      </w:tr>
    </w:tbl>
    <w:p w14:paraId="24334487">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根据上述推论，私家车人数均是1人1车，出租车和网约车一般为多人一车。从人数占比看，出租车和网约车使用占比占总乘客人数的30%左右。基本符合本项目模型初设的出租车占比依据。</w:t>
      </w:r>
    </w:p>
    <w:p w14:paraId="5DD8B0E7">
      <w:pPr>
        <w:pStyle w:val="53"/>
        <w:pageBreakBefore w:val="0"/>
        <w:widowControl w:val="0"/>
        <w:numPr>
          <w:ilvl w:val="0"/>
          <w:numId w:val="33"/>
        </w:numPr>
        <w:kinsoku/>
        <w:wordWrap/>
        <w:overflowPunct/>
        <w:topLinePunct w:val="0"/>
        <w:autoSpaceDE/>
        <w:autoSpaceDN/>
        <w:bidi w:val="0"/>
        <w:adjustRightInd/>
        <w:snapToGrid/>
        <w:spacing w:line="400" w:lineRule="exact"/>
        <w:ind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其他地区机场短途里程</w:t>
      </w:r>
    </w:p>
    <w:p w14:paraId="5D078128">
      <w:pPr>
        <w:pageBreakBefore w:val="0"/>
        <w:widowControl w:val="0"/>
        <w:kinsoku/>
        <w:wordWrap/>
        <w:overflowPunct/>
        <w:topLinePunct w:val="0"/>
        <w:autoSpaceDE/>
        <w:autoSpaceDN/>
        <w:bidi w:val="0"/>
        <w:adjustRightInd/>
        <w:snapToGrid/>
        <w:spacing w:line="400" w:lineRule="exact"/>
        <w:ind w:firstLine="480" w:firstLineChars="0"/>
        <w:textAlignment w:val="auto"/>
        <w:rPr>
          <w:rFonts w:hint="eastAsia" w:ascii="宋体" w:hAnsi="宋体" w:eastAsia="宋体" w:cs="宋体"/>
          <w:szCs w:val="24"/>
          <w:highlight w:val="none"/>
        </w:rPr>
      </w:pPr>
      <w:r>
        <w:rPr>
          <w:rFonts w:hint="eastAsia" w:ascii="宋体" w:hAnsi="宋体" w:eastAsia="宋体" w:cs="宋体"/>
          <w:szCs w:val="24"/>
          <w:highlight w:val="none"/>
        </w:rPr>
        <w:t>浦东机场设定短途快速通行里程为15公里；首都机场原来是10公里，现为20公里；深圳机场15公里；</w:t>
      </w:r>
    </w:p>
    <w:p w14:paraId="03F2C350">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考虑到台州机场的规模和地区位置，本项目模型通过初始化计算倒退7.5公里以内算短途，也是符合行业认可范围。</w:t>
      </w:r>
    </w:p>
    <w:p w14:paraId="133B772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基于上述说明，因此本项目的功能模块包括：</w:t>
      </w:r>
    </w:p>
    <w:p w14:paraId="6B560720">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数学逻辑建模</w:t>
      </w:r>
    </w:p>
    <w:p w14:paraId="5E5C442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建设基于出租车决策研判的科学逻辑算法数学模型。</w:t>
      </w:r>
    </w:p>
    <w:p w14:paraId="14B0150B">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模型初始化</w:t>
      </w:r>
    </w:p>
    <w:p w14:paraId="4223FE4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基于数据模型及台州机场的实际符合情况，配置和梳理初始化数据参数。</w:t>
      </w:r>
    </w:p>
    <w:p w14:paraId="79DF5F08">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动态模型开发</w:t>
      </w:r>
    </w:p>
    <w:p w14:paraId="094DA34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基于数据模型的软件代码开发形成软件计算框架。</w:t>
      </w:r>
    </w:p>
    <w:p w14:paraId="027EA24F">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可视化参数模型界面</w:t>
      </w:r>
    </w:p>
    <w:p w14:paraId="4F25624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基于可视化的动态关联参数的调整页面，能够通过直观地调整参数及动态影响参数的信息反馈。</w:t>
      </w:r>
    </w:p>
    <w:p w14:paraId="68390741">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调度自优化评估系统管理</w:t>
      </w:r>
    </w:p>
    <w:p w14:paraId="6ED82CF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调度自优化评估系统是在基于出租车决策模型计算后的基础上采取的动态调整的模型。</w:t>
      </w:r>
    </w:p>
    <w:p w14:paraId="7640FBB4">
      <w:pPr>
        <w:pageBreakBefore w:val="0"/>
        <w:widowControl w:val="0"/>
        <w:numPr>
          <w:ilvl w:val="0"/>
          <w:numId w:val="34"/>
        </w:numPr>
        <w:kinsoku/>
        <w:wordWrap/>
        <w:overflowPunct/>
        <w:topLinePunct w:val="0"/>
        <w:autoSpaceDE/>
        <w:autoSpaceDN/>
        <w:bidi w:val="0"/>
        <w:adjustRightInd/>
        <w:snapToGrid/>
        <w:spacing w:line="400" w:lineRule="exact"/>
        <w:ind w:left="420" w:leftChars="200" w:firstLineChars="0"/>
        <w:textAlignment w:val="auto"/>
        <w:rPr>
          <w:rFonts w:hint="eastAsia" w:ascii="宋体" w:hAnsi="宋体" w:eastAsia="宋体" w:cs="宋体"/>
          <w:b/>
          <w:bCs/>
          <w:highlight w:val="none"/>
        </w:rPr>
      </w:pPr>
      <w:r>
        <w:rPr>
          <w:rFonts w:hint="eastAsia" w:ascii="宋体" w:hAnsi="宋体" w:eastAsia="宋体" w:cs="宋体"/>
          <w:b/>
          <w:bCs/>
          <w:highlight w:val="none"/>
        </w:rPr>
        <w:t>实现出租车收益均衡化的自优化评估。</w:t>
      </w:r>
    </w:p>
    <w:p w14:paraId="360526CC">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为了实现出租车收益的均衡化，对机场短途载客且再次返回机场载客的出租车，由于其单位时间所获得的收益明显小于一般机场搭载相对长途乘客的收益，为了公平起见，需要给予优先排队的权限，以便使得这类司机累计单位时间的平均收益与其他司机保持均衡。</w:t>
      </w:r>
    </w:p>
    <w:p w14:paraId="7EAE241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系统支持计算当日当前实时载客平均收益；支持计算历史每日平均载客收益值。</w:t>
      </w:r>
    </w:p>
    <w:p w14:paraId="79AA96B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系统支持动态设置平均载客权益比重作为临界值。</w:t>
      </w:r>
    </w:p>
    <w:p w14:paraId="2064ABBF">
      <w:pPr>
        <w:pageBreakBefore w:val="0"/>
        <w:widowControl w:val="0"/>
        <w:numPr>
          <w:ilvl w:val="0"/>
          <w:numId w:val="35"/>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基于空车放行补偿的优化</w:t>
      </w:r>
    </w:p>
    <w:p w14:paraId="511D79F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当前初始化设置下，机场等待接单的效益是高于放空回城的效率，但随着运行过程中参数的调整，届时可能出现空车放行的收益率高于机场等待接单的效率，因此对之前选择机场等待接单的司机给予优先通行权限。</w:t>
      </w:r>
    </w:p>
    <w:p w14:paraId="72DC6EF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该优化需要获取司机订单信息。</w:t>
      </w:r>
    </w:p>
    <w:p w14:paraId="0D9AC897">
      <w:pPr>
        <w:pageBreakBefore w:val="0"/>
        <w:widowControl w:val="0"/>
        <w:numPr>
          <w:ilvl w:val="0"/>
          <w:numId w:val="35"/>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根据里程的优先放行</w:t>
      </w:r>
    </w:p>
    <w:p w14:paraId="060DF2E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highlight w:val="none"/>
        </w:rPr>
        <w:t>在初始条件下，选择前一日平均载客收益的75%，作为优先权管理的临界值。本项目中台州机场</w:t>
      </w:r>
      <w:r>
        <w:rPr>
          <w:rFonts w:hint="eastAsia" w:ascii="宋体" w:hAnsi="宋体" w:eastAsia="宋体" w:cs="宋体"/>
          <w:szCs w:val="24"/>
          <w:highlight w:val="none"/>
        </w:rPr>
        <w:t>距离路桥区10公里，距离台州市区16公里，因此可以初设平均载运距离及占比分布如下所示：</w:t>
      </w:r>
    </w:p>
    <w:p w14:paraId="602BEAD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距离1：15公里，占比65%</w:t>
      </w:r>
    </w:p>
    <w:p w14:paraId="0FDD4E6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距离2：8公里，占比25%</w:t>
      </w:r>
    </w:p>
    <w:p w14:paraId="381517B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距离3：3公里，占比10%</w:t>
      </w:r>
    </w:p>
    <w:p w14:paraId="1C3B829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因此，当前机场出租车的k1收益的初始设置值为：</w:t>
      </w:r>
    </w:p>
    <w:p w14:paraId="320E0D7C">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k1=0.65*(3.45*15-7.75)/(0.25+15/40)+0.25*(2.2*8-3)/(0.25+8/40)+0.1*(2.2*3-3)/(0.25+3/40)=54.98元/小时，R</w:t>
      </w:r>
      <w:r>
        <w:rPr>
          <w:rFonts w:hint="eastAsia" w:ascii="宋体" w:hAnsi="宋体" w:eastAsia="宋体" w:cs="宋体"/>
          <w:highlight w:val="none"/>
          <w:vertAlign w:val="subscript"/>
        </w:rPr>
        <w:t>临界值</w:t>
      </w:r>
      <w:r>
        <w:rPr>
          <w:rFonts w:hint="eastAsia" w:ascii="宋体" w:hAnsi="宋体" w:eastAsia="宋体" w:cs="宋体"/>
          <w:highlight w:val="none"/>
        </w:rPr>
        <w:t>为54.98*0.75=41.235元/小时。</w:t>
      </w:r>
    </w:p>
    <w:p w14:paraId="6028291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即当行驶里程不满足7.5公里时，低于平均收益效率，优先对车辆进行设置优先通行。</w:t>
      </w:r>
    </w:p>
    <w:p w14:paraId="7FBCFF10">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在本项目中即计算本次进入蓄车池的时间与离开上客区的时间差在0.375小时以内，进行优先放行。</w:t>
      </w:r>
    </w:p>
    <w:p w14:paraId="1092135C">
      <w:pPr>
        <w:pageBreakBefore w:val="0"/>
        <w:widowControl w:val="0"/>
        <w:numPr>
          <w:ilvl w:val="0"/>
          <w:numId w:val="35"/>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根据当前蓄车排队情况的优先级放行</w:t>
      </w:r>
    </w:p>
    <w:p w14:paraId="4EFD5E5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根据上文计算推论，平均出租车驶离蓄车区到接客离场的平均时间μ</w:t>
      </w:r>
      <w:r>
        <w:rPr>
          <w:rFonts w:hint="eastAsia" w:ascii="宋体" w:hAnsi="宋体" w:eastAsia="宋体" w:cs="宋体"/>
          <w:highlight w:val="none"/>
          <w:vertAlign w:val="subscript"/>
        </w:rPr>
        <w:t>0</w:t>
      </w:r>
      <w:r>
        <w:rPr>
          <w:rFonts w:hint="eastAsia" w:ascii="宋体" w:hAnsi="宋体" w:eastAsia="宋体" w:cs="宋体"/>
          <w:highlight w:val="none"/>
        </w:rPr>
        <w:t>为2分钟，进入蓄车区的车辆的等待时间t</w:t>
      </w:r>
      <w:r>
        <w:rPr>
          <w:rFonts w:hint="eastAsia" w:ascii="宋体" w:hAnsi="宋体" w:eastAsia="宋体" w:cs="宋体"/>
          <w:highlight w:val="none"/>
          <w:vertAlign w:val="subscript"/>
        </w:rPr>
        <w:t>等</w:t>
      </w:r>
      <w:r>
        <w:rPr>
          <w:rFonts w:hint="eastAsia" w:ascii="宋体" w:hAnsi="宋体" w:eastAsia="宋体" w:cs="宋体"/>
          <w:highlight w:val="none"/>
        </w:rPr>
        <w:t>=μ</w:t>
      </w:r>
      <w:r>
        <w:rPr>
          <w:rFonts w:hint="eastAsia" w:ascii="宋体" w:hAnsi="宋体" w:eastAsia="宋体" w:cs="宋体"/>
          <w:highlight w:val="none"/>
          <w:vertAlign w:val="subscript"/>
        </w:rPr>
        <w:t>0*</w:t>
      </w:r>
      <w:r>
        <w:rPr>
          <w:rFonts w:hint="eastAsia" w:ascii="宋体" w:hAnsi="宋体" w:eastAsia="宋体" w:cs="宋体"/>
          <w:highlight w:val="none"/>
        </w:rPr>
        <w:t>m，相较于统计值为减去0.25小时，其中m为在当前出租车前面的系统即将放行的车辆数，即进入蓄车区的车辆在单通道通行的时候会额外增加的T</w:t>
      </w:r>
      <w:r>
        <w:rPr>
          <w:rFonts w:hint="eastAsia" w:ascii="宋体" w:hAnsi="宋体" w:eastAsia="宋体" w:cs="宋体"/>
          <w:highlight w:val="none"/>
          <w:vertAlign w:val="subscript"/>
        </w:rPr>
        <w:t>等</w:t>
      </w:r>
      <w:r>
        <w:rPr>
          <w:rFonts w:hint="eastAsia" w:ascii="宋体" w:hAnsi="宋体" w:eastAsia="宋体" w:cs="宋体"/>
          <w:highlight w:val="none"/>
        </w:rPr>
        <w:t>-0.25小时等待时长，系统应在计算75%收益率的时候，对进行补充t</w:t>
      </w:r>
      <w:r>
        <w:rPr>
          <w:rFonts w:hint="eastAsia" w:ascii="宋体" w:hAnsi="宋体" w:eastAsia="宋体" w:cs="宋体"/>
          <w:highlight w:val="none"/>
          <w:vertAlign w:val="subscript"/>
        </w:rPr>
        <w:t>等</w:t>
      </w:r>
      <w:r>
        <w:rPr>
          <w:rFonts w:hint="eastAsia" w:ascii="宋体" w:hAnsi="宋体" w:eastAsia="宋体" w:cs="宋体"/>
          <w:highlight w:val="none"/>
        </w:rPr>
        <w:t>计算。</w:t>
      </w:r>
    </w:p>
    <w:p w14:paraId="691989C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t</w:t>
      </w:r>
      <w:r>
        <w:rPr>
          <w:rFonts w:hint="eastAsia" w:ascii="宋体" w:hAnsi="宋体" w:eastAsia="宋体" w:cs="宋体"/>
          <w:highlight w:val="none"/>
          <w:vertAlign w:val="subscript"/>
        </w:rPr>
        <w:t>等</w:t>
      </w:r>
      <w:r>
        <w:rPr>
          <w:rFonts w:hint="eastAsia" w:ascii="宋体" w:hAnsi="宋体" w:eastAsia="宋体" w:cs="宋体"/>
          <w:highlight w:val="none"/>
        </w:rPr>
        <w:t>=μ</w:t>
      </w:r>
      <w:r>
        <w:rPr>
          <w:rFonts w:hint="eastAsia" w:ascii="宋体" w:hAnsi="宋体" w:eastAsia="宋体" w:cs="宋体"/>
          <w:highlight w:val="none"/>
          <w:vertAlign w:val="subscript"/>
        </w:rPr>
        <w:t>0*</w:t>
      </w:r>
      <w:r>
        <w:rPr>
          <w:rFonts w:hint="eastAsia" w:ascii="宋体" w:hAnsi="宋体" w:eastAsia="宋体" w:cs="宋体"/>
          <w:highlight w:val="none"/>
        </w:rPr>
        <w:t>m；当前等待人数大于车辆数。</w:t>
      </w:r>
    </w:p>
    <w:p w14:paraId="13C82E8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t</w:t>
      </w:r>
      <w:r>
        <w:rPr>
          <w:rFonts w:hint="eastAsia" w:ascii="宋体" w:hAnsi="宋体" w:eastAsia="宋体" w:cs="宋体"/>
          <w:highlight w:val="none"/>
          <w:vertAlign w:val="subscript"/>
        </w:rPr>
        <w:t>等</w:t>
      </w:r>
      <w:r>
        <w:rPr>
          <w:rFonts w:hint="eastAsia" w:ascii="宋体" w:hAnsi="宋体" w:eastAsia="宋体" w:cs="宋体"/>
          <w:highlight w:val="none"/>
        </w:rPr>
        <w:t>=μ</w:t>
      </w:r>
      <w:r>
        <w:rPr>
          <w:rFonts w:hint="eastAsia" w:ascii="宋体" w:hAnsi="宋体" w:eastAsia="宋体" w:cs="宋体"/>
          <w:highlight w:val="none"/>
          <w:vertAlign w:val="subscript"/>
        </w:rPr>
        <w:t>0*</w:t>
      </w:r>
      <w:r>
        <w:rPr>
          <w:rFonts w:hint="eastAsia" w:ascii="宋体" w:hAnsi="宋体" w:eastAsia="宋体" w:cs="宋体"/>
          <w:highlight w:val="none"/>
        </w:rPr>
        <w:t>m+0.5小时；当前已无航班情况下。</w:t>
      </w:r>
    </w:p>
    <w:p w14:paraId="01AEB01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即在初次计算时虽然车辆上一次行程超过了7.5公里，应使用如下公式进行补充计算：</w:t>
      </w:r>
    </w:p>
    <w:p w14:paraId="25A6262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k1=(3.45x-7.75)/(0.25+x/40+T</w:t>
      </w:r>
      <w:r>
        <w:rPr>
          <w:rFonts w:hint="eastAsia" w:ascii="宋体" w:hAnsi="宋体" w:eastAsia="宋体" w:cs="宋体"/>
          <w:highlight w:val="none"/>
          <w:vertAlign w:val="subscript"/>
        </w:rPr>
        <w:t>等</w:t>
      </w:r>
      <w:r>
        <w:rPr>
          <w:rFonts w:hint="eastAsia" w:ascii="宋体" w:hAnsi="宋体" w:eastAsia="宋体" w:cs="宋体"/>
          <w:highlight w:val="none"/>
        </w:rPr>
        <w:t>)，当该数值小于41.235元/小时，时也将该车辆纳入快速通行放行。</w:t>
      </w:r>
    </w:p>
    <w:p w14:paraId="721301DB">
      <w:pPr>
        <w:pageBreakBefore w:val="0"/>
        <w:widowControl w:val="0"/>
        <w:numPr>
          <w:ilvl w:val="0"/>
          <w:numId w:val="35"/>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根据上次蓄车的动态补偿放行</w:t>
      </w:r>
    </w:p>
    <w:p w14:paraId="5E3B354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基于上文计算，</w:t>
      </w:r>
      <w:r>
        <w:rPr>
          <w:rFonts w:hint="eastAsia" w:ascii="宋体" w:hAnsi="宋体" w:eastAsia="宋体" w:cs="宋体"/>
          <w:szCs w:val="24"/>
          <w:highlight w:val="none"/>
        </w:rPr>
        <w:t>出租车平均等待时间T</w:t>
      </w:r>
      <w:r>
        <w:rPr>
          <w:rFonts w:hint="eastAsia" w:ascii="宋体" w:hAnsi="宋体" w:eastAsia="宋体" w:cs="宋体"/>
          <w:szCs w:val="24"/>
          <w:highlight w:val="none"/>
          <w:vertAlign w:val="subscript"/>
        </w:rPr>
        <w:t>0</w:t>
      </w:r>
      <w:r>
        <w:rPr>
          <w:rFonts w:hint="eastAsia" w:ascii="宋体" w:hAnsi="宋体" w:eastAsia="宋体" w:cs="宋体"/>
          <w:szCs w:val="24"/>
          <w:highlight w:val="none"/>
        </w:rPr>
        <w:t>为0.25小时，但实际蓄车等待的时间可能有上下偏差，因此对上次的平均收益k1也有影响，因此在计算k1时需要对时间进行补偿计算。</w:t>
      </w:r>
    </w:p>
    <w:p w14:paraId="2077D56A">
      <w:pPr>
        <w:pageBreakBefore w:val="0"/>
        <w:widowControl w:val="0"/>
        <w:numPr>
          <w:ilvl w:val="0"/>
          <w:numId w:val="34"/>
        </w:numPr>
        <w:kinsoku/>
        <w:wordWrap/>
        <w:overflowPunct/>
        <w:topLinePunct w:val="0"/>
        <w:autoSpaceDE/>
        <w:autoSpaceDN/>
        <w:bidi w:val="0"/>
        <w:adjustRightInd/>
        <w:snapToGrid/>
        <w:spacing w:line="400" w:lineRule="exact"/>
        <w:ind w:left="420" w:leftChars="200" w:firstLineChars="0"/>
        <w:textAlignment w:val="auto"/>
        <w:rPr>
          <w:rFonts w:hint="eastAsia" w:ascii="宋体" w:hAnsi="宋体" w:eastAsia="宋体" w:cs="宋体"/>
          <w:b/>
          <w:bCs/>
          <w:highlight w:val="none"/>
        </w:rPr>
      </w:pPr>
      <w:r>
        <w:rPr>
          <w:rFonts w:hint="eastAsia" w:ascii="宋体" w:hAnsi="宋体" w:eastAsia="宋体" w:cs="宋体"/>
          <w:b/>
          <w:bCs/>
          <w:highlight w:val="none"/>
        </w:rPr>
        <w:t>车道设置和选择说明。</w:t>
      </w:r>
    </w:p>
    <w:p w14:paraId="3042F73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本项目出租车设置了9个蓄车道，分别编号为①②③④⑤⑥⑦⑧⑨，每个车道纵向排列14台车辆。</w:t>
      </w:r>
    </w:p>
    <w:p w14:paraId="141292D5">
      <w:pPr>
        <w:pageBreakBefore w:val="0"/>
        <w:widowControl w:val="0"/>
        <w:numPr>
          <w:ilvl w:val="0"/>
          <w:numId w:val="36"/>
        </w:numPr>
        <w:kinsoku/>
        <w:wordWrap/>
        <w:overflowPunct/>
        <w:topLinePunct w:val="0"/>
        <w:autoSpaceDE/>
        <w:autoSpaceDN/>
        <w:bidi w:val="0"/>
        <w:adjustRightInd/>
        <w:snapToGrid/>
        <w:spacing w:line="400" w:lineRule="exact"/>
        <w:ind w:firstLineChars="0"/>
        <w:textAlignment w:val="auto"/>
        <w:rPr>
          <w:rFonts w:hint="eastAsia" w:ascii="宋体" w:hAnsi="宋体" w:eastAsia="宋体" w:cs="宋体"/>
          <w:highlight w:val="none"/>
        </w:rPr>
      </w:pPr>
      <w:r>
        <w:rPr>
          <w:rFonts w:hint="eastAsia" w:ascii="宋体" w:hAnsi="宋体" w:eastAsia="宋体" w:cs="宋体"/>
          <w:highlight w:val="none"/>
        </w:rPr>
        <w:t>其中进场规则如下：</w:t>
      </w:r>
    </w:p>
    <w:p w14:paraId="2797C26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①车道提供两种车辆的快速通行选择，包括基于空车放行的出租车的快速通行，提供基于里程的上次通行收益小于设收益标准的50%的车辆快速通行；</w:t>
      </w:r>
    </w:p>
    <w:p w14:paraId="0409DF2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②车道提供基于补偿时间的上次通行收益小于设置50%的车辆快速通行；</w:t>
      </w:r>
    </w:p>
    <w:p w14:paraId="09C1DC8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③车道提供基于里程和基于补偿的上次通行收益在50%—75%之间的车辆快速通行；</w:t>
      </w:r>
    </w:p>
    <w:p w14:paraId="6D36750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④车道提供基于里程和基于补偿的上次通行收益在75%—100%之间的车辆通行；</w:t>
      </w:r>
    </w:p>
    <w:p w14:paraId="5D34275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⑤车道提供基于里程和基于补偿的上次通行收益在100%—150%之间的车辆通行。</w:t>
      </w:r>
    </w:p>
    <w:p w14:paraId="34D53AD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⑥-⑨车道提供其他车辆的排队，并按顺序依次进入；</w:t>
      </w:r>
    </w:p>
    <w:p w14:paraId="733F6A4D">
      <w:pPr>
        <w:pageBreakBefore w:val="0"/>
        <w:widowControl w:val="0"/>
        <w:numPr>
          <w:ilvl w:val="0"/>
          <w:numId w:val="36"/>
        </w:numPr>
        <w:kinsoku/>
        <w:wordWrap/>
        <w:overflowPunct/>
        <w:topLinePunct w:val="0"/>
        <w:autoSpaceDE/>
        <w:autoSpaceDN/>
        <w:bidi w:val="0"/>
        <w:adjustRightInd/>
        <w:snapToGrid/>
        <w:spacing w:line="400" w:lineRule="exact"/>
        <w:ind w:firstLineChars="0"/>
        <w:textAlignment w:val="auto"/>
        <w:rPr>
          <w:rFonts w:hint="eastAsia" w:ascii="宋体" w:hAnsi="宋体" w:eastAsia="宋体" w:cs="宋体"/>
          <w:highlight w:val="none"/>
        </w:rPr>
      </w:pPr>
      <w:r>
        <w:rPr>
          <w:rFonts w:hint="eastAsia" w:ascii="宋体" w:hAnsi="宋体" w:eastAsia="宋体" w:cs="宋体"/>
          <w:highlight w:val="none"/>
        </w:rPr>
        <w:t>车道之前的补偿顺序如下说明，补偿条件见第3小节：</w:t>
      </w:r>
    </w:p>
    <w:p w14:paraId="62DDF32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在⑥-⑨之间满足补偿条件，优先在⑥-⑨安排，当⑥-⑨满足无法补偿后，按照⑤④顺序依次补偿，⑤④顺序补偿满了后，再③补偿，③满了后，补偿②，②满了后补偿①。</w:t>
      </w:r>
    </w:p>
    <w:p w14:paraId="77C5D74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每个车道进行了补偿后，其补偿车辆之后的优先级与补偿后的优先级保持一致，前面排队的车辆的优先级不变。</w:t>
      </w:r>
    </w:p>
    <w:p w14:paraId="7BE10D9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等待①②③④有任一车道空置后，恢复该车道的快速通行规则。</w:t>
      </w:r>
    </w:p>
    <w:p w14:paraId="03D366A6">
      <w:pPr>
        <w:pageBreakBefore w:val="0"/>
        <w:widowControl w:val="0"/>
        <w:numPr>
          <w:ilvl w:val="0"/>
          <w:numId w:val="36"/>
        </w:numPr>
        <w:kinsoku/>
        <w:wordWrap/>
        <w:overflowPunct/>
        <w:topLinePunct w:val="0"/>
        <w:autoSpaceDE/>
        <w:autoSpaceDN/>
        <w:bidi w:val="0"/>
        <w:adjustRightInd/>
        <w:snapToGrid/>
        <w:spacing w:line="400" w:lineRule="exact"/>
        <w:ind w:firstLineChars="0"/>
        <w:textAlignment w:val="auto"/>
        <w:rPr>
          <w:rFonts w:hint="eastAsia" w:ascii="宋体" w:hAnsi="宋体" w:eastAsia="宋体" w:cs="宋体"/>
          <w:highlight w:val="none"/>
        </w:rPr>
      </w:pPr>
      <w:r>
        <w:rPr>
          <w:rFonts w:hint="eastAsia" w:ascii="宋体" w:hAnsi="宋体" w:eastAsia="宋体" w:cs="宋体"/>
          <w:highlight w:val="none"/>
        </w:rPr>
        <w:t>车道放行规则：</w:t>
      </w:r>
    </w:p>
    <w:p w14:paraId="6015AD7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①②③④为快速通道，⑤⑥⑦⑧⑨为普通通道，根据放行规则设置：</w:t>
      </w:r>
    </w:p>
    <w:p w14:paraId="3AACB32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标准放行：即没有补偿时的正常放行逻辑。规则如下：</w:t>
      </w:r>
    </w:p>
    <w:p w14:paraId="0E61C1D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①有车就放，当连续释放5辆车之后，等待全局一轮后，再次放行；</w:t>
      </w:r>
    </w:p>
    <w:p w14:paraId="5756842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②排在①车道之后，连续放行达到4辆车之后，等待全局一轮后，再次放行；</w:t>
      </w:r>
    </w:p>
    <w:p w14:paraId="2D18188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③排在②车道之后，连续放行达到3辆车之后，等待全局一轮后，再次放行；</w:t>
      </w:r>
    </w:p>
    <w:p w14:paraId="1072609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④排在③车道之后，连续放行达到2辆车之后，等待全局一轮后，再次放行；</w:t>
      </w:r>
    </w:p>
    <w:p w14:paraId="0EEF6CE0">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⑤⑥⑦⑧⑨依次1辆1辆放行。⑨放完后相当于完成一轮。</w:t>
      </w:r>
    </w:p>
    <w:p w14:paraId="12308AD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临界值放行：</w:t>
      </w:r>
    </w:p>
    <w:p w14:paraId="6B4A4BA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当某一车道的最后一辆车的t</w:t>
      </w:r>
      <w:r>
        <w:rPr>
          <w:rFonts w:hint="eastAsia" w:ascii="宋体" w:hAnsi="宋体" w:eastAsia="宋体" w:cs="宋体"/>
          <w:highlight w:val="none"/>
          <w:vertAlign w:val="subscript"/>
        </w:rPr>
        <w:t>等</w:t>
      </w:r>
      <w:r>
        <w:rPr>
          <w:rFonts w:hint="eastAsia" w:ascii="宋体" w:hAnsi="宋体" w:eastAsia="宋体" w:cs="宋体"/>
          <w:highlight w:val="none"/>
        </w:rPr>
        <w:t>时间达到了临界值，轮到该车道的放行车辆将启动持续放行，直至当前车道的最后一辆车t</w:t>
      </w:r>
      <w:r>
        <w:rPr>
          <w:rFonts w:hint="eastAsia" w:ascii="宋体" w:hAnsi="宋体" w:eastAsia="宋体" w:cs="宋体"/>
          <w:highlight w:val="none"/>
          <w:vertAlign w:val="subscript"/>
        </w:rPr>
        <w:t>等</w:t>
      </w:r>
      <w:r>
        <w:rPr>
          <w:rFonts w:hint="eastAsia" w:ascii="宋体" w:hAnsi="宋体" w:eastAsia="宋体" w:cs="宋体"/>
          <w:highlight w:val="none"/>
        </w:rPr>
        <w:t>低于临界值。该临界值规则仅限于对于⑤⑥⑦⑧规则。当全部车道都是普通车辆时，且全部达到临界值，优先从①-⑧顺序放行。</w:t>
      </w:r>
    </w:p>
    <w:p w14:paraId="1C45AD80">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当①②③④⑤⑥⑦⑧⑨全部停满时，系统计算哪个车道的排队优先级高的车辆数多优先放行当前车道。按5-4-3-2-1-1-1-1-1节奏释放，直到恢复正常。</w:t>
      </w:r>
    </w:p>
    <w:p w14:paraId="381DBAFA">
      <w:pPr>
        <w:pageBreakBefore w:val="0"/>
        <w:widowControl w:val="0"/>
        <w:numPr>
          <w:ilvl w:val="0"/>
          <w:numId w:val="36"/>
        </w:numPr>
        <w:kinsoku/>
        <w:wordWrap/>
        <w:overflowPunct/>
        <w:topLinePunct w:val="0"/>
        <w:autoSpaceDE/>
        <w:autoSpaceDN/>
        <w:bidi w:val="0"/>
        <w:adjustRightInd/>
        <w:snapToGrid/>
        <w:spacing w:line="400" w:lineRule="exact"/>
        <w:ind w:firstLineChars="0"/>
        <w:textAlignment w:val="auto"/>
        <w:rPr>
          <w:rFonts w:hint="eastAsia" w:ascii="宋体" w:hAnsi="宋体" w:eastAsia="宋体" w:cs="宋体"/>
          <w:highlight w:val="none"/>
        </w:rPr>
      </w:pPr>
      <w:r>
        <w:rPr>
          <w:rFonts w:hint="eastAsia" w:ascii="宋体" w:hAnsi="宋体" w:eastAsia="宋体" w:cs="宋体"/>
          <w:highlight w:val="none"/>
        </w:rPr>
        <w:t>实现蓄车区不足的补偿和优化规则说明。</w:t>
      </w:r>
    </w:p>
    <w:p w14:paraId="679ADA7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蓄车区在蓄车的同时，也应符合蓄车区管理的科学高效。因此在蓄车区车道放行的管理过程中，对蓄车区影响参数也至关重要，具体如下：</w:t>
      </w:r>
    </w:p>
    <w:p w14:paraId="3ABCED2A">
      <w:pPr>
        <w:pageBreakBefore w:val="0"/>
        <w:widowControl w:val="0"/>
        <w:numPr>
          <w:ilvl w:val="0"/>
          <w:numId w:val="37"/>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t</w:t>
      </w:r>
      <w:r>
        <w:rPr>
          <w:rFonts w:hint="eastAsia" w:ascii="宋体" w:hAnsi="宋体" w:eastAsia="宋体" w:cs="宋体"/>
          <w:highlight w:val="none"/>
          <w:vertAlign w:val="subscript"/>
        </w:rPr>
        <w:t>等</w:t>
      </w:r>
      <w:r>
        <w:rPr>
          <w:rFonts w:hint="eastAsia" w:ascii="宋体" w:hAnsi="宋体" w:eastAsia="宋体" w:cs="宋体"/>
          <w:highlight w:val="none"/>
        </w:rPr>
        <w:t>的临界值放行优化</w:t>
      </w:r>
    </w:p>
    <w:p w14:paraId="7CE3327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highlight w:val="none"/>
        </w:rPr>
        <w:t>处于蓄车道的出租车驶离蓄车道的时间为t</w:t>
      </w:r>
      <w:r>
        <w:rPr>
          <w:rFonts w:hint="eastAsia" w:ascii="宋体" w:hAnsi="宋体" w:eastAsia="宋体" w:cs="宋体"/>
          <w:highlight w:val="none"/>
          <w:vertAlign w:val="subscript"/>
        </w:rPr>
        <w:t>等，</w:t>
      </w:r>
      <w:r>
        <w:rPr>
          <w:rFonts w:hint="eastAsia" w:ascii="宋体" w:hAnsi="宋体" w:eastAsia="宋体" w:cs="宋体"/>
          <w:highlight w:val="none"/>
        </w:rPr>
        <w:t>t</w:t>
      </w:r>
      <w:r>
        <w:rPr>
          <w:rFonts w:hint="eastAsia" w:ascii="宋体" w:hAnsi="宋体" w:eastAsia="宋体" w:cs="宋体"/>
          <w:highlight w:val="none"/>
          <w:vertAlign w:val="subscript"/>
        </w:rPr>
        <w:t>等</w:t>
      </w:r>
      <w:r>
        <w:rPr>
          <w:rFonts w:hint="eastAsia" w:ascii="宋体" w:hAnsi="宋体" w:eastAsia="宋体" w:cs="宋体"/>
          <w:highlight w:val="none"/>
        </w:rPr>
        <w:t>是根据当前车道排队的车辆数+其他车道排在当前车辆前的车辆数合并计算而来。对于上文计算的平均等待时间</w:t>
      </w:r>
      <w:r>
        <w:rPr>
          <w:rFonts w:hint="eastAsia" w:ascii="宋体" w:hAnsi="宋体" w:eastAsia="宋体" w:cs="宋体"/>
          <w:szCs w:val="24"/>
          <w:highlight w:val="none"/>
        </w:rPr>
        <w:t>T</w:t>
      </w:r>
      <w:r>
        <w:rPr>
          <w:rFonts w:hint="eastAsia" w:ascii="宋体" w:hAnsi="宋体" w:eastAsia="宋体" w:cs="宋体"/>
          <w:szCs w:val="24"/>
          <w:highlight w:val="none"/>
          <w:vertAlign w:val="subscript"/>
        </w:rPr>
        <w:t>0</w:t>
      </w:r>
      <w:r>
        <w:rPr>
          <w:rFonts w:hint="eastAsia" w:ascii="宋体" w:hAnsi="宋体" w:eastAsia="宋体" w:cs="宋体"/>
          <w:szCs w:val="24"/>
          <w:highlight w:val="none"/>
        </w:rPr>
        <w:t>为0.25小时，因此设置</w:t>
      </w:r>
      <w:r>
        <w:rPr>
          <w:rFonts w:hint="eastAsia" w:ascii="宋体" w:hAnsi="宋体" w:eastAsia="宋体" w:cs="宋体"/>
          <w:highlight w:val="none"/>
        </w:rPr>
        <w:t>t</w:t>
      </w:r>
      <w:r>
        <w:rPr>
          <w:rFonts w:hint="eastAsia" w:ascii="宋体" w:hAnsi="宋体" w:eastAsia="宋体" w:cs="宋体"/>
          <w:highlight w:val="none"/>
          <w:vertAlign w:val="subscript"/>
        </w:rPr>
        <w:t>等</w:t>
      </w:r>
      <w:r>
        <w:rPr>
          <w:rFonts w:hint="eastAsia" w:ascii="宋体" w:hAnsi="宋体" w:eastAsia="宋体" w:cs="宋体"/>
          <w:highlight w:val="none"/>
        </w:rPr>
        <w:t>=</w:t>
      </w:r>
      <w:r>
        <w:rPr>
          <w:rFonts w:hint="eastAsia" w:ascii="宋体" w:hAnsi="宋体" w:eastAsia="宋体" w:cs="宋体"/>
          <w:szCs w:val="24"/>
          <w:highlight w:val="none"/>
        </w:rPr>
        <w:t>0.25+0.2小时为临界值。该临界值的余量可以通过系统设置。</w:t>
      </w:r>
    </w:p>
    <w:p w14:paraId="33148AC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szCs w:val="24"/>
          <w:highlight w:val="none"/>
        </w:rPr>
        <w:t>即当前蓄车道的最后一辆车的</w:t>
      </w:r>
      <w:r>
        <w:rPr>
          <w:rFonts w:hint="eastAsia" w:ascii="宋体" w:hAnsi="宋体" w:eastAsia="宋体" w:cs="宋体"/>
          <w:highlight w:val="none"/>
        </w:rPr>
        <w:t>t</w:t>
      </w:r>
      <w:r>
        <w:rPr>
          <w:rFonts w:hint="eastAsia" w:ascii="宋体" w:hAnsi="宋体" w:eastAsia="宋体" w:cs="宋体"/>
          <w:highlight w:val="none"/>
          <w:vertAlign w:val="subscript"/>
        </w:rPr>
        <w:t>等</w:t>
      </w:r>
      <w:r>
        <w:rPr>
          <w:rFonts w:hint="eastAsia" w:ascii="宋体" w:hAnsi="宋体" w:eastAsia="宋体" w:cs="宋体"/>
          <w:highlight w:val="none"/>
        </w:rPr>
        <w:t>=</w:t>
      </w:r>
      <w:r>
        <w:rPr>
          <w:rFonts w:hint="eastAsia" w:ascii="宋体" w:hAnsi="宋体" w:eastAsia="宋体" w:cs="宋体"/>
          <w:szCs w:val="24"/>
          <w:highlight w:val="none"/>
        </w:rPr>
        <w:t>0.25+0.2小时之后，当前车道不再进行额外蓄车。并提升当前车道的放行优先级，具体如上节所述。</w:t>
      </w:r>
    </w:p>
    <w:p w14:paraId="361DA687">
      <w:pPr>
        <w:pageBreakBefore w:val="0"/>
        <w:widowControl w:val="0"/>
        <w:numPr>
          <w:ilvl w:val="0"/>
          <w:numId w:val="37"/>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t</w:t>
      </w:r>
      <w:r>
        <w:rPr>
          <w:rFonts w:hint="eastAsia" w:ascii="宋体" w:hAnsi="宋体" w:eastAsia="宋体" w:cs="宋体"/>
          <w:highlight w:val="none"/>
          <w:vertAlign w:val="subscript"/>
        </w:rPr>
        <w:t>等</w:t>
      </w:r>
      <w:r>
        <w:rPr>
          <w:rFonts w:hint="eastAsia" w:ascii="宋体" w:hAnsi="宋体" w:eastAsia="宋体" w:cs="宋体"/>
          <w:highlight w:val="none"/>
        </w:rPr>
        <w:t>的动态全局计算优化</w:t>
      </w:r>
    </w:p>
    <w:p w14:paraId="2A8A4A8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动态更新当前全部车道的每辆车的t</w:t>
      </w:r>
      <w:r>
        <w:rPr>
          <w:rFonts w:hint="eastAsia" w:ascii="宋体" w:hAnsi="宋体" w:eastAsia="宋体" w:cs="宋体"/>
          <w:highlight w:val="none"/>
          <w:vertAlign w:val="subscript"/>
        </w:rPr>
        <w:t>等</w:t>
      </w:r>
      <w:r>
        <w:rPr>
          <w:rFonts w:hint="eastAsia" w:ascii="宋体" w:hAnsi="宋体" w:eastAsia="宋体" w:cs="宋体"/>
          <w:highlight w:val="none"/>
        </w:rPr>
        <w:t>的时间，对临时进入的车辆进行全局的更新，确保全部车辆的t</w:t>
      </w:r>
      <w:r>
        <w:rPr>
          <w:rFonts w:hint="eastAsia" w:ascii="宋体" w:hAnsi="宋体" w:eastAsia="宋体" w:cs="宋体"/>
          <w:highlight w:val="none"/>
          <w:vertAlign w:val="subscript"/>
        </w:rPr>
        <w:t>等</w:t>
      </w:r>
      <w:r>
        <w:rPr>
          <w:rFonts w:hint="eastAsia" w:ascii="宋体" w:hAnsi="宋体" w:eastAsia="宋体" w:cs="宋体"/>
          <w:highlight w:val="none"/>
        </w:rPr>
        <w:t>为最新时间。当数量过多且车道均在使用的情况下，对于蓄车道上占比最多的车辆的t</w:t>
      </w:r>
      <w:r>
        <w:rPr>
          <w:rFonts w:hint="eastAsia" w:ascii="宋体" w:hAnsi="宋体" w:eastAsia="宋体" w:cs="宋体"/>
          <w:highlight w:val="none"/>
          <w:vertAlign w:val="subscript"/>
        </w:rPr>
        <w:t>等</w:t>
      </w:r>
      <w:r>
        <w:rPr>
          <w:rFonts w:hint="eastAsia" w:ascii="宋体" w:hAnsi="宋体" w:eastAsia="宋体" w:cs="宋体"/>
          <w:highlight w:val="none"/>
        </w:rPr>
        <w:t>超过0.25+0.2小时后，且超出时间占比高的，对该车道提高优先级，实现优先放行。该优先级低于收益率优先级。即当前车道仅在⑤⑥⑦⑧⑨中进行优先放行（①②③④无普通车辆时）。</w:t>
      </w:r>
    </w:p>
    <w:p w14:paraId="165A13CF">
      <w:pPr>
        <w:pageBreakBefore w:val="0"/>
        <w:widowControl w:val="0"/>
        <w:numPr>
          <w:ilvl w:val="0"/>
          <w:numId w:val="34"/>
        </w:numPr>
        <w:kinsoku/>
        <w:wordWrap/>
        <w:overflowPunct/>
        <w:topLinePunct w:val="0"/>
        <w:autoSpaceDE/>
        <w:autoSpaceDN/>
        <w:bidi w:val="0"/>
        <w:adjustRightInd/>
        <w:snapToGrid/>
        <w:spacing w:line="400" w:lineRule="exact"/>
        <w:ind w:left="420" w:leftChars="200" w:firstLineChars="0"/>
        <w:textAlignment w:val="auto"/>
        <w:rPr>
          <w:rFonts w:hint="eastAsia" w:ascii="宋体" w:hAnsi="宋体" w:eastAsia="宋体" w:cs="宋体"/>
          <w:b/>
          <w:bCs/>
          <w:highlight w:val="none"/>
        </w:rPr>
      </w:pPr>
      <w:r>
        <w:rPr>
          <w:rFonts w:hint="eastAsia" w:ascii="宋体" w:hAnsi="宋体" w:eastAsia="宋体" w:cs="宋体"/>
          <w:b/>
          <w:bCs/>
          <w:highlight w:val="none"/>
        </w:rPr>
        <w:t>蓄车道放行和蓄车区停车场放行。</w:t>
      </w:r>
    </w:p>
    <w:p w14:paraId="18B69BD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由蓄车区停车场设计可知车辆进入是一辆一辆驶入蓄车车道；蓄车道的放行也是按照道闸顺序一辆一辆打开，放行的车辆会在蓄车区停车场出口处进行排队，等待站前上客点空位进行上客。</w:t>
      </w:r>
    </w:p>
    <w:p w14:paraId="3085E81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highlight w:val="none"/>
        </w:rPr>
        <w:t>在出口处的放行与蓄车区蓄车车道道闸同步放行的规则</w:t>
      </w:r>
      <w:r>
        <w:rPr>
          <w:rFonts w:hint="eastAsia" w:ascii="宋体" w:hAnsi="宋体" w:eastAsia="宋体" w:cs="宋体"/>
          <w:szCs w:val="24"/>
          <w:highlight w:val="none"/>
        </w:rPr>
        <w:t>，系统会根据实际运行情况动态调整同时上客数c以评估最优的T</w:t>
      </w:r>
      <w:r>
        <w:rPr>
          <w:rFonts w:hint="eastAsia" w:ascii="宋体" w:hAnsi="宋体" w:eastAsia="宋体" w:cs="宋体"/>
          <w:szCs w:val="24"/>
          <w:highlight w:val="none"/>
          <w:vertAlign w:val="subscript"/>
        </w:rPr>
        <w:t>0</w:t>
      </w:r>
      <w:r>
        <w:rPr>
          <w:rFonts w:hint="eastAsia" w:ascii="宋体" w:hAnsi="宋体" w:eastAsia="宋体" w:cs="宋体"/>
          <w:szCs w:val="24"/>
          <w:highlight w:val="none"/>
        </w:rPr>
        <w:t>时间，根据到达层上客点共11个车位，因此实现按照一车一放的方式，可以等候上客区上客位为空的时候连续放行11辆。在等待如果有车，但是地磁空闲状态一直没有更新1分钟，采取放行地磁空置1分钟的数量的车辆数。</w:t>
      </w:r>
    </w:p>
    <w:p w14:paraId="1C268C4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在系统运行初始阶段，建议配合音柱提醒和人工在蓄车停车场出口处和站前到达层进行指引服务，随着系统运行稳定和司机适应了之后，可以逐步取消蓄车停车场出口处的人工指引。</w:t>
      </w:r>
    </w:p>
    <w:p w14:paraId="0DE087A4">
      <w:pPr>
        <w:pageBreakBefore w:val="0"/>
        <w:widowControl w:val="0"/>
        <w:numPr>
          <w:ilvl w:val="0"/>
          <w:numId w:val="34"/>
        </w:numPr>
        <w:kinsoku/>
        <w:wordWrap/>
        <w:overflowPunct/>
        <w:topLinePunct w:val="0"/>
        <w:autoSpaceDE/>
        <w:autoSpaceDN/>
        <w:bidi w:val="0"/>
        <w:adjustRightInd/>
        <w:snapToGrid/>
        <w:spacing w:line="400" w:lineRule="exact"/>
        <w:ind w:left="420" w:leftChars="200" w:firstLineChars="0"/>
        <w:textAlignment w:val="auto"/>
        <w:rPr>
          <w:rFonts w:hint="eastAsia" w:ascii="宋体" w:hAnsi="宋体" w:eastAsia="宋体" w:cs="宋体"/>
          <w:b/>
          <w:bCs/>
          <w:highlight w:val="none"/>
        </w:rPr>
      </w:pPr>
      <w:r>
        <w:rPr>
          <w:rFonts w:hint="eastAsia" w:ascii="宋体" w:hAnsi="宋体" w:eastAsia="宋体" w:cs="宋体"/>
          <w:b/>
          <w:bCs/>
          <w:highlight w:val="none"/>
        </w:rPr>
        <w:t>自优化评估模式调整。</w:t>
      </w:r>
    </w:p>
    <w:p w14:paraId="79C05E1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本项目建设内容支持基于自优化放行逻辑的参数可控可调，系统支持两种模式的自动调整，分别为系统自适应调整和人工关键参数调整。</w:t>
      </w:r>
    </w:p>
    <w:p w14:paraId="63E77FEF">
      <w:pPr>
        <w:pageBreakBefore w:val="0"/>
        <w:widowControl w:val="0"/>
        <w:numPr>
          <w:ilvl w:val="0"/>
          <w:numId w:val="38"/>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自适应调整是根据系统自动捕捉全场车辆和道闸及机场动态信息进行的自动计算临界时间和临界的收益情况。</w:t>
      </w:r>
    </w:p>
    <w:p w14:paraId="4323E856">
      <w:pPr>
        <w:pageBreakBefore w:val="0"/>
        <w:widowControl w:val="0"/>
        <w:numPr>
          <w:ilvl w:val="0"/>
          <w:numId w:val="38"/>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人工参数调整，可以根据上述经计算的关键指标，可以直接设置临界短距离公里、时效收益边界值、临界超长等待时间等参数。给予上述参数可以反向进行优先级放行的配置。</w:t>
      </w:r>
    </w:p>
    <w:p w14:paraId="5395166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Cs w:val="24"/>
          <w:highlight w:val="none"/>
        </w:rPr>
      </w:pPr>
      <w:r>
        <w:rPr>
          <w:rFonts w:hint="eastAsia" w:ascii="宋体" w:hAnsi="宋体" w:eastAsia="宋体" w:cs="宋体"/>
          <w:szCs w:val="24"/>
          <w:highlight w:val="none"/>
        </w:rPr>
        <w:t>基于上述说明，本项目该模块实现的功能包括如下：</w:t>
      </w:r>
    </w:p>
    <w:p w14:paraId="1988CA6E">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收益均衡评估设置</w:t>
      </w:r>
    </w:p>
    <w:p w14:paraId="2FCA981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对出租车收益的选择进行系统化的评估建模，建设评判依据和收益均衡评估规则。</w:t>
      </w:r>
    </w:p>
    <w:p w14:paraId="0A3A1BDA">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收益评估模型开发</w:t>
      </w:r>
    </w:p>
    <w:p w14:paraId="724B3E1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对收益平衡规则进行代码的开发形成软件计算框架。</w:t>
      </w:r>
    </w:p>
    <w:p w14:paraId="4B9974D5">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车道初始化规则设置</w:t>
      </w:r>
    </w:p>
    <w:p w14:paraId="5923FB0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对收益均衡初始化参数依据进行梳理和配置。</w:t>
      </w:r>
    </w:p>
    <w:p w14:paraId="5462FC3C">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蓄车区放行规则设置</w:t>
      </w:r>
    </w:p>
    <w:p w14:paraId="747373D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基于台州机场蓄车区和蓄车区车道的功能，进行配置和逻辑设计以及对应的软件开发。</w:t>
      </w:r>
    </w:p>
    <w:p w14:paraId="0C2F19F5">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可视化调控页面</w:t>
      </w:r>
    </w:p>
    <w:p w14:paraId="0603776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建设可视化放行规则调控和收益均衡评估的调整页面，能够实现动态的调整和全局结果的同步变更。</w:t>
      </w:r>
    </w:p>
    <w:p w14:paraId="4E07F152">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蓄车管理</w:t>
      </w:r>
    </w:p>
    <w:p w14:paraId="21C1C74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主要实现对蓄车场的停放和排队等候区的实时情况的查看，能够实现对接监控系统实时画面的查看，显示当前每个蓄车道的车辆等候情况，能够对蓄车道启用、停用进行管理，对具体车辆的排队情况进行详情查看。</w:t>
      </w:r>
    </w:p>
    <w:p w14:paraId="2205FB1B">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可视化蓄车实况</w:t>
      </w:r>
    </w:p>
    <w:p w14:paraId="5A7F034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对蓄车区每个车道进行可视化呈现，对车道属性，车辆数量进行直观地呈现，对接道闸系统，可以精准识别每个车的排队位置，并能够支持车辆的详情查看。</w:t>
      </w:r>
    </w:p>
    <w:p w14:paraId="55AD13FB">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蓄车信息统计</w:t>
      </w:r>
    </w:p>
    <w:p w14:paraId="6BE45A9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对蓄车的情况信息统计包括进出时间、排队时间等信息。</w:t>
      </w:r>
    </w:p>
    <w:p w14:paraId="3273A3CD">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放行管理</w:t>
      </w:r>
    </w:p>
    <w:p w14:paraId="195FC69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车道的排队情况和优先级情况，可以自动放行出租车进行接客排队，对排队区已排队已满的情况进行车辆通行管制，限制出租车放行；对优先级进行手动管理，开启指定道闸进行排队，临时手动的开放不会影响系统放行逻辑。仍保持原计算逻辑。</w:t>
      </w:r>
    </w:p>
    <w:p w14:paraId="0A53586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放行的车辆可以在蓄车区出口处进行二次等候，等待上客点车位逐渐离场后进行批量放行。</w:t>
      </w:r>
    </w:p>
    <w:p w14:paraId="3A72C8A0">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在放行管理可以设置蓄车区道闸放行的余量，主要是蓄车区最后道闸前放行车数量，或与上客区车位余量。</w:t>
      </w:r>
    </w:p>
    <w:p w14:paraId="608762DD">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放行台账</w:t>
      </w:r>
    </w:p>
    <w:p w14:paraId="44E88FB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根据优先级配置的放行逻辑，记录每次出租车放行的节点信息，包括两次道闸离场的时间。</w:t>
      </w:r>
    </w:p>
    <w:p w14:paraId="28DEAB70">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放行干预</w:t>
      </w:r>
    </w:p>
    <w:p w14:paraId="0163AB80">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可以人为调整放行逻辑，实现手动对车道的放行，也实现对二次出场的道闸放行。</w:t>
      </w:r>
    </w:p>
    <w:p w14:paraId="67B70FBC">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放行配置</w:t>
      </w:r>
    </w:p>
    <w:p w14:paraId="74E38F0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对两次道闸放行关系进行配置，包括上客区余量设置，二次道闸出口余量等信息配置。</w:t>
      </w:r>
    </w:p>
    <w:p w14:paraId="58F26B16">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放行信息联动</w:t>
      </w:r>
    </w:p>
    <w:p w14:paraId="670314B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与达到层道闸联动，对放行车辆设置动态临时通行权限。</w:t>
      </w:r>
    </w:p>
    <w:p w14:paraId="7C3E95A1">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蓄车放行提醒管理</w:t>
      </w:r>
    </w:p>
    <w:p w14:paraId="07FF49F0">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可以对停车场内广播系统进行信息发布。</w:t>
      </w:r>
    </w:p>
    <w:p w14:paraId="67C426D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对接优先级管理模型，在出租车进场第一时间，识别出租车排队情况，引导出租车放送到指定的蓄车队列中。</w:t>
      </w:r>
    </w:p>
    <w:p w14:paraId="6B122DB0">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蓄车记录与等候分析</w:t>
      </w:r>
    </w:p>
    <w:p w14:paraId="336FAC4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显示历史出租车蓄车记录信息，能够精确到每条记录详情，包括等候时长、所在车道、上一次排队时间等，支持多种方式的信息查询，并给出历史等候时长、历史接单、当天接单等统计信息。</w:t>
      </w:r>
    </w:p>
    <w:p w14:paraId="5E300211">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蓄车记录</w:t>
      </w:r>
    </w:p>
    <w:p w14:paraId="72CC38D0">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提供全时期的蓄车放行记录信息台站，支持多维度的搜索和查看，包括按时间段、按车辆等，合并全过程节点，能够一表总览历史接单。</w:t>
      </w:r>
    </w:p>
    <w:p w14:paraId="1FAC8052">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行为分析</w:t>
      </w:r>
    </w:p>
    <w:p w14:paraId="37C38DE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根据历史接单行为，提供行为分析可视化图表，包括蓄车偏好、时间分布、日期分布、耗时、效率、频次、车道使用效率等信息，能够关联航班信息进行关联信息查看，也能根据统计指标按照大小进行查看。</w:t>
      </w:r>
    </w:p>
    <w:p w14:paraId="64278EAA">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公交大巴车管理调度功能</w:t>
      </w:r>
    </w:p>
    <w:p w14:paraId="5C98EEFE">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公交信息发布</w:t>
      </w:r>
    </w:p>
    <w:p w14:paraId="72155AF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通过与公交车调度系统实现对接，实现对机场公交班线信息采集，同时对执行班线的公交车辆信息进行采集，并同步电子站牌进行关联，将预设的站点线路信息向电子站牌进行投送，能够根据实际的班线信息动态调整电子站牌的显示内容，并根据公交车大巴车实际情况进行分屏展示，显示大巴车信息。</w:t>
      </w:r>
    </w:p>
    <w:p w14:paraId="384EB322">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班线信息登录</w:t>
      </w:r>
    </w:p>
    <w:p w14:paraId="3E3AE24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根据预设的公交班线信息进行同步登记并发布看板，并提供清单查看、动态修改等功能，提供可操作页面对班线发布信息调整。</w:t>
      </w:r>
    </w:p>
    <w:p w14:paraId="7407060B">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电子站牌配置</w:t>
      </w:r>
    </w:p>
    <w:p w14:paraId="4C7FCEC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基于电子显示设备的接口，配置电子站牌的内容，包括可控区域的分区占用，分区预设内容等，设置集运扫码页面。</w:t>
      </w:r>
    </w:p>
    <w:p w14:paraId="5E2D8396">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公交进场预警</w:t>
      </w:r>
    </w:p>
    <w:p w14:paraId="131DE7A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本项目公交车的进场下客点也设置在到达层的站前位置。公交车的下客点与上客点均在到达层。应合理规划站前到达层设置的4个大型车位，以实现对进场公交车的有效管理，避免出现出发的公交车与到达的公交车相互冲突的情况。</w:t>
      </w:r>
    </w:p>
    <w:p w14:paraId="7D4D13E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因此本项目选择固定两个车位为公交车发车站台，2个临时车位为公交车到达车辆下客站台，在必要的时候，这4个车位可以临时共享使用。如下图所示：</w:t>
      </w:r>
    </w:p>
    <w:p w14:paraId="1100CEF9">
      <w:pPr>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71135" cy="1527810"/>
            <wp:effectExtent l="0" t="0" r="5715" b="1524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48"/>
                    <a:stretch>
                      <a:fillRect/>
                    </a:stretch>
                  </pic:blipFill>
                  <pic:spPr>
                    <a:xfrm>
                      <a:off x="0" y="0"/>
                      <a:ext cx="5271135" cy="1527810"/>
                    </a:xfrm>
                    <a:prstGeom prst="rect">
                      <a:avLst/>
                    </a:prstGeom>
                    <a:noFill/>
                    <a:ln>
                      <a:noFill/>
                    </a:ln>
                  </pic:spPr>
                </pic:pic>
              </a:graphicData>
            </a:graphic>
          </wp:inline>
        </w:drawing>
      </w:r>
    </w:p>
    <w:p w14:paraId="6710E253">
      <w:pPr>
        <w:pStyle w:val="63"/>
        <w:numPr>
          <w:ilvl w:val="7"/>
          <w:numId w:val="7"/>
        </w:numPr>
        <w:rPr>
          <w:rFonts w:hint="eastAsia" w:ascii="宋体" w:hAnsi="宋体" w:eastAsia="宋体" w:cs="宋体"/>
          <w:highlight w:val="none"/>
        </w:rPr>
      </w:pPr>
      <w:r>
        <w:rPr>
          <w:rFonts w:hint="eastAsia" w:ascii="宋体" w:hAnsi="宋体" w:eastAsia="宋体" w:cs="宋体"/>
          <w:highlight w:val="none"/>
          <w:lang w:bidi="ar"/>
        </w:rPr>
        <w:t>公交站台示意图</w:t>
      </w:r>
    </w:p>
    <w:p w14:paraId="0DC7690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公交车进场调度主要解决进场车辆和出发车辆占位冲突、进场车辆之间占位冲突的问题。系统拟通过对接公交车调度系统与车辆实时定位信息，对班线排序进行管理。主要通过如下功能：</w:t>
      </w:r>
    </w:p>
    <w:p w14:paraId="36147048">
      <w:pPr>
        <w:pageBreakBefore w:val="0"/>
        <w:widowControl w:val="0"/>
        <w:numPr>
          <w:ilvl w:val="0"/>
          <w:numId w:val="39"/>
        </w:numPr>
        <w:kinsoku/>
        <w:wordWrap/>
        <w:overflowPunct/>
        <w:topLinePunct w:val="0"/>
        <w:autoSpaceDE/>
        <w:autoSpaceDN/>
        <w:bidi w:val="0"/>
        <w:adjustRightInd/>
        <w:snapToGrid/>
        <w:spacing w:line="400" w:lineRule="exact"/>
        <w:ind w:firstLine="482"/>
        <w:textAlignment w:val="auto"/>
        <w:rPr>
          <w:rFonts w:hint="eastAsia" w:ascii="宋体" w:hAnsi="宋体" w:eastAsia="宋体" w:cs="宋体"/>
          <w:b/>
          <w:bCs/>
          <w:highlight w:val="none"/>
        </w:rPr>
      </w:pPr>
      <w:r>
        <w:rPr>
          <w:rFonts w:hint="eastAsia" w:ascii="宋体" w:hAnsi="宋体" w:eastAsia="宋体" w:cs="宋体"/>
          <w:b/>
          <w:bCs/>
          <w:highlight w:val="none"/>
        </w:rPr>
        <w:t>机场公交的进场预测</w:t>
      </w:r>
    </w:p>
    <w:p w14:paraId="49244BF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根据调度系统反馈的机场班线的时刻表，及调度系统反馈的预计到达时间、当前公交车定位信息。综合三个要素可以推断出当前在运行的机场公交车驶入机场下客的时间点。并以此形成预计的下客班线车次的排序顺序清单。</w:t>
      </w:r>
    </w:p>
    <w:p w14:paraId="10839D26">
      <w:pPr>
        <w:pageBreakBefore w:val="0"/>
        <w:widowControl w:val="0"/>
        <w:numPr>
          <w:ilvl w:val="0"/>
          <w:numId w:val="39"/>
        </w:numPr>
        <w:kinsoku/>
        <w:wordWrap/>
        <w:overflowPunct/>
        <w:topLinePunct w:val="0"/>
        <w:autoSpaceDE/>
        <w:autoSpaceDN/>
        <w:bidi w:val="0"/>
        <w:adjustRightInd/>
        <w:snapToGrid/>
        <w:spacing w:line="400" w:lineRule="exact"/>
        <w:ind w:firstLine="482"/>
        <w:textAlignment w:val="auto"/>
        <w:rPr>
          <w:rFonts w:hint="eastAsia" w:ascii="宋体" w:hAnsi="宋体" w:eastAsia="宋体" w:cs="宋体"/>
          <w:b/>
          <w:bCs/>
          <w:highlight w:val="none"/>
        </w:rPr>
      </w:pPr>
      <w:r>
        <w:rPr>
          <w:rFonts w:hint="eastAsia" w:ascii="宋体" w:hAnsi="宋体" w:eastAsia="宋体" w:cs="宋体"/>
          <w:b/>
          <w:bCs/>
          <w:highlight w:val="none"/>
        </w:rPr>
        <w:t>站前站台可用性评估</w:t>
      </w:r>
    </w:p>
    <w:p w14:paraId="243080C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站前站台可用性提供站前站台可用的分布表。主要分为两个角度：</w:t>
      </w:r>
    </w:p>
    <w:p w14:paraId="73C991E2">
      <w:pPr>
        <w:pageBreakBefore w:val="0"/>
        <w:widowControl w:val="0"/>
        <w:numPr>
          <w:ilvl w:val="0"/>
          <w:numId w:val="40"/>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时刻表：公交车发班时刻相对固定，因此发车站台的占用时间相对比较稳定，通过系统设定的前后阈值，能确定出发站台的占用时间点及时间区间，从而计算出空闲时间。并可反馈给公交公司以调整时刻表。</w:t>
      </w:r>
    </w:p>
    <w:p w14:paraId="16EE7667">
      <w:pPr>
        <w:pageBreakBefore w:val="0"/>
        <w:widowControl w:val="0"/>
        <w:numPr>
          <w:ilvl w:val="0"/>
          <w:numId w:val="40"/>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预约使用情况：到达站台因为存在临时性和偶发性，其一方面承担了公交车到达的下客使用，一方面也服务于机场大型车辆的临时停靠。因此这两类车型在使用到达站台车位，必须通过系统进行调控。根据系统预约的大型车使用时间节点，以及当前预估设置的到达公交车的顺序，可以得出到达车位的可用时间点和时间区间。</w:t>
      </w:r>
    </w:p>
    <w:p w14:paraId="55410517">
      <w:pPr>
        <w:pageBreakBefore w:val="0"/>
        <w:widowControl w:val="0"/>
        <w:numPr>
          <w:ilvl w:val="0"/>
          <w:numId w:val="39"/>
        </w:numPr>
        <w:kinsoku/>
        <w:wordWrap/>
        <w:overflowPunct/>
        <w:topLinePunct w:val="0"/>
        <w:autoSpaceDE/>
        <w:autoSpaceDN/>
        <w:bidi w:val="0"/>
        <w:adjustRightInd/>
        <w:snapToGrid/>
        <w:spacing w:line="400" w:lineRule="exact"/>
        <w:ind w:firstLine="482"/>
        <w:textAlignment w:val="auto"/>
        <w:rPr>
          <w:rFonts w:hint="eastAsia" w:ascii="宋体" w:hAnsi="宋体" w:eastAsia="宋体" w:cs="宋体"/>
          <w:b/>
          <w:bCs/>
          <w:highlight w:val="none"/>
        </w:rPr>
      </w:pPr>
      <w:r>
        <w:rPr>
          <w:rFonts w:hint="eastAsia" w:ascii="宋体" w:hAnsi="宋体" w:eastAsia="宋体" w:cs="宋体"/>
          <w:b/>
          <w:bCs/>
          <w:highlight w:val="none"/>
        </w:rPr>
        <w:t>机场公交下客车位安排评估表</w:t>
      </w:r>
    </w:p>
    <w:p w14:paraId="3A6D1B9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系统提供机场公交下客车位的安排情况评估表。该评估表基于进场顺序、结合站前站台可用性评估综合得出。主要参考：</w:t>
      </w:r>
    </w:p>
    <w:p w14:paraId="06C97B8E">
      <w:pPr>
        <w:pageBreakBefore w:val="0"/>
        <w:widowControl w:val="0"/>
        <w:numPr>
          <w:ilvl w:val="0"/>
          <w:numId w:val="41"/>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公交车到达时间节点，同时叠加占用的停靠、下客、驶离的时间段。从而确定公交下客需要的站台时间。</w:t>
      </w:r>
    </w:p>
    <w:p w14:paraId="7A95B36D">
      <w:pPr>
        <w:pageBreakBefore w:val="0"/>
        <w:widowControl w:val="0"/>
        <w:numPr>
          <w:ilvl w:val="0"/>
          <w:numId w:val="41"/>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站前站台的可用时间节点，基于上文所述的站前站台车位的空闲时间区间。</w:t>
      </w:r>
    </w:p>
    <w:p w14:paraId="5C11495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基于上述两个参数可以生成公交车下客的预设停靠站台和时间区间清单表。该清单表会根据公交车实际到达情况和车位占用情况进行全时动态更新。</w:t>
      </w:r>
    </w:p>
    <w:p w14:paraId="1E3697D9">
      <w:pPr>
        <w:pageBreakBefore w:val="0"/>
        <w:widowControl w:val="0"/>
        <w:numPr>
          <w:ilvl w:val="0"/>
          <w:numId w:val="39"/>
        </w:numPr>
        <w:kinsoku/>
        <w:wordWrap/>
        <w:overflowPunct/>
        <w:topLinePunct w:val="0"/>
        <w:autoSpaceDE/>
        <w:autoSpaceDN/>
        <w:bidi w:val="0"/>
        <w:adjustRightInd/>
        <w:snapToGrid/>
        <w:spacing w:line="400" w:lineRule="exact"/>
        <w:ind w:firstLine="482"/>
        <w:textAlignment w:val="auto"/>
        <w:rPr>
          <w:rFonts w:hint="eastAsia" w:ascii="宋体" w:hAnsi="宋体" w:eastAsia="宋体" w:cs="宋体"/>
          <w:b/>
          <w:bCs/>
          <w:highlight w:val="none"/>
        </w:rPr>
      </w:pPr>
      <w:r>
        <w:rPr>
          <w:rFonts w:hint="eastAsia" w:ascii="宋体" w:hAnsi="宋体" w:eastAsia="宋体" w:cs="宋体"/>
          <w:b/>
          <w:bCs/>
          <w:highlight w:val="none"/>
        </w:rPr>
        <w:t>机场公交下客冲突的临时调度</w:t>
      </w:r>
    </w:p>
    <w:p w14:paraId="2F6C172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尽管系统根据实际运营情况制定了停车安排评估表，但实际中可能因堵车、车辆临时增加班次或旅游大巴超时占用等情况，导致公交车下客车位不足。因此，本项目建设了机场公交下客冲突的临时调度机制，以解决车位占用的排队问题，步骤如下：</w:t>
      </w:r>
    </w:p>
    <w:p w14:paraId="60C028C6">
      <w:pPr>
        <w:pageBreakBefore w:val="0"/>
        <w:widowControl w:val="0"/>
        <w:numPr>
          <w:ilvl w:val="0"/>
          <w:numId w:val="42"/>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车位安排安全系数</w:t>
      </w:r>
    </w:p>
    <w:p w14:paraId="46E9215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基于前述公交下客车位安排评估表，为后续车辆提供车位安排预警系数，该系数参考空闲时间与当前车辆停靠时间的关系，计算公式为：</w:t>
      </w:r>
    </w:p>
    <w:p w14:paraId="78B04E7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系数=（到达时间点下的空闲时间/到达时间点下的停靠时间-1）*100%</w:t>
      </w:r>
    </w:p>
    <w:p w14:paraId="1EBFC30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当空闲时间是预估停靠时间的2倍以上，安全系数为100%或以上；不足2倍但仍大于停靠时间时，安全系数在0%——100%之间；低于停靠时间的1倍则视为完全不安全。</w:t>
      </w:r>
    </w:p>
    <w:p w14:paraId="3DA92D8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系统可以设置不同系数的预警功能，对不满足安全系数的车辆进行临时停靠的调度通知。</w:t>
      </w:r>
    </w:p>
    <w:p w14:paraId="1E442295">
      <w:pPr>
        <w:pageBreakBefore w:val="0"/>
        <w:widowControl w:val="0"/>
        <w:numPr>
          <w:ilvl w:val="0"/>
          <w:numId w:val="42"/>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临时等待停车区设置</w:t>
      </w:r>
    </w:p>
    <w:p w14:paraId="36EF6AB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建议选择P5作为临时等待停车区，车辆在等待下客点有足够安全时间后，可前往下客点，并授予P5道闸通行权限。</w:t>
      </w:r>
    </w:p>
    <w:p w14:paraId="19DEF935">
      <w:pPr>
        <w:pageBreakBefore w:val="0"/>
        <w:widowControl w:val="0"/>
        <w:numPr>
          <w:ilvl w:val="0"/>
          <w:numId w:val="42"/>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调度方式</w:t>
      </w:r>
    </w:p>
    <w:p w14:paraId="1A0B153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公交临时停靠调度预警时间：全程动态评估，在进入进场路主路时进行预警推送。如果安全系数低于阈值，向指挥中心发送预警。指挥中心可根据预警情况向当班司机发送P5临时停车的消息。</w:t>
      </w:r>
    </w:p>
    <w:p w14:paraId="363A745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临时下客位的通知预警，对于预估的下客时间节点，如果预计到达时间10分钟内仍有临时大巴车占用车位，系统会发出预警，推送到指挥中心。指挥中心通过线上线下方式催促司机驶离。基于上述说明，建设的系统功能包括如下：</w:t>
      </w:r>
    </w:p>
    <w:p w14:paraId="7B8EFE41">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进场预测</w:t>
      </w:r>
    </w:p>
    <w:p w14:paraId="37BD081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基于班线计划和定位信息对进入机场的公交车辆进行时刻预测。</w:t>
      </w:r>
    </w:p>
    <w:p w14:paraId="69EC1339">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站台可用评估</w:t>
      </w:r>
    </w:p>
    <w:p w14:paraId="20AA6CB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对当前落客站台在特定时间下的空闲状态进行评估。</w:t>
      </w:r>
    </w:p>
    <w:p w14:paraId="451A723D">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下客位安排评估</w:t>
      </w:r>
    </w:p>
    <w:p w14:paraId="229D775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基于多个要素，对可以下客的临时停车点按照时间进行分析和动态呈现。</w:t>
      </w:r>
    </w:p>
    <w:p w14:paraId="0DF8DF2A">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安全系数评估</w:t>
      </w:r>
    </w:p>
    <w:p w14:paraId="1F96007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对每个公交班线可以在下客点的情况给出安全评估系数，进行系数参数搭建。</w:t>
      </w:r>
    </w:p>
    <w:p w14:paraId="589C7D2B">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大型车停车实况</w:t>
      </w:r>
    </w:p>
    <w:p w14:paraId="067AAD5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通过对接大型车停车区道闸的进场信息，统计进入机场的大型车信息，通过对接场内监控，系统将停车分布情况以视频画面的形式呈现，同时记录进出的大型车信息，并提供饱和度和排队数量等信息的提醒展示。</w:t>
      </w:r>
    </w:p>
    <w:p w14:paraId="2B58D0D4">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停车实况</w:t>
      </w:r>
    </w:p>
    <w:p w14:paraId="09500FE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接入停车道闸信息，记录公交车停车区和大型车车辆的信息的实况信息，接入监控画面实时呈现公交大巴停车的图像。</w:t>
      </w:r>
    </w:p>
    <w:p w14:paraId="5F7F2EA4">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停车信息统计</w:t>
      </w:r>
    </w:p>
    <w:p w14:paraId="2D2D30F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对公交车大型车的停车进行统计。</w:t>
      </w:r>
    </w:p>
    <w:p w14:paraId="39BCDA23">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集运需求管理</w:t>
      </w:r>
    </w:p>
    <w:p w14:paraId="1D09391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允许旅客（主要是旅游包车团长或团队负责人）在到达后通过微信扫码来呼叫大巴车集中接送，旅客扫码后，可以手动输入大巴车的信息，以呼叫大巴车前往指定接客区域。旅客可以通过信息显示设备实时查看当前车辆和等待车辆信息。能够查看具体旅客的呼叫记录信息。</w:t>
      </w:r>
    </w:p>
    <w:p w14:paraId="05E03965">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集运呼叫台账</w:t>
      </w:r>
    </w:p>
    <w:p w14:paraId="06068BD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呼叫管理后台，记录全量大巴车呼叫信息，和执行状态信息。</w:t>
      </w:r>
    </w:p>
    <w:p w14:paraId="442FA121">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小程序-呼叫登记</w:t>
      </w:r>
    </w:p>
    <w:p w14:paraId="724549A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通过小程序扫码实现大巴车信息登记和向大巴车调度发送信息。</w:t>
      </w:r>
    </w:p>
    <w:p w14:paraId="67275D43">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小程序-等候信息查看</w:t>
      </w:r>
    </w:p>
    <w:p w14:paraId="6C31CC3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小程序显示当前呼叫车辆的排队信息页面。</w:t>
      </w:r>
    </w:p>
    <w:p w14:paraId="4D7399D7">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等候管理</w:t>
      </w:r>
    </w:p>
    <w:p w14:paraId="66E1BAB9">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根据呼叫结果管理功能，大巴车要根据实际的等候离开场区进行上客接客，因此，大巴车应具备等候管理功能，包括查看当前等候的大巴车及顺序、显示等候时间，并能调整和手动修改放行顺序。</w:t>
      </w:r>
    </w:p>
    <w:p w14:paraId="7CC5417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大巴车放行会依据公交车空闲时段进行安排，在公交车班线繁忙时需等待公交车时间空闲。</w:t>
      </w:r>
    </w:p>
    <w:p w14:paraId="366C7E05">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等候管理</w:t>
      </w:r>
    </w:p>
    <w:p w14:paraId="7B2B43E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显示当前对大巴车叫车的等候信息，以及预计安排的停车放行信息，可以对等候的大巴车进行干预管理。</w:t>
      </w:r>
    </w:p>
    <w:p w14:paraId="45D9F18E">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车位忙闲自动评估</w:t>
      </w:r>
    </w:p>
    <w:p w14:paraId="5514A43C">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根据公交车班线发车时刻表，对停车位的忙闲状态进行评估和预估，对是否开放给大巴车使用进行评估和预警。忙闲评估规则根据可以实现自动调整优化。</w:t>
      </w:r>
    </w:p>
    <w:p w14:paraId="13ED6EDC">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实时上客分析</w:t>
      </w:r>
    </w:p>
    <w:p w14:paraId="16C2B85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根据叫号、排队和放行的情况，显示当前上客区的车位实况，包括监控画面，对接客等待时间和停留时间进行统计分析，对停放异常的大巴车进行提醒和通知，并查看接客的实况和乘客排队情况。</w:t>
      </w:r>
    </w:p>
    <w:p w14:paraId="47263027">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车位上车信息</w:t>
      </w:r>
    </w:p>
    <w:p w14:paraId="1F12268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统计大巴车上客实况信息，接入公交大巴车位实时画面信息。对节点信息进行统计。</w:t>
      </w:r>
    </w:p>
    <w:p w14:paraId="165BF0A4">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预警信息</w:t>
      </w:r>
    </w:p>
    <w:p w14:paraId="602B8BE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对超时等候大巴车进行评估，生成预警信息，并通过点对点的方式进行推送。</w:t>
      </w:r>
    </w:p>
    <w:p w14:paraId="01A241CF">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通知管理</w:t>
      </w:r>
    </w:p>
    <w:p w14:paraId="48C35A7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可以通过停车场的车辆进行信息发布，接入短信平台和语音电话平台，向旅客和司机进行点对点或统一定时的信息发布。系统支持按照规则进行信息推送，并能够实现个性化短信、语音内容推送。</w:t>
      </w:r>
    </w:p>
    <w:p w14:paraId="0972973F">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大巴车通知</w:t>
      </w:r>
    </w:p>
    <w:p w14:paraId="0C210F2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可以向满足放行条件的大巴车司机发送对应的放行通知短信和语音消息。</w:t>
      </w:r>
    </w:p>
    <w:p w14:paraId="6B4FE92B">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小程序-等候通知反馈</w:t>
      </w:r>
    </w:p>
    <w:p w14:paraId="73B0FCD2">
      <w:pPr>
        <w:pageBreakBefore w:val="0"/>
        <w:widowControl w:val="0"/>
        <w:kinsoku/>
        <w:wordWrap/>
        <w:overflowPunct/>
        <w:topLinePunct w:val="0"/>
        <w:autoSpaceDE/>
        <w:autoSpaceDN/>
        <w:bidi w:val="0"/>
        <w:adjustRightInd/>
        <w:snapToGrid/>
        <w:spacing w:line="400" w:lineRule="exact"/>
        <w:ind w:firstLine="0" w:firstLineChars="0"/>
        <w:textAlignment w:val="auto"/>
        <w:rPr>
          <w:rFonts w:hint="eastAsia" w:ascii="宋体" w:hAnsi="宋体" w:eastAsia="宋体" w:cs="宋体"/>
          <w:highlight w:val="none"/>
        </w:rPr>
      </w:pPr>
      <w:r>
        <w:rPr>
          <w:rFonts w:hint="eastAsia" w:ascii="宋体" w:hAnsi="宋体" w:eastAsia="宋体" w:cs="宋体"/>
          <w:highlight w:val="none"/>
        </w:rPr>
        <w:t>经车位忙闲自动评估，对呼叫的人员发送评判消息，如果已经放行，对预警信息进行发送。</w:t>
      </w:r>
    </w:p>
    <w:p w14:paraId="67DFFB33">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历史记录</w:t>
      </w:r>
    </w:p>
    <w:p w14:paraId="16B4B78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系统显示历史大巴车调度信息，能够精确到每条记录的详细信息，包括等候时长、所在车位、上一次排队时间等。此外，系统支持多种查询方式，方便用户检索历史记录。</w:t>
      </w:r>
    </w:p>
    <w:p w14:paraId="2DF2AF3C">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大巴调度记录</w:t>
      </w:r>
    </w:p>
    <w:p w14:paraId="523952C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提供历史大巴调度的记录行为，包括是否响应，停车位借用情况等内容。</w:t>
      </w:r>
    </w:p>
    <w:p w14:paraId="7C2AAA02">
      <w:pPr>
        <w:pStyle w:val="9"/>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行为统计分析</w:t>
      </w:r>
    </w:p>
    <w:p w14:paraId="0BC914A0">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对历史大巴调度行为，包括上下客时间，高峰时间，包括班线、时间等角度进行统计分析，辅助支撑忙闲评估。</w:t>
      </w:r>
    </w:p>
    <w:p w14:paraId="3C290861">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配套硬件设计</w:t>
      </w:r>
    </w:p>
    <w:p w14:paraId="0D334B4E">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配套硬件清单</w:t>
      </w:r>
    </w:p>
    <w:p w14:paraId="03DCAF8E">
      <w:pPr>
        <w:pStyle w:val="65"/>
        <w:rPr>
          <w:rFonts w:hint="eastAsia" w:ascii="宋体" w:hAnsi="宋体" w:eastAsia="宋体" w:cs="宋体"/>
          <w:highlight w:val="none"/>
        </w:rPr>
      </w:pPr>
      <w:r>
        <w:rPr>
          <w:rFonts w:hint="eastAsia" w:ascii="宋体" w:hAnsi="宋体" w:eastAsia="宋体" w:cs="宋体"/>
          <w:highlight w:val="none"/>
        </w:rPr>
        <w:t>系统硬件清单</w:t>
      </w:r>
    </w:p>
    <w:tbl>
      <w:tblPr>
        <w:tblStyle w:val="34"/>
        <w:tblW w:w="49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0"/>
        <w:gridCol w:w="1146"/>
        <w:gridCol w:w="1046"/>
        <w:gridCol w:w="2429"/>
        <w:gridCol w:w="1647"/>
      </w:tblGrid>
      <w:tr w14:paraId="62826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blHeader/>
          <w:jc w:val="center"/>
        </w:trPr>
        <w:tc>
          <w:tcPr>
            <w:tcW w:w="1570" w:type="pct"/>
            <w:shd w:val="clear" w:color="000000" w:fill="auto"/>
            <w:vAlign w:val="center"/>
          </w:tcPr>
          <w:p w14:paraId="44478140">
            <w:pPr>
              <w:pStyle w:val="67"/>
              <w:rPr>
                <w:rFonts w:hint="eastAsia" w:ascii="宋体" w:hAnsi="宋体" w:eastAsia="宋体" w:cs="宋体"/>
                <w:highlight w:val="none"/>
              </w:rPr>
            </w:pPr>
            <w:r>
              <w:rPr>
                <w:rFonts w:hint="eastAsia" w:ascii="宋体" w:hAnsi="宋体" w:eastAsia="宋体" w:cs="宋体"/>
                <w:highlight w:val="none"/>
              </w:rPr>
              <w:t>硬件名称</w:t>
            </w:r>
          </w:p>
        </w:tc>
        <w:tc>
          <w:tcPr>
            <w:tcW w:w="627" w:type="pct"/>
            <w:shd w:val="clear" w:color="000000" w:fill="auto"/>
            <w:vAlign w:val="center"/>
          </w:tcPr>
          <w:p w14:paraId="0636439A">
            <w:pPr>
              <w:pStyle w:val="67"/>
              <w:rPr>
                <w:rFonts w:hint="eastAsia" w:ascii="宋体" w:hAnsi="宋体" w:eastAsia="宋体" w:cs="宋体"/>
                <w:highlight w:val="none"/>
              </w:rPr>
            </w:pPr>
            <w:r>
              <w:rPr>
                <w:rFonts w:hint="eastAsia" w:ascii="宋体" w:hAnsi="宋体" w:eastAsia="宋体" w:cs="宋体"/>
                <w:highlight w:val="none"/>
              </w:rPr>
              <w:t>单位</w:t>
            </w:r>
          </w:p>
        </w:tc>
        <w:tc>
          <w:tcPr>
            <w:tcW w:w="572" w:type="pct"/>
            <w:shd w:val="clear" w:color="000000" w:fill="auto"/>
            <w:vAlign w:val="center"/>
          </w:tcPr>
          <w:p w14:paraId="6ACC2C21">
            <w:pPr>
              <w:pStyle w:val="67"/>
              <w:rPr>
                <w:rFonts w:hint="eastAsia" w:ascii="宋体" w:hAnsi="宋体" w:eastAsia="宋体" w:cs="宋体"/>
                <w:highlight w:val="none"/>
              </w:rPr>
            </w:pPr>
            <w:r>
              <w:rPr>
                <w:rFonts w:hint="eastAsia" w:ascii="宋体" w:hAnsi="宋体" w:eastAsia="宋体" w:cs="宋体"/>
                <w:highlight w:val="none"/>
              </w:rPr>
              <w:t>数量</w:t>
            </w:r>
          </w:p>
        </w:tc>
        <w:tc>
          <w:tcPr>
            <w:tcW w:w="1329" w:type="pct"/>
            <w:shd w:val="clear" w:color="000000" w:fill="auto"/>
            <w:vAlign w:val="center"/>
          </w:tcPr>
          <w:p w14:paraId="35C5EF3E">
            <w:pPr>
              <w:pStyle w:val="67"/>
              <w:rPr>
                <w:rFonts w:hint="eastAsia" w:ascii="宋体" w:hAnsi="宋体" w:eastAsia="宋体" w:cs="宋体"/>
                <w:highlight w:val="none"/>
              </w:rPr>
            </w:pPr>
            <w:r>
              <w:rPr>
                <w:rFonts w:hint="eastAsia" w:ascii="宋体" w:hAnsi="宋体" w:eastAsia="宋体" w:cs="宋体"/>
                <w:highlight w:val="none"/>
              </w:rPr>
              <w:t>安装位置</w:t>
            </w:r>
          </w:p>
        </w:tc>
        <w:tc>
          <w:tcPr>
            <w:tcW w:w="901" w:type="pct"/>
            <w:shd w:val="clear" w:color="000000" w:fill="auto"/>
            <w:vAlign w:val="center"/>
          </w:tcPr>
          <w:p w14:paraId="0577DDBE">
            <w:pPr>
              <w:pStyle w:val="67"/>
              <w:rPr>
                <w:rFonts w:hint="eastAsia" w:ascii="宋体" w:hAnsi="宋体" w:eastAsia="宋体" w:cs="宋体"/>
                <w:highlight w:val="none"/>
              </w:rPr>
            </w:pPr>
            <w:r>
              <w:rPr>
                <w:rFonts w:hint="eastAsia" w:ascii="宋体" w:hAnsi="宋体" w:eastAsia="宋体" w:cs="宋体"/>
                <w:highlight w:val="none"/>
              </w:rPr>
              <w:t>功能说明</w:t>
            </w:r>
          </w:p>
        </w:tc>
      </w:tr>
      <w:tr w14:paraId="2063F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570" w:type="pct"/>
            <w:vAlign w:val="center"/>
          </w:tcPr>
          <w:p w14:paraId="3FF6F749">
            <w:pPr>
              <w:pStyle w:val="68"/>
              <w:jc w:val="center"/>
              <w:rPr>
                <w:rFonts w:hint="eastAsia" w:ascii="宋体" w:hAnsi="宋体" w:eastAsia="宋体" w:cs="宋体"/>
                <w:highlight w:val="none"/>
              </w:rPr>
            </w:pPr>
            <w:r>
              <w:rPr>
                <w:rFonts w:hint="eastAsia" w:ascii="宋体" w:hAnsi="宋体" w:eastAsia="宋体" w:cs="宋体"/>
                <w:color w:val="000000"/>
                <w:highlight w:val="none"/>
              </w:rPr>
              <w:t>网约车停靠识别摄像机</w:t>
            </w:r>
          </w:p>
        </w:tc>
        <w:tc>
          <w:tcPr>
            <w:tcW w:w="627" w:type="pct"/>
            <w:vAlign w:val="center"/>
          </w:tcPr>
          <w:p w14:paraId="00799313">
            <w:pPr>
              <w:pStyle w:val="68"/>
              <w:jc w:val="center"/>
              <w:rPr>
                <w:rFonts w:hint="eastAsia" w:ascii="宋体" w:hAnsi="宋体" w:eastAsia="宋体" w:cs="宋体"/>
                <w:highlight w:val="none"/>
              </w:rPr>
            </w:pPr>
            <w:r>
              <w:rPr>
                <w:rFonts w:hint="eastAsia" w:ascii="宋体" w:hAnsi="宋体" w:eastAsia="宋体" w:cs="宋体"/>
                <w:highlight w:val="none"/>
              </w:rPr>
              <w:t>台</w:t>
            </w:r>
          </w:p>
        </w:tc>
        <w:tc>
          <w:tcPr>
            <w:tcW w:w="572" w:type="pct"/>
            <w:vAlign w:val="center"/>
          </w:tcPr>
          <w:p w14:paraId="530BF46D">
            <w:pPr>
              <w:pStyle w:val="68"/>
              <w:jc w:val="center"/>
              <w:rPr>
                <w:rFonts w:hint="eastAsia" w:ascii="宋体" w:hAnsi="宋体" w:eastAsia="宋体" w:cs="宋体"/>
                <w:highlight w:val="none"/>
              </w:rPr>
            </w:pPr>
            <w:r>
              <w:rPr>
                <w:rFonts w:hint="eastAsia" w:ascii="宋体" w:hAnsi="宋体" w:eastAsia="宋体" w:cs="宋体"/>
                <w:color w:val="000000"/>
                <w:highlight w:val="none"/>
              </w:rPr>
              <w:t>4</w:t>
            </w:r>
          </w:p>
        </w:tc>
        <w:tc>
          <w:tcPr>
            <w:tcW w:w="1329" w:type="pct"/>
            <w:vAlign w:val="center"/>
          </w:tcPr>
          <w:p w14:paraId="0CACE01B">
            <w:pPr>
              <w:pStyle w:val="68"/>
              <w:jc w:val="center"/>
              <w:rPr>
                <w:rFonts w:hint="eastAsia" w:ascii="宋体" w:hAnsi="宋体" w:eastAsia="宋体" w:cs="宋体"/>
                <w:highlight w:val="none"/>
              </w:rPr>
            </w:pPr>
            <w:r>
              <w:rPr>
                <w:rFonts w:hint="eastAsia" w:ascii="宋体" w:hAnsi="宋体" w:eastAsia="宋体" w:cs="宋体"/>
                <w:highlight w:val="none"/>
              </w:rPr>
              <w:t>到达层网约车上客点</w:t>
            </w:r>
          </w:p>
        </w:tc>
        <w:tc>
          <w:tcPr>
            <w:tcW w:w="901" w:type="pct"/>
            <w:vAlign w:val="center"/>
          </w:tcPr>
          <w:p w14:paraId="5F1E16F7">
            <w:pPr>
              <w:pStyle w:val="68"/>
              <w:jc w:val="center"/>
              <w:rPr>
                <w:rFonts w:hint="eastAsia" w:ascii="宋体" w:hAnsi="宋体" w:eastAsia="宋体" w:cs="宋体"/>
                <w:highlight w:val="none"/>
              </w:rPr>
            </w:pPr>
            <w:r>
              <w:rPr>
                <w:rFonts w:hint="eastAsia" w:ascii="宋体" w:hAnsi="宋体" w:eastAsia="宋体" w:cs="宋体"/>
                <w:highlight w:val="none"/>
              </w:rPr>
              <w:t>车牌识别和实时监控</w:t>
            </w:r>
          </w:p>
        </w:tc>
      </w:tr>
      <w:tr w14:paraId="3E81D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570" w:type="pct"/>
            <w:vAlign w:val="center"/>
          </w:tcPr>
          <w:p w14:paraId="35831854">
            <w:pPr>
              <w:pStyle w:val="68"/>
              <w:jc w:val="center"/>
              <w:rPr>
                <w:rFonts w:hint="eastAsia" w:ascii="宋体" w:hAnsi="宋体" w:eastAsia="宋体" w:cs="宋体"/>
                <w:highlight w:val="none"/>
              </w:rPr>
            </w:pPr>
            <w:r>
              <w:rPr>
                <w:rFonts w:hint="eastAsia" w:ascii="宋体" w:hAnsi="宋体" w:eastAsia="宋体" w:cs="宋体"/>
                <w:highlight w:val="none"/>
              </w:rPr>
              <w:t>网约车停靠通知显示站牌</w:t>
            </w:r>
          </w:p>
        </w:tc>
        <w:tc>
          <w:tcPr>
            <w:tcW w:w="627" w:type="pct"/>
            <w:vAlign w:val="center"/>
          </w:tcPr>
          <w:p w14:paraId="01491986">
            <w:pPr>
              <w:pStyle w:val="68"/>
              <w:jc w:val="center"/>
              <w:rPr>
                <w:rFonts w:hint="eastAsia" w:ascii="宋体" w:hAnsi="宋体" w:eastAsia="宋体" w:cs="宋体"/>
                <w:highlight w:val="none"/>
              </w:rPr>
            </w:pPr>
            <w:r>
              <w:rPr>
                <w:rFonts w:hint="eastAsia" w:ascii="宋体" w:hAnsi="宋体" w:eastAsia="宋体" w:cs="宋体"/>
                <w:highlight w:val="none"/>
              </w:rPr>
              <w:t>台</w:t>
            </w:r>
          </w:p>
        </w:tc>
        <w:tc>
          <w:tcPr>
            <w:tcW w:w="572" w:type="pct"/>
            <w:vAlign w:val="center"/>
          </w:tcPr>
          <w:p w14:paraId="6C64D656">
            <w:pPr>
              <w:pStyle w:val="68"/>
              <w:jc w:val="center"/>
              <w:rPr>
                <w:rFonts w:hint="eastAsia" w:ascii="宋体" w:hAnsi="宋体" w:eastAsia="宋体" w:cs="宋体"/>
                <w:highlight w:val="none"/>
              </w:rPr>
            </w:pPr>
            <w:r>
              <w:rPr>
                <w:rFonts w:hint="eastAsia" w:ascii="宋体" w:hAnsi="宋体" w:eastAsia="宋体" w:cs="宋体"/>
                <w:highlight w:val="none"/>
              </w:rPr>
              <w:t>5</w:t>
            </w:r>
          </w:p>
        </w:tc>
        <w:tc>
          <w:tcPr>
            <w:tcW w:w="1329" w:type="pct"/>
            <w:vAlign w:val="center"/>
          </w:tcPr>
          <w:p w14:paraId="737F84F8">
            <w:pPr>
              <w:pStyle w:val="68"/>
              <w:jc w:val="center"/>
              <w:rPr>
                <w:rFonts w:hint="eastAsia" w:ascii="宋体" w:hAnsi="宋体" w:eastAsia="宋体" w:cs="宋体"/>
                <w:highlight w:val="none"/>
              </w:rPr>
            </w:pPr>
            <w:r>
              <w:rPr>
                <w:rFonts w:hint="eastAsia" w:ascii="宋体" w:hAnsi="宋体" w:eastAsia="宋体" w:cs="宋体"/>
                <w:highlight w:val="none"/>
              </w:rPr>
              <w:t>到达层网约车上客点</w:t>
            </w:r>
          </w:p>
        </w:tc>
        <w:tc>
          <w:tcPr>
            <w:tcW w:w="901" w:type="pct"/>
            <w:vAlign w:val="center"/>
          </w:tcPr>
          <w:p w14:paraId="7E1D20D7">
            <w:pPr>
              <w:pStyle w:val="68"/>
              <w:jc w:val="center"/>
              <w:rPr>
                <w:rFonts w:hint="eastAsia" w:ascii="宋体" w:hAnsi="宋体" w:eastAsia="宋体" w:cs="宋体"/>
                <w:highlight w:val="none"/>
              </w:rPr>
            </w:pPr>
            <w:r>
              <w:rPr>
                <w:rFonts w:hint="eastAsia" w:ascii="宋体" w:hAnsi="宋体" w:eastAsia="宋体" w:cs="宋体"/>
                <w:highlight w:val="none"/>
              </w:rPr>
              <w:t>排队车位显示</w:t>
            </w:r>
          </w:p>
        </w:tc>
      </w:tr>
      <w:tr w14:paraId="2A838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570" w:type="pct"/>
            <w:vAlign w:val="center"/>
          </w:tcPr>
          <w:p w14:paraId="162062C7">
            <w:pPr>
              <w:pStyle w:val="68"/>
              <w:jc w:val="center"/>
              <w:rPr>
                <w:rFonts w:hint="eastAsia" w:ascii="宋体" w:hAnsi="宋体" w:eastAsia="宋体" w:cs="宋体"/>
                <w:highlight w:val="none"/>
              </w:rPr>
            </w:pPr>
            <w:r>
              <w:rPr>
                <w:rFonts w:hint="eastAsia" w:ascii="宋体" w:hAnsi="宋体" w:eastAsia="宋体" w:cs="宋体"/>
                <w:highlight w:val="none"/>
              </w:rPr>
              <w:t>公交大巴车停靠识别摄像机</w:t>
            </w:r>
          </w:p>
        </w:tc>
        <w:tc>
          <w:tcPr>
            <w:tcW w:w="627" w:type="pct"/>
            <w:vAlign w:val="center"/>
          </w:tcPr>
          <w:p w14:paraId="737A23BD">
            <w:pPr>
              <w:pStyle w:val="68"/>
              <w:jc w:val="center"/>
              <w:rPr>
                <w:rFonts w:hint="eastAsia" w:ascii="宋体" w:hAnsi="宋体" w:eastAsia="宋体" w:cs="宋体"/>
                <w:highlight w:val="none"/>
              </w:rPr>
            </w:pPr>
            <w:r>
              <w:rPr>
                <w:rFonts w:hint="eastAsia" w:ascii="宋体" w:hAnsi="宋体" w:eastAsia="宋体" w:cs="宋体"/>
                <w:highlight w:val="none"/>
              </w:rPr>
              <w:t>台</w:t>
            </w:r>
          </w:p>
        </w:tc>
        <w:tc>
          <w:tcPr>
            <w:tcW w:w="572" w:type="pct"/>
            <w:vAlign w:val="center"/>
          </w:tcPr>
          <w:p w14:paraId="2FB9F363">
            <w:pPr>
              <w:pStyle w:val="68"/>
              <w:jc w:val="center"/>
              <w:rPr>
                <w:rFonts w:hint="eastAsia" w:ascii="宋体" w:hAnsi="宋体" w:eastAsia="宋体" w:cs="宋体"/>
                <w:highlight w:val="none"/>
              </w:rPr>
            </w:pPr>
            <w:r>
              <w:rPr>
                <w:rFonts w:hint="eastAsia" w:ascii="宋体" w:hAnsi="宋体" w:eastAsia="宋体" w:cs="宋体"/>
                <w:highlight w:val="none"/>
              </w:rPr>
              <w:t>2</w:t>
            </w:r>
          </w:p>
        </w:tc>
        <w:tc>
          <w:tcPr>
            <w:tcW w:w="1329" w:type="pct"/>
            <w:vAlign w:val="center"/>
          </w:tcPr>
          <w:p w14:paraId="0BBADBD5">
            <w:pPr>
              <w:pStyle w:val="68"/>
              <w:jc w:val="center"/>
              <w:rPr>
                <w:rFonts w:hint="eastAsia" w:ascii="宋体" w:hAnsi="宋体" w:eastAsia="宋体" w:cs="宋体"/>
                <w:highlight w:val="none"/>
              </w:rPr>
            </w:pPr>
            <w:r>
              <w:rPr>
                <w:rFonts w:hint="eastAsia" w:ascii="宋体" w:hAnsi="宋体" w:eastAsia="宋体" w:cs="宋体"/>
                <w:highlight w:val="none"/>
              </w:rPr>
              <w:t>到达层大型车上客点</w:t>
            </w:r>
          </w:p>
        </w:tc>
        <w:tc>
          <w:tcPr>
            <w:tcW w:w="901" w:type="pct"/>
            <w:vAlign w:val="center"/>
          </w:tcPr>
          <w:p w14:paraId="1A903D11">
            <w:pPr>
              <w:pStyle w:val="68"/>
              <w:jc w:val="center"/>
              <w:rPr>
                <w:rFonts w:hint="eastAsia" w:ascii="宋体" w:hAnsi="宋体" w:eastAsia="宋体" w:cs="宋体"/>
                <w:highlight w:val="none"/>
              </w:rPr>
            </w:pPr>
            <w:r>
              <w:rPr>
                <w:rFonts w:hint="eastAsia" w:ascii="宋体" w:hAnsi="宋体" w:eastAsia="宋体" w:cs="宋体"/>
                <w:highlight w:val="none"/>
              </w:rPr>
              <w:t>车牌识别和实时监控</w:t>
            </w:r>
          </w:p>
        </w:tc>
      </w:tr>
      <w:tr w14:paraId="0BD8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570" w:type="pct"/>
            <w:vAlign w:val="center"/>
          </w:tcPr>
          <w:p w14:paraId="121E34A1">
            <w:pPr>
              <w:pStyle w:val="68"/>
              <w:jc w:val="center"/>
              <w:rPr>
                <w:rFonts w:hint="eastAsia" w:ascii="宋体" w:hAnsi="宋体" w:eastAsia="宋体" w:cs="宋体"/>
                <w:highlight w:val="none"/>
              </w:rPr>
            </w:pPr>
            <w:r>
              <w:rPr>
                <w:rFonts w:hint="eastAsia" w:ascii="宋体" w:hAnsi="宋体" w:eastAsia="宋体" w:cs="宋体"/>
                <w:highlight w:val="none"/>
              </w:rPr>
              <w:t>公交电子站牌（大巴车显示器）</w:t>
            </w:r>
          </w:p>
        </w:tc>
        <w:tc>
          <w:tcPr>
            <w:tcW w:w="627" w:type="pct"/>
            <w:vAlign w:val="center"/>
          </w:tcPr>
          <w:p w14:paraId="2BD5D20A">
            <w:pPr>
              <w:pStyle w:val="68"/>
              <w:jc w:val="center"/>
              <w:rPr>
                <w:rFonts w:hint="eastAsia" w:ascii="宋体" w:hAnsi="宋体" w:eastAsia="宋体" w:cs="宋体"/>
                <w:highlight w:val="none"/>
              </w:rPr>
            </w:pPr>
            <w:r>
              <w:rPr>
                <w:rFonts w:hint="eastAsia" w:ascii="宋体" w:hAnsi="宋体" w:eastAsia="宋体" w:cs="宋体"/>
                <w:highlight w:val="none"/>
              </w:rPr>
              <w:t>台</w:t>
            </w:r>
          </w:p>
        </w:tc>
        <w:tc>
          <w:tcPr>
            <w:tcW w:w="572" w:type="pct"/>
            <w:vAlign w:val="center"/>
          </w:tcPr>
          <w:p w14:paraId="44E7A366">
            <w:pPr>
              <w:pStyle w:val="68"/>
              <w:jc w:val="center"/>
              <w:rPr>
                <w:rFonts w:hint="eastAsia" w:ascii="宋体" w:hAnsi="宋体" w:eastAsia="宋体" w:cs="宋体"/>
                <w:highlight w:val="none"/>
              </w:rPr>
            </w:pPr>
            <w:r>
              <w:rPr>
                <w:rFonts w:hint="eastAsia" w:ascii="宋体" w:hAnsi="宋体" w:eastAsia="宋体" w:cs="宋体"/>
                <w:highlight w:val="none"/>
              </w:rPr>
              <w:t>2</w:t>
            </w:r>
          </w:p>
        </w:tc>
        <w:tc>
          <w:tcPr>
            <w:tcW w:w="1329" w:type="pct"/>
            <w:vAlign w:val="center"/>
          </w:tcPr>
          <w:p w14:paraId="05744AC3">
            <w:pPr>
              <w:pStyle w:val="68"/>
              <w:jc w:val="center"/>
              <w:rPr>
                <w:rFonts w:hint="eastAsia" w:ascii="宋体" w:hAnsi="宋体" w:eastAsia="宋体" w:cs="宋体"/>
                <w:highlight w:val="none"/>
              </w:rPr>
            </w:pPr>
            <w:r>
              <w:rPr>
                <w:rFonts w:hint="eastAsia" w:ascii="宋体" w:hAnsi="宋体" w:eastAsia="宋体" w:cs="宋体"/>
                <w:highlight w:val="none"/>
              </w:rPr>
              <w:t>到达层大型车上客点</w:t>
            </w:r>
          </w:p>
        </w:tc>
        <w:tc>
          <w:tcPr>
            <w:tcW w:w="901" w:type="pct"/>
            <w:vAlign w:val="center"/>
          </w:tcPr>
          <w:p w14:paraId="5964D1FC">
            <w:pPr>
              <w:pStyle w:val="68"/>
              <w:jc w:val="center"/>
              <w:rPr>
                <w:rFonts w:hint="eastAsia" w:ascii="宋体" w:hAnsi="宋体" w:eastAsia="宋体" w:cs="宋体"/>
                <w:highlight w:val="none"/>
              </w:rPr>
            </w:pPr>
            <w:r>
              <w:rPr>
                <w:rFonts w:hint="eastAsia" w:ascii="宋体" w:hAnsi="宋体" w:eastAsia="宋体" w:cs="宋体"/>
                <w:highlight w:val="none"/>
              </w:rPr>
              <w:t>站牌线路显示和扫码等待多合一</w:t>
            </w:r>
          </w:p>
        </w:tc>
      </w:tr>
      <w:tr w14:paraId="4A63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570" w:type="pct"/>
            <w:vAlign w:val="center"/>
          </w:tcPr>
          <w:p w14:paraId="11359C1E">
            <w:pPr>
              <w:pStyle w:val="68"/>
              <w:jc w:val="center"/>
              <w:rPr>
                <w:rFonts w:hint="eastAsia" w:ascii="宋体" w:hAnsi="宋体" w:eastAsia="宋体" w:cs="宋体"/>
                <w:highlight w:val="none"/>
              </w:rPr>
            </w:pPr>
            <w:r>
              <w:rPr>
                <w:rFonts w:hint="eastAsia" w:ascii="宋体" w:hAnsi="宋体" w:eastAsia="宋体" w:cs="宋体"/>
                <w:highlight w:val="none"/>
              </w:rPr>
              <w:t>地磁感应设备</w:t>
            </w:r>
          </w:p>
        </w:tc>
        <w:tc>
          <w:tcPr>
            <w:tcW w:w="627" w:type="pct"/>
            <w:vAlign w:val="center"/>
          </w:tcPr>
          <w:p w14:paraId="50B2E51E">
            <w:pPr>
              <w:pStyle w:val="68"/>
              <w:jc w:val="center"/>
              <w:rPr>
                <w:rFonts w:hint="eastAsia" w:ascii="宋体" w:hAnsi="宋体" w:eastAsia="宋体" w:cs="宋体"/>
                <w:highlight w:val="none"/>
              </w:rPr>
            </w:pPr>
            <w:r>
              <w:rPr>
                <w:rFonts w:hint="eastAsia" w:ascii="宋体" w:hAnsi="宋体" w:eastAsia="宋体" w:cs="宋体"/>
                <w:highlight w:val="none"/>
              </w:rPr>
              <w:t>台</w:t>
            </w:r>
          </w:p>
        </w:tc>
        <w:tc>
          <w:tcPr>
            <w:tcW w:w="572" w:type="pct"/>
            <w:vAlign w:val="center"/>
          </w:tcPr>
          <w:p w14:paraId="7A0C8EE7">
            <w:pPr>
              <w:pStyle w:val="68"/>
              <w:jc w:val="center"/>
              <w:rPr>
                <w:rFonts w:hint="eastAsia" w:ascii="宋体" w:hAnsi="宋体" w:eastAsia="宋体" w:cs="宋体"/>
                <w:highlight w:val="none"/>
              </w:rPr>
            </w:pPr>
            <w:r>
              <w:rPr>
                <w:rFonts w:hint="eastAsia" w:ascii="宋体" w:hAnsi="宋体" w:eastAsia="宋体" w:cs="宋体"/>
                <w:highlight w:val="none"/>
              </w:rPr>
              <w:t>25</w:t>
            </w:r>
          </w:p>
        </w:tc>
        <w:tc>
          <w:tcPr>
            <w:tcW w:w="1329" w:type="pct"/>
            <w:vAlign w:val="center"/>
          </w:tcPr>
          <w:p w14:paraId="4ED34068">
            <w:pPr>
              <w:pStyle w:val="68"/>
              <w:jc w:val="center"/>
              <w:rPr>
                <w:rFonts w:hint="eastAsia" w:ascii="宋体" w:hAnsi="宋体" w:eastAsia="宋体" w:cs="宋体"/>
                <w:highlight w:val="none"/>
              </w:rPr>
            </w:pPr>
            <w:r>
              <w:rPr>
                <w:rFonts w:hint="eastAsia" w:ascii="宋体" w:hAnsi="宋体" w:eastAsia="宋体" w:cs="宋体"/>
                <w:highlight w:val="none"/>
              </w:rPr>
              <w:t>到达层网约车车位、出租车车位</w:t>
            </w:r>
          </w:p>
        </w:tc>
        <w:tc>
          <w:tcPr>
            <w:tcW w:w="901" w:type="pct"/>
            <w:vAlign w:val="center"/>
          </w:tcPr>
          <w:p w14:paraId="195AC5CD">
            <w:pPr>
              <w:pStyle w:val="68"/>
              <w:jc w:val="center"/>
              <w:rPr>
                <w:rFonts w:hint="eastAsia" w:ascii="宋体" w:hAnsi="宋体" w:eastAsia="宋体" w:cs="宋体"/>
                <w:highlight w:val="none"/>
              </w:rPr>
            </w:pPr>
            <w:r>
              <w:rPr>
                <w:rFonts w:hint="eastAsia" w:ascii="宋体" w:hAnsi="宋体" w:eastAsia="宋体" w:cs="宋体"/>
                <w:highlight w:val="none"/>
              </w:rPr>
              <w:t>停车识别</w:t>
            </w:r>
          </w:p>
        </w:tc>
      </w:tr>
      <w:tr w14:paraId="7B329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570" w:type="pct"/>
            <w:vAlign w:val="center"/>
          </w:tcPr>
          <w:p w14:paraId="55BC4359">
            <w:pPr>
              <w:pStyle w:val="68"/>
              <w:jc w:val="center"/>
              <w:rPr>
                <w:rFonts w:hint="eastAsia" w:ascii="宋体" w:hAnsi="宋体" w:eastAsia="宋体" w:cs="宋体"/>
                <w:highlight w:val="none"/>
              </w:rPr>
            </w:pPr>
            <w:r>
              <w:rPr>
                <w:rFonts w:hint="eastAsia" w:ascii="宋体" w:hAnsi="宋体" w:eastAsia="宋体" w:cs="宋体"/>
                <w:color w:val="000000"/>
                <w:highlight w:val="none"/>
              </w:rPr>
              <w:t>出租车进场识别器</w:t>
            </w:r>
          </w:p>
        </w:tc>
        <w:tc>
          <w:tcPr>
            <w:tcW w:w="627" w:type="pct"/>
            <w:vAlign w:val="center"/>
          </w:tcPr>
          <w:p w14:paraId="32709DBA">
            <w:pPr>
              <w:pStyle w:val="68"/>
              <w:jc w:val="center"/>
              <w:rPr>
                <w:rFonts w:hint="eastAsia" w:ascii="宋体" w:hAnsi="宋体" w:eastAsia="宋体" w:cs="宋体"/>
                <w:highlight w:val="none"/>
              </w:rPr>
            </w:pPr>
            <w:r>
              <w:rPr>
                <w:rFonts w:hint="eastAsia" w:ascii="宋体" w:hAnsi="宋体" w:eastAsia="宋体" w:cs="宋体"/>
                <w:highlight w:val="none"/>
              </w:rPr>
              <w:t>台</w:t>
            </w:r>
          </w:p>
        </w:tc>
        <w:tc>
          <w:tcPr>
            <w:tcW w:w="572" w:type="pct"/>
            <w:vAlign w:val="center"/>
          </w:tcPr>
          <w:p w14:paraId="255FADBB">
            <w:pPr>
              <w:pStyle w:val="68"/>
              <w:jc w:val="center"/>
              <w:rPr>
                <w:rFonts w:hint="eastAsia" w:ascii="宋体" w:hAnsi="宋体" w:eastAsia="宋体" w:cs="宋体"/>
                <w:highlight w:val="none"/>
              </w:rPr>
            </w:pPr>
            <w:r>
              <w:rPr>
                <w:rFonts w:hint="eastAsia" w:ascii="宋体" w:hAnsi="宋体" w:eastAsia="宋体" w:cs="宋体"/>
                <w:color w:val="000000"/>
                <w:highlight w:val="none"/>
              </w:rPr>
              <w:t>1</w:t>
            </w:r>
          </w:p>
        </w:tc>
        <w:tc>
          <w:tcPr>
            <w:tcW w:w="1329" w:type="pct"/>
            <w:vAlign w:val="center"/>
          </w:tcPr>
          <w:p w14:paraId="6298AB82">
            <w:pPr>
              <w:pStyle w:val="68"/>
              <w:jc w:val="center"/>
              <w:rPr>
                <w:rFonts w:hint="eastAsia" w:ascii="宋体" w:hAnsi="宋体" w:eastAsia="宋体" w:cs="宋体"/>
                <w:highlight w:val="none"/>
              </w:rPr>
            </w:pPr>
            <w:r>
              <w:rPr>
                <w:rFonts w:hint="eastAsia" w:ascii="宋体" w:hAnsi="宋体" w:eastAsia="宋体" w:cs="宋体"/>
                <w:highlight w:val="none"/>
              </w:rPr>
              <w:t>出租车蓄车区进场处</w:t>
            </w:r>
          </w:p>
        </w:tc>
        <w:tc>
          <w:tcPr>
            <w:tcW w:w="901" w:type="pct"/>
            <w:vAlign w:val="center"/>
          </w:tcPr>
          <w:p w14:paraId="15F88C7F">
            <w:pPr>
              <w:pStyle w:val="68"/>
              <w:jc w:val="center"/>
              <w:rPr>
                <w:rFonts w:hint="eastAsia" w:ascii="宋体" w:hAnsi="宋体" w:eastAsia="宋体" w:cs="宋体"/>
                <w:highlight w:val="none"/>
              </w:rPr>
            </w:pPr>
            <w:r>
              <w:rPr>
                <w:rFonts w:hint="eastAsia" w:ascii="宋体" w:hAnsi="宋体" w:eastAsia="宋体" w:cs="宋体"/>
                <w:highlight w:val="none"/>
              </w:rPr>
              <w:t>车辆识别</w:t>
            </w:r>
          </w:p>
        </w:tc>
      </w:tr>
      <w:tr w14:paraId="3139F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570" w:type="pct"/>
            <w:vAlign w:val="center"/>
          </w:tcPr>
          <w:p w14:paraId="5EF21393">
            <w:pPr>
              <w:pStyle w:val="68"/>
              <w:jc w:val="center"/>
              <w:rPr>
                <w:rFonts w:hint="eastAsia" w:ascii="宋体" w:hAnsi="宋体" w:eastAsia="宋体" w:cs="宋体"/>
                <w:highlight w:val="none"/>
              </w:rPr>
            </w:pPr>
            <w:r>
              <w:rPr>
                <w:rFonts w:hint="eastAsia" w:ascii="宋体" w:hAnsi="宋体" w:eastAsia="宋体" w:cs="宋体"/>
                <w:color w:val="000000"/>
                <w:highlight w:val="none"/>
              </w:rPr>
              <w:t>出租车停靠识别摄像机</w:t>
            </w:r>
          </w:p>
        </w:tc>
        <w:tc>
          <w:tcPr>
            <w:tcW w:w="627" w:type="pct"/>
            <w:vAlign w:val="center"/>
          </w:tcPr>
          <w:p w14:paraId="07E5EA1D">
            <w:pPr>
              <w:pStyle w:val="68"/>
              <w:jc w:val="center"/>
              <w:rPr>
                <w:rFonts w:hint="eastAsia" w:ascii="宋体" w:hAnsi="宋体" w:eastAsia="宋体" w:cs="宋体"/>
                <w:highlight w:val="none"/>
              </w:rPr>
            </w:pPr>
            <w:r>
              <w:rPr>
                <w:rFonts w:hint="eastAsia" w:ascii="宋体" w:hAnsi="宋体" w:eastAsia="宋体" w:cs="宋体"/>
                <w:highlight w:val="none"/>
              </w:rPr>
              <w:t>台</w:t>
            </w:r>
          </w:p>
        </w:tc>
        <w:tc>
          <w:tcPr>
            <w:tcW w:w="572" w:type="pct"/>
            <w:vAlign w:val="center"/>
          </w:tcPr>
          <w:p w14:paraId="1A5309BE">
            <w:pPr>
              <w:pStyle w:val="68"/>
              <w:jc w:val="center"/>
              <w:rPr>
                <w:rFonts w:hint="eastAsia" w:ascii="宋体" w:hAnsi="宋体" w:eastAsia="宋体" w:cs="宋体"/>
                <w:highlight w:val="none"/>
              </w:rPr>
            </w:pPr>
            <w:r>
              <w:rPr>
                <w:rFonts w:hint="eastAsia" w:ascii="宋体" w:hAnsi="宋体" w:eastAsia="宋体" w:cs="宋体"/>
                <w:color w:val="000000"/>
                <w:highlight w:val="none"/>
              </w:rPr>
              <w:t>2</w:t>
            </w:r>
          </w:p>
        </w:tc>
        <w:tc>
          <w:tcPr>
            <w:tcW w:w="1329" w:type="pct"/>
            <w:vAlign w:val="center"/>
          </w:tcPr>
          <w:p w14:paraId="7EA98221">
            <w:pPr>
              <w:pStyle w:val="68"/>
              <w:jc w:val="center"/>
              <w:rPr>
                <w:rFonts w:hint="eastAsia" w:ascii="宋体" w:hAnsi="宋体" w:eastAsia="宋体" w:cs="宋体"/>
                <w:highlight w:val="none"/>
              </w:rPr>
            </w:pPr>
            <w:r>
              <w:rPr>
                <w:rFonts w:hint="eastAsia" w:ascii="宋体" w:hAnsi="宋体" w:eastAsia="宋体" w:cs="宋体"/>
                <w:highlight w:val="none"/>
              </w:rPr>
              <w:t>到达层出租车上客点</w:t>
            </w:r>
          </w:p>
        </w:tc>
        <w:tc>
          <w:tcPr>
            <w:tcW w:w="901" w:type="pct"/>
            <w:vAlign w:val="center"/>
          </w:tcPr>
          <w:p w14:paraId="47F23076">
            <w:pPr>
              <w:pStyle w:val="68"/>
              <w:jc w:val="center"/>
              <w:rPr>
                <w:rFonts w:hint="eastAsia" w:ascii="宋体" w:hAnsi="宋体" w:eastAsia="宋体" w:cs="宋体"/>
                <w:highlight w:val="none"/>
              </w:rPr>
            </w:pPr>
            <w:r>
              <w:rPr>
                <w:rFonts w:hint="eastAsia" w:ascii="宋体" w:hAnsi="宋体" w:eastAsia="宋体" w:cs="宋体"/>
                <w:highlight w:val="none"/>
              </w:rPr>
              <w:t>空位识别</w:t>
            </w:r>
          </w:p>
        </w:tc>
      </w:tr>
      <w:tr w14:paraId="2471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570" w:type="pct"/>
            <w:shd w:val="clear" w:color="auto" w:fill="auto"/>
            <w:vAlign w:val="center"/>
          </w:tcPr>
          <w:p w14:paraId="18D6001E">
            <w:pPr>
              <w:pStyle w:val="68"/>
              <w:jc w:val="center"/>
              <w:rPr>
                <w:rFonts w:hint="eastAsia" w:ascii="宋体" w:hAnsi="宋体" w:eastAsia="宋体" w:cs="宋体"/>
                <w:color w:val="000000"/>
                <w:highlight w:val="none"/>
              </w:rPr>
            </w:pPr>
            <w:r>
              <w:rPr>
                <w:rFonts w:hint="eastAsia" w:ascii="宋体" w:hAnsi="宋体" w:eastAsia="宋体" w:cs="宋体"/>
                <w:color w:val="000000"/>
                <w:highlight w:val="none"/>
              </w:rPr>
              <w:t>智能识别相机</w:t>
            </w:r>
          </w:p>
        </w:tc>
        <w:tc>
          <w:tcPr>
            <w:tcW w:w="627" w:type="pct"/>
            <w:shd w:val="clear" w:color="000000" w:fill="FFFFFF"/>
            <w:vAlign w:val="center"/>
          </w:tcPr>
          <w:p w14:paraId="64CF3C1D">
            <w:pPr>
              <w:pStyle w:val="68"/>
              <w:jc w:val="center"/>
              <w:rPr>
                <w:rFonts w:hint="eastAsia" w:ascii="宋体" w:hAnsi="宋体" w:eastAsia="宋体" w:cs="宋体"/>
                <w:highlight w:val="none"/>
              </w:rPr>
            </w:pPr>
            <w:r>
              <w:rPr>
                <w:rFonts w:hint="eastAsia" w:ascii="宋体" w:hAnsi="宋体" w:eastAsia="宋体" w:cs="宋体"/>
                <w:highlight w:val="none"/>
              </w:rPr>
              <w:t>台</w:t>
            </w:r>
          </w:p>
        </w:tc>
        <w:tc>
          <w:tcPr>
            <w:tcW w:w="572" w:type="pct"/>
            <w:vAlign w:val="center"/>
          </w:tcPr>
          <w:p w14:paraId="7D420DBB">
            <w:pPr>
              <w:pStyle w:val="68"/>
              <w:jc w:val="center"/>
              <w:rPr>
                <w:rFonts w:hint="eastAsia" w:ascii="宋体" w:hAnsi="宋体" w:eastAsia="宋体" w:cs="宋体"/>
                <w:highlight w:val="none"/>
              </w:rPr>
            </w:pPr>
            <w:r>
              <w:rPr>
                <w:rFonts w:hint="eastAsia" w:ascii="宋体" w:hAnsi="宋体" w:eastAsia="宋体" w:cs="宋体"/>
                <w:color w:val="000000"/>
                <w:highlight w:val="none"/>
              </w:rPr>
              <w:t>6</w:t>
            </w:r>
          </w:p>
        </w:tc>
        <w:tc>
          <w:tcPr>
            <w:tcW w:w="1329" w:type="pct"/>
            <w:vAlign w:val="center"/>
          </w:tcPr>
          <w:p w14:paraId="6A15C008">
            <w:pPr>
              <w:pStyle w:val="68"/>
              <w:jc w:val="center"/>
              <w:rPr>
                <w:rFonts w:hint="eastAsia" w:ascii="宋体" w:hAnsi="宋体" w:eastAsia="宋体" w:cs="宋体"/>
                <w:highlight w:val="none"/>
              </w:rPr>
            </w:pPr>
            <w:r>
              <w:rPr>
                <w:rFonts w:hint="eastAsia" w:ascii="宋体" w:hAnsi="宋体" w:eastAsia="宋体" w:cs="宋体"/>
                <w:highlight w:val="none"/>
              </w:rPr>
              <w:t>到达层</w:t>
            </w:r>
          </w:p>
        </w:tc>
        <w:tc>
          <w:tcPr>
            <w:tcW w:w="901" w:type="pct"/>
            <w:vAlign w:val="center"/>
          </w:tcPr>
          <w:p w14:paraId="5F74F1E8">
            <w:pPr>
              <w:pStyle w:val="68"/>
              <w:jc w:val="center"/>
              <w:rPr>
                <w:rFonts w:hint="eastAsia" w:ascii="宋体" w:hAnsi="宋体" w:eastAsia="宋体" w:cs="宋体"/>
                <w:highlight w:val="none"/>
              </w:rPr>
            </w:pPr>
            <w:r>
              <w:rPr>
                <w:rFonts w:hint="eastAsia" w:ascii="宋体" w:hAnsi="宋体" w:eastAsia="宋体" w:cs="宋体"/>
                <w:highlight w:val="none"/>
              </w:rPr>
              <w:t>人数和音视频采集识别</w:t>
            </w:r>
          </w:p>
        </w:tc>
      </w:tr>
      <w:tr w14:paraId="1E92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570" w:type="pct"/>
            <w:shd w:val="clear" w:color="auto" w:fill="auto"/>
            <w:vAlign w:val="center"/>
          </w:tcPr>
          <w:p w14:paraId="29A07B9C">
            <w:pPr>
              <w:pStyle w:val="68"/>
              <w:jc w:val="center"/>
              <w:rPr>
                <w:rFonts w:hint="eastAsia" w:ascii="宋体" w:hAnsi="宋体" w:eastAsia="宋体" w:cs="宋体"/>
                <w:highlight w:val="none"/>
              </w:rPr>
            </w:pPr>
            <w:r>
              <w:rPr>
                <w:rFonts w:hint="eastAsia" w:ascii="宋体" w:hAnsi="宋体" w:eastAsia="宋体" w:cs="宋体"/>
                <w:color w:val="000000"/>
                <w:highlight w:val="none"/>
              </w:rPr>
              <w:t>音箱系统</w:t>
            </w:r>
          </w:p>
        </w:tc>
        <w:tc>
          <w:tcPr>
            <w:tcW w:w="627" w:type="pct"/>
            <w:shd w:val="clear" w:color="000000" w:fill="FFFFFF"/>
            <w:vAlign w:val="center"/>
          </w:tcPr>
          <w:p w14:paraId="0CB2D7E8">
            <w:pPr>
              <w:pStyle w:val="68"/>
              <w:jc w:val="center"/>
              <w:rPr>
                <w:rFonts w:hint="eastAsia" w:ascii="宋体" w:hAnsi="宋体" w:eastAsia="宋体" w:cs="宋体"/>
                <w:highlight w:val="none"/>
              </w:rPr>
            </w:pPr>
            <w:r>
              <w:rPr>
                <w:rFonts w:hint="eastAsia" w:ascii="宋体" w:hAnsi="宋体" w:eastAsia="宋体" w:cs="宋体"/>
                <w:highlight w:val="none"/>
              </w:rPr>
              <w:t>台</w:t>
            </w:r>
          </w:p>
        </w:tc>
        <w:tc>
          <w:tcPr>
            <w:tcW w:w="572" w:type="pct"/>
            <w:vAlign w:val="center"/>
          </w:tcPr>
          <w:p w14:paraId="441196A7">
            <w:pPr>
              <w:pStyle w:val="68"/>
              <w:jc w:val="center"/>
              <w:rPr>
                <w:rFonts w:hint="eastAsia" w:ascii="宋体" w:hAnsi="宋体" w:eastAsia="宋体" w:cs="宋体"/>
                <w:highlight w:val="none"/>
              </w:rPr>
            </w:pPr>
            <w:r>
              <w:rPr>
                <w:rFonts w:hint="eastAsia" w:ascii="宋体" w:hAnsi="宋体" w:eastAsia="宋体" w:cs="宋体"/>
                <w:highlight w:val="none"/>
              </w:rPr>
              <w:t>2</w:t>
            </w:r>
          </w:p>
        </w:tc>
        <w:tc>
          <w:tcPr>
            <w:tcW w:w="1329" w:type="pct"/>
            <w:vAlign w:val="center"/>
          </w:tcPr>
          <w:p w14:paraId="71CD676C">
            <w:pPr>
              <w:pStyle w:val="68"/>
              <w:jc w:val="center"/>
              <w:rPr>
                <w:rFonts w:hint="eastAsia" w:ascii="宋体" w:hAnsi="宋体" w:eastAsia="宋体" w:cs="宋体"/>
                <w:highlight w:val="none"/>
              </w:rPr>
            </w:pPr>
            <w:r>
              <w:rPr>
                <w:rFonts w:hint="eastAsia" w:ascii="宋体" w:hAnsi="宋体" w:eastAsia="宋体" w:cs="宋体"/>
                <w:highlight w:val="none"/>
              </w:rPr>
              <w:t>全局</w:t>
            </w:r>
          </w:p>
        </w:tc>
        <w:tc>
          <w:tcPr>
            <w:tcW w:w="901" w:type="pct"/>
            <w:vAlign w:val="center"/>
          </w:tcPr>
          <w:p w14:paraId="70058382">
            <w:pPr>
              <w:pStyle w:val="68"/>
              <w:jc w:val="center"/>
              <w:rPr>
                <w:rFonts w:hint="eastAsia" w:ascii="宋体" w:hAnsi="宋体" w:eastAsia="宋体" w:cs="宋体"/>
                <w:highlight w:val="none"/>
              </w:rPr>
            </w:pPr>
            <w:r>
              <w:rPr>
                <w:rFonts w:hint="eastAsia" w:ascii="宋体" w:hAnsi="宋体" w:eastAsia="宋体" w:cs="宋体"/>
                <w:highlight w:val="none"/>
              </w:rPr>
              <w:t>语音提醒</w:t>
            </w:r>
          </w:p>
        </w:tc>
      </w:tr>
      <w:tr w14:paraId="66132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570" w:type="pct"/>
            <w:shd w:val="clear" w:color="auto" w:fill="auto"/>
            <w:vAlign w:val="center"/>
          </w:tcPr>
          <w:p w14:paraId="06A7CC38">
            <w:pPr>
              <w:pStyle w:val="68"/>
              <w:jc w:val="center"/>
              <w:rPr>
                <w:rFonts w:hint="eastAsia" w:ascii="宋体" w:hAnsi="宋体" w:eastAsia="宋体" w:cs="宋体"/>
                <w:color w:val="000000"/>
                <w:highlight w:val="none"/>
              </w:rPr>
            </w:pPr>
            <w:r>
              <w:rPr>
                <w:rFonts w:hint="eastAsia" w:ascii="宋体" w:hAnsi="宋体" w:eastAsia="宋体" w:cs="宋体"/>
                <w:color w:val="000000"/>
                <w:highlight w:val="none"/>
              </w:rPr>
              <w:t>一体式道闸</w:t>
            </w:r>
          </w:p>
        </w:tc>
        <w:tc>
          <w:tcPr>
            <w:tcW w:w="627" w:type="pct"/>
            <w:shd w:val="clear" w:color="000000" w:fill="FFFFFF"/>
            <w:vAlign w:val="center"/>
          </w:tcPr>
          <w:p w14:paraId="6E522B80">
            <w:pPr>
              <w:pStyle w:val="68"/>
              <w:jc w:val="center"/>
              <w:rPr>
                <w:rFonts w:hint="eastAsia" w:ascii="宋体" w:hAnsi="宋体" w:eastAsia="宋体" w:cs="宋体"/>
                <w:highlight w:val="none"/>
              </w:rPr>
            </w:pPr>
            <w:r>
              <w:rPr>
                <w:rFonts w:hint="eastAsia" w:ascii="宋体" w:hAnsi="宋体" w:eastAsia="宋体" w:cs="宋体"/>
                <w:highlight w:val="none"/>
              </w:rPr>
              <w:t>台</w:t>
            </w:r>
          </w:p>
        </w:tc>
        <w:tc>
          <w:tcPr>
            <w:tcW w:w="572" w:type="pct"/>
            <w:vAlign w:val="center"/>
          </w:tcPr>
          <w:p w14:paraId="615BBF50">
            <w:pPr>
              <w:pStyle w:val="68"/>
              <w:jc w:val="center"/>
              <w:rPr>
                <w:rFonts w:hint="eastAsia" w:ascii="宋体" w:hAnsi="宋体" w:eastAsia="宋体" w:cs="宋体"/>
                <w:highlight w:val="none"/>
              </w:rPr>
            </w:pPr>
            <w:r>
              <w:rPr>
                <w:rFonts w:hint="eastAsia" w:ascii="宋体" w:hAnsi="宋体" w:eastAsia="宋体" w:cs="宋体"/>
                <w:highlight w:val="none"/>
              </w:rPr>
              <w:t>18</w:t>
            </w:r>
          </w:p>
        </w:tc>
        <w:tc>
          <w:tcPr>
            <w:tcW w:w="1329" w:type="pct"/>
            <w:vAlign w:val="center"/>
          </w:tcPr>
          <w:p w14:paraId="17C75CF9">
            <w:pPr>
              <w:pStyle w:val="68"/>
              <w:jc w:val="center"/>
              <w:rPr>
                <w:rFonts w:hint="eastAsia" w:ascii="宋体" w:hAnsi="宋体" w:eastAsia="宋体" w:cs="宋体"/>
                <w:highlight w:val="none"/>
              </w:rPr>
            </w:pPr>
            <w:r>
              <w:rPr>
                <w:rFonts w:hint="eastAsia" w:ascii="宋体" w:hAnsi="宋体" w:eastAsia="宋体" w:cs="宋体"/>
                <w:highlight w:val="none"/>
              </w:rPr>
              <w:t>出租车蓄车区蓄车道</w:t>
            </w:r>
          </w:p>
        </w:tc>
        <w:tc>
          <w:tcPr>
            <w:tcW w:w="901" w:type="pct"/>
            <w:vAlign w:val="center"/>
          </w:tcPr>
          <w:p w14:paraId="56466810">
            <w:pPr>
              <w:pStyle w:val="68"/>
              <w:jc w:val="center"/>
              <w:rPr>
                <w:rFonts w:hint="eastAsia" w:ascii="宋体" w:hAnsi="宋体" w:eastAsia="宋体" w:cs="宋体"/>
                <w:highlight w:val="none"/>
              </w:rPr>
            </w:pPr>
            <w:r>
              <w:rPr>
                <w:rFonts w:hint="eastAsia" w:ascii="宋体" w:hAnsi="宋体" w:eastAsia="宋体" w:cs="宋体"/>
                <w:highlight w:val="none"/>
              </w:rPr>
              <w:t>快慢车道权限空置</w:t>
            </w:r>
          </w:p>
        </w:tc>
      </w:tr>
      <w:tr w14:paraId="1F543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1570" w:type="pct"/>
            <w:shd w:val="clear" w:color="auto" w:fill="auto"/>
            <w:vAlign w:val="center"/>
          </w:tcPr>
          <w:p w14:paraId="07357403">
            <w:pPr>
              <w:pStyle w:val="68"/>
              <w:jc w:val="center"/>
              <w:rPr>
                <w:rFonts w:hint="eastAsia" w:ascii="宋体" w:hAnsi="宋体" w:eastAsia="宋体" w:cs="宋体"/>
                <w:color w:val="000000"/>
                <w:highlight w:val="none"/>
              </w:rPr>
            </w:pPr>
            <w:r>
              <w:rPr>
                <w:rFonts w:hint="eastAsia" w:ascii="宋体" w:hAnsi="宋体" w:eastAsia="宋体" w:cs="宋体"/>
                <w:color w:val="000000"/>
                <w:highlight w:val="none"/>
              </w:rPr>
              <w:t>地灯/地柱灯</w:t>
            </w:r>
          </w:p>
        </w:tc>
        <w:tc>
          <w:tcPr>
            <w:tcW w:w="627" w:type="pct"/>
            <w:shd w:val="clear" w:color="000000" w:fill="FFFFFF"/>
            <w:vAlign w:val="center"/>
          </w:tcPr>
          <w:p w14:paraId="28B03DFB">
            <w:pPr>
              <w:pStyle w:val="68"/>
              <w:jc w:val="center"/>
              <w:rPr>
                <w:rFonts w:hint="eastAsia" w:ascii="宋体" w:hAnsi="宋体" w:eastAsia="宋体" w:cs="宋体"/>
                <w:highlight w:val="none"/>
              </w:rPr>
            </w:pPr>
            <w:r>
              <w:rPr>
                <w:rFonts w:hint="eastAsia" w:ascii="宋体" w:hAnsi="宋体" w:eastAsia="宋体" w:cs="宋体"/>
                <w:highlight w:val="none"/>
              </w:rPr>
              <w:t>台</w:t>
            </w:r>
          </w:p>
        </w:tc>
        <w:tc>
          <w:tcPr>
            <w:tcW w:w="572" w:type="pct"/>
            <w:vAlign w:val="center"/>
          </w:tcPr>
          <w:p w14:paraId="0C468414">
            <w:pPr>
              <w:pStyle w:val="68"/>
              <w:jc w:val="center"/>
              <w:rPr>
                <w:rFonts w:hint="eastAsia" w:ascii="宋体" w:hAnsi="宋体" w:eastAsia="宋体" w:cs="宋体"/>
                <w:highlight w:val="none"/>
              </w:rPr>
            </w:pPr>
            <w:r>
              <w:rPr>
                <w:rFonts w:hint="eastAsia" w:ascii="宋体" w:hAnsi="宋体" w:eastAsia="宋体" w:cs="宋体"/>
                <w:highlight w:val="none"/>
              </w:rPr>
              <w:t>9</w:t>
            </w:r>
          </w:p>
        </w:tc>
        <w:tc>
          <w:tcPr>
            <w:tcW w:w="1329" w:type="pct"/>
            <w:vAlign w:val="center"/>
          </w:tcPr>
          <w:p w14:paraId="0845A818">
            <w:pPr>
              <w:pStyle w:val="68"/>
              <w:jc w:val="center"/>
              <w:rPr>
                <w:rFonts w:hint="eastAsia" w:ascii="宋体" w:hAnsi="宋体" w:eastAsia="宋体" w:cs="宋体"/>
                <w:highlight w:val="none"/>
              </w:rPr>
            </w:pPr>
            <w:r>
              <w:rPr>
                <w:rFonts w:hint="eastAsia" w:ascii="宋体" w:hAnsi="宋体" w:eastAsia="宋体" w:cs="宋体"/>
                <w:highlight w:val="none"/>
              </w:rPr>
              <w:t>出租车蓄车区蓄车道入口</w:t>
            </w:r>
          </w:p>
        </w:tc>
        <w:tc>
          <w:tcPr>
            <w:tcW w:w="901" w:type="pct"/>
            <w:vAlign w:val="center"/>
          </w:tcPr>
          <w:p w14:paraId="734E565D">
            <w:pPr>
              <w:pStyle w:val="68"/>
              <w:jc w:val="center"/>
              <w:rPr>
                <w:rFonts w:hint="eastAsia" w:ascii="宋体" w:hAnsi="宋体" w:eastAsia="宋体" w:cs="宋体"/>
                <w:highlight w:val="none"/>
              </w:rPr>
            </w:pPr>
            <w:r>
              <w:rPr>
                <w:rFonts w:hint="eastAsia" w:ascii="宋体" w:hAnsi="宋体" w:eastAsia="宋体" w:cs="宋体"/>
                <w:highlight w:val="none"/>
              </w:rPr>
              <w:t>快慢车道开放提醒</w:t>
            </w:r>
          </w:p>
        </w:tc>
      </w:tr>
    </w:tbl>
    <w:p w14:paraId="7BC59108">
      <w:pPr>
        <w:pStyle w:val="7"/>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硬件设施设计</w:t>
      </w:r>
    </w:p>
    <w:p w14:paraId="6559E653">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到达层网约车上客点设备安装</w:t>
      </w:r>
    </w:p>
    <w:p w14:paraId="44E5F94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到达层上客区共规划了25个车位，其中001-010车位为网约车车位，其安装的设备包括：</w:t>
      </w:r>
    </w:p>
    <w:p w14:paraId="4598438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在001、010车位处，各安装1个高位监控相机，负责对网约车停车情况进行车辆识别；在005和006车位交接处安装2个高位监控相机，负责对网约车停车辅助支撑车辆识别。</w:t>
      </w:r>
    </w:p>
    <w:p w14:paraId="7D6350C1">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在010和005处安装智能识别相机，一是实现音频采集二是实现对等待人数的视频统计。</w:t>
      </w:r>
    </w:p>
    <w:p w14:paraId="661DFD9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color w:val="000000"/>
          <w:highlight w:val="none"/>
        </w:rPr>
      </w:pPr>
      <w:r>
        <w:rPr>
          <w:rFonts w:hint="eastAsia" w:ascii="宋体" w:hAnsi="宋体" w:eastAsia="宋体" w:cs="宋体"/>
          <w:highlight w:val="none"/>
        </w:rPr>
        <w:t>在001、003、005、007、009末端车位处安装5处</w:t>
      </w:r>
      <w:r>
        <w:rPr>
          <w:rFonts w:hint="eastAsia" w:ascii="宋体" w:hAnsi="宋体" w:eastAsia="宋体" w:cs="宋体"/>
          <w:color w:val="000000"/>
          <w:highlight w:val="none"/>
        </w:rPr>
        <w:t>网约车停靠通知显示器，用于提醒周边车位的上站车辆信息。</w:t>
      </w:r>
    </w:p>
    <w:p w14:paraId="27965EE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color w:val="000000"/>
          <w:highlight w:val="none"/>
        </w:rPr>
        <w:t>在网约车车位侧面编写地面标识编号。</w:t>
      </w:r>
    </w:p>
    <w:p w14:paraId="4EC37D9D">
      <w:pPr>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72405" cy="1080135"/>
            <wp:effectExtent l="0" t="0" r="4445" b="5715"/>
            <wp:docPr id="4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6"/>
                    <pic:cNvPicPr>
                      <a:picLocks noChangeAspect="1"/>
                    </pic:cNvPicPr>
                  </pic:nvPicPr>
                  <pic:blipFill>
                    <a:blip r:embed="rId49"/>
                    <a:stretch>
                      <a:fillRect/>
                    </a:stretch>
                  </pic:blipFill>
                  <pic:spPr>
                    <a:xfrm>
                      <a:off x="0" y="0"/>
                      <a:ext cx="5272405" cy="1080135"/>
                    </a:xfrm>
                    <a:prstGeom prst="rect">
                      <a:avLst/>
                    </a:prstGeom>
                    <a:noFill/>
                    <a:ln>
                      <a:noFill/>
                    </a:ln>
                  </pic:spPr>
                </pic:pic>
              </a:graphicData>
            </a:graphic>
          </wp:inline>
        </w:drawing>
      </w:r>
    </w:p>
    <w:p w14:paraId="3CB6C4A1">
      <w:pPr>
        <w:pStyle w:val="63"/>
        <w:numPr>
          <w:ilvl w:val="7"/>
          <w:numId w:val="7"/>
        </w:numPr>
        <w:rPr>
          <w:rFonts w:hint="eastAsia" w:ascii="宋体" w:hAnsi="宋体" w:eastAsia="宋体" w:cs="宋体"/>
          <w:color w:val="000000"/>
          <w:szCs w:val="28"/>
          <w:highlight w:val="none"/>
        </w:rPr>
      </w:pPr>
      <w:r>
        <w:rPr>
          <w:rFonts w:hint="eastAsia" w:ascii="宋体" w:hAnsi="宋体" w:eastAsia="宋体" w:cs="宋体"/>
          <w:highlight w:val="none"/>
        </w:rPr>
        <w:t>网约车停靠设备安装位置示意图</w:t>
      </w:r>
    </w:p>
    <w:p w14:paraId="4AA23119">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到达层公交大巴车上客区设备安装</w:t>
      </w:r>
    </w:p>
    <w:p w14:paraId="4B42796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公交车和大巴车会使用011、012、013、014车位。</w:t>
      </w:r>
    </w:p>
    <w:p w14:paraId="50383EC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拟在011、013车位前端附近安装2个高位监控摄像机，用以对公交大巴车进行车辆识别和实时画面监控。</w:t>
      </w:r>
    </w:p>
    <w:p w14:paraId="18CD5AB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在010处和013处安装智能识别相机，一是实现音频采集二是实现对等待人数的视频统计。</w:t>
      </w:r>
    </w:p>
    <w:p w14:paraId="191F0DE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在011车位、013车位安装2个停靠通知显示器，用以显示公交车班线和站点信息，大巴车呼叫信息。</w:t>
      </w:r>
    </w:p>
    <w:p w14:paraId="5766344F">
      <w:pPr>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71770" cy="1063625"/>
            <wp:effectExtent l="0" t="0" r="5080" b="3175"/>
            <wp:docPr id="4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7"/>
                    <pic:cNvPicPr>
                      <a:picLocks noChangeAspect="1"/>
                    </pic:cNvPicPr>
                  </pic:nvPicPr>
                  <pic:blipFill>
                    <a:blip r:embed="rId50"/>
                    <a:stretch>
                      <a:fillRect/>
                    </a:stretch>
                  </pic:blipFill>
                  <pic:spPr>
                    <a:xfrm>
                      <a:off x="0" y="0"/>
                      <a:ext cx="5271770" cy="1063625"/>
                    </a:xfrm>
                    <a:prstGeom prst="rect">
                      <a:avLst/>
                    </a:prstGeom>
                    <a:noFill/>
                    <a:ln>
                      <a:noFill/>
                    </a:ln>
                  </pic:spPr>
                </pic:pic>
              </a:graphicData>
            </a:graphic>
          </wp:inline>
        </w:drawing>
      </w:r>
    </w:p>
    <w:p w14:paraId="06F1942B">
      <w:pPr>
        <w:pStyle w:val="63"/>
        <w:numPr>
          <w:ilvl w:val="7"/>
          <w:numId w:val="7"/>
        </w:numPr>
        <w:rPr>
          <w:rFonts w:hint="eastAsia" w:ascii="宋体" w:hAnsi="宋体" w:eastAsia="宋体" w:cs="宋体"/>
          <w:highlight w:val="none"/>
        </w:rPr>
      </w:pPr>
      <w:r>
        <w:rPr>
          <w:rFonts w:hint="eastAsia" w:ascii="宋体" w:hAnsi="宋体" w:eastAsia="宋体" w:cs="宋体"/>
          <w:highlight w:val="none"/>
        </w:rPr>
        <w:t>公交车/大巴车上客区设备安装位置示意图</w:t>
      </w:r>
    </w:p>
    <w:p w14:paraId="7CCDE473">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到达层出租车上客区设备安装</w:t>
      </w:r>
    </w:p>
    <w:p w14:paraId="01C1FDC7">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出租车上客区在015车位、025车位处安装2处智能识别相机和2个高位相机，用以监控出租车上客区车辆异常动态和排队人数的视频识别、车辆停放状态。</w:t>
      </w:r>
    </w:p>
    <w:p w14:paraId="0A316149">
      <w:pPr>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62880" cy="847725"/>
            <wp:effectExtent l="0" t="0" r="13970" b="9525"/>
            <wp:docPr id="4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pic:cNvPicPr>
                      <a:picLocks noChangeAspect="1"/>
                    </pic:cNvPicPr>
                  </pic:nvPicPr>
                  <pic:blipFill>
                    <a:blip r:embed="rId51"/>
                    <a:stretch>
                      <a:fillRect/>
                    </a:stretch>
                  </pic:blipFill>
                  <pic:spPr>
                    <a:xfrm>
                      <a:off x="0" y="0"/>
                      <a:ext cx="5262880" cy="847725"/>
                    </a:xfrm>
                    <a:prstGeom prst="rect">
                      <a:avLst/>
                    </a:prstGeom>
                    <a:noFill/>
                    <a:ln>
                      <a:noFill/>
                    </a:ln>
                  </pic:spPr>
                </pic:pic>
              </a:graphicData>
            </a:graphic>
          </wp:inline>
        </w:drawing>
      </w:r>
    </w:p>
    <w:p w14:paraId="236DE485">
      <w:pPr>
        <w:pStyle w:val="63"/>
        <w:numPr>
          <w:ilvl w:val="7"/>
          <w:numId w:val="7"/>
        </w:numPr>
        <w:rPr>
          <w:rFonts w:hint="eastAsia" w:ascii="宋体" w:hAnsi="宋体" w:eastAsia="宋体" w:cs="宋体"/>
          <w:highlight w:val="none"/>
        </w:rPr>
      </w:pPr>
      <w:r>
        <w:rPr>
          <w:rFonts w:hint="eastAsia" w:ascii="宋体" w:hAnsi="宋体" w:eastAsia="宋体" w:cs="宋体"/>
          <w:highlight w:val="none"/>
        </w:rPr>
        <w:t>出租车上客区摄像机安装位置示意图</w:t>
      </w:r>
    </w:p>
    <w:p w14:paraId="49E49939">
      <w:pPr>
        <w:pStyle w:val="8"/>
        <w:bidi w:val="0"/>
        <w:rPr>
          <w:rFonts w:hint="eastAsia"/>
          <w:highlight w:val="none"/>
        </w:rPr>
      </w:pPr>
      <w:r>
        <w:rPr>
          <w:rFonts w:hint="eastAsia"/>
          <w:highlight w:val="none"/>
        </w:rPr>
        <w:t>到达层上客区地磁安装</w:t>
      </w:r>
    </w:p>
    <w:p w14:paraId="61D70545">
      <w:pPr>
        <w:ind w:firstLine="480"/>
        <w:rPr>
          <w:rFonts w:hint="eastAsia" w:ascii="宋体" w:hAnsi="宋体" w:eastAsia="宋体" w:cs="宋体"/>
          <w:highlight w:val="none"/>
        </w:rPr>
      </w:pPr>
      <w:r>
        <w:rPr>
          <w:rFonts w:hint="eastAsia" w:ascii="宋体" w:hAnsi="宋体" w:eastAsia="宋体" w:cs="宋体"/>
          <w:highlight w:val="none"/>
        </w:rPr>
        <w:t>上客区总共25个上客位安装25个地磁。</w:t>
      </w:r>
    </w:p>
    <w:p w14:paraId="10F21D42">
      <w:pPr>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63515" cy="806450"/>
            <wp:effectExtent l="0" t="0" r="13335" b="12700"/>
            <wp:docPr id="4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9"/>
                    <pic:cNvPicPr>
                      <a:picLocks noChangeAspect="1"/>
                    </pic:cNvPicPr>
                  </pic:nvPicPr>
                  <pic:blipFill>
                    <a:blip r:embed="rId52"/>
                    <a:stretch>
                      <a:fillRect/>
                    </a:stretch>
                  </pic:blipFill>
                  <pic:spPr>
                    <a:xfrm>
                      <a:off x="0" y="0"/>
                      <a:ext cx="5263515" cy="806450"/>
                    </a:xfrm>
                    <a:prstGeom prst="rect">
                      <a:avLst/>
                    </a:prstGeom>
                    <a:noFill/>
                    <a:ln>
                      <a:noFill/>
                    </a:ln>
                  </pic:spPr>
                </pic:pic>
              </a:graphicData>
            </a:graphic>
          </wp:inline>
        </w:drawing>
      </w:r>
    </w:p>
    <w:p w14:paraId="335923C0">
      <w:pPr>
        <w:pStyle w:val="63"/>
        <w:numPr>
          <w:ilvl w:val="7"/>
          <w:numId w:val="7"/>
        </w:numPr>
        <w:rPr>
          <w:rFonts w:hint="eastAsia" w:ascii="宋体" w:hAnsi="宋体" w:eastAsia="宋体" w:cs="宋体"/>
          <w:highlight w:val="none"/>
        </w:rPr>
      </w:pPr>
      <w:r>
        <w:rPr>
          <w:rFonts w:hint="eastAsia" w:ascii="宋体" w:hAnsi="宋体" w:eastAsia="宋体" w:cs="宋体"/>
          <w:highlight w:val="none"/>
        </w:rPr>
        <w:t>到达层上客区地磁安装位置示意图</w:t>
      </w:r>
    </w:p>
    <w:p w14:paraId="7DBD4E1E">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出租车蓄车区设备安装</w:t>
      </w:r>
    </w:p>
    <w:p w14:paraId="626ADF2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蓄车区入口处安装车牌识别摄像机1台，安装蓄车道进口和出口处安装对应道闸和提示灯，在蓄车区道闸进口处，安装1台音箱，用以提醒车辆进出要求。</w:t>
      </w:r>
    </w:p>
    <w:p w14:paraId="38FF46D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车辆在进出蓄车区停车区入口处道闸，此时系统会识别车辆信息，并计算当前车辆的进入车道道闸顺序，同时入口处音箱进行提醒广播，入口处道闸打开，在蓄车车道安装提示灯高亮并同时打开蓄车车道的开关状态。</w:t>
      </w:r>
    </w:p>
    <w:p w14:paraId="344E5D82">
      <w:pPr>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2139950" cy="3777615"/>
            <wp:effectExtent l="0" t="0" r="8890" b="1905"/>
            <wp:docPr id="4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0"/>
                    <pic:cNvPicPr>
                      <a:picLocks noChangeAspect="1"/>
                    </pic:cNvPicPr>
                  </pic:nvPicPr>
                  <pic:blipFill>
                    <a:blip r:embed="rId53"/>
                    <a:stretch>
                      <a:fillRect/>
                    </a:stretch>
                  </pic:blipFill>
                  <pic:spPr>
                    <a:xfrm>
                      <a:off x="0" y="0"/>
                      <a:ext cx="2139950" cy="3777615"/>
                    </a:xfrm>
                    <a:prstGeom prst="rect">
                      <a:avLst/>
                    </a:prstGeom>
                    <a:noFill/>
                    <a:ln>
                      <a:noFill/>
                    </a:ln>
                  </pic:spPr>
                </pic:pic>
              </a:graphicData>
            </a:graphic>
          </wp:inline>
        </w:drawing>
      </w:r>
    </w:p>
    <w:p w14:paraId="3D661A2B">
      <w:pPr>
        <w:pStyle w:val="63"/>
        <w:numPr>
          <w:ilvl w:val="7"/>
          <w:numId w:val="7"/>
        </w:numPr>
        <w:rPr>
          <w:rFonts w:hint="eastAsia" w:ascii="宋体" w:hAnsi="宋体" w:eastAsia="宋体" w:cs="宋体"/>
          <w:highlight w:val="none"/>
        </w:rPr>
      </w:pPr>
      <w:r>
        <w:rPr>
          <w:rFonts w:hint="eastAsia" w:ascii="宋体" w:hAnsi="宋体" w:eastAsia="宋体" w:cs="宋体"/>
          <w:highlight w:val="none"/>
        </w:rPr>
        <w:t>出租车蓄车区设备安装位置示意图</w:t>
      </w:r>
    </w:p>
    <w:p w14:paraId="1106CA93">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出租车蓄车区道闸采用软隔离的方式，根据当前机场设计，①-③车道、④-⑥车道、⑦-⑨车道间有绿化带隔离。因此需要补充6个软隔离，使用可移动式栏杆进行区分。当后续出租车司机形成通行习惯后，将取消栏杆隔离。</w:t>
      </w:r>
    </w:p>
    <w:p w14:paraId="4C9632E8">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大型车停车区设备安装</w:t>
      </w:r>
    </w:p>
    <w:p w14:paraId="392BCF6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大型车停车区在对角处安装2台视频监控摄像机。</w:t>
      </w:r>
    </w:p>
    <w:p w14:paraId="60BFF263">
      <w:pPr>
        <w:ind w:firstLine="48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2305050" cy="2159000"/>
            <wp:effectExtent l="0" t="0" r="0" b="12700"/>
            <wp:docPr id="5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pic:cNvPicPr>
                      <a:picLocks noChangeAspect="1"/>
                    </pic:cNvPicPr>
                  </pic:nvPicPr>
                  <pic:blipFill>
                    <a:blip r:embed="rId54"/>
                    <a:stretch>
                      <a:fillRect/>
                    </a:stretch>
                  </pic:blipFill>
                  <pic:spPr>
                    <a:xfrm>
                      <a:off x="0" y="0"/>
                      <a:ext cx="2305050" cy="2159000"/>
                    </a:xfrm>
                    <a:prstGeom prst="rect">
                      <a:avLst/>
                    </a:prstGeom>
                    <a:noFill/>
                    <a:ln>
                      <a:noFill/>
                    </a:ln>
                  </pic:spPr>
                </pic:pic>
              </a:graphicData>
            </a:graphic>
          </wp:inline>
        </w:drawing>
      </w:r>
    </w:p>
    <w:p w14:paraId="3EC2AF9C">
      <w:pPr>
        <w:pStyle w:val="63"/>
        <w:numPr>
          <w:ilvl w:val="7"/>
          <w:numId w:val="7"/>
        </w:numPr>
        <w:rPr>
          <w:rFonts w:hint="eastAsia" w:ascii="宋体" w:hAnsi="宋体" w:eastAsia="宋体" w:cs="宋体"/>
          <w:highlight w:val="none"/>
        </w:rPr>
      </w:pPr>
      <w:r>
        <w:rPr>
          <w:rFonts w:hint="eastAsia" w:ascii="宋体" w:hAnsi="宋体" w:eastAsia="宋体" w:cs="宋体"/>
          <w:highlight w:val="none"/>
        </w:rPr>
        <w:t>大型车停车区设备安装位置示意图</w:t>
      </w:r>
    </w:p>
    <w:p w14:paraId="4DD7BFE0">
      <w:pPr>
        <w:pStyle w:val="8"/>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网约车停车区设备安装</w:t>
      </w:r>
    </w:p>
    <w:p w14:paraId="68E8C3CC">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网约车停车区出口处安装秩序管理的音箱一台。在场区内设置部分活动宣传和提示标识。</w:t>
      </w:r>
    </w:p>
    <w:p w14:paraId="44AC57A1">
      <w:pPr>
        <w:ind w:firstLine="48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1318260" cy="3806825"/>
            <wp:effectExtent l="0" t="0" r="15240" b="3175"/>
            <wp:docPr id="5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2"/>
                    <pic:cNvPicPr>
                      <a:picLocks noChangeAspect="1"/>
                    </pic:cNvPicPr>
                  </pic:nvPicPr>
                  <pic:blipFill>
                    <a:blip r:embed="rId55"/>
                    <a:stretch>
                      <a:fillRect/>
                    </a:stretch>
                  </pic:blipFill>
                  <pic:spPr>
                    <a:xfrm>
                      <a:off x="0" y="0"/>
                      <a:ext cx="1318260" cy="3806825"/>
                    </a:xfrm>
                    <a:prstGeom prst="rect">
                      <a:avLst/>
                    </a:prstGeom>
                    <a:noFill/>
                    <a:ln>
                      <a:noFill/>
                    </a:ln>
                  </pic:spPr>
                </pic:pic>
              </a:graphicData>
            </a:graphic>
          </wp:inline>
        </w:drawing>
      </w:r>
    </w:p>
    <w:p w14:paraId="22AA9242">
      <w:pPr>
        <w:pStyle w:val="63"/>
        <w:numPr>
          <w:ilvl w:val="7"/>
          <w:numId w:val="7"/>
        </w:numPr>
        <w:rPr>
          <w:rFonts w:hint="eastAsia" w:ascii="宋体" w:hAnsi="宋体" w:eastAsia="宋体" w:cs="宋体"/>
          <w:highlight w:val="none"/>
        </w:rPr>
      </w:pPr>
      <w:r>
        <w:rPr>
          <w:rFonts w:hint="eastAsia" w:ascii="宋体" w:hAnsi="宋体" w:eastAsia="宋体" w:cs="宋体"/>
          <w:highlight w:val="none"/>
        </w:rPr>
        <w:t>网约车停车区设备安装位置示意图</w:t>
      </w:r>
    </w:p>
    <w:p w14:paraId="04B9AE7E">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bookmarkStart w:id="229" w:name="_Toc20697"/>
      <w:bookmarkStart w:id="230" w:name="_Toc12523"/>
      <w:bookmarkStart w:id="231" w:name="_Toc19754"/>
      <w:bookmarkStart w:id="232" w:name="_Toc28750"/>
      <w:bookmarkStart w:id="233" w:name="_Toc6974"/>
      <w:bookmarkStart w:id="234" w:name="_Toc173962261"/>
      <w:bookmarkStart w:id="235" w:name="_Toc9886"/>
      <w:bookmarkStart w:id="236" w:name="_Toc8705"/>
      <w:bookmarkStart w:id="237" w:name="_Toc27284"/>
      <w:bookmarkStart w:id="238" w:name="_Toc17832"/>
      <w:bookmarkStart w:id="239" w:name="_Toc25814"/>
      <w:r>
        <w:rPr>
          <w:rFonts w:hint="eastAsia"/>
          <w:highlight w:val="none"/>
        </w:rPr>
        <w:t>陆侧交通预测预警评估系统</w:t>
      </w:r>
      <w:bookmarkEnd w:id="229"/>
      <w:bookmarkEnd w:id="230"/>
      <w:bookmarkEnd w:id="231"/>
      <w:bookmarkEnd w:id="232"/>
      <w:bookmarkEnd w:id="233"/>
      <w:bookmarkEnd w:id="234"/>
      <w:bookmarkEnd w:id="235"/>
      <w:bookmarkEnd w:id="236"/>
      <w:bookmarkEnd w:id="237"/>
      <w:bookmarkEnd w:id="238"/>
      <w:bookmarkEnd w:id="239"/>
    </w:p>
    <w:p w14:paraId="6267DA4F">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设计思路</w:t>
      </w:r>
    </w:p>
    <w:p w14:paraId="452EEDE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陆侧交通预测预警评估系统的设计初衷是通过整合和分析来自不同渠道的数据，包括但不限于历史陆侧交通数据、航班运行记录、公安信息以及气象资料等，构建一个精确的交通流量模型。该系统旨在对未来的交通状况进行深入分析和预测，以便提前预知可能出现的交通拥堵、交通事故、灾害性天气、公共安全问题以及紧急车辆的通行需求等关键事件。通过数据可视化技术，系统能够将分析和预测的结果以直观的方式呈现出来，从而为机场管理部门在日常运营和应急管理中提供有力的决策支持。</w:t>
      </w:r>
    </w:p>
    <w:p w14:paraId="346A862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在应对突发事件时，陆侧交通预测预警评估系统能够自动触发预警机制，并通过多种渠道迅速传播预警信息，确保信息能够覆盖到所有相关人员。这些渠道包括但不限于短信、电话等，以提高信息的传播效率和确保信息能够及时到达每一个需要的角落。</w:t>
      </w:r>
    </w:p>
    <w:p w14:paraId="75A92C9A">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sz w:val="28"/>
          <w:szCs w:val="22"/>
          <w:highlight w:val="none"/>
        </w:rPr>
      </w:pPr>
      <w:r>
        <w:rPr>
          <w:rFonts w:hint="eastAsia" w:ascii="宋体" w:hAnsi="宋体" w:eastAsia="宋体" w:cs="宋体"/>
          <w:highlight w:val="none"/>
        </w:rPr>
        <w:t>该系统由两大核心应用组成：交通需求评估和交通预警管理。交通需求评估应用进一步细分为四个功能模块：交通流量预报、运力调度决策、停车需求分析和交通影响评价。这些模块共同作用，帮助管理者准确把握交通需求的变化趋势，从而做出更为合理的规划和调整。而交通预警管理应用则包含事件预警、应急预案、预警触达与跟踪三个功能模块，它们共同构成了一个快速反应机制，确保在紧急情况下能够迅速采取行动，并有效跟踪预警信息的传播和执行情况。</w:t>
      </w:r>
    </w:p>
    <w:p w14:paraId="7621171D">
      <w:pPr>
        <w:pStyle w:val="6"/>
        <w:pageBreakBefore w:val="0"/>
        <w:widowControl w:val="0"/>
        <w:kinsoku/>
        <w:wordWrap/>
        <w:overflowPunct/>
        <w:topLinePunct w:val="0"/>
        <w:autoSpaceDE/>
        <w:autoSpaceDN/>
        <w:bidi w:val="0"/>
        <w:adjustRightInd/>
        <w:snapToGrid/>
        <w:spacing w:line="400" w:lineRule="exact"/>
        <w:textAlignment w:val="auto"/>
        <w:rPr>
          <w:rFonts w:hint="eastAsia"/>
          <w:highlight w:val="none"/>
        </w:rPr>
      </w:pPr>
      <w:r>
        <w:rPr>
          <w:rFonts w:hint="eastAsia"/>
          <w:highlight w:val="none"/>
        </w:rPr>
        <w:t>系统框架</w:t>
      </w:r>
    </w:p>
    <w:p w14:paraId="6E80A772">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项目的总体架构如下图所示：</w:t>
      </w:r>
    </w:p>
    <w:p w14:paraId="58A4C09D">
      <w:pPr>
        <w:adjustRightInd w:val="0"/>
        <w:ind w:firstLine="0" w:firstLineChars="0"/>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171440" cy="3709035"/>
            <wp:effectExtent l="9525" t="9525" r="19685" b="15240"/>
            <wp:docPr id="30" name="图片 30" descr="系统功能框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系统功能框架"/>
                    <pic:cNvPicPr>
                      <a:picLocks noChangeAspect="1"/>
                    </pic:cNvPicPr>
                  </pic:nvPicPr>
                  <pic:blipFill>
                    <a:blip r:embed="rId56"/>
                    <a:stretch>
                      <a:fillRect/>
                    </a:stretch>
                  </pic:blipFill>
                  <pic:spPr>
                    <a:xfrm>
                      <a:off x="0" y="0"/>
                      <a:ext cx="5171440" cy="3709035"/>
                    </a:xfrm>
                    <a:prstGeom prst="rect">
                      <a:avLst/>
                    </a:prstGeom>
                    <a:ln>
                      <a:solidFill>
                        <a:schemeClr val="accent1"/>
                      </a:solidFill>
                    </a:ln>
                  </pic:spPr>
                </pic:pic>
              </a:graphicData>
            </a:graphic>
          </wp:inline>
        </w:drawing>
      </w:r>
    </w:p>
    <w:p w14:paraId="437E3F25">
      <w:pPr>
        <w:pStyle w:val="63"/>
        <w:numPr>
          <w:ilvl w:val="7"/>
          <w:numId w:val="7"/>
        </w:numPr>
        <w:rPr>
          <w:rFonts w:hint="eastAsia" w:ascii="宋体" w:hAnsi="宋体" w:eastAsia="宋体" w:cs="宋体"/>
          <w:highlight w:val="none"/>
        </w:rPr>
      </w:pPr>
      <w:r>
        <w:rPr>
          <w:rFonts w:hint="eastAsia" w:ascii="宋体" w:hAnsi="宋体" w:eastAsia="宋体" w:cs="宋体"/>
          <w:highlight w:val="none"/>
        </w:rPr>
        <w:t>陆侧交通预测预警评估系统架构</w:t>
      </w:r>
    </w:p>
    <w:p w14:paraId="5D494EC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lang w:val="zh-CN"/>
        </w:rPr>
      </w:pPr>
      <w:r>
        <w:rPr>
          <w:rFonts w:hint="eastAsia" w:ascii="宋体" w:hAnsi="宋体" w:eastAsia="宋体" w:cs="宋体"/>
          <w:highlight w:val="none"/>
          <w:lang w:val="zh-CN"/>
        </w:rPr>
        <w:t>数据</w:t>
      </w:r>
      <w:r>
        <w:rPr>
          <w:rFonts w:hint="eastAsia" w:ascii="宋体" w:hAnsi="宋体" w:eastAsia="宋体" w:cs="宋体"/>
          <w:highlight w:val="none"/>
        </w:rPr>
        <w:t>层</w:t>
      </w:r>
      <w:r>
        <w:rPr>
          <w:rFonts w:hint="eastAsia" w:ascii="宋体" w:hAnsi="宋体" w:eastAsia="宋体" w:cs="宋体"/>
          <w:highlight w:val="none"/>
          <w:lang w:val="zh-CN"/>
        </w:rPr>
        <w:t>：</w:t>
      </w:r>
      <w:r>
        <w:rPr>
          <w:rFonts w:hint="eastAsia" w:ascii="宋体" w:hAnsi="宋体" w:eastAsia="宋体" w:cs="宋体"/>
          <w:highlight w:val="none"/>
        </w:rPr>
        <w:t>纳入航班起降信息，天气预警信息，停车场需车数据，进出排队数据，周边交通流量数据等</w:t>
      </w:r>
      <w:r>
        <w:rPr>
          <w:rFonts w:hint="eastAsia" w:ascii="宋体" w:hAnsi="宋体" w:eastAsia="宋体" w:cs="宋体"/>
          <w:highlight w:val="none"/>
          <w:lang w:val="zh-CN"/>
        </w:rPr>
        <w:t>。</w:t>
      </w:r>
    </w:p>
    <w:p w14:paraId="6060D89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lang w:val="zh-CN"/>
        </w:rPr>
        <w:t>应用</w:t>
      </w:r>
      <w:r>
        <w:rPr>
          <w:rFonts w:hint="eastAsia" w:ascii="宋体" w:hAnsi="宋体" w:eastAsia="宋体" w:cs="宋体"/>
          <w:highlight w:val="none"/>
        </w:rPr>
        <w:t>层</w:t>
      </w:r>
      <w:r>
        <w:rPr>
          <w:rFonts w:hint="eastAsia" w:ascii="宋体" w:hAnsi="宋体" w:eastAsia="宋体" w:cs="宋体"/>
          <w:highlight w:val="none"/>
          <w:lang w:val="zh-CN"/>
        </w:rPr>
        <w:t>：本次建设的陆侧交通预测预警评估系统</w:t>
      </w:r>
      <w:r>
        <w:rPr>
          <w:rFonts w:hint="eastAsia" w:ascii="宋体" w:hAnsi="宋体" w:eastAsia="宋体" w:cs="宋体"/>
          <w:highlight w:val="none"/>
        </w:rPr>
        <w:t>包括了交通需求评估、交通预警管理模块。</w:t>
      </w:r>
    </w:p>
    <w:p w14:paraId="7E6171E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highlight w:val="none"/>
        </w:rPr>
      </w:pPr>
      <w:r>
        <w:rPr>
          <w:rFonts w:hint="eastAsia" w:ascii="宋体" w:hAnsi="宋体" w:eastAsia="宋体" w:cs="宋体"/>
          <w:highlight w:val="none"/>
        </w:rPr>
        <w:t>本系统的功能框架如下：</w:t>
      </w:r>
    </w:p>
    <w:p w14:paraId="7B5B26A5">
      <w:pPr>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57800" cy="1897380"/>
            <wp:effectExtent l="0" t="0" r="0" b="0"/>
            <wp:docPr id="95" name="图片 95" descr="陆侧交通预测预警评估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陆侧交通预测预警评估系统"/>
                    <pic:cNvPicPr>
                      <a:picLocks noChangeAspect="1"/>
                    </pic:cNvPicPr>
                  </pic:nvPicPr>
                  <pic:blipFill>
                    <a:blip r:embed="rId57"/>
                    <a:stretch>
                      <a:fillRect/>
                    </a:stretch>
                  </pic:blipFill>
                  <pic:spPr>
                    <a:xfrm>
                      <a:off x="0" y="0"/>
                      <a:ext cx="5257800" cy="1897380"/>
                    </a:xfrm>
                    <a:prstGeom prst="rect">
                      <a:avLst/>
                    </a:prstGeom>
                  </pic:spPr>
                </pic:pic>
              </a:graphicData>
            </a:graphic>
          </wp:inline>
        </w:drawing>
      </w:r>
    </w:p>
    <w:p w14:paraId="72E67AA7">
      <w:pPr>
        <w:pStyle w:val="63"/>
        <w:numPr>
          <w:ilvl w:val="7"/>
          <w:numId w:val="7"/>
        </w:numPr>
        <w:rPr>
          <w:rFonts w:hint="eastAsia" w:ascii="宋体" w:hAnsi="宋体" w:eastAsia="宋体" w:cs="宋体"/>
          <w:highlight w:val="none"/>
        </w:rPr>
      </w:pPr>
      <w:r>
        <w:rPr>
          <w:rFonts w:hint="eastAsia" w:ascii="宋体" w:hAnsi="宋体" w:eastAsia="宋体" w:cs="宋体"/>
          <w:highlight w:val="none"/>
        </w:rPr>
        <w:t>陆侧交通预测预警评估系统功能框架图</w:t>
      </w:r>
    </w:p>
    <w:p w14:paraId="0EFC5C78">
      <w:pPr>
        <w:pStyle w:val="6"/>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软件功能设计</w:t>
      </w:r>
    </w:p>
    <w:p w14:paraId="02742E8E">
      <w:pPr>
        <w:pStyle w:val="7"/>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交通需求评估管理模块</w:t>
      </w:r>
    </w:p>
    <w:p w14:paraId="3E2AB196">
      <w:pPr>
        <w:pStyle w:val="8"/>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交通流量预报</w:t>
      </w:r>
    </w:p>
    <w:p w14:paraId="06EBA396">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结合历史数据通过算法对未来进出港人数，未来进出港车辆进行预测。外部数据通过与各部门、单位进行协调，通过接口对接的形式从外部直接获取，包括每日航班起降，每日进出港人数，未来一段时间气象数据等。</w:t>
      </w:r>
    </w:p>
    <w:p w14:paraId="18EF5EAD">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预测模型计算</w:t>
      </w:r>
    </w:p>
    <w:p w14:paraId="320FDAA1">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基于交通量影响参数搭建计算模型，对接口数据进行计算。</w:t>
      </w:r>
    </w:p>
    <w:p w14:paraId="25432CC7">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流量预测预报</w:t>
      </w:r>
    </w:p>
    <w:p w14:paraId="1D19A36A">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sz w:val="28"/>
          <w:szCs w:val="22"/>
          <w:highlight w:val="none"/>
          <w:lang w:val="zh-CN"/>
        </w:rPr>
      </w:pPr>
      <w:r>
        <w:rPr>
          <w:rFonts w:hint="eastAsia" w:ascii="宋体" w:hAnsi="宋体" w:eastAsia="宋体" w:cs="宋体"/>
          <w:highlight w:val="none"/>
          <w:lang w:val="zh-CN"/>
        </w:rPr>
        <w:t>基于计算结果给出不同时间、不同日期下的需求。</w:t>
      </w:r>
    </w:p>
    <w:p w14:paraId="7B9EDA2B">
      <w:pPr>
        <w:pStyle w:val="8"/>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运力调度决策</w:t>
      </w:r>
    </w:p>
    <w:p w14:paraId="18249A76">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sz w:val="28"/>
          <w:szCs w:val="22"/>
          <w:highlight w:val="none"/>
          <w:lang w:val="zh-CN"/>
        </w:rPr>
      </w:pPr>
      <w:r>
        <w:rPr>
          <w:rFonts w:hint="eastAsia" w:ascii="宋体" w:hAnsi="宋体" w:eastAsia="宋体" w:cs="宋体"/>
          <w:highlight w:val="none"/>
          <w:lang w:val="zh-CN"/>
        </w:rPr>
        <w:t>根据交通流量预测数据与历史出行需求数据，对未来一段时间出行需求进行预测。结合当前储备的巡游出租车，网约车数量进行调度，可对接第三方网约、出租车企业或平台进行运力调度。</w:t>
      </w:r>
    </w:p>
    <w:p w14:paraId="4F4657A4">
      <w:pPr>
        <w:pStyle w:val="8"/>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停车需求分析</w:t>
      </w:r>
    </w:p>
    <w:p w14:paraId="589CFFF3">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sz w:val="28"/>
          <w:szCs w:val="22"/>
          <w:highlight w:val="none"/>
          <w:lang w:val="zh-CN"/>
        </w:rPr>
      </w:pPr>
      <w:r>
        <w:rPr>
          <w:rFonts w:hint="eastAsia" w:ascii="宋体" w:hAnsi="宋体" w:eastAsia="宋体" w:cs="宋体"/>
          <w:highlight w:val="none"/>
          <w:lang w:val="zh-CN"/>
        </w:rPr>
        <w:t>针对历史停车数据分析过往一段时间内的停车场运营情况、包括停车场平均、分季节、分时段的利用率、营收情况、出入拥堵情况等辅助长期的管理决策。结合历史停车数据与交通数据，对未来一段时间内的停车需求进行评估，针对可能的车位不足的情况进行预警。</w:t>
      </w:r>
    </w:p>
    <w:p w14:paraId="1A13F129">
      <w:pPr>
        <w:pStyle w:val="8"/>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交通影响评价</w:t>
      </w:r>
    </w:p>
    <w:p w14:paraId="0A176A3F">
      <w:pPr>
        <w:pageBreakBefore w:val="0"/>
        <w:widowControl w:val="0"/>
        <w:kinsoku/>
        <w:wordWrap/>
        <w:overflowPunct/>
        <w:topLinePunct w:val="0"/>
        <w:autoSpaceDE/>
        <w:autoSpaceDN/>
        <w:bidi w:val="0"/>
        <w:adjustRightInd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结合机场外部道路交通情况与航班运行数据，分析出入港车辆对机场周</w:t>
      </w:r>
      <w:r>
        <w:rPr>
          <w:rFonts w:hint="eastAsia" w:ascii="宋体" w:hAnsi="宋体" w:eastAsia="宋体" w:cs="宋体"/>
          <w:highlight w:val="none"/>
        </w:rPr>
        <w:t>边</w:t>
      </w:r>
      <w:r>
        <w:rPr>
          <w:rFonts w:hint="eastAsia" w:ascii="宋体" w:hAnsi="宋体" w:eastAsia="宋体" w:cs="宋体"/>
          <w:highlight w:val="none"/>
          <w:lang w:val="zh-CN"/>
        </w:rPr>
        <w:t>交通影响的情况，辅助有关部门进行管理决策。</w:t>
      </w:r>
    </w:p>
    <w:p w14:paraId="3F5396C7">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交通趋势影响变化模型计算</w:t>
      </w:r>
    </w:p>
    <w:p w14:paraId="04CC2A5C">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结合机场外部道路交通情况与航班运行数据，分析出入港车辆对机场周边交通影响的情况，辅助有关部门进行管理决策。</w:t>
      </w:r>
    </w:p>
    <w:p w14:paraId="2781CBA3">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可视化趋势影响</w:t>
      </w:r>
    </w:p>
    <w:p w14:paraId="396DF93E">
      <w:pPr>
        <w:pageBreakBefore w:val="0"/>
        <w:widowControl w:val="0"/>
        <w:kinsoku/>
        <w:wordWrap/>
        <w:overflowPunct/>
        <w:topLinePunct w:val="0"/>
        <w:autoSpaceDE/>
        <w:autoSpaceDN/>
        <w:bidi w:val="0"/>
        <w:adjustRightInd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基于地图和三维模型，对未来交通趋势影响可视化呈现。</w:t>
      </w:r>
    </w:p>
    <w:p w14:paraId="4AFF8EDF">
      <w:pPr>
        <w:pStyle w:val="7"/>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交通预警管理模块</w:t>
      </w:r>
    </w:p>
    <w:p w14:paraId="4918E890">
      <w:pPr>
        <w:pStyle w:val="8"/>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预警大厅</w:t>
      </w:r>
    </w:p>
    <w:p w14:paraId="5B9EB733">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sz w:val="28"/>
          <w:szCs w:val="22"/>
          <w:highlight w:val="none"/>
          <w:lang w:val="zh-CN" w:bidi="en-US"/>
        </w:rPr>
      </w:pPr>
      <w:r>
        <w:rPr>
          <w:rFonts w:hint="eastAsia" w:ascii="宋体" w:hAnsi="宋体" w:eastAsia="宋体" w:cs="宋体"/>
          <w:highlight w:val="none"/>
          <w:lang w:val="zh-CN"/>
        </w:rPr>
        <w:t>全面汇总交通流量预警信息，通过可视化方式集中呈现流量预警情况、道路拥挤情况，提供预警信息清单和预警信息概述，方便指挥中心能够第一时间掌握信息，更及时地进行信息推送。</w:t>
      </w:r>
    </w:p>
    <w:p w14:paraId="72E70607">
      <w:pPr>
        <w:pStyle w:val="8"/>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饱和预警</w:t>
      </w:r>
    </w:p>
    <w:p w14:paraId="23DF26F7">
      <w:pPr>
        <w:pageBreakBefore w:val="0"/>
        <w:widowControl w:val="0"/>
        <w:kinsoku/>
        <w:wordWrap/>
        <w:overflowPunct/>
        <w:topLinePunct w:val="0"/>
        <w:autoSpaceDE/>
        <w:autoSpaceDN/>
        <w:bidi w:val="0"/>
        <w:adjustRightInd w:val="0"/>
        <w:snapToGrid/>
        <w:spacing w:line="400" w:lineRule="exact"/>
        <w:ind w:firstLine="480"/>
        <w:textAlignment w:val="auto"/>
        <w:rPr>
          <w:rFonts w:hint="eastAsia" w:ascii="宋体" w:hAnsi="宋体" w:eastAsia="宋体" w:cs="宋体"/>
          <w:sz w:val="28"/>
          <w:szCs w:val="22"/>
          <w:highlight w:val="none"/>
          <w:lang w:val="zh-CN"/>
        </w:rPr>
      </w:pPr>
      <w:r>
        <w:rPr>
          <w:rFonts w:hint="eastAsia" w:ascii="宋体" w:hAnsi="宋体" w:eastAsia="宋体" w:cs="宋体"/>
          <w:highlight w:val="none"/>
          <w:lang w:val="zh-CN"/>
        </w:rPr>
        <w:t>对停车场实况进行信息采集和捕捉，根据停车需求分析的结果进行对比，对出租车、网约车和社会车辆的停车饱和情况进行预估，并给出对应的时间分布曲线，将实际与需求量进行匹配，辅助调度模型优化。</w:t>
      </w:r>
    </w:p>
    <w:p w14:paraId="42E6A547">
      <w:pPr>
        <w:pStyle w:val="8"/>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不足预警</w:t>
      </w:r>
    </w:p>
    <w:p w14:paraId="255F5C94">
      <w:pPr>
        <w:pageBreakBefore w:val="0"/>
        <w:widowControl w:val="0"/>
        <w:kinsoku/>
        <w:wordWrap/>
        <w:overflowPunct/>
        <w:topLinePunct w:val="0"/>
        <w:autoSpaceDE/>
        <w:autoSpaceDN/>
        <w:bidi w:val="0"/>
        <w:adjustRightInd w:val="0"/>
        <w:snapToGrid/>
        <w:spacing w:line="400" w:lineRule="exact"/>
        <w:ind w:firstLine="480"/>
        <w:textAlignment w:val="auto"/>
        <w:rPr>
          <w:rFonts w:hint="eastAsia" w:ascii="宋体" w:hAnsi="宋体" w:eastAsia="宋体" w:cs="宋体"/>
          <w:sz w:val="28"/>
          <w:szCs w:val="22"/>
          <w:highlight w:val="none"/>
          <w:lang w:val="zh-CN"/>
        </w:rPr>
      </w:pPr>
      <w:r>
        <w:rPr>
          <w:rFonts w:hint="eastAsia" w:ascii="宋体" w:hAnsi="宋体" w:eastAsia="宋体" w:cs="宋体"/>
          <w:highlight w:val="none"/>
          <w:lang w:val="zh-CN"/>
        </w:rPr>
        <w:t>对停车场实况进行信息采集和捕捉，根据停车需求分析的结果进行对比，对出租车、网约车和社会车辆的停车</w:t>
      </w:r>
      <w:r>
        <w:rPr>
          <w:rFonts w:hint="eastAsia" w:ascii="宋体" w:hAnsi="宋体" w:eastAsia="宋体" w:cs="宋体"/>
          <w:highlight w:val="none"/>
        </w:rPr>
        <w:t>不足</w:t>
      </w:r>
      <w:r>
        <w:rPr>
          <w:rFonts w:hint="eastAsia" w:ascii="宋体" w:hAnsi="宋体" w:eastAsia="宋体" w:cs="宋体"/>
          <w:highlight w:val="none"/>
          <w:lang w:val="zh-CN"/>
        </w:rPr>
        <w:t>情况进行预估，并给出对应的时间分布曲线，将实际与需求量进行匹配，辅助调度模型优化。</w:t>
      </w:r>
    </w:p>
    <w:p w14:paraId="566F4DB1">
      <w:pPr>
        <w:pStyle w:val="8"/>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预警信息推送</w:t>
      </w:r>
    </w:p>
    <w:p w14:paraId="0704546C">
      <w:pPr>
        <w:pageBreakBefore w:val="0"/>
        <w:widowControl w:val="0"/>
        <w:kinsoku/>
        <w:wordWrap/>
        <w:overflowPunct/>
        <w:topLinePunct w:val="0"/>
        <w:autoSpaceDE/>
        <w:autoSpaceDN/>
        <w:bidi w:val="0"/>
        <w:adjustRightInd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根据预警信息的实际情况可以向运营企业、出租车公司群体、网约车平台发送预警信息，例如当前机场相关类型车辆已经饱和，即推送信息不建议来访接客，网约车可以缩小接单电子围栏。对于需求不足的情况，向相关网约、出租车平台推送预警信息，告知扩大电子围栏和增加运营车辆调度。</w:t>
      </w:r>
    </w:p>
    <w:p w14:paraId="4C2773E6">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平台级推送</w:t>
      </w:r>
    </w:p>
    <w:p w14:paraId="20960F08">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建立标准接口，向公交、网约、出租等运营公司平台推送。</w:t>
      </w:r>
    </w:p>
    <w:p w14:paraId="37CB5C88">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预警推送</w:t>
      </w:r>
    </w:p>
    <w:p w14:paraId="0FA990D8">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向指挥中心运营预警模块推送。</w:t>
      </w:r>
    </w:p>
    <w:p w14:paraId="77267439">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点对点推送</w:t>
      </w:r>
    </w:p>
    <w:p w14:paraId="1945B308">
      <w:pPr>
        <w:pageBreakBefore w:val="0"/>
        <w:widowControl w:val="0"/>
        <w:kinsoku/>
        <w:wordWrap/>
        <w:overflowPunct/>
        <w:topLinePunct w:val="0"/>
        <w:autoSpaceDE/>
        <w:autoSpaceDN/>
        <w:bidi w:val="0"/>
        <w:adjustRightInd w:val="0"/>
        <w:snapToGrid/>
        <w:spacing w:line="400" w:lineRule="exact"/>
        <w:ind w:firstLine="480"/>
        <w:textAlignment w:val="auto"/>
        <w:rPr>
          <w:rFonts w:hint="eastAsia" w:ascii="宋体" w:hAnsi="宋体" w:eastAsia="宋体" w:cs="宋体"/>
          <w:sz w:val="28"/>
          <w:szCs w:val="22"/>
          <w:highlight w:val="none"/>
          <w:lang w:val="zh-CN"/>
        </w:rPr>
      </w:pPr>
      <w:r>
        <w:rPr>
          <w:rFonts w:hint="eastAsia" w:ascii="宋体" w:hAnsi="宋体" w:eastAsia="宋体" w:cs="宋体"/>
          <w:highlight w:val="none"/>
          <w:lang w:val="zh-CN"/>
        </w:rPr>
        <w:t>向满足条件范围内出租车司机进行推送。</w:t>
      </w:r>
    </w:p>
    <w:p w14:paraId="21F20B5B">
      <w:pPr>
        <w:pStyle w:val="5"/>
        <w:keepNext/>
        <w:keepLines/>
        <w:pageBreakBefore w:val="0"/>
        <w:widowControl w:val="0"/>
        <w:kinsoku/>
        <w:wordWrap/>
        <w:overflowPunct/>
        <w:topLinePunct w:val="0"/>
        <w:autoSpaceDE/>
        <w:autoSpaceDN/>
        <w:bidi w:val="0"/>
        <w:adjustRightInd/>
        <w:snapToGrid/>
        <w:spacing w:line="400" w:lineRule="exact"/>
        <w:ind w:left="0" w:hanging="422" w:hangingChars="200"/>
        <w:textAlignment w:val="auto"/>
        <w:rPr>
          <w:rFonts w:hint="eastAsia"/>
          <w:highlight w:val="none"/>
        </w:rPr>
      </w:pPr>
      <w:bookmarkStart w:id="240" w:name="_Toc31675"/>
      <w:bookmarkStart w:id="241" w:name="_Toc173962262"/>
      <w:bookmarkStart w:id="242" w:name="_Toc14479"/>
      <w:bookmarkStart w:id="243" w:name="_Toc11149"/>
      <w:bookmarkStart w:id="244" w:name="_Toc26531"/>
      <w:bookmarkStart w:id="245" w:name="_Toc17530"/>
      <w:bookmarkStart w:id="246" w:name="_Toc6123"/>
      <w:bookmarkStart w:id="247" w:name="_Toc17917"/>
      <w:bookmarkStart w:id="248" w:name="_Toc28932"/>
      <w:bookmarkStart w:id="249" w:name="_Toc5767"/>
      <w:bookmarkStart w:id="250" w:name="_Toc25112"/>
      <w:r>
        <w:rPr>
          <w:rFonts w:hint="eastAsia"/>
          <w:highlight w:val="none"/>
        </w:rPr>
        <w:t>指挥中心综合运营管理系统</w:t>
      </w:r>
      <w:bookmarkEnd w:id="240"/>
      <w:bookmarkEnd w:id="241"/>
      <w:bookmarkEnd w:id="242"/>
      <w:bookmarkEnd w:id="243"/>
      <w:bookmarkEnd w:id="244"/>
      <w:bookmarkEnd w:id="245"/>
      <w:bookmarkEnd w:id="246"/>
      <w:bookmarkEnd w:id="247"/>
      <w:bookmarkEnd w:id="248"/>
      <w:bookmarkEnd w:id="249"/>
      <w:bookmarkEnd w:id="250"/>
    </w:p>
    <w:p w14:paraId="5DAA668B">
      <w:pPr>
        <w:pStyle w:val="6"/>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设计思路</w:t>
      </w:r>
    </w:p>
    <w:p w14:paraId="6D2CBD15">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指挥中心综合运营管理系统主要面向机场运营调度管理部门，一方面，作为“数据大屏”全面汇聚整合机场陆侧交通动态运行信息和空侧航班实况信息，实现“智能感知、智能呈现”；另一方面，汇总来自预警评估系统的分析结果，将信息转化为可调度可执行的事件，实现“智能分派、智能处置、智能改进”，有效提升机场管理部门决策和应急处置协调效率。</w:t>
      </w:r>
    </w:p>
    <w:p w14:paraId="685EBF9E">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指挥中心综合</w:t>
      </w:r>
      <w:r>
        <w:rPr>
          <w:rFonts w:hint="eastAsia" w:ascii="宋体" w:hAnsi="宋体" w:eastAsia="宋体" w:cs="宋体"/>
          <w:highlight w:val="none"/>
        </w:rPr>
        <w:t>运营</w:t>
      </w:r>
      <w:r>
        <w:rPr>
          <w:rFonts w:hint="eastAsia" w:ascii="宋体" w:hAnsi="宋体" w:eastAsia="宋体" w:cs="宋体"/>
          <w:highlight w:val="none"/>
          <w:lang w:val="zh-CN"/>
        </w:rPr>
        <w:t>管理系统</w:t>
      </w:r>
      <w:r>
        <w:rPr>
          <w:rFonts w:hint="eastAsia" w:ascii="宋体" w:hAnsi="宋体" w:eastAsia="宋体" w:cs="宋体"/>
          <w:highlight w:val="none"/>
        </w:rPr>
        <w:t>谋划建设数字运营中心、运营事件中心、综合信息管理、外部接口对接等模块组成。</w:t>
      </w:r>
    </w:p>
    <w:p w14:paraId="15EA0D4F">
      <w:pPr>
        <w:pStyle w:val="6"/>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系统框架</w:t>
      </w:r>
    </w:p>
    <w:p w14:paraId="4F0D3B4F">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谋划建设数字运营中心、运营事件中心、综合信息管理业务模块，外部接口对接服务。</w:t>
      </w:r>
    </w:p>
    <w:p w14:paraId="49A91499">
      <w:pPr>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66690" cy="3300095"/>
            <wp:effectExtent l="0" t="0" r="10160" b="14605"/>
            <wp:docPr id="2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pic:cNvPicPr>
                      <a:picLocks noChangeAspect="1"/>
                    </pic:cNvPicPr>
                  </pic:nvPicPr>
                  <pic:blipFill>
                    <a:blip r:embed="rId58"/>
                    <a:stretch>
                      <a:fillRect/>
                    </a:stretch>
                  </pic:blipFill>
                  <pic:spPr>
                    <a:xfrm>
                      <a:off x="0" y="0"/>
                      <a:ext cx="5266690" cy="3300095"/>
                    </a:xfrm>
                    <a:prstGeom prst="rect">
                      <a:avLst/>
                    </a:prstGeom>
                    <a:noFill/>
                    <a:ln>
                      <a:noFill/>
                    </a:ln>
                  </pic:spPr>
                </pic:pic>
              </a:graphicData>
            </a:graphic>
          </wp:inline>
        </w:drawing>
      </w:r>
    </w:p>
    <w:p w14:paraId="768815AF">
      <w:pPr>
        <w:pStyle w:val="63"/>
        <w:numPr>
          <w:ilvl w:val="7"/>
          <w:numId w:val="7"/>
        </w:numPr>
        <w:rPr>
          <w:rFonts w:hint="eastAsia" w:ascii="宋体" w:hAnsi="宋体" w:eastAsia="宋体" w:cs="宋体"/>
          <w:highlight w:val="none"/>
          <w:lang w:val="zh-CN"/>
        </w:rPr>
      </w:pPr>
      <w:r>
        <w:rPr>
          <w:rFonts w:hint="eastAsia" w:ascii="宋体" w:hAnsi="宋体" w:eastAsia="宋体" w:cs="宋体"/>
          <w:highlight w:val="none"/>
          <w:lang w:val="zh-CN"/>
        </w:rPr>
        <w:t>指挥中心综合运营管理系统架构图</w:t>
      </w:r>
    </w:p>
    <w:p w14:paraId="5DB4CE30">
      <w:pPr>
        <w:ind w:firstLine="480"/>
        <w:rPr>
          <w:rFonts w:hint="eastAsia" w:ascii="宋体" w:hAnsi="宋体" w:eastAsia="宋体" w:cs="宋体"/>
          <w:highlight w:val="none"/>
        </w:rPr>
      </w:pPr>
      <w:r>
        <w:rPr>
          <w:rFonts w:hint="eastAsia" w:ascii="宋体" w:hAnsi="宋体" w:eastAsia="宋体" w:cs="宋体"/>
          <w:highlight w:val="none"/>
        </w:rPr>
        <w:t>本系统的功能框架如下：</w:t>
      </w:r>
    </w:p>
    <w:p w14:paraId="7C56EBC3">
      <w:pPr>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59070" cy="4859020"/>
            <wp:effectExtent l="0" t="0" r="0" b="0"/>
            <wp:docPr id="9" name="图片 9" descr="指挥中心综合运营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指挥中心综合运营管理系统"/>
                    <pic:cNvPicPr>
                      <a:picLocks noChangeAspect="1"/>
                    </pic:cNvPicPr>
                  </pic:nvPicPr>
                  <pic:blipFill>
                    <a:blip r:embed="rId59"/>
                    <a:stretch>
                      <a:fillRect/>
                    </a:stretch>
                  </pic:blipFill>
                  <pic:spPr>
                    <a:xfrm>
                      <a:off x="0" y="0"/>
                      <a:ext cx="5259070" cy="4859020"/>
                    </a:xfrm>
                    <a:prstGeom prst="rect">
                      <a:avLst/>
                    </a:prstGeom>
                  </pic:spPr>
                </pic:pic>
              </a:graphicData>
            </a:graphic>
          </wp:inline>
        </w:drawing>
      </w:r>
    </w:p>
    <w:p w14:paraId="2D9FA05C">
      <w:pPr>
        <w:pStyle w:val="63"/>
        <w:numPr>
          <w:ilvl w:val="7"/>
          <w:numId w:val="7"/>
        </w:numPr>
        <w:rPr>
          <w:rFonts w:hint="eastAsia" w:ascii="宋体" w:hAnsi="宋体" w:eastAsia="宋体" w:cs="宋体"/>
          <w:highlight w:val="none"/>
        </w:rPr>
      </w:pPr>
      <w:r>
        <w:rPr>
          <w:rFonts w:hint="eastAsia" w:ascii="宋体" w:hAnsi="宋体" w:eastAsia="宋体" w:cs="宋体"/>
          <w:highlight w:val="none"/>
        </w:rPr>
        <w:t>指挥中心综合运营管理系统功能框架图</w:t>
      </w:r>
    </w:p>
    <w:p w14:paraId="5FD7C176">
      <w:pPr>
        <w:pStyle w:val="6"/>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软件功能设计</w:t>
      </w:r>
    </w:p>
    <w:p w14:paraId="7325B61D">
      <w:pPr>
        <w:pStyle w:val="7"/>
        <w:pageBreakBefore w:val="0"/>
        <w:widowControl w:val="0"/>
        <w:kinsoku/>
        <w:wordWrap/>
        <w:overflowPunct/>
        <w:topLinePunct w:val="0"/>
        <w:autoSpaceDE/>
        <w:autoSpaceDN/>
        <w:bidi w:val="0"/>
        <w:snapToGrid/>
        <w:spacing w:line="400" w:lineRule="exact"/>
        <w:textAlignment w:val="auto"/>
        <w:rPr>
          <w:rFonts w:hint="eastAsia"/>
          <w:highlight w:val="none"/>
        </w:rPr>
      </w:pPr>
      <w:bookmarkStart w:id="251" w:name="OLE_LINK5"/>
      <w:bookmarkStart w:id="252" w:name="OLE_LINK3"/>
      <w:r>
        <w:rPr>
          <w:rFonts w:hint="eastAsia"/>
          <w:highlight w:val="none"/>
        </w:rPr>
        <w:t>数字运营中心</w:t>
      </w:r>
      <w:bookmarkEnd w:id="251"/>
    </w:p>
    <w:p w14:paraId="08C8661B">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rPr>
        <w:t>数字运营中心</w:t>
      </w:r>
      <w:r>
        <w:rPr>
          <w:rFonts w:hint="eastAsia" w:ascii="宋体" w:hAnsi="宋体" w:eastAsia="宋体" w:cs="宋体"/>
          <w:highlight w:val="none"/>
          <w:lang w:val="zh-CN"/>
        </w:rPr>
        <w:t>是聚焦各个业务数据展示场景，提供进一步数据指标下钻和实时情况的数据驾驶舱。在</w:t>
      </w:r>
      <w:r>
        <w:rPr>
          <w:rFonts w:hint="eastAsia" w:ascii="宋体" w:hAnsi="宋体" w:eastAsia="宋体" w:cs="宋体"/>
          <w:highlight w:val="none"/>
        </w:rPr>
        <w:t>数字运营中心</w:t>
      </w:r>
      <w:r>
        <w:rPr>
          <w:rFonts w:hint="eastAsia" w:ascii="宋体" w:hAnsi="宋体" w:eastAsia="宋体" w:cs="宋体"/>
          <w:highlight w:val="none"/>
          <w:lang w:val="zh-CN"/>
        </w:rPr>
        <w:t>模块中，通过点击各数据板块分类的跳转按钮能够查看详细指标模块，反映数据的“分”－“总”关系，并对总体概览指标中数据的来源和真实性提供佐证。同时通过机场交通数据图层服务实现对基础设施、载运装备、感知设备、监测预警的一图统揽，结合数据指标全面掌握台州机场陆侧交通运行态势。</w:t>
      </w:r>
    </w:p>
    <w:p w14:paraId="0B01DF1F">
      <w:pPr>
        <w:pStyle w:val="8"/>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综合运营数据中心</w:t>
      </w:r>
    </w:p>
    <w:p w14:paraId="61D95C69">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综合运营数据中心提供陆侧交通的综合运营数字看板，提供包括航班信息在内的基础机场运营信息，对道路路况、监控画面、停车分布、进场车辆数量有一个整体性的信息汇总，提供机场陆侧的可视化大屏，通过直观的方式展现当前机场陆侧运营的状态。</w:t>
      </w:r>
    </w:p>
    <w:p w14:paraId="6ABB122A">
      <w:pPr>
        <w:pStyle w:val="53"/>
        <w:pageBreakBefore w:val="0"/>
        <w:widowControl w:val="0"/>
        <w:numPr>
          <w:ilvl w:val="0"/>
          <w:numId w:val="43"/>
        </w:numPr>
        <w:kinsoku/>
        <w:wordWrap/>
        <w:overflowPunct/>
        <w:topLinePunct w:val="0"/>
        <w:autoSpaceDE/>
        <w:autoSpaceDN/>
        <w:bidi w:val="0"/>
        <w:snapToGrid/>
        <w:spacing w:line="400" w:lineRule="exact"/>
        <w:ind w:firstLineChars="0"/>
        <w:textAlignment w:val="auto"/>
        <w:rPr>
          <w:rFonts w:hint="eastAsia" w:ascii="宋体" w:hAnsi="宋体" w:eastAsia="宋体" w:cs="宋体"/>
          <w:b/>
          <w:bCs/>
          <w:szCs w:val="24"/>
          <w:highlight w:val="none"/>
        </w:rPr>
      </w:pPr>
      <w:r>
        <w:rPr>
          <w:rFonts w:hint="eastAsia" w:ascii="宋体" w:hAnsi="宋体" w:eastAsia="宋体" w:cs="宋体"/>
          <w:b/>
          <w:bCs/>
          <w:szCs w:val="24"/>
          <w:highlight w:val="none"/>
        </w:rPr>
        <w:t>事件统计</w:t>
      </w:r>
    </w:p>
    <w:p w14:paraId="25B4D649">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统计陆侧交通发生的事件信息，包括月度待处理、处理中、已处理的事件数量统计以及当天的实时事件信息统计等。</w:t>
      </w:r>
    </w:p>
    <w:p w14:paraId="258D801E">
      <w:pPr>
        <w:pStyle w:val="53"/>
        <w:pageBreakBefore w:val="0"/>
        <w:widowControl w:val="0"/>
        <w:numPr>
          <w:ilvl w:val="0"/>
          <w:numId w:val="43"/>
        </w:numPr>
        <w:kinsoku/>
        <w:wordWrap/>
        <w:overflowPunct/>
        <w:topLinePunct w:val="0"/>
        <w:autoSpaceDE/>
        <w:autoSpaceDN/>
        <w:bidi w:val="0"/>
        <w:snapToGrid/>
        <w:spacing w:line="400" w:lineRule="exact"/>
        <w:ind w:firstLineChars="0"/>
        <w:textAlignment w:val="auto"/>
        <w:rPr>
          <w:rFonts w:hint="eastAsia" w:ascii="宋体" w:hAnsi="宋体" w:eastAsia="宋体" w:cs="宋体"/>
          <w:b/>
          <w:bCs/>
          <w:szCs w:val="24"/>
          <w:highlight w:val="none"/>
        </w:rPr>
      </w:pPr>
      <w:r>
        <w:rPr>
          <w:rFonts w:hint="eastAsia" w:ascii="宋体" w:hAnsi="宋体" w:eastAsia="宋体" w:cs="宋体"/>
          <w:b/>
          <w:bCs/>
          <w:szCs w:val="24"/>
          <w:highlight w:val="none"/>
        </w:rPr>
        <w:t>航班信息统计</w:t>
      </w:r>
    </w:p>
    <w:p w14:paraId="4078D152">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接入展示航班班次及载客数量信息，统计当月及当日的进港、离港航班班次数量。</w:t>
      </w:r>
    </w:p>
    <w:p w14:paraId="76030922">
      <w:pPr>
        <w:pStyle w:val="53"/>
        <w:pageBreakBefore w:val="0"/>
        <w:widowControl w:val="0"/>
        <w:numPr>
          <w:ilvl w:val="0"/>
          <w:numId w:val="43"/>
        </w:numPr>
        <w:kinsoku/>
        <w:wordWrap/>
        <w:overflowPunct/>
        <w:topLinePunct w:val="0"/>
        <w:autoSpaceDE/>
        <w:autoSpaceDN/>
        <w:bidi w:val="0"/>
        <w:snapToGrid/>
        <w:spacing w:line="400" w:lineRule="exact"/>
        <w:ind w:firstLineChars="0"/>
        <w:textAlignment w:val="auto"/>
        <w:rPr>
          <w:rFonts w:hint="eastAsia" w:ascii="宋体" w:hAnsi="宋体" w:eastAsia="宋体" w:cs="宋体"/>
          <w:b/>
          <w:bCs/>
          <w:szCs w:val="24"/>
          <w:highlight w:val="none"/>
        </w:rPr>
      </w:pPr>
      <w:r>
        <w:rPr>
          <w:rFonts w:hint="eastAsia" w:ascii="宋体" w:hAnsi="宋体" w:eastAsia="宋体" w:cs="宋体"/>
          <w:b/>
          <w:bCs/>
          <w:szCs w:val="24"/>
          <w:highlight w:val="none"/>
        </w:rPr>
        <w:t>停车场运力统计</w:t>
      </w:r>
    </w:p>
    <w:p w14:paraId="6D824F17">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统计展示机场停车场车位信息，包括公交车车位信息、出租车车位信息、网约车车位信息、余量车位信息、车位利用率等。</w:t>
      </w:r>
    </w:p>
    <w:p w14:paraId="3B211B5E">
      <w:pPr>
        <w:pStyle w:val="53"/>
        <w:pageBreakBefore w:val="0"/>
        <w:widowControl w:val="0"/>
        <w:numPr>
          <w:ilvl w:val="0"/>
          <w:numId w:val="43"/>
        </w:numPr>
        <w:kinsoku/>
        <w:wordWrap/>
        <w:overflowPunct/>
        <w:topLinePunct w:val="0"/>
        <w:autoSpaceDE/>
        <w:autoSpaceDN/>
        <w:bidi w:val="0"/>
        <w:snapToGrid/>
        <w:spacing w:line="400" w:lineRule="exact"/>
        <w:ind w:firstLineChars="0"/>
        <w:textAlignment w:val="auto"/>
        <w:rPr>
          <w:rFonts w:hint="eastAsia" w:ascii="宋体" w:hAnsi="宋体" w:eastAsia="宋体" w:cs="宋体"/>
          <w:b/>
          <w:bCs/>
          <w:szCs w:val="24"/>
          <w:highlight w:val="none"/>
        </w:rPr>
      </w:pPr>
      <w:r>
        <w:rPr>
          <w:rFonts w:hint="eastAsia" w:ascii="宋体" w:hAnsi="宋体" w:eastAsia="宋体" w:cs="宋体"/>
          <w:b/>
          <w:bCs/>
          <w:szCs w:val="24"/>
          <w:highlight w:val="none"/>
        </w:rPr>
        <w:t>客流量估算信息</w:t>
      </w:r>
    </w:p>
    <w:p w14:paraId="0023C24A">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统计和估算当前机场客流量等相关信息，并按照时间维度进行客流量的估算统计。</w:t>
      </w:r>
    </w:p>
    <w:p w14:paraId="76E13BE3">
      <w:pPr>
        <w:pStyle w:val="53"/>
        <w:pageBreakBefore w:val="0"/>
        <w:widowControl w:val="0"/>
        <w:numPr>
          <w:ilvl w:val="0"/>
          <w:numId w:val="43"/>
        </w:numPr>
        <w:kinsoku/>
        <w:wordWrap/>
        <w:overflowPunct/>
        <w:topLinePunct w:val="0"/>
        <w:autoSpaceDE/>
        <w:autoSpaceDN/>
        <w:bidi w:val="0"/>
        <w:snapToGrid/>
        <w:spacing w:line="400" w:lineRule="exact"/>
        <w:ind w:firstLineChars="0"/>
        <w:textAlignment w:val="auto"/>
        <w:rPr>
          <w:rFonts w:hint="eastAsia" w:ascii="宋体" w:hAnsi="宋体" w:eastAsia="宋体" w:cs="宋体"/>
          <w:b/>
          <w:bCs/>
          <w:szCs w:val="24"/>
          <w:highlight w:val="none"/>
        </w:rPr>
      </w:pPr>
      <w:r>
        <w:rPr>
          <w:rFonts w:hint="eastAsia" w:ascii="宋体" w:hAnsi="宋体" w:eastAsia="宋体" w:cs="宋体"/>
          <w:b/>
          <w:bCs/>
          <w:szCs w:val="24"/>
          <w:highlight w:val="none"/>
        </w:rPr>
        <w:t>车流量统计</w:t>
      </w:r>
    </w:p>
    <w:p w14:paraId="39C37DB6">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统计展示机场车流量信息数据，包括今日进场车辆数量、按小时统计进场车辆数量、今日离场车辆数量、按小时统计离场车辆数量、月度进场车辆数量、月度离场车辆数量、停车场车位利用率等。</w:t>
      </w:r>
    </w:p>
    <w:p w14:paraId="1BBA75ED">
      <w:pPr>
        <w:pStyle w:val="53"/>
        <w:pageBreakBefore w:val="0"/>
        <w:widowControl w:val="0"/>
        <w:numPr>
          <w:ilvl w:val="0"/>
          <w:numId w:val="43"/>
        </w:numPr>
        <w:kinsoku/>
        <w:wordWrap/>
        <w:overflowPunct/>
        <w:topLinePunct w:val="0"/>
        <w:autoSpaceDE/>
        <w:autoSpaceDN/>
        <w:bidi w:val="0"/>
        <w:snapToGrid/>
        <w:spacing w:line="400" w:lineRule="exact"/>
        <w:ind w:firstLineChars="0"/>
        <w:textAlignment w:val="auto"/>
        <w:rPr>
          <w:rFonts w:hint="eastAsia" w:ascii="宋体" w:hAnsi="宋体" w:eastAsia="宋体" w:cs="宋体"/>
          <w:b/>
          <w:bCs/>
          <w:szCs w:val="24"/>
          <w:highlight w:val="none"/>
        </w:rPr>
      </w:pPr>
      <w:r>
        <w:rPr>
          <w:rFonts w:hint="eastAsia" w:ascii="宋体" w:hAnsi="宋体" w:eastAsia="宋体" w:cs="宋体"/>
          <w:b/>
          <w:bCs/>
          <w:szCs w:val="24"/>
          <w:highlight w:val="none"/>
        </w:rPr>
        <w:t>路况统计</w:t>
      </w:r>
    </w:p>
    <w:p w14:paraId="5B4AD186">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统计展示机场陆侧实时路况信息，包括周边路网交通的拥堵情况、按具体路线展示每一路段的拥堵状况等。</w:t>
      </w:r>
    </w:p>
    <w:p w14:paraId="6054E602">
      <w:pPr>
        <w:pStyle w:val="53"/>
        <w:pageBreakBefore w:val="0"/>
        <w:widowControl w:val="0"/>
        <w:numPr>
          <w:ilvl w:val="0"/>
          <w:numId w:val="43"/>
        </w:numPr>
        <w:kinsoku/>
        <w:wordWrap/>
        <w:overflowPunct/>
        <w:topLinePunct w:val="0"/>
        <w:autoSpaceDE/>
        <w:autoSpaceDN/>
        <w:bidi w:val="0"/>
        <w:snapToGrid/>
        <w:spacing w:line="400" w:lineRule="exact"/>
        <w:ind w:firstLineChars="0"/>
        <w:textAlignment w:val="auto"/>
        <w:rPr>
          <w:rFonts w:hint="eastAsia" w:ascii="宋体" w:hAnsi="宋体" w:eastAsia="宋体" w:cs="宋体"/>
          <w:b/>
          <w:bCs/>
          <w:szCs w:val="24"/>
          <w:highlight w:val="none"/>
        </w:rPr>
      </w:pPr>
      <w:r>
        <w:rPr>
          <w:rFonts w:hint="eastAsia" w:ascii="宋体" w:hAnsi="宋体" w:eastAsia="宋体" w:cs="宋体"/>
          <w:b/>
          <w:bCs/>
          <w:szCs w:val="24"/>
          <w:highlight w:val="none"/>
        </w:rPr>
        <w:t>监控视频</w:t>
      </w:r>
    </w:p>
    <w:p w14:paraId="3408BCE2">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通过综合信息管理接入机场监控点位数据及实时监控画面，实现监控与地图的结合展示，同时支持远程控制监控画面进行进一步的控制操作，例如放大缩小、旋转、截图、录屏等。本项目中对地面陆侧监控视频在机场改扩建项目的基础上进行补盲，具体点位和现状见5.7.3.4.1节硬件配套设施。</w:t>
      </w:r>
    </w:p>
    <w:p w14:paraId="4E4301FE">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基于上述说明，本模块设计功能包括如下：</w:t>
      </w:r>
    </w:p>
    <w:p w14:paraId="7BB04995">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综合数据看板</w:t>
      </w:r>
    </w:p>
    <w:p w14:paraId="3503D0F1">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bookmarkStart w:id="253" w:name="OLE_LINK4"/>
      <w:r>
        <w:rPr>
          <w:rFonts w:hint="eastAsia" w:ascii="宋体" w:hAnsi="宋体" w:eastAsia="宋体" w:cs="宋体"/>
          <w:highlight w:val="none"/>
          <w:lang w:val="zh-CN"/>
        </w:rPr>
        <w:t>提供可视化的事件统计、值班统计、航班信息统计、停车场运力统计、客流量统计、车流量统计、路况统计、监控视频等数据看板信息。</w:t>
      </w:r>
      <w:bookmarkEnd w:id="253"/>
    </w:p>
    <w:p w14:paraId="6E73721C">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数据管理后台</w:t>
      </w:r>
    </w:p>
    <w:p w14:paraId="5DED7DBA">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提供运营看板无法对接的基础信息录入。</w:t>
      </w:r>
    </w:p>
    <w:p w14:paraId="7AFD3596">
      <w:pPr>
        <w:pStyle w:val="8"/>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智慧调度管理中心</w:t>
      </w:r>
    </w:p>
    <w:p w14:paraId="5EFDC6B5">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以陆侧站前区域的交通出行的调度情况进行统筹管理，包括调度运行车辆的多维统计，道路通行权限的配置，白名单设置，应急调度和设备控制，与运营公司的信息调度交互等功能。</w:t>
      </w:r>
    </w:p>
    <w:p w14:paraId="48BCFA7A">
      <w:pPr>
        <w:pStyle w:val="53"/>
        <w:pageBreakBefore w:val="0"/>
        <w:widowControl w:val="0"/>
        <w:numPr>
          <w:ilvl w:val="0"/>
          <w:numId w:val="44"/>
        </w:numPr>
        <w:kinsoku/>
        <w:wordWrap/>
        <w:overflowPunct/>
        <w:topLinePunct w:val="0"/>
        <w:autoSpaceDE/>
        <w:autoSpaceDN/>
        <w:bidi w:val="0"/>
        <w:snapToGrid/>
        <w:spacing w:line="400" w:lineRule="exact"/>
        <w:ind w:firstLineChars="0"/>
        <w:textAlignment w:val="auto"/>
        <w:rPr>
          <w:rFonts w:hint="eastAsia" w:ascii="宋体" w:hAnsi="宋体" w:eastAsia="宋体" w:cs="宋体"/>
          <w:b/>
          <w:bCs/>
          <w:szCs w:val="24"/>
          <w:highlight w:val="none"/>
        </w:rPr>
      </w:pPr>
      <w:r>
        <w:rPr>
          <w:rFonts w:hint="eastAsia" w:ascii="宋体" w:hAnsi="宋体" w:eastAsia="宋体" w:cs="宋体"/>
          <w:b/>
          <w:bCs/>
          <w:szCs w:val="24"/>
          <w:highlight w:val="none"/>
        </w:rPr>
        <w:t>营运车辆调度</w:t>
      </w:r>
    </w:p>
    <w:p w14:paraId="14E1E34E">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针对公交车、出租车、网约车等营运车辆调度进行可视化呈现，同步对接多维调度系统对上述车辆进行指挥中心控制管理，可以根据系统的开放功能执行调度指令，包括常规调度和应急调度。同时提供按照营运状态、车辆类型等多个维度分析数据，同时针对陆侧车辆排队情况进行形象化展示，辅助现场调度指挥。</w:t>
      </w:r>
    </w:p>
    <w:p w14:paraId="38D9D7AA">
      <w:pPr>
        <w:pStyle w:val="53"/>
        <w:pageBreakBefore w:val="0"/>
        <w:widowControl w:val="0"/>
        <w:numPr>
          <w:ilvl w:val="0"/>
          <w:numId w:val="44"/>
        </w:numPr>
        <w:kinsoku/>
        <w:wordWrap/>
        <w:overflowPunct/>
        <w:topLinePunct w:val="0"/>
        <w:autoSpaceDE/>
        <w:autoSpaceDN/>
        <w:bidi w:val="0"/>
        <w:snapToGrid/>
        <w:spacing w:line="400" w:lineRule="exact"/>
        <w:ind w:firstLineChars="0"/>
        <w:textAlignment w:val="auto"/>
        <w:rPr>
          <w:rFonts w:hint="eastAsia" w:ascii="宋体" w:hAnsi="宋体" w:eastAsia="宋体" w:cs="宋体"/>
          <w:b/>
          <w:bCs/>
          <w:szCs w:val="24"/>
          <w:highlight w:val="none"/>
        </w:rPr>
      </w:pPr>
      <w:r>
        <w:rPr>
          <w:rFonts w:hint="eastAsia" w:ascii="宋体" w:hAnsi="宋体" w:eastAsia="宋体" w:cs="宋体"/>
          <w:b/>
          <w:bCs/>
          <w:szCs w:val="24"/>
          <w:highlight w:val="none"/>
        </w:rPr>
        <w:t>通行初始化设置</w:t>
      </w:r>
    </w:p>
    <w:p w14:paraId="183374AB">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对接道闸系统，实现对车辆通行权限的预设和规划，额外增加对相关车辆类型的管控管理，包括如下：</w:t>
      </w:r>
    </w:p>
    <w:p w14:paraId="090F8AC8">
      <w:pPr>
        <w:pStyle w:val="53"/>
        <w:pageBreakBefore w:val="0"/>
        <w:widowControl w:val="0"/>
        <w:numPr>
          <w:ilvl w:val="0"/>
          <w:numId w:val="45"/>
        </w:numPr>
        <w:kinsoku/>
        <w:wordWrap/>
        <w:overflowPunct/>
        <w:topLinePunct w:val="0"/>
        <w:autoSpaceDE/>
        <w:autoSpaceDN/>
        <w:bidi w:val="0"/>
        <w:snapToGrid/>
        <w:spacing w:line="400" w:lineRule="exact"/>
        <w:ind w:left="480" w:firstLine="0" w:firstLineChars="0"/>
        <w:textAlignment w:val="auto"/>
        <w:rPr>
          <w:rFonts w:hint="eastAsia" w:ascii="宋体" w:hAnsi="宋体" w:eastAsia="宋体" w:cs="宋体"/>
          <w:highlight w:val="none"/>
        </w:rPr>
      </w:pPr>
      <w:r>
        <w:rPr>
          <w:rFonts w:hint="eastAsia" w:ascii="宋体" w:hAnsi="宋体" w:eastAsia="宋体" w:cs="宋体"/>
          <w:highlight w:val="none"/>
        </w:rPr>
        <w:t>可控道闸清单：管理接入系统内的道闸，包括道闸功能、编号、通行要求等信息的查看。</w:t>
      </w:r>
    </w:p>
    <w:p w14:paraId="344BD926">
      <w:pPr>
        <w:pStyle w:val="53"/>
        <w:pageBreakBefore w:val="0"/>
        <w:widowControl w:val="0"/>
        <w:numPr>
          <w:ilvl w:val="0"/>
          <w:numId w:val="45"/>
        </w:numPr>
        <w:kinsoku/>
        <w:wordWrap/>
        <w:overflowPunct/>
        <w:topLinePunct w:val="0"/>
        <w:autoSpaceDE/>
        <w:autoSpaceDN/>
        <w:bidi w:val="0"/>
        <w:snapToGrid/>
        <w:spacing w:line="400" w:lineRule="exact"/>
        <w:ind w:left="480" w:firstLine="0" w:firstLineChars="0"/>
        <w:textAlignment w:val="auto"/>
        <w:rPr>
          <w:rFonts w:hint="eastAsia" w:ascii="宋体" w:hAnsi="宋体" w:eastAsia="宋体" w:cs="宋体"/>
          <w:highlight w:val="none"/>
        </w:rPr>
      </w:pPr>
      <w:r>
        <w:rPr>
          <w:rFonts w:hint="eastAsia" w:ascii="宋体" w:hAnsi="宋体" w:eastAsia="宋体" w:cs="宋体"/>
          <w:highlight w:val="none"/>
        </w:rPr>
        <w:t>通行白名单管理：可以根据指定道闸，设置对应的号牌，包括通行有效时间区间、持续天数等信息。</w:t>
      </w:r>
    </w:p>
    <w:p w14:paraId="5CD64D03">
      <w:pPr>
        <w:pStyle w:val="53"/>
        <w:pageBreakBefore w:val="0"/>
        <w:widowControl w:val="0"/>
        <w:numPr>
          <w:ilvl w:val="0"/>
          <w:numId w:val="45"/>
        </w:numPr>
        <w:kinsoku/>
        <w:wordWrap/>
        <w:overflowPunct/>
        <w:topLinePunct w:val="0"/>
        <w:autoSpaceDE/>
        <w:autoSpaceDN/>
        <w:bidi w:val="0"/>
        <w:snapToGrid/>
        <w:spacing w:line="400" w:lineRule="exact"/>
        <w:ind w:left="480" w:firstLine="0" w:firstLineChars="0"/>
        <w:textAlignment w:val="auto"/>
        <w:rPr>
          <w:rFonts w:hint="eastAsia" w:ascii="宋体" w:hAnsi="宋体" w:eastAsia="宋体" w:cs="宋体"/>
          <w:highlight w:val="none"/>
        </w:rPr>
      </w:pPr>
      <w:r>
        <w:rPr>
          <w:rFonts w:hint="eastAsia" w:ascii="宋体" w:hAnsi="宋体" w:eastAsia="宋体" w:cs="宋体"/>
          <w:highlight w:val="none"/>
        </w:rPr>
        <w:t>通行车辆类型管理：根据平台识别的车辆类型设置关联权限，包括员工车、工作车、网约车等，权限涵盖放行和进入。</w:t>
      </w:r>
    </w:p>
    <w:p w14:paraId="24554D80">
      <w:pPr>
        <w:pStyle w:val="53"/>
        <w:pageBreakBefore w:val="0"/>
        <w:widowControl w:val="0"/>
        <w:numPr>
          <w:ilvl w:val="0"/>
          <w:numId w:val="44"/>
        </w:numPr>
        <w:kinsoku/>
        <w:wordWrap/>
        <w:overflowPunct/>
        <w:topLinePunct w:val="0"/>
        <w:autoSpaceDE/>
        <w:autoSpaceDN/>
        <w:bidi w:val="0"/>
        <w:snapToGrid/>
        <w:spacing w:line="400" w:lineRule="exact"/>
        <w:ind w:firstLineChars="0"/>
        <w:textAlignment w:val="auto"/>
        <w:rPr>
          <w:rFonts w:hint="eastAsia" w:ascii="宋体" w:hAnsi="宋体" w:eastAsia="宋体" w:cs="宋体"/>
          <w:b/>
          <w:bCs/>
          <w:highlight w:val="none"/>
        </w:rPr>
      </w:pPr>
      <w:r>
        <w:rPr>
          <w:rFonts w:hint="eastAsia" w:ascii="宋体" w:hAnsi="宋体" w:eastAsia="宋体" w:cs="宋体"/>
          <w:b/>
          <w:bCs/>
          <w:highlight w:val="none"/>
        </w:rPr>
        <w:t>应急调度管理</w:t>
      </w:r>
    </w:p>
    <w:p w14:paraId="778AE011">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对接预警模块后，可以实现事件的快速推送和信息调度，快速整合预警事件的处置策略，从而提供决策支持和辅助。</w:t>
      </w:r>
    </w:p>
    <w:p w14:paraId="25C2F1B3">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可以实现机场站前相关设备的远程控制，包括如下：</w:t>
      </w:r>
    </w:p>
    <w:p w14:paraId="42BF2DE1">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道闸开关控制；道闸权限设置控制；情报板信息更换显示；监控云台调控；广播语音播报等相关操作。</w:t>
      </w:r>
    </w:p>
    <w:p w14:paraId="3B4FE003">
      <w:pPr>
        <w:pStyle w:val="53"/>
        <w:pageBreakBefore w:val="0"/>
        <w:widowControl w:val="0"/>
        <w:numPr>
          <w:ilvl w:val="0"/>
          <w:numId w:val="44"/>
        </w:numPr>
        <w:kinsoku/>
        <w:wordWrap/>
        <w:overflowPunct/>
        <w:topLinePunct w:val="0"/>
        <w:autoSpaceDE/>
        <w:autoSpaceDN/>
        <w:bidi w:val="0"/>
        <w:snapToGrid/>
        <w:spacing w:line="400" w:lineRule="exact"/>
        <w:ind w:firstLineChars="0"/>
        <w:textAlignment w:val="auto"/>
        <w:rPr>
          <w:rFonts w:hint="eastAsia" w:ascii="宋体" w:hAnsi="宋体" w:eastAsia="宋体" w:cs="宋体"/>
          <w:b/>
          <w:bCs/>
          <w:highlight w:val="none"/>
        </w:rPr>
      </w:pPr>
      <w:r>
        <w:rPr>
          <w:rFonts w:hint="eastAsia" w:ascii="宋体" w:hAnsi="宋体" w:eastAsia="宋体" w:cs="宋体"/>
          <w:b/>
          <w:bCs/>
          <w:highlight w:val="none"/>
        </w:rPr>
        <w:t>快速调度通知下发</w:t>
      </w:r>
    </w:p>
    <w:p w14:paraId="0251B3AD">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可以通过智慧调度平台向出租车公司、网约车平台等联络单位发送调度的自定义通知信息，根据出租车司机及网约车司机相关信息，点对点向司机推送调度通知信息。</w:t>
      </w:r>
    </w:p>
    <w:p w14:paraId="1366AC7F">
      <w:pPr>
        <w:pStyle w:val="53"/>
        <w:pageBreakBefore w:val="0"/>
        <w:widowControl w:val="0"/>
        <w:numPr>
          <w:ilvl w:val="0"/>
          <w:numId w:val="44"/>
        </w:numPr>
        <w:kinsoku/>
        <w:wordWrap/>
        <w:overflowPunct/>
        <w:topLinePunct w:val="0"/>
        <w:autoSpaceDE/>
        <w:autoSpaceDN/>
        <w:bidi w:val="0"/>
        <w:snapToGrid/>
        <w:spacing w:line="400" w:lineRule="exact"/>
        <w:ind w:firstLineChars="0"/>
        <w:textAlignment w:val="auto"/>
        <w:rPr>
          <w:rFonts w:hint="eastAsia" w:ascii="宋体" w:hAnsi="宋体" w:eastAsia="宋体" w:cs="宋体"/>
          <w:b/>
          <w:bCs/>
          <w:highlight w:val="none"/>
        </w:rPr>
      </w:pPr>
      <w:r>
        <w:rPr>
          <w:rFonts w:hint="eastAsia" w:ascii="宋体" w:hAnsi="宋体" w:eastAsia="宋体" w:cs="宋体"/>
          <w:b/>
          <w:bCs/>
          <w:highlight w:val="none"/>
        </w:rPr>
        <w:t>应急广播通知</w:t>
      </w:r>
    </w:p>
    <w:p w14:paraId="64F443E7">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对接音箱系统，可以对2个停车区设置的广播进行应急时广播通知及响应自动播放管理。</w:t>
      </w:r>
    </w:p>
    <w:p w14:paraId="09DDD581">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基于上述说明设计，本模块设计功能包括如下：</w:t>
      </w:r>
    </w:p>
    <w:p w14:paraId="1E546E83">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调度统揽中心</w:t>
      </w:r>
    </w:p>
    <w:p w14:paraId="2820575B">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接入多维车辆调度系统，对调度实况信息及数据进行集成和展示，可以直观地查看到调度的实际清单和调度等待及需求信息，以及调度的相关预警。</w:t>
      </w:r>
    </w:p>
    <w:p w14:paraId="7BC407A3">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调度指令下发</w:t>
      </w:r>
    </w:p>
    <w:p w14:paraId="2A65E04B">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可以对多维车辆调度系统进行可视化的调度指令的管理和下发，能够对多个环节进行干预指引，并且响应需求的调度指令。</w:t>
      </w:r>
    </w:p>
    <w:p w14:paraId="215A5C43">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通行配置清单</w:t>
      </w:r>
    </w:p>
    <w:p w14:paraId="229246F7">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实现站前全量的道闸一对一状态和权限的清单和控制的可视化界面。</w:t>
      </w:r>
    </w:p>
    <w:p w14:paraId="60B9364A">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白名单和初始化配置</w:t>
      </w:r>
    </w:p>
    <w:p w14:paraId="3C649671">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可以根据指定道闸，设置对应的号牌，包括通行有效时间区间、持续天数等内容设置白名单；对预设的初始化通行车辆进行权限配置，按照车辆类型进行权限预设。</w:t>
      </w:r>
    </w:p>
    <w:p w14:paraId="79EC338E">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应急调度</w:t>
      </w:r>
    </w:p>
    <w:p w14:paraId="7582CBDD">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根据调度过程中的异常情况进行接入进行标注清单和地图可视化展示，并接入道闸控制，形成应急操作，并形成记录。</w:t>
      </w:r>
    </w:p>
    <w:p w14:paraId="35D3D219">
      <w:pPr>
        <w:pStyle w:val="8"/>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一图统揽驾驶舱</w:t>
      </w:r>
    </w:p>
    <w:p w14:paraId="1A2FE9D1">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结合业务需求，对接综合信息管理数据服务，开展台州市机场周边交通基础设施整编与地图开发，构建交通数据基底。</w:t>
      </w:r>
    </w:p>
    <w:p w14:paraId="3B29BD82">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将交通基础设施数据、载运装备数据、感知设备数据接入展示，包括国省县乡道及沿线基础设施数据、客运站数据、视频监控数据等绘制机场交通一张图。实现一张图分类图层叠加展示、数据搜索、属性数据查看、二维浏览、遥感影像与电子地图等底图切换等功能，赋能各项业务应用。</w:t>
      </w:r>
    </w:p>
    <w:p w14:paraId="4B58021D">
      <w:pPr>
        <w:pStyle w:val="53"/>
        <w:pageBreakBefore w:val="0"/>
        <w:widowControl w:val="0"/>
        <w:numPr>
          <w:ilvl w:val="0"/>
          <w:numId w:val="46"/>
        </w:numPr>
        <w:kinsoku/>
        <w:wordWrap/>
        <w:overflowPunct/>
        <w:topLinePunct w:val="0"/>
        <w:autoSpaceDE/>
        <w:autoSpaceDN/>
        <w:bidi w:val="0"/>
        <w:snapToGrid/>
        <w:spacing w:line="400" w:lineRule="exact"/>
        <w:ind w:firstLineChars="0"/>
        <w:textAlignment w:val="auto"/>
        <w:rPr>
          <w:rFonts w:hint="eastAsia" w:ascii="宋体" w:hAnsi="宋体" w:eastAsia="宋体" w:cs="宋体"/>
          <w:b/>
          <w:bCs/>
          <w:highlight w:val="none"/>
        </w:rPr>
      </w:pPr>
      <w:r>
        <w:rPr>
          <w:rFonts w:hint="eastAsia" w:ascii="宋体" w:hAnsi="宋体" w:eastAsia="宋体" w:cs="宋体"/>
          <w:b/>
          <w:bCs/>
          <w:highlight w:val="none"/>
        </w:rPr>
        <w:t>三维建模</w:t>
      </w:r>
    </w:p>
    <w:p w14:paraId="0A55DCDE">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一图总览中拟通过三维建模场景实现对机场陆侧空间进行可视化展示，替换传统的二维平面图形。建模对象包括陆侧5个停车区三维模型，航站楼轮廓，陆侧到达层地面建模，包括绿化，道路，道路附属设施等内容，对监控点位，停车道闸，到达层上客位重点设计，这通过感知设备的信息联动，为机场陆侧提供全景可视化直观的运营动态掌握。其中三维建模包括如下功能：</w:t>
      </w:r>
    </w:p>
    <w:p w14:paraId="1B06EB52">
      <w:pPr>
        <w:pageBreakBefore w:val="0"/>
        <w:widowControl w:val="0"/>
        <w:numPr>
          <w:ilvl w:val="0"/>
          <w:numId w:val="47"/>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综合信息设计、场景弹窗、标注和按钮</w:t>
      </w:r>
    </w:p>
    <w:p w14:paraId="737E64E1">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对三维场景中设备弹窗、告警弹窗、标注、按钮等样式进行设计。</w:t>
      </w:r>
    </w:p>
    <w:p w14:paraId="52F0FF80">
      <w:pPr>
        <w:pageBreakBefore w:val="0"/>
        <w:widowControl w:val="0"/>
        <w:numPr>
          <w:ilvl w:val="0"/>
          <w:numId w:val="47"/>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外观建模</w:t>
      </w:r>
    </w:p>
    <w:p w14:paraId="0286C3C5">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机场、机场前广场、机场范围内的露天停车场环境进行三维模拟，展示机场范围内主体建筑及地面的外观轮廓，以及停车场区域内地面标线、停车位标线。机场航站楼及候机大厅整体建筑外观使用科幻线框风格，简模示意。露天停车场路面、机场前广场使用写实风格，中模示意。</w:t>
      </w:r>
    </w:p>
    <w:p w14:paraId="0711101F">
      <w:pPr>
        <w:pageBreakBefore w:val="0"/>
        <w:widowControl w:val="0"/>
        <w:numPr>
          <w:ilvl w:val="0"/>
          <w:numId w:val="47"/>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停车场入口建模</w:t>
      </w:r>
    </w:p>
    <w:p w14:paraId="34A4278B">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对露天停车场的出入口岗亭、闸机及附属设备进行三维模拟，写实风格，中模示意，包含岗亭，道闸。</w:t>
      </w:r>
    </w:p>
    <w:p w14:paraId="188DC566">
      <w:pPr>
        <w:pageBreakBefore w:val="0"/>
        <w:widowControl w:val="0"/>
        <w:numPr>
          <w:ilvl w:val="0"/>
          <w:numId w:val="47"/>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车辆建模</w:t>
      </w:r>
    </w:p>
    <w:p w14:paraId="11DA9058">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对以下五种车辆进行三维模拟，每种车辆分别建立一种三维模型。写实风格，中模示意。车辆比例应与机场、停车场、闸机适应。</w:t>
      </w:r>
    </w:p>
    <w:p w14:paraId="08E0373B">
      <w:pPr>
        <w:pageBreakBefore w:val="0"/>
        <w:widowControl w:val="0"/>
        <w:numPr>
          <w:ilvl w:val="0"/>
          <w:numId w:val="48"/>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社会车辆（小轿车）；</w:t>
      </w:r>
    </w:p>
    <w:p w14:paraId="1CB3978F">
      <w:pPr>
        <w:pageBreakBefore w:val="0"/>
        <w:widowControl w:val="0"/>
        <w:numPr>
          <w:ilvl w:val="0"/>
          <w:numId w:val="48"/>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网约车（特殊贴图小轿车）；</w:t>
      </w:r>
    </w:p>
    <w:p w14:paraId="30C9FEDD">
      <w:pPr>
        <w:pageBreakBefore w:val="0"/>
        <w:widowControl w:val="0"/>
        <w:numPr>
          <w:ilvl w:val="0"/>
          <w:numId w:val="48"/>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出租车（特殊贴图小轿车）；</w:t>
      </w:r>
    </w:p>
    <w:p w14:paraId="50431F11">
      <w:pPr>
        <w:pageBreakBefore w:val="0"/>
        <w:widowControl w:val="0"/>
        <w:numPr>
          <w:ilvl w:val="0"/>
          <w:numId w:val="48"/>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公交车（特殊贴图大客车）；</w:t>
      </w:r>
    </w:p>
    <w:p w14:paraId="3A0BA8E7">
      <w:pPr>
        <w:pageBreakBefore w:val="0"/>
        <w:widowControl w:val="0"/>
        <w:numPr>
          <w:ilvl w:val="0"/>
          <w:numId w:val="48"/>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大巴车（大客车）。</w:t>
      </w:r>
    </w:p>
    <w:p w14:paraId="6C5B8047">
      <w:pPr>
        <w:pageBreakBefore w:val="0"/>
        <w:widowControl w:val="0"/>
        <w:numPr>
          <w:ilvl w:val="0"/>
          <w:numId w:val="47"/>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功能交互</w:t>
      </w:r>
    </w:p>
    <w:p w14:paraId="0D55263F">
      <w:pPr>
        <w:pageBreakBefore w:val="0"/>
        <w:widowControl w:val="0"/>
        <w:numPr>
          <w:ilvl w:val="0"/>
          <w:numId w:val="49"/>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基础功能：场景加载，渲染，环境光特效，快速切换视角及定位模型。</w:t>
      </w:r>
    </w:p>
    <w:p w14:paraId="16A8FB82">
      <w:pPr>
        <w:pageBreakBefore w:val="0"/>
        <w:widowControl w:val="0"/>
        <w:numPr>
          <w:ilvl w:val="0"/>
          <w:numId w:val="49"/>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交互功能：支持鼠标交互切换场景，交互数据面板或者表盘等，悬浮提示或单双击指令下发等功能，点击设备弹出面板等交互事件。</w:t>
      </w:r>
    </w:p>
    <w:p w14:paraId="6BC55BAD">
      <w:pPr>
        <w:pageBreakBefore w:val="0"/>
        <w:widowControl w:val="0"/>
        <w:numPr>
          <w:ilvl w:val="0"/>
          <w:numId w:val="47"/>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动画效果</w:t>
      </w:r>
    </w:p>
    <w:p w14:paraId="0D5AF78F">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制作以下项目相关动画：</w:t>
      </w:r>
    </w:p>
    <w:p w14:paraId="75D7D83A">
      <w:pPr>
        <w:pageBreakBefore w:val="0"/>
        <w:widowControl w:val="0"/>
        <w:numPr>
          <w:ilvl w:val="0"/>
          <w:numId w:val="50"/>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出入口闸机开、闭动画，以2种闸机计，共4段动画；</w:t>
      </w:r>
    </w:p>
    <w:p w14:paraId="748F1A82">
      <w:pPr>
        <w:pageBreakBefore w:val="0"/>
        <w:widowControl w:val="0"/>
        <w:numPr>
          <w:ilvl w:val="0"/>
          <w:numId w:val="50"/>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车辆运行动画，根据数据对接进行车辆定位，移动过程中播放。每种车辆1段，共5段动画；</w:t>
      </w:r>
    </w:p>
    <w:p w14:paraId="30F8EDBB">
      <w:pPr>
        <w:pageBreakBefore w:val="0"/>
        <w:widowControl w:val="0"/>
        <w:numPr>
          <w:ilvl w:val="0"/>
          <w:numId w:val="50"/>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场景内快速定位动画，包括场景默认视角、5个停车场主视角、机场前广场主视角（1个）、停车场出入口视角（15个）、车辆跟随视角（5个）</w:t>
      </w:r>
    </w:p>
    <w:p w14:paraId="58C4E630">
      <w:pPr>
        <w:pageBreakBefore w:val="0"/>
        <w:widowControl w:val="0"/>
        <w:numPr>
          <w:ilvl w:val="0"/>
          <w:numId w:val="50"/>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全场漫游动画1段。</w:t>
      </w:r>
    </w:p>
    <w:p w14:paraId="14BFB5AD">
      <w:pPr>
        <w:pageBreakBefore w:val="0"/>
        <w:widowControl w:val="0"/>
        <w:numPr>
          <w:ilvl w:val="0"/>
          <w:numId w:val="47"/>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模型数据对接</w:t>
      </w:r>
    </w:p>
    <w:p w14:paraId="19A97974">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对主页面进行前端开发、数据对接，包括页面及场景中数据面板包含接口联调、测试、调整费用。</w:t>
      </w:r>
    </w:p>
    <w:p w14:paraId="15A5152F">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数据对接具体功能包括：</w:t>
      </w:r>
    </w:p>
    <w:p w14:paraId="792A6ED5">
      <w:pPr>
        <w:pageBreakBefore w:val="0"/>
        <w:widowControl w:val="0"/>
        <w:numPr>
          <w:ilvl w:val="0"/>
          <w:numId w:val="51"/>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6个二维面板中的数据对接</w:t>
      </w:r>
    </w:p>
    <w:p w14:paraId="6BEADB82">
      <w:pPr>
        <w:pageBreakBefore w:val="0"/>
        <w:widowControl w:val="0"/>
        <w:numPr>
          <w:ilvl w:val="0"/>
          <w:numId w:val="51"/>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闸机开闭远程控制</w:t>
      </w:r>
    </w:p>
    <w:p w14:paraId="2BF40D6D">
      <w:pPr>
        <w:pageBreakBefore w:val="0"/>
        <w:widowControl w:val="0"/>
        <w:numPr>
          <w:ilvl w:val="0"/>
          <w:numId w:val="51"/>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进场车辆信息、运动定位、停车位定位</w:t>
      </w:r>
    </w:p>
    <w:p w14:paraId="4CB3EA89">
      <w:pPr>
        <w:pStyle w:val="53"/>
        <w:pageBreakBefore w:val="0"/>
        <w:widowControl w:val="0"/>
        <w:numPr>
          <w:ilvl w:val="0"/>
          <w:numId w:val="46"/>
        </w:numPr>
        <w:kinsoku/>
        <w:wordWrap/>
        <w:overflowPunct/>
        <w:topLinePunct w:val="0"/>
        <w:autoSpaceDE/>
        <w:autoSpaceDN/>
        <w:bidi w:val="0"/>
        <w:snapToGrid/>
        <w:spacing w:line="400" w:lineRule="exact"/>
        <w:ind w:firstLineChars="0"/>
        <w:textAlignment w:val="auto"/>
        <w:rPr>
          <w:rFonts w:hint="eastAsia" w:ascii="宋体" w:hAnsi="宋体" w:eastAsia="宋体" w:cs="宋体"/>
          <w:b/>
          <w:bCs/>
          <w:szCs w:val="24"/>
          <w:highlight w:val="none"/>
        </w:rPr>
      </w:pPr>
      <w:r>
        <w:rPr>
          <w:rFonts w:hint="eastAsia" w:ascii="宋体" w:hAnsi="宋体" w:eastAsia="宋体" w:cs="宋体"/>
          <w:b/>
          <w:bCs/>
          <w:szCs w:val="24"/>
          <w:highlight w:val="none"/>
        </w:rPr>
        <w:t>基础设施一张图</w:t>
      </w:r>
    </w:p>
    <w:p w14:paraId="2D395EBD">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在网络、政策可行范围内，集成接入台州机场周边交通基础设施数据服务，包括公路路网、机场、客运站、公交站、高铁站、客运企业等信息，形成可视化的地图图层展示，提供路径指引，提供清晰直观地掌握机场整体周边交通基础设施分布情况，机场交通管理的后续下一步的决策和统筹。</w:t>
      </w:r>
    </w:p>
    <w:p w14:paraId="0CF451C1">
      <w:pPr>
        <w:pStyle w:val="53"/>
        <w:pageBreakBefore w:val="0"/>
        <w:widowControl w:val="0"/>
        <w:numPr>
          <w:ilvl w:val="0"/>
          <w:numId w:val="46"/>
        </w:numPr>
        <w:kinsoku/>
        <w:wordWrap/>
        <w:overflowPunct/>
        <w:topLinePunct w:val="0"/>
        <w:autoSpaceDE/>
        <w:autoSpaceDN/>
        <w:bidi w:val="0"/>
        <w:snapToGrid/>
        <w:spacing w:line="400" w:lineRule="exact"/>
        <w:ind w:firstLineChars="0"/>
        <w:textAlignment w:val="auto"/>
        <w:rPr>
          <w:rFonts w:hint="eastAsia" w:ascii="宋体" w:hAnsi="宋体" w:eastAsia="宋体" w:cs="宋体"/>
          <w:b/>
          <w:bCs/>
          <w:szCs w:val="24"/>
          <w:highlight w:val="none"/>
        </w:rPr>
      </w:pPr>
      <w:r>
        <w:rPr>
          <w:rFonts w:hint="eastAsia" w:ascii="宋体" w:hAnsi="宋体" w:eastAsia="宋体" w:cs="宋体"/>
          <w:b/>
          <w:bCs/>
          <w:szCs w:val="24"/>
          <w:highlight w:val="none"/>
        </w:rPr>
        <w:t>载运装备一张图</w:t>
      </w:r>
    </w:p>
    <w:p w14:paraId="13F10B78">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通过对接公交平台、网约车平台、出租车平台等公共车辆平台，在一张图上显示营运车辆的信息，和实时定位信息，通过对接视频监控，模拟停车区车位停放的实时画面。</w:t>
      </w:r>
    </w:p>
    <w:p w14:paraId="2151B078">
      <w:pPr>
        <w:pStyle w:val="53"/>
        <w:pageBreakBefore w:val="0"/>
        <w:widowControl w:val="0"/>
        <w:numPr>
          <w:ilvl w:val="0"/>
          <w:numId w:val="46"/>
        </w:numPr>
        <w:kinsoku/>
        <w:wordWrap/>
        <w:overflowPunct/>
        <w:topLinePunct w:val="0"/>
        <w:autoSpaceDE/>
        <w:autoSpaceDN/>
        <w:bidi w:val="0"/>
        <w:snapToGrid/>
        <w:spacing w:line="400" w:lineRule="exact"/>
        <w:ind w:firstLineChars="0"/>
        <w:textAlignment w:val="auto"/>
        <w:rPr>
          <w:rFonts w:hint="eastAsia" w:ascii="宋体" w:hAnsi="宋体" w:eastAsia="宋体" w:cs="宋体"/>
          <w:b/>
          <w:bCs/>
          <w:szCs w:val="24"/>
          <w:highlight w:val="none"/>
        </w:rPr>
      </w:pPr>
      <w:r>
        <w:rPr>
          <w:rFonts w:hint="eastAsia" w:ascii="宋体" w:hAnsi="宋体" w:eastAsia="宋体" w:cs="宋体"/>
          <w:b/>
          <w:bCs/>
          <w:szCs w:val="24"/>
          <w:highlight w:val="none"/>
        </w:rPr>
        <w:t>感知设备一张图</w:t>
      </w:r>
    </w:p>
    <w:p w14:paraId="55EBB612">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通过对接感知设备、监控摄像机、音箱等设备，实现在一张图上，可以在一张图上将设备的详情信息、设备点位、类型进行查看，可以通过一张图上可以开展道闸开关、监控查看，音箱广播等操作。</w:t>
      </w:r>
    </w:p>
    <w:p w14:paraId="4EB4BF82">
      <w:pPr>
        <w:pStyle w:val="53"/>
        <w:pageBreakBefore w:val="0"/>
        <w:widowControl w:val="0"/>
        <w:numPr>
          <w:ilvl w:val="0"/>
          <w:numId w:val="46"/>
        </w:numPr>
        <w:kinsoku/>
        <w:wordWrap/>
        <w:overflowPunct/>
        <w:topLinePunct w:val="0"/>
        <w:autoSpaceDE/>
        <w:autoSpaceDN/>
        <w:bidi w:val="0"/>
        <w:snapToGrid/>
        <w:spacing w:line="400" w:lineRule="exact"/>
        <w:ind w:firstLineChars="0"/>
        <w:textAlignment w:val="auto"/>
        <w:rPr>
          <w:rFonts w:hint="eastAsia" w:ascii="宋体" w:hAnsi="宋体" w:eastAsia="宋体" w:cs="宋体"/>
          <w:b/>
          <w:bCs/>
          <w:szCs w:val="24"/>
          <w:highlight w:val="none"/>
        </w:rPr>
      </w:pPr>
      <w:r>
        <w:rPr>
          <w:rFonts w:hint="eastAsia" w:ascii="宋体" w:hAnsi="宋体" w:eastAsia="宋体" w:cs="宋体"/>
          <w:b/>
          <w:bCs/>
          <w:szCs w:val="24"/>
          <w:highlight w:val="none"/>
        </w:rPr>
        <w:t>预警事件一张图</w:t>
      </w:r>
    </w:p>
    <w:p w14:paraId="0723B872">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对接事件中心和交通预警管理模块，将事件及预警通过地图和列表的模式进行展示。对接上述模块，可以直接在预警一张图与上发起关联的后续执行跟踪派发工作。</w:t>
      </w:r>
      <w:bookmarkEnd w:id="252"/>
    </w:p>
    <w:p w14:paraId="00679535">
      <w:pPr>
        <w:pStyle w:val="7"/>
        <w:pageBreakBefore w:val="0"/>
        <w:widowControl w:val="0"/>
        <w:kinsoku/>
        <w:wordWrap/>
        <w:overflowPunct/>
        <w:topLinePunct w:val="0"/>
        <w:autoSpaceDE/>
        <w:autoSpaceDN/>
        <w:bidi w:val="0"/>
        <w:snapToGrid/>
        <w:spacing w:line="400" w:lineRule="exact"/>
        <w:textAlignment w:val="auto"/>
        <w:rPr>
          <w:rFonts w:hint="eastAsia"/>
          <w:highlight w:val="none"/>
        </w:rPr>
      </w:pPr>
      <w:bookmarkStart w:id="254" w:name="OLE_LINK1"/>
      <w:r>
        <w:rPr>
          <w:rFonts w:hint="eastAsia"/>
          <w:highlight w:val="none"/>
        </w:rPr>
        <w:t>运营事件中心</w:t>
      </w:r>
    </w:p>
    <w:p w14:paraId="20D3B0AD">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lang w:val="zh-CN"/>
        </w:rPr>
        <w:t>运营事件中心是为了有效管理和处理机场陆侧发生的各类事件，包括系统预设的四类预警和事件信息管理。</w:t>
      </w:r>
    </w:p>
    <w:p w14:paraId="742DACF2">
      <w:pPr>
        <w:pStyle w:val="8"/>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预警中心</w:t>
      </w:r>
    </w:p>
    <w:p w14:paraId="1750AED0">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预警中心通过接入本系统前端感知设备、既有硬件，新建的交通预测预警评估系统，实现本次建设的主要预警类型，能够实现自动触发预警的信息查看，预警决策，转成事件，预警处置等工作内容，包括如下功能：</w:t>
      </w:r>
    </w:p>
    <w:p w14:paraId="0D4F0E73">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预警信息</w:t>
      </w:r>
    </w:p>
    <w:p w14:paraId="2CE9FDB0">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接入本项目建设的主</w:t>
      </w:r>
      <w:r>
        <w:rPr>
          <w:rFonts w:hint="eastAsia" w:ascii="宋体" w:hAnsi="宋体" w:eastAsia="宋体" w:cs="宋体"/>
          <w:highlight w:val="none"/>
        </w:rPr>
        <w:t>要</w:t>
      </w:r>
      <w:r>
        <w:rPr>
          <w:rFonts w:hint="eastAsia" w:ascii="宋体" w:hAnsi="宋体" w:eastAsia="宋体" w:cs="宋体"/>
          <w:highlight w:val="none"/>
          <w:lang w:val="zh-CN"/>
        </w:rPr>
        <w:t>预警，包括通行需求不足预警、出行供给过载预警、交通权限异常预警、到达层上客异常预警，</w:t>
      </w:r>
      <w:r>
        <w:rPr>
          <w:rFonts w:hint="eastAsia" w:ascii="宋体" w:hAnsi="宋体" w:eastAsia="宋体" w:cs="宋体"/>
          <w:highlight w:val="none"/>
        </w:rPr>
        <w:t>以及公交调度预警</w:t>
      </w:r>
      <w:r>
        <w:rPr>
          <w:rFonts w:hint="eastAsia" w:ascii="宋体" w:hAnsi="宋体" w:eastAsia="宋体" w:cs="宋体"/>
          <w:highlight w:val="none"/>
          <w:lang w:val="zh-CN"/>
        </w:rPr>
        <w:t>，对预警的类型、阶段、时间和当前状态进行详情查看和主动提示。</w:t>
      </w:r>
    </w:p>
    <w:p w14:paraId="27B60D59">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预警决策</w:t>
      </w:r>
    </w:p>
    <w:p w14:paraId="0E2AE2F5">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基于预警信息内容，执行预警决策，可以撤销预警，转成事件，并设置预警免疫时间等内容。</w:t>
      </w:r>
    </w:p>
    <w:p w14:paraId="1E517965">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预警处置</w:t>
      </w:r>
    </w:p>
    <w:p w14:paraId="36AAC77F">
      <w:pPr>
        <w:pageBreakBefore w:val="0"/>
        <w:widowControl w:val="0"/>
        <w:kinsoku/>
        <w:wordWrap/>
        <w:overflowPunct/>
        <w:topLinePunct w:val="0"/>
        <w:autoSpaceDE/>
        <w:autoSpaceDN/>
        <w:bidi w:val="0"/>
        <w:snapToGrid/>
        <w:spacing w:line="400" w:lineRule="exact"/>
        <w:ind w:firstLine="420" w:firstLineChars="0"/>
        <w:textAlignment w:val="auto"/>
        <w:rPr>
          <w:rFonts w:hint="eastAsia" w:ascii="宋体" w:hAnsi="宋体" w:eastAsia="宋体" w:cs="宋体"/>
          <w:highlight w:val="none"/>
          <w:lang w:val="zh-CN"/>
        </w:rPr>
      </w:pPr>
      <w:r>
        <w:rPr>
          <w:rFonts w:hint="eastAsia" w:ascii="宋体" w:hAnsi="宋体" w:eastAsia="宋体" w:cs="宋体"/>
          <w:highlight w:val="none"/>
          <w:lang w:val="zh-CN"/>
        </w:rPr>
        <w:t>基于预警情况执行预警处置策略，包括手动预警处置和自动预警处置。</w:t>
      </w:r>
    </w:p>
    <w:p w14:paraId="50B428A1">
      <w:pPr>
        <w:pageBreakBefore w:val="0"/>
        <w:widowControl w:val="0"/>
        <w:kinsoku/>
        <w:wordWrap/>
        <w:overflowPunct/>
        <w:topLinePunct w:val="0"/>
        <w:autoSpaceDE/>
        <w:autoSpaceDN/>
        <w:bidi w:val="0"/>
        <w:snapToGrid/>
        <w:spacing w:line="400" w:lineRule="exact"/>
        <w:ind w:firstLine="420" w:firstLineChars="0"/>
        <w:textAlignment w:val="auto"/>
        <w:rPr>
          <w:rFonts w:hint="eastAsia" w:ascii="宋体" w:hAnsi="宋体" w:eastAsia="宋体" w:cs="宋体"/>
          <w:highlight w:val="none"/>
          <w:lang w:val="zh-CN"/>
        </w:rPr>
      </w:pPr>
      <w:r>
        <w:rPr>
          <w:rFonts w:hint="eastAsia" w:ascii="宋体" w:hAnsi="宋体" w:eastAsia="宋体" w:cs="宋体"/>
          <w:highlight w:val="none"/>
          <w:lang w:val="zh-CN"/>
        </w:rPr>
        <w:t>手动预警处置与应急调度类似，可以实现与预警对应的设备的手动操作；包括道闸的控制、广播的控制、情报板的设置等内容。</w:t>
      </w:r>
    </w:p>
    <w:p w14:paraId="2A878BFF">
      <w:pPr>
        <w:pageBreakBefore w:val="0"/>
        <w:widowControl w:val="0"/>
        <w:kinsoku/>
        <w:wordWrap/>
        <w:overflowPunct/>
        <w:topLinePunct w:val="0"/>
        <w:autoSpaceDE/>
        <w:autoSpaceDN/>
        <w:bidi w:val="0"/>
        <w:snapToGrid/>
        <w:spacing w:line="400" w:lineRule="exact"/>
        <w:ind w:firstLine="420" w:firstLineChars="0"/>
        <w:textAlignment w:val="auto"/>
        <w:rPr>
          <w:rFonts w:hint="eastAsia" w:ascii="宋体" w:hAnsi="宋体" w:eastAsia="宋体" w:cs="宋体"/>
          <w:highlight w:val="none"/>
          <w:lang w:val="zh-CN"/>
        </w:rPr>
      </w:pPr>
      <w:r>
        <w:rPr>
          <w:rFonts w:hint="eastAsia" w:ascii="宋体" w:hAnsi="宋体" w:eastAsia="宋体" w:cs="宋体"/>
          <w:highlight w:val="none"/>
          <w:lang w:val="zh-CN"/>
        </w:rPr>
        <w:t>自动预警处置，是针对预警的自动执行的处置内容，自动处置主要是涉及系统调度，因此需要系统统一设置统一执行。可以设置自动预警处置的启动时间范围和启动自动处置预警的类型。</w:t>
      </w:r>
    </w:p>
    <w:p w14:paraId="2D127182">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预警设置</w:t>
      </w:r>
    </w:p>
    <w:p w14:paraId="379940B9">
      <w:pPr>
        <w:pageBreakBefore w:val="0"/>
        <w:widowControl w:val="0"/>
        <w:kinsoku/>
        <w:wordWrap/>
        <w:overflowPunct/>
        <w:topLinePunct w:val="0"/>
        <w:autoSpaceDE/>
        <w:autoSpaceDN/>
        <w:bidi w:val="0"/>
        <w:snapToGrid/>
        <w:spacing w:line="400" w:lineRule="exact"/>
        <w:ind w:firstLine="420" w:firstLineChars="0"/>
        <w:textAlignment w:val="auto"/>
        <w:rPr>
          <w:rFonts w:hint="eastAsia" w:ascii="宋体" w:hAnsi="宋体" w:eastAsia="宋体" w:cs="宋体"/>
          <w:highlight w:val="none"/>
          <w:lang w:val="zh-CN"/>
        </w:rPr>
      </w:pPr>
      <w:r>
        <w:rPr>
          <w:rFonts w:hint="eastAsia" w:ascii="宋体" w:hAnsi="宋体" w:eastAsia="宋体" w:cs="宋体"/>
          <w:highlight w:val="none"/>
          <w:lang w:val="zh-CN"/>
        </w:rPr>
        <w:t>预警设置包括通行需求不足预警、出行供给过载预警、交通权限异常预警、到达层上客异常预警的触发条件，其中：</w:t>
      </w:r>
    </w:p>
    <w:p w14:paraId="0D54D167">
      <w:pPr>
        <w:pageBreakBefore w:val="0"/>
        <w:widowControl w:val="0"/>
        <w:kinsoku/>
        <w:wordWrap/>
        <w:overflowPunct/>
        <w:topLinePunct w:val="0"/>
        <w:autoSpaceDE/>
        <w:autoSpaceDN/>
        <w:bidi w:val="0"/>
        <w:snapToGrid/>
        <w:spacing w:line="400" w:lineRule="exact"/>
        <w:ind w:firstLine="420" w:firstLineChars="0"/>
        <w:textAlignment w:val="auto"/>
        <w:rPr>
          <w:rFonts w:hint="eastAsia" w:ascii="宋体" w:hAnsi="宋体" w:eastAsia="宋体" w:cs="宋体"/>
          <w:highlight w:val="none"/>
          <w:lang w:val="zh-CN"/>
        </w:rPr>
      </w:pPr>
      <w:r>
        <w:rPr>
          <w:rFonts w:hint="eastAsia" w:ascii="宋体" w:hAnsi="宋体" w:eastAsia="宋体" w:cs="宋体"/>
          <w:highlight w:val="none"/>
          <w:lang w:val="zh-CN"/>
        </w:rPr>
        <w:t>通行需求不足预警设置每种车辆需求的预警红线值，当红线值达到后触发相应的车辆需求预警；</w:t>
      </w:r>
    </w:p>
    <w:p w14:paraId="09F207E1">
      <w:pPr>
        <w:pageBreakBefore w:val="0"/>
        <w:widowControl w:val="0"/>
        <w:kinsoku/>
        <w:wordWrap/>
        <w:overflowPunct/>
        <w:topLinePunct w:val="0"/>
        <w:autoSpaceDE/>
        <w:autoSpaceDN/>
        <w:bidi w:val="0"/>
        <w:snapToGrid/>
        <w:spacing w:line="400" w:lineRule="exact"/>
        <w:ind w:firstLine="420" w:firstLineChars="0"/>
        <w:textAlignment w:val="auto"/>
        <w:rPr>
          <w:rFonts w:hint="eastAsia" w:ascii="宋体" w:hAnsi="宋体" w:eastAsia="宋体" w:cs="宋体"/>
          <w:highlight w:val="none"/>
          <w:lang w:val="zh-CN"/>
        </w:rPr>
      </w:pPr>
      <w:r>
        <w:rPr>
          <w:rFonts w:hint="eastAsia" w:ascii="宋体" w:hAnsi="宋体" w:eastAsia="宋体" w:cs="宋体"/>
          <w:highlight w:val="none"/>
          <w:lang w:val="zh-CN"/>
        </w:rPr>
        <w:t>出行供给过载预警设置每个停车区饱和程度作为预警条件，同时设置需求消耗比例作为事件触发条件；</w:t>
      </w:r>
    </w:p>
    <w:p w14:paraId="252503B4">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自动处置设置</w:t>
      </w:r>
    </w:p>
    <w:p w14:paraId="180BD660">
      <w:pPr>
        <w:pageBreakBefore w:val="0"/>
        <w:widowControl w:val="0"/>
        <w:kinsoku/>
        <w:wordWrap/>
        <w:overflowPunct/>
        <w:topLinePunct w:val="0"/>
        <w:autoSpaceDE/>
        <w:autoSpaceDN/>
        <w:bidi w:val="0"/>
        <w:snapToGrid/>
        <w:spacing w:line="400" w:lineRule="exact"/>
        <w:ind w:firstLine="420" w:firstLineChars="0"/>
        <w:textAlignment w:val="auto"/>
        <w:rPr>
          <w:rFonts w:hint="eastAsia" w:ascii="宋体" w:hAnsi="宋体" w:eastAsia="宋体" w:cs="宋体"/>
          <w:highlight w:val="none"/>
          <w:lang w:val="zh-CN"/>
        </w:rPr>
      </w:pPr>
      <w:r>
        <w:rPr>
          <w:rFonts w:hint="eastAsia" w:ascii="宋体" w:hAnsi="宋体" w:eastAsia="宋体" w:cs="宋体"/>
          <w:highlight w:val="none"/>
          <w:lang w:val="zh-CN"/>
        </w:rPr>
        <w:t>预警针对到达层上客异常预警中的放行效率预警，提供了三种放行策略的处置，分别为：</w:t>
      </w:r>
    </w:p>
    <w:p w14:paraId="192BED61">
      <w:pPr>
        <w:pageBreakBefore w:val="0"/>
        <w:widowControl w:val="0"/>
        <w:kinsoku/>
        <w:wordWrap/>
        <w:overflowPunct/>
        <w:topLinePunct w:val="0"/>
        <w:autoSpaceDE/>
        <w:autoSpaceDN/>
        <w:bidi w:val="0"/>
        <w:snapToGrid/>
        <w:spacing w:line="400" w:lineRule="exact"/>
        <w:ind w:firstLine="420" w:firstLineChars="0"/>
        <w:textAlignment w:val="auto"/>
        <w:rPr>
          <w:rFonts w:hint="eastAsia" w:ascii="宋体" w:hAnsi="宋体" w:eastAsia="宋体" w:cs="宋体"/>
          <w:highlight w:val="none"/>
          <w:lang w:val="zh-CN"/>
        </w:rPr>
      </w:pPr>
      <w:r>
        <w:rPr>
          <w:rFonts w:hint="eastAsia" w:ascii="宋体" w:hAnsi="宋体" w:eastAsia="宋体" w:cs="宋体"/>
          <w:highlight w:val="none"/>
          <w:lang w:val="zh-CN"/>
        </w:rPr>
        <w:t>网约车共享停车位策略：不再局限指定车辆到指定停车车位编号，只要上客点有空车位，即可以安排网约车上客。</w:t>
      </w:r>
    </w:p>
    <w:p w14:paraId="453E672C">
      <w:pPr>
        <w:pageBreakBefore w:val="0"/>
        <w:widowControl w:val="0"/>
        <w:kinsoku/>
        <w:wordWrap/>
        <w:overflowPunct/>
        <w:topLinePunct w:val="0"/>
        <w:autoSpaceDE/>
        <w:autoSpaceDN/>
        <w:bidi w:val="0"/>
        <w:snapToGrid/>
        <w:spacing w:line="400" w:lineRule="exact"/>
        <w:ind w:firstLine="420" w:firstLineChars="0"/>
        <w:textAlignment w:val="auto"/>
        <w:rPr>
          <w:rFonts w:hint="eastAsia" w:ascii="宋体" w:hAnsi="宋体" w:eastAsia="宋体" w:cs="宋体"/>
          <w:highlight w:val="none"/>
          <w:lang w:val="zh-CN"/>
        </w:rPr>
      </w:pPr>
      <w:r>
        <w:rPr>
          <w:rFonts w:hint="eastAsia" w:ascii="宋体" w:hAnsi="宋体" w:eastAsia="宋体" w:cs="宋体"/>
          <w:highlight w:val="none"/>
          <w:lang w:val="zh-CN"/>
        </w:rPr>
        <w:t>公交车闲时共享策略：在公交车非运行时段的间隔期间，可以将公交车站的车位临时用于网约车上客。此策略允许设置每个公交车位同时停靠的网约车数量，并规定公交班次间隔的安全时间范围，以确保共享期间的秩序与安全。</w:t>
      </w:r>
    </w:p>
    <w:p w14:paraId="0608E106">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出租车双排放行策略：出租车上客点临时可以双排上客，提升上客效率。根据双排上客容量进行放行出租车。</w:t>
      </w:r>
    </w:p>
    <w:p w14:paraId="1DAD5516">
      <w:pPr>
        <w:pStyle w:val="9"/>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lang w:val="zh-CN"/>
        </w:rPr>
        <w:t>自动处置评估</w:t>
      </w:r>
    </w:p>
    <w:p w14:paraId="1DA5DF6C">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对自动处置效果进行模拟分析，对自动处置的影响进行评估。</w:t>
      </w:r>
    </w:p>
    <w:p w14:paraId="7F78EF13">
      <w:pPr>
        <w:pStyle w:val="8"/>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事件管理</w:t>
      </w:r>
    </w:p>
    <w:p w14:paraId="5D78989F">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事件信息的集中展示、处置派发、过程跟踪窗口，提供事件录入界面，允许用户输入以及系统自动接入事件相关信息，如事件类型、发生时间、地点、描述等。实现事件分类功能，将事件按照类型进行分类，包括从业务类型、紧急程度等多维度分类，方便后续的处理和统计分析。</w:t>
      </w:r>
    </w:p>
    <w:p w14:paraId="7683FB2D">
      <w:pPr>
        <w:pStyle w:val="9"/>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事件信息</w:t>
      </w:r>
    </w:p>
    <w:p w14:paraId="4047F15F">
      <w:pPr>
        <w:pageBreakBefore w:val="0"/>
        <w:widowControl w:val="0"/>
        <w:kinsoku/>
        <w:wordWrap/>
        <w:overflowPunct/>
        <w:topLinePunct w:val="0"/>
        <w:autoSpaceDE/>
        <w:autoSpaceDN/>
        <w:bidi w:val="0"/>
        <w:snapToGrid/>
        <w:spacing w:line="400" w:lineRule="exact"/>
        <w:ind w:firstLine="420" w:firstLineChars="0"/>
        <w:textAlignment w:val="auto"/>
        <w:rPr>
          <w:rFonts w:hint="eastAsia" w:ascii="宋体" w:hAnsi="宋体" w:eastAsia="宋体" w:cs="宋体"/>
          <w:highlight w:val="none"/>
          <w:lang w:val="zh-CN"/>
        </w:rPr>
      </w:pPr>
      <w:r>
        <w:rPr>
          <w:rFonts w:hint="eastAsia" w:ascii="宋体" w:hAnsi="宋体" w:eastAsia="宋体" w:cs="宋体"/>
          <w:highlight w:val="none"/>
          <w:lang w:val="zh-CN"/>
        </w:rPr>
        <w:t>接入系统自动监测分析发现的预警事件，同时支持手动录入上报各类事件。</w:t>
      </w:r>
    </w:p>
    <w:p w14:paraId="2303A573">
      <w:pPr>
        <w:pageBreakBefore w:val="0"/>
        <w:widowControl w:val="0"/>
        <w:kinsoku/>
        <w:wordWrap/>
        <w:overflowPunct/>
        <w:topLinePunct w:val="0"/>
        <w:autoSpaceDE/>
        <w:autoSpaceDN/>
        <w:bidi w:val="0"/>
        <w:snapToGrid/>
        <w:spacing w:line="400" w:lineRule="exact"/>
        <w:ind w:firstLine="420" w:firstLineChars="0"/>
        <w:textAlignment w:val="auto"/>
        <w:rPr>
          <w:rFonts w:hint="eastAsia" w:ascii="宋体" w:hAnsi="宋体" w:eastAsia="宋体" w:cs="宋体"/>
          <w:highlight w:val="none"/>
          <w:lang w:val="zh-CN"/>
        </w:rPr>
      </w:pPr>
      <w:r>
        <w:rPr>
          <w:rFonts w:hint="eastAsia" w:ascii="宋体" w:hAnsi="宋体" w:eastAsia="宋体" w:cs="宋体"/>
          <w:highlight w:val="none"/>
          <w:lang w:val="zh-CN"/>
        </w:rPr>
        <w:t>同时接入预警转事件的内容，可以查看预警信息。</w:t>
      </w:r>
    </w:p>
    <w:p w14:paraId="5DEF01BF">
      <w:pPr>
        <w:pStyle w:val="9"/>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事件指派转发</w:t>
      </w:r>
    </w:p>
    <w:p w14:paraId="3522D57A">
      <w:pPr>
        <w:pageBreakBefore w:val="0"/>
        <w:widowControl w:val="0"/>
        <w:kinsoku/>
        <w:wordWrap/>
        <w:overflowPunct/>
        <w:topLinePunct w:val="0"/>
        <w:autoSpaceDE/>
        <w:autoSpaceDN/>
        <w:bidi w:val="0"/>
        <w:adjustRightInd w:val="0"/>
        <w:snapToGrid/>
        <w:spacing w:line="400" w:lineRule="exact"/>
        <w:ind w:firstLine="480"/>
        <w:textAlignment w:val="auto"/>
        <w:rPr>
          <w:rFonts w:hint="eastAsia" w:ascii="宋体" w:hAnsi="宋体" w:eastAsia="宋体" w:cs="宋体"/>
          <w:sz w:val="28"/>
          <w:szCs w:val="32"/>
          <w:highlight w:val="none"/>
          <w:lang w:val="zh-CN"/>
        </w:rPr>
      </w:pPr>
      <w:r>
        <w:rPr>
          <w:rFonts w:hint="eastAsia" w:ascii="宋体" w:hAnsi="宋体" w:eastAsia="宋体" w:cs="宋体"/>
          <w:highlight w:val="none"/>
          <w:lang w:val="zh-CN"/>
        </w:rPr>
        <w:t>指挥中心调度人员通过事件类型的判定和确认，根据实际情况将事件进行指派转发给具体实施处置人员，进行事件处置环节。</w:t>
      </w:r>
    </w:p>
    <w:p w14:paraId="1464820A">
      <w:pPr>
        <w:pStyle w:val="9"/>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事件反馈闭环</w:t>
      </w:r>
    </w:p>
    <w:p w14:paraId="6EDD6F81">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事件处理人员完成相关处置后对事件进行处置反馈，使整个事件实现事前、事中、事后处置闭环，事件中心实时显示事件处置完成状态。</w:t>
      </w:r>
    </w:p>
    <w:bookmarkEnd w:id="254"/>
    <w:p w14:paraId="400B98B5">
      <w:pPr>
        <w:pStyle w:val="7"/>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综合信息管理</w:t>
      </w:r>
    </w:p>
    <w:p w14:paraId="17EE2083">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综合</w:t>
      </w:r>
      <w:r>
        <w:rPr>
          <w:rFonts w:hint="eastAsia" w:ascii="宋体" w:hAnsi="宋体" w:eastAsia="宋体" w:cs="宋体"/>
          <w:highlight w:val="none"/>
        </w:rPr>
        <w:t>信息管理</w:t>
      </w:r>
      <w:r>
        <w:rPr>
          <w:rFonts w:hint="eastAsia" w:ascii="宋体" w:hAnsi="宋体" w:eastAsia="宋体" w:cs="宋体"/>
          <w:highlight w:val="none"/>
          <w:lang w:val="zh-CN"/>
        </w:rPr>
        <w:t>提供整个项目所需基础信息和系统管理操作，包括报表中心、</w:t>
      </w:r>
      <w:r>
        <w:rPr>
          <w:rFonts w:hint="eastAsia" w:ascii="宋体" w:hAnsi="宋体" w:eastAsia="宋体" w:cs="宋体"/>
          <w:highlight w:val="none"/>
        </w:rPr>
        <w:t>基础数据管理</w:t>
      </w:r>
      <w:r>
        <w:rPr>
          <w:rFonts w:hint="eastAsia" w:ascii="宋体" w:hAnsi="宋体" w:eastAsia="宋体" w:cs="宋体"/>
          <w:highlight w:val="none"/>
          <w:lang w:val="zh-CN"/>
        </w:rPr>
        <w:t>、系统管理等功能模块，实现对项目中涉及的陆侧交通数据信息的管理及运维更新。</w:t>
      </w:r>
    </w:p>
    <w:p w14:paraId="25620361">
      <w:pPr>
        <w:pStyle w:val="8"/>
        <w:pageBreakBefore w:val="0"/>
        <w:widowControl w:val="0"/>
        <w:kinsoku/>
        <w:wordWrap/>
        <w:overflowPunct/>
        <w:topLinePunct w:val="0"/>
        <w:autoSpaceDE/>
        <w:autoSpaceDN/>
        <w:bidi w:val="0"/>
        <w:snapToGrid/>
        <w:spacing w:line="400" w:lineRule="exact"/>
        <w:textAlignment w:val="auto"/>
        <w:rPr>
          <w:rFonts w:hint="eastAsia"/>
          <w:highlight w:val="none"/>
          <w:lang w:val="zh-CN"/>
        </w:rPr>
      </w:pPr>
      <w:r>
        <w:rPr>
          <w:rFonts w:hint="eastAsia"/>
          <w:highlight w:val="none"/>
        </w:rPr>
        <w:t>基础数据管理</w:t>
      </w:r>
    </w:p>
    <w:p w14:paraId="3C286626">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针对机场交通信息，主要实现对基础数据的信息录入和配置，包括如下内容：</w:t>
      </w:r>
    </w:p>
    <w:p w14:paraId="74E38556">
      <w:pPr>
        <w:pStyle w:val="9"/>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基础设施点位编目管理</w:t>
      </w:r>
    </w:p>
    <w:p w14:paraId="577F23A9">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通过对接既有系统，</w:t>
      </w:r>
      <w:r>
        <w:rPr>
          <w:rFonts w:hint="eastAsia" w:ascii="宋体" w:hAnsi="宋体" w:eastAsia="宋体" w:cs="宋体"/>
          <w:highlight w:val="none"/>
        </w:rPr>
        <w:t>对</w:t>
      </w:r>
      <w:r>
        <w:rPr>
          <w:rFonts w:hint="eastAsia" w:ascii="宋体" w:hAnsi="宋体" w:eastAsia="宋体" w:cs="宋体"/>
          <w:highlight w:val="none"/>
          <w:lang w:val="zh-CN"/>
        </w:rPr>
        <w:t>基础设施基础情况进行编目，通过配置基础点位的概览信息与接口返回信息关联，同步设备状态。</w:t>
      </w:r>
    </w:p>
    <w:p w14:paraId="4387E821">
      <w:pPr>
        <w:pStyle w:val="9"/>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固定车辆信息管理</w:t>
      </w:r>
    </w:p>
    <w:p w14:paraId="4FE11CBE">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对站前常用车辆信息进行预设，包括台州市内的出租车基础信息、网约车基础信息、公交车基础信息及相应车牌信息，能够作为基础信息服务于车辆权限配置等内容。</w:t>
      </w:r>
    </w:p>
    <w:p w14:paraId="0A188E4D">
      <w:pPr>
        <w:pStyle w:val="9"/>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人员信息管理</w:t>
      </w:r>
    </w:p>
    <w:p w14:paraId="6B17DB50">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对职工人员信息进行管理，可以录入职工人员信息，职工车辆信息自助维护等服务，提供通过短信向第三方H5页面向职工推送，可以开展临时车辆通行权限白名单等服务。</w:t>
      </w:r>
    </w:p>
    <w:p w14:paraId="0D4586E0">
      <w:pPr>
        <w:pStyle w:val="9"/>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接口服务管理</w:t>
      </w:r>
    </w:p>
    <w:p w14:paraId="3F53E7C3">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lang w:val="zh-CN"/>
        </w:rPr>
        <w:t>通过接口服务的解析，陈列接口列表，对接口数据进行本地存储管理，包括接口数据的字段选择，与固定车辆、设施编目等本地数据库相关字段进行联动，以实现自动化数据从接口服务进行同步，同时对接口状态进行跟踪，确保接口服务的稳定性。</w:t>
      </w:r>
    </w:p>
    <w:p w14:paraId="10EEFA03">
      <w:pPr>
        <w:pStyle w:val="8"/>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报表管理</w:t>
      </w:r>
    </w:p>
    <w:p w14:paraId="3AF9F438">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该模块支持自定义创建业务报表数据，支持生成月度、季度统计报表进行自动消息推送。</w:t>
      </w:r>
    </w:p>
    <w:p w14:paraId="221AEBDA">
      <w:pPr>
        <w:pageBreakBefore w:val="0"/>
        <w:widowControl w:val="0"/>
        <w:numPr>
          <w:ilvl w:val="0"/>
          <w:numId w:val="52"/>
        </w:numPr>
        <w:kinsoku/>
        <w:wordWrap/>
        <w:overflowPunct/>
        <w:topLinePunct w:val="0"/>
        <w:autoSpaceDE/>
        <w:autoSpaceDN/>
        <w:bidi w:val="0"/>
        <w:snapToGrid/>
        <w:spacing w:line="400" w:lineRule="exact"/>
        <w:ind w:left="0"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报表创建</w:t>
      </w:r>
    </w:p>
    <w:p w14:paraId="7DD6C60F">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支持创建在线表格，用户可自由编辑表格样式以及内容。</w:t>
      </w:r>
    </w:p>
    <w:p w14:paraId="337932AC">
      <w:pPr>
        <w:pageBreakBefore w:val="0"/>
        <w:widowControl w:val="0"/>
        <w:numPr>
          <w:ilvl w:val="0"/>
          <w:numId w:val="52"/>
        </w:numPr>
        <w:kinsoku/>
        <w:wordWrap/>
        <w:overflowPunct/>
        <w:topLinePunct w:val="0"/>
        <w:autoSpaceDE/>
        <w:autoSpaceDN/>
        <w:bidi w:val="0"/>
        <w:snapToGrid/>
        <w:spacing w:line="400" w:lineRule="exact"/>
        <w:ind w:left="0"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报表导入</w:t>
      </w:r>
    </w:p>
    <w:p w14:paraId="4B99C8D3">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支持通过本地文件一键导入系统，形成在线表格进行再次编辑应用。</w:t>
      </w:r>
    </w:p>
    <w:p w14:paraId="65BA2669">
      <w:pPr>
        <w:pageBreakBefore w:val="0"/>
        <w:widowControl w:val="0"/>
        <w:numPr>
          <w:ilvl w:val="0"/>
          <w:numId w:val="52"/>
        </w:numPr>
        <w:kinsoku/>
        <w:wordWrap/>
        <w:overflowPunct/>
        <w:topLinePunct w:val="0"/>
        <w:autoSpaceDE/>
        <w:autoSpaceDN/>
        <w:bidi w:val="0"/>
        <w:snapToGrid/>
        <w:spacing w:line="400" w:lineRule="exact"/>
        <w:ind w:left="0"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报表检索</w:t>
      </w:r>
    </w:p>
    <w:p w14:paraId="3160693B">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针对数据报表长期积累，可能形成业务报表众多难以查找的处境，系统提供自由检索功能，通过输入查找目标的关键词即可检索出对应的目标文件，方便快速查找文件查询数据。</w:t>
      </w:r>
    </w:p>
    <w:p w14:paraId="5AB1C32A">
      <w:pPr>
        <w:pageBreakBefore w:val="0"/>
        <w:widowControl w:val="0"/>
        <w:numPr>
          <w:ilvl w:val="0"/>
          <w:numId w:val="52"/>
        </w:numPr>
        <w:kinsoku/>
        <w:wordWrap/>
        <w:overflowPunct/>
        <w:topLinePunct w:val="0"/>
        <w:autoSpaceDE/>
        <w:autoSpaceDN/>
        <w:bidi w:val="0"/>
        <w:snapToGrid/>
        <w:spacing w:line="400" w:lineRule="exact"/>
        <w:ind w:left="0"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报表分享</w:t>
      </w:r>
    </w:p>
    <w:p w14:paraId="70990E14">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支持将已有报表分享给其他用户，同时提供分享设置功能，包括查看编辑权限、访问有效期、分享形式等，更安全有效地进行数据共享。同时支持报表下载形成excel表保存到本地，丰富数据应用场景。</w:t>
      </w:r>
    </w:p>
    <w:p w14:paraId="3ABDFDB7">
      <w:pPr>
        <w:pageBreakBefore w:val="0"/>
        <w:widowControl w:val="0"/>
        <w:numPr>
          <w:ilvl w:val="0"/>
          <w:numId w:val="52"/>
        </w:numPr>
        <w:kinsoku/>
        <w:wordWrap/>
        <w:overflowPunct/>
        <w:topLinePunct w:val="0"/>
        <w:autoSpaceDE/>
        <w:autoSpaceDN/>
        <w:bidi w:val="0"/>
        <w:snapToGrid/>
        <w:spacing w:line="400" w:lineRule="exact"/>
        <w:ind w:left="0"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报表推送配置</w:t>
      </w:r>
    </w:p>
    <w:p w14:paraId="25BB376A">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支持对报表配置自动推送机制，包括设置推送对象、推送时间、推送频率等。</w:t>
      </w:r>
    </w:p>
    <w:p w14:paraId="1A49A07F">
      <w:pPr>
        <w:pageBreakBefore w:val="0"/>
        <w:widowControl w:val="0"/>
        <w:numPr>
          <w:ilvl w:val="0"/>
          <w:numId w:val="52"/>
        </w:numPr>
        <w:kinsoku/>
        <w:wordWrap/>
        <w:overflowPunct/>
        <w:topLinePunct w:val="0"/>
        <w:autoSpaceDE/>
        <w:autoSpaceDN/>
        <w:bidi w:val="0"/>
        <w:snapToGrid/>
        <w:spacing w:line="400" w:lineRule="exact"/>
        <w:ind w:left="0"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报表数据关联</w:t>
      </w:r>
    </w:p>
    <w:p w14:paraId="159EEA74">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支持自定义创建的报表关联数据库表，从而自动获取指标数据信息，生成最新数据一览表。</w:t>
      </w:r>
    </w:p>
    <w:p w14:paraId="0C950E1B">
      <w:pPr>
        <w:pStyle w:val="8"/>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可视设备内容管理</w:t>
      </w:r>
    </w:p>
    <w:p w14:paraId="4D4ACA7F">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对接显示屏发布的基础模块，通过平台实现对可视设备全局的发布内容的管理，设置可视区，灵活播放区，实现对全场陆侧的内容进行额外配置播放管理。实现对需要信息发布的屏幕的应用系统与显示屏之间的管理。</w:t>
      </w:r>
    </w:p>
    <w:p w14:paraId="494735D0">
      <w:pPr>
        <w:pStyle w:val="8"/>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系统管理</w:t>
      </w:r>
    </w:p>
    <w:p w14:paraId="4BE857EF">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系统管理模块主要用于对系统基础功能的配置维护，包括系统的用户管理、角色管理、机构管理、菜单管理等。</w:t>
      </w:r>
    </w:p>
    <w:p w14:paraId="2B8250D4">
      <w:pPr>
        <w:pStyle w:val="7"/>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外部接口对接</w:t>
      </w:r>
    </w:p>
    <w:p w14:paraId="4163A929">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本项目涉及多个外部接口的对接，包括如下：</w:t>
      </w:r>
    </w:p>
    <w:p w14:paraId="275D6310">
      <w:pPr>
        <w:pageBreakBefore w:val="0"/>
        <w:widowControl w:val="0"/>
        <w:numPr>
          <w:ilvl w:val="0"/>
          <w:numId w:val="53"/>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航班详情接口：能够获取每日台州机场的到港、离港航班信息、机型、时刻表、承运公司、出发地、目的地等信息；</w:t>
      </w:r>
    </w:p>
    <w:p w14:paraId="44AE1622">
      <w:pPr>
        <w:pageBreakBefore w:val="0"/>
        <w:widowControl w:val="0"/>
        <w:numPr>
          <w:ilvl w:val="0"/>
          <w:numId w:val="53"/>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停车场道闸接口：能够对接陆侧停车场各个道闸，实现权限和状态的控制和查看；</w:t>
      </w:r>
    </w:p>
    <w:p w14:paraId="6593EE77">
      <w:pPr>
        <w:pageBreakBefore w:val="0"/>
        <w:widowControl w:val="0"/>
        <w:numPr>
          <w:ilvl w:val="0"/>
          <w:numId w:val="53"/>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地下停车场收费系统：对接地下停车场收费系统，实现地下停车场收费信息和收费规则、白名单等信息的管理；</w:t>
      </w:r>
    </w:p>
    <w:p w14:paraId="77303C72">
      <w:pPr>
        <w:pageBreakBefore w:val="0"/>
        <w:widowControl w:val="0"/>
        <w:numPr>
          <w:ilvl w:val="0"/>
          <w:numId w:val="53"/>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陆侧监控接口：对接陆侧监控视频，实现监控视频的实时视频和历史视频回放查看；</w:t>
      </w:r>
    </w:p>
    <w:p w14:paraId="108BCCDD">
      <w:pPr>
        <w:pageBreakBefore w:val="0"/>
        <w:widowControl w:val="0"/>
        <w:numPr>
          <w:ilvl w:val="0"/>
          <w:numId w:val="53"/>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公交车调度平台：对接到达机场的公交企业的调度平台，能够获取公交机场班线信息、机场公交的定位信息、机场公交的调度通知功能；</w:t>
      </w:r>
    </w:p>
    <w:p w14:paraId="5E3F000B">
      <w:pPr>
        <w:pageBreakBefore w:val="0"/>
        <w:widowControl w:val="0"/>
        <w:numPr>
          <w:ilvl w:val="0"/>
          <w:numId w:val="53"/>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出租车调度平台：对接出租车调度平台，能够获取机场周边的出租车定位信息、机场接单的信息；</w:t>
      </w:r>
    </w:p>
    <w:p w14:paraId="31F183F5">
      <w:pPr>
        <w:pageBreakBefore w:val="0"/>
        <w:widowControl w:val="0"/>
        <w:numPr>
          <w:ilvl w:val="0"/>
          <w:numId w:val="53"/>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网约车平台：对接网约车平台，获取网约车司机和车辆信息、定位信息、机场订单信息，接单电子围栏信息；</w:t>
      </w:r>
    </w:p>
    <w:p w14:paraId="19601F4E">
      <w:pPr>
        <w:pageBreakBefore w:val="0"/>
        <w:widowControl w:val="0"/>
        <w:numPr>
          <w:ilvl w:val="0"/>
          <w:numId w:val="53"/>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AOC接口：对接机场AOC中心，获取值班信息、天气信息等AOC提供的内容；</w:t>
      </w:r>
    </w:p>
    <w:p w14:paraId="179DA9E3">
      <w:pPr>
        <w:pageBreakBefore w:val="0"/>
        <w:widowControl w:val="0"/>
        <w:numPr>
          <w:ilvl w:val="0"/>
          <w:numId w:val="53"/>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陆侧可视化显示设备接口：对接引导显示设备信息，可以发布引导信息等；</w:t>
      </w:r>
    </w:p>
    <w:p w14:paraId="168B25EF">
      <w:pPr>
        <w:pageBreakBefore w:val="0"/>
        <w:widowControl w:val="0"/>
        <w:numPr>
          <w:ilvl w:val="0"/>
          <w:numId w:val="53"/>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周边路况信息：对接地图服务，显示机场周边路况；</w:t>
      </w:r>
    </w:p>
    <w:p w14:paraId="733B0BB3">
      <w:pPr>
        <w:pageBreakBefore w:val="0"/>
        <w:widowControl w:val="0"/>
        <w:numPr>
          <w:ilvl w:val="0"/>
          <w:numId w:val="53"/>
        </w:numPr>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地面停车收费系统对接及二次开发：与地面停车收费系统进行对接，实现收费功能和收费数据的交换，同时实现对收费系统部分权限功能二次开发，实现满足实际需求的收费管理要求。</w:t>
      </w:r>
    </w:p>
    <w:p w14:paraId="3B3CD5FA">
      <w:pPr>
        <w:pStyle w:val="7"/>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配套软件服务</w:t>
      </w:r>
    </w:p>
    <w:p w14:paraId="27E9ACB7">
      <w:pPr>
        <w:pStyle w:val="8"/>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视频服务平台</w:t>
      </w:r>
    </w:p>
    <w:p w14:paraId="4A93BA9A">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提供监控摄像机的视频对接和满足国标的管理平台。</w:t>
      </w:r>
    </w:p>
    <w:p w14:paraId="206A82C9">
      <w:pPr>
        <w:pStyle w:val="8"/>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发布管理平台</w:t>
      </w:r>
    </w:p>
    <w:p w14:paraId="31280E85">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统一接入信息发布屏进行信息发布的场景应用，提供图片、音频、视频、文本、Word、Excel、PPT、PDF、网页、数据源、视频源、应用程序等素材节目的编排和发布。提供素材库管理、节目编排、内容发布、快速发布、发布记录管理、终端巡检、终端管理等应用。满足用户媒体宣传、广告运营、媒体播放、数据展示发布等信息发布场景需求。</w:t>
      </w:r>
    </w:p>
    <w:p w14:paraId="68C1D251">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系统对广告的内容信息采取全面管理措施，系统具备自动扫描功能来识别和过滤敏感内容，支持维护动态更新的关键词库，以便检测违规信息。当系统检测到发布内容中包含敏感信息时，会自动阻止内容发布，并通过提醒功能告知用户存在敏感内容，要求用户核对并修改后重新提交。这一机制确保了广告内容的合规性，并保护用户免受不当信息的影响。</w:t>
      </w:r>
    </w:p>
    <w:p w14:paraId="6EAE4AA2">
      <w:pPr>
        <w:pStyle w:val="8"/>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短信推送服务</w:t>
      </w:r>
    </w:p>
    <w:p w14:paraId="2F72278F">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50万条/年。</w:t>
      </w:r>
    </w:p>
    <w:p w14:paraId="4964526B">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根据高峰小时车辆并行估算，并行网约车大巴车共需150辆，按照出租车调度最大并行183辆的一半进行广播，预估高峰短信推送（150+90）*360=86400条，按照平均每日高峰推送5次，累计短信为8.64*5=43.2万条。</w:t>
      </w:r>
    </w:p>
    <w:p w14:paraId="28BAB8ED">
      <w:pPr>
        <w:pStyle w:val="8"/>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语音推送服务</w:t>
      </w:r>
    </w:p>
    <w:p w14:paraId="1E551EB6">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50万分钟/年。</w:t>
      </w:r>
    </w:p>
    <w:p w14:paraId="4287F1F3">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根据高峰小时车辆并行估算，并行网约车大巴车共需150辆，按照出租车调度最大并行183辆的一半进行广播，预估高峰推送次数（150+90）*360=86400次，按照平均每日高峰推送5次，每次1分钟，累计语音为8.64*5=43.2万分钟。</w:t>
      </w:r>
    </w:p>
    <w:p w14:paraId="7459DC34">
      <w:pPr>
        <w:pStyle w:val="8"/>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服务器支撑软件</w:t>
      </w:r>
    </w:p>
    <w:p w14:paraId="3661AA6E">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满足信创要求的操作系统及数据库软件。</w:t>
      </w:r>
    </w:p>
    <w:p w14:paraId="5BD41B65">
      <w:pPr>
        <w:pStyle w:val="6"/>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配套硬件设计</w:t>
      </w:r>
    </w:p>
    <w:p w14:paraId="732BDEEF">
      <w:pPr>
        <w:pStyle w:val="7"/>
        <w:pageBreakBefore w:val="0"/>
        <w:widowControl w:val="0"/>
        <w:kinsoku/>
        <w:wordWrap/>
        <w:overflowPunct/>
        <w:topLinePunct w:val="0"/>
        <w:autoSpaceDE/>
        <w:autoSpaceDN/>
        <w:bidi w:val="0"/>
        <w:snapToGrid/>
        <w:spacing w:line="400" w:lineRule="exact"/>
        <w:textAlignment w:val="auto"/>
        <w:rPr>
          <w:rFonts w:hint="eastAsia"/>
          <w:highlight w:val="none"/>
        </w:rPr>
      </w:pPr>
      <w:r>
        <w:rPr>
          <w:rFonts w:hint="eastAsia"/>
          <w:highlight w:val="none"/>
        </w:rPr>
        <w:t>地面停车区监控点位补盲</w:t>
      </w:r>
    </w:p>
    <w:p w14:paraId="75147094">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当前机场建设规划陆侧交通的主要监控覆盖了地面的停车区域，本次项目针对地面停车区监控缺失点位进行完善补盲。</w:t>
      </w:r>
    </w:p>
    <w:p w14:paraId="2C2FE46A">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当前机场改扩建规划了P2地面停车区8个监控点位，站前到达层规划了2个监控点位，出租车蓄车区规划了4个监控点位，P3网约车停车区规划了11个监控点位，贵宾区规划了4个监控点位，P4停车区规划了8个监控点位。P1地下停车区规划了48个监控已覆盖。</w:t>
      </w:r>
    </w:p>
    <w:p w14:paraId="445A79B8">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P5大巴车停车区和公交车蓄车区没有规划监控点位。站前上客区没有专项的监控覆盖。</w:t>
      </w:r>
    </w:p>
    <w:p w14:paraId="5DFC5F0F">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因此，本项目中拟对P5大客车停车区增设2处监控点，公交车停车区增设2处监控点，站前到达层网约车处增设6个监控设备，站前到达层公交车上客处增设4个监控设备，站前到达层出租车上客点增设4个监控设备。</w:t>
      </w:r>
    </w:p>
    <w:p w14:paraId="35D7ACC6">
      <w:pPr>
        <w:pageBreakBefore w:val="0"/>
        <w:widowControl w:val="0"/>
        <w:kinsoku/>
        <w:wordWrap/>
        <w:overflowPunct/>
        <w:topLinePunct w:val="0"/>
        <w:autoSpaceDE/>
        <w:autoSpaceDN/>
        <w:bidi w:val="0"/>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到达层补盲内容与5.7.1.5节相同，公交车和P5布设点位如下所示：</w:t>
      </w:r>
    </w:p>
    <w:p w14:paraId="2E0BF81B">
      <w:pPr>
        <w:ind w:firstLine="0" w:firstLineChars="0"/>
        <w:jc w:val="center"/>
        <w:rPr>
          <w:rFonts w:hint="eastAsia" w:ascii="宋体" w:hAnsi="宋体" w:eastAsia="宋体" w:cs="宋体"/>
          <w:highlight w:val="none"/>
        </w:rPr>
      </w:pPr>
      <w:r>
        <w:rPr>
          <w:rFonts w:hint="eastAsia" w:ascii="宋体" w:hAnsi="宋体" w:eastAsia="宋体" w:cs="宋体"/>
          <w:highlight w:val="none"/>
        </w:rPr>
        <w:drawing>
          <wp:inline distT="0" distB="0" distL="114300" distR="114300">
            <wp:extent cx="5268595" cy="3548380"/>
            <wp:effectExtent l="0" t="0" r="8255" b="13970"/>
            <wp:docPr id="4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3"/>
                    <pic:cNvPicPr>
                      <a:picLocks noChangeAspect="1"/>
                    </pic:cNvPicPr>
                  </pic:nvPicPr>
                  <pic:blipFill>
                    <a:blip r:embed="rId60"/>
                    <a:stretch>
                      <a:fillRect/>
                    </a:stretch>
                  </pic:blipFill>
                  <pic:spPr>
                    <a:xfrm>
                      <a:off x="0" y="0"/>
                      <a:ext cx="5268595" cy="3548380"/>
                    </a:xfrm>
                    <a:prstGeom prst="rect">
                      <a:avLst/>
                    </a:prstGeom>
                    <a:noFill/>
                    <a:ln>
                      <a:noFill/>
                    </a:ln>
                  </pic:spPr>
                </pic:pic>
              </a:graphicData>
            </a:graphic>
          </wp:inline>
        </w:drawing>
      </w:r>
    </w:p>
    <w:p w14:paraId="1C39E4EC">
      <w:pPr>
        <w:pStyle w:val="63"/>
        <w:numPr>
          <w:ilvl w:val="7"/>
          <w:numId w:val="7"/>
        </w:numPr>
        <w:rPr>
          <w:rFonts w:hint="eastAsia" w:ascii="宋体" w:hAnsi="宋体" w:eastAsia="宋体" w:cs="宋体"/>
          <w:highlight w:val="none"/>
        </w:rPr>
      </w:pPr>
      <w:r>
        <w:rPr>
          <w:rFonts w:hint="eastAsia" w:ascii="宋体" w:hAnsi="宋体" w:eastAsia="宋体" w:cs="宋体"/>
          <w:highlight w:val="none"/>
        </w:rPr>
        <w:t>地面停车区监控点位补盲示意图</w:t>
      </w:r>
    </w:p>
    <w:p w14:paraId="741005A7">
      <w:pPr>
        <w:pStyle w:val="4"/>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255" w:name="_Toc32031"/>
      <w:bookmarkStart w:id="256" w:name="_Toc32670"/>
      <w:bookmarkStart w:id="257" w:name="_Toc1355"/>
      <w:bookmarkStart w:id="258" w:name="_Toc27941"/>
      <w:bookmarkStart w:id="259" w:name="_Toc11636"/>
      <w:bookmarkStart w:id="260" w:name="_Toc2147"/>
      <w:bookmarkStart w:id="261" w:name="_Toc26472"/>
      <w:bookmarkStart w:id="262" w:name="_Toc32723"/>
      <w:bookmarkStart w:id="263" w:name="_Toc22336"/>
      <w:bookmarkStart w:id="264" w:name="_Toc20412"/>
      <w:bookmarkStart w:id="265" w:name="_Toc26799"/>
      <w:r>
        <w:rPr>
          <w:rFonts w:hint="eastAsia"/>
          <w:highlight w:val="none"/>
        </w:rPr>
        <w:t>信创要求设计方案</w:t>
      </w:r>
      <w:bookmarkEnd w:id="255"/>
      <w:bookmarkEnd w:id="256"/>
      <w:bookmarkEnd w:id="257"/>
      <w:bookmarkEnd w:id="258"/>
      <w:bookmarkEnd w:id="259"/>
      <w:bookmarkEnd w:id="260"/>
      <w:bookmarkEnd w:id="261"/>
      <w:bookmarkEnd w:id="262"/>
      <w:bookmarkEnd w:id="263"/>
      <w:bookmarkEnd w:id="264"/>
      <w:bookmarkEnd w:id="265"/>
    </w:p>
    <w:p w14:paraId="25B5C24B">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本项目所有建设内容均满足信创要求，</w:t>
      </w:r>
      <w:r>
        <w:rPr>
          <w:rFonts w:hint="eastAsia" w:ascii="宋体" w:hAnsi="宋体" w:eastAsia="宋体" w:cs="宋体"/>
          <w:highlight w:val="none"/>
          <w:lang w:val="zh-CN"/>
        </w:rPr>
        <w:t>台式计算机、便携式计算机、一体式计算机、工作站、通用服务器、操作系统、数据库等7类产品，所涉处理器、操作系统、数据库等关键部件，</w:t>
      </w:r>
      <w:r>
        <w:rPr>
          <w:rFonts w:hint="eastAsia" w:ascii="宋体" w:hAnsi="宋体" w:eastAsia="宋体" w:cs="宋体"/>
          <w:highlight w:val="none"/>
        </w:rPr>
        <w:t>均</w:t>
      </w:r>
      <w:r>
        <w:rPr>
          <w:rFonts w:hint="eastAsia" w:ascii="宋体" w:hAnsi="宋体" w:eastAsia="宋体" w:cs="宋体"/>
          <w:highlight w:val="none"/>
          <w:lang w:val="zh-CN"/>
        </w:rPr>
        <w:t>应采用通过安全可靠测评的产品。</w:t>
      </w:r>
    </w:p>
    <w:p w14:paraId="48EB7D01">
      <w:pPr>
        <w:pStyle w:val="4"/>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266" w:name="_Toc20378"/>
      <w:bookmarkStart w:id="267" w:name="_Toc3977"/>
      <w:bookmarkStart w:id="268" w:name="_Toc20447"/>
      <w:bookmarkStart w:id="269" w:name="_Toc31358"/>
      <w:bookmarkStart w:id="270" w:name="_Toc12785"/>
      <w:bookmarkStart w:id="271" w:name="_Toc20318"/>
      <w:bookmarkStart w:id="272" w:name="_Toc21218"/>
      <w:bookmarkStart w:id="273" w:name="_Toc15936"/>
      <w:bookmarkStart w:id="274" w:name="_Toc11854"/>
      <w:bookmarkStart w:id="275" w:name="_Toc15493"/>
      <w:bookmarkStart w:id="276" w:name="_Toc28102"/>
      <w:r>
        <w:rPr>
          <w:rFonts w:hint="eastAsia"/>
          <w:highlight w:val="none"/>
        </w:rPr>
        <w:t>应急救援会商系统</w:t>
      </w:r>
      <w:bookmarkEnd w:id="266"/>
      <w:bookmarkEnd w:id="267"/>
      <w:bookmarkEnd w:id="268"/>
      <w:bookmarkEnd w:id="269"/>
      <w:bookmarkEnd w:id="270"/>
      <w:bookmarkEnd w:id="271"/>
      <w:bookmarkEnd w:id="272"/>
      <w:bookmarkEnd w:id="273"/>
      <w:bookmarkEnd w:id="274"/>
      <w:bookmarkEnd w:id="275"/>
      <w:bookmarkEnd w:id="276"/>
    </w:p>
    <w:p w14:paraId="0D276D54">
      <w:pPr>
        <w:pageBreakBefore w:val="0"/>
        <w:widowControl w:val="0"/>
        <w:numPr>
          <w:ilvl w:val="0"/>
          <w:numId w:val="54"/>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基础配置</w:t>
      </w:r>
    </w:p>
    <w:p w14:paraId="755E4AAF">
      <w:pPr>
        <w:pageBreakBefore w:val="0"/>
        <w:widowControl w:val="0"/>
        <w:numPr>
          <w:ilvl w:val="0"/>
          <w:numId w:val="55"/>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服务器、终端等，处理器、操作系统以及数据库全部满足信创要求。</w:t>
      </w:r>
    </w:p>
    <w:p w14:paraId="7FEA58D5">
      <w:pPr>
        <w:pageBreakBefore w:val="0"/>
        <w:widowControl w:val="0"/>
        <w:numPr>
          <w:ilvl w:val="0"/>
          <w:numId w:val="55"/>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交换机不涉及信创产品使用问题。</w:t>
      </w:r>
    </w:p>
    <w:p w14:paraId="3D6424C5">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（二）软件系统</w:t>
      </w:r>
    </w:p>
    <w:p w14:paraId="45E36385">
      <w:pPr>
        <w:pageBreakBefore w:val="0"/>
        <w:widowControl w:val="0"/>
        <w:numPr>
          <w:ilvl w:val="0"/>
          <w:numId w:val="56"/>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视频显示系统：配置插拔式国产信创OPS电脑。</w:t>
      </w:r>
    </w:p>
    <w:p w14:paraId="71E640B5">
      <w:pPr>
        <w:pStyle w:val="4"/>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277" w:name="_Toc9146"/>
      <w:bookmarkStart w:id="278" w:name="_Toc20420"/>
      <w:bookmarkStart w:id="279" w:name="_Toc2447"/>
      <w:bookmarkStart w:id="280" w:name="_Toc15330"/>
      <w:bookmarkStart w:id="281" w:name="_Toc27907"/>
      <w:bookmarkStart w:id="282" w:name="_Toc19507"/>
      <w:bookmarkStart w:id="283" w:name="_Toc19844"/>
      <w:bookmarkStart w:id="284" w:name="_Toc13080"/>
      <w:bookmarkStart w:id="285" w:name="_Toc18886"/>
      <w:bookmarkStart w:id="286" w:name="_Toc11670"/>
      <w:bookmarkStart w:id="287" w:name="_Toc23268"/>
      <w:r>
        <w:rPr>
          <w:rFonts w:hint="eastAsia"/>
          <w:highlight w:val="none"/>
        </w:rPr>
        <w:t>机坪安全运行管理系统</w:t>
      </w:r>
      <w:bookmarkEnd w:id="277"/>
      <w:bookmarkEnd w:id="278"/>
      <w:bookmarkEnd w:id="279"/>
      <w:bookmarkEnd w:id="280"/>
      <w:bookmarkEnd w:id="281"/>
      <w:bookmarkEnd w:id="282"/>
      <w:bookmarkEnd w:id="283"/>
      <w:bookmarkEnd w:id="284"/>
      <w:bookmarkEnd w:id="285"/>
      <w:bookmarkEnd w:id="286"/>
      <w:bookmarkEnd w:id="287"/>
    </w:p>
    <w:p w14:paraId="294D51A6">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（一）基础配置</w:t>
      </w:r>
    </w:p>
    <w:p w14:paraId="7DAEC41E">
      <w:pPr>
        <w:pageBreakBefore w:val="0"/>
        <w:widowControl w:val="0"/>
        <w:numPr>
          <w:ilvl w:val="0"/>
          <w:numId w:val="57"/>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服务器操作系统：</w:t>
      </w:r>
      <w:r>
        <w:rPr>
          <w:rFonts w:hint="eastAsia" w:ascii="宋体" w:hAnsi="宋体" w:eastAsia="宋体" w:cs="宋体"/>
          <w:highlight w:val="none"/>
          <w:lang w:bidi="ar"/>
        </w:rPr>
        <w:t>国产化操作系统</w:t>
      </w:r>
      <w:r>
        <w:rPr>
          <w:rFonts w:hint="eastAsia" w:ascii="宋体" w:hAnsi="宋体" w:eastAsia="宋体" w:cs="宋体"/>
          <w:highlight w:val="none"/>
        </w:rPr>
        <w:t>，服务年限为3年。</w:t>
      </w:r>
    </w:p>
    <w:p w14:paraId="10579056">
      <w:pPr>
        <w:pageBreakBefore w:val="0"/>
        <w:widowControl w:val="0"/>
        <w:numPr>
          <w:ilvl w:val="0"/>
          <w:numId w:val="57"/>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交换机不涉及信创产品使用问题。</w:t>
      </w:r>
    </w:p>
    <w:p w14:paraId="34A6ACA8">
      <w:pPr>
        <w:pageBreakBefore w:val="0"/>
        <w:widowControl w:val="0"/>
        <w:numPr>
          <w:ilvl w:val="0"/>
          <w:numId w:val="57"/>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数据库：</w:t>
      </w:r>
      <w:r>
        <w:rPr>
          <w:rFonts w:hint="eastAsia" w:ascii="宋体" w:hAnsi="宋体" w:eastAsia="宋体" w:cs="宋体"/>
          <w:highlight w:val="none"/>
          <w:lang w:bidi="ar"/>
        </w:rPr>
        <w:t>国产化数据库</w:t>
      </w:r>
      <w:r>
        <w:rPr>
          <w:rFonts w:hint="eastAsia" w:ascii="宋体" w:hAnsi="宋体" w:eastAsia="宋体" w:cs="宋体"/>
          <w:highlight w:val="none"/>
        </w:rPr>
        <w:t>，支持MySQL协议。</w:t>
      </w:r>
    </w:p>
    <w:p w14:paraId="793A8950">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（二）软件系统</w:t>
      </w:r>
    </w:p>
    <w:p w14:paraId="55B2AB8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支持信创要求。</w:t>
      </w:r>
    </w:p>
    <w:p w14:paraId="426C8390">
      <w:pPr>
        <w:pStyle w:val="4"/>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288" w:name="_Toc27435"/>
      <w:bookmarkStart w:id="289" w:name="_Toc12842"/>
      <w:bookmarkStart w:id="290" w:name="_Toc2868"/>
      <w:bookmarkStart w:id="291" w:name="_Toc31759"/>
      <w:bookmarkStart w:id="292" w:name="_Toc26931"/>
      <w:bookmarkStart w:id="293" w:name="_Toc16708"/>
      <w:bookmarkStart w:id="294" w:name="_Toc23056"/>
      <w:bookmarkStart w:id="295" w:name="_Toc16612"/>
      <w:bookmarkStart w:id="296" w:name="_Toc12950"/>
      <w:bookmarkStart w:id="297" w:name="_Toc25995"/>
      <w:bookmarkStart w:id="298" w:name="_Toc21882"/>
      <w:r>
        <w:rPr>
          <w:rFonts w:hint="eastAsia"/>
          <w:highlight w:val="none"/>
        </w:rPr>
        <w:t>无人机防控系统</w:t>
      </w:r>
      <w:bookmarkEnd w:id="288"/>
      <w:bookmarkEnd w:id="289"/>
      <w:bookmarkEnd w:id="290"/>
      <w:bookmarkEnd w:id="291"/>
      <w:bookmarkEnd w:id="292"/>
      <w:bookmarkEnd w:id="293"/>
      <w:bookmarkEnd w:id="294"/>
      <w:bookmarkEnd w:id="295"/>
      <w:bookmarkEnd w:id="296"/>
      <w:bookmarkEnd w:id="297"/>
      <w:bookmarkEnd w:id="298"/>
    </w:p>
    <w:p w14:paraId="57FFF364">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lang w:val="zh-CN"/>
        </w:rPr>
        <w:t>（</w:t>
      </w:r>
      <w:r>
        <w:rPr>
          <w:rFonts w:hint="eastAsia" w:ascii="宋体" w:hAnsi="宋体" w:eastAsia="宋体" w:cs="宋体"/>
          <w:highlight w:val="none"/>
        </w:rPr>
        <w:t>一</w:t>
      </w:r>
      <w:r>
        <w:rPr>
          <w:rFonts w:hint="eastAsia" w:ascii="宋体" w:hAnsi="宋体" w:eastAsia="宋体" w:cs="宋体"/>
          <w:highlight w:val="none"/>
          <w:lang w:val="zh-CN"/>
        </w:rPr>
        <w:t>）</w:t>
      </w:r>
      <w:r>
        <w:rPr>
          <w:rFonts w:hint="eastAsia" w:ascii="宋体" w:hAnsi="宋体" w:eastAsia="宋体" w:cs="宋体"/>
          <w:highlight w:val="none"/>
        </w:rPr>
        <w:t>基础配置</w:t>
      </w:r>
    </w:p>
    <w:p w14:paraId="1129397E">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lang w:val="zh-CN"/>
        </w:rPr>
      </w:pPr>
      <w:r>
        <w:rPr>
          <w:rFonts w:hint="eastAsia" w:ascii="宋体" w:hAnsi="宋体" w:eastAsia="宋体" w:cs="宋体"/>
          <w:highlight w:val="none"/>
          <w:lang w:val="zh-CN"/>
        </w:rPr>
        <w:t>系统</w:t>
      </w:r>
      <w:r>
        <w:rPr>
          <w:rFonts w:hint="eastAsia" w:ascii="宋体" w:hAnsi="宋体" w:eastAsia="宋体" w:cs="宋体"/>
          <w:highlight w:val="none"/>
        </w:rPr>
        <w:t>服务器为申请信创云</w:t>
      </w:r>
      <w:r>
        <w:rPr>
          <w:rFonts w:hint="eastAsia" w:ascii="宋体" w:hAnsi="宋体" w:eastAsia="宋体" w:cs="宋体"/>
          <w:highlight w:val="none"/>
          <w:lang w:val="zh-CN"/>
        </w:rPr>
        <w:t>产品，符合国家关于国产化信创要求，不在信创规定范围内的项目硬件也应为国内厂商提供。</w:t>
      </w:r>
    </w:p>
    <w:p w14:paraId="758F5B6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（二）软件系统</w:t>
      </w:r>
    </w:p>
    <w:p w14:paraId="17B28D4F">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支持信创要求。</w:t>
      </w:r>
    </w:p>
    <w:p w14:paraId="37E3D229">
      <w:pPr>
        <w:pStyle w:val="4"/>
        <w:pageBreakBefore w:val="0"/>
        <w:widowControl w:val="0"/>
        <w:kinsoku/>
        <w:wordWrap/>
        <w:overflowPunct/>
        <w:topLinePunct w:val="0"/>
        <w:autoSpaceDE/>
        <w:autoSpaceDN/>
        <w:bidi w:val="0"/>
        <w:adjustRightInd/>
        <w:snapToGrid/>
        <w:spacing w:line="400" w:lineRule="exact"/>
        <w:textAlignment w:val="auto"/>
        <w:rPr>
          <w:rFonts w:hint="eastAsia"/>
          <w:highlight w:val="none"/>
        </w:rPr>
      </w:pPr>
      <w:bookmarkStart w:id="299" w:name="_Toc17861"/>
      <w:bookmarkStart w:id="300" w:name="_Toc21073"/>
      <w:bookmarkStart w:id="301" w:name="_Toc22014"/>
      <w:bookmarkStart w:id="302" w:name="_Toc808"/>
      <w:bookmarkStart w:id="303" w:name="_Toc25689"/>
      <w:bookmarkStart w:id="304" w:name="_Toc27719"/>
      <w:bookmarkStart w:id="305" w:name="_Toc1733"/>
      <w:bookmarkStart w:id="306" w:name="_Toc11701"/>
      <w:bookmarkStart w:id="307" w:name="_Toc20315"/>
      <w:bookmarkStart w:id="308" w:name="_Toc18782"/>
      <w:bookmarkStart w:id="309" w:name="_Toc14401"/>
      <w:r>
        <w:rPr>
          <w:rFonts w:hint="eastAsia"/>
          <w:highlight w:val="none"/>
        </w:rPr>
        <w:t>机场智能交通管理系统</w:t>
      </w:r>
      <w:bookmarkEnd w:id="299"/>
      <w:bookmarkEnd w:id="300"/>
      <w:bookmarkEnd w:id="301"/>
      <w:bookmarkEnd w:id="302"/>
      <w:bookmarkEnd w:id="303"/>
      <w:bookmarkEnd w:id="304"/>
      <w:bookmarkEnd w:id="305"/>
      <w:bookmarkEnd w:id="306"/>
      <w:bookmarkEnd w:id="307"/>
      <w:bookmarkEnd w:id="308"/>
      <w:bookmarkEnd w:id="309"/>
    </w:p>
    <w:p w14:paraId="3A024D2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bookmarkStart w:id="310" w:name="_Toc173962264"/>
      <w:r>
        <w:rPr>
          <w:rFonts w:hint="eastAsia" w:ascii="宋体" w:hAnsi="宋体" w:eastAsia="宋体" w:cs="宋体"/>
          <w:highlight w:val="none"/>
        </w:rPr>
        <w:t>（一）基础智慧化改建改造</w:t>
      </w:r>
      <w:bookmarkEnd w:id="310"/>
    </w:p>
    <w:p w14:paraId="0556BE58">
      <w:pPr>
        <w:pageBreakBefore w:val="0"/>
        <w:widowControl w:val="0"/>
        <w:numPr>
          <w:ilvl w:val="0"/>
          <w:numId w:val="58"/>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LED全彩显示屏不涉及信创产品使用问题。</w:t>
      </w:r>
    </w:p>
    <w:p w14:paraId="6BD0DC08">
      <w:pPr>
        <w:pageBreakBefore w:val="0"/>
        <w:widowControl w:val="0"/>
        <w:numPr>
          <w:ilvl w:val="0"/>
          <w:numId w:val="58"/>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摄像机、存储设备、硬盘、交换机等不涉及信创产品使用问题。</w:t>
      </w:r>
    </w:p>
    <w:p w14:paraId="4696033C">
      <w:pPr>
        <w:pageBreakBefore w:val="0"/>
        <w:widowControl w:val="0"/>
        <w:numPr>
          <w:ilvl w:val="0"/>
          <w:numId w:val="58"/>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道闸、地磁设备等不涉及信创产品使用问题。</w:t>
      </w:r>
    </w:p>
    <w:p w14:paraId="0406F708">
      <w:pPr>
        <w:pageBreakBefore w:val="0"/>
        <w:widowControl w:val="0"/>
        <w:numPr>
          <w:ilvl w:val="0"/>
          <w:numId w:val="58"/>
        </w:numPr>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本项目涉及的通用服务器资源可根据相关规定要求采购信创服务器。</w:t>
      </w:r>
    </w:p>
    <w:p w14:paraId="1A3FA668">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bookmarkStart w:id="311" w:name="_Toc173962265"/>
      <w:r>
        <w:rPr>
          <w:rFonts w:hint="eastAsia" w:ascii="宋体" w:hAnsi="宋体" w:eastAsia="宋体" w:cs="宋体"/>
          <w:highlight w:val="none"/>
        </w:rPr>
        <w:t>（二）软件系统</w:t>
      </w:r>
      <w:bookmarkEnd w:id="311"/>
    </w:p>
    <w:p w14:paraId="16DF959D">
      <w:pPr>
        <w:pageBreakBefore w:val="0"/>
        <w:widowControl w:val="0"/>
        <w:kinsoku/>
        <w:wordWrap/>
        <w:overflowPunct/>
        <w:topLinePunct w:val="0"/>
        <w:autoSpaceDE/>
        <w:autoSpaceDN/>
        <w:bidi w:val="0"/>
        <w:adjustRightInd/>
        <w:snapToGrid/>
        <w:spacing w:line="400" w:lineRule="exact"/>
        <w:ind w:firstLine="480"/>
        <w:textAlignment w:val="auto"/>
        <w:rPr>
          <w:rFonts w:hint="eastAsia" w:ascii="宋体" w:hAnsi="宋体" w:eastAsia="宋体" w:cs="宋体"/>
          <w:highlight w:val="none"/>
        </w:rPr>
      </w:pPr>
      <w:r>
        <w:rPr>
          <w:rFonts w:hint="eastAsia" w:ascii="宋体" w:hAnsi="宋体" w:eastAsia="宋体" w:cs="宋体"/>
          <w:highlight w:val="none"/>
        </w:rPr>
        <w:t>支持信创要求。</w:t>
      </w:r>
    </w:p>
    <w:p w14:paraId="79BDB33F">
      <w:pPr>
        <w:rPr>
          <w:rFonts w:hint="eastAsia"/>
          <w:highlight w:val="none"/>
        </w:rPr>
      </w:pPr>
      <w:bookmarkStart w:id="312" w:name="_Toc6003"/>
      <w:bookmarkStart w:id="313" w:name="_Toc9248"/>
      <w:bookmarkStart w:id="314" w:name="_Toc22988"/>
      <w:bookmarkStart w:id="315" w:name="_Toc31157"/>
      <w:bookmarkStart w:id="316" w:name="_Toc7153"/>
      <w:bookmarkStart w:id="317" w:name="_Toc28349"/>
      <w:bookmarkStart w:id="318" w:name="_Toc22889"/>
      <w:bookmarkStart w:id="319" w:name="_Toc7967"/>
      <w:bookmarkStart w:id="320" w:name="_Toc14040"/>
      <w:bookmarkStart w:id="321" w:name="_Toc32379"/>
      <w:bookmarkStart w:id="322" w:name="_Toc9483"/>
      <w:r>
        <w:rPr>
          <w:rFonts w:hint="eastAsia"/>
          <w:highlight w:val="none"/>
        </w:rPr>
        <w:br w:type="page"/>
      </w:r>
    </w:p>
    <w:p w14:paraId="1A278788">
      <w:pPr>
        <w:pStyle w:val="4"/>
        <w:numPr>
          <w:ilvl w:val="2"/>
          <w:numId w:val="0"/>
        </w:numPr>
        <w:bidi w:val="0"/>
        <w:ind w:leftChars="0"/>
        <w:rPr>
          <w:rFonts w:hint="eastAsia"/>
          <w:highlight w:val="none"/>
        </w:rPr>
      </w:pPr>
      <w:r>
        <w:rPr>
          <w:rFonts w:hint="eastAsia"/>
          <w:highlight w:val="none"/>
          <w:lang w:val="en-US" w:eastAsia="zh-CN"/>
        </w:rPr>
        <w:t xml:space="preserve">附件1 </w:t>
      </w:r>
      <w:r>
        <w:rPr>
          <w:rFonts w:hint="eastAsia"/>
          <w:highlight w:val="none"/>
        </w:rPr>
        <w:t>系统提供的信息资源目录表</w:t>
      </w:r>
      <w:bookmarkEnd w:id="312"/>
      <w:bookmarkEnd w:id="313"/>
      <w:bookmarkEnd w:id="314"/>
      <w:bookmarkEnd w:id="315"/>
      <w:bookmarkEnd w:id="316"/>
      <w:bookmarkEnd w:id="317"/>
      <w:bookmarkEnd w:id="318"/>
      <w:bookmarkEnd w:id="319"/>
      <w:bookmarkEnd w:id="320"/>
      <w:bookmarkEnd w:id="321"/>
      <w:bookmarkEnd w:id="322"/>
    </w:p>
    <w:p w14:paraId="798719CF">
      <w:pPr>
        <w:pStyle w:val="65"/>
        <w:rPr>
          <w:highlight w:val="none"/>
        </w:rPr>
      </w:pPr>
      <w:r>
        <w:rPr>
          <w:rFonts w:hint="eastAsia"/>
          <w:highlight w:val="none"/>
        </w:rPr>
        <w:t>本期项目系统提供的数据资源目录表</w:t>
      </w:r>
    </w:p>
    <w:tbl>
      <w:tblPr>
        <w:tblStyle w:val="34"/>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673"/>
        <w:gridCol w:w="1509"/>
        <w:gridCol w:w="973"/>
        <w:gridCol w:w="992"/>
        <w:gridCol w:w="729"/>
        <w:gridCol w:w="870"/>
        <w:gridCol w:w="934"/>
        <w:gridCol w:w="795"/>
      </w:tblGrid>
      <w:tr w14:paraId="6CA0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blHeader/>
          <w:jc w:val="center"/>
        </w:trPr>
        <w:tc>
          <w:tcPr>
            <w:tcW w:w="433" w:type="pct"/>
            <w:shd w:val="clear" w:color="auto" w:fill="auto"/>
            <w:vAlign w:val="center"/>
          </w:tcPr>
          <w:p w14:paraId="4EF61D40">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900" w:type="pct"/>
            <w:shd w:val="clear" w:color="auto" w:fill="auto"/>
            <w:vAlign w:val="center"/>
          </w:tcPr>
          <w:p w14:paraId="52CCEE40">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数据资源名称</w:t>
            </w:r>
          </w:p>
        </w:tc>
        <w:tc>
          <w:tcPr>
            <w:tcW w:w="812" w:type="pct"/>
            <w:shd w:val="clear" w:color="auto" w:fill="auto"/>
            <w:vAlign w:val="center"/>
          </w:tcPr>
          <w:p w14:paraId="1ADCEA77">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数据资源项</w:t>
            </w:r>
          </w:p>
          <w:p w14:paraId="281B8936">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（字段名称）</w:t>
            </w:r>
          </w:p>
        </w:tc>
        <w:tc>
          <w:tcPr>
            <w:tcW w:w="524" w:type="pct"/>
            <w:shd w:val="clear" w:color="auto" w:fill="auto"/>
            <w:vAlign w:val="center"/>
          </w:tcPr>
          <w:p w14:paraId="436B9603">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数据</w:t>
            </w:r>
          </w:p>
          <w:p w14:paraId="1166D02D">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类型</w:t>
            </w:r>
          </w:p>
        </w:tc>
        <w:tc>
          <w:tcPr>
            <w:tcW w:w="534" w:type="pct"/>
            <w:shd w:val="clear" w:color="auto" w:fill="auto"/>
            <w:vAlign w:val="center"/>
          </w:tcPr>
          <w:p w14:paraId="304D1515">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共享</w:t>
            </w:r>
          </w:p>
          <w:p w14:paraId="182E8C17">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条件</w:t>
            </w:r>
          </w:p>
        </w:tc>
        <w:tc>
          <w:tcPr>
            <w:tcW w:w="393" w:type="pct"/>
            <w:shd w:val="clear" w:color="auto" w:fill="auto"/>
            <w:vAlign w:val="center"/>
          </w:tcPr>
          <w:p w14:paraId="4CC11071">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共享</w:t>
            </w:r>
          </w:p>
          <w:p w14:paraId="25A0A0D6">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方式</w:t>
            </w:r>
          </w:p>
        </w:tc>
        <w:tc>
          <w:tcPr>
            <w:tcW w:w="469" w:type="pct"/>
            <w:shd w:val="clear" w:color="auto" w:fill="auto"/>
            <w:vAlign w:val="center"/>
          </w:tcPr>
          <w:p w14:paraId="1E46E6CB">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开放</w:t>
            </w:r>
          </w:p>
          <w:p w14:paraId="2110C44D">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属性</w:t>
            </w:r>
          </w:p>
        </w:tc>
        <w:tc>
          <w:tcPr>
            <w:tcW w:w="503" w:type="pct"/>
            <w:shd w:val="clear" w:color="auto" w:fill="auto"/>
            <w:vAlign w:val="center"/>
          </w:tcPr>
          <w:p w14:paraId="1B478D8D">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数据更新频度</w:t>
            </w:r>
          </w:p>
        </w:tc>
        <w:tc>
          <w:tcPr>
            <w:tcW w:w="428" w:type="pct"/>
            <w:shd w:val="clear" w:color="auto" w:fill="auto"/>
            <w:vAlign w:val="center"/>
          </w:tcPr>
          <w:p w14:paraId="230E09F4">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14:paraId="3EE51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69C6C6E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900" w:type="pct"/>
            <w:shd w:val="clear" w:color="000000" w:fill="FFFFFF"/>
            <w:vAlign w:val="center"/>
          </w:tcPr>
          <w:p w14:paraId="09C8AE0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无人机SN</w:t>
            </w:r>
          </w:p>
        </w:tc>
        <w:tc>
          <w:tcPr>
            <w:tcW w:w="812" w:type="pct"/>
            <w:shd w:val="clear" w:color="000000" w:fill="FFFFFF"/>
            <w:vAlign w:val="center"/>
          </w:tcPr>
          <w:p w14:paraId="72C9524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sn</w:t>
            </w:r>
          </w:p>
        </w:tc>
        <w:tc>
          <w:tcPr>
            <w:tcW w:w="524" w:type="pct"/>
            <w:shd w:val="clear" w:color="000000" w:fill="FFFFFF"/>
            <w:vAlign w:val="center"/>
          </w:tcPr>
          <w:p w14:paraId="3065704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string</w:t>
            </w:r>
          </w:p>
        </w:tc>
        <w:tc>
          <w:tcPr>
            <w:tcW w:w="534" w:type="pct"/>
            <w:shd w:val="clear" w:color="auto" w:fill="auto"/>
            <w:vAlign w:val="center"/>
          </w:tcPr>
          <w:p w14:paraId="3E91974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72657B2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3A3334E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59816DB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restart"/>
            <w:shd w:val="clear" w:color="auto" w:fill="auto"/>
            <w:vAlign w:val="center"/>
          </w:tcPr>
          <w:p w14:paraId="555BD41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无人机防控系统</w:t>
            </w:r>
          </w:p>
        </w:tc>
      </w:tr>
      <w:tr w14:paraId="3EF8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75D4C70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900" w:type="pct"/>
            <w:shd w:val="clear" w:color="000000" w:fill="FFFFFF"/>
            <w:vAlign w:val="center"/>
          </w:tcPr>
          <w:p w14:paraId="7EE52EA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无人机经度</w:t>
            </w:r>
          </w:p>
        </w:tc>
        <w:tc>
          <w:tcPr>
            <w:tcW w:w="812" w:type="pct"/>
            <w:shd w:val="clear" w:color="000000" w:fill="FFFFFF"/>
            <w:vAlign w:val="center"/>
          </w:tcPr>
          <w:p w14:paraId="393B193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lng</w:t>
            </w:r>
          </w:p>
        </w:tc>
        <w:tc>
          <w:tcPr>
            <w:tcW w:w="524" w:type="pct"/>
            <w:shd w:val="clear" w:color="000000" w:fill="FFFFFF"/>
            <w:vAlign w:val="center"/>
          </w:tcPr>
          <w:p w14:paraId="2B43A33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double</w:t>
            </w:r>
          </w:p>
        </w:tc>
        <w:tc>
          <w:tcPr>
            <w:tcW w:w="534" w:type="pct"/>
            <w:shd w:val="clear" w:color="auto" w:fill="auto"/>
            <w:vAlign w:val="center"/>
          </w:tcPr>
          <w:p w14:paraId="5CD8F9A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0AED530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4D962C1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15259F2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5F579B98">
            <w:pPr>
              <w:pStyle w:val="68"/>
              <w:jc w:val="center"/>
              <w:rPr>
                <w:rFonts w:hint="eastAsia" w:ascii="宋体" w:hAnsi="宋体" w:eastAsia="宋体" w:cs="宋体"/>
                <w:sz w:val="21"/>
                <w:szCs w:val="21"/>
                <w:highlight w:val="none"/>
              </w:rPr>
            </w:pPr>
          </w:p>
        </w:tc>
      </w:tr>
      <w:tr w14:paraId="13B7E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7106EB2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900" w:type="pct"/>
            <w:shd w:val="clear" w:color="000000" w:fill="FFFFFF"/>
            <w:vAlign w:val="center"/>
          </w:tcPr>
          <w:p w14:paraId="31776D1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无人机纬度</w:t>
            </w:r>
          </w:p>
        </w:tc>
        <w:tc>
          <w:tcPr>
            <w:tcW w:w="812" w:type="pct"/>
            <w:shd w:val="clear" w:color="000000" w:fill="FFFFFF"/>
            <w:vAlign w:val="center"/>
          </w:tcPr>
          <w:p w14:paraId="4D9FE67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lat</w:t>
            </w:r>
          </w:p>
        </w:tc>
        <w:tc>
          <w:tcPr>
            <w:tcW w:w="524" w:type="pct"/>
            <w:shd w:val="clear" w:color="000000" w:fill="FFFFFF"/>
            <w:vAlign w:val="center"/>
          </w:tcPr>
          <w:p w14:paraId="0A58388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double</w:t>
            </w:r>
          </w:p>
        </w:tc>
        <w:tc>
          <w:tcPr>
            <w:tcW w:w="534" w:type="pct"/>
            <w:shd w:val="clear" w:color="auto" w:fill="auto"/>
            <w:vAlign w:val="center"/>
          </w:tcPr>
          <w:p w14:paraId="757E0EE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000D942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23FA2BE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4F74426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3A240A9D">
            <w:pPr>
              <w:pStyle w:val="68"/>
              <w:jc w:val="center"/>
              <w:rPr>
                <w:rFonts w:hint="eastAsia" w:ascii="宋体" w:hAnsi="宋体" w:eastAsia="宋体" w:cs="宋体"/>
                <w:sz w:val="21"/>
                <w:szCs w:val="21"/>
                <w:highlight w:val="none"/>
              </w:rPr>
            </w:pPr>
          </w:p>
        </w:tc>
      </w:tr>
      <w:tr w14:paraId="2BB60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1242605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900" w:type="pct"/>
            <w:shd w:val="clear" w:color="000000" w:fill="FFFFFF"/>
            <w:vAlign w:val="center"/>
          </w:tcPr>
          <w:p w14:paraId="1777429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无人机高度</w:t>
            </w:r>
          </w:p>
        </w:tc>
        <w:tc>
          <w:tcPr>
            <w:tcW w:w="812" w:type="pct"/>
            <w:shd w:val="clear" w:color="000000" w:fill="FFFFFF"/>
            <w:vAlign w:val="center"/>
          </w:tcPr>
          <w:p w14:paraId="5542C29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alt</w:t>
            </w:r>
          </w:p>
        </w:tc>
        <w:tc>
          <w:tcPr>
            <w:tcW w:w="524" w:type="pct"/>
            <w:shd w:val="clear" w:color="000000" w:fill="FFFFFF"/>
            <w:vAlign w:val="center"/>
          </w:tcPr>
          <w:p w14:paraId="7D311BD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int</w:t>
            </w:r>
          </w:p>
        </w:tc>
        <w:tc>
          <w:tcPr>
            <w:tcW w:w="534" w:type="pct"/>
            <w:shd w:val="clear" w:color="auto" w:fill="auto"/>
            <w:vAlign w:val="center"/>
          </w:tcPr>
          <w:p w14:paraId="6005C4E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5860660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053701A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2A46EE6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7E33FE77">
            <w:pPr>
              <w:pStyle w:val="68"/>
              <w:jc w:val="center"/>
              <w:rPr>
                <w:rFonts w:hint="eastAsia" w:ascii="宋体" w:hAnsi="宋体" w:eastAsia="宋体" w:cs="宋体"/>
                <w:sz w:val="21"/>
                <w:szCs w:val="21"/>
                <w:highlight w:val="none"/>
              </w:rPr>
            </w:pPr>
          </w:p>
        </w:tc>
      </w:tr>
      <w:tr w14:paraId="594E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00FA291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900" w:type="pct"/>
            <w:shd w:val="clear" w:color="000000" w:fill="FFFFFF"/>
            <w:vAlign w:val="center"/>
          </w:tcPr>
          <w:p w14:paraId="18074E0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无人机速度</w:t>
            </w:r>
          </w:p>
        </w:tc>
        <w:tc>
          <w:tcPr>
            <w:tcW w:w="812" w:type="pct"/>
            <w:shd w:val="clear" w:color="000000" w:fill="FFFFFF"/>
            <w:vAlign w:val="center"/>
          </w:tcPr>
          <w:p w14:paraId="6B49CB0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spe</w:t>
            </w:r>
          </w:p>
        </w:tc>
        <w:tc>
          <w:tcPr>
            <w:tcW w:w="524" w:type="pct"/>
            <w:shd w:val="clear" w:color="000000" w:fill="FFFFFF"/>
            <w:vAlign w:val="center"/>
          </w:tcPr>
          <w:p w14:paraId="08FF628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double</w:t>
            </w:r>
          </w:p>
        </w:tc>
        <w:tc>
          <w:tcPr>
            <w:tcW w:w="534" w:type="pct"/>
            <w:shd w:val="clear" w:color="auto" w:fill="auto"/>
            <w:vAlign w:val="center"/>
          </w:tcPr>
          <w:p w14:paraId="48741BD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295C69B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5951235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18C5BCD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74EA3DB9">
            <w:pPr>
              <w:pStyle w:val="68"/>
              <w:jc w:val="center"/>
              <w:rPr>
                <w:rFonts w:hint="eastAsia" w:ascii="宋体" w:hAnsi="宋体" w:eastAsia="宋体" w:cs="宋体"/>
                <w:sz w:val="21"/>
                <w:szCs w:val="21"/>
                <w:highlight w:val="none"/>
              </w:rPr>
            </w:pPr>
          </w:p>
        </w:tc>
      </w:tr>
      <w:tr w14:paraId="64EF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407C1CE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900" w:type="pct"/>
            <w:shd w:val="clear" w:color="000000" w:fill="FFFFFF"/>
            <w:vAlign w:val="center"/>
          </w:tcPr>
          <w:p w14:paraId="746D6A2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无人机航向</w:t>
            </w:r>
          </w:p>
        </w:tc>
        <w:tc>
          <w:tcPr>
            <w:tcW w:w="812" w:type="pct"/>
            <w:shd w:val="clear" w:color="000000" w:fill="FFFFFF"/>
            <w:vAlign w:val="center"/>
          </w:tcPr>
          <w:p w14:paraId="248D9E9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yaw</w:t>
            </w:r>
          </w:p>
        </w:tc>
        <w:tc>
          <w:tcPr>
            <w:tcW w:w="524" w:type="pct"/>
            <w:shd w:val="clear" w:color="000000" w:fill="FFFFFF"/>
            <w:vAlign w:val="center"/>
          </w:tcPr>
          <w:p w14:paraId="680A445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int</w:t>
            </w:r>
          </w:p>
        </w:tc>
        <w:tc>
          <w:tcPr>
            <w:tcW w:w="534" w:type="pct"/>
            <w:shd w:val="clear" w:color="auto" w:fill="auto"/>
            <w:vAlign w:val="center"/>
          </w:tcPr>
          <w:p w14:paraId="6CECF25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5919853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43185CD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18AE26A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6C0DB540">
            <w:pPr>
              <w:pStyle w:val="68"/>
              <w:jc w:val="center"/>
              <w:rPr>
                <w:rFonts w:hint="eastAsia" w:ascii="宋体" w:hAnsi="宋体" w:eastAsia="宋体" w:cs="宋体"/>
                <w:sz w:val="21"/>
                <w:szCs w:val="21"/>
                <w:highlight w:val="none"/>
              </w:rPr>
            </w:pPr>
          </w:p>
        </w:tc>
      </w:tr>
      <w:tr w14:paraId="0EC9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4827C51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900" w:type="pct"/>
            <w:shd w:val="clear" w:color="000000" w:fill="FFFFFF"/>
            <w:vAlign w:val="center"/>
          </w:tcPr>
          <w:p w14:paraId="38C1666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无人机厂商</w:t>
            </w:r>
          </w:p>
        </w:tc>
        <w:tc>
          <w:tcPr>
            <w:tcW w:w="812" w:type="pct"/>
            <w:shd w:val="clear" w:color="000000" w:fill="FFFFFF"/>
            <w:vAlign w:val="center"/>
          </w:tcPr>
          <w:p w14:paraId="6E81CC0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mch</w:t>
            </w:r>
          </w:p>
        </w:tc>
        <w:tc>
          <w:tcPr>
            <w:tcW w:w="524" w:type="pct"/>
            <w:shd w:val="clear" w:color="000000" w:fill="FFFFFF"/>
            <w:vAlign w:val="center"/>
          </w:tcPr>
          <w:p w14:paraId="047D80F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string</w:t>
            </w:r>
          </w:p>
        </w:tc>
        <w:tc>
          <w:tcPr>
            <w:tcW w:w="534" w:type="pct"/>
            <w:shd w:val="clear" w:color="auto" w:fill="auto"/>
            <w:vAlign w:val="center"/>
          </w:tcPr>
          <w:p w14:paraId="5DC840D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666C672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67BDFDF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7EC59CF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7E228EB5">
            <w:pPr>
              <w:pStyle w:val="68"/>
              <w:jc w:val="center"/>
              <w:rPr>
                <w:rFonts w:hint="eastAsia" w:ascii="宋体" w:hAnsi="宋体" w:eastAsia="宋体" w:cs="宋体"/>
                <w:sz w:val="21"/>
                <w:szCs w:val="21"/>
                <w:highlight w:val="none"/>
              </w:rPr>
            </w:pPr>
          </w:p>
        </w:tc>
      </w:tr>
      <w:tr w14:paraId="1745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695C608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900" w:type="pct"/>
            <w:shd w:val="clear" w:color="000000" w:fill="FFFFFF"/>
            <w:vAlign w:val="center"/>
          </w:tcPr>
          <w:p w14:paraId="17EF5E5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无人机型号</w:t>
            </w:r>
          </w:p>
        </w:tc>
        <w:tc>
          <w:tcPr>
            <w:tcW w:w="812" w:type="pct"/>
            <w:shd w:val="clear" w:color="000000" w:fill="FFFFFF"/>
            <w:vAlign w:val="center"/>
          </w:tcPr>
          <w:p w14:paraId="5503779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model</w:t>
            </w:r>
          </w:p>
        </w:tc>
        <w:tc>
          <w:tcPr>
            <w:tcW w:w="524" w:type="pct"/>
            <w:shd w:val="clear" w:color="000000" w:fill="FFFFFF"/>
            <w:vAlign w:val="center"/>
          </w:tcPr>
          <w:p w14:paraId="010FADF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string</w:t>
            </w:r>
          </w:p>
        </w:tc>
        <w:tc>
          <w:tcPr>
            <w:tcW w:w="534" w:type="pct"/>
            <w:shd w:val="clear" w:color="auto" w:fill="auto"/>
            <w:vAlign w:val="center"/>
          </w:tcPr>
          <w:p w14:paraId="51922CA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6FC804E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67709EA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6683685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5A480071">
            <w:pPr>
              <w:pStyle w:val="68"/>
              <w:jc w:val="center"/>
              <w:rPr>
                <w:rFonts w:hint="eastAsia" w:ascii="宋体" w:hAnsi="宋体" w:eastAsia="宋体" w:cs="宋体"/>
                <w:sz w:val="21"/>
                <w:szCs w:val="21"/>
                <w:highlight w:val="none"/>
              </w:rPr>
            </w:pPr>
          </w:p>
        </w:tc>
      </w:tr>
      <w:tr w14:paraId="31FC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6DB6C7C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900" w:type="pct"/>
            <w:shd w:val="clear" w:color="000000" w:fill="FFFFFF"/>
            <w:vAlign w:val="center"/>
          </w:tcPr>
          <w:p w14:paraId="181B6F9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设备状态</w:t>
            </w:r>
          </w:p>
        </w:tc>
        <w:tc>
          <w:tcPr>
            <w:tcW w:w="812" w:type="pct"/>
            <w:shd w:val="clear" w:color="000000" w:fill="FFFFFF"/>
            <w:vAlign w:val="center"/>
          </w:tcPr>
          <w:p w14:paraId="6F95D52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devsts</w:t>
            </w:r>
          </w:p>
        </w:tc>
        <w:tc>
          <w:tcPr>
            <w:tcW w:w="524" w:type="pct"/>
            <w:shd w:val="clear" w:color="000000" w:fill="FFFFFF"/>
            <w:vAlign w:val="center"/>
          </w:tcPr>
          <w:p w14:paraId="621EB0A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string</w:t>
            </w:r>
          </w:p>
        </w:tc>
        <w:tc>
          <w:tcPr>
            <w:tcW w:w="534" w:type="pct"/>
            <w:shd w:val="clear" w:color="auto" w:fill="auto"/>
            <w:vAlign w:val="center"/>
          </w:tcPr>
          <w:p w14:paraId="4E6ACF5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72A198B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3C6DA43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5540A65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2C396C4F">
            <w:pPr>
              <w:pStyle w:val="68"/>
              <w:jc w:val="center"/>
              <w:rPr>
                <w:rFonts w:hint="eastAsia" w:ascii="宋体" w:hAnsi="宋体" w:eastAsia="宋体" w:cs="宋体"/>
                <w:sz w:val="21"/>
                <w:szCs w:val="21"/>
                <w:highlight w:val="none"/>
              </w:rPr>
            </w:pPr>
          </w:p>
        </w:tc>
      </w:tr>
      <w:tr w14:paraId="769EB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4E6A430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900" w:type="pct"/>
            <w:shd w:val="clear" w:color="000000" w:fill="FFFFFF"/>
            <w:vAlign w:val="center"/>
          </w:tcPr>
          <w:p w14:paraId="5D9AFD5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位置经度</w:t>
            </w:r>
          </w:p>
        </w:tc>
        <w:tc>
          <w:tcPr>
            <w:tcW w:w="812" w:type="pct"/>
            <w:shd w:val="clear" w:color="000000" w:fill="FFFFFF"/>
            <w:vAlign w:val="center"/>
          </w:tcPr>
          <w:p w14:paraId="1DF61EF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lng</w:t>
            </w:r>
          </w:p>
        </w:tc>
        <w:tc>
          <w:tcPr>
            <w:tcW w:w="524" w:type="pct"/>
            <w:shd w:val="clear" w:color="000000" w:fill="FFFFFF"/>
            <w:vAlign w:val="center"/>
          </w:tcPr>
          <w:p w14:paraId="060DD4B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double</w:t>
            </w:r>
          </w:p>
        </w:tc>
        <w:tc>
          <w:tcPr>
            <w:tcW w:w="534" w:type="pct"/>
            <w:shd w:val="clear" w:color="auto" w:fill="auto"/>
            <w:vAlign w:val="center"/>
          </w:tcPr>
          <w:p w14:paraId="5BA5A60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7CDE391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7440570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6357B28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36690983">
            <w:pPr>
              <w:pStyle w:val="68"/>
              <w:jc w:val="center"/>
              <w:rPr>
                <w:rFonts w:hint="eastAsia" w:ascii="宋体" w:hAnsi="宋体" w:eastAsia="宋体" w:cs="宋体"/>
                <w:sz w:val="21"/>
                <w:szCs w:val="21"/>
                <w:highlight w:val="none"/>
              </w:rPr>
            </w:pPr>
          </w:p>
        </w:tc>
      </w:tr>
      <w:tr w14:paraId="0ACB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4191416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900" w:type="pct"/>
            <w:shd w:val="clear" w:color="000000" w:fill="FFFFFF"/>
            <w:vAlign w:val="center"/>
          </w:tcPr>
          <w:p w14:paraId="7C87900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位置纬度</w:t>
            </w:r>
          </w:p>
        </w:tc>
        <w:tc>
          <w:tcPr>
            <w:tcW w:w="812" w:type="pct"/>
            <w:shd w:val="clear" w:color="000000" w:fill="FFFFFF"/>
            <w:vAlign w:val="center"/>
          </w:tcPr>
          <w:p w14:paraId="77ADDE9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lat</w:t>
            </w:r>
          </w:p>
        </w:tc>
        <w:tc>
          <w:tcPr>
            <w:tcW w:w="524" w:type="pct"/>
            <w:shd w:val="clear" w:color="000000" w:fill="FFFFFF"/>
            <w:vAlign w:val="center"/>
          </w:tcPr>
          <w:p w14:paraId="64415CE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double</w:t>
            </w:r>
          </w:p>
        </w:tc>
        <w:tc>
          <w:tcPr>
            <w:tcW w:w="534" w:type="pct"/>
            <w:shd w:val="clear" w:color="auto" w:fill="auto"/>
            <w:vAlign w:val="center"/>
          </w:tcPr>
          <w:p w14:paraId="3A97366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5610129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41A63BF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215852E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5470E9F1">
            <w:pPr>
              <w:pStyle w:val="68"/>
              <w:jc w:val="center"/>
              <w:rPr>
                <w:rFonts w:hint="eastAsia" w:ascii="宋体" w:hAnsi="宋体" w:eastAsia="宋体" w:cs="宋体"/>
                <w:sz w:val="21"/>
                <w:szCs w:val="21"/>
                <w:highlight w:val="none"/>
              </w:rPr>
            </w:pPr>
          </w:p>
        </w:tc>
      </w:tr>
      <w:tr w14:paraId="66255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3FAEA05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900" w:type="pct"/>
            <w:shd w:val="clear" w:color="000000" w:fill="FFFFFF"/>
            <w:vAlign w:val="center"/>
          </w:tcPr>
          <w:p w14:paraId="2949E6C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目标状态</w:t>
            </w:r>
          </w:p>
        </w:tc>
        <w:tc>
          <w:tcPr>
            <w:tcW w:w="812" w:type="pct"/>
            <w:shd w:val="clear" w:color="000000" w:fill="FFFFFF"/>
            <w:vAlign w:val="center"/>
          </w:tcPr>
          <w:p w14:paraId="13260F9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tarsts</w:t>
            </w:r>
          </w:p>
        </w:tc>
        <w:tc>
          <w:tcPr>
            <w:tcW w:w="524" w:type="pct"/>
            <w:shd w:val="clear" w:color="000000" w:fill="FFFFFF"/>
            <w:vAlign w:val="center"/>
          </w:tcPr>
          <w:p w14:paraId="3631FF4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string</w:t>
            </w:r>
          </w:p>
        </w:tc>
        <w:tc>
          <w:tcPr>
            <w:tcW w:w="534" w:type="pct"/>
            <w:shd w:val="clear" w:color="auto" w:fill="auto"/>
            <w:vAlign w:val="center"/>
          </w:tcPr>
          <w:p w14:paraId="371A5F2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09C1C67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69E6C46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5508833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429EEE36">
            <w:pPr>
              <w:pStyle w:val="68"/>
              <w:jc w:val="center"/>
              <w:rPr>
                <w:rFonts w:hint="eastAsia" w:ascii="宋体" w:hAnsi="宋体" w:eastAsia="宋体" w:cs="宋体"/>
                <w:sz w:val="21"/>
                <w:szCs w:val="21"/>
                <w:highlight w:val="none"/>
              </w:rPr>
            </w:pPr>
          </w:p>
        </w:tc>
      </w:tr>
      <w:tr w14:paraId="15C8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40DCC94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13</w:t>
            </w:r>
          </w:p>
        </w:tc>
        <w:tc>
          <w:tcPr>
            <w:tcW w:w="900" w:type="pct"/>
            <w:shd w:val="clear" w:color="000000" w:fill="FFFFFF"/>
            <w:vAlign w:val="center"/>
          </w:tcPr>
          <w:p w14:paraId="7121C13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俯仰角</w:t>
            </w:r>
          </w:p>
        </w:tc>
        <w:tc>
          <w:tcPr>
            <w:tcW w:w="812" w:type="pct"/>
            <w:shd w:val="clear" w:color="000000" w:fill="FFFFFF"/>
            <w:vAlign w:val="center"/>
          </w:tcPr>
          <w:p w14:paraId="36FF405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pit</w:t>
            </w:r>
          </w:p>
        </w:tc>
        <w:tc>
          <w:tcPr>
            <w:tcW w:w="524" w:type="pct"/>
            <w:shd w:val="clear" w:color="000000" w:fill="FFFFFF"/>
            <w:vAlign w:val="center"/>
          </w:tcPr>
          <w:p w14:paraId="7953205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int</w:t>
            </w:r>
          </w:p>
        </w:tc>
        <w:tc>
          <w:tcPr>
            <w:tcW w:w="534" w:type="pct"/>
            <w:shd w:val="clear" w:color="auto" w:fill="auto"/>
            <w:vAlign w:val="center"/>
          </w:tcPr>
          <w:p w14:paraId="050C9D4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4FFB317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72A59FA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56EAF2C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0E70BB26">
            <w:pPr>
              <w:pStyle w:val="68"/>
              <w:jc w:val="center"/>
              <w:rPr>
                <w:rFonts w:hint="eastAsia" w:ascii="宋体" w:hAnsi="宋体" w:eastAsia="宋体" w:cs="宋体"/>
                <w:sz w:val="21"/>
                <w:szCs w:val="21"/>
                <w:highlight w:val="none"/>
              </w:rPr>
            </w:pPr>
          </w:p>
        </w:tc>
      </w:tr>
      <w:tr w14:paraId="0AB55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444FDD8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14</w:t>
            </w:r>
          </w:p>
        </w:tc>
        <w:tc>
          <w:tcPr>
            <w:tcW w:w="900" w:type="pct"/>
            <w:shd w:val="clear" w:color="000000" w:fill="FFFFFF"/>
            <w:vAlign w:val="center"/>
          </w:tcPr>
          <w:p w14:paraId="46F37E6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方位角</w:t>
            </w:r>
          </w:p>
        </w:tc>
        <w:tc>
          <w:tcPr>
            <w:tcW w:w="812" w:type="pct"/>
            <w:shd w:val="clear" w:color="000000" w:fill="FFFFFF"/>
            <w:vAlign w:val="center"/>
          </w:tcPr>
          <w:p w14:paraId="064626B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azi</w:t>
            </w:r>
          </w:p>
        </w:tc>
        <w:tc>
          <w:tcPr>
            <w:tcW w:w="524" w:type="pct"/>
            <w:shd w:val="clear" w:color="000000" w:fill="FFFFFF"/>
            <w:vAlign w:val="center"/>
          </w:tcPr>
          <w:p w14:paraId="4C49064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int</w:t>
            </w:r>
          </w:p>
        </w:tc>
        <w:tc>
          <w:tcPr>
            <w:tcW w:w="534" w:type="pct"/>
            <w:shd w:val="clear" w:color="auto" w:fill="auto"/>
            <w:vAlign w:val="center"/>
          </w:tcPr>
          <w:p w14:paraId="28821DD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22C0AC3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549B4FE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6556662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3E98E5D1">
            <w:pPr>
              <w:pStyle w:val="68"/>
              <w:jc w:val="center"/>
              <w:rPr>
                <w:rFonts w:hint="eastAsia" w:ascii="宋体" w:hAnsi="宋体" w:eastAsia="宋体" w:cs="宋体"/>
                <w:sz w:val="21"/>
                <w:szCs w:val="21"/>
                <w:highlight w:val="none"/>
              </w:rPr>
            </w:pPr>
          </w:p>
        </w:tc>
      </w:tr>
      <w:tr w14:paraId="4D5C4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69D746D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c>
          <w:tcPr>
            <w:tcW w:w="900" w:type="pct"/>
            <w:shd w:val="clear" w:color="000000" w:fill="FFFFFF"/>
            <w:vAlign w:val="center"/>
          </w:tcPr>
          <w:p w14:paraId="02C53D3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设备运行模式</w:t>
            </w:r>
          </w:p>
        </w:tc>
        <w:tc>
          <w:tcPr>
            <w:tcW w:w="812" w:type="pct"/>
            <w:shd w:val="clear" w:color="000000" w:fill="FFFFFF"/>
            <w:vAlign w:val="center"/>
          </w:tcPr>
          <w:p w14:paraId="63C90BD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mode</w:t>
            </w:r>
          </w:p>
        </w:tc>
        <w:tc>
          <w:tcPr>
            <w:tcW w:w="524" w:type="pct"/>
            <w:shd w:val="clear" w:color="000000" w:fill="FFFFFF"/>
            <w:vAlign w:val="center"/>
          </w:tcPr>
          <w:p w14:paraId="32D71F4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string</w:t>
            </w:r>
          </w:p>
        </w:tc>
        <w:tc>
          <w:tcPr>
            <w:tcW w:w="534" w:type="pct"/>
            <w:shd w:val="clear" w:color="auto" w:fill="auto"/>
            <w:vAlign w:val="center"/>
          </w:tcPr>
          <w:p w14:paraId="01D8BDA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72F103C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232B3ED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4D16A29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78681E38">
            <w:pPr>
              <w:pStyle w:val="68"/>
              <w:jc w:val="center"/>
              <w:rPr>
                <w:rFonts w:hint="eastAsia" w:ascii="宋体" w:hAnsi="宋体" w:eastAsia="宋体" w:cs="宋体"/>
                <w:sz w:val="21"/>
                <w:szCs w:val="21"/>
                <w:highlight w:val="none"/>
              </w:rPr>
            </w:pPr>
          </w:p>
        </w:tc>
      </w:tr>
      <w:tr w14:paraId="550C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671DC03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900" w:type="pct"/>
            <w:shd w:val="clear" w:color="000000" w:fill="FFFFFF"/>
            <w:vAlign w:val="center"/>
          </w:tcPr>
          <w:p w14:paraId="7B630F8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车辆ID</w:t>
            </w:r>
          </w:p>
        </w:tc>
        <w:tc>
          <w:tcPr>
            <w:tcW w:w="812" w:type="pct"/>
            <w:shd w:val="clear" w:color="000000" w:fill="FFFFFF"/>
            <w:vAlign w:val="center"/>
          </w:tcPr>
          <w:p w14:paraId="2257DEA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id</w:t>
            </w:r>
          </w:p>
        </w:tc>
        <w:tc>
          <w:tcPr>
            <w:tcW w:w="524" w:type="pct"/>
            <w:shd w:val="clear" w:color="000000" w:fill="FFFFFF"/>
            <w:vAlign w:val="center"/>
          </w:tcPr>
          <w:p w14:paraId="2005651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uuid</w:t>
            </w:r>
          </w:p>
        </w:tc>
        <w:tc>
          <w:tcPr>
            <w:tcW w:w="534" w:type="pct"/>
            <w:shd w:val="clear" w:color="auto" w:fill="auto"/>
            <w:vAlign w:val="center"/>
          </w:tcPr>
          <w:p w14:paraId="0A03F49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54CAA7B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7D90B1B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32FE364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restart"/>
            <w:shd w:val="clear" w:color="auto" w:fill="auto"/>
            <w:vAlign w:val="center"/>
          </w:tcPr>
          <w:p w14:paraId="5D74632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机坪安全运行管理系统</w:t>
            </w:r>
          </w:p>
        </w:tc>
      </w:tr>
      <w:tr w14:paraId="1EA84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6ADD7A4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900" w:type="pct"/>
            <w:shd w:val="clear" w:color="000000" w:fill="FFFFFF"/>
            <w:vAlign w:val="center"/>
          </w:tcPr>
          <w:p w14:paraId="4DA8028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车牌号</w:t>
            </w:r>
          </w:p>
        </w:tc>
        <w:tc>
          <w:tcPr>
            <w:tcW w:w="812" w:type="pct"/>
            <w:shd w:val="clear" w:color="000000" w:fill="FFFFFF"/>
            <w:vAlign w:val="center"/>
          </w:tcPr>
          <w:p w14:paraId="4176CDA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number</w:t>
            </w:r>
          </w:p>
        </w:tc>
        <w:tc>
          <w:tcPr>
            <w:tcW w:w="524" w:type="pct"/>
            <w:shd w:val="clear" w:color="000000" w:fill="FFFFFF"/>
            <w:vAlign w:val="center"/>
          </w:tcPr>
          <w:p w14:paraId="05BBCE1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text</w:t>
            </w:r>
          </w:p>
        </w:tc>
        <w:tc>
          <w:tcPr>
            <w:tcW w:w="534" w:type="pct"/>
            <w:shd w:val="clear" w:color="auto" w:fill="auto"/>
            <w:vAlign w:val="center"/>
          </w:tcPr>
          <w:p w14:paraId="10DD329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10EA076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7D2B81C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091F0E2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076DE9A0">
            <w:pPr>
              <w:pStyle w:val="68"/>
              <w:jc w:val="center"/>
              <w:rPr>
                <w:rFonts w:hint="eastAsia" w:ascii="宋体" w:hAnsi="宋体" w:eastAsia="宋体" w:cs="宋体"/>
                <w:sz w:val="21"/>
                <w:szCs w:val="21"/>
                <w:highlight w:val="none"/>
              </w:rPr>
            </w:pPr>
          </w:p>
        </w:tc>
      </w:tr>
      <w:tr w14:paraId="136CF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389B64F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900" w:type="pct"/>
            <w:shd w:val="clear" w:color="000000" w:fill="FFFFFF"/>
            <w:vAlign w:val="center"/>
          </w:tcPr>
          <w:p w14:paraId="3C7CD9D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设备号</w:t>
            </w:r>
          </w:p>
        </w:tc>
        <w:tc>
          <w:tcPr>
            <w:tcW w:w="812" w:type="pct"/>
            <w:shd w:val="clear" w:color="000000" w:fill="FFFFFF"/>
            <w:vAlign w:val="center"/>
          </w:tcPr>
          <w:p w14:paraId="1CBD772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devid</w:t>
            </w:r>
          </w:p>
        </w:tc>
        <w:tc>
          <w:tcPr>
            <w:tcW w:w="524" w:type="pct"/>
            <w:shd w:val="clear" w:color="000000" w:fill="FFFFFF"/>
            <w:vAlign w:val="center"/>
          </w:tcPr>
          <w:p w14:paraId="2B90E48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text</w:t>
            </w:r>
          </w:p>
        </w:tc>
        <w:tc>
          <w:tcPr>
            <w:tcW w:w="534" w:type="pct"/>
            <w:shd w:val="clear" w:color="auto" w:fill="auto"/>
            <w:vAlign w:val="center"/>
          </w:tcPr>
          <w:p w14:paraId="709C660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3B025FC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652205B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65428AA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44CD4F6E">
            <w:pPr>
              <w:pStyle w:val="68"/>
              <w:jc w:val="center"/>
              <w:rPr>
                <w:rFonts w:hint="eastAsia" w:ascii="宋体" w:hAnsi="宋体" w:eastAsia="宋体" w:cs="宋体"/>
                <w:sz w:val="21"/>
                <w:szCs w:val="21"/>
                <w:highlight w:val="none"/>
              </w:rPr>
            </w:pPr>
          </w:p>
        </w:tc>
      </w:tr>
      <w:tr w14:paraId="6436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570BE84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900" w:type="pct"/>
            <w:shd w:val="clear" w:color="000000" w:fill="FFFFFF"/>
            <w:vAlign w:val="center"/>
          </w:tcPr>
          <w:p w14:paraId="7EDA138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卡号</w:t>
            </w:r>
          </w:p>
        </w:tc>
        <w:tc>
          <w:tcPr>
            <w:tcW w:w="812" w:type="pct"/>
            <w:shd w:val="clear" w:color="000000" w:fill="FFFFFF"/>
            <w:vAlign w:val="center"/>
          </w:tcPr>
          <w:p w14:paraId="0F2BFCE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sim</w:t>
            </w:r>
          </w:p>
        </w:tc>
        <w:tc>
          <w:tcPr>
            <w:tcW w:w="524" w:type="pct"/>
            <w:shd w:val="clear" w:color="000000" w:fill="FFFFFF"/>
            <w:vAlign w:val="center"/>
          </w:tcPr>
          <w:p w14:paraId="25931D0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text</w:t>
            </w:r>
          </w:p>
        </w:tc>
        <w:tc>
          <w:tcPr>
            <w:tcW w:w="534" w:type="pct"/>
            <w:shd w:val="clear" w:color="auto" w:fill="auto"/>
            <w:vAlign w:val="center"/>
          </w:tcPr>
          <w:p w14:paraId="17CDD5A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4E8A83B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32ECF79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47E29D4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5BB90662">
            <w:pPr>
              <w:pStyle w:val="68"/>
              <w:jc w:val="center"/>
              <w:rPr>
                <w:rFonts w:hint="eastAsia" w:ascii="宋体" w:hAnsi="宋体" w:eastAsia="宋体" w:cs="宋体"/>
                <w:sz w:val="21"/>
                <w:szCs w:val="21"/>
                <w:highlight w:val="none"/>
              </w:rPr>
            </w:pPr>
          </w:p>
        </w:tc>
      </w:tr>
      <w:tr w14:paraId="151EC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24F11BA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900" w:type="pct"/>
            <w:shd w:val="clear" w:color="000000" w:fill="FFFFFF"/>
            <w:vAlign w:val="center"/>
          </w:tcPr>
          <w:p w14:paraId="50BE967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车辆类型id</w:t>
            </w:r>
          </w:p>
        </w:tc>
        <w:tc>
          <w:tcPr>
            <w:tcW w:w="812" w:type="pct"/>
            <w:shd w:val="clear" w:color="000000" w:fill="FFFFFF"/>
            <w:vAlign w:val="center"/>
          </w:tcPr>
          <w:p w14:paraId="3A9FCB1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vehicletype</w:t>
            </w:r>
          </w:p>
        </w:tc>
        <w:tc>
          <w:tcPr>
            <w:tcW w:w="524" w:type="pct"/>
            <w:shd w:val="clear" w:color="000000" w:fill="FFFFFF"/>
            <w:vAlign w:val="center"/>
          </w:tcPr>
          <w:p w14:paraId="1F3F2C7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uuid</w:t>
            </w:r>
          </w:p>
        </w:tc>
        <w:tc>
          <w:tcPr>
            <w:tcW w:w="534" w:type="pct"/>
            <w:shd w:val="clear" w:color="auto" w:fill="auto"/>
            <w:vAlign w:val="center"/>
          </w:tcPr>
          <w:p w14:paraId="5599956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0005E89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7DB89D9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2E83185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764A229D">
            <w:pPr>
              <w:pStyle w:val="68"/>
              <w:jc w:val="center"/>
              <w:rPr>
                <w:rFonts w:hint="eastAsia" w:ascii="宋体" w:hAnsi="宋体" w:eastAsia="宋体" w:cs="宋体"/>
                <w:sz w:val="21"/>
                <w:szCs w:val="21"/>
                <w:highlight w:val="none"/>
              </w:rPr>
            </w:pPr>
          </w:p>
        </w:tc>
      </w:tr>
      <w:tr w14:paraId="27484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59A2F64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900" w:type="pct"/>
            <w:shd w:val="clear" w:color="000000" w:fill="FFFFFF"/>
            <w:vAlign w:val="center"/>
          </w:tcPr>
          <w:p w14:paraId="5BCF425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所属部门id</w:t>
            </w:r>
          </w:p>
        </w:tc>
        <w:tc>
          <w:tcPr>
            <w:tcW w:w="812" w:type="pct"/>
            <w:shd w:val="clear" w:color="000000" w:fill="FFFFFF"/>
            <w:vAlign w:val="center"/>
          </w:tcPr>
          <w:p w14:paraId="3931963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department</w:t>
            </w:r>
          </w:p>
        </w:tc>
        <w:tc>
          <w:tcPr>
            <w:tcW w:w="524" w:type="pct"/>
            <w:shd w:val="clear" w:color="000000" w:fill="FFFFFF"/>
            <w:vAlign w:val="center"/>
          </w:tcPr>
          <w:p w14:paraId="3E5CB12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uuid</w:t>
            </w:r>
          </w:p>
        </w:tc>
        <w:tc>
          <w:tcPr>
            <w:tcW w:w="534" w:type="pct"/>
            <w:shd w:val="clear" w:color="auto" w:fill="auto"/>
            <w:vAlign w:val="center"/>
          </w:tcPr>
          <w:p w14:paraId="05059BC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433532D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6AEC92B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10C52ED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77A24544">
            <w:pPr>
              <w:pStyle w:val="68"/>
              <w:jc w:val="center"/>
              <w:rPr>
                <w:rFonts w:hint="eastAsia" w:ascii="宋体" w:hAnsi="宋体" w:eastAsia="宋体" w:cs="宋体"/>
                <w:sz w:val="21"/>
                <w:szCs w:val="21"/>
                <w:highlight w:val="none"/>
              </w:rPr>
            </w:pPr>
          </w:p>
        </w:tc>
      </w:tr>
      <w:tr w14:paraId="46E72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1A1DD2B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900" w:type="pct"/>
            <w:shd w:val="clear" w:color="000000" w:fill="FFFFFF"/>
            <w:vAlign w:val="center"/>
          </w:tcPr>
          <w:p w14:paraId="0529917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所属机场</w:t>
            </w:r>
          </w:p>
        </w:tc>
        <w:tc>
          <w:tcPr>
            <w:tcW w:w="812" w:type="pct"/>
            <w:shd w:val="clear" w:color="000000" w:fill="FFFFFF"/>
            <w:vAlign w:val="center"/>
          </w:tcPr>
          <w:p w14:paraId="26BD898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posowner</w:t>
            </w:r>
          </w:p>
        </w:tc>
        <w:tc>
          <w:tcPr>
            <w:tcW w:w="524" w:type="pct"/>
            <w:shd w:val="clear" w:color="000000" w:fill="FFFFFF"/>
            <w:vAlign w:val="center"/>
          </w:tcPr>
          <w:p w14:paraId="50519B9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text</w:t>
            </w:r>
          </w:p>
        </w:tc>
        <w:tc>
          <w:tcPr>
            <w:tcW w:w="534" w:type="pct"/>
            <w:shd w:val="clear" w:color="auto" w:fill="auto"/>
            <w:vAlign w:val="center"/>
          </w:tcPr>
          <w:p w14:paraId="65CBD03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5700BE2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528CB48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7AF6029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4ACD73FB">
            <w:pPr>
              <w:pStyle w:val="68"/>
              <w:jc w:val="center"/>
              <w:rPr>
                <w:rFonts w:hint="eastAsia" w:ascii="宋体" w:hAnsi="宋体" w:eastAsia="宋体" w:cs="宋体"/>
                <w:sz w:val="21"/>
                <w:szCs w:val="21"/>
                <w:highlight w:val="none"/>
              </w:rPr>
            </w:pPr>
          </w:p>
        </w:tc>
      </w:tr>
      <w:tr w14:paraId="721A3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2E0457B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900" w:type="pct"/>
            <w:shd w:val="clear" w:color="000000" w:fill="FFFFFF"/>
            <w:vAlign w:val="center"/>
          </w:tcPr>
          <w:p w14:paraId="77A5F37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车辆状态</w:t>
            </w:r>
          </w:p>
        </w:tc>
        <w:tc>
          <w:tcPr>
            <w:tcW w:w="812" w:type="pct"/>
            <w:shd w:val="clear" w:color="000000" w:fill="FFFFFF"/>
            <w:vAlign w:val="center"/>
          </w:tcPr>
          <w:p w14:paraId="3479792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vehiclestatus</w:t>
            </w:r>
          </w:p>
        </w:tc>
        <w:tc>
          <w:tcPr>
            <w:tcW w:w="524" w:type="pct"/>
            <w:shd w:val="clear" w:color="000000" w:fill="FFFFFF"/>
            <w:vAlign w:val="center"/>
          </w:tcPr>
          <w:p w14:paraId="332A19C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smallint</w:t>
            </w:r>
          </w:p>
        </w:tc>
        <w:tc>
          <w:tcPr>
            <w:tcW w:w="534" w:type="pct"/>
            <w:shd w:val="clear" w:color="auto" w:fill="auto"/>
            <w:vAlign w:val="center"/>
          </w:tcPr>
          <w:p w14:paraId="712C834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53B4D7F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5BCD055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63532E8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092BD86B">
            <w:pPr>
              <w:pStyle w:val="68"/>
              <w:jc w:val="center"/>
              <w:rPr>
                <w:rFonts w:hint="eastAsia" w:ascii="宋体" w:hAnsi="宋体" w:eastAsia="宋体" w:cs="宋体"/>
                <w:sz w:val="21"/>
                <w:szCs w:val="21"/>
                <w:highlight w:val="none"/>
              </w:rPr>
            </w:pPr>
          </w:p>
        </w:tc>
      </w:tr>
      <w:tr w14:paraId="7924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72542C2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900" w:type="pct"/>
            <w:shd w:val="clear" w:color="000000" w:fill="FFFFFF"/>
            <w:vAlign w:val="center"/>
          </w:tcPr>
          <w:p w14:paraId="222DF1F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安装日期</w:t>
            </w:r>
          </w:p>
        </w:tc>
        <w:tc>
          <w:tcPr>
            <w:tcW w:w="812" w:type="pct"/>
            <w:shd w:val="clear" w:color="000000" w:fill="FFFFFF"/>
            <w:vAlign w:val="center"/>
          </w:tcPr>
          <w:p w14:paraId="57A7591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install_time</w:t>
            </w:r>
          </w:p>
        </w:tc>
        <w:tc>
          <w:tcPr>
            <w:tcW w:w="524" w:type="pct"/>
            <w:shd w:val="clear" w:color="000000" w:fill="FFFFFF"/>
            <w:vAlign w:val="center"/>
          </w:tcPr>
          <w:p w14:paraId="4A114CC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bigint</w:t>
            </w:r>
          </w:p>
        </w:tc>
        <w:tc>
          <w:tcPr>
            <w:tcW w:w="534" w:type="pct"/>
            <w:shd w:val="clear" w:color="auto" w:fill="auto"/>
            <w:vAlign w:val="center"/>
          </w:tcPr>
          <w:p w14:paraId="14BA3E9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47FFDC5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3DB55D0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71BFE5A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69DA5CBC">
            <w:pPr>
              <w:pStyle w:val="68"/>
              <w:jc w:val="center"/>
              <w:rPr>
                <w:rFonts w:hint="eastAsia" w:ascii="宋体" w:hAnsi="宋体" w:eastAsia="宋体" w:cs="宋体"/>
                <w:sz w:val="21"/>
                <w:szCs w:val="21"/>
                <w:highlight w:val="none"/>
              </w:rPr>
            </w:pPr>
          </w:p>
        </w:tc>
      </w:tr>
      <w:tr w14:paraId="27E13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0721700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900" w:type="pct"/>
            <w:shd w:val="clear" w:color="000000" w:fill="FFFFFF"/>
            <w:vAlign w:val="center"/>
          </w:tcPr>
          <w:p w14:paraId="28D418C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所选协议</w:t>
            </w:r>
          </w:p>
        </w:tc>
        <w:tc>
          <w:tcPr>
            <w:tcW w:w="812" w:type="pct"/>
            <w:shd w:val="clear" w:color="000000" w:fill="FFFFFF"/>
            <w:vAlign w:val="center"/>
          </w:tcPr>
          <w:p w14:paraId="6BC69E3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protocol</w:t>
            </w:r>
          </w:p>
        </w:tc>
        <w:tc>
          <w:tcPr>
            <w:tcW w:w="524" w:type="pct"/>
            <w:shd w:val="clear" w:color="000000" w:fill="FFFFFF"/>
            <w:vAlign w:val="center"/>
          </w:tcPr>
          <w:p w14:paraId="3DB1B39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smallint</w:t>
            </w:r>
          </w:p>
        </w:tc>
        <w:tc>
          <w:tcPr>
            <w:tcW w:w="534" w:type="pct"/>
            <w:shd w:val="clear" w:color="auto" w:fill="auto"/>
            <w:vAlign w:val="center"/>
          </w:tcPr>
          <w:p w14:paraId="6542DC6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510E38A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299F50D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5FECB4C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16DFEF04">
            <w:pPr>
              <w:pStyle w:val="68"/>
              <w:jc w:val="center"/>
              <w:rPr>
                <w:rFonts w:hint="eastAsia" w:ascii="宋体" w:hAnsi="宋体" w:eastAsia="宋体" w:cs="宋体"/>
                <w:sz w:val="21"/>
                <w:szCs w:val="21"/>
                <w:highlight w:val="none"/>
              </w:rPr>
            </w:pPr>
          </w:p>
        </w:tc>
      </w:tr>
      <w:tr w14:paraId="61BD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05757DE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900" w:type="pct"/>
            <w:shd w:val="clear" w:color="000000" w:fill="FFFFFF"/>
            <w:vAlign w:val="center"/>
          </w:tcPr>
          <w:p w14:paraId="076BA2A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是否可观看视频</w:t>
            </w:r>
          </w:p>
        </w:tc>
        <w:tc>
          <w:tcPr>
            <w:tcW w:w="812" w:type="pct"/>
            <w:shd w:val="clear" w:color="000000" w:fill="FFFFFF"/>
            <w:vAlign w:val="center"/>
          </w:tcPr>
          <w:p w14:paraId="474B4F5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viewable</w:t>
            </w:r>
          </w:p>
        </w:tc>
        <w:tc>
          <w:tcPr>
            <w:tcW w:w="524" w:type="pct"/>
            <w:shd w:val="clear" w:color="000000" w:fill="FFFFFF"/>
            <w:vAlign w:val="center"/>
          </w:tcPr>
          <w:p w14:paraId="2F3057D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int</w:t>
            </w:r>
          </w:p>
        </w:tc>
        <w:tc>
          <w:tcPr>
            <w:tcW w:w="534" w:type="pct"/>
            <w:shd w:val="clear" w:color="auto" w:fill="auto"/>
            <w:vAlign w:val="center"/>
          </w:tcPr>
          <w:p w14:paraId="6CA6774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493B6E2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07FED75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56971AE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7DEF55D8">
            <w:pPr>
              <w:pStyle w:val="68"/>
              <w:jc w:val="center"/>
              <w:rPr>
                <w:rFonts w:hint="eastAsia" w:ascii="宋体" w:hAnsi="宋体" w:eastAsia="宋体" w:cs="宋体"/>
                <w:sz w:val="21"/>
                <w:szCs w:val="21"/>
                <w:highlight w:val="none"/>
              </w:rPr>
            </w:pPr>
          </w:p>
        </w:tc>
      </w:tr>
      <w:tr w14:paraId="434A5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3590CC0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900" w:type="pct"/>
            <w:shd w:val="clear" w:color="000000" w:fill="FFFFFF"/>
            <w:vAlign w:val="center"/>
          </w:tcPr>
          <w:p w14:paraId="0EEFEC2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设备类型</w:t>
            </w:r>
          </w:p>
        </w:tc>
        <w:tc>
          <w:tcPr>
            <w:tcW w:w="812" w:type="pct"/>
            <w:shd w:val="clear" w:color="000000" w:fill="FFFFFF"/>
            <w:vAlign w:val="center"/>
          </w:tcPr>
          <w:p w14:paraId="254281A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device_type</w:t>
            </w:r>
          </w:p>
        </w:tc>
        <w:tc>
          <w:tcPr>
            <w:tcW w:w="524" w:type="pct"/>
            <w:shd w:val="clear" w:color="000000" w:fill="FFFFFF"/>
            <w:vAlign w:val="center"/>
          </w:tcPr>
          <w:p w14:paraId="0375EC4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int</w:t>
            </w:r>
          </w:p>
        </w:tc>
        <w:tc>
          <w:tcPr>
            <w:tcW w:w="534" w:type="pct"/>
            <w:shd w:val="clear" w:color="auto" w:fill="auto"/>
            <w:vAlign w:val="center"/>
          </w:tcPr>
          <w:p w14:paraId="5DF6CB4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5FE1D21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7546828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2D09F5F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722CFF48">
            <w:pPr>
              <w:pStyle w:val="68"/>
              <w:jc w:val="center"/>
              <w:rPr>
                <w:rFonts w:hint="eastAsia" w:ascii="宋体" w:hAnsi="宋体" w:eastAsia="宋体" w:cs="宋体"/>
                <w:sz w:val="21"/>
                <w:szCs w:val="21"/>
                <w:highlight w:val="none"/>
              </w:rPr>
            </w:pPr>
          </w:p>
        </w:tc>
      </w:tr>
      <w:tr w14:paraId="3BC3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166F757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13</w:t>
            </w:r>
          </w:p>
        </w:tc>
        <w:tc>
          <w:tcPr>
            <w:tcW w:w="900" w:type="pct"/>
            <w:shd w:val="clear" w:color="000000" w:fill="FFFFFF"/>
            <w:vAlign w:val="center"/>
          </w:tcPr>
          <w:p w14:paraId="4CFAC7F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设备来源</w:t>
            </w:r>
          </w:p>
        </w:tc>
        <w:tc>
          <w:tcPr>
            <w:tcW w:w="812" w:type="pct"/>
            <w:shd w:val="clear" w:color="000000" w:fill="FFFFFF"/>
            <w:vAlign w:val="center"/>
          </w:tcPr>
          <w:p w14:paraId="4BD58E1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device_source</w:t>
            </w:r>
          </w:p>
        </w:tc>
        <w:tc>
          <w:tcPr>
            <w:tcW w:w="524" w:type="pct"/>
            <w:shd w:val="clear" w:color="000000" w:fill="FFFFFF"/>
            <w:vAlign w:val="center"/>
          </w:tcPr>
          <w:p w14:paraId="5AB8056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int</w:t>
            </w:r>
          </w:p>
        </w:tc>
        <w:tc>
          <w:tcPr>
            <w:tcW w:w="534" w:type="pct"/>
            <w:shd w:val="clear" w:color="auto" w:fill="auto"/>
            <w:vAlign w:val="center"/>
          </w:tcPr>
          <w:p w14:paraId="60B346F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58B6145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5C37710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55F7D31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1F69E004">
            <w:pPr>
              <w:pStyle w:val="68"/>
              <w:jc w:val="center"/>
              <w:rPr>
                <w:rFonts w:hint="eastAsia" w:ascii="宋体" w:hAnsi="宋体" w:eastAsia="宋体" w:cs="宋体"/>
                <w:sz w:val="21"/>
                <w:szCs w:val="21"/>
                <w:highlight w:val="none"/>
              </w:rPr>
            </w:pPr>
          </w:p>
        </w:tc>
      </w:tr>
      <w:tr w14:paraId="063C6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5E74851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14</w:t>
            </w:r>
          </w:p>
        </w:tc>
        <w:tc>
          <w:tcPr>
            <w:tcW w:w="900" w:type="pct"/>
            <w:shd w:val="clear" w:color="000000" w:fill="FFFFFF"/>
            <w:vAlign w:val="center"/>
          </w:tcPr>
          <w:p w14:paraId="3723D7A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车辆型号</w:t>
            </w:r>
          </w:p>
        </w:tc>
        <w:tc>
          <w:tcPr>
            <w:tcW w:w="812" w:type="pct"/>
            <w:shd w:val="clear" w:color="000000" w:fill="FFFFFF"/>
            <w:vAlign w:val="center"/>
          </w:tcPr>
          <w:p w14:paraId="75159A0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vehiclemodel</w:t>
            </w:r>
          </w:p>
        </w:tc>
        <w:tc>
          <w:tcPr>
            <w:tcW w:w="524" w:type="pct"/>
            <w:shd w:val="clear" w:color="000000" w:fill="FFFFFF"/>
            <w:vAlign w:val="center"/>
          </w:tcPr>
          <w:p w14:paraId="58C3EA3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text</w:t>
            </w:r>
          </w:p>
        </w:tc>
        <w:tc>
          <w:tcPr>
            <w:tcW w:w="534" w:type="pct"/>
            <w:shd w:val="clear" w:color="auto" w:fill="auto"/>
            <w:vAlign w:val="center"/>
          </w:tcPr>
          <w:p w14:paraId="6EFE40B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2B0661F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2EE7EE8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12B7AA8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2B16014B">
            <w:pPr>
              <w:pStyle w:val="68"/>
              <w:jc w:val="center"/>
              <w:rPr>
                <w:rFonts w:hint="eastAsia" w:ascii="宋体" w:hAnsi="宋体" w:eastAsia="宋体" w:cs="宋体"/>
                <w:sz w:val="21"/>
                <w:szCs w:val="21"/>
                <w:highlight w:val="none"/>
              </w:rPr>
            </w:pPr>
          </w:p>
        </w:tc>
      </w:tr>
      <w:tr w14:paraId="48C3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55EB3C6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c>
          <w:tcPr>
            <w:tcW w:w="900" w:type="pct"/>
            <w:shd w:val="clear" w:color="000000" w:fill="FFFFFF"/>
            <w:vAlign w:val="center"/>
          </w:tcPr>
          <w:p w14:paraId="3C7A50C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电子围栏id</w:t>
            </w:r>
          </w:p>
        </w:tc>
        <w:tc>
          <w:tcPr>
            <w:tcW w:w="812" w:type="pct"/>
            <w:shd w:val="clear" w:color="000000" w:fill="FFFFFF"/>
            <w:vAlign w:val="center"/>
          </w:tcPr>
          <w:p w14:paraId="3B79D60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id</w:t>
            </w:r>
          </w:p>
        </w:tc>
        <w:tc>
          <w:tcPr>
            <w:tcW w:w="524" w:type="pct"/>
            <w:shd w:val="clear" w:color="000000" w:fill="FFFFFF"/>
            <w:vAlign w:val="center"/>
          </w:tcPr>
          <w:p w14:paraId="4C15C94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uuid</w:t>
            </w:r>
          </w:p>
        </w:tc>
        <w:tc>
          <w:tcPr>
            <w:tcW w:w="534" w:type="pct"/>
            <w:shd w:val="clear" w:color="auto" w:fill="auto"/>
            <w:vAlign w:val="center"/>
          </w:tcPr>
          <w:p w14:paraId="7AD77BB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37B2DE6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640BAA4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2E9045D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6FD490C9">
            <w:pPr>
              <w:pStyle w:val="68"/>
              <w:jc w:val="center"/>
              <w:rPr>
                <w:rFonts w:hint="eastAsia" w:ascii="宋体" w:hAnsi="宋体" w:eastAsia="宋体" w:cs="宋体"/>
                <w:sz w:val="21"/>
                <w:szCs w:val="21"/>
                <w:highlight w:val="none"/>
              </w:rPr>
            </w:pPr>
          </w:p>
        </w:tc>
      </w:tr>
      <w:tr w14:paraId="3143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0CF90A9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16</w:t>
            </w:r>
          </w:p>
        </w:tc>
        <w:tc>
          <w:tcPr>
            <w:tcW w:w="900" w:type="pct"/>
            <w:shd w:val="clear" w:color="000000" w:fill="FFFFFF"/>
            <w:vAlign w:val="center"/>
          </w:tcPr>
          <w:p w14:paraId="4918439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电子围栏名称</w:t>
            </w:r>
          </w:p>
        </w:tc>
        <w:tc>
          <w:tcPr>
            <w:tcW w:w="812" w:type="pct"/>
            <w:shd w:val="clear" w:color="000000" w:fill="FFFFFF"/>
            <w:vAlign w:val="center"/>
          </w:tcPr>
          <w:p w14:paraId="42E5873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name</w:t>
            </w:r>
          </w:p>
        </w:tc>
        <w:tc>
          <w:tcPr>
            <w:tcW w:w="524" w:type="pct"/>
            <w:shd w:val="clear" w:color="000000" w:fill="FFFFFF"/>
            <w:vAlign w:val="center"/>
          </w:tcPr>
          <w:p w14:paraId="7A812BE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text</w:t>
            </w:r>
          </w:p>
        </w:tc>
        <w:tc>
          <w:tcPr>
            <w:tcW w:w="534" w:type="pct"/>
            <w:shd w:val="clear" w:color="auto" w:fill="auto"/>
            <w:vAlign w:val="center"/>
          </w:tcPr>
          <w:p w14:paraId="487D745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0FE3FA9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3811C21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1C506FA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54D9594D">
            <w:pPr>
              <w:pStyle w:val="68"/>
              <w:jc w:val="center"/>
              <w:rPr>
                <w:rFonts w:hint="eastAsia" w:ascii="宋体" w:hAnsi="宋体" w:eastAsia="宋体" w:cs="宋体"/>
                <w:sz w:val="21"/>
                <w:szCs w:val="21"/>
                <w:highlight w:val="none"/>
              </w:rPr>
            </w:pPr>
          </w:p>
        </w:tc>
      </w:tr>
      <w:tr w14:paraId="4557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0E15D53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17</w:t>
            </w:r>
          </w:p>
        </w:tc>
        <w:tc>
          <w:tcPr>
            <w:tcW w:w="900" w:type="pct"/>
            <w:shd w:val="clear" w:color="000000" w:fill="FFFFFF"/>
            <w:vAlign w:val="center"/>
          </w:tcPr>
          <w:p w14:paraId="76A2382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电子围栏区域</w:t>
            </w:r>
          </w:p>
        </w:tc>
        <w:tc>
          <w:tcPr>
            <w:tcW w:w="812" w:type="pct"/>
            <w:shd w:val="clear" w:color="000000" w:fill="FFFFFF"/>
            <w:vAlign w:val="center"/>
          </w:tcPr>
          <w:p w14:paraId="485257A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area</w:t>
            </w:r>
          </w:p>
        </w:tc>
        <w:tc>
          <w:tcPr>
            <w:tcW w:w="524" w:type="pct"/>
            <w:shd w:val="clear" w:color="000000" w:fill="FFFFFF"/>
            <w:vAlign w:val="center"/>
          </w:tcPr>
          <w:p w14:paraId="19F9E08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geometry(Polygon)</w:t>
            </w:r>
          </w:p>
        </w:tc>
        <w:tc>
          <w:tcPr>
            <w:tcW w:w="534" w:type="pct"/>
            <w:shd w:val="clear" w:color="auto" w:fill="auto"/>
            <w:vAlign w:val="center"/>
          </w:tcPr>
          <w:p w14:paraId="2226CD9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45A9148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0286867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7DE17F3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4EDB123D">
            <w:pPr>
              <w:pStyle w:val="68"/>
              <w:jc w:val="center"/>
              <w:rPr>
                <w:rFonts w:hint="eastAsia" w:ascii="宋体" w:hAnsi="宋体" w:eastAsia="宋体" w:cs="宋体"/>
                <w:sz w:val="21"/>
                <w:szCs w:val="21"/>
                <w:highlight w:val="none"/>
              </w:rPr>
            </w:pPr>
          </w:p>
        </w:tc>
      </w:tr>
      <w:tr w14:paraId="1F21E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4D84519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18</w:t>
            </w:r>
          </w:p>
        </w:tc>
        <w:tc>
          <w:tcPr>
            <w:tcW w:w="900" w:type="pct"/>
            <w:shd w:val="clear" w:color="000000" w:fill="FFFFFF"/>
            <w:vAlign w:val="center"/>
          </w:tcPr>
          <w:p w14:paraId="683A8EF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限制速度</w:t>
            </w:r>
          </w:p>
        </w:tc>
        <w:tc>
          <w:tcPr>
            <w:tcW w:w="812" w:type="pct"/>
            <w:shd w:val="clear" w:color="000000" w:fill="FFFFFF"/>
            <w:vAlign w:val="center"/>
          </w:tcPr>
          <w:p w14:paraId="298C027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limit_speed</w:t>
            </w:r>
          </w:p>
        </w:tc>
        <w:tc>
          <w:tcPr>
            <w:tcW w:w="524" w:type="pct"/>
            <w:shd w:val="clear" w:color="000000" w:fill="FFFFFF"/>
            <w:vAlign w:val="center"/>
          </w:tcPr>
          <w:p w14:paraId="7B47231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double</w:t>
            </w:r>
          </w:p>
        </w:tc>
        <w:tc>
          <w:tcPr>
            <w:tcW w:w="534" w:type="pct"/>
            <w:shd w:val="clear" w:color="auto" w:fill="auto"/>
            <w:vAlign w:val="center"/>
          </w:tcPr>
          <w:p w14:paraId="7319E20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4300002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7211BBA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2D5871A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350BC218">
            <w:pPr>
              <w:pStyle w:val="68"/>
              <w:jc w:val="center"/>
              <w:rPr>
                <w:rFonts w:hint="eastAsia" w:ascii="宋体" w:hAnsi="宋体" w:eastAsia="宋体" w:cs="宋体"/>
                <w:sz w:val="21"/>
                <w:szCs w:val="21"/>
                <w:highlight w:val="none"/>
              </w:rPr>
            </w:pPr>
          </w:p>
        </w:tc>
      </w:tr>
      <w:tr w14:paraId="2EFD5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73351ED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19</w:t>
            </w:r>
          </w:p>
        </w:tc>
        <w:tc>
          <w:tcPr>
            <w:tcW w:w="900" w:type="pct"/>
            <w:shd w:val="clear" w:color="000000" w:fill="FFFFFF"/>
            <w:vAlign w:val="center"/>
          </w:tcPr>
          <w:p w14:paraId="57ED84E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所属机场</w:t>
            </w:r>
          </w:p>
        </w:tc>
        <w:tc>
          <w:tcPr>
            <w:tcW w:w="812" w:type="pct"/>
            <w:shd w:val="clear" w:color="000000" w:fill="FFFFFF"/>
            <w:vAlign w:val="center"/>
          </w:tcPr>
          <w:p w14:paraId="4E0FBD5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posowner</w:t>
            </w:r>
          </w:p>
        </w:tc>
        <w:tc>
          <w:tcPr>
            <w:tcW w:w="524" w:type="pct"/>
            <w:shd w:val="clear" w:color="000000" w:fill="FFFFFF"/>
            <w:vAlign w:val="center"/>
          </w:tcPr>
          <w:p w14:paraId="4CDEF03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text</w:t>
            </w:r>
          </w:p>
        </w:tc>
        <w:tc>
          <w:tcPr>
            <w:tcW w:w="534" w:type="pct"/>
            <w:shd w:val="clear" w:color="auto" w:fill="auto"/>
            <w:vAlign w:val="center"/>
          </w:tcPr>
          <w:p w14:paraId="1FB270B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1B9B8E5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39B0D30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4F9DC16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7211C69D">
            <w:pPr>
              <w:pStyle w:val="68"/>
              <w:jc w:val="center"/>
              <w:rPr>
                <w:rFonts w:hint="eastAsia" w:ascii="宋体" w:hAnsi="宋体" w:eastAsia="宋体" w:cs="宋体"/>
                <w:sz w:val="21"/>
                <w:szCs w:val="21"/>
                <w:highlight w:val="none"/>
              </w:rPr>
            </w:pPr>
          </w:p>
        </w:tc>
      </w:tr>
      <w:tr w14:paraId="1DB5F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48F2801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900" w:type="pct"/>
            <w:shd w:val="clear" w:color="000000" w:fill="FFFFFF"/>
            <w:vAlign w:val="center"/>
          </w:tcPr>
          <w:p w14:paraId="1A28AFA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是否可见</w:t>
            </w:r>
          </w:p>
        </w:tc>
        <w:tc>
          <w:tcPr>
            <w:tcW w:w="812" w:type="pct"/>
            <w:shd w:val="clear" w:color="000000" w:fill="FFFFFF"/>
            <w:vAlign w:val="center"/>
          </w:tcPr>
          <w:p w14:paraId="25E73D1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visible</w:t>
            </w:r>
          </w:p>
        </w:tc>
        <w:tc>
          <w:tcPr>
            <w:tcW w:w="524" w:type="pct"/>
            <w:shd w:val="clear" w:color="000000" w:fill="FFFFFF"/>
            <w:vAlign w:val="center"/>
          </w:tcPr>
          <w:p w14:paraId="332031C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boolean</w:t>
            </w:r>
          </w:p>
        </w:tc>
        <w:tc>
          <w:tcPr>
            <w:tcW w:w="534" w:type="pct"/>
            <w:shd w:val="clear" w:color="auto" w:fill="auto"/>
            <w:vAlign w:val="center"/>
          </w:tcPr>
          <w:p w14:paraId="7522EB5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57AA99E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46E0241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1FD55E0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5784D396">
            <w:pPr>
              <w:pStyle w:val="68"/>
              <w:jc w:val="center"/>
              <w:rPr>
                <w:rFonts w:hint="eastAsia" w:ascii="宋体" w:hAnsi="宋体" w:eastAsia="宋体" w:cs="宋体"/>
                <w:sz w:val="21"/>
                <w:szCs w:val="21"/>
                <w:highlight w:val="none"/>
              </w:rPr>
            </w:pPr>
          </w:p>
        </w:tc>
      </w:tr>
      <w:tr w14:paraId="64F2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6A1016B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w:t>
            </w:r>
          </w:p>
        </w:tc>
        <w:tc>
          <w:tcPr>
            <w:tcW w:w="900" w:type="pct"/>
            <w:shd w:val="clear" w:color="000000" w:fill="FFFFFF"/>
            <w:vAlign w:val="center"/>
          </w:tcPr>
          <w:p w14:paraId="06438FD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部门</w:t>
            </w:r>
          </w:p>
        </w:tc>
        <w:tc>
          <w:tcPr>
            <w:tcW w:w="812" w:type="pct"/>
            <w:shd w:val="clear" w:color="000000" w:fill="FFFFFF"/>
            <w:vAlign w:val="center"/>
          </w:tcPr>
          <w:p w14:paraId="68F1270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depts</w:t>
            </w:r>
          </w:p>
        </w:tc>
        <w:tc>
          <w:tcPr>
            <w:tcW w:w="524" w:type="pct"/>
            <w:shd w:val="clear" w:color="000000" w:fill="FFFFFF"/>
            <w:vAlign w:val="center"/>
          </w:tcPr>
          <w:p w14:paraId="067248A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text</w:t>
            </w:r>
          </w:p>
        </w:tc>
        <w:tc>
          <w:tcPr>
            <w:tcW w:w="534" w:type="pct"/>
            <w:shd w:val="clear" w:color="auto" w:fill="auto"/>
            <w:vAlign w:val="center"/>
          </w:tcPr>
          <w:p w14:paraId="6959E8B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39426BB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442BD34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6056202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631CDA60">
            <w:pPr>
              <w:pStyle w:val="68"/>
              <w:jc w:val="center"/>
              <w:rPr>
                <w:rFonts w:hint="eastAsia" w:ascii="宋体" w:hAnsi="宋体" w:eastAsia="宋体" w:cs="宋体"/>
                <w:sz w:val="21"/>
                <w:szCs w:val="21"/>
                <w:highlight w:val="none"/>
              </w:rPr>
            </w:pPr>
          </w:p>
        </w:tc>
      </w:tr>
      <w:tr w14:paraId="28C35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45B33B7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w:t>
            </w:r>
          </w:p>
        </w:tc>
        <w:tc>
          <w:tcPr>
            <w:tcW w:w="900" w:type="pct"/>
            <w:shd w:val="clear" w:color="000000" w:fill="FFFFFF"/>
            <w:vAlign w:val="center"/>
          </w:tcPr>
          <w:p w14:paraId="07FC96A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车辆类型</w:t>
            </w:r>
          </w:p>
        </w:tc>
        <w:tc>
          <w:tcPr>
            <w:tcW w:w="812" w:type="pct"/>
            <w:shd w:val="clear" w:color="000000" w:fill="FFFFFF"/>
            <w:vAlign w:val="center"/>
          </w:tcPr>
          <w:p w14:paraId="002D33E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types</w:t>
            </w:r>
          </w:p>
        </w:tc>
        <w:tc>
          <w:tcPr>
            <w:tcW w:w="524" w:type="pct"/>
            <w:shd w:val="clear" w:color="000000" w:fill="FFFFFF"/>
            <w:vAlign w:val="center"/>
          </w:tcPr>
          <w:p w14:paraId="612D029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text</w:t>
            </w:r>
          </w:p>
        </w:tc>
        <w:tc>
          <w:tcPr>
            <w:tcW w:w="534" w:type="pct"/>
            <w:shd w:val="clear" w:color="auto" w:fill="auto"/>
            <w:vAlign w:val="center"/>
          </w:tcPr>
          <w:p w14:paraId="16C8C38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2F02F40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1F57A6E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00AAABE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2E91C1C4">
            <w:pPr>
              <w:pStyle w:val="68"/>
              <w:jc w:val="center"/>
              <w:rPr>
                <w:rFonts w:hint="eastAsia" w:ascii="宋体" w:hAnsi="宋体" w:eastAsia="宋体" w:cs="宋体"/>
                <w:sz w:val="21"/>
                <w:szCs w:val="21"/>
                <w:highlight w:val="none"/>
              </w:rPr>
            </w:pPr>
          </w:p>
        </w:tc>
      </w:tr>
      <w:tr w14:paraId="2374C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69109DE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23</w:t>
            </w:r>
          </w:p>
        </w:tc>
        <w:tc>
          <w:tcPr>
            <w:tcW w:w="900" w:type="pct"/>
            <w:shd w:val="clear" w:color="000000" w:fill="FFFFFF"/>
            <w:vAlign w:val="center"/>
          </w:tcPr>
          <w:p w14:paraId="3D87CDE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围栏类型</w:t>
            </w:r>
          </w:p>
        </w:tc>
        <w:tc>
          <w:tcPr>
            <w:tcW w:w="812" w:type="pct"/>
            <w:shd w:val="clear" w:color="000000" w:fill="FFFFFF"/>
            <w:vAlign w:val="center"/>
          </w:tcPr>
          <w:p w14:paraId="1DF3D51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area_type</w:t>
            </w:r>
          </w:p>
        </w:tc>
        <w:tc>
          <w:tcPr>
            <w:tcW w:w="524" w:type="pct"/>
            <w:shd w:val="clear" w:color="000000" w:fill="FFFFFF"/>
            <w:vAlign w:val="center"/>
          </w:tcPr>
          <w:p w14:paraId="2E41AA1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int</w:t>
            </w:r>
          </w:p>
        </w:tc>
        <w:tc>
          <w:tcPr>
            <w:tcW w:w="534" w:type="pct"/>
            <w:shd w:val="clear" w:color="auto" w:fill="auto"/>
            <w:vAlign w:val="center"/>
          </w:tcPr>
          <w:p w14:paraId="2827280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0138193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602C506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1F15A88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1CEF4D4A">
            <w:pPr>
              <w:pStyle w:val="68"/>
              <w:jc w:val="center"/>
              <w:rPr>
                <w:rFonts w:hint="eastAsia" w:ascii="宋体" w:hAnsi="宋体" w:eastAsia="宋体" w:cs="宋体"/>
                <w:sz w:val="21"/>
                <w:szCs w:val="21"/>
                <w:highlight w:val="none"/>
              </w:rPr>
            </w:pPr>
          </w:p>
        </w:tc>
      </w:tr>
      <w:tr w14:paraId="2F4F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523249B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24</w:t>
            </w:r>
          </w:p>
        </w:tc>
        <w:tc>
          <w:tcPr>
            <w:tcW w:w="900" w:type="pct"/>
            <w:shd w:val="clear" w:color="000000" w:fill="FFFFFF"/>
            <w:vAlign w:val="center"/>
          </w:tcPr>
          <w:p w14:paraId="6E41BF0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围栏属性</w:t>
            </w:r>
          </w:p>
        </w:tc>
        <w:tc>
          <w:tcPr>
            <w:tcW w:w="812" w:type="pct"/>
            <w:shd w:val="clear" w:color="000000" w:fill="FFFFFF"/>
            <w:vAlign w:val="center"/>
          </w:tcPr>
          <w:p w14:paraId="6B49499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area_prop</w:t>
            </w:r>
          </w:p>
        </w:tc>
        <w:tc>
          <w:tcPr>
            <w:tcW w:w="524" w:type="pct"/>
            <w:shd w:val="clear" w:color="000000" w:fill="FFFFFF"/>
            <w:vAlign w:val="center"/>
          </w:tcPr>
          <w:p w14:paraId="75987FD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int</w:t>
            </w:r>
          </w:p>
        </w:tc>
        <w:tc>
          <w:tcPr>
            <w:tcW w:w="534" w:type="pct"/>
            <w:shd w:val="clear" w:color="auto" w:fill="auto"/>
            <w:vAlign w:val="center"/>
          </w:tcPr>
          <w:p w14:paraId="766E3E0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w:t>
            </w:r>
          </w:p>
        </w:tc>
        <w:tc>
          <w:tcPr>
            <w:tcW w:w="393" w:type="pct"/>
            <w:shd w:val="clear" w:color="auto" w:fill="auto"/>
            <w:vAlign w:val="center"/>
          </w:tcPr>
          <w:p w14:paraId="7E4EF01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355E19F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76180B8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其他</w:t>
            </w:r>
          </w:p>
        </w:tc>
        <w:tc>
          <w:tcPr>
            <w:tcW w:w="428" w:type="pct"/>
            <w:vMerge w:val="continue"/>
            <w:shd w:val="clear" w:color="auto" w:fill="auto"/>
            <w:vAlign w:val="center"/>
          </w:tcPr>
          <w:p w14:paraId="137FF7BE">
            <w:pPr>
              <w:pStyle w:val="68"/>
              <w:jc w:val="center"/>
              <w:rPr>
                <w:rFonts w:hint="eastAsia" w:ascii="宋体" w:hAnsi="宋体" w:eastAsia="宋体" w:cs="宋体"/>
                <w:sz w:val="21"/>
                <w:szCs w:val="21"/>
                <w:highlight w:val="none"/>
              </w:rPr>
            </w:pPr>
          </w:p>
        </w:tc>
      </w:tr>
      <w:tr w14:paraId="5133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2856E0D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900" w:type="pct"/>
            <w:shd w:val="clear" w:color="000000" w:fill="FFFFFF"/>
            <w:vAlign w:val="center"/>
          </w:tcPr>
          <w:p w14:paraId="27FBE7A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每日陆侧停车信息</w:t>
            </w:r>
          </w:p>
        </w:tc>
        <w:tc>
          <w:tcPr>
            <w:tcW w:w="812" w:type="pct"/>
            <w:shd w:val="clear" w:color="000000" w:fill="FFFFFF"/>
            <w:vAlign w:val="center"/>
          </w:tcPr>
          <w:p w14:paraId="05F1D15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日期、出租车班次、网约车班次、最大停车量、航班量、承载出行人数（预估）</w:t>
            </w:r>
          </w:p>
        </w:tc>
        <w:tc>
          <w:tcPr>
            <w:tcW w:w="524" w:type="pct"/>
            <w:shd w:val="clear" w:color="000000" w:fill="FFFFFF"/>
            <w:vAlign w:val="center"/>
          </w:tcPr>
          <w:p w14:paraId="28F81BB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字符串</w:t>
            </w:r>
          </w:p>
        </w:tc>
        <w:tc>
          <w:tcPr>
            <w:tcW w:w="534" w:type="pct"/>
            <w:shd w:val="clear" w:color="auto" w:fill="auto"/>
            <w:vAlign w:val="center"/>
          </w:tcPr>
          <w:p w14:paraId="514C2F0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72B4B01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18D4B4C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33272BC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restart"/>
            <w:shd w:val="clear" w:color="auto" w:fill="auto"/>
            <w:vAlign w:val="center"/>
          </w:tcPr>
          <w:p w14:paraId="00C6443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机场智能交通管理系统</w:t>
            </w:r>
          </w:p>
        </w:tc>
      </w:tr>
      <w:tr w14:paraId="624A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41FB323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900" w:type="pct"/>
            <w:shd w:val="clear" w:color="000000" w:fill="FFFFFF"/>
            <w:vAlign w:val="center"/>
          </w:tcPr>
          <w:p w14:paraId="5CC2F73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实时陆侧交通预警信息</w:t>
            </w:r>
          </w:p>
        </w:tc>
        <w:tc>
          <w:tcPr>
            <w:tcW w:w="812" w:type="pct"/>
            <w:shd w:val="clear" w:color="000000" w:fill="FFFFFF"/>
            <w:vAlign w:val="center"/>
          </w:tcPr>
          <w:p w14:paraId="3E930DD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日期时间、状态、预警对象、处置状态</w:t>
            </w:r>
          </w:p>
        </w:tc>
        <w:tc>
          <w:tcPr>
            <w:tcW w:w="524" w:type="pct"/>
            <w:shd w:val="clear" w:color="000000" w:fill="FFFFFF"/>
            <w:vAlign w:val="center"/>
          </w:tcPr>
          <w:p w14:paraId="2A87AE0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字符串</w:t>
            </w:r>
          </w:p>
        </w:tc>
        <w:tc>
          <w:tcPr>
            <w:tcW w:w="534" w:type="pct"/>
            <w:shd w:val="clear" w:color="auto" w:fill="auto"/>
            <w:vAlign w:val="center"/>
          </w:tcPr>
          <w:p w14:paraId="322D0F9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05BC497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235BD8E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159D4BB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4E6DB877">
            <w:pPr>
              <w:pStyle w:val="68"/>
              <w:jc w:val="center"/>
              <w:rPr>
                <w:rFonts w:hint="eastAsia" w:ascii="宋体" w:hAnsi="宋体" w:eastAsia="宋体" w:cs="宋体"/>
                <w:sz w:val="21"/>
                <w:szCs w:val="21"/>
                <w:highlight w:val="none"/>
              </w:rPr>
            </w:pPr>
          </w:p>
        </w:tc>
      </w:tr>
      <w:tr w14:paraId="39C2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6137E32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900" w:type="pct"/>
            <w:shd w:val="clear" w:color="000000" w:fill="FFFFFF"/>
            <w:vAlign w:val="center"/>
          </w:tcPr>
          <w:p w14:paraId="38135BD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出租车机场每日运营信息</w:t>
            </w:r>
          </w:p>
        </w:tc>
        <w:tc>
          <w:tcPr>
            <w:tcW w:w="812" w:type="pct"/>
            <w:shd w:val="clear" w:color="000000" w:fill="FFFFFF"/>
            <w:vAlign w:val="center"/>
          </w:tcPr>
          <w:p w14:paraId="59B711C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日期、趟次、平均蓄车时长、平均单车趟次</w:t>
            </w:r>
          </w:p>
        </w:tc>
        <w:tc>
          <w:tcPr>
            <w:tcW w:w="524" w:type="pct"/>
            <w:shd w:val="clear" w:color="000000" w:fill="FFFFFF"/>
            <w:vAlign w:val="center"/>
          </w:tcPr>
          <w:p w14:paraId="5F330FB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字符串</w:t>
            </w:r>
          </w:p>
        </w:tc>
        <w:tc>
          <w:tcPr>
            <w:tcW w:w="534" w:type="pct"/>
            <w:shd w:val="clear" w:color="auto" w:fill="auto"/>
            <w:vAlign w:val="center"/>
          </w:tcPr>
          <w:p w14:paraId="44EE86F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0DBCA75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196DA1B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1DE261F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10D440AE">
            <w:pPr>
              <w:pStyle w:val="68"/>
              <w:jc w:val="center"/>
              <w:rPr>
                <w:rFonts w:hint="eastAsia" w:ascii="宋体" w:hAnsi="宋体" w:eastAsia="宋体" w:cs="宋体"/>
                <w:sz w:val="21"/>
                <w:szCs w:val="21"/>
                <w:highlight w:val="none"/>
              </w:rPr>
            </w:pPr>
          </w:p>
        </w:tc>
      </w:tr>
      <w:tr w14:paraId="1AE42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66D7597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900" w:type="pct"/>
            <w:shd w:val="clear" w:color="000000" w:fill="FFFFFF"/>
            <w:vAlign w:val="center"/>
          </w:tcPr>
          <w:p w14:paraId="6E8FC2C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网约车机场每日运营信息</w:t>
            </w:r>
          </w:p>
        </w:tc>
        <w:tc>
          <w:tcPr>
            <w:tcW w:w="812" w:type="pct"/>
            <w:shd w:val="clear" w:color="000000" w:fill="FFFFFF"/>
            <w:vAlign w:val="center"/>
          </w:tcPr>
          <w:p w14:paraId="1C3148D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日期、趟次、平均等待时间、接客单量、单车平均单量、空车量</w:t>
            </w:r>
          </w:p>
        </w:tc>
        <w:tc>
          <w:tcPr>
            <w:tcW w:w="524" w:type="pct"/>
            <w:shd w:val="clear" w:color="000000" w:fill="FFFFFF"/>
            <w:vAlign w:val="center"/>
          </w:tcPr>
          <w:p w14:paraId="29C4C25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字符串</w:t>
            </w:r>
          </w:p>
        </w:tc>
        <w:tc>
          <w:tcPr>
            <w:tcW w:w="534" w:type="pct"/>
            <w:shd w:val="clear" w:color="auto" w:fill="auto"/>
            <w:vAlign w:val="center"/>
          </w:tcPr>
          <w:p w14:paraId="7C5F5F3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71D486E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01479E7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3395FEC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1C5C4588">
            <w:pPr>
              <w:pStyle w:val="68"/>
              <w:jc w:val="center"/>
              <w:rPr>
                <w:rFonts w:hint="eastAsia" w:ascii="宋体" w:hAnsi="宋体" w:eastAsia="宋体" w:cs="宋体"/>
                <w:sz w:val="21"/>
                <w:szCs w:val="21"/>
                <w:highlight w:val="none"/>
              </w:rPr>
            </w:pPr>
          </w:p>
        </w:tc>
      </w:tr>
      <w:tr w14:paraId="3A5DB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3F02600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900" w:type="pct"/>
            <w:shd w:val="clear" w:color="000000" w:fill="FFFFFF"/>
            <w:vAlign w:val="center"/>
          </w:tcPr>
          <w:p w14:paraId="592AB62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出租网约车行为规范评分</w:t>
            </w:r>
          </w:p>
        </w:tc>
        <w:tc>
          <w:tcPr>
            <w:tcW w:w="812" w:type="pct"/>
            <w:shd w:val="clear" w:color="000000" w:fill="FFFFFF"/>
            <w:vAlign w:val="center"/>
          </w:tcPr>
          <w:p w14:paraId="569B1B4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车牌号、类型、当前得分、更新日期</w:t>
            </w:r>
          </w:p>
        </w:tc>
        <w:tc>
          <w:tcPr>
            <w:tcW w:w="524" w:type="pct"/>
            <w:shd w:val="clear" w:color="000000" w:fill="FFFFFF"/>
            <w:vAlign w:val="center"/>
          </w:tcPr>
          <w:p w14:paraId="17738C6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字符串</w:t>
            </w:r>
          </w:p>
        </w:tc>
        <w:tc>
          <w:tcPr>
            <w:tcW w:w="534" w:type="pct"/>
            <w:shd w:val="clear" w:color="auto" w:fill="auto"/>
            <w:vAlign w:val="center"/>
          </w:tcPr>
          <w:p w14:paraId="46DF0C8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75F1B76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55166C2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5840A7D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437353AC">
            <w:pPr>
              <w:pStyle w:val="68"/>
              <w:jc w:val="center"/>
              <w:rPr>
                <w:rFonts w:hint="eastAsia" w:ascii="宋体" w:hAnsi="宋体" w:eastAsia="宋体" w:cs="宋体"/>
                <w:sz w:val="21"/>
                <w:szCs w:val="21"/>
                <w:highlight w:val="none"/>
              </w:rPr>
            </w:pPr>
          </w:p>
        </w:tc>
      </w:tr>
      <w:tr w14:paraId="3AA96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384D6880">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900" w:type="pct"/>
            <w:shd w:val="clear" w:color="000000" w:fill="FFFFFF"/>
            <w:vAlign w:val="center"/>
          </w:tcPr>
          <w:p w14:paraId="0CAECF7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实时陆侧接客视频</w:t>
            </w:r>
          </w:p>
        </w:tc>
        <w:tc>
          <w:tcPr>
            <w:tcW w:w="812" w:type="pct"/>
            <w:shd w:val="clear" w:color="000000" w:fill="FFFFFF"/>
            <w:vAlign w:val="center"/>
          </w:tcPr>
          <w:p w14:paraId="2958ECD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视频点、视频地址</w:t>
            </w:r>
          </w:p>
        </w:tc>
        <w:tc>
          <w:tcPr>
            <w:tcW w:w="524" w:type="pct"/>
            <w:shd w:val="clear" w:color="000000" w:fill="FFFFFF"/>
            <w:vAlign w:val="center"/>
          </w:tcPr>
          <w:p w14:paraId="5382657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字符串</w:t>
            </w:r>
          </w:p>
        </w:tc>
        <w:tc>
          <w:tcPr>
            <w:tcW w:w="534" w:type="pct"/>
            <w:shd w:val="clear" w:color="auto" w:fill="auto"/>
            <w:vAlign w:val="center"/>
          </w:tcPr>
          <w:p w14:paraId="4C7C82D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5FB54E4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498996A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3E660EE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6C560277">
            <w:pPr>
              <w:pStyle w:val="68"/>
              <w:jc w:val="center"/>
              <w:rPr>
                <w:rFonts w:hint="eastAsia" w:ascii="宋体" w:hAnsi="宋体" w:eastAsia="宋体" w:cs="宋体"/>
                <w:sz w:val="21"/>
                <w:szCs w:val="21"/>
                <w:highlight w:val="none"/>
              </w:rPr>
            </w:pPr>
          </w:p>
        </w:tc>
      </w:tr>
      <w:tr w14:paraId="4F70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10DD218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900" w:type="pct"/>
            <w:shd w:val="clear" w:color="000000" w:fill="FFFFFF"/>
            <w:vAlign w:val="center"/>
          </w:tcPr>
          <w:p w14:paraId="0E5C0752">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机场陆侧异常事件通报清单</w:t>
            </w:r>
          </w:p>
        </w:tc>
        <w:tc>
          <w:tcPr>
            <w:tcW w:w="812" w:type="pct"/>
            <w:shd w:val="clear" w:color="000000" w:fill="FFFFFF"/>
            <w:vAlign w:val="center"/>
          </w:tcPr>
          <w:p w14:paraId="7B918F0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日期、时间、描述、状态、处置结果</w:t>
            </w:r>
          </w:p>
        </w:tc>
        <w:tc>
          <w:tcPr>
            <w:tcW w:w="524" w:type="pct"/>
            <w:shd w:val="clear" w:color="000000" w:fill="FFFFFF"/>
            <w:vAlign w:val="center"/>
          </w:tcPr>
          <w:p w14:paraId="1A281EB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字符串</w:t>
            </w:r>
          </w:p>
        </w:tc>
        <w:tc>
          <w:tcPr>
            <w:tcW w:w="534" w:type="pct"/>
            <w:shd w:val="clear" w:color="auto" w:fill="auto"/>
            <w:vAlign w:val="center"/>
          </w:tcPr>
          <w:p w14:paraId="102FF86D">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1B5A372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6F03A16C">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7954918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3C6024CA">
            <w:pPr>
              <w:pStyle w:val="68"/>
              <w:jc w:val="center"/>
              <w:rPr>
                <w:rFonts w:hint="eastAsia" w:ascii="宋体" w:hAnsi="宋体" w:eastAsia="宋体" w:cs="宋体"/>
                <w:sz w:val="21"/>
                <w:szCs w:val="21"/>
                <w:highlight w:val="none"/>
              </w:rPr>
            </w:pPr>
          </w:p>
        </w:tc>
      </w:tr>
      <w:tr w14:paraId="7B823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33" w:type="pct"/>
            <w:shd w:val="clear" w:color="auto" w:fill="auto"/>
            <w:vAlign w:val="center"/>
          </w:tcPr>
          <w:p w14:paraId="1BDA80D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900" w:type="pct"/>
            <w:shd w:val="clear" w:color="000000" w:fill="FFFFFF"/>
            <w:vAlign w:val="center"/>
          </w:tcPr>
          <w:p w14:paraId="288E8A8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机场陆侧交通预警信息</w:t>
            </w:r>
          </w:p>
        </w:tc>
        <w:tc>
          <w:tcPr>
            <w:tcW w:w="812" w:type="pct"/>
            <w:shd w:val="clear" w:color="000000" w:fill="FFFFFF"/>
            <w:vAlign w:val="center"/>
          </w:tcPr>
          <w:p w14:paraId="7F66557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日期、时间、预警类型、预警对象</w:t>
            </w:r>
          </w:p>
        </w:tc>
        <w:tc>
          <w:tcPr>
            <w:tcW w:w="524" w:type="pct"/>
            <w:shd w:val="clear" w:color="000000" w:fill="FFFFFF"/>
            <w:vAlign w:val="center"/>
          </w:tcPr>
          <w:p w14:paraId="13EA3F1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字符串</w:t>
            </w:r>
          </w:p>
        </w:tc>
        <w:tc>
          <w:tcPr>
            <w:tcW w:w="534" w:type="pct"/>
            <w:shd w:val="clear" w:color="auto" w:fill="auto"/>
            <w:vAlign w:val="center"/>
          </w:tcPr>
          <w:p w14:paraId="1C83A62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有条件共享</w:t>
            </w:r>
          </w:p>
        </w:tc>
        <w:tc>
          <w:tcPr>
            <w:tcW w:w="393" w:type="pct"/>
            <w:shd w:val="clear" w:color="auto" w:fill="auto"/>
            <w:vAlign w:val="center"/>
          </w:tcPr>
          <w:p w14:paraId="018B157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469" w:type="pct"/>
            <w:shd w:val="clear" w:color="auto" w:fill="auto"/>
            <w:vAlign w:val="center"/>
          </w:tcPr>
          <w:p w14:paraId="4FC35F8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否</w:t>
            </w:r>
          </w:p>
        </w:tc>
        <w:tc>
          <w:tcPr>
            <w:tcW w:w="503" w:type="pct"/>
            <w:shd w:val="clear" w:color="auto" w:fill="auto"/>
            <w:vAlign w:val="center"/>
          </w:tcPr>
          <w:p w14:paraId="1533B99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428" w:type="pct"/>
            <w:vMerge w:val="continue"/>
            <w:shd w:val="clear" w:color="auto" w:fill="auto"/>
            <w:vAlign w:val="center"/>
          </w:tcPr>
          <w:p w14:paraId="7C62F5F2">
            <w:pPr>
              <w:pStyle w:val="68"/>
              <w:jc w:val="center"/>
              <w:rPr>
                <w:rFonts w:hint="eastAsia" w:ascii="宋体" w:hAnsi="宋体" w:eastAsia="宋体" w:cs="宋体"/>
                <w:sz w:val="21"/>
                <w:szCs w:val="21"/>
                <w:highlight w:val="none"/>
              </w:rPr>
            </w:pPr>
          </w:p>
        </w:tc>
      </w:tr>
    </w:tbl>
    <w:p w14:paraId="4CC282C1">
      <w:pPr>
        <w:ind w:firstLine="0" w:firstLineChars="0"/>
        <w:rPr>
          <w:highlight w:val="none"/>
        </w:rPr>
      </w:pPr>
    </w:p>
    <w:p w14:paraId="5D1EF35D">
      <w:pPr>
        <w:pStyle w:val="4"/>
        <w:numPr>
          <w:ilvl w:val="2"/>
          <w:numId w:val="0"/>
        </w:numPr>
        <w:bidi w:val="0"/>
        <w:ind w:leftChars="0"/>
        <w:rPr>
          <w:rFonts w:hint="eastAsia"/>
          <w:highlight w:val="none"/>
        </w:rPr>
      </w:pPr>
      <w:bookmarkStart w:id="323" w:name="_Toc2873"/>
      <w:bookmarkStart w:id="324" w:name="_Toc31877"/>
      <w:bookmarkStart w:id="325" w:name="_Toc14946"/>
      <w:bookmarkStart w:id="326" w:name="_Toc238"/>
      <w:bookmarkStart w:id="327" w:name="_Toc13137"/>
      <w:bookmarkStart w:id="328" w:name="_Toc18791"/>
      <w:bookmarkStart w:id="329" w:name="_Toc20469"/>
      <w:bookmarkStart w:id="330" w:name="_Toc3308"/>
      <w:bookmarkStart w:id="331" w:name="_Toc24523"/>
      <w:bookmarkStart w:id="332" w:name="_Toc3817"/>
      <w:bookmarkStart w:id="333" w:name="_Toc27193"/>
      <w:r>
        <w:rPr>
          <w:rFonts w:hint="eastAsia"/>
          <w:highlight w:val="none"/>
          <w:lang w:val="en-US" w:eastAsia="zh-CN"/>
        </w:rPr>
        <w:t xml:space="preserve">附件2 </w:t>
      </w:r>
      <w:r>
        <w:rPr>
          <w:rFonts w:hint="eastAsia"/>
          <w:highlight w:val="none"/>
        </w:rPr>
        <w:t>所需外部信息资源目录表</w:t>
      </w:r>
      <w:bookmarkEnd w:id="323"/>
      <w:bookmarkEnd w:id="324"/>
      <w:bookmarkEnd w:id="325"/>
      <w:bookmarkEnd w:id="326"/>
      <w:bookmarkEnd w:id="327"/>
      <w:bookmarkEnd w:id="328"/>
      <w:bookmarkEnd w:id="329"/>
      <w:bookmarkEnd w:id="330"/>
      <w:bookmarkEnd w:id="331"/>
      <w:bookmarkEnd w:id="332"/>
      <w:bookmarkEnd w:id="333"/>
    </w:p>
    <w:p w14:paraId="076B1B0B">
      <w:pPr>
        <w:pStyle w:val="65"/>
        <w:rPr>
          <w:highlight w:val="none"/>
        </w:rPr>
      </w:pPr>
      <w:r>
        <w:rPr>
          <w:rFonts w:hint="eastAsia"/>
          <w:highlight w:val="none"/>
        </w:rPr>
        <w:t>本期项目所需外部数据资源目录表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627"/>
        <w:gridCol w:w="1625"/>
        <w:gridCol w:w="1184"/>
        <w:gridCol w:w="1184"/>
        <w:gridCol w:w="1627"/>
        <w:gridCol w:w="1334"/>
      </w:tblGrid>
      <w:tr w14:paraId="5077F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0" w:type="pct"/>
            <w:vAlign w:val="center"/>
          </w:tcPr>
          <w:p w14:paraId="32F929D2">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875" w:type="pct"/>
            <w:vAlign w:val="center"/>
          </w:tcPr>
          <w:p w14:paraId="1BC6394E">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数据资源名称</w:t>
            </w:r>
          </w:p>
        </w:tc>
        <w:tc>
          <w:tcPr>
            <w:tcW w:w="874" w:type="pct"/>
            <w:vAlign w:val="center"/>
          </w:tcPr>
          <w:p w14:paraId="1E911AE9">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数据资源项（字段名称）</w:t>
            </w:r>
          </w:p>
        </w:tc>
        <w:tc>
          <w:tcPr>
            <w:tcW w:w="637" w:type="pct"/>
            <w:vAlign w:val="center"/>
          </w:tcPr>
          <w:p w14:paraId="3FC2319D">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来源部门</w:t>
            </w:r>
          </w:p>
        </w:tc>
        <w:tc>
          <w:tcPr>
            <w:tcW w:w="637" w:type="pct"/>
            <w:vAlign w:val="center"/>
          </w:tcPr>
          <w:p w14:paraId="17F62D21">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共享方式</w:t>
            </w:r>
          </w:p>
        </w:tc>
        <w:tc>
          <w:tcPr>
            <w:tcW w:w="875" w:type="pct"/>
            <w:vAlign w:val="center"/>
          </w:tcPr>
          <w:p w14:paraId="5A2DFD57">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数据更新频度</w:t>
            </w:r>
          </w:p>
        </w:tc>
        <w:tc>
          <w:tcPr>
            <w:tcW w:w="717" w:type="pct"/>
            <w:vAlign w:val="center"/>
          </w:tcPr>
          <w:p w14:paraId="315CCED8">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备注</w:t>
            </w:r>
          </w:p>
        </w:tc>
      </w:tr>
      <w:tr w14:paraId="5DB1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267C78E2">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875" w:type="pct"/>
            <w:vAlign w:val="center"/>
          </w:tcPr>
          <w:p w14:paraId="10365052">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航班号</w:t>
            </w:r>
          </w:p>
        </w:tc>
        <w:tc>
          <w:tcPr>
            <w:tcW w:w="874" w:type="pct"/>
            <w:vAlign w:val="center"/>
          </w:tcPr>
          <w:p w14:paraId="0EB40194">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航班号</w:t>
            </w:r>
          </w:p>
        </w:tc>
        <w:tc>
          <w:tcPr>
            <w:tcW w:w="637" w:type="pct"/>
            <w:vAlign w:val="center"/>
          </w:tcPr>
          <w:p w14:paraId="2AAD4F8D">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55D1A452">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6699BE4B">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restart"/>
            <w:vAlign w:val="center"/>
          </w:tcPr>
          <w:p w14:paraId="332641A7">
            <w:pPr>
              <w:pStyle w:val="68"/>
              <w:rPr>
                <w:rFonts w:hint="eastAsia" w:ascii="宋体" w:hAnsi="宋体" w:eastAsia="宋体" w:cs="宋体"/>
                <w:sz w:val="21"/>
                <w:szCs w:val="21"/>
                <w:highlight w:val="none"/>
              </w:rPr>
            </w:pPr>
            <w:r>
              <w:rPr>
                <w:rFonts w:hint="eastAsia" w:ascii="宋体" w:hAnsi="宋体" w:eastAsia="宋体" w:cs="宋体"/>
                <w:sz w:val="21"/>
                <w:szCs w:val="21"/>
                <w:highlight w:val="none"/>
              </w:rPr>
              <w:t>用于机坪安全运行管理系统</w:t>
            </w:r>
          </w:p>
        </w:tc>
      </w:tr>
      <w:tr w14:paraId="1A6F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79DE7BCA">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875" w:type="pct"/>
            <w:vAlign w:val="center"/>
          </w:tcPr>
          <w:p w14:paraId="673FDFFA">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计划起飞时间</w:t>
            </w:r>
          </w:p>
        </w:tc>
        <w:tc>
          <w:tcPr>
            <w:tcW w:w="874" w:type="pct"/>
            <w:vAlign w:val="center"/>
          </w:tcPr>
          <w:p w14:paraId="188073BB">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计划起飞时间</w:t>
            </w:r>
          </w:p>
        </w:tc>
        <w:tc>
          <w:tcPr>
            <w:tcW w:w="637" w:type="pct"/>
            <w:vAlign w:val="center"/>
          </w:tcPr>
          <w:p w14:paraId="12E494B8">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662A0AC4">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75EBFCAF">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7949AC99">
            <w:pPr>
              <w:pStyle w:val="68"/>
              <w:rPr>
                <w:rFonts w:hint="eastAsia" w:ascii="宋体" w:hAnsi="宋体" w:eastAsia="宋体" w:cs="宋体"/>
                <w:sz w:val="21"/>
                <w:szCs w:val="21"/>
                <w:highlight w:val="none"/>
              </w:rPr>
            </w:pPr>
          </w:p>
        </w:tc>
      </w:tr>
      <w:tr w14:paraId="2B4F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3DD5A5CE">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875" w:type="pct"/>
            <w:vAlign w:val="center"/>
          </w:tcPr>
          <w:p w14:paraId="4846961E">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计划到达时间</w:t>
            </w:r>
          </w:p>
        </w:tc>
        <w:tc>
          <w:tcPr>
            <w:tcW w:w="874" w:type="pct"/>
            <w:vAlign w:val="center"/>
          </w:tcPr>
          <w:p w14:paraId="56F9E546">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计划到达时间</w:t>
            </w:r>
          </w:p>
        </w:tc>
        <w:tc>
          <w:tcPr>
            <w:tcW w:w="637" w:type="pct"/>
            <w:vAlign w:val="center"/>
          </w:tcPr>
          <w:p w14:paraId="4BDD893E">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0CE6EF0F">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126DDCA2">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1BB5DF96">
            <w:pPr>
              <w:pStyle w:val="68"/>
              <w:rPr>
                <w:rFonts w:hint="eastAsia" w:ascii="宋体" w:hAnsi="宋体" w:eastAsia="宋体" w:cs="宋体"/>
                <w:sz w:val="21"/>
                <w:szCs w:val="21"/>
                <w:highlight w:val="none"/>
              </w:rPr>
            </w:pPr>
          </w:p>
        </w:tc>
      </w:tr>
      <w:tr w14:paraId="7407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1A9D2EA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875" w:type="pct"/>
            <w:vAlign w:val="center"/>
          </w:tcPr>
          <w:p w14:paraId="1B1428FF">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机位号</w:t>
            </w:r>
          </w:p>
        </w:tc>
        <w:tc>
          <w:tcPr>
            <w:tcW w:w="874" w:type="pct"/>
            <w:vAlign w:val="center"/>
          </w:tcPr>
          <w:p w14:paraId="6F756E10">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机位号</w:t>
            </w:r>
          </w:p>
        </w:tc>
        <w:tc>
          <w:tcPr>
            <w:tcW w:w="637" w:type="pct"/>
            <w:vAlign w:val="center"/>
          </w:tcPr>
          <w:p w14:paraId="070C5B32">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0013388D">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7C6D3337">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0452B574">
            <w:pPr>
              <w:pStyle w:val="68"/>
              <w:rPr>
                <w:rFonts w:hint="eastAsia" w:ascii="宋体" w:hAnsi="宋体" w:eastAsia="宋体" w:cs="宋体"/>
                <w:sz w:val="21"/>
                <w:szCs w:val="21"/>
                <w:highlight w:val="none"/>
              </w:rPr>
            </w:pPr>
          </w:p>
        </w:tc>
      </w:tr>
      <w:tr w14:paraId="082F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6BC13D1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875" w:type="pct"/>
            <w:vAlign w:val="center"/>
          </w:tcPr>
          <w:p w14:paraId="6F50B513">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起飞机场</w:t>
            </w:r>
          </w:p>
        </w:tc>
        <w:tc>
          <w:tcPr>
            <w:tcW w:w="874" w:type="pct"/>
            <w:vAlign w:val="center"/>
          </w:tcPr>
          <w:p w14:paraId="063F9C82">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起飞机场</w:t>
            </w:r>
          </w:p>
        </w:tc>
        <w:tc>
          <w:tcPr>
            <w:tcW w:w="637" w:type="pct"/>
            <w:vAlign w:val="center"/>
          </w:tcPr>
          <w:p w14:paraId="5163CB6B">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7C7F9771">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45E1C682">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018937D5">
            <w:pPr>
              <w:pStyle w:val="68"/>
              <w:rPr>
                <w:rFonts w:hint="eastAsia" w:ascii="宋体" w:hAnsi="宋体" w:eastAsia="宋体" w:cs="宋体"/>
                <w:sz w:val="21"/>
                <w:szCs w:val="21"/>
                <w:highlight w:val="none"/>
              </w:rPr>
            </w:pPr>
          </w:p>
        </w:tc>
      </w:tr>
      <w:tr w14:paraId="32E9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228AB6A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875" w:type="pct"/>
            <w:vAlign w:val="center"/>
          </w:tcPr>
          <w:p w14:paraId="3E8CE005">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落地机场</w:t>
            </w:r>
          </w:p>
        </w:tc>
        <w:tc>
          <w:tcPr>
            <w:tcW w:w="874" w:type="pct"/>
            <w:vAlign w:val="center"/>
          </w:tcPr>
          <w:p w14:paraId="3D7AF160">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落地机场</w:t>
            </w:r>
          </w:p>
        </w:tc>
        <w:tc>
          <w:tcPr>
            <w:tcW w:w="637" w:type="pct"/>
            <w:vAlign w:val="center"/>
          </w:tcPr>
          <w:p w14:paraId="308AD208">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58A854CC">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4CC9F26C">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7A65EAAE">
            <w:pPr>
              <w:pStyle w:val="68"/>
              <w:rPr>
                <w:rFonts w:hint="eastAsia" w:ascii="宋体" w:hAnsi="宋体" w:eastAsia="宋体" w:cs="宋体"/>
                <w:sz w:val="21"/>
                <w:szCs w:val="21"/>
                <w:highlight w:val="none"/>
              </w:rPr>
            </w:pPr>
          </w:p>
        </w:tc>
      </w:tr>
      <w:tr w14:paraId="49869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2FB41A3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875" w:type="pct"/>
            <w:vAlign w:val="center"/>
          </w:tcPr>
          <w:p w14:paraId="2B5D7C01">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机位占用状态</w:t>
            </w:r>
          </w:p>
        </w:tc>
        <w:tc>
          <w:tcPr>
            <w:tcW w:w="874" w:type="pct"/>
            <w:vAlign w:val="center"/>
          </w:tcPr>
          <w:p w14:paraId="3C6B00AA">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机位占用状态</w:t>
            </w:r>
          </w:p>
        </w:tc>
        <w:tc>
          <w:tcPr>
            <w:tcW w:w="637" w:type="pct"/>
            <w:vAlign w:val="center"/>
          </w:tcPr>
          <w:p w14:paraId="70054C7A">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1653D28B">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28C0D977">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09638233">
            <w:pPr>
              <w:pStyle w:val="68"/>
              <w:rPr>
                <w:rFonts w:hint="eastAsia" w:ascii="宋体" w:hAnsi="宋体" w:eastAsia="宋体" w:cs="宋体"/>
                <w:sz w:val="21"/>
                <w:szCs w:val="21"/>
                <w:highlight w:val="none"/>
              </w:rPr>
            </w:pPr>
          </w:p>
        </w:tc>
      </w:tr>
      <w:tr w14:paraId="15EF8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4C0631BD">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875" w:type="pct"/>
            <w:vAlign w:val="center"/>
          </w:tcPr>
          <w:p w14:paraId="24AF0AE2">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下一班占用航班</w:t>
            </w:r>
          </w:p>
        </w:tc>
        <w:tc>
          <w:tcPr>
            <w:tcW w:w="874" w:type="pct"/>
            <w:vAlign w:val="center"/>
          </w:tcPr>
          <w:p w14:paraId="6A41572A">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下一班占用航班</w:t>
            </w:r>
          </w:p>
        </w:tc>
        <w:tc>
          <w:tcPr>
            <w:tcW w:w="637" w:type="pct"/>
            <w:vAlign w:val="center"/>
          </w:tcPr>
          <w:p w14:paraId="67B9E901">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622CCA24">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6B53ADCD">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043F92CE">
            <w:pPr>
              <w:pStyle w:val="68"/>
              <w:rPr>
                <w:rFonts w:hint="eastAsia" w:ascii="宋体" w:hAnsi="宋体" w:eastAsia="宋体" w:cs="宋体"/>
                <w:sz w:val="21"/>
                <w:szCs w:val="21"/>
                <w:highlight w:val="none"/>
              </w:rPr>
            </w:pPr>
          </w:p>
        </w:tc>
      </w:tr>
      <w:tr w14:paraId="5370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21839ACF">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875" w:type="pct"/>
            <w:vAlign w:val="center"/>
          </w:tcPr>
          <w:p w14:paraId="50D6C2CD">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地面保障节点</w:t>
            </w:r>
          </w:p>
        </w:tc>
        <w:tc>
          <w:tcPr>
            <w:tcW w:w="874" w:type="pct"/>
            <w:vAlign w:val="center"/>
          </w:tcPr>
          <w:p w14:paraId="59FC16E0">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地面保障节点</w:t>
            </w:r>
          </w:p>
        </w:tc>
        <w:tc>
          <w:tcPr>
            <w:tcW w:w="637" w:type="pct"/>
            <w:vAlign w:val="center"/>
          </w:tcPr>
          <w:p w14:paraId="37067880">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0E499A46">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38B025C1">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58A52B0A">
            <w:pPr>
              <w:pStyle w:val="68"/>
              <w:rPr>
                <w:rFonts w:hint="eastAsia" w:ascii="宋体" w:hAnsi="宋体" w:eastAsia="宋体" w:cs="宋体"/>
                <w:sz w:val="21"/>
                <w:szCs w:val="21"/>
                <w:highlight w:val="none"/>
              </w:rPr>
            </w:pPr>
          </w:p>
        </w:tc>
      </w:tr>
      <w:tr w14:paraId="31630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2F6F11D6">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875" w:type="pct"/>
            <w:vAlign w:val="center"/>
          </w:tcPr>
          <w:p w14:paraId="530C1E20">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航空器地面位置</w:t>
            </w:r>
          </w:p>
        </w:tc>
        <w:tc>
          <w:tcPr>
            <w:tcW w:w="874" w:type="pct"/>
            <w:vAlign w:val="center"/>
          </w:tcPr>
          <w:p w14:paraId="12EC943C">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航班器地面位置</w:t>
            </w:r>
          </w:p>
        </w:tc>
        <w:tc>
          <w:tcPr>
            <w:tcW w:w="637" w:type="pct"/>
            <w:vAlign w:val="center"/>
          </w:tcPr>
          <w:p w14:paraId="18FF76C6">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机坪塔台</w:t>
            </w:r>
          </w:p>
        </w:tc>
        <w:tc>
          <w:tcPr>
            <w:tcW w:w="637" w:type="pct"/>
            <w:vAlign w:val="center"/>
          </w:tcPr>
          <w:p w14:paraId="1B7C4D84">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0AB694A7">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19717A06">
            <w:pPr>
              <w:pStyle w:val="68"/>
              <w:rPr>
                <w:rFonts w:hint="eastAsia" w:ascii="宋体" w:hAnsi="宋体" w:eastAsia="宋体" w:cs="宋体"/>
                <w:sz w:val="21"/>
                <w:szCs w:val="21"/>
                <w:highlight w:val="none"/>
              </w:rPr>
            </w:pPr>
          </w:p>
        </w:tc>
      </w:tr>
      <w:tr w14:paraId="10DF0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3F8C28F0">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875" w:type="pct"/>
            <w:vAlign w:val="center"/>
          </w:tcPr>
          <w:p w14:paraId="7F0B5F2B">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预计起飞时间</w:t>
            </w:r>
          </w:p>
        </w:tc>
        <w:tc>
          <w:tcPr>
            <w:tcW w:w="874" w:type="pct"/>
            <w:vAlign w:val="center"/>
          </w:tcPr>
          <w:p w14:paraId="724EE89B">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预计起飞时间</w:t>
            </w:r>
          </w:p>
        </w:tc>
        <w:tc>
          <w:tcPr>
            <w:tcW w:w="637" w:type="pct"/>
            <w:vAlign w:val="center"/>
          </w:tcPr>
          <w:p w14:paraId="583E8967">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722A2170">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5551AA8A">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39085CDB">
            <w:pPr>
              <w:pStyle w:val="68"/>
              <w:rPr>
                <w:rFonts w:hint="eastAsia" w:ascii="宋体" w:hAnsi="宋体" w:eastAsia="宋体" w:cs="宋体"/>
                <w:sz w:val="21"/>
                <w:szCs w:val="21"/>
                <w:highlight w:val="none"/>
              </w:rPr>
            </w:pPr>
          </w:p>
        </w:tc>
      </w:tr>
      <w:tr w14:paraId="58E69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570AB2D3">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875" w:type="pct"/>
            <w:vAlign w:val="center"/>
          </w:tcPr>
          <w:p w14:paraId="507B288F">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实际起飞时间</w:t>
            </w:r>
          </w:p>
        </w:tc>
        <w:tc>
          <w:tcPr>
            <w:tcW w:w="874" w:type="pct"/>
            <w:vAlign w:val="center"/>
          </w:tcPr>
          <w:p w14:paraId="1FCFE2F9">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实际起飞时间</w:t>
            </w:r>
          </w:p>
        </w:tc>
        <w:tc>
          <w:tcPr>
            <w:tcW w:w="637" w:type="pct"/>
            <w:vAlign w:val="center"/>
          </w:tcPr>
          <w:p w14:paraId="054328F3">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7C86B87B">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57604E74">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24AE9714">
            <w:pPr>
              <w:pStyle w:val="68"/>
              <w:rPr>
                <w:rFonts w:hint="eastAsia" w:ascii="宋体" w:hAnsi="宋体" w:eastAsia="宋体" w:cs="宋体"/>
                <w:sz w:val="21"/>
                <w:szCs w:val="21"/>
                <w:highlight w:val="none"/>
              </w:rPr>
            </w:pPr>
          </w:p>
        </w:tc>
      </w:tr>
      <w:tr w14:paraId="6973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20A49A8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13</w:t>
            </w:r>
          </w:p>
        </w:tc>
        <w:tc>
          <w:tcPr>
            <w:tcW w:w="875" w:type="pct"/>
            <w:vAlign w:val="center"/>
          </w:tcPr>
          <w:p w14:paraId="65C87B4A">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预计落地时间</w:t>
            </w:r>
          </w:p>
        </w:tc>
        <w:tc>
          <w:tcPr>
            <w:tcW w:w="874" w:type="pct"/>
            <w:vAlign w:val="center"/>
          </w:tcPr>
          <w:p w14:paraId="572EAEB5">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预计落地时间</w:t>
            </w:r>
          </w:p>
        </w:tc>
        <w:tc>
          <w:tcPr>
            <w:tcW w:w="637" w:type="pct"/>
            <w:vAlign w:val="center"/>
          </w:tcPr>
          <w:p w14:paraId="34F13404">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24654443">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5BF88AC4">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68F06588">
            <w:pPr>
              <w:pStyle w:val="68"/>
              <w:rPr>
                <w:rFonts w:hint="eastAsia" w:ascii="宋体" w:hAnsi="宋体" w:eastAsia="宋体" w:cs="宋体"/>
                <w:sz w:val="21"/>
                <w:szCs w:val="21"/>
                <w:highlight w:val="none"/>
              </w:rPr>
            </w:pPr>
          </w:p>
        </w:tc>
      </w:tr>
      <w:tr w14:paraId="62762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207A1035">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14</w:t>
            </w:r>
          </w:p>
        </w:tc>
        <w:tc>
          <w:tcPr>
            <w:tcW w:w="875" w:type="pct"/>
            <w:vAlign w:val="center"/>
          </w:tcPr>
          <w:p w14:paraId="05CC7735">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实际落地时间</w:t>
            </w:r>
          </w:p>
        </w:tc>
        <w:tc>
          <w:tcPr>
            <w:tcW w:w="874" w:type="pct"/>
            <w:vAlign w:val="center"/>
          </w:tcPr>
          <w:p w14:paraId="1005D757">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实际落地时间</w:t>
            </w:r>
          </w:p>
        </w:tc>
        <w:tc>
          <w:tcPr>
            <w:tcW w:w="637" w:type="pct"/>
            <w:vAlign w:val="center"/>
          </w:tcPr>
          <w:p w14:paraId="4B22E917">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1554F1F2">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76D29B8A">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08A5FA0B">
            <w:pPr>
              <w:pStyle w:val="68"/>
              <w:rPr>
                <w:rFonts w:hint="eastAsia" w:ascii="宋体" w:hAnsi="宋体" w:eastAsia="宋体" w:cs="宋体"/>
                <w:sz w:val="21"/>
                <w:szCs w:val="21"/>
                <w:highlight w:val="none"/>
              </w:rPr>
            </w:pPr>
          </w:p>
        </w:tc>
      </w:tr>
      <w:tr w14:paraId="6D5DD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6943A014">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c>
          <w:tcPr>
            <w:tcW w:w="875" w:type="pct"/>
            <w:vAlign w:val="center"/>
          </w:tcPr>
          <w:p w14:paraId="6260FF3F">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关联航班ID</w:t>
            </w:r>
          </w:p>
        </w:tc>
        <w:tc>
          <w:tcPr>
            <w:tcW w:w="874" w:type="pct"/>
            <w:vAlign w:val="center"/>
          </w:tcPr>
          <w:p w14:paraId="3E2D07E0">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关联航班ID</w:t>
            </w:r>
          </w:p>
        </w:tc>
        <w:tc>
          <w:tcPr>
            <w:tcW w:w="637" w:type="pct"/>
            <w:vAlign w:val="center"/>
          </w:tcPr>
          <w:p w14:paraId="6093FD1B">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2861E1C2">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4E1E86FF">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042DD555">
            <w:pPr>
              <w:pStyle w:val="68"/>
              <w:rPr>
                <w:rFonts w:hint="eastAsia" w:ascii="宋体" w:hAnsi="宋体" w:eastAsia="宋体" w:cs="宋体"/>
                <w:sz w:val="21"/>
                <w:szCs w:val="21"/>
                <w:highlight w:val="none"/>
              </w:rPr>
            </w:pPr>
          </w:p>
        </w:tc>
      </w:tr>
      <w:tr w14:paraId="4552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44495551">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16</w:t>
            </w:r>
          </w:p>
        </w:tc>
        <w:tc>
          <w:tcPr>
            <w:tcW w:w="875" w:type="pct"/>
            <w:vAlign w:val="center"/>
          </w:tcPr>
          <w:p w14:paraId="4C5AD1FA">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航班ID</w:t>
            </w:r>
          </w:p>
        </w:tc>
        <w:tc>
          <w:tcPr>
            <w:tcW w:w="874" w:type="pct"/>
            <w:vAlign w:val="center"/>
          </w:tcPr>
          <w:p w14:paraId="53363D95">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航班ID</w:t>
            </w:r>
          </w:p>
        </w:tc>
        <w:tc>
          <w:tcPr>
            <w:tcW w:w="637" w:type="pct"/>
            <w:vAlign w:val="center"/>
          </w:tcPr>
          <w:p w14:paraId="62E56E32">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16C151AD">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116727B4">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3D6ACD4D">
            <w:pPr>
              <w:pStyle w:val="68"/>
              <w:rPr>
                <w:rFonts w:hint="eastAsia" w:ascii="宋体" w:hAnsi="宋体" w:eastAsia="宋体" w:cs="宋体"/>
                <w:sz w:val="21"/>
                <w:szCs w:val="21"/>
                <w:highlight w:val="none"/>
              </w:rPr>
            </w:pPr>
          </w:p>
        </w:tc>
      </w:tr>
      <w:tr w14:paraId="766FE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17F09D99">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17</w:t>
            </w:r>
          </w:p>
        </w:tc>
        <w:tc>
          <w:tcPr>
            <w:tcW w:w="875" w:type="pct"/>
            <w:vAlign w:val="center"/>
          </w:tcPr>
          <w:p w14:paraId="04DAB65A">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进出港标识</w:t>
            </w:r>
          </w:p>
        </w:tc>
        <w:tc>
          <w:tcPr>
            <w:tcW w:w="874" w:type="pct"/>
            <w:vAlign w:val="center"/>
          </w:tcPr>
          <w:p w14:paraId="55923DE9">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进出港标识</w:t>
            </w:r>
          </w:p>
        </w:tc>
        <w:tc>
          <w:tcPr>
            <w:tcW w:w="637" w:type="pct"/>
            <w:vAlign w:val="center"/>
          </w:tcPr>
          <w:p w14:paraId="665DFBB8">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3E8EA726">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01AF2677">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3763458C">
            <w:pPr>
              <w:pStyle w:val="68"/>
              <w:rPr>
                <w:rFonts w:hint="eastAsia" w:ascii="宋体" w:hAnsi="宋体" w:eastAsia="宋体" w:cs="宋体"/>
                <w:sz w:val="21"/>
                <w:szCs w:val="21"/>
                <w:highlight w:val="none"/>
              </w:rPr>
            </w:pPr>
          </w:p>
        </w:tc>
      </w:tr>
      <w:tr w14:paraId="2EE8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3EE5A007">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18</w:t>
            </w:r>
          </w:p>
        </w:tc>
        <w:tc>
          <w:tcPr>
            <w:tcW w:w="875" w:type="pct"/>
            <w:vAlign w:val="center"/>
          </w:tcPr>
          <w:p w14:paraId="0A390F14">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飞机注册号</w:t>
            </w:r>
          </w:p>
        </w:tc>
        <w:tc>
          <w:tcPr>
            <w:tcW w:w="874" w:type="pct"/>
            <w:vAlign w:val="center"/>
          </w:tcPr>
          <w:p w14:paraId="4A042045">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飞机注册号</w:t>
            </w:r>
          </w:p>
        </w:tc>
        <w:tc>
          <w:tcPr>
            <w:tcW w:w="637" w:type="pct"/>
            <w:vAlign w:val="center"/>
          </w:tcPr>
          <w:p w14:paraId="1B56E523">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6FA14308">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18958983">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3BC926F4">
            <w:pPr>
              <w:pStyle w:val="68"/>
              <w:rPr>
                <w:rFonts w:hint="eastAsia" w:ascii="宋体" w:hAnsi="宋体" w:eastAsia="宋体" w:cs="宋体"/>
                <w:sz w:val="21"/>
                <w:szCs w:val="21"/>
                <w:highlight w:val="none"/>
              </w:rPr>
            </w:pPr>
          </w:p>
        </w:tc>
      </w:tr>
      <w:tr w14:paraId="52F2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1DF6B66B">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19</w:t>
            </w:r>
          </w:p>
        </w:tc>
        <w:tc>
          <w:tcPr>
            <w:tcW w:w="875" w:type="pct"/>
            <w:vAlign w:val="center"/>
          </w:tcPr>
          <w:p w14:paraId="1CC0E8CF">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机型</w:t>
            </w:r>
          </w:p>
        </w:tc>
        <w:tc>
          <w:tcPr>
            <w:tcW w:w="874" w:type="pct"/>
            <w:vAlign w:val="center"/>
          </w:tcPr>
          <w:p w14:paraId="2FB0210C">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机型</w:t>
            </w:r>
          </w:p>
        </w:tc>
        <w:tc>
          <w:tcPr>
            <w:tcW w:w="637" w:type="pct"/>
            <w:vAlign w:val="center"/>
          </w:tcPr>
          <w:p w14:paraId="12F086A7">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306A7E79">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0082BE94">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32D5E658">
            <w:pPr>
              <w:pStyle w:val="68"/>
              <w:rPr>
                <w:rFonts w:hint="eastAsia" w:ascii="宋体" w:hAnsi="宋体" w:eastAsia="宋体" w:cs="宋体"/>
                <w:sz w:val="21"/>
                <w:szCs w:val="21"/>
                <w:highlight w:val="none"/>
              </w:rPr>
            </w:pPr>
          </w:p>
        </w:tc>
      </w:tr>
      <w:tr w14:paraId="6D73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3D74F75E">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875" w:type="pct"/>
            <w:vAlign w:val="center"/>
          </w:tcPr>
          <w:p w14:paraId="4B42A990">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出发地机场IATA码</w:t>
            </w:r>
          </w:p>
        </w:tc>
        <w:tc>
          <w:tcPr>
            <w:tcW w:w="874" w:type="pct"/>
            <w:vAlign w:val="center"/>
          </w:tcPr>
          <w:p w14:paraId="576FE00A">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出发地机场IATA码</w:t>
            </w:r>
          </w:p>
        </w:tc>
        <w:tc>
          <w:tcPr>
            <w:tcW w:w="637" w:type="pct"/>
            <w:vAlign w:val="center"/>
          </w:tcPr>
          <w:p w14:paraId="79F2BA98">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6FED46B0">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7CBDB64F">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1507F5F4">
            <w:pPr>
              <w:pStyle w:val="68"/>
              <w:rPr>
                <w:rFonts w:hint="eastAsia" w:ascii="宋体" w:hAnsi="宋体" w:eastAsia="宋体" w:cs="宋体"/>
                <w:sz w:val="21"/>
                <w:szCs w:val="21"/>
                <w:highlight w:val="none"/>
              </w:rPr>
            </w:pPr>
          </w:p>
        </w:tc>
      </w:tr>
      <w:tr w14:paraId="255F6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7C180B95">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21</w:t>
            </w:r>
          </w:p>
        </w:tc>
        <w:tc>
          <w:tcPr>
            <w:tcW w:w="875" w:type="pct"/>
            <w:vAlign w:val="center"/>
          </w:tcPr>
          <w:p w14:paraId="418148D7">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目的地机场IATA码</w:t>
            </w:r>
          </w:p>
        </w:tc>
        <w:tc>
          <w:tcPr>
            <w:tcW w:w="874" w:type="pct"/>
            <w:vAlign w:val="center"/>
          </w:tcPr>
          <w:p w14:paraId="17D447BC">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目的地机场IATA码</w:t>
            </w:r>
          </w:p>
        </w:tc>
        <w:tc>
          <w:tcPr>
            <w:tcW w:w="637" w:type="pct"/>
            <w:vAlign w:val="center"/>
          </w:tcPr>
          <w:p w14:paraId="45D0B2CA">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7267D1C3">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13E712A4">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22C2C72A">
            <w:pPr>
              <w:pStyle w:val="68"/>
              <w:rPr>
                <w:rFonts w:hint="eastAsia" w:ascii="宋体" w:hAnsi="宋体" w:eastAsia="宋体" w:cs="宋体"/>
                <w:sz w:val="21"/>
                <w:szCs w:val="21"/>
                <w:highlight w:val="none"/>
              </w:rPr>
            </w:pPr>
          </w:p>
        </w:tc>
      </w:tr>
      <w:tr w14:paraId="3256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58456D4C">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22</w:t>
            </w:r>
          </w:p>
        </w:tc>
        <w:tc>
          <w:tcPr>
            <w:tcW w:w="875" w:type="pct"/>
            <w:vAlign w:val="center"/>
          </w:tcPr>
          <w:p w14:paraId="7A7EE61B">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航班状态</w:t>
            </w:r>
          </w:p>
        </w:tc>
        <w:tc>
          <w:tcPr>
            <w:tcW w:w="874" w:type="pct"/>
            <w:vAlign w:val="center"/>
          </w:tcPr>
          <w:p w14:paraId="714E906B">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航班状态</w:t>
            </w:r>
          </w:p>
        </w:tc>
        <w:tc>
          <w:tcPr>
            <w:tcW w:w="637" w:type="pct"/>
            <w:vAlign w:val="center"/>
          </w:tcPr>
          <w:p w14:paraId="6E074763">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284A9E2C">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51A2C58A">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6C812AE1">
            <w:pPr>
              <w:pStyle w:val="68"/>
              <w:rPr>
                <w:rFonts w:hint="eastAsia" w:ascii="宋体" w:hAnsi="宋体" w:eastAsia="宋体" w:cs="宋体"/>
                <w:sz w:val="21"/>
                <w:szCs w:val="21"/>
                <w:highlight w:val="none"/>
              </w:rPr>
            </w:pPr>
          </w:p>
        </w:tc>
      </w:tr>
      <w:tr w14:paraId="41FB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4924D952">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23</w:t>
            </w:r>
          </w:p>
        </w:tc>
        <w:tc>
          <w:tcPr>
            <w:tcW w:w="875" w:type="pct"/>
            <w:vAlign w:val="center"/>
          </w:tcPr>
          <w:p w14:paraId="25B200CC">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停机位编号</w:t>
            </w:r>
          </w:p>
        </w:tc>
        <w:tc>
          <w:tcPr>
            <w:tcW w:w="874" w:type="pct"/>
            <w:vAlign w:val="center"/>
          </w:tcPr>
          <w:p w14:paraId="38D55C10">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停机位编号</w:t>
            </w:r>
          </w:p>
        </w:tc>
        <w:tc>
          <w:tcPr>
            <w:tcW w:w="637" w:type="pct"/>
            <w:vAlign w:val="center"/>
          </w:tcPr>
          <w:p w14:paraId="6C39B65D">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7D1604D8">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50C4C46F">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27B0BACE">
            <w:pPr>
              <w:pStyle w:val="68"/>
              <w:rPr>
                <w:rFonts w:hint="eastAsia" w:ascii="宋体" w:hAnsi="宋体" w:eastAsia="宋体" w:cs="宋体"/>
                <w:sz w:val="21"/>
                <w:szCs w:val="21"/>
                <w:highlight w:val="none"/>
              </w:rPr>
            </w:pPr>
          </w:p>
        </w:tc>
      </w:tr>
      <w:tr w14:paraId="557D1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5E029C53">
            <w:pPr>
              <w:spacing w:line="240" w:lineRule="auto"/>
              <w:ind w:firstLine="0" w:firstLineChars="0"/>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24</w:t>
            </w:r>
          </w:p>
        </w:tc>
        <w:tc>
          <w:tcPr>
            <w:tcW w:w="875" w:type="pct"/>
            <w:vAlign w:val="center"/>
          </w:tcPr>
          <w:p w14:paraId="2533F937">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机位变更记录</w:t>
            </w:r>
          </w:p>
        </w:tc>
        <w:tc>
          <w:tcPr>
            <w:tcW w:w="874" w:type="pct"/>
            <w:vAlign w:val="center"/>
          </w:tcPr>
          <w:p w14:paraId="55EC7D62">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机位变更记录</w:t>
            </w:r>
          </w:p>
        </w:tc>
        <w:tc>
          <w:tcPr>
            <w:tcW w:w="637" w:type="pct"/>
            <w:vAlign w:val="center"/>
          </w:tcPr>
          <w:p w14:paraId="6C93009A">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运控中心</w:t>
            </w:r>
          </w:p>
        </w:tc>
        <w:tc>
          <w:tcPr>
            <w:tcW w:w="637" w:type="pct"/>
            <w:vAlign w:val="center"/>
          </w:tcPr>
          <w:p w14:paraId="5E8AF247">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137D8203">
            <w:pPr>
              <w:spacing w:line="240" w:lineRule="auto"/>
              <w:ind w:firstLine="0" w:firstLineChars="0"/>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50F15600">
            <w:pPr>
              <w:pStyle w:val="68"/>
              <w:rPr>
                <w:rFonts w:hint="eastAsia" w:ascii="宋体" w:hAnsi="宋体" w:eastAsia="宋体" w:cs="宋体"/>
                <w:sz w:val="21"/>
                <w:szCs w:val="21"/>
                <w:highlight w:val="none"/>
              </w:rPr>
            </w:pPr>
          </w:p>
        </w:tc>
      </w:tr>
      <w:tr w14:paraId="213BF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380" w:type="pct"/>
            <w:vAlign w:val="center"/>
          </w:tcPr>
          <w:p w14:paraId="3C0B1923">
            <w:pPr>
              <w:pStyle w:val="68"/>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875" w:type="pct"/>
            <w:vAlign w:val="center"/>
          </w:tcPr>
          <w:p w14:paraId="10D039D8">
            <w:pPr>
              <w:pStyle w:val="68"/>
              <w:rPr>
                <w:rFonts w:hint="eastAsia" w:ascii="宋体" w:hAnsi="宋体" w:eastAsia="宋体" w:cs="宋体"/>
                <w:sz w:val="21"/>
                <w:szCs w:val="21"/>
                <w:highlight w:val="none"/>
              </w:rPr>
            </w:pPr>
            <w:r>
              <w:rPr>
                <w:rFonts w:hint="eastAsia" w:ascii="宋体" w:hAnsi="宋体" w:eastAsia="宋体" w:cs="宋体"/>
                <w:sz w:val="21"/>
                <w:szCs w:val="21"/>
                <w:highlight w:val="none"/>
              </w:rPr>
              <w:t>网约车清单名录</w:t>
            </w:r>
          </w:p>
        </w:tc>
        <w:tc>
          <w:tcPr>
            <w:tcW w:w="874" w:type="pct"/>
            <w:vAlign w:val="center"/>
          </w:tcPr>
          <w:p w14:paraId="1F47DD0D">
            <w:pPr>
              <w:pStyle w:val="68"/>
              <w:rPr>
                <w:rFonts w:hint="eastAsia" w:ascii="宋体" w:hAnsi="宋体" w:eastAsia="宋体" w:cs="宋体"/>
                <w:sz w:val="21"/>
                <w:szCs w:val="21"/>
                <w:highlight w:val="none"/>
              </w:rPr>
            </w:pPr>
            <w:r>
              <w:rPr>
                <w:rFonts w:hint="eastAsia" w:ascii="宋体" w:hAnsi="宋体" w:eastAsia="宋体" w:cs="宋体"/>
                <w:sz w:val="21"/>
                <w:szCs w:val="21"/>
                <w:highlight w:val="none"/>
              </w:rPr>
              <w:t>车牌号、司机姓名、手机号、营运公司</w:t>
            </w:r>
          </w:p>
        </w:tc>
        <w:tc>
          <w:tcPr>
            <w:tcW w:w="637" w:type="pct"/>
            <w:vAlign w:val="center"/>
          </w:tcPr>
          <w:p w14:paraId="22F7FD70">
            <w:pPr>
              <w:pStyle w:val="68"/>
              <w:rPr>
                <w:rFonts w:hint="eastAsia" w:ascii="宋体" w:hAnsi="宋体" w:eastAsia="宋体" w:cs="宋体"/>
                <w:sz w:val="21"/>
                <w:szCs w:val="21"/>
                <w:highlight w:val="none"/>
              </w:rPr>
            </w:pPr>
          </w:p>
        </w:tc>
        <w:tc>
          <w:tcPr>
            <w:tcW w:w="637" w:type="pct"/>
            <w:vAlign w:val="center"/>
          </w:tcPr>
          <w:p w14:paraId="1EC270A1">
            <w:pPr>
              <w:pStyle w:val="68"/>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24679A25">
            <w:pPr>
              <w:pStyle w:val="68"/>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restart"/>
            <w:vAlign w:val="center"/>
          </w:tcPr>
          <w:p w14:paraId="3591461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用于机场智能交通管理系统</w:t>
            </w:r>
          </w:p>
        </w:tc>
      </w:tr>
      <w:tr w14:paraId="4C62C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80" w:type="pct"/>
            <w:vAlign w:val="center"/>
          </w:tcPr>
          <w:p w14:paraId="141D8372">
            <w:pPr>
              <w:pStyle w:val="68"/>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875" w:type="pct"/>
            <w:vAlign w:val="center"/>
          </w:tcPr>
          <w:p w14:paraId="4B487193">
            <w:pPr>
              <w:pStyle w:val="68"/>
              <w:rPr>
                <w:rFonts w:hint="eastAsia" w:ascii="宋体" w:hAnsi="宋体" w:eastAsia="宋体" w:cs="宋体"/>
                <w:sz w:val="21"/>
                <w:szCs w:val="21"/>
                <w:highlight w:val="none"/>
              </w:rPr>
            </w:pPr>
            <w:r>
              <w:rPr>
                <w:rFonts w:hint="eastAsia" w:ascii="宋体" w:hAnsi="宋体" w:eastAsia="宋体" w:cs="宋体"/>
                <w:sz w:val="21"/>
                <w:szCs w:val="21"/>
                <w:highlight w:val="none"/>
              </w:rPr>
              <w:t>出租车清单名录</w:t>
            </w:r>
          </w:p>
        </w:tc>
        <w:tc>
          <w:tcPr>
            <w:tcW w:w="874" w:type="pct"/>
            <w:vAlign w:val="center"/>
          </w:tcPr>
          <w:p w14:paraId="3539E0FB">
            <w:pPr>
              <w:pStyle w:val="68"/>
              <w:rPr>
                <w:rFonts w:hint="eastAsia" w:ascii="宋体" w:hAnsi="宋体" w:eastAsia="宋体" w:cs="宋体"/>
                <w:sz w:val="21"/>
                <w:szCs w:val="21"/>
                <w:highlight w:val="none"/>
              </w:rPr>
            </w:pPr>
            <w:r>
              <w:rPr>
                <w:rFonts w:hint="eastAsia" w:ascii="宋体" w:hAnsi="宋体" w:eastAsia="宋体" w:cs="宋体"/>
                <w:sz w:val="21"/>
                <w:szCs w:val="21"/>
                <w:highlight w:val="none"/>
              </w:rPr>
              <w:t>车牌号、司机姓名、手机号、营运公司</w:t>
            </w:r>
          </w:p>
        </w:tc>
        <w:tc>
          <w:tcPr>
            <w:tcW w:w="637" w:type="pct"/>
            <w:vAlign w:val="center"/>
          </w:tcPr>
          <w:p w14:paraId="0878C917">
            <w:pPr>
              <w:pStyle w:val="68"/>
              <w:rPr>
                <w:rFonts w:hint="eastAsia" w:ascii="宋体" w:hAnsi="宋体" w:eastAsia="宋体" w:cs="宋体"/>
                <w:sz w:val="21"/>
                <w:szCs w:val="21"/>
                <w:highlight w:val="none"/>
              </w:rPr>
            </w:pPr>
          </w:p>
        </w:tc>
        <w:tc>
          <w:tcPr>
            <w:tcW w:w="637" w:type="pct"/>
            <w:vAlign w:val="center"/>
          </w:tcPr>
          <w:p w14:paraId="1CC72AE9">
            <w:pPr>
              <w:pStyle w:val="68"/>
              <w:rPr>
                <w:rFonts w:hint="eastAsia" w:ascii="宋体" w:hAnsi="宋体" w:eastAsia="宋体" w:cs="宋体"/>
                <w:sz w:val="21"/>
                <w:szCs w:val="21"/>
                <w:highlight w:val="none"/>
              </w:rPr>
            </w:pPr>
            <w:r>
              <w:rPr>
                <w:rFonts w:hint="eastAsia" w:ascii="宋体" w:hAnsi="宋体" w:eastAsia="宋体" w:cs="宋体"/>
                <w:sz w:val="21"/>
                <w:szCs w:val="21"/>
                <w:highlight w:val="none"/>
              </w:rPr>
              <w:t>数据接口</w:t>
            </w:r>
          </w:p>
        </w:tc>
        <w:tc>
          <w:tcPr>
            <w:tcW w:w="875" w:type="pct"/>
            <w:vAlign w:val="center"/>
          </w:tcPr>
          <w:p w14:paraId="1FC5DEEC">
            <w:pPr>
              <w:pStyle w:val="68"/>
              <w:rPr>
                <w:rFonts w:hint="eastAsia" w:ascii="宋体" w:hAnsi="宋体" w:eastAsia="宋体" w:cs="宋体"/>
                <w:sz w:val="21"/>
                <w:szCs w:val="21"/>
                <w:highlight w:val="none"/>
              </w:rPr>
            </w:pPr>
            <w:r>
              <w:rPr>
                <w:rFonts w:hint="eastAsia" w:ascii="宋体" w:hAnsi="宋体" w:eastAsia="宋体" w:cs="宋体"/>
                <w:sz w:val="21"/>
                <w:szCs w:val="21"/>
                <w:highlight w:val="none"/>
              </w:rPr>
              <w:t>实时</w:t>
            </w:r>
          </w:p>
        </w:tc>
        <w:tc>
          <w:tcPr>
            <w:tcW w:w="717" w:type="pct"/>
            <w:vMerge w:val="continue"/>
            <w:vAlign w:val="center"/>
          </w:tcPr>
          <w:p w14:paraId="0505D902">
            <w:pPr>
              <w:pStyle w:val="68"/>
              <w:rPr>
                <w:rFonts w:hint="eastAsia" w:ascii="宋体" w:hAnsi="宋体" w:eastAsia="宋体" w:cs="宋体"/>
                <w:sz w:val="21"/>
                <w:szCs w:val="21"/>
                <w:highlight w:val="none"/>
              </w:rPr>
            </w:pPr>
          </w:p>
        </w:tc>
      </w:tr>
    </w:tbl>
    <w:p w14:paraId="04EAD0F7">
      <w:pPr>
        <w:ind w:firstLine="0" w:firstLineChars="0"/>
        <w:rPr>
          <w:highlight w:val="none"/>
        </w:rPr>
      </w:pPr>
    </w:p>
    <w:p w14:paraId="3F5F4B1A">
      <w:pPr>
        <w:pStyle w:val="4"/>
        <w:numPr>
          <w:ilvl w:val="2"/>
          <w:numId w:val="0"/>
        </w:numPr>
        <w:bidi w:val="0"/>
        <w:ind w:leftChars="0"/>
        <w:rPr>
          <w:rFonts w:hint="eastAsia"/>
          <w:highlight w:val="none"/>
        </w:rPr>
      </w:pPr>
      <w:bookmarkStart w:id="334" w:name="_Toc25012"/>
      <w:bookmarkStart w:id="335" w:name="_Toc11932"/>
      <w:bookmarkStart w:id="336" w:name="_Toc7024"/>
      <w:bookmarkStart w:id="337" w:name="_Toc20073"/>
      <w:bookmarkStart w:id="338" w:name="_Toc19732"/>
      <w:bookmarkStart w:id="339" w:name="_Toc31113"/>
      <w:bookmarkStart w:id="340" w:name="_Toc23101"/>
      <w:bookmarkStart w:id="341" w:name="_Toc21223"/>
      <w:bookmarkStart w:id="342" w:name="_Toc23303"/>
      <w:bookmarkStart w:id="343" w:name="_Toc5239"/>
      <w:bookmarkStart w:id="344" w:name="_Toc5540"/>
      <w:r>
        <w:rPr>
          <w:rFonts w:hint="eastAsia"/>
          <w:highlight w:val="none"/>
          <w:lang w:val="en-US" w:eastAsia="zh-CN"/>
        </w:rPr>
        <w:t xml:space="preserve">附件3 </w:t>
      </w:r>
      <w:r>
        <w:rPr>
          <w:rFonts w:hint="eastAsia"/>
          <w:highlight w:val="none"/>
        </w:rPr>
        <w:t>政务云平台资源申请表</w:t>
      </w:r>
      <w:bookmarkEnd w:id="334"/>
      <w:bookmarkEnd w:id="335"/>
      <w:bookmarkEnd w:id="336"/>
      <w:bookmarkEnd w:id="337"/>
      <w:bookmarkEnd w:id="338"/>
      <w:bookmarkEnd w:id="339"/>
      <w:bookmarkEnd w:id="340"/>
      <w:bookmarkEnd w:id="341"/>
      <w:bookmarkEnd w:id="342"/>
      <w:bookmarkEnd w:id="343"/>
      <w:bookmarkEnd w:id="344"/>
    </w:p>
    <w:p w14:paraId="45D10733">
      <w:pPr>
        <w:pStyle w:val="65"/>
        <w:rPr>
          <w:highlight w:val="none"/>
        </w:rPr>
      </w:pPr>
      <w:r>
        <w:rPr>
          <w:rFonts w:hint="eastAsia"/>
          <w:highlight w:val="none"/>
        </w:rPr>
        <w:t>服务器资源申请表</w:t>
      </w:r>
    </w:p>
    <w:tbl>
      <w:tblPr>
        <w:tblStyle w:val="34"/>
        <w:tblW w:w="4998" w:type="pct"/>
        <w:jc w:val="center"/>
        <w:tblLayout w:type="autofit"/>
        <w:tblCellMar>
          <w:top w:w="15" w:type="dxa"/>
          <w:left w:w="15" w:type="dxa"/>
          <w:bottom w:w="15" w:type="dxa"/>
          <w:right w:w="15" w:type="dxa"/>
        </w:tblCellMar>
      </w:tblPr>
      <w:tblGrid>
        <w:gridCol w:w="595"/>
        <w:gridCol w:w="731"/>
        <w:gridCol w:w="676"/>
        <w:gridCol w:w="629"/>
        <w:gridCol w:w="579"/>
        <w:gridCol w:w="729"/>
        <w:gridCol w:w="1017"/>
        <w:gridCol w:w="1272"/>
        <w:gridCol w:w="1888"/>
        <w:gridCol w:w="982"/>
      </w:tblGrid>
      <w:tr w14:paraId="2E68CE9F">
        <w:tblPrEx>
          <w:tblCellMar>
            <w:top w:w="15" w:type="dxa"/>
            <w:left w:w="15" w:type="dxa"/>
            <w:bottom w:w="15" w:type="dxa"/>
            <w:right w:w="15" w:type="dxa"/>
          </w:tblCellMar>
        </w:tblPrEx>
        <w:trPr>
          <w:trHeight w:val="600" w:hRule="atLeast"/>
          <w:tblHeader/>
          <w:jc w:val="center"/>
        </w:trPr>
        <w:tc>
          <w:tcPr>
            <w:tcW w:w="327"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7F0E18CC">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40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5ADA522E">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资源名称</w:t>
            </w:r>
          </w:p>
        </w:tc>
        <w:tc>
          <w:tcPr>
            <w:tcW w:w="371"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48F8329">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CPU（核）</w:t>
            </w:r>
          </w:p>
        </w:tc>
        <w:tc>
          <w:tcPr>
            <w:tcW w:w="345"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0A76436">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内存（G）</w:t>
            </w:r>
          </w:p>
        </w:tc>
        <w:tc>
          <w:tcPr>
            <w:tcW w:w="31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00BC1475">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存储（G）</w:t>
            </w:r>
          </w:p>
        </w:tc>
        <w:tc>
          <w:tcPr>
            <w:tcW w:w="400"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A697FC1">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数量</w:t>
            </w:r>
          </w:p>
        </w:tc>
        <w:tc>
          <w:tcPr>
            <w:tcW w:w="55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4C56F23F">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带宽</w:t>
            </w:r>
          </w:p>
          <w:p w14:paraId="3E9825BE">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（M）</w:t>
            </w:r>
          </w:p>
        </w:tc>
        <w:tc>
          <w:tcPr>
            <w:tcW w:w="698"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6DECAF1B">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配套软件</w:t>
            </w:r>
          </w:p>
        </w:tc>
        <w:tc>
          <w:tcPr>
            <w:tcW w:w="1036"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2C068AC8">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用途</w:t>
            </w:r>
          </w:p>
        </w:tc>
        <w:tc>
          <w:tcPr>
            <w:tcW w:w="539" w:type="pc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14:paraId="1206EAC2">
            <w:pPr>
              <w:pStyle w:val="67"/>
              <w:rPr>
                <w:rFonts w:hint="eastAsia" w:ascii="宋体" w:hAnsi="宋体" w:eastAsia="宋体" w:cs="宋体"/>
                <w:sz w:val="21"/>
                <w:szCs w:val="21"/>
                <w:highlight w:val="none"/>
              </w:rPr>
            </w:pPr>
            <w:r>
              <w:rPr>
                <w:rFonts w:hint="eastAsia" w:ascii="宋体" w:hAnsi="宋体" w:eastAsia="宋体" w:cs="宋体"/>
                <w:sz w:val="21"/>
                <w:szCs w:val="21"/>
                <w:highlight w:val="none"/>
              </w:rPr>
              <w:t>部署</w:t>
            </w:r>
          </w:p>
        </w:tc>
      </w:tr>
      <w:tr w14:paraId="3DCB87EE">
        <w:tblPrEx>
          <w:tblCellMar>
            <w:top w:w="15" w:type="dxa"/>
            <w:left w:w="15" w:type="dxa"/>
            <w:bottom w:w="15" w:type="dxa"/>
            <w:right w:w="15" w:type="dxa"/>
          </w:tblCellMar>
        </w:tblPrEx>
        <w:trPr>
          <w:trHeight w:val="315"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5CB81C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F7FB8">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ECS</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3A56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D98D1">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64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C648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1000</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8E694">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58" w:type="pct"/>
            <w:tcBorders>
              <w:top w:val="single" w:color="000000" w:sz="4" w:space="0"/>
              <w:left w:val="single" w:color="000000" w:sz="4" w:space="0"/>
              <w:bottom w:val="single" w:color="000000" w:sz="4" w:space="0"/>
              <w:right w:val="single" w:color="000000" w:sz="4" w:space="0"/>
            </w:tcBorders>
            <w:vAlign w:val="center"/>
          </w:tcPr>
          <w:p w14:paraId="6437E01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w:t>
            </w:r>
          </w:p>
        </w:tc>
        <w:tc>
          <w:tcPr>
            <w:tcW w:w="698" w:type="pct"/>
            <w:tcBorders>
              <w:top w:val="single" w:color="000000" w:sz="4" w:space="0"/>
              <w:left w:val="single" w:color="000000" w:sz="4" w:space="0"/>
              <w:bottom w:val="single" w:color="000000" w:sz="4" w:space="0"/>
              <w:right w:val="single" w:color="000000" w:sz="4" w:space="0"/>
            </w:tcBorders>
            <w:vAlign w:val="center"/>
          </w:tcPr>
          <w:p w14:paraId="18B3707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银河麒麟 V10\达梦V8</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E076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部署应用及数据存储</w:t>
            </w:r>
          </w:p>
        </w:tc>
        <w:tc>
          <w:tcPr>
            <w:tcW w:w="539" w:type="pct"/>
            <w:tcBorders>
              <w:top w:val="single" w:color="000000" w:sz="4" w:space="0"/>
              <w:left w:val="single" w:color="000000" w:sz="4" w:space="0"/>
              <w:bottom w:val="single" w:color="000000" w:sz="4" w:space="0"/>
              <w:right w:val="single" w:color="000000" w:sz="4" w:space="0"/>
            </w:tcBorders>
            <w:vAlign w:val="center"/>
          </w:tcPr>
          <w:p w14:paraId="649EDE85">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无人机防控系统</w:t>
            </w:r>
          </w:p>
        </w:tc>
      </w:tr>
      <w:tr w14:paraId="391CA27E">
        <w:tblPrEx>
          <w:tblCellMar>
            <w:top w:w="15" w:type="dxa"/>
            <w:left w:w="15" w:type="dxa"/>
            <w:bottom w:w="15" w:type="dxa"/>
            <w:right w:w="15" w:type="dxa"/>
          </w:tblCellMar>
        </w:tblPrEx>
        <w:trPr>
          <w:trHeight w:val="315" w:hRule="atLeast"/>
          <w:jc w:val="center"/>
        </w:trPr>
        <w:tc>
          <w:tcPr>
            <w:tcW w:w="327"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2A99B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40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7DCA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ECS</w:t>
            </w:r>
          </w:p>
        </w:tc>
        <w:tc>
          <w:tcPr>
            <w:tcW w:w="37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96823">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3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CBC49">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037DA">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100</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B7F6E">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558" w:type="pct"/>
            <w:tcBorders>
              <w:top w:val="single" w:color="000000" w:sz="4" w:space="0"/>
              <w:left w:val="single" w:color="000000" w:sz="4" w:space="0"/>
              <w:bottom w:val="single" w:color="000000" w:sz="4" w:space="0"/>
              <w:right w:val="single" w:color="000000" w:sz="4" w:space="0"/>
            </w:tcBorders>
            <w:vAlign w:val="center"/>
          </w:tcPr>
          <w:p w14:paraId="0BB4ABFB">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698" w:type="pct"/>
            <w:tcBorders>
              <w:top w:val="single" w:color="000000" w:sz="4" w:space="0"/>
              <w:left w:val="single" w:color="000000" w:sz="4" w:space="0"/>
              <w:bottom w:val="single" w:color="000000" w:sz="4" w:space="0"/>
              <w:right w:val="single" w:color="000000" w:sz="4" w:space="0"/>
            </w:tcBorders>
            <w:vAlign w:val="center"/>
          </w:tcPr>
          <w:p w14:paraId="2D3669F7">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银河麒麟 V10\达梦V8</w:t>
            </w:r>
          </w:p>
        </w:tc>
        <w:tc>
          <w:tcPr>
            <w:tcW w:w="10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C01E6">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IRS平台和省交通厅数据枢纽数据交换空间</w:t>
            </w:r>
          </w:p>
        </w:tc>
        <w:tc>
          <w:tcPr>
            <w:tcW w:w="539" w:type="pct"/>
            <w:tcBorders>
              <w:top w:val="single" w:color="000000" w:sz="4" w:space="0"/>
              <w:left w:val="single" w:color="000000" w:sz="4" w:space="0"/>
              <w:bottom w:val="single" w:color="000000" w:sz="4" w:space="0"/>
              <w:right w:val="single" w:color="000000" w:sz="4" w:space="0"/>
            </w:tcBorders>
            <w:vAlign w:val="center"/>
          </w:tcPr>
          <w:p w14:paraId="65318DDF">
            <w:pPr>
              <w:pStyle w:val="68"/>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机场智能交通管理系统数据交换</w:t>
            </w:r>
          </w:p>
        </w:tc>
      </w:tr>
    </w:tbl>
    <w:p w14:paraId="126E6044">
      <w:pPr>
        <w:rPr>
          <w:rFonts w:hint="eastAsia" w:ascii="宋体" w:hAnsi="宋体" w:eastAsia="宋体" w:cs="宋体"/>
          <w:color w:val="000000" w:themeColor="text1"/>
          <w:highlight w:val="none"/>
          <w14:textFill>
            <w14:solidFill>
              <w14:schemeClr w14:val="tx1"/>
            </w14:solidFill>
          </w14:textFill>
        </w:rPr>
      </w:pPr>
    </w:p>
    <w:sectPr>
      <w:headerReference r:id="rId6" w:type="default"/>
      <w:footerReference r:id="rId7" w:type="default"/>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3425">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6114D">
    <w:pPr>
      <w:pStyle w:val="23"/>
    </w:pPr>
    <w:r>
      <mc:AlternateContent>
        <mc:Choice Requires="wps">
          <w:drawing>
            <wp:anchor distT="0" distB="0" distL="114300" distR="114300" simplePos="0" relativeHeight="251659264" behindDoc="0" locked="0" layoutInCell="1" allowOverlap="1">
              <wp:simplePos x="0" y="0"/>
              <wp:positionH relativeFrom="margin">
                <wp:posOffset>2819400</wp:posOffset>
              </wp:positionH>
              <wp:positionV relativeFrom="paragraph">
                <wp:posOffset>-10795</wp:posOffset>
              </wp:positionV>
              <wp:extent cx="196215" cy="14859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96215" cy="148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DAA80E">
                          <w:pPr>
                            <w:pStyle w:val="23"/>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22pt;margin-top:-0.85pt;height:11.7pt;width:15.45pt;mso-position-horizontal-relative:margin;z-index:251659264;mso-width-relative:page;mso-height-relative:page;" filled="f" stroked="f" coordsize="21600,21600" o:gfxdata="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oTR9V2AAAAAkBAAAPAAAAAAAAAAEAIAAAACIAAABkcnMvZG93bnJldi54bWxQ&#10;SwECFAAUAAAACACHTuJAnSexZjACAABVBAAADgAAAAAAAAABACAAAAAnAQAAZHJzL2Uyb0RvYy54&#10;bWxQSwUGAAAAAAYABgBZAQAAyQUAAAAA&#10;">
              <v:fill on="f" focussize="0,0"/>
              <v:stroke on="f" weight="0.5pt"/>
              <v:imagedata o:title=""/>
              <o:lock v:ext="edit" aspectratio="f"/>
              <v:textbox inset="0mm,0mm,0mm,0mm">
                <w:txbxContent>
                  <w:p w14:paraId="22DAA80E">
                    <w:pPr>
                      <w:pStyle w:val="23"/>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1C558">
    <w:pPr>
      <w:adjustRightInd w:val="0"/>
      <w:snapToGrid w:val="0"/>
      <w:spacing w:line="240" w:lineRule="auto"/>
      <w:ind w:firstLine="360"/>
      <w:jc w:val="left"/>
      <w:rPr>
        <w:rFonts w:eastAsia="仿宋" w:cs="Times New Roman"/>
        <w:sz w:val="18"/>
        <w:szCs w:val="18"/>
      </w:rPr>
    </w:pPr>
    <w:r>
      <w:rPr>
        <w:rFonts w:eastAsia="仿宋" w:cs="Times New Roman"/>
        <w:sz w:val="18"/>
        <w:szCs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212DC01">
                          <w:pPr>
                            <w:adjustRightInd w:val="0"/>
                            <w:snapToGrid w:val="0"/>
                            <w:spacing w:line="240" w:lineRule="auto"/>
                            <w:ind w:firstLine="360"/>
                            <w:jc w:val="left"/>
                            <w:rPr>
                              <w:rFonts w:eastAsia="仿宋" w:cs="Times New Roman"/>
                              <w:sz w:val="18"/>
                              <w:szCs w:val="18"/>
                            </w:rPr>
                          </w:pPr>
                          <w:r>
                            <w:rPr>
                              <w:rFonts w:eastAsia="仿宋" w:cs="Times New Roman"/>
                              <w:sz w:val="18"/>
                              <w:szCs w:val="18"/>
                            </w:rPr>
                            <w:fldChar w:fldCharType="begin"/>
                          </w:r>
                          <w:r>
                            <w:rPr>
                              <w:rFonts w:eastAsia="仿宋" w:cs="Times New Roman"/>
                              <w:sz w:val="18"/>
                              <w:szCs w:val="18"/>
                            </w:rPr>
                            <w:instrText xml:space="preserve"> PAGE  \* MERGEFORMAT </w:instrText>
                          </w:r>
                          <w:r>
                            <w:rPr>
                              <w:rFonts w:eastAsia="仿宋" w:cs="Times New Roman"/>
                              <w:sz w:val="18"/>
                              <w:szCs w:val="18"/>
                            </w:rPr>
                            <w:fldChar w:fldCharType="separate"/>
                          </w:r>
                          <w:r>
                            <w:rPr>
                              <w:rFonts w:eastAsia="仿宋" w:cs="Times New Roman"/>
                              <w:sz w:val="18"/>
                              <w:szCs w:val="18"/>
                            </w:rPr>
                            <w:t>323</w:t>
                          </w:r>
                          <w:r>
                            <w:rPr>
                              <w:rFonts w:eastAsia="仿宋" w:cs="Times New Roman"/>
                              <w:sz w:val="18"/>
                              <w:szCs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RNyYiwwEAAJEDAAAOAAAAAAAAAAEAIAAAAB4BAABkcnMvZTJvRG9jLnhtbFBL&#10;BQYAAAAABgAGAFkBAABTBQAAAAA=&#10;">
              <v:fill on="f" focussize="0,0"/>
              <v:stroke on="f"/>
              <v:imagedata o:title=""/>
              <o:lock v:ext="edit" aspectratio="f"/>
              <v:textbox inset="0mm,0mm,0mm,0mm" style="mso-fit-shape-to-text:t;">
                <w:txbxContent>
                  <w:p w14:paraId="0212DC01">
                    <w:pPr>
                      <w:adjustRightInd w:val="0"/>
                      <w:snapToGrid w:val="0"/>
                      <w:spacing w:line="240" w:lineRule="auto"/>
                      <w:ind w:firstLine="360"/>
                      <w:jc w:val="left"/>
                      <w:rPr>
                        <w:rFonts w:eastAsia="仿宋" w:cs="Times New Roman"/>
                        <w:sz w:val="18"/>
                        <w:szCs w:val="18"/>
                      </w:rPr>
                    </w:pPr>
                    <w:r>
                      <w:rPr>
                        <w:rFonts w:eastAsia="仿宋" w:cs="Times New Roman"/>
                        <w:sz w:val="18"/>
                        <w:szCs w:val="18"/>
                      </w:rPr>
                      <w:fldChar w:fldCharType="begin"/>
                    </w:r>
                    <w:r>
                      <w:rPr>
                        <w:rFonts w:eastAsia="仿宋" w:cs="Times New Roman"/>
                        <w:sz w:val="18"/>
                        <w:szCs w:val="18"/>
                      </w:rPr>
                      <w:instrText xml:space="preserve"> PAGE  \* MERGEFORMAT </w:instrText>
                    </w:r>
                    <w:r>
                      <w:rPr>
                        <w:rFonts w:eastAsia="仿宋" w:cs="Times New Roman"/>
                        <w:sz w:val="18"/>
                        <w:szCs w:val="18"/>
                      </w:rPr>
                      <w:fldChar w:fldCharType="separate"/>
                    </w:r>
                    <w:r>
                      <w:rPr>
                        <w:rFonts w:eastAsia="仿宋" w:cs="Times New Roman"/>
                        <w:sz w:val="18"/>
                        <w:szCs w:val="18"/>
                      </w:rPr>
                      <w:t>323</w:t>
                    </w:r>
                    <w:r>
                      <w:rPr>
                        <w:rFonts w:eastAsia="仿宋" w:cs="Times New Roman"/>
                        <w:sz w:val="18"/>
                        <w:szCs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29F02">
    <w:pPr>
      <w:pStyle w:val="2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309B8A">
    <w:pPr>
      <w:pStyle w:val="24"/>
      <w:ind w:firstLine="0" w:firstLineChars="0"/>
      <w:jc w:val="both"/>
      <w:rPr>
        <w:rFonts w:eastAsia="仿宋" w:cs="Times New Roman"/>
      </w:rPr>
    </w:pPr>
    <w:r>
      <w:rPr>
        <w:rFonts w:hint="eastAsia" w:cs="Times New Roman"/>
      </w:rPr>
      <w:t>台州机场运行指挥中心数字化建设工程（台州机场运行安全提升工程）</w:t>
    </w:r>
    <w:r>
      <w:rPr>
        <w:rFonts w:cs="Times New Roman"/>
      </w:rPr>
      <w:t>可行性研究报告</w:t>
    </w:r>
    <w:r>
      <w:rPr>
        <w:rFonts w:hint="eastAsia" w:cs="Times New Roman"/>
      </w:rPr>
      <w:t>及实施方案</w: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4790DE"/>
    <w:multiLevelType w:val="singleLevel"/>
    <w:tmpl w:val="824790DE"/>
    <w:lvl w:ilvl="0" w:tentative="0">
      <w:start w:val="1"/>
      <w:numFmt w:val="decimal"/>
      <w:suff w:val="nothing"/>
      <w:lvlText w:val="%1、"/>
      <w:lvlJc w:val="left"/>
    </w:lvl>
  </w:abstractNum>
  <w:abstractNum w:abstractNumId="1">
    <w:nsid w:val="83221FC9"/>
    <w:multiLevelType w:val="singleLevel"/>
    <w:tmpl w:val="83221FC9"/>
    <w:lvl w:ilvl="0" w:tentative="0">
      <w:start w:val="1"/>
      <w:numFmt w:val="decimal"/>
      <w:lvlText w:val="(%1)"/>
      <w:lvlJc w:val="left"/>
      <w:pPr>
        <w:ind w:left="425" w:hanging="425"/>
      </w:pPr>
      <w:rPr>
        <w:rFonts w:hint="default"/>
      </w:rPr>
    </w:lvl>
  </w:abstractNum>
  <w:abstractNum w:abstractNumId="2">
    <w:nsid w:val="887C0B3F"/>
    <w:multiLevelType w:val="singleLevel"/>
    <w:tmpl w:val="887C0B3F"/>
    <w:lvl w:ilvl="0" w:tentative="0">
      <w:start w:val="1"/>
      <w:numFmt w:val="decimal"/>
      <w:suff w:val="nothing"/>
      <w:lvlText w:val="%1．"/>
      <w:lvlJc w:val="left"/>
      <w:pPr>
        <w:ind w:left="0" w:firstLine="400"/>
      </w:pPr>
      <w:rPr>
        <w:rFonts w:hint="default"/>
      </w:rPr>
    </w:lvl>
  </w:abstractNum>
  <w:abstractNum w:abstractNumId="3">
    <w:nsid w:val="8E14C361"/>
    <w:multiLevelType w:val="singleLevel"/>
    <w:tmpl w:val="8E14C361"/>
    <w:lvl w:ilvl="0" w:tentative="0">
      <w:start w:val="1"/>
      <w:numFmt w:val="decimal"/>
      <w:lvlText w:val="%1)"/>
      <w:lvlJc w:val="left"/>
      <w:pPr>
        <w:ind w:left="425" w:hanging="425"/>
      </w:pPr>
      <w:rPr>
        <w:rFonts w:hint="default"/>
      </w:rPr>
    </w:lvl>
  </w:abstractNum>
  <w:abstractNum w:abstractNumId="4">
    <w:nsid w:val="919DF89A"/>
    <w:multiLevelType w:val="singleLevel"/>
    <w:tmpl w:val="919DF89A"/>
    <w:lvl w:ilvl="0" w:tentative="0">
      <w:start w:val="1"/>
      <w:numFmt w:val="decimal"/>
      <w:suff w:val="nothing"/>
      <w:lvlText w:val="%1．"/>
      <w:lvlJc w:val="left"/>
      <w:pPr>
        <w:ind w:left="0" w:firstLine="400"/>
      </w:pPr>
      <w:rPr>
        <w:rFonts w:hint="default"/>
      </w:rPr>
    </w:lvl>
  </w:abstractNum>
  <w:abstractNum w:abstractNumId="5">
    <w:nsid w:val="98506250"/>
    <w:multiLevelType w:val="singleLevel"/>
    <w:tmpl w:val="98506250"/>
    <w:lvl w:ilvl="0" w:tentative="0">
      <w:start w:val="1"/>
      <w:numFmt w:val="decimal"/>
      <w:suff w:val="nothing"/>
      <w:lvlText w:val="%1）"/>
      <w:lvlJc w:val="left"/>
    </w:lvl>
  </w:abstractNum>
  <w:abstractNum w:abstractNumId="6">
    <w:nsid w:val="99350CE4"/>
    <w:multiLevelType w:val="singleLevel"/>
    <w:tmpl w:val="99350CE4"/>
    <w:lvl w:ilvl="0" w:tentative="0">
      <w:start w:val="1"/>
      <w:numFmt w:val="chineseCounting"/>
      <w:suff w:val="nothing"/>
      <w:lvlText w:val="（%1）"/>
      <w:lvlJc w:val="left"/>
      <w:rPr>
        <w:rFonts w:hint="eastAsia"/>
      </w:rPr>
    </w:lvl>
  </w:abstractNum>
  <w:abstractNum w:abstractNumId="7">
    <w:nsid w:val="99BC4E0B"/>
    <w:multiLevelType w:val="multilevel"/>
    <w:tmpl w:val="99BC4E0B"/>
    <w:lvl w:ilvl="0" w:tentative="0">
      <w:start w:val="1"/>
      <w:numFmt w:val="chineseCounting"/>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pStyle w:val="4"/>
      <w:isLgl/>
      <w:suff w:val="space"/>
      <w:lvlText w:val="%1.%2.%3."/>
      <w:lvlJc w:val="left"/>
      <w:pPr>
        <w:ind w:left="720" w:hanging="720"/>
      </w:pPr>
      <w:rPr>
        <w:rFonts w:hint="eastAsia"/>
        <w:b/>
        <w:bCs/>
      </w:rPr>
    </w:lvl>
    <w:lvl w:ilvl="3" w:tentative="0">
      <w:start w:val="1"/>
      <w:numFmt w:val="decimal"/>
      <w:pStyle w:val="5"/>
      <w:isLgl/>
      <w:suff w:val="space"/>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suff w:val="space"/>
      <w:lvlText w:val="%1.%2.%3.%4.%5.%6."/>
      <w:lvlJc w:val="left"/>
      <w:pPr>
        <w:ind w:left="1151" w:hanging="1151"/>
      </w:pPr>
      <w:rPr>
        <w:rFonts w:hint="eastAsia" w:ascii="宋体" w:hAnsi="宋体" w:eastAsia="宋体" w:cs="宋体"/>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suff w:val="space"/>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8">
    <w:nsid w:val="9E7218A8"/>
    <w:multiLevelType w:val="singleLevel"/>
    <w:tmpl w:val="9E7218A8"/>
    <w:lvl w:ilvl="0" w:tentative="0">
      <w:start w:val="1"/>
      <w:numFmt w:val="decimal"/>
      <w:lvlText w:val="%1."/>
      <w:lvlJc w:val="left"/>
      <w:pPr>
        <w:ind w:left="425" w:hanging="425"/>
      </w:pPr>
      <w:rPr>
        <w:rFonts w:hint="default"/>
      </w:rPr>
    </w:lvl>
  </w:abstractNum>
  <w:abstractNum w:abstractNumId="9">
    <w:nsid w:val="A5C65DEC"/>
    <w:multiLevelType w:val="singleLevel"/>
    <w:tmpl w:val="A5C65DEC"/>
    <w:lvl w:ilvl="0" w:tentative="0">
      <w:start w:val="1"/>
      <w:numFmt w:val="decimal"/>
      <w:lvlText w:val="%1."/>
      <w:lvlJc w:val="left"/>
      <w:pPr>
        <w:tabs>
          <w:tab w:val="left" w:pos="420"/>
        </w:tabs>
        <w:ind w:left="845" w:hanging="425"/>
      </w:pPr>
      <w:rPr>
        <w:rFonts w:hint="default"/>
      </w:rPr>
    </w:lvl>
  </w:abstractNum>
  <w:abstractNum w:abstractNumId="10">
    <w:nsid w:val="AC070BDE"/>
    <w:multiLevelType w:val="singleLevel"/>
    <w:tmpl w:val="AC070BDE"/>
    <w:lvl w:ilvl="0" w:tentative="0">
      <w:start w:val="1"/>
      <w:numFmt w:val="decimal"/>
      <w:lvlText w:val="(%1)"/>
      <w:lvlJc w:val="left"/>
      <w:pPr>
        <w:ind w:left="454" w:hanging="414"/>
      </w:pPr>
      <w:rPr>
        <w:rFonts w:hint="default"/>
      </w:rPr>
    </w:lvl>
  </w:abstractNum>
  <w:abstractNum w:abstractNumId="11">
    <w:nsid w:val="ADEFF5CD"/>
    <w:multiLevelType w:val="singleLevel"/>
    <w:tmpl w:val="ADEFF5CD"/>
    <w:lvl w:ilvl="0" w:tentative="0">
      <w:start w:val="1"/>
      <w:numFmt w:val="decimal"/>
      <w:lvlText w:val="(%1)"/>
      <w:lvlJc w:val="left"/>
    </w:lvl>
  </w:abstractNum>
  <w:abstractNum w:abstractNumId="12">
    <w:nsid w:val="B6F59E5E"/>
    <w:multiLevelType w:val="singleLevel"/>
    <w:tmpl w:val="B6F59E5E"/>
    <w:lvl w:ilvl="0" w:tentative="0">
      <w:start w:val="1"/>
      <w:numFmt w:val="decimal"/>
      <w:suff w:val="nothing"/>
      <w:lvlText w:val="%1．"/>
      <w:lvlJc w:val="left"/>
      <w:pPr>
        <w:ind w:left="0" w:firstLine="400"/>
      </w:pPr>
      <w:rPr>
        <w:rFonts w:hint="default"/>
      </w:rPr>
    </w:lvl>
  </w:abstractNum>
  <w:abstractNum w:abstractNumId="13">
    <w:nsid w:val="B8093CDD"/>
    <w:multiLevelType w:val="multilevel"/>
    <w:tmpl w:val="B8093CDD"/>
    <w:lvl w:ilvl="0" w:tentative="0">
      <w:start w:val="1"/>
      <w:numFmt w:val="decimal"/>
      <w:suff w:val="space"/>
      <w:lvlText w:val="第%1章"/>
      <w:lvlJc w:val="left"/>
      <w:pPr>
        <w:tabs>
          <w:tab w:val="left" w:pos="0"/>
        </w:tabs>
        <w:ind w:left="0" w:firstLine="0"/>
      </w:pPr>
      <w:rPr>
        <w:rFonts w:hint="default"/>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default"/>
      </w:rPr>
    </w:lvl>
    <w:lvl w:ilvl="5" w:tentative="0">
      <w:start w:val="1"/>
      <w:numFmt w:val="decimal"/>
      <w:lvlRestart w:val="4"/>
      <w:suff w:val="space"/>
      <w:lvlText w:val="（%6）"/>
      <w:lvlJc w:val="left"/>
      <w:pPr>
        <w:ind w:left="0" w:firstLine="0"/>
      </w:pPr>
      <w:rPr>
        <w:rFonts w:hint="default"/>
      </w:rPr>
    </w:lvl>
    <w:lvl w:ilvl="6" w:tentative="0">
      <w:start w:val="1"/>
      <w:numFmt w:val="decimal"/>
      <w:lvlRestart w:val="4"/>
      <w:suff w:val="space"/>
      <w:lvlText w:val="%7）"/>
      <w:lvlJc w:val="left"/>
      <w:pPr>
        <w:ind w:left="0" w:firstLine="0"/>
      </w:pPr>
      <w:rPr>
        <w:rFonts w:hint="eastAsia"/>
      </w:rPr>
    </w:lvl>
    <w:lvl w:ilvl="7" w:tentative="0">
      <w:start w:val="1"/>
      <w:numFmt w:val="decimal"/>
      <w:lvlRestart w:val="0"/>
      <w:pStyle w:val="63"/>
      <w:isLgl/>
      <w:suff w:val="space"/>
      <w:lvlText w:val="图%8"/>
      <w:lvlJc w:val="left"/>
      <w:pPr>
        <w:tabs>
          <w:tab w:val="left" w:pos="0"/>
        </w:tabs>
        <w:ind w:left="0" w:firstLine="0"/>
      </w:pPr>
      <w:rPr>
        <w:rFonts w:hint="eastAsia"/>
      </w:rPr>
    </w:lvl>
    <w:lvl w:ilvl="8" w:tentative="0">
      <w:start w:val="1"/>
      <w:numFmt w:val="decimal"/>
      <w:lvlRestart w:val="4"/>
      <w:pStyle w:val="65"/>
      <w:isLgl/>
      <w:suff w:val="space"/>
      <w:lvlText w:val="表%9"/>
      <w:lvlJc w:val="left"/>
      <w:pPr>
        <w:tabs>
          <w:tab w:val="left" w:pos="0"/>
        </w:tabs>
        <w:ind w:left="0" w:firstLine="0"/>
      </w:pPr>
      <w:rPr>
        <w:rFonts w:hint="eastAsia"/>
      </w:rPr>
    </w:lvl>
  </w:abstractNum>
  <w:abstractNum w:abstractNumId="14">
    <w:nsid w:val="C2837BFA"/>
    <w:multiLevelType w:val="singleLevel"/>
    <w:tmpl w:val="C2837BFA"/>
    <w:lvl w:ilvl="0" w:tentative="0">
      <w:start w:val="1"/>
      <w:numFmt w:val="decimal"/>
      <w:suff w:val="nothing"/>
      <w:lvlText w:val="%1）"/>
      <w:lvlJc w:val="left"/>
    </w:lvl>
  </w:abstractNum>
  <w:abstractNum w:abstractNumId="15">
    <w:nsid w:val="C3EB4BD5"/>
    <w:multiLevelType w:val="singleLevel"/>
    <w:tmpl w:val="C3EB4BD5"/>
    <w:lvl w:ilvl="0" w:tentative="0">
      <w:start w:val="1"/>
      <w:numFmt w:val="decimal"/>
      <w:suff w:val="nothing"/>
      <w:lvlText w:val="%1．"/>
      <w:lvlJc w:val="left"/>
      <w:pPr>
        <w:ind w:left="0" w:firstLine="400"/>
      </w:pPr>
      <w:rPr>
        <w:rFonts w:hint="default"/>
      </w:rPr>
    </w:lvl>
  </w:abstractNum>
  <w:abstractNum w:abstractNumId="16">
    <w:nsid w:val="C47B3851"/>
    <w:multiLevelType w:val="singleLevel"/>
    <w:tmpl w:val="C47B3851"/>
    <w:lvl w:ilvl="0" w:tentative="0">
      <w:start w:val="1"/>
      <w:numFmt w:val="decimal"/>
      <w:suff w:val="nothing"/>
      <w:lvlText w:val="%1）"/>
      <w:lvlJc w:val="left"/>
    </w:lvl>
  </w:abstractNum>
  <w:abstractNum w:abstractNumId="17">
    <w:nsid w:val="C975830E"/>
    <w:multiLevelType w:val="singleLevel"/>
    <w:tmpl w:val="C975830E"/>
    <w:lvl w:ilvl="0" w:tentative="0">
      <w:start w:val="1"/>
      <w:numFmt w:val="decimal"/>
      <w:suff w:val="nothing"/>
      <w:lvlText w:val="%1）"/>
      <w:lvlJc w:val="left"/>
    </w:lvl>
  </w:abstractNum>
  <w:abstractNum w:abstractNumId="18">
    <w:nsid w:val="C987A84E"/>
    <w:multiLevelType w:val="singleLevel"/>
    <w:tmpl w:val="C987A84E"/>
    <w:lvl w:ilvl="0" w:tentative="0">
      <w:start w:val="1"/>
      <w:numFmt w:val="decimal"/>
      <w:lvlText w:val="%1."/>
      <w:lvlJc w:val="left"/>
      <w:pPr>
        <w:tabs>
          <w:tab w:val="left" w:pos="312"/>
        </w:tabs>
      </w:pPr>
    </w:lvl>
  </w:abstractNum>
  <w:abstractNum w:abstractNumId="19">
    <w:nsid w:val="CD586AF6"/>
    <w:multiLevelType w:val="singleLevel"/>
    <w:tmpl w:val="CD586AF6"/>
    <w:lvl w:ilvl="0" w:tentative="0">
      <w:start w:val="1"/>
      <w:numFmt w:val="decimal"/>
      <w:suff w:val="nothing"/>
      <w:lvlText w:val="%1．"/>
      <w:lvlJc w:val="left"/>
      <w:pPr>
        <w:ind w:left="0" w:firstLine="400"/>
      </w:pPr>
      <w:rPr>
        <w:rFonts w:hint="default"/>
      </w:rPr>
    </w:lvl>
  </w:abstractNum>
  <w:abstractNum w:abstractNumId="20">
    <w:nsid w:val="CD7C1C18"/>
    <w:multiLevelType w:val="singleLevel"/>
    <w:tmpl w:val="CD7C1C18"/>
    <w:lvl w:ilvl="0" w:tentative="0">
      <w:start w:val="1"/>
      <w:numFmt w:val="decimal"/>
      <w:lvlText w:val="%1."/>
      <w:lvlJc w:val="left"/>
      <w:pPr>
        <w:tabs>
          <w:tab w:val="left" w:pos="420"/>
        </w:tabs>
        <w:ind w:left="845" w:hanging="425"/>
      </w:pPr>
      <w:rPr>
        <w:rFonts w:hint="default"/>
      </w:rPr>
    </w:lvl>
  </w:abstractNum>
  <w:abstractNum w:abstractNumId="21">
    <w:nsid w:val="CE070D88"/>
    <w:multiLevelType w:val="singleLevel"/>
    <w:tmpl w:val="CE070D88"/>
    <w:lvl w:ilvl="0" w:tentative="0">
      <w:start w:val="1"/>
      <w:numFmt w:val="decimal"/>
      <w:lvlText w:val="%1."/>
      <w:lvlJc w:val="left"/>
      <w:pPr>
        <w:tabs>
          <w:tab w:val="left" w:pos="312"/>
        </w:tabs>
      </w:pPr>
    </w:lvl>
  </w:abstractNum>
  <w:abstractNum w:abstractNumId="22">
    <w:nsid w:val="CED8CD35"/>
    <w:multiLevelType w:val="singleLevel"/>
    <w:tmpl w:val="CED8CD35"/>
    <w:lvl w:ilvl="0" w:tentative="0">
      <w:start w:val="1"/>
      <w:numFmt w:val="decimal"/>
      <w:suff w:val="nothing"/>
      <w:lvlText w:val="%1．"/>
      <w:lvlJc w:val="left"/>
      <w:pPr>
        <w:ind w:left="0" w:firstLine="400"/>
      </w:pPr>
      <w:rPr>
        <w:rFonts w:hint="default"/>
      </w:rPr>
    </w:lvl>
  </w:abstractNum>
  <w:abstractNum w:abstractNumId="23">
    <w:nsid w:val="D8F24A8B"/>
    <w:multiLevelType w:val="singleLevel"/>
    <w:tmpl w:val="D8F24A8B"/>
    <w:lvl w:ilvl="0" w:tentative="0">
      <w:start w:val="1"/>
      <w:numFmt w:val="decimal"/>
      <w:lvlText w:val="%1."/>
      <w:lvlJc w:val="left"/>
      <w:pPr>
        <w:tabs>
          <w:tab w:val="left" w:pos="420"/>
        </w:tabs>
        <w:ind w:left="845" w:hanging="425"/>
      </w:pPr>
      <w:rPr>
        <w:rFonts w:hint="default"/>
      </w:rPr>
    </w:lvl>
  </w:abstractNum>
  <w:abstractNum w:abstractNumId="24">
    <w:nsid w:val="D99057B4"/>
    <w:multiLevelType w:val="singleLevel"/>
    <w:tmpl w:val="D99057B4"/>
    <w:lvl w:ilvl="0" w:tentative="0">
      <w:start w:val="1"/>
      <w:numFmt w:val="decimal"/>
      <w:suff w:val="nothing"/>
      <w:lvlText w:val="%1．"/>
      <w:lvlJc w:val="left"/>
      <w:pPr>
        <w:ind w:left="0" w:firstLine="400"/>
      </w:pPr>
      <w:rPr>
        <w:rFonts w:hint="default"/>
      </w:rPr>
    </w:lvl>
  </w:abstractNum>
  <w:abstractNum w:abstractNumId="25">
    <w:nsid w:val="DF52C708"/>
    <w:multiLevelType w:val="singleLevel"/>
    <w:tmpl w:val="DF52C708"/>
    <w:lvl w:ilvl="0" w:tentative="0">
      <w:start w:val="1"/>
      <w:numFmt w:val="decimal"/>
      <w:lvlText w:val="%1."/>
      <w:lvlJc w:val="left"/>
      <w:pPr>
        <w:tabs>
          <w:tab w:val="left" w:pos="420"/>
        </w:tabs>
        <w:ind w:left="845" w:hanging="425"/>
      </w:pPr>
      <w:rPr>
        <w:rFonts w:hint="default"/>
      </w:rPr>
    </w:lvl>
  </w:abstractNum>
  <w:abstractNum w:abstractNumId="26">
    <w:nsid w:val="E3CECF45"/>
    <w:multiLevelType w:val="singleLevel"/>
    <w:tmpl w:val="E3CECF45"/>
    <w:lvl w:ilvl="0" w:tentative="0">
      <w:start w:val="1"/>
      <w:numFmt w:val="decimal"/>
      <w:suff w:val="nothing"/>
      <w:lvlText w:val="%1．"/>
      <w:lvlJc w:val="left"/>
      <w:pPr>
        <w:ind w:left="0" w:firstLine="400"/>
      </w:pPr>
      <w:rPr>
        <w:rFonts w:hint="default"/>
      </w:rPr>
    </w:lvl>
  </w:abstractNum>
  <w:abstractNum w:abstractNumId="27">
    <w:nsid w:val="EBCF323A"/>
    <w:multiLevelType w:val="singleLevel"/>
    <w:tmpl w:val="EBCF323A"/>
    <w:lvl w:ilvl="0" w:tentative="0">
      <w:start w:val="1"/>
      <w:numFmt w:val="decimal"/>
      <w:lvlText w:val="%1."/>
      <w:lvlJc w:val="left"/>
      <w:pPr>
        <w:tabs>
          <w:tab w:val="left" w:pos="312"/>
        </w:tabs>
      </w:pPr>
    </w:lvl>
  </w:abstractNum>
  <w:abstractNum w:abstractNumId="28">
    <w:nsid w:val="EDCDD7AA"/>
    <w:multiLevelType w:val="singleLevel"/>
    <w:tmpl w:val="EDCDD7AA"/>
    <w:lvl w:ilvl="0" w:tentative="0">
      <w:start w:val="1"/>
      <w:numFmt w:val="decimal"/>
      <w:lvlText w:val="%1."/>
      <w:lvlJc w:val="left"/>
      <w:pPr>
        <w:ind w:left="425" w:hanging="425"/>
      </w:pPr>
      <w:rPr>
        <w:rFonts w:hint="default"/>
      </w:rPr>
    </w:lvl>
  </w:abstractNum>
  <w:abstractNum w:abstractNumId="29">
    <w:nsid w:val="EEC7121B"/>
    <w:multiLevelType w:val="singleLevel"/>
    <w:tmpl w:val="EEC7121B"/>
    <w:lvl w:ilvl="0" w:tentative="0">
      <w:start w:val="1"/>
      <w:numFmt w:val="decimal"/>
      <w:lvlText w:val="(%1)"/>
      <w:lvlJc w:val="left"/>
      <w:pPr>
        <w:ind w:left="425" w:hanging="425"/>
      </w:pPr>
      <w:rPr>
        <w:rFonts w:hint="default"/>
      </w:rPr>
    </w:lvl>
  </w:abstractNum>
  <w:abstractNum w:abstractNumId="30">
    <w:nsid w:val="F409BF88"/>
    <w:multiLevelType w:val="singleLevel"/>
    <w:tmpl w:val="F409BF88"/>
    <w:lvl w:ilvl="0" w:tentative="0">
      <w:start w:val="1"/>
      <w:numFmt w:val="decimal"/>
      <w:suff w:val="nothing"/>
      <w:lvlText w:val="%1．"/>
      <w:lvlJc w:val="left"/>
      <w:pPr>
        <w:ind w:left="0" w:firstLine="400"/>
      </w:pPr>
      <w:rPr>
        <w:rFonts w:hint="default"/>
      </w:rPr>
    </w:lvl>
  </w:abstractNum>
  <w:abstractNum w:abstractNumId="31">
    <w:nsid w:val="FDAE2836"/>
    <w:multiLevelType w:val="singleLevel"/>
    <w:tmpl w:val="FDAE2836"/>
    <w:lvl w:ilvl="0" w:tentative="0">
      <w:start w:val="1"/>
      <w:numFmt w:val="decimal"/>
      <w:suff w:val="nothing"/>
      <w:lvlText w:val="%1）"/>
      <w:lvlJc w:val="left"/>
    </w:lvl>
  </w:abstractNum>
  <w:abstractNum w:abstractNumId="32">
    <w:nsid w:val="00000003"/>
    <w:multiLevelType w:val="singleLevel"/>
    <w:tmpl w:val="00000003"/>
    <w:lvl w:ilvl="0" w:tentative="0">
      <w:start w:val="5"/>
      <w:numFmt w:val="decimal"/>
      <w:lvlText w:val="%1."/>
      <w:lvlJc w:val="left"/>
      <w:pPr>
        <w:tabs>
          <w:tab w:val="left" w:pos="312"/>
        </w:tabs>
      </w:pPr>
    </w:lvl>
  </w:abstractNum>
  <w:abstractNum w:abstractNumId="33">
    <w:nsid w:val="0BFF31DB"/>
    <w:multiLevelType w:val="singleLevel"/>
    <w:tmpl w:val="0BFF31DB"/>
    <w:lvl w:ilvl="0" w:tentative="0">
      <w:start w:val="1"/>
      <w:numFmt w:val="decimal"/>
      <w:suff w:val="nothing"/>
      <w:lvlText w:val="%1、"/>
      <w:lvlJc w:val="left"/>
    </w:lvl>
  </w:abstractNum>
  <w:abstractNum w:abstractNumId="34">
    <w:nsid w:val="110BF8B1"/>
    <w:multiLevelType w:val="singleLevel"/>
    <w:tmpl w:val="110BF8B1"/>
    <w:lvl w:ilvl="0" w:tentative="0">
      <w:start w:val="1"/>
      <w:numFmt w:val="decimal"/>
      <w:suff w:val="space"/>
      <w:lvlText w:val="%1)"/>
      <w:lvlJc w:val="left"/>
      <w:pPr>
        <w:ind w:left="425" w:hanging="425"/>
      </w:pPr>
      <w:rPr>
        <w:rFonts w:hint="default"/>
      </w:rPr>
    </w:lvl>
  </w:abstractNum>
  <w:abstractNum w:abstractNumId="35">
    <w:nsid w:val="115D57F6"/>
    <w:multiLevelType w:val="multilevel"/>
    <w:tmpl w:val="115D57F6"/>
    <w:lvl w:ilvl="0" w:tentative="0">
      <w:start w:val="1"/>
      <w:numFmt w:val="upperLetter"/>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11D362C3"/>
    <w:multiLevelType w:val="singleLevel"/>
    <w:tmpl w:val="11D362C3"/>
    <w:lvl w:ilvl="0" w:tentative="0">
      <w:start w:val="1"/>
      <w:numFmt w:val="decimal"/>
      <w:suff w:val="nothing"/>
      <w:lvlText w:val="%1．"/>
      <w:lvlJc w:val="left"/>
      <w:pPr>
        <w:ind w:left="0" w:firstLine="400"/>
      </w:pPr>
      <w:rPr>
        <w:rFonts w:hint="default"/>
      </w:rPr>
    </w:lvl>
  </w:abstractNum>
  <w:abstractNum w:abstractNumId="37">
    <w:nsid w:val="12EE6727"/>
    <w:multiLevelType w:val="multilevel"/>
    <w:tmpl w:val="12EE6727"/>
    <w:lvl w:ilvl="0" w:tentative="0">
      <w:start w:val="1"/>
      <w:numFmt w:val="upperLetter"/>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14AD746B"/>
    <w:multiLevelType w:val="multilevel"/>
    <w:tmpl w:val="14AD746B"/>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15BA9084"/>
    <w:multiLevelType w:val="multilevel"/>
    <w:tmpl w:val="15BA9084"/>
    <w:lvl w:ilvl="0" w:tentative="0">
      <w:start w:val="1"/>
      <w:numFmt w:val="decimal"/>
      <w:suff w:val="space"/>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17CE3665"/>
    <w:multiLevelType w:val="singleLevel"/>
    <w:tmpl w:val="17CE3665"/>
    <w:lvl w:ilvl="0" w:tentative="0">
      <w:start w:val="1"/>
      <w:numFmt w:val="decimal"/>
      <w:lvlText w:val="%1."/>
      <w:lvlJc w:val="left"/>
      <w:pPr>
        <w:tabs>
          <w:tab w:val="left" w:pos="312"/>
        </w:tabs>
      </w:pPr>
    </w:lvl>
  </w:abstractNum>
  <w:abstractNum w:abstractNumId="41">
    <w:nsid w:val="20923BA6"/>
    <w:multiLevelType w:val="multilevel"/>
    <w:tmpl w:val="20923BA6"/>
    <w:lvl w:ilvl="0" w:tentative="0">
      <w:start w:val="1"/>
      <w:numFmt w:val="upperLetter"/>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2C9145CD"/>
    <w:multiLevelType w:val="singleLevel"/>
    <w:tmpl w:val="2C9145CD"/>
    <w:lvl w:ilvl="0" w:tentative="0">
      <w:start w:val="1"/>
      <w:numFmt w:val="bullet"/>
      <w:lvlText w:val=""/>
      <w:lvlJc w:val="left"/>
      <w:pPr>
        <w:ind w:left="420" w:hanging="420"/>
      </w:pPr>
      <w:rPr>
        <w:rFonts w:hint="default" w:ascii="Wingdings" w:hAnsi="Wingdings"/>
      </w:rPr>
    </w:lvl>
  </w:abstractNum>
  <w:abstractNum w:abstractNumId="43">
    <w:nsid w:val="309922CF"/>
    <w:multiLevelType w:val="singleLevel"/>
    <w:tmpl w:val="309922CF"/>
    <w:lvl w:ilvl="0" w:tentative="0">
      <w:start w:val="1"/>
      <w:numFmt w:val="chineseCounting"/>
      <w:suff w:val="nothing"/>
      <w:lvlText w:val="%1、"/>
      <w:lvlJc w:val="left"/>
      <w:rPr>
        <w:rFonts w:hint="eastAsia"/>
      </w:rPr>
    </w:lvl>
  </w:abstractNum>
  <w:abstractNum w:abstractNumId="44">
    <w:nsid w:val="3D354E43"/>
    <w:multiLevelType w:val="singleLevel"/>
    <w:tmpl w:val="3D354E43"/>
    <w:lvl w:ilvl="0" w:tentative="0">
      <w:start w:val="1"/>
      <w:numFmt w:val="decimal"/>
      <w:suff w:val="nothing"/>
      <w:lvlText w:val="%1．"/>
      <w:lvlJc w:val="left"/>
      <w:pPr>
        <w:ind w:left="0" w:firstLine="400"/>
      </w:pPr>
      <w:rPr>
        <w:rFonts w:hint="default"/>
      </w:rPr>
    </w:lvl>
  </w:abstractNum>
  <w:abstractNum w:abstractNumId="45">
    <w:nsid w:val="43ED7C15"/>
    <w:multiLevelType w:val="singleLevel"/>
    <w:tmpl w:val="43ED7C15"/>
    <w:lvl w:ilvl="0" w:tentative="0">
      <w:start w:val="1"/>
      <w:numFmt w:val="decimal"/>
      <w:suff w:val="nothing"/>
      <w:lvlText w:val="%1）"/>
      <w:lvlJc w:val="left"/>
    </w:lvl>
  </w:abstractNum>
  <w:abstractNum w:abstractNumId="46">
    <w:nsid w:val="4801734C"/>
    <w:multiLevelType w:val="singleLevel"/>
    <w:tmpl w:val="4801734C"/>
    <w:lvl w:ilvl="0" w:tentative="0">
      <w:start w:val="1"/>
      <w:numFmt w:val="decimal"/>
      <w:suff w:val="nothing"/>
      <w:lvlText w:val="%1、"/>
      <w:lvlJc w:val="left"/>
    </w:lvl>
  </w:abstractNum>
  <w:abstractNum w:abstractNumId="47">
    <w:nsid w:val="4AACFF21"/>
    <w:multiLevelType w:val="singleLevel"/>
    <w:tmpl w:val="4AACFF21"/>
    <w:lvl w:ilvl="0" w:tentative="0">
      <w:start w:val="1"/>
      <w:numFmt w:val="decimal"/>
      <w:lvlText w:val="%1."/>
      <w:lvlJc w:val="left"/>
      <w:pPr>
        <w:tabs>
          <w:tab w:val="left" w:pos="420"/>
        </w:tabs>
        <w:ind w:left="845" w:hanging="425"/>
      </w:pPr>
      <w:rPr>
        <w:rFonts w:hint="default"/>
      </w:rPr>
    </w:lvl>
  </w:abstractNum>
  <w:abstractNum w:abstractNumId="48">
    <w:nsid w:val="4EA00357"/>
    <w:multiLevelType w:val="multilevel"/>
    <w:tmpl w:val="4EA00357"/>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9">
    <w:nsid w:val="53F37C48"/>
    <w:multiLevelType w:val="singleLevel"/>
    <w:tmpl w:val="53F37C48"/>
    <w:lvl w:ilvl="0" w:tentative="0">
      <w:start w:val="1"/>
      <w:numFmt w:val="decimal"/>
      <w:lvlText w:val="%1."/>
      <w:lvlJc w:val="left"/>
      <w:pPr>
        <w:tabs>
          <w:tab w:val="left" w:pos="420"/>
        </w:tabs>
        <w:ind w:left="845" w:hanging="425"/>
      </w:pPr>
      <w:rPr>
        <w:rFonts w:hint="default"/>
      </w:rPr>
    </w:lvl>
  </w:abstractNum>
  <w:abstractNum w:abstractNumId="50">
    <w:nsid w:val="58905512"/>
    <w:multiLevelType w:val="singleLevel"/>
    <w:tmpl w:val="58905512"/>
    <w:lvl w:ilvl="0" w:tentative="0">
      <w:start w:val="1"/>
      <w:numFmt w:val="decimal"/>
      <w:lvlText w:val="%1."/>
      <w:lvlJc w:val="left"/>
      <w:pPr>
        <w:tabs>
          <w:tab w:val="left" w:pos="420"/>
        </w:tabs>
        <w:ind w:left="845" w:hanging="425"/>
      </w:pPr>
      <w:rPr>
        <w:rFonts w:hint="default"/>
      </w:rPr>
    </w:lvl>
  </w:abstractNum>
  <w:abstractNum w:abstractNumId="51">
    <w:nsid w:val="5F835D4F"/>
    <w:multiLevelType w:val="singleLevel"/>
    <w:tmpl w:val="5F835D4F"/>
    <w:lvl w:ilvl="0" w:tentative="0">
      <w:start w:val="1"/>
      <w:numFmt w:val="decimal"/>
      <w:lvlText w:val="%1."/>
      <w:lvlJc w:val="left"/>
      <w:pPr>
        <w:tabs>
          <w:tab w:val="left" w:pos="420"/>
        </w:tabs>
        <w:ind w:left="845" w:hanging="425"/>
      </w:pPr>
      <w:rPr>
        <w:rFonts w:hint="default"/>
      </w:rPr>
    </w:lvl>
  </w:abstractNum>
  <w:abstractNum w:abstractNumId="52">
    <w:nsid w:val="64F71F6D"/>
    <w:multiLevelType w:val="multilevel"/>
    <w:tmpl w:val="64F71F6D"/>
    <w:lvl w:ilvl="0" w:tentative="0">
      <w:start w:val="1"/>
      <w:numFmt w:val="decimal"/>
      <w:suff w:val="space"/>
      <w:lvlText w:val="第%1章"/>
      <w:lvlJc w:val="left"/>
      <w:pPr>
        <w:tabs>
          <w:tab w:val="left" w:pos="0"/>
        </w:tabs>
        <w:ind w:left="0" w:firstLine="0"/>
      </w:pPr>
      <w:rPr>
        <w:rFonts w:hint="default"/>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isLgl/>
      <w:suff w:val="space"/>
      <w:lvlText w:val="%1.%2.%3.%4"/>
      <w:lvlJc w:val="left"/>
      <w:pPr>
        <w:ind w:left="0" w:firstLine="0"/>
      </w:pPr>
      <w:rPr>
        <w:rFonts w:hint="eastAsia"/>
      </w:rPr>
    </w:lvl>
    <w:lvl w:ilvl="4" w:tentative="0">
      <w:start w:val="1"/>
      <w:numFmt w:val="decimal"/>
      <w:suff w:val="space"/>
      <w:lvlText w:val="%1.%2.%3.%4.%5"/>
      <w:lvlJc w:val="left"/>
      <w:pPr>
        <w:ind w:left="0" w:firstLine="0"/>
      </w:pPr>
      <w:rPr>
        <w:rFonts w:hint="default"/>
      </w:rPr>
    </w:lvl>
    <w:lvl w:ilvl="5" w:tentative="0">
      <w:start w:val="1"/>
      <w:numFmt w:val="decimal"/>
      <w:lvlRestart w:val="4"/>
      <w:suff w:val="space"/>
      <w:lvlText w:val="（%6）"/>
      <w:lvlJc w:val="left"/>
      <w:pPr>
        <w:ind w:left="0" w:firstLine="0"/>
      </w:pPr>
      <w:rPr>
        <w:rFonts w:hint="default"/>
      </w:rPr>
    </w:lvl>
    <w:lvl w:ilvl="6" w:tentative="0">
      <w:start w:val="1"/>
      <w:numFmt w:val="decimal"/>
      <w:lvlRestart w:val="4"/>
      <w:suff w:val="space"/>
      <w:lvlText w:val="%7）"/>
      <w:lvlJc w:val="left"/>
      <w:pPr>
        <w:ind w:left="0" w:firstLine="0"/>
      </w:pPr>
      <w:rPr>
        <w:rFonts w:hint="eastAsia"/>
      </w:rPr>
    </w:lvl>
    <w:lvl w:ilvl="7" w:tentative="0">
      <w:start w:val="1"/>
      <w:numFmt w:val="decimal"/>
      <w:lvlRestart w:val="0"/>
      <w:isLgl/>
      <w:suff w:val="space"/>
      <w:lvlText w:val="图%8"/>
      <w:lvlJc w:val="left"/>
      <w:pPr>
        <w:tabs>
          <w:tab w:val="left" w:pos="0"/>
        </w:tabs>
        <w:ind w:left="0" w:firstLine="0"/>
      </w:pPr>
      <w:rPr>
        <w:rFonts w:hint="eastAsia"/>
      </w:rPr>
    </w:lvl>
    <w:lvl w:ilvl="8" w:tentative="0">
      <w:start w:val="1"/>
      <w:numFmt w:val="decimal"/>
      <w:lvlRestart w:val="4"/>
      <w:isLgl/>
      <w:suff w:val="space"/>
      <w:lvlText w:val="表%1-%9"/>
      <w:lvlJc w:val="left"/>
      <w:pPr>
        <w:ind w:left="0" w:firstLine="0"/>
      </w:pPr>
      <w:rPr>
        <w:rFonts w:hint="eastAsia"/>
      </w:rPr>
    </w:lvl>
  </w:abstractNum>
  <w:abstractNum w:abstractNumId="53">
    <w:nsid w:val="761BF9BD"/>
    <w:multiLevelType w:val="multilevel"/>
    <w:tmpl w:val="761BF9BD"/>
    <w:lvl w:ilvl="0" w:tentative="0">
      <w:start w:val="1"/>
      <w:numFmt w:val="decimal"/>
      <w:suff w:val="nothing"/>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4">
    <w:nsid w:val="77648160"/>
    <w:multiLevelType w:val="singleLevel"/>
    <w:tmpl w:val="77648160"/>
    <w:lvl w:ilvl="0" w:tentative="0">
      <w:start w:val="2"/>
      <w:numFmt w:val="decimal"/>
      <w:suff w:val="nothing"/>
      <w:lvlText w:val="（%1）"/>
      <w:lvlJc w:val="left"/>
    </w:lvl>
  </w:abstractNum>
  <w:abstractNum w:abstractNumId="55">
    <w:nsid w:val="77DC7018"/>
    <w:multiLevelType w:val="singleLevel"/>
    <w:tmpl w:val="77DC7018"/>
    <w:lvl w:ilvl="0" w:tentative="0">
      <w:start w:val="1"/>
      <w:numFmt w:val="decimal"/>
      <w:suff w:val="nothing"/>
      <w:lvlText w:val="%1）"/>
      <w:lvlJc w:val="left"/>
    </w:lvl>
  </w:abstractNum>
  <w:abstractNum w:abstractNumId="56">
    <w:nsid w:val="7860473E"/>
    <w:multiLevelType w:val="multilevel"/>
    <w:tmpl w:val="7860473E"/>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7">
    <w:nsid w:val="7B4FA820"/>
    <w:multiLevelType w:val="singleLevel"/>
    <w:tmpl w:val="7B4FA820"/>
    <w:lvl w:ilvl="0" w:tentative="0">
      <w:start w:val="1"/>
      <w:numFmt w:val="decimal"/>
      <w:lvlText w:val="%1."/>
      <w:lvlJc w:val="left"/>
      <w:pPr>
        <w:ind w:left="425" w:hanging="425"/>
      </w:pPr>
      <w:rPr>
        <w:rFonts w:hint="default"/>
      </w:rPr>
    </w:lvl>
  </w:abstractNum>
  <w:num w:numId="1">
    <w:abstractNumId w:val="7"/>
  </w:num>
  <w:num w:numId="2">
    <w:abstractNumId w:val="13"/>
  </w:num>
  <w:num w:numId="3">
    <w:abstractNumId w:val="43"/>
  </w:num>
  <w:num w:numId="4">
    <w:abstractNumId w:val="32"/>
  </w:num>
  <w:num w:numId="5">
    <w:abstractNumId w:val="39"/>
  </w:num>
  <w:num w:numId="6">
    <w:abstractNumId w:val="54"/>
  </w:num>
  <w:num w:numId="7">
    <w:abstractNumId w:val="52"/>
  </w:num>
  <w:num w:numId="8">
    <w:abstractNumId w:val="34"/>
  </w:num>
  <w:num w:numId="9">
    <w:abstractNumId w:val="26"/>
  </w:num>
  <w:num w:numId="10">
    <w:abstractNumId w:val="20"/>
  </w:num>
  <w:num w:numId="11">
    <w:abstractNumId w:val="28"/>
  </w:num>
  <w:num w:numId="12">
    <w:abstractNumId w:val="8"/>
  </w:num>
  <w:num w:numId="13">
    <w:abstractNumId w:val="25"/>
  </w:num>
  <w:num w:numId="14">
    <w:abstractNumId w:val="47"/>
  </w:num>
  <w:num w:numId="15">
    <w:abstractNumId w:val="51"/>
  </w:num>
  <w:num w:numId="16">
    <w:abstractNumId w:val="49"/>
  </w:num>
  <w:num w:numId="17">
    <w:abstractNumId w:val="4"/>
  </w:num>
  <w:num w:numId="18">
    <w:abstractNumId w:val="24"/>
  </w:num>
  <w:num w:numId="19">
    <w:abstractNumId w:val="23"/>
  </w:num>
  <w:num w:numId="20">
    <w:abstractNumId w:val="10"/>
  </w:num>
  <w:num w:numId="21">
    <w:abstractNumId w:val="53"/>
  </w:num>
  <w:num w:numId="22">
    <w:abstractNumId w:val="1"/>
  </w:num>
  <w:num w:numId="23">
    <w:abstractNumId w:val="48"/>
  </w:num>
  <w:num w:numId="24">
    <w:abstractNumId w:val="9"/>
  </w:num>
  <w:num w:numId="25">
    <w:abstractNumId w:val="38"/>
  </w:num>
  <w:num w:numId="26">
    <w:abstractNumId w:val="0"/>
  </w:num>
  <w:num w:numId="27">
    <w:abstractNumId w:val="33"/>
  </w:num>
  <w:num w:numId="28">
    <w:abstractNumId w:val="40"/>
  </w:num>
  <w:num w:numId="29">
    <w:abstractNumId w:val="50"/>
  </w:num>
  <w:num w:numId="30">
    <w:abstractNumId w:val="46"/>
  </w:num>
  <w:num w:numId="31">
    <w:abstractNumId w:val="18"/>
  </w:num>
  <w:num w:numId="32">
    <w:abstractNumId w:val="3"/>
  </w:num>
  <w:num w:numId="33">
    <w:abstractNumId w:val="56"/>
  </w:num>
  <w:num w:numId="34">
    <w:abstractNumId w:val="57"/>
  </w:num>
  <w:num w:numId="35">
    <w:abstractNumId w:val="17"/>
  </w:num>
  <w:num w:numId="36">
    <w:abstractNumId w:val="42"/>
  </w:num>
  <w:num w:numId="37">
    <w:abstractNumId w:val="55"/>
  </w:num>
  <w:num w:numId="38">
    <w:abstractNumId w:val="14"/>
  </w:num>
  <w:num w:numId="39">
    <w:abstractNumId w:val="27"/>
  </w:num>
  <w:num w:numId="40">
    <w:abstractNumId w:val="31"/>
  </w:num>
  <w:num w:numId="41">
    <w:abstractNumId w:val="45"/>
  </w:num>
  <w:num w:numId="42">
    <w:abstractNumId w:val="5"/>
  </w:num>
  <w:num w:numId="43">
    <w:abstractNumId w:val="37"/>
  </w:num>
  <w:num w:numId="44">
    <w:abstractNumId w:val="41"/>
  </w:num>
  <w:num w:numId="45">
    <w:abstractNumId w:val="11"/>
  </w:num>
  <w:num w:numId="46">
    <w:abstractNumId w:val="35"/>
  </w:num>
  <w:num w:numId="47">
    <w:abstractNumId w:val="16"/>
  </w:num>
  <w:num w:numId="48">
    <w:abstractNumId w:val="15"/>
  </w:num>
  <w:num w:numId="49">
    <w:abstractNumId w:val="12"/>
  </w:num>
  <w:num w:numId="50">
    <w:abstractNumId w:val="36"/>
  </w:num>
  <w:num w:numId="51">
    <w:abstractNumId w:val="2"/>
  </w:num>
  <w:num w:numId="52">
    <w:abstractNumId w:val="29"/>
  </w:num>
  <w:num w:numId="53">
    <w:abstractNumId w:val="21"/>
  </w:num>
  <w:num w:numId="54">
    <w:abstractNumId w:val="6"/>
  </w:num>
  <w:num w:numId="55">
    <w:abstractNumId w:val="22"/>
  </w:num>
  <w:num w:numId="56">
    <w:abstractNumId w:val="30"/>
  </w:num>
  <w:num w:numId="57">
    <w:abstractNumId w:val="19"/>
  </w:num>
  <w:num w:numId="58">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JmNTAxYTA0NTllZTU0OWY5NWY0MWNlMzBjNGU2OTYifQ=="/>
  </w:docVars>
  <w:rsids>
    <w:rsidRoot w:val="1B855F93"/>
    <w:rsid w:val="000015AB"/>
    <w:rsid w:val="00065B06"/>
    <w:rsid w:val="00081BF9"/>
    <w:rsid w:val="00083E2D"/>
    <w:rsid w:val="00087CA0"/>
    <w:rsid w:val="000C446A"/>
    <w:rsid w:val="000D033E"/>
    <w:rsid w:val="000D4CB2"/>
    <w:rsid w:val="000E30B5"/>
    <w:rsid w:val="00106018"/>
    <w:rsid w:val="001137BF"/>
    <w:rsid w:val="00134C33"/>
    <w:rsid w:val="00164E30"/>
    <w:rsid w:val="00174479"/>
    <w:rsid w:val="0019050E"/>
    <w:rsid w:val="001A0433"/>
    <w:rsid w:val="0021235C"/>
    <w:rsid w:val="00214497"/>
    <w:rsid w:val="002207DB"/>
    <w:rsid w:val="0022288F"/>
    <w:rsid w:val="00230139"/>
    <w:rsid w:val="002409B1"/>
    <w:rsid w:val="00280F46"/>
    <w:rsid w:val="002A58AE"/>
    <w:rsid w:val="002B6B9D"/>
    <w:rsid w:val="002B729F"/>
    <w:rsid w:val="002E11EB"/>
    <w:rsid w:val="002E15CF"/>
    <w:rsid w:val="002E4860"/>
    <w:rsid w:val="002F2AF7"/>
    <w:rsid w:val="003002C6"/>
    <w:rsid w:val="00346D56"/>
    <w:rsid w:val="00352CB9"/>
    <w:rsid w:val="00353A4F"/>
    <w:rsid w:val="00364EB0"/>
    <w:rsid w:val="003A0088"/>
    <w:rsid w:val="003A35D3"/>
    <w:rsid w:val="003A57F2"/>
    <w:rsid w:val="003A67B4"/>
    <w:rsid w:val="003D3DA5"/>
    <w:rsid w:val="003F220A"/>
    <w:rsid w:val="003F706B"/>
    <w:rsid w:val="00400250"/>
    <w:rsid w:val="0044321A"/>
    <w:rsid w:val="00460BF0"/>
    <w:rsid w:val="00465249"/>
    <w:rsid w:val="00470C29"/>
    <w:rsid w:val="00473852"/>
    <w:rsid w:val="00483994"/>
    <w:rsid w:val="00484DC6"/>
    <w:rsid w:val="00487BFB"/>
    <w:rsid w:val="004D1E86"/>
    <w:rsid w:val="004D3D51"/>
    <w:rsid w:val="004D5B94"/>
    <w:rsid w:val="004D7EFD"/>
    <w:rsid w:val="004E4D1C"/>
    <w:rsid w:val="004E6736"/>
    <w:rsid w:val="004F7186"/>
    <w:rsid w:val="0050200A"/>
    <w:rsid w:val="005034E7"/>
    <w:rsid w:val="00534F46"/>
    <w:rsid w:val="00546FD1"/>
    <w:rsid w:val="005855FA"/>
    <w:rsid w:val="005C7FF3"/>
    <w:rsid w:val="005E463B"/>
    <w:rsid w:val="005E5EC5"/>
    <w:rsid w:val="005E5EDE"/>
    <w:rsid w:val="005F1EAE"/>
    <w:rsid w:val="005F1F64"/>
    <w:rsid w:val="0064443A"/>
    <w:rsid w:val="00683216"/>
    <w:rsid w:val="006908C9"/>
    <w:rsid w:val="006A4F99"/>
    <w:rsid w:val="006A76DA"/>
    <w:rsid w:val="006C5447"/>
    <w:rsid w:val="006E5BD6"/>
    <w:rsid w:val="006E5F23"/>
    <w:rsid w:val="006F5680"/>
    <w:rsid w:val="00700F31"/>
    <w:rsid w:val="00702D1D"/>
    <w:rsid w:val="0072692D"/>
    <w:rsid w:val="00753961"/>
    <w:rsid w:val="007558AF"/>
    <w:rsid w:val="00771C8E"/>
    <w:rsid w:val="00773611"/>
    <w:rsid w:val="007E3841"/>
    <w:rsid w:val="007E6CAD"/>
    <w:rsid w:val="0080021E"/>
    <w:rsid w:val="008145BC"/>
    <w:rsid w:val="00871D95"/>
    <w:rsid w:val="00872CC0"/>
    <w:rsid w:val="008753C6"/>
    <w:rsid w:val="008D0D74"/>
    <w:rsid w:val="008D4D87"/>
    <w:rsid w:val="009051F2"/>
    <w:rsid w:val="0092229E"/>
    <w:rsid w:val="00943182"/>
    <w:rsid w:val="0096027F"/>
    <w:rsid w:val="0098547A"/>
    <w:rsid w:val="009B09AB"/>
    <w:rsid w:val="009B5A57"/>
    <w:rsid w:val="009D26FE"/>
    <w:rsid w:val="009E1C34"/>
    <w:rsid w:val="00A516BE"/>
    <w:rsid w:val="00A52AF9"/>
    <w:rsid w:val="00A841BB"/>
    <w:rsid w:val="00AA3A78"/>
    <w:rsid w:val="00B01635"/>
    <w:rsid w:val="00B619E1"/>
    <w:rsid w:val="00B808F8"/>
    <w:rsid w:val="00B86C77"/>
    <w:rsid w:val="00B907CF"/>
    <w:rsid w:val="00BD6548"/>
    <w:rsid w:val="00C20CC4"/>
    <w:rsid w:val="00C30A5C"/>
    <w:rsid w:val="00C36202"/>
    <w:rsid w:val="00C54ABA"/>
    <w:rsid w:val="00C62588"/>
    <w:rsid w:val="00C77D36"/>
    <w:rsid w:val="00C909DE"/>
    <w:rsid w:val="00CA0B9B"/>
    <w:rsid w:val="00CE3224"/>
    <w:rsid w:val="00CF0BE9"/>
    <w:rsid w:val="00D36918"/>
    <w:rsid w:val="00D409DD"/>
    <w:rsid w:val="00D42844"/>
    <w:rsid w:val="00D44502"/>
    <w:rsid w:val="00D80CE0"/>
    <w:rsid w:val="00D84F55"/>
    <w:rsid w:val="00D94323"/>
    <w:rsid w:val="00DA4C1A"/>
    <w:rsid w:val="00DE42A7"/>
    <w:rsid w:val="00DF7042"/>
    <w:rsid w:val="00E52C6C"/>
    <w:rsid w:val="00E6671D"/>
    <w:rsid w:val="00E805CB"/>
    <w:rsid w:val="00E85DA7"/>
    <w:rsid w:val="00E93014"/>
    <w:rsid w:val="00EA2079"/>
    <w:rsid w:val="00F01C45"/>
    <w:rsid w:val="00F156A0"/>
    <w:rsid w:val="00F306D3"/>
    <w:rsid w:val="00F45F4E"/>
    <w:rsid w:val="00F544AA"/>
    <w:rsid w:val="00F5760D"/>
    <w:rsid w:val="00F906BC"/>
    <w:rsid w:val="00FA2D17"/>
    <w:rsid w:val="00FA7E9F"/>
    <w:rsid w:val="00FC698E"/>
    <w:rsid w:val="018E53BB"/>
    <w:rsid w:val="02EB6A8D"/>
    <w:rsid w:val="03D51580"/>
    <w:rsid w:val="043D4986"/>
    <w:rsid w:val="05661DE7"/>
    <w:rsid w:val="063C17D1"/>
    <w:rsid w:val="063E7AA1"/>
    <w:rsid w:val="06814A45"/>
    <w:rsid w:val="06BF4ADB"/>
    <w:rsid w:val="07DB0BF3"/>
    <w:rsid w:val="090B5543"/>
    <w:rsid w:val="0951221D"/>
    <w:rsid w:val="098C0A15"/>
    <w:rsid w:val="0EDFA62A"/>
    <w:rsid w:val="0FA41FA6"/>
    <w:rsid w:val="10186177"/>
    <w:rsid w:val="1113147C"/>
    <w:rsid w:val="125A0560"/>
    <w:rsid w:val="126628F8"/>
    <w:rsid w:val="1299735D"/>
    <w:rsid w:val="13B87399"/>
    <w:rsid w:val="15F20321"/>
    <w:rsid w:val="16C607FE"/>
    <w:rsid w:val="17C35773"/>
    <w:rsid w:val="182D5752"/>
    <w:rsid w:val="18700349"/>
    <w:rsid w:val="18846FE8"/>
    <w:rsid w:val="1942287E"/>
    <w:rsid w:val="1A1B5DE5"/>
    <w:rsid w:val="1A2C72F4"/>
    <w:rsid w:val="1A4F3CB5"/>
    <w:rsid w:val="1A694D5C"/>
    <w:rsid w:val="1ABE21EE"/>
    <w:rsid w:val="1B855F93"/>
    <w:rsid w:val="1CE974F2"/>
    <w:rsid w:val="1E0E3B64"/>
    <w:rsid w:val="1E414025"/>
    <w:rsid w:val="1EA60457"/>
    <w:rsid w:val="1FA31BDA"/>
    <w:rsid w:val="1FD76963"/>
    <w:rsid w:val="20547629"/>
    <w:rsid w:val="218A17F9"/>
    <w:rsid w:val="22B31104"/>
    <w:rsid w:val="23C96152"/>
    <w:rsid w:val="24131771"/>
    <w:rsid w:val="24191BEA"/>
    <w:rsid w:val="24264CF5"/>
    <w:rsid w:val="24F61130"/>
    <w:rsid w:val="25446A6C"/>
    <w:rsid w:val="26890B77"/>
    <w:rsid w:val="26F90CAB"/>
    <w:rsid w:val="27030B65"/>
    <w:rsid w:val="27206D69"/>
    <w:rsid w:val="278D69E3"/>
    <w:rsid w:val="27D34C2E"/>
    <w:rsid w:val="27FF590E"/>
    <w:rsid w:val="28B975DD"/>
    <w:rsid w:val="29174E4F"/>
    <w:rsid w:val="29924D42"/>
    <w:rsid w:val="2ADE5F9D"/>
    <w:rsid w:val="2C4F1046"/>
    <w:rsid w:val="2C7445D8"/>
    <w:rsid w:val="2E4A604B"/>
    <w:rsid w:val="2EA3453C"/>
    <w:rsid w:val="2EA67BB3"/>
    <w:rsid w:val="2EC8340B"/>
    <w:rsid w:val="2F0F2DE8"/>
    <w:rsid w:val="2F48774F"/>
    <w:rsid w:val="312B220F"/>
    <w:rsid w:val="31AE0C66"/>
    <w:rsid w:val="31C01C77"/>
    <w:rsid w:val="31FD6256"/>
    <w:rsid w:val="31FF4247"/>
    <w:rsid w:val="320B26E0"/>
    <w:rsid w:val="34145801"/>
    <w:rsid w:val="343B642D"/>
    <w:rsid w:val="34F47593"/>
    <w:rsid w:val="35B75F88"/>
    <w:rsid w:val="36302166"/>
    <w:rsid w:val="36AD1C42"/>
    <w:rsid w:val="36CC2871"/>
    <w:rsid w:val="38165991"/>
    <w:rsid w:val="38774730"/>
    <w:rsid w:val="38C51B22"/>
    <w:rsid w:val="38F35173"/>
    <w:rsid w:val="390366E6"/>
    <w:rsid w:val="39F93353"/>
    <w:rsid w:val="3A597F00"/>
    <w:rsid w:val="3CB25E9B"/>
    <w:rsid w:val="3D264C01"/>
    <w:rsid w:val="3D301E70"/>
    <w:rsid w:val="3D75529A"/>
    <w:rsid w:val="3D901896"/>
    <w:rsid w:val="3DF8538F"/>
    <w:rsid w:val="3E9C60CD"/>
    <w:rsid w:val="3EB267E4"/>
    <w:rsid w:val="3ECB4ED4"/>
    <w:rsid w:val="3EF45DA1"/>
    <w:rsid w:val="3F552CB6"/>
    <w:rsid w:val="3FAF1B27"/>
    <w:rsid w:val="3FD06E8F"/>
    <w:rsid w:val="40416B7A"/>
    <w:rsid w:val="40D021F2"/>
    <w:rsid w:val="41340567"/>
    <w:rsid w:val="41720A9E"/>
    <w:rsid w:val="41B067AF"/>
    <w:rsid w:val="42F063CB"/>
    <w:rsid w:val="43DE6686"/>
    <w:rsid w:val="44023647"/>
    <w:rsid w:val="45104046"/>
    <w:rsid w:val="4540181E"/>
    <w:rsid w:val="459B4120"/>
    <w:rsid w:val="45B47A11"/>
    <w:rsid w:val="46C4352E"/>
    <w:rsid w:val="475F4405"/>
    <w:rsid w:val="4765691D"/>
    <w:rsid w:val="47743179"/>
    <w:rsid w:val="47F60664"/>
    <w:rsid w:val="483940FA"/>
    <w:rsid w:val="484454BC"/>
    <w:rsid w:val="49425311"/>
    <w:rsid w:val="4A656815"/>
    <w:rsid w:val="4B0B09A4"/>
    <w:rsid w:val="4C1E4213"/>
    <w:rsid w:val="4CB82582"/>
    <w:rsid w:val="4D3F74B6"/>
    <w:rsid w:val="4D935371"/>
    <w:rsid w:val="4DA46956"/>
    <w:rsid w:val="4DE872AE"/>
    <w:rsid w:val="4E994E01"/>
    <w:rsid w:val="4EC65C4B"/>
    <w:rsid w:val="4F053087"/>
    <w:rsid w:val="4F646C85"/>
    <w:rsid w:val="4FFB9061"/>
    <w:rsid w:val="50004B2E"/>
    <w:rsid w:val="50242014"/>
    <w:rsid w:val="51681B3D"/>
    <w:rsid w:val="51813625"/>
    <w:rsid w:val="52142B27"/>
    <w:rsid w:val="55B1442E"/>
    <w:rsid w:val="55C6172B"/>
    <w:rsid w:val="55FF5E52"/>
    <w:rsid w:val="56694B7B"/>
    <w:rsid w:val="570B2830"/>
    <w:rsid w:val="573C06EB"/>
    <w:rsid w:val="591075D9"/>
    <w:rsid w:val="592D1F39"/>
    <w:rsid w:val="59875AED"/>
    <w:rsid w:val="5A2D7303"/>
    <w:rsid w:val="5A8B0F8E"/>
    <w:rsid w:val="5B1E25E9"/>
    <w:rsid w:val="5B392037"/>
    <w:rsid w:val="5B656453"/>
    <w:rsid w:val="5B75441A"/>
    <w:rsid w:val="5BEE4460"/>
    <w:rsid w:val="5C2957E8"/>
    <w:rsid w:val="5C916CF1"/>
    <w:rsid w:val="5D3958C4"/>
    <w:rsid w:val="5D944335"/>
    <w:rsid w:val="5E1467A0"/>
    <w:rsid w:val="5F4E3D65"/>
    <w:rsid w:val="5FE30E12"/>
    <w:rsid w:val="600B26F0"/>
    <w:rsid w:val="602C6657"/>
    <w:rsid w:val="616B1734"/>
    <w:rsid w:val="6205647D"/>
    <w:rsid w:val="62DD0881"/>
    <w:rsid w:val="640B10C9"/>
    <w:rsid w:val="64141A28"/>
    <w:rsid w:val="643E0F67"/>
    <w:rsid w:val="65586A9E"/>
    <w:rsid w:val="66222DB2"/>
    <w:rsid w:val="665506FB"/>
    <w:rsid w:val="66560F59"/>
    <w:rsid w:val="69447AD6"/>
    <w:rsid w:val="69A50535"/>
    <w:rsid w:val="6A8078BE"/>
    <w:rsid w:val="6BD81CBA"/>
    <w:rsid w:val="6C964C04"/>
    <w:rsid w:val="6CD854A1"/>
    <w:rsid w:val="6D4C69DA"/>
    <w:rsid w:val="6D8F642F"/>
    <w:rsid w:val="6E8E2369"/>
    <w:rsid w:val="6EC4438F"/>
    <w:rsid w:val="6EDB2337"/>
    <w:rsid w:val="6F113C52"/>
    <w:rsid w:val="70A17FA4"/>
    <w:rsid w:val="7105153E"/>
    <w:rsid w:val="71C6634F"/>
    <w:rsid w:val="71FD2407"/>
    <w:rsid w:val="72673E29"/>
    <w:rsid w:val="72894DA8"/>
    <w:rsid w:val="72E51BB7"/>
    <w:rsid w:val="736C5675"/>
    <w:rsid w:val="73F3494A"/>
    <w:rsid w:val="7412133E"/>
    <w:rsid w:val="75226D4A"/>
    <w:rsid w:val="75645AA5"/>
    <w:rsid w:val="762E265E"/>
    <w:rsid w:val="769B1380"/>
    <w:rsid w:val="76D26893"/>
    <w:rsid w:val="7773343C"/>
    <w:rsid w:val="778A5BC6"/>
    <w:rsid w:val="794E160F"/>
    <w:rsid w:val="7A4350A6"/>
    <w:rsid w:val="7ABC4EFB"/>
    <w:rsid w:val="7BAB1D9B"/>
    <w:rsid w:val="7EC10961"/>
    <w:rsid w:val="7F7F333C"/>
    <w:rsid w:val="BAFFD937"/>
    <w:rsid w:val="CB1F2779"/>
    <w:rsid w:val="DFEF48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0" w:name="toc 2"/>
    <w:lsdException w:qFormat="1" w:uiPriority="0" w:name="toc 3"/>
    <w:lsdException w:qFormat="1" w:uiPriority="0" w:name="toc 4"/>
    <w:lsdException w:qFormat="1" w:uiPriority="0" w:name="toc 5"/>
    <w:lsdException w:qFormat="1" w:unhideWhenUsed="0" w:uiPriority="39" w:semiHidden="0" w:name="toc 6"/>
    <w:lsdException w:qFormat="1" w:uiPriority="0" w:name="toc 7"/>
    <w:lsdException w:qFormat="1"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47"/>
    <w:qFormat/>
    <w:uiPriority w:val="0"/>
    <w:pPr>
      <w:keepNext/>
      <w:keepLines/>
      <w:spacing w:before="340" w:after="330" w:line="576" w:lineRule="auto"/>
      <w:outlineLvl w:val="0"/>
    </w:pPr>
    <w:rPr>
      <w:b/>
      <w:kern w:val="44"/>
      <w:sz w:val="44"/>
    </w:rPr>
  </w:style>
  <w:style w:type="paragraph" w:styleId="3">
    <w:name w:val="heading 2"/>
    <w:basedOn w:val="1"/>
    <w:next w:val="4"/>
    <w:link w:val="45"/>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5"/>
    <w:qFormat/>
    <w:uiPriority w:val="9"/>
    <w:pPr>
      <w:keepNext/>
      <w:keepLines/>
      <w:numPr>
        <w:ilvl w:val="2"/>
        <w:numId w:val="1"/>
      </w:numPr>
      <w:ind w:hanging="720" w:firstLineChars="0"/>
      <w:outlineLvl w:val="2"/>
    </w:pPr>
    <w:rPr>
      <w:rFonts w:eastAsia="黑体"/>
      <w:b/>
      <w:bCs/>
      <w:sz w:val="28"/>
      <w:szCs w:val="32"/>
    </w:rPr>
  </w:style>
  <w:style w:type="paragraph" w:styleId="5">
    <w:name w:val="heading 4"/>
    <w:basedOn w:val="1"/>
    <w:next w:val="1"/>
    <w:qFormat/>
    <w:uiPriority w:val="9"/>
    <w:pPr>
      <w:keepNext/>
      <w:keepLines/>
      <w:numPr>
        <w:ilvl w:val="3"/>
        <w:numId w:val="1"/>
      </w:numPr>
      <w:ind w:left="864" w:hanging="864" w:firstLineChars="0"/>
      <w:outlineLvl w:val="3"/>
    </w:pPr>
    <w:rPr>
      <w:rFonts w:eastAsia="黑体" w:cstheme="majorBidi"/>
      <w:b/>
      <w:bCs/>
      <w:szCs w:val="28"/>
    </w:rPr>
  </w:style>
  <w:style w:type="paragraph" w:styleId="6">
    <w:name w:val="heading 5"/>
    <w:basedOn w:val="1"/>
    <w:next w:val="1"/>
    <w:unhideWhenUsed/>
    <w:qFormat/>
    <w:uiPriority w:val="9"/>
    <w:pPr>
      <w:keepNext/>
      <w:keepLines/>
      <w:numPr>
        <w:ilvl w:val="4"/>
        <w:numId w:val="1"/>
      </w:numPr>
      <w:ind w:left="1008" w:hanging="1008" w:firstLineChars="0"/>
      <w:outlineLvl w:val="4"/>
    </w:pPr>
    <w:rPr>
      <w:rFonts w:eastAsia="黑体"/>
      <w:b/>
    </w:rPr>
  </w:style>
  <w:style w:type="paragraph" w:styleId="7">
    <w:name w:val="heading 6"/>
    <w:basedOn w:val="1"/>
    <w:next w:val="1"/>
    <w:unhideWhenUsed/>
    <w:qFormat/>
    <w:uiPriority w:val="9"/>
    <w:pPr>
      <w:keepNext/>
      <w:keepLines/>
      <w:numPr>
        <w:ilvl w:val="5"/>
        <w:numId w:val="1"/>
      </w:numPr>
      <w:ind w:left="1151" w:hanging="1151" w:firstLineChars="0"/>
      <w:outlineLvl w:val="5"/>
    </w:pPr>
    <w:rPr>
      <w:rFonts w:ascii="Arial" w:hAnsi="Arial"/>
      <w:b/>
      <w:szCs w:val="20"/>
    </w:rPr>
  </w:style>
  <w:style w:type="paragraph" w:styleId="8">
    <w:name w:val="heading 7"/>
    <w:basedOn w:val="1"/>
    <w:next w:val="1"/>
    <w:unhideWhenUsed/>
    <w:qFormat/>
    <w:uiPriority w:val="9"/>
    <w:pPr>
      <w:keepNext/>
      <w:keepLines/>
      <w:numPr>
        <w:ilvl w:val="6"/>
        <w:numId w:val="1"/>
      </w:numPr>
      <w:ind w:left="1296" w:hanging="1296" w:firstLineChars="0"/>
      <w:outlineLvl w:val="6"/>
    </w:pPr>
    <w:rPr>
      <w:b/>
    </w:rPr>
  </w:style>
  <w:style w:type="paragraph" w:styleId="9">
    <w:name w:val="heading 8"/>
    <w:basedOn w:val="1"/>
    <w:next w:val="1"/>
    <w:unhideWhenUsed/>
    <w:qFormat/>
    <w:uiPriority w:val="9"/>
    <w:pPr>
      <w:keepNext/>
      <w:keepLines/>
      <w:numPr>
        <w:ilvl w:val="7"/>
        <w:numId w:val="1"/>
      </w:numPr>
      <w:ind w:left="1440" w:hanging="1440" w:firstLineChars="0"/>
      <w:outlineLvl w:val="7"/>
    </w:pPr>
    <w:rPr>
      <w:b/>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semiHidden/>
    <w:unhideWhenUsed/>
    <w:qFormat/>
    <w:uiPriority w:val="0"/>
    <w:pPr>
      <w:ind w:left="2520" w:leftChars="1200"/>
    </w:pPr>
  </w:style>
  <w:style w:type="paragraph" w:styleId="11">
    <w:name w:val="Normal Indent"/>
    <w:basedOn w:val="1"/>
    <w:link w:val="52"/>
    <w:qFormat/>
    <w:uiPriority w:val="0"/>
    <w:pPr>
      <w:ind w:firstLine="420"/>
    </w:pPr>
    <w:rPr>
      <w:lang w:val="zh-CN"/>
    </w:rPr>
  </w:style>
  <w:style w:type="paragraph" w:styleId="12">
    <w:name w:val="caption"/>
    <w:basedOn w:val="1"/>
    <w:next w:val="1"/>
    <w:semiHidden/>
    <w:unhideWhenUsed/>
    <w:qFormat/>
    <w:uiPriority w:val="35"/>
    <w:rPr>
      <w:rFonts w:eastAsia="黑体" w:asciiTheme="majorHAnsi" w:hAnsiTheme="majorHAnsi" w:cstheme="majorBidi"/>
      <w:sz w:val="20"/>
      <w:szCs w:val="20"/>
    </w:rPr>
  </w:style>
  <w:style w:type="paragraph" w:styleId="13">
    <w:name w:val="annotation text"/>
    <w:basedOn w:val="1"/>
    <w:link w:val="59"/>
    <w:qFormat/>
    <w:uiPriority w:val="0"/>
    <w:pPr>
      <w:jc w:val="left"/>
    </w:pPr>
  </w:style>
  <w:style w:type="paragraph" w:styleId="14">
    <w:name w:val="Body Text"/>
    <w:basedOn w:val="1"/>
    <w:next w:val="1"/>
    <w:qFormat/>
    <w:uiPriority w:val="0"/>
    <w:pPr>
      <w:jc w:val="center"/>
    </w:pPr>
    <w:rPr>
      <w:rFonts w:ascii="宋体" w:hAnsi="宋体"/>
      <w:b/>
      <w:bCs/>
      <w:color w:val="000000"/>
      <w:sz w:val="72"/>
    </w:rPr>
  </w:style>
  <w:style w:type="paragraph" w:styleId="15">
    <w:name w:val="Body Text Indent"/>
    <w:basedOn w:val="1"/>
    <w:qFormat/>
    <w:uiPriority w:val="99"/>
    <w:pPr>
      <w:spacing w:after="120"/>
      <w:ind w:left="420" w:leftChars="200"/>
    </w:pPr>
    <w:rPr>
      <w:rFonts w:ascii="Calibri" w:hAnsi="Calibri"/>
      <w:szCs w:val="22"/>
    </w:rPr>
  </w:style>
  <w:style w:type="paragraph" w:styleId="16">
    <w:name w:val="toc 5"/>
    <w:basedOn w:val="1"/>
    <w:next w:val="1"/>
    <w:semiHidden/>
    <w:unhideWhenUsed/>
    <w:qFormat/>
    <w:uiPriority w:val="0"/>
    <w:pPr>
      <w:ind w:left="1680" w:leftChars="800"/>
    </w:pPr>
  </w:style>
  <w:style w:type="paragraph" w:styleId="17">
    <w:name w:val="toc 3"/>
    <w:basedOn w:val="1"/>
    <w:next w:val="1"/>
    <w:semiHidden/>
    <w:unhideWhenUsed/>
    <w:qFormat/>
    <w:uiPriority w:val="0"/>
    <w:pPr>
      <w:ind w:left="840" w:leftChars="400"/>
    </w:pPr>
  </w:style>
  <w:style w:type="paragraph" w:styleId="18">
    <w:name w:val="Plain Text"/>
    <w:basedOn w:val="1"/>
    <w:next w:val="1"/>
    <w:qFormat/>
    <w:uiPriority w:val="0"/>
    <w:pPr>
      <w:spacing w:beforeLines="50" w:afterLines="50" w:line="400" w:lineRule="atLeast"/>
    </w:pPr>
    <w:rPr>
      <w:rFonts w:ascii="宋体" w:hAnsi="Courier New"/>
      <w:kern w:val="0"/>
      <w:sz w:val="24"/>
      <w:szCs w:val="24"/>
    </w:rPr>
  </w:style>
  <w:style w:type="paragraph" w:styleId="19">
    <w:name w:val="toc 8"/>
    <w:basedOn w:val="1"/>
    <w:next w:val="1"/>
    <w:semiHidden/>
    <w:unhideWhenUsed/>
    <w:qFormat/>
    <w:uiPriority w:val="0"/>
    <w:pPr>
      <w:ind w:left="2940" w:leftChars="1400"/>
    </w:pPr>
  </w:style>
  <w:style w:type="paragraph" w:styleId="20">
    <w:name w:val="Body Text Indent 2"/>
    <w:basedOn w:val="1"/>
    <w:next w:val="21"/>
    <w:qFormat/>
    <w:uiPriority w:val="0"/>
    <w:pPr>
      <w:spacing w:line="300" w:lineRule="auto"/>
      <w:ind w:firstLine="480"/>
    </w:pPr>
    <w:rPr>
      <w:rFonts w:ascii="黑体" w:hAnsi="Times New Roman" w:eastAsia="黑体" w:cs="Times New Roman"/>
    </w:rPr>
  </w:style>
  <w:style w:type="paragraph" w:customStyle="1" w:styleId="21">
    <w:name w:val="z正文"/>
    <w:basedOn w:val="18"/>
    <w:qFormat/>
    <w:uiPriority w:val="0"/>
    <w:pPr>
      <w:tabs>
        <w:tab w:val="left" w:pos="525"/>
      </w:tabs>
      <w:snapToGrid w:val="0"/>
      <w:spacing w:line="360" w:lineRule="auto"/>
    </w:pPr>
    <w:rPr>
      <w:rFonts w:ascii="Times New Roman" w:hAnsi="宋体" w:eastAsia="宋体" w:cs="Times New Roman"/>
      <w:sz w:val="24"/>
      <w:szCs w:val="20"/>
    </w:rPr>
  </w:style>
  <w:style w:type="paragraph" w:styleId="22">
    <w:name w:val="Balloon Text"/>
    <w:basedOn w:val="1"/>
    <w:link w:val="61"/>
    <w:qFormat/>
    <w:uiPriority w:val="0"/>
    <w:rPr>
      <w:sz w:val="18"/>
      <w:szCs w:val="18"/>
    </w:rPr>
  </w:style>
  <w:style w:type="paragraph" w:styleId="23">
    <w:name w:val="footer"/>
    <w:basedOn w:val="1"/>
    <w:qFormat/>
    <w:uiPriority w:val="99"/>
    <w:pPr>
      <w:tabs>
        <w:tab w:val="center" w:pos="4153"/>
        <w:tab w:val="right" w:pos="8306"/>
      </w:tabs>
      <w:snapToGrid w:val="0"/>
      <w:jc w:val="left"/>
    </w:pPr>
    <w:rPr>
      <w:sz w:val="18"/>
      <w:szCs w:val="18"/>
    </w:rPr>
  </w:style>
  <w:style w:type="paragraph" w:styleId="24">
    <w:name w:val="header"/>
    <w:basedOn w:val="1"/>
    <w:link w:val="51"/>
    <w:qFormat/>
    <w:uiPriority w:val="0"/>
    <w:pPr>
      <w:pBdr>
        <w:bottom w:val="single" w:color="auto" w:sz="6" w:space="1"/>
      </w:pBdr>
      <w:tabs>
        <w:tab w:val="center" w:pos="4153"/>
        <w:tab w:val="right" w:pos="8306"/>
      </w:tabs>
      <w:snapToGrid w:val="0"/>
      <w:jc w:val="center"/>
    </w:pPr>
    <w:rPr>
      <w:sz w:val="18"/>
      <w:szCs w:val="18"/>
    </w:rPr>
  </w:style>
  <w:style w:type="paragraph" w:styleId="25">
    <w:name w:val="toc 1"/>
    <w:basedOn w:val="1"/>
    <w:next w:val="1"/>
    <w:qFormat/>
    <w:uiPriority w:val="39"/>
    <w:rPr>
      <w:rFonts w:ascii="Calibri" w:hAnsi="Calibri"/>
      <w:szCs w:val="22"/>
    </w:rPr>
  </w:style>
  <w:style w:type="paragraph" w:styleId="26">
    <w:name w:val="toc 4"/>
    <w:basedOn w:val="1"/>
    <w:next w:val="1"/>
    <w:semiHidden/>
    <w:unhideWhenUsed/>
    <w:qFormat/>
    <w:uiPriority w:val="0"/>
    <w:pPr>
      <w:ind w:left="1260" w:leftChars="600"/>
    </w:pPr>
  </w:style>
  <w:style w:type="paragraph" w:styleId="27">
    <w:name w:val="toc 6"/>
    <w:basedOn w:val="1"/>
    <w:next w:val="1"/>
    <w:qFormat/>
    <w:uiPriority w:val="39"/>
    <w:pPr>
      <w:ind w:left="2100" w:leftChars="1000"/>
    </w:pPr>
  </w:style>
  <w:style w:type="paragraph" w:styleId="28">
    <w:name w:val="toc 2"/>
    <w:basedOn w:val="1"/>
    <w:next w:val="1"/>
    <w:semiHidden/>
    <w:unhideWhenUsed/>
    <w:qFormat/>
    <w:uiPriority w:val="0"/>
    <w:pPr>
      <w:ind w:left="420" w:leftChars="200"/>
    </w:pPr>
  </w:style>
  <w:style w:type="paragraph" w:styleId="29">
    <w:name w:val="Normal (Web)"/>
    <w:basedOn w:val="1"/>
    <w:qFormat/>
    <w:uiPriority w:val="0"/>
    <w:rPr>
      <w:rFonts w:ascii="Calibri" w:hAnsi="Calibri"/>
      <w:sz w:val="24"/>
      <w:szCs w:val="24"/>
    </w:rPr>
  </w:style>
  <w:style w:type="paragraph" w:styleId="30">
    <w:name w:val="Title"/>
    <w:basedOn w:val="1"/>
    <w:next w:val="1"/>
    <w:qFormat/>
    <w:uiPriority w:val="0"/>
    <w:pPr>
      <w:spacing w:before="240" w:after="60"/>
      <w:jc w:val="center"/>
      <w:outlineLvl w:val="0"/>
    </w:pPr>
    <w:rPr>
      <w:rFonts w:ascii="Cambria" w:hAnsi="Cambria"/>
      <w:b/>
      <w:bCs/>
      <w:kern w:val="0"/>
      <w:sz w:val="32"/>
      <w:szCs w:val="32"/>
    </w:rPr>
  </w:style>
  <w:style w:type="paragraph" w:styleId="31">
    <w:name w:val="annotation subject"/>
    <w:basedOn w:val="13"/>
    <w:next w:val="13"/>
    <w:link w:val="60"/>
    <w:qFormat/>
    <w:uiPriority w:val="0"/>
    <w:rPr>
      <w:b/>
      <w:bCs/>
    </w:rPr>
  </w:style>
  <w:style w:type="paragraph" w:styleId="32">
    <w:name w:val="Body Text First Indent"/>
    <w:basedOn w:val="14"/>
    <w:next w:val="27"/>
    <w:qFormat/>
    <w:uiPriority w:val="0"/>
    <w:pPr>
      <w:adjustRightInd w:val="0"/>
      <w:spacing w:after="120" w:line="360" w:lineRule="auto"/>
      <w:ind w:firstLine="420"/>
      <w:textAlignment w:val="baseline"/>
    </w:pPr>
    <w:rPr>
      <w:rFonts w:ascii="Calibri" w:hAnsi="Calibri" w:eastAsia="楷体_GB2312"/>
      <w:b w:val="0"/>
      <w:bCs w:val="0"/>
      <w:kern w:val="0"/>
      <w:sz w:val="24"/>
    </w:rPr>
  </w:style>
  <w:style w:type="paragraph" w:styleId="33">
    <w:name w:val="Body Text First Indent 2"/>
    <w:basedOn w:val="15"/>
    <w:qFormat/>
    <w:uiPriority w:val="0"/>
    <w:pPr>
      <w:ind w:firstLine="420" w:firstLineChars="200"/>
    </w:pPr>
  </w:style>
  <w:style w:type="table" w:styleId="35">
    <w:name w:val="Table Grid"/>
    <w:basedOn w:val="34"/>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7">
    <w:name w:val="Strong"/>
    <w:basedOn w:val="36"/>
    <w:qFormat/>
    <w:uiPriority w:val="0"/>
    <w:rPr>
      <w:b/>
    </w:rPr>
  </w:style>
  <w:style w:type="character" w:styleId="38">
    <w:name w:val="Hyperlink"/>
    <w:qFormat/>
    <w:uiPriority w:val="99"/>
    <w:rPr>
      <w:color w:val="0000FF"/>
      <w:u w:val="single"/>
    </w:rPr>
  </w:style>
  <w:style w:type="character" w:styleId="39">
    <w:name w:val="annotation reference"/>
    <w:basedOn w:val="36"/>
    <w:qFormat/>
    <w:uiPriority w:val="0"/>
    <w:rPr>
      <w:sz w:val="21"/>
      <w:szCs w:val="21"/>
    </w:rPr>
  </w:style>
  <w:style w:type="paragraph" w:customStyle="1" w:styleId="40">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1">
    <w:name w:val="Normal Indent1"/>
    <w:basedOn w:val="1"/>
    <w:qFormat/>
    <w:uiPriority w:val="0"/>
  </w:style>
  <w:style w:type="paragraph" w:customStyle="1" w:styleId="42">
    <w:name w:val="_Style 1"/>
    <w:next w:val="1"/>
    <w:qFormat/>
    <w:uiPriority w:val="0"/>
    <w:pPr>
      <w:widowControl w:val="0"/>
      <w:ind w:firstLine="420" w:firstLineChars="200"/>
      <w:jc w:val="both"/>
    </w:pPr>
    <w:rPr>
      <w:rFonts w:ascii="Calibri" w:hAnsi="Calibri" w:eastAsia="宋体" w:cs="Times New Roman"/>
      <w:kern w:val="2"/>
      <w:sz w:val="28"/>
      <w:szCs w:val="22"/>
      <w:lang w:val="en-US" w:eastAsia="zh-CN" w:bidi="ar-SA"/>
    </w:rPr>
  </w:style>
  <w:style w:type="paragraph" w:customStyle="1" w:styleId="43">
    <w:name w:val="[Normal]"/>
    <w:qFormat/>
    <w:uiPriority w:val="0"/>
    <w:rPr>
      <w:rFonts w:ascii="宋体" w:hAnsi="宋体" w:eastAsia="宋体" w:cs="Times New Roman"/>
      <w:sz w:val="24"/>
      <w:szCs w:val="22"/>
      <w:lang w:val="zh-CN" w:eastAsia="zh-CN" w:bidi="ar-SA"/>
    </w:rPr>
  </w:style>
  <w:style w:type="paragraph" w:customStyle="1" w:styleId="44">
    <w:name w:val="正文_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45">
    <w:name w:val="标题 2 字符"/>
    <w:link w:val="3"/>
    <w:qFormat/>
    <w:uiPriority w:val="0"/>
    <w:rPr>
      <w:rFonts w:ascii="Arial" w:hAnsi="Arial" w:eastAsia="黑体"/>
      <w:b/>
      <w:sz w:val="32"/>
    </w:rPr>
  </w:style>
  <w:style w:type="paragraph" w:customStyle="1" w:styleId="46">
    <w:name w:val="纯文本2"/>
    <w:basedOn w:val="1"/>
    <w:qFormat/>
    <w:uiPriority w:val="0"/>
    <w:pPr>
      <w:adjustRightInd w:val="0"/>
      <w:textAlignment w:val="baseline"/>
    </w:pPr>
    <w:rPr>
      <w:rFonts w:ascii="宋体" w:hAnsi="Courier New" w:eastAsia="楷体_GB2312"/>
      <w:sz w:val="26"/>
      <w:szCs w:val="24"/>
    </w:rPr>
  </w:style>
  <w:style w:type="character" w:customStyle="1" w:styleId="47">
    <w:name w:val="标题 1 字符"/>
    <w:link w:val="2"/>
    <w:qFormat/>
    <w:uiPriority w:val="0"/>
    <w:rPr>
      <w:b/>
      <w:kern w:val="44"/>
      <w:sz w:val="44"/>
    </w:rPr>
  </w:style>
  <w:style w:type="paragraph" w:customStyle="1" w:styleId="4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9">
    <w:name w:val="Body Text First Indent 21"/>
    <w:basedOn w:val="50"/>
    <w:qFormat/>
    <w:uiPriority w:val="0"/>
    <w:pPr>
      <w:spacing w:after="120" w:line="240" w:lineRule="auto"/>
      <w:ind w:left="420" w:leftChars="200" w:firstLine="420" w:firstLineChars="200"/>
    </w:pPr>
    <w:rPr>
      <w:rFonts w:ascii="等线" w:hAnsi="等线" w:eastAsia="等线"/>
      <w:sz w:val="21"/>
    </w:rPr>
  </w:style>
  <w:style w:type="paragraph" w:customStyle="1" w:styleId="50">
    <w:name w:val="Body Text Indent1"/>
    <w:basedOn w:val="1"/>
    <w:qFormat/>
    <w:uiPriority w:val="0"/>
    <w:pPr>
      <w:spacing w:line="360" w:lineRule="auto"/>
      <w:ind w:firstLine="435"/>
    </w:pPr>
    <w:rPr>
      <w:sz w:val="28"/>
    </w:rPr>
  </w:style>
  <w:style w:type="character" w:customStyle="1" w:styleId="51">
    <w:name w:val="页眉 字符"/>
    <w:basedOn w:val="36"/>
    <w:link w:val="24"/>
    <w:qFormat/>
    <w:uiPriority w:val="0"/>
    <w:rPr>
      <w:rFonts w:ascii="Times New Roman" w:hAnsi="Times New Roman" w:eastAsia="宋体" w:cs="Times New Roman"/>
      <w:kern w:val="2"/>
      <w:sz w:val="18"/>
      <w:szCs w:val="18"/>
    </w:rPr>
  </w:style>
  <w:style w:type="character" w:customStyle="1" w:styleId="52">
    <w:name w:val="正文缩进 字符"/>
    <w:link w:val="11"/>
    <w:qFormat/>
    <w:uiPriority w:val="0"/>
    <w:rPr>
      <w:rFonts w:ascii="Times New Roman" w:hAnsi="Times New Roman" w:eastAsia="宋体" w:cs="Times New Roman"/>
      <w:kern w:val="2"/>
      <w:sz w:val="21"/>
      <w:lang w:val="zh-CN" w:eastAsia="zh-CN"/>
    </w:rPr>
  </w:style>
  <w:style w:type="paragraph" w:styleId="53">
    <w:name w:val="List Paragraph"/>
    <w:basedOn w:val="1"/>
    <w:qFormat/>
    <w:uiPriority w:val="99"/>
    <w:pPr>
      <w:ind w:firstLine="420" w:firstLineChars="200"/>
    </w:pPr>
  </w:style>
  <w:style w:type="paragraph" w:customStyle="1" w:styleId="54">
    <w:name w:val="Table Paragraph"/>
    <w:basedOn w:val="1"/>
    <w:qFormat/>
    <w:uiPriority w:val="1"/>
    <w:rPr>
      <w:rFonts w:ascii="宋体" w:hAnsi="宋体" w:cs="宋体"/>
      <w:lang w:val="zh-CN" w:bidi="zh-CN"/>
    </w:rPr>
  </w:style>
  <w:style w:type="paragraph" w:customStyle="1" w:styleId="55">
    <w:name w:val="正文_15"/>
    <w:next w:val="56"/>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正文首行缩进_4"/>
    <w:basedOn w:val="57"/>
    <w:next w:val="58"/>
    <w:unhideWhenUsed/>
    <w:qFormat/>
    <w:uiPriority w:val="99"/>
    <w:pPr>
      <w:ind w:firstLine="420" w:firstLineChars="100"/>
    </w:pPr>
  </w:style>
  <w:style w:type="paragraph" w:customStyle="1" w:styleId="57">
    <w:name w:val="正文文本_4"/>
    <w:basedOn w:val="55"/>
    <w:next w:val="56"/>
    <w:unhideWhenUsed/>
    <w:qFormat/>
    <w:uiPriority w:val="99"/>
    <w:pPr>
      <w:spacing w:after="120"/>
    </w:pPr>
  </w:style>
  <w:style w:type="paragraph" w:customStyle="1" w:styleId="58">
    <w:name w:val="目录 6_4"/>
    <w:basedOn w:val="55"/>
    <w:next w:val="55"/>
    <w:qFormat/>
    <w:uiPriority w:val="39"/>
    <w:pPr>
      <w:ind w:left="2100" w:leftChars="1000"/>
    </w:pPr>
  </w:style>
  <w:style w:type="character" w:customStyle="1" w:styleId="59">
    <w:name w:val="批注文字 字符"/>
    <w:basedOn w:val="36"/>
    <w:link w:val="13"/>
    <w:qFormat/>
    <w:uiPriority w:val="0"/>
    <w:rPr>
      <w:kern w:val="2"/>
      <w:sz w:val="21"/>
    </w:rPr>
  </w:style>
  <w:style w:type="character" w:customStyle="1" w:styleId="60">
    <w:name w:val="批注主题 字符"/>
    <w:basedOn w:val="59"/>
    <w:link w:val="31"/>
    <w:qFormat/>
    <w:uiPriority w:val="0"/>
    <w:rPr>
      <w:b/>
      <w:bCs/>
      <w:kern w:val="2"/>
      <w:sz w:val="21"/>
    </w:rPr>
  </w:style>
  <w:style w:type="character" w:customStyle="1" w:styleId="61">
    <w:name w:val="批注框文本 字符"/>
    <w:basedOn w:val="36"/>
    <w:link w:val="22"/>
    <w:qFormat/>
    <w:uiPriority w:val="0"/>
    <w:rPr>
      <w:kern w:val="2"/>
      <w:sz w:val="18"/>
      <w:szCs w:val="18"/>
    </w:rPr>
  </w:style>
  <w:style w:type="paragraph" w:customStyle="1" w:styleId="62">
    <w:name w:val="*正文"/>
    <w:basedOn w:val="1"/>
    <w:qFormat/>
    <w:uiPriority w:val="0"/>
    <w:pPr>
      <w:spacing w:after="0" w:line="360" w:lineRule="auto"/>
      <w:ind w:firstLine="200" w:firstLineChars="200"/>
      <w:jc w:val="both"/>
    </w:pPr>
    <w:rPr>
      <w:rFonts w:ascii="宋体" w:hAnsi="宋体" w:eastAsia="宋体" w:cs="Times New Roman"/>
      <w:kern w:val="2"/>
      <w:sz w:val="21"/>
      <w:szCs w:val="24"/>
      <w:lang w:eastAsia="zh-CN"/>
    </w:rPr>
  </w:style>
  <w:style w:type="paragraph" w:customStyle="1" w:styleId="63">
    <w:name w:val="图标题"/>
    <w:basedOn w:val="1"/>
    <w:next w:val="1"/>
    <w:qFormat/>
    <w:uiPriority w:val="0"/>
    <w:pPr>
      <w:numPr>
        <w:ilvl w:val="7"/>
        <w:numId w:val="2"/>
      </w:numPr>
      <w:spacing w:line="240" w:lineRule="auto"/>
      <w:ind w:firstLineChars="0"/>
      <w:jc w:val="center"/>
    </w:pPr>
    <w:rPr>
      <w:b/>
      <w:sz w:val="21"/>
    </w:rPr>
  </w:style>
  <w:style w:type="paragraph" w:customStyle="1" w:styleId="64">
    <w:name w:val="!正文"/>
    <w:basedOn w:val="1"/>
    <w:autoRedefine/>
    <w:qFormat/>
    <w:uiPriority w:val="0"/>
    <w:pPr>
      <w:ind w:firstLine="480"/>
    </w:pPr>
    <w:rPr>
      <w:rFonts w:ascii="Calibri" w:hAnsi="Calibri"/>
    </w:rPr>
  </w:style>
  <w:style w:type="paragraph" w:customStyle="1" w:styleId="65">
    <w:name w:val="表标题"/>
    <w:basedOn w:val="1"/>
    <w:next w:val="1"/>
    <w:qFormat/>
    <w:uiPriority w:val="0"/>
    <w:pPr>
      <w:numPr>
        <w:ilvl w:val="8"/>
        <w:numId w:val="2"/>
      </w:numPr>
      <w:spacing w:line="240" w:lineRule="auto"/>
      <w:ind w:firstLineChars="0"/>
      <w:jc w:val="center"/>
    </w:pPr>
    <w:rPr>
      <w:b/>
      <w:sz w:val="21"/>
    </w:rPr>
  </w:style>
  <w:style w:type="character" w:customStyle="1" w:styleId="66">
    <w:name w:val="font41"/>
    <w:basedOn w:val="36"/>
    <w:autoRedefine/>
    <w:qFormat/>
    <w:uiPriority w:val="0"/>
    <w:rPr>
      <w:rFonts w:hint="eastAsia" w:ascii="宋体" w:hAnsi="宋体" w:eastAsia="宋体" w:cs="宋体"/>
      <w:color w:val="000000"/>
      <w:sz w:val="22"/>
      <w:szCs w:val="22"/>
      <w:u w:val="none"/>
    </w:rPr>
  </w:style>
  <w:style w:type="paragraph" w:customStyle="1" w:styleId="67">
    <w:name w:val="表头"/>
    <w:basedOn w:val="68"/>
    <w:qFormat/>
    <w:uiPriority w:val="0"/>
    <w:pPr>
      <w:jc w:val="center"/>
    </w:pPr>
    <w:rPr>
      <w:b/>
    </w:rPr>
  </w:style>
  <w:style w:type="paragraph" w:customStyle="1" w:styleId="68">
    <w:name w:val="表内容"/>
    <w:basedOn w:val="1"/>
    <w:qFormat/>
    <w:uiPriority w:val="0"/>
    <w:pPr>
      <w:ind w:firstLine="0" w:firstLineChars="0"/>
    </w:pPr>
    <w:rPr>
      <w:sz w:val="21"/>
    </w:rPr>
  </w:style>
  <w:style w:type="character" w:customStyle="1" w:styleId="69">
    <w:name w:val="zbggmain style9"/>
    <w:basedOn w:val="36"/>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3.png"/><Relationship Id="rId6" Type="http://schemas.openxmlformats.org/officeDocument/2006/relationships/header" Target="header2.xml"/><Relationship Id="rId59" Type="http://schemas.openxmlformats.org/officeDocument/2006/relationships/image" Target="media/image42.png"/><Relationship Id="rId58" Type="http://schemas.openxmlformats.org/officeDocument/2006/relationships/image" Target="media/image41.png"/><Relationship Id="rId57" Type="http://schemas.openxmlformats.org/officeDocument/2006/relationships/image" Target="media/image40.png"/><Relationship Id="rId56" Type="http://schemas.openxmlformats.org/officeDocument/2006/relationships/image" Target="media/image39.png"/><Relationship Id="rId55" Type="http://schemas.openxmlformats.org/officeDocument/2006/relationships/image" Target="media/image38.png"/><Relationship Id="rId54" Type="http://schemas.openxmlformats.org/officeDocument/2006/relationships/image" Target="media/image37.png"/><Relationship Id="rId53" Type="http://schemas.openxmlformats.org/officeDocument/2006/relationships/image" Target="media/image36.png"/><Relationship Id="rId52" Type="http://schemas.openxmlformats.org/officeDocument/2006/relationships/image" Target="media/image35.png"/><Relationship Id="rId51" Type="http://schemas.openxmlformats.org/officeDocument/2006/relationships/image" Target="media/image34.png"/><Relationship Id="rId50" Type="http://schemas.openxmlformats.org/officeDocument/2006/relationships/image" Target="media/image33.png"/><Relationship Id="rId5" Type="http://schemas.openxmlformats.org/officeDocument/2006/relationships/footer" Target="footer2.xml"/><Relationship Id="rId49" Type="http://schemas.openxmlformats.org/officeDocument/2006/relationships/image" Target="media/image32.png"/><Relationship Id="rId48" Type="http://schemas.openxmlformats.org/officeDocument/2006/relationships/image" Target="media/image31.png"/><Relationship Id="rId47" Type="http://schemas.openxmlformats.org/officeDocument/2006/relationships/image" Target="media/image30.png"/><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oleObject" Target="embeddings/oleObject9.bin"/><Relationship Id="rId42" Type="http://schemas.openxmlformats.org/officeDocument/2006/relationships/image" Target="media/image26.wmf"/><Relationship Id="rId41" Type="http://schemas.openxmlformats.org/officeDocument/2006/relationships/oleObject" Target="embeddings/oleObject8.bin"/><Relationship Id="rId40" Type="http://schemas.openxmlformats.org/officeDocument/2006/relationships/image" Target="media/image25.wmf"/><Relationship Id="rId4" Type="http://schemas.openxmlformats.org/officeDocument/2006/relationships/footer" Target="footer1.xml"/><Relationship Id="rId39" Type="http://schemas.openxmlformats.org/officeDocument/2006/relationships/oleObject" Target="embeddings/oleObject7.bin"/><Relationship Id="rId38" Type="http://schemas.openxmlformats.org/officeDocument/2006/relationships/image" Target="media/image24.wmf"/><Relationship Id="rId37" Type="http://schemas.openxmlformats.org/officeDocument/2006/relationships/image" Target="media/image23.wmf"/><Relationship Id="rId36" Type="http://schemas.openxmlformats.org/officeDocument/2006/relationships/oleObject" Target="embeddings/oleObject6.bin"/><Relationship Id="rId35" Type="http://schemas.openxmlformats.org/officeDocument/2006/relationships/image" Target="media/image22.wmf"/><Relationship Id="rId34" Type="http://schemas.openxmlformats.org/officeDocument/2006/relationships/oleObject" Target="embeddings/oleObject5.bin"/><Relationship Id="rId33" Type="http://schemas.openxmlformats.org/officeDocument/2006/relationships/image" Target="media/image21.wmf"/><Relationship Id="rId32" Type="http://schemas.openxmlformats.org/officeDocument/2006/relationships/oleObject" Target="embeddings/oleObject4.bin"/><Relationship Id="rId31" Type="http://schemas.openxmlformats.org/officeDocument/2006/relationships/image" Target="media/image20.wmf"/><Relationship Id="rId30" Type="http://schemas.openxmlformats.org/officeDocument/2006/relationships/oleObject" Target="embeddings/oleObject3.bin"/><Relationship Id="rId3" Type="http://schemas.openxmlformats.org/officeDocument/2006/relationships/header" Target="head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jpe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2.bin"/><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e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193</Pages>
  <Words>107502</Words>
  <Characters>117542</Characters>
  <Lines>216</Lines>
  <Paragraphs>61</Paragraphs>
  <TotalTime>146</TotalTime>
  <ScaleCrop>false</ScaleCrop>
  <LinksUpToDate>false</LinksUpToDate>
  <CharactersWithSpaces>120279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2023-11-18T00:33:00Z</dcterms:created>
  <dc:creator>NTKO</dc:creator>
  <cp:lastModifiedBy>NTKO</cp:lastModifiedBy>
  <cp:lastPrinted>2024-12-05T09:20:00Z</cp:lastPrinted>
  <dcterms:modified xsi:type="dcterms:W3CDTF">2025-02-27T06:06:04Z</dcterms:modified>
  <cp:revision>89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39683CD95C5F4F51AFD5353DC75749A3_13</vt:lpwstr>
  </property>
  <property fmtid="{D5CDD505-2E9C-101B-9397-08002B2CF9AE}" pid="4" name="KSOTemplateDocerSaveRecord">
    <vt:lpwstr>eyJoZGlkIjoiMmFiOTZmNThiNTBiOTY2ZGU3NTk2ZWY5MzIzMjY1MTMiLCJ1c2VySWQiOiIyNTM0NTI0NTQifQ==</vt:lpwstr>
  </property>
</Properties>
</file>