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FDEA2">
      <w:pPr>
        <w:adjustRightInd/>
        <w:spacing w:line="1440" w:lineRule="auto"/>
        <w:jc w:val="center"/>
        <w:rPr>
          <w:rFonts w:ascii="仿宋" w:hAnsi="仿宋" w:eastAsia="仿宋" w:cs="仿宋"/>
          <w:b/>
          <w:color w:val="auto"/>
          <w:sz w:val="44"/>
          <w:szCs w:val="44"/>
          <w:highlight w:val="none"/>
        </w:rPr>
      </w:pPr>
    </w:p>
    <w:p w14:paraId="5991C1BF">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杭州市公安局上城区分局160路监控和1399路庭改监控</w:t>
      </w:r>
      <w:r>
        <w:rPr>
          <w:rFonts w:hint="eastAsia" w:ascii="仿宋" w:hAnsi="仿宋" w:eastAsia="仿宋" w:cs="仿宋"/>
          <w:color w:val="auto"/>
          <w:sz w:val="48"/>
          <w:szCs w:val="48"/>
          <w:highlight w:val="none"/>
          <w:lang w:val="en-US" w:eastAsia="zh-CN"/>
        </w:rPr>
        <w:t>到期</w:t>
      </w:r>
      <w:r>
        <w:rPr>
          <w:rFonts w:hint="eastAsia" w:ascii="仿宋" w:hAnsi="仿宋" w:eastAsia="仿宋" w:cs="仿宋"/>
          <w:color w:val="auto"/>
          <w:sz w:val="48"/>
          <w:szCs w:val="48"/>
          <w:highlight w:val="none"/>
          <w:lang w:eastAsia="zh-CN"/>
        </w:rPr>
        <w:t>改造租赁项目</w:t>
      </w:r>
    </w:p>
    <w:p w14:paraId="47C2963A">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0F0A00BF">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0DCB526B">
      <w:pPr>
        <w:snapToGrid w:val="0"/>
        <w:spacing w:line="192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ZJCT2-GASCFJ2025-01</w:t>
      </w:r>
    </w:p>
    <w:p w14:paraId="7E562EE6">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杭州市公安局上城区分局</w:t>
      </w:r>
    </w:p>
    <w:p w14:paraId="4B521EFF">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浙江省成套工程有限公司</w:t>
      </w:r>
    </w:p>
    <w:p w14:paraId="287BF6C7">
      <w:pPr>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三</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日</w:t>
      </w:r>
      <w:bookmarkStart w:id="0" w:name="_Hlt67893495"/>
      <w:bookmarkEnd w:id="0"/>
    </w:p>
    <w:p w14:paraId="27F51032">
      <w:pPr>
        <w:spacing w:line="360" w:lineRule="auto"/>
        <w:jc w:val="center"/>
        <w:rPr>
          <w:rFonts w:ascii="仿宋" w:hAnsi="仿宋" w:eastAsia="仿宋" w:cs="仿宋"/>
          <w:b/>
          <w:color w:val="auto"/>
          <w:sz w:val="48"/>
          <w:szCs w:val="48"/>
          <w:highlight w:val="none"/>
        </w:rPr>
        <w:sectPr>
          <w:headerReference r:id="rId4" w:type="first"/>
          <w:footerReference r:id="rId6" w:type="first"/>
          <w:headerReference r:id="rId3" w:type="default"/>
          <w:footerReference r:id="rId5" w:type="even"/>
          <w:pgSz w:w="11906" w:h="16838"/>
          <w:pgMar w:top="680" w:right="1418" w:bottom="468"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0C1A1532">
      <w:pPr>
        <w:spacing w:line="600" w:lineRule="auto"/>
        <w:jc w:val="center"/>
        <w:rPr>
          <w:rFonts w:ascii="仿宋" w:hAnsi="仿宋" w:eastAsia="仿宋" w:cs="仿宋"/>
          <w:b/>
          <w:color w:val="auto"/>
          <w:sz w:val="48"/>
          <w:szCs w:val="48"/>
          <w:highlight w:val="none"/>
        </w:rPr>
      </w:pPr>
      <w:r>
        <w:rPr>
          <w:rFonts w:hint="eastAsia" w:ascii="仿宋" w:hAnsi="仿宋" w:eastAsia="仿宋" w:cs="仿宋"/>
          <w:b/>
          <w:color w:val="auto"/>
          <w:spacing w:val="484"/>
          <w:kern w:val="0"/>
          <w:sz w:val="48"/>
          <w:szCs w:val="48"/>
          <w:highlight w:val="none"/>
          <w:fitText w:val="1928" w:id="-982755328"/>
        </w:rPr>
        <w:t>目</w:t>
      </w:r>
      <w:r>
        <w:rPr>
          <w:rFonts w:hint="eastAsia" w:ascii="仿宋" w:hAnsi="仿宋" w:eastAsia="仿宋" w:cs="仿宋"/>
          <w:b/>
          <w:color w:val="auto"/>
          <w:spacing w:val="0"/>
          <w:kern w:val="0"/>
          <w:sz w:val="48"/>
          <w:szCs w:val="48"/>
          <w:highlight w:val="none"/>
          <w:fitText w:val="1928" w:id="-982755328"/>
        </w:rPr>
        <w:t>录</w:t>
      </w:r>
    </w:p>
    <w:p w14:paraId="5FABD543">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w:t>
      </w:r>
      <w:r>
        <w:rPr>
          <w:rFonts w:hint="eastAsia" w:ascii="仿宋" w:hAnsi="仿宋" w:eastAsia="仿宋" w:cs="仿宋"/>
          <w:color w:val="auto"/>
          <w:spacing w:val="320"/>
          <w:kern w:val="0"/>
          <w:sz w:val="32"/>
          <w:szCs w:val="32"/>
          <w:highlight w:val="none"/>
          <w:fitText w:val="1280" w:id="-982755067"/>
        </w:rPr>
        <w:t>分</w:t>
      </w:r>
      <w:r>
        <w:rPr>
          <w:rFonts w:hint="eastAsia" w:ascii="仿宋" w:hAnsi="仿宋" w:eastAsia="仿宋" w:cs="仿宋"/>
          <w:color w:val="auto"/>
          <w:spacing w:val="0"/>
          <w:kern w:val="0"/>
          <w:sz w:val="32"/>
          <w:szCs w:val="32"/>
          <w:highlight w:val="none"/>
          <w:fitText w:val="1280" w:id="-982755067"/>
        </w:rPr>
        <w:t>招</w:t>
      </w:r>
      <w:r>
        <w:rPr>
          <w:rFonts w:hint="eastAsia" w:ascii="仿宋" w:hAnsi="仿宋" w:eastAsia="仿宋" w:cs="仿宋"/>
          <w:color w:val="auto"/>
          <w:sz w:val="32"/>
          <w:szCs w:val="32"/>
          <w:highlight w:val="none"/>
        </w:rPr>
        <w:t>标公告</w:t>
      </w:r>
    </w:p>
    <w:p w14:paraId="5E214AB9">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w:t>
      </w:r>
      <w:r>
        <w:rPr>
          <w:rFonts w:hint="eastAsia" w:ascii="仿宋" w:hAnsi="仿宋" w:eastAsia="仿宋" w:cs="仿宋"/>
          <w:color w:val="auto"/>
          <w:spacing w:val="320"/>
          <w:kern w:val="0"/>
          <w:sz w:val="32"/>
          <w:szCs w:val="32"/>
          <w:highlight w:val="none"/>
          <w:fitText w:val="1280" w:id="-982755068"/>
        </w:rPr>
        <w:t>分</w:t>
      </w:r>
      <w:r>
        <w:rPr>
          <w:rFonts w:hint="eastAsia" w:ascii="仿宋" w:hAnsi="仿宋" w:eastAsia="仿宋" w:cs="仿宋"/>
          <w:color w:val="auto"/>
          <w:spacing w:val="0"/>
          <w:kern w:val="0"/>
          <w:sz w:val="32"/>
          <w:szCs w:val="32"/>
          <w:highlight w:val="none"/>
          <w:fitText w:val="1280" w:id="-982755068"/>
        </w:rPr>
        <w:t>投</w:t>
      </w:r>
      <w:r>
        <w:rPr>
          <w:rFonts w:hint="eastAsia" w:ascii="仿宋" w:hAnsi="仿宋" w:eastAsia="仿宋" w:cs="仿宋"/>
          <w:color w:val="auto"/>
          <w:sz w:val="32"/>
          <w:szCs w:val="32"/>
          <w:highlight w:val="none"/>
        </w:rPr>
        <w:t>标人须知</w:t>
      </w:r>
    </w:p>
    <w:p w14:paraId="3E3C7DD0">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w:t>
      </w:r>
      <w:r>
        <w:rPr>
          <w:rFonts w:hint="eastAsia" w:ascii="仿宋" w:hAnsi="仿宋" w:eastAsia="仿宋" w:cs="仿宋"/>
          <w:color w:val="auto"/>
          <w:spacing w:val="320"/>
          <w:kern w:val="0"/>
          <w:sz w:val="32"/>
          <w:szCs w:val="32"/>
          <w:highlight w:val="none"/>
          <w:fitText w:val="1280" w:id="-982755069"/>
        </w:rPr>
        <w:t>分</w:t>
      </w:r>
      <w:r>
        <w:rPr>
          <w:rFonts w:hint="eastAsia" w:ascii="仿宋" w:hAnsi="仿宋" w:eastAsia="仿宋" w:cs="仿宋"/>
          <w:color w:val="auto"/>
          <w:spacing w:val="0"/>
          <w:kern w:val="0"/>
          <w:sz w:val="32"/>
          <w:szCs w:val="32"/>
          <w:highlight w:val="none"/>
          <w:fitText w:val="1280" w:id="-982755069"/>
        </w:rPr>
        <w:t>采</w:t>
      </w:r>
      <w:r>
        <w:rPr>
          <w:rFonts w:hint="eastAsia" w:ascii="仿宋" w:hAnsi="仿宋" w:eastAsia="仿宋" w:cs="仿宋"/>
          <w:color w:val="auto"/>
          <w:sz w:val="32"/>
          <w:szCs w:val="32"/>
          <w:highlight w:val="none"/>
        </w:rPr>
        <w:t>购需求</w:t>
      </w:r>
    </w:p>
    <w:p w14:paraId="31B36FE7">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w:t>
      </w:r>
      <w:r>
        <w:rPr>
          <w:rFonts w:hint="eastAsia" w:ascii="仿宋" w:hAnsi="仿宋" w:eastAsia="仿宋" w:cs="仿宋"/>
          <w:color w:val="auto"/>
          <w:spacing w:val="320"/>
          <w:kern w:val="0"/>
          <w:sz w:val="32"/>
          <w:szCs w:val="32"/>
          <w:highlight w:val="none"/>
          <w:fitText w:val="1280" w:id="-982755070"/>
        </w:rPr>
        <w:t>分</w:t>
      </w:r>
      <w:r>
        <w:rPr>
          <w:rFonts w:hint="eastAsia" w:ascii="仿宋" w:hAnsi="仿宋" w:eastAsia="仿宋" w:cs="仿宋"/>
          <w:color w:val="auto"/>
          <w:spacing w:val="0"/>
          <w:kern w:val="0"/>
          <w:sz w:val="32"/>
          <w:szCs w:val="32"/>
          <w:highlight w:val="none"/>
          <w:fitText w:val="1280" w:id="-982755070"/>
        </w:rPr>
        <w:t>评</w:t>
      </w:r>
      <w:r>
        <w:rPr>
          <w:rFonts w:hint="eastAsia" w:ascii="仿宋" w:hAnsi="仿宋" w:eastAsia="仿宋" w:cs="仿宋"/>
          <w:color w:val="auto"/>
          <w:sz w:val="32"/>
          <w:szCs w:val="32"/>
          <w:highlight w:val="none"/>
        </w:rPr>
        <w:t>标办法</w:t>
      </w:r>
    </w:p>
    <w:p w14:paraId="4BD8B481">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w:t>
      </w:r>
      <w:r>
        <w:rPr>
          <w:rFonts w:hint="eastAsia" w:ascii="仿宋" w:hAnsi="仿宋" w:eastAsia="仿宋" w:cs="仿宋"/>
          <w:color w:val="auto"/>
          <w:spacing w:val="320"/>
          <w:kern w:val="0"/>
          <w:sz w:val="32"/>
          <w:szCs w:val="32"/>
          <w:highlight w:val="none"/>
          <w:fitText w:val="1280" w:id="-982755071"/>
        </w:rPr>
        <w:t>分</w:t>
      </w:r>
      <w:r>
        <w:rPr>
          <w:rFonts w:hint="eastAsia" w:ascii="仿宋" w:hAnsi="仿宋" w:eastAsia="仿宋" w:cs="仿宋"/>
          <w:color w:val="auto"/>
          <w:spacing w:val="0"/>
          <w:kern w:val="0"/>
          <w:sz w:val="32"/>
          <w:szCs w:val="32"/>
          <w:highlight w:val="none"/>
          <w:fitText w:val="1280" w:id="-982755071"/>
        </w:rPr>
        <w:t>拟</w:t>
      </w:r>
      <w:r>
        <w:rPr>
          <w:rFonts w:hint="eastAsia" w:ascii="仿宋" w:hAnsi="仿宋" w:eastAsia="仿宋" w:cs="仿宋"/>
          <w:color w:val="auto"/>
          <w:sz w:val="32"/>
          <w:szCs w:val="32"/>
          <w:highlight w:val="none"/>
        </w:rPr>
        <w:t>签订的合同文本</w:t>
      </w:r>
    </w:p>
    <w:p w14:paraId="53918C8F">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w:t>
      </w:r>
      <w:r>
        <w:rPr>
          <w:rFonts w:hint="eastAsia" w:ascii="仿宋" w:hAnsi="仿宋" w:eastAsia="仿宋" w:cs="仿宋"/>
          <w:color w:val="auto"/>
          <w:spacing w:val="320"/>
          <w:kern w:val="0"/>
          <w:sz w:val="32"/>
          <w:szCs w:val="32"/>
          <w:highlight w:val="none"/>
          <w:fitText w:val="1280" w:id="-982755072"/>
        </w:rPr>
        <w:t>分</w:t>
      </w:r>
      <w:r>
        <w:rPr>
          <w:rFonts w:hint="eastAsia" w:ascii="仿宋" w:hAnsi="仿宋" w:eastAsia="仿宋" w:cs="仿宋"/>
          <w:color w:val="auto"/>
          <w:spacing w:val="0"/>
          <w:kern w:val="0"/>
          <w:sz w:val="32"/>
          <w:szCs w:val="32"/>
          <w:highlight w:val="none"/>
          <w:fitText w:val="1280" w:id="-982755072"/>
        </w:rPr>
        <w:t>应</w:t>
      </w:r>
      <w:r>
        <w:rPr>
          <w:rFonts w:hint="eastAsia" w:ascii="仿宋" w:hAnsi="仿宋" w:eastAsia="仿宋" w:cs="仿宋"/>
          <w:color w:val="auto"/>
          <w:sz w:val="32"/>
          <w:szCs w:val="32"/>
          <w:highlight w:val="none"/>
        </w:rPr>
        <w:t>提交的有关格式范例</w:t>
      </w:r>
      <w:bookmarkStart w:id="1" w:name="_Hlt91233176"/>
      <w:bookmarkEnd w:id="1"/>
      <w:bookmarkStart w:id="2" w:name="_Toc91899869"/>
    </w:p>
    <w:bookmarkEnd w:id="2"/>
    <w:p w14:paraId="16BF1BB4">
      <w:pPr>
        <w:adjustRightInd/>
        <w:spacing w:line="360" w:lineRule="auto"/>
        <w:jc w:val="center"/>
        <w:outlineLvl w:val="0"/>
        <w:rPr>
          <w:rFonts w:hint="eastAsia" w:ascii="仿宋" w:hAnsi="仿宋" w:eastAsia="仿宋" w:cs="仿宋"/>
          <w:b/>
          <w:color w:val="auto"/>
          <w:sz w:val="36"/>
          <w:szCs w:val="20"/>
          <w:highlight w:val="none"/>
        </w:rPr>
        <w:sectPr>
          <w:footerReference r:id="rId8" w:type="first"/>
          <w:footerReference r:id="rId7" w:type="default"/>
          <w:pgSz w:w="11906" w:h="16838"/>
          <w:pgMar w:top="680" w:right="1418" w:bottom="468" w:left="1418" w:header="851" w:footer="992" w:gutter="0"/>
          <w:pgBorders>
            <w:top w:val="none" w:sz="0" w:space="0"/>
            <w:left w:val="none" w:sz="0" w:space="0"/>
            <w:bottom w:val="none" w:sz="0" w:space="0"/>
            <w:right w:val="none" w:sz="0" w:space="0"/>
          </w:pgBorders>
          <w:pgNumType w:fmt="decimal" w:start="1"/>
          <w:cols w:space="720" w:num="1"/>
          <w:titlePg/>
          <w:docGrid w:linePitch="312" w:charSpace="0"/>
        </w:sectPr>
      </w:pPr>
      <w:bookmarkStart w:id="3" w:name="_Hlt74707423"/>
      <w:bookmarkEnd w:id="3"/>
      <w:bookmarkStart w:id="4" w:name="_Hlt74649545"/>
      <w:bookmarkEnd w:id="4"/>
      <w:bookmarkStart w:id="5" w:name="_Hlt74729822"/>
      <w:bookmarkEnd w:id="5"/>
      <w:bookmarkStart w:id="6" w:name="_Hlt74728647"/>
      <w:bookmarkEnd w:id="6"/>
      <w:bookmarkStart w:id="7" w:name="_Toc91899870"/>
      <w:bookmarkStart w:id="8" w:name="_Toc91899871"/>
    </w:p>
    <w:p w14:paraId="11CA1FAC">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 xml:space="preserve">第一部分 </w:t>
      </w:r>
      <w:r>
        <w:rPr>
          <w:rFonts w:ascii="仿宋" w:hAnsi="仿宋" w:eastAsia="仿宋" w:cs="仿宋"/>
          <w:b/>
          <w:color w:val="auto"/>
          <w:sz w:val="36"/>
          <w:szCs w:val="20"/>
          <w:highlight w:val="none"/>
        </w:rPr>
        <w:t xml:space="preserve"> </w:t>
      </w:r>
      <w:r>
        <w:rPr>
          <w:rFonts w:hint="eastAsia" w:ascii="仿宋" w:hAnsi="仿宋" w:eastAsia="仿宋" w:cs="仿宋"/>
          <w:b/>
          <w:color w:val="auto"/>
          <w:sz w:val="36"/>
          <w:szCs w:val="20"/>
          <w:highlight w:val="none"/>
        </w:rPr>
        <w:t>招标公告</w:t>
      </w:r>
    </w:p>
    <w:p w14:paraId="122DB52C">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7E8C087C">
      <w:pPr>
        <w:pBdr>
          <w:top w:val="single" w:color="auto" w:sz="4" w:space="1"/>
          <w:left w:val="single" w:color="auto" w:sz="4" w:space="4"/>
          <w:bottom w:val="single" w:color="auto" w:sz="4" w:space="1"/>
          <w:right w:val="single" w:color="auto" w:sz="4" w:space="4"/>
        </w:pBdr>
        <w:spacing w:line="3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杭州市公安局上城区分局160路监控和1399路庭改监控到期改造租赁项目</w:t>
      </w:r>
      <w:r>
        <w:rPr>
          <w:rFonts w:hint="eastAsia" w:ascii="仿宋" w:hAnsi="仿宋" w:eastAsia="仿宋" w:cs="仿宋"/>
          <w:color w:val="auto"/>
          <w:sz w:val="24"/>
          <w:highlight w:val="none"/>
        </w:rPr>
        <w:t>招标项目的潜在投标人应在政采云平台（</w:t>
      </w:r>
      <w:r>
        <w:rPr>
          <w:rFonts w:hint="eastAsia"/>
          <w:color w:val="auto"/>
          <w:highlight w:val="none"/>
        </w:rPr>
        <w:fldChar w:fldCharType="begin"/>
      </w:r>
      <w:r>
        <w:rPr>
          <w:color w:val="auto"/>
          <w:highlight w:val="none"/>
        </w:rPr>
        <w:instrText xml:space="preserve"> HYPERLINK "https://www.zcygov.cn/）获取（下载）招标文件，并于202%20年%20月%20日%20点%20分00秒" </w:instrText>
      </w:r>
      <w:r>
        <w:rPr>
          <w:rFonts w:hint="eastAsia"/>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w:t>
      </w:r>
      <w:r>
        <w:rPr>
          <w:rStyle w:val="76"/>
          <w:rFonts w:hint="eastAsia" w:ascii="仿宋" w:hAnsi="仿宋" w:eastAsia="仿宋" w:cs="仿宋"/>
          <w:snapToGrid/>
          <w:color w:val="auto"/>
          <w:kern w:val="2"/>
          <w:sz w:val="24"/>
          <w:szCs w:val="24"/>
          <w:highlight w:val="none"/>
          <w:lang w:val="en-US" w:eastAsia="zh-CN"/>
        </w:rPr>
        <w:t>5</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03</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26</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14</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00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5D2E8364">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5C738764">
      <w:pPr>
        <w:spacing w:line="360" w:lineRule="auto"/>
        <w:ind w:firstLine="48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lang w:eastAsia="zh-CN"/>
        </w:rPr>
        <w:t>ZJCT2-GASCFJ2025-01</w:t>
      </w:r>
    </w:p>
    <w:p w14:paraId="571DEF07">
      <w:pPr>
        <w:spacing w:line="360" w:lineRule="auto"/>
        <w:ind w:firstLine="48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b/>
          <w:color w:val="auto"/>
          <w:sz w:val="24"/>
          <w:highlight w:val="none"/>
          <w:lang w:eastAsia="zh-CN"/>
        </w:rPr>
        <w:t>杭州市公安局上城区分局160路监控和1399路庭改监控到期改造租赁项目</w:t>
      </w:r>
    </w:p>
    <w:p w14:paraId="3267C85E">
      <w:pPr>
        <w:spacing w:line="360" w:lineRule="auto"/>
        <w:ind w:firstLine="48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15100065.00</w:t>
      </w:r>
    </w:p>
    <w:p w14:paraId="527E9C68">
      <w:pPr>
        <w:spacing w:line="360" w:lineRule="auto"/>
        <w:ind w:firstLine="480"/>
        <w:rPr>
          <w:rFonts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14800065.00</w:t>
      </w:r>
    </w:p>
    <w:p w14:paraId="5E432EF3">
      <w:pPr>
        <w:pStyle w:val="5"/>
        <w:spacing w:line="360" w:lineRule="auto"/>
        <w:ind w:firstLine="480"/>
        <w:rPr>
          <w:rFonts w:ascii="仿宋" w:hAnsi="仿宋" w:eastAsia="仿宋" w:cs="仿宋"/>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lang w:eastAsia="zh-CN"/>
        </w:rPr>
        <w:t>杭州市公安局上城区分局160路监控和1399路庭改监控到期改造租赁项目</w:t>
      </w:r>
      <w:r>
        <w:rPr>
          <w:rFonts w:hint="eastAsia" w:ascii="仿宋" w:hAnsi="仿宋" w:eastAsia="仿宋" w:cs="仿宋"/>
          <w:bCs/>
          <w:snapToGrid/>
          <w:color w:val="auto"/>
          <w:kern w:val="2"/>
          <w:sz w:val="24"/>
          <w:szCs w:val="24"/>
          <w:highlight w:val="none"/>
        </w:rPr>
        <w:t>主要内容：包括【前端相机改造服务】、【后端存储升级扩容服务】、【后端算法能力扩容服务】共三块内容。</w:t>
      </w:r>
      <w:r>
        <w:rPr>
          <w:rFonts w:hint="eastAsia" w:ascii="仿宋" w:hAnsi="仿宋" w:eastAsia="仿宋" w:cs="仿宋"/>
          <w:snapToGrid/>
          <w:color w:val="auto"/>
          <w:kern w:val="2"/>
          <w:sz w:val="24"/>
          <w:szCs w:val="24"/>
          <w:highlight w:val="none"/>
        </w:rPr>
        <w:t>具体以招标文件第三部分采购需求为准。</w:t>
      </w:r>
    </w:p>
    <w:p w14:paraId="526D1311">
      <w:pPr>
        <w:spacing w:line="360" w:lineRule="auto"/>
        <w:ind w:firstLine="48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合同履约期限：</w:t>
      </w:r>
      <w:r>
        <w:rPr>
          <w:rFonts w:hint="eastAsia" w:ascii="仿宋" w:hAnsi="仿宋" w:eastAsia="仿宋" w:cs="仿宋"/>
          <w:b/>
          <w:color w:val="auto"/>
          <w:sz w:val="24"/>
          <w:highlight w:val="none"/>
          <w:lang w:val="en-US" w:eastAsia="zh-CN"/>
        </w:rPr>
        <w:t>三年</w:t>
      </w:r>
      <w:r>
        <w:rPr>
          <w:rFonts w:hint="eastAsia" w:ascii="仿宋" w:hAnsi="仿宋" w:eastAsia="仿宋" w:cs="仿宋"/>
          <w:b/>
          <w:color w:val="auto"/>
          <w:sz w:val="24"/>
          <w:highlight w:val="none"/>
        </w:rPr>
        <w:t>，具体以招标文件第三部分采购需求为准。</w:t>
      </w:r>
    </w:p>
    <w:p w14:paraId="3D815781">
      <w:pPr>
        <w:pStyle w:val="5"/>
        <w:spacing w:line="360" w:lineRule="auto"/>
        <w:ind w:firstLine="480"/>
        <w:rPr>
          <w:rFonts w:ascii="仿宋" w:hAnsi="仿宋" w:eastAsia="仿宋" w:cs="仿宋"/>
          <w:b/>
          <w:color w:val="auto"/>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44183695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159162419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2606D205">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6EB3E1B4">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5E6B912">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2.以联合体形式投标的，提供联合协议(本项目不接受联合体投标或者投标人不以联合体形式投标的，则不需要提供)；</w:t>
      </w:r>
    </w:p>
    <w:p w14:paraId="7F56929F">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3743C89C">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5418690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4.本项目的特定资格要求：无；</w:t>
      </w:r>
    </w:p>
    <w:p w14:paraId="4782E91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435219A">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三、获取招标文件</w:t>
      </w:r>
    </w:p>
    <w:p w14:paraId="0556C94C">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，每天上午00:00至12:00，下午12:00至23:59（北京时间，线上获取法定节假日均可，线下获取文件法定节假日除外）</w:t>
      </w:r>
    </w:p>
    <w:p w14:paraId="6D750C7F">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政采云平台（https://www.zcygov.cn/）</w:t>
      </w:r>
    </w:p>
    <w:p w14:paraId="3E6D6490">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供应商登录政采云平台https://www.zcygov.cn/在线申请获取采购文件（进入“项目采购”应用，在获取采购文件菜单中选择项目，申请获取采购文件）。</w:t>
      </w:r>
    </w:p>
    <w:p w14:paraId="05B7CF0B">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0</w:t>
      </w:r>
    </w:p>
    <w:p w14:paraId="778E8D98">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32DAEDB1">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13DD6151">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2EEB14E1">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p>
    <w:p w14:paraId="0B8CB4E9">
      <w:pPr>
        <w:spacing w:line="360" w:lineRule="auto"/>
        <w:ind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r>
        <w:rPr>
          <w:rFonts w:hint="eastAsia" w:ascii="仿宋" w:hAnsi="仿宋" w:eastAsia="仿宋" w:cs="仿宋"/>
          <w:color w:val="auto"/>
          <w:sz w:val="24"/>
          <w:highlight w:val="none"/>
          <w:lang w:val="en-US" w:eastAsia="zh-CN"/>
        </w:rPr>
        <w:t>/杭州市西湖区古墩路701号紫金广场A座15楼1501-1室</w:t>
      </w:r>
    </w:p>
    <w:p w14:paraId="300518D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五、</w:t>
      </w:r>
      <w:r>
        <w:rPr>
          <w:rFonts w:hint="eastAsia" w:ascii="仿宋" w:hAnsi="仿宋" w:eastAsia="仿宋" w:cs="仿宋"/>
          <w:b/>
          <w:color w:val="auto"/>
          <w:sz w:val="24"/>
          <w:highlight w:val="none"/>
        </w:rPr>
        <w:t>采购意向公开链接</w:t>
      </w:r>
    </w:p>
    <w:p w14:paraId="71CC6F15">
      <w:pPr>
        <w:spacing w:line="360" w:lineRule="auto"/>
        <w:ind w:firstLine="420" w:firstLineChars="0"/>
        <w:rPr>
          <w:rFonts w:ascii="仿宋" w:hAnsi="仿宋" w:eastAsia="仿宋" w:cs="仿宋"/>
          <w:b w:val="0"/>
          <w:bCs/>
          <w:color w:val="auto"/>
          <w:sz w:val="24"/>
          <w:highlight w:val="none"/>
        </w:rPr>
      </w:pPr>
      <w:r>
        <w:rPr>
          <w:rFonts w:hint="eastAsia" w:ascii="仿宋" w:hAnsi="仿宋" w:eastAsia="仿宋" w:cs="仿宋"/>
          <w:bCs/>
          <w:color w:val="auto"/>
          <w:sz w:val="24"/>
          <w:highlight w:val="none"/>
        </w:rPr>
        <w:t>https://zfcg.czt.zj.gov.cn/site/detail?parentId=600007&amp;articleId=HfdX1M8zoONmzMmz5bd2ug%3D%3D</w:t>
      </w:r>
    </w:p>
    <w:p w14:paraId="4ACE6BA5">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六、公告期限</w:t>
      </w:r>
    </w:p>
    <w:p w14:paraId="6C046BE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00ABC03B">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57FA461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760A69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E3F54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145796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14EA794">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14:paraId="117F9FBA">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1.采购人信息</w:t>
      </w:r>
    </w:p>
    <w:p w14:paraId="681F5692">
      <w:pPr>
        <w:spacing w:line="360" w:lineRule="auto"/>
        <w:ind w:firstLine="480"/>
        <w:rPr>
          <w:rFonts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82738682"/>
        </w:rPr>
        <w:t>名</w:t>
      </w:r>
      <w:r>
        <w:rPr>
          <w:rFonts w:hint="eastAsia" w:ascii="仿宋" w:hAnsi="仿宋" w:eastAsia="仿宋" w:cs="仿宋"/>
          <w:color w:val="auto"/>
          <w:spacing w:val="0"/>
          <w:kern w:val="0"/>
          <w:sz w:val="24"/>
          <w:highlight w:val="none"/>
          <w:fitText w:val="960" w:id="-982738682"/>
        </w:rPr>
        <w:t>称</w:t>
      </w:r>
      <w:r>
        <w:rPr>
          <w:rFonts w:hint="eastAsia" w:ascii="仿宋" w:hAnsi="仿宋" w:eastAsia="仿宋" w:cs="仿宋"/>
          <w:color w:val="auto"/>
          <w:sz w:val="24"/>
          <w:highlight w:val="none"/>
        </w:rPr>
        <w:t>：杭州市公安局上城区分局</w:t>
      </w:r>
    </w:p>
    <w:p w14:paraId="1548FB21">
      <w:pPr>
        <w:spacing w:line="360" w:lineRule="auto"/>
        <w:ind w:firstLine="480"/>
        <w:rPr>
          <w:rFonts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82738683"/>
        </w:rPr>
        <w:t>地</w:t>
      </w:r>
      <w:r>
        <w:rPr>
          <w:rFonts w:hint="eastAsia" w:ascii="仿宋" w:hAnsi="仿宋" w:eastAsia="仿宋" w:cs="仿宋"/>
          <w:color w:val="auto"/>
          <w:spacing w:val="0"/>
          <w:kern w:val="0"/>
          <w:sz w:val="24"/>
          <w:highlight w:val="none"/>
          <w:fitText w:val="960" w:id="-982738683"/>
        </w:rPr>
        <w:t>址</w:t>
      </w:r>
      <w:r>
        <w:rPr>
          <w:rFonts w:hint="eastAsia" w:ascii="仿宋" w:hAnsi="仿宋" w:eastAsia="仿宋" w:cs="仿宋"/>
          <w:color w:val="auto"/>
          <w:sz w:val="24"/>
          <w:highlight w:val="none"/>
        </w:rPr>
        <w:t>：杭州市上城区候潮东路175号</w:t>
      </w:r>
    </w:p>
    <w:p w14:paraId="2BD6DD88">
      <w:pPr>
        <w:spacing w:line="360" w:lineRule="auto"/>
        <w:ind w:firstLine="480"/>
        <w:rPr>
          <w:rFonts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82738684"/>
        </w:rPr>
        <w:t>传</w:t>
      </w:r>
      <w:r>
        <w:rPr>
          <w:rFonts w:hint="eastAsia" w:ascii="仿宋" w:hAnsi="仿宋" w:eastAsia="仿宋" w:cs="仿宋"/>
          <w:color w:val="auto"/>
          <w:spacing w:val="0"/>
          <w:kern w:val="0"/>
          <w:sz w:val="24"/>
          <w:highlight w:val="none"/>
          <w:fitText w:val="960" w:id="-982738684"/>
        </w:rPr>
        <w:t>真</w:t>
      </w:r>
      <w:r>
        <w:rPr>
          <w:rFonts w:hint="eastAsia" w:ascii="仿宋" w:hAnsi="仿宋" w:eastAsia="仿宋" w:cs="仿宋"/>
          <w:color w:val="auto"/>
          <w:sz w:val="24"/>
          <w:highlight w:val="none"/>
        </w:rPr>
        <w:t>：/</w:t>
      </w:r>
    </w:p>
    <w:p w14:paraId="6CFD7B40">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项目联系人（询问）：钟警官</w:t>
      </w:r>
    </w:p>
    <w:p w14:paraId="536E4614">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项目联系方式（询问）：13588815240</w:t>
      </w:r>
    </w:p>
    <w:p w14:paraId="4883429C">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质疑联系人：裘主任</w:t>
      </w:r>
    </w:p>
    <w:p w14:paraId="6E9F303D">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质疑联系方式：13606709884（请通过以下路径在线提起质疑：政采云-项目采购-询问质疑投诉-质疑列表）</w:t>
      </w:r>
    </w:p>
    <w:p w14:paraId="6C0A7EA2">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2.采购代理机构信息</w:t>
      </w:r>
    </w:p>
    <w:p w14:paraId="5C158CCB">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pacing w:val="240"/>
          <w:kern w:val="0"/>
          <w:sz w:val="24"/>
          <w:highlight w:val="none"/>
          <w:fitText w:val="960" w:id="-982738681"/>
        </w:rPr>
        <w:t>名</w:t>
      </w:r>
      <w:r>
        <w:rPr>
          <w:rFonts w:hint="eastAsia" w:ascii="仿宋" w:hAnsi="仿宋" w:eastAsia="仿宋" w:cs="仿宋"/>
          <w:color w:val="auto"/>
          <w:spacing w:val="0"/>
          <w:kern w:val="0"/>
          <w:sz w:val="24"/>
          <w:highlight w:val="none"/>
          <w:fitText w:val="960" w:id="-982738681"/>
        </w:rPr>
        <w:t>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浙江省成套工程有限公司</w:t>
      </w:r>
    </w:p>
    <w:p w14:paraId="2E5BF14A">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pacing w:val="240"/>
          <w:kern w:val="0"/>
          <w:sz w:val="24"/>
          <w:highlight w:val="none"/>
          <w:fitText w:val="960" w:id="-982738687"/>
        </w:rPr>
        <w:t>地</w:t>
      </w:r>
      <w:r>
        <w:rPr>
          <w:rFonts w:hint="eastAsia" w:ascii="仿宋" w:hAnsi="仿宋" w:eastAsia="仿宋" w:cs="仿宋"/>
          <w:color w:val="auto"/>
          <w:spacing w:val="0"/>
          <w:kern w:val="0"/>
          <w:sz w:val="24"/>
          <w:highlight w:val="none"/>
          <w:fitText w:val="960" w:id="-982738687"/>
        </w:rPr>
        <w:t>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杭州市西湖区古墩路701号紫金广场A座15楼1509室</w:t>
      </w:r>
    </w:p>
    <w:p w14:paraId="0CC83861">
      <w:pPr>
        <w:spacing w:line="360" w:lineRule="auto"/>
        <w:ind w:firstLine="480"/>
        <w:rPr>
          <w:rFonts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82738688"/>
        </w:rPr>
        <w:t>传</w:t>
      </w:r>
      <w:r>
        <w:rPr>
          <w:rFonts w:hint="eastAsia" w:ascii="仿宋" w:hAnsi="仿宋" w:eastAsia="仿宋" w:cs="仿宋"/>
          <w:color w:val="auto"/>
          <w:spacing w:val="0"/>
          <w:kern w:val="0"/>
          <w:sz w:val="24"/>
          <w:highlight w:val="none"/>
          <w:fitText w:val="960" w:id="-982738688"/>
        </w:rPr>
        <w:t>真</w:t>
      </w:r>
      <w:r>
        <w:rPr>
          <w:rFonts w:hint="eastAsia" w:ascii="仿宋" w:hAnsi="仿宋" w:eastAsia="仿宋" w:cs="仿宋"/>
          <w:color w:val="auto"/>
          <w:sz w:val="24"/>
          <w:highlight w:val="none"/>
        </w:rPr>
        <w:t>：/</w:t>
      </w:r>
    </w:p>
    <w:p w14:paraId="78279AB5">
      <w:pPr>
        <w:spacing w:line="360" w:lineRule="auto"/>
        <w:ind w:firstLine="480"/>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何磊</w:t>
      </w:r>
    </w:p>
    <w:p w14:paraId="2266F7CF">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eastAsia="zh-CN"/>
        </w:rPr>
        <w:t>15868121513</w:t>
      </w:r>
    </w:p>
    <w:p w14:paraId="633D82F5">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叶臣</w:t>
      </w:r>
    </w:p>
    <w:p w14:paraId="49D5EB23">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eastAsia="zh-CN"/>
        </w:rPr>
        <w:t>13666659131</w:t>
      </w:r>
      <w:r>
        <w:rPr>
          <w:rFonts w:hint="eastAsia" w:ascii="仿宋" w:hAnsi="仿宋" w:eastAsia="仿宋" w:cs="仿宋"/>
          <w:color w:val="auto"/>
          <w:sz w:val="24"/>
          <w:highlight w:val="none"/>
        </w:rPr>
        <w:t>（请通过以下路径在线提起质疑：政采云-项目采购-询问质疑投诉-质疑列表）</w:t>
      </w:r>
    </w:p>
    <w:p w14:paraId="2EAA7A67">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3.同级政府采购监督管理部门</w:t>
      </w:r>
    </w:p>
    <w:p w14:paraId="5D268F58">
      <w:pPr>
        <w:spacing w:line="360" w:lineRule="auto"/>
        <w:ind w:firstLine="420"/>
        <w:rPr>
          <w:rFonts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82738678"/>
        </w:rPr>
        <w:t>名</w:t>
      </w:r>
      <w:r>
        <w:rPr>
          <w:rFonts w:hint="eastAsia" w:ascii="仿宋" w:hAnsi="仿宋" w:eastAsia="仿宋" w:cs="仿宋"/>
          <w:color w:val="auto"/>
          <w:spacing w:val="0"/>
          <w:kern w:val="0"/>
          <w:sz w:val="24"/>
          <w:highlight w:val="none"/>
          <w:fitText w:val="960" w:id="-982738678"/>
        </w:rPr>
        <w:t>称</w:t>
      </w:r>
      <w:r>
        <w:rPr>
          <w:rFonts w:hint="eastAsia" w:ascii="仿宋" w:hAnsi="仿宋" w:eastAsia="仿宋" w:cs="仿宋"/>
          <w:color w:val="auto"/>
          <w:sz w:val="24"/>
          <w:highlight w:val="none"/>
        </w:rPr>
        <w:t>：杭州市</w:t>
      </w:r>
      <w:r>
        <w:rPr>
          <w:rFonts w:hint="eastAsia" w:ascii="仿宋" w:hAnsi="仿宋" w:eastAsia="仿宋" w:cs="仿宋"/>
          <w:color w:val="auto"/>
          <w:sz w:val="24"/>
          <w:highlight w:val="none"/>
          <w:lang w:val="en-US" w:eastAsia="zh-CN"/>
        </w:rPr>
        <w:t>上城</w:t>
      </w:r>
      <w:r>
        <w:rPr>
          <w:rFonts w:hint="eastAsia" w:ascii="仿宋" w:hAnsi="仿宋" w:eastAsia="仿宋" w:cs="仿宋"/>
          <w:color w:val="auto"/>
          <w:sz w:val="24"/>
          <w:highlight w:val="none"/>
        </w:rPr>
        <w:t>区财政局/浙江省政府采购行政裁决服务中心（杭州）</w:t>
      </w:r>
    </w:p>
    <w:p w14:paraId="2B55F936">
      <w:pPr>
        <w:spacing w:line="360" w:lineRule="auto"/>
        <w:ind w:firstLine="420"/>
        <w:rPr>
          <w:rFonts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82738679"/>
        </w:rPr>
        <w:t>地</w:t>
      </w:r>
      <w:r>
        <w:rPr>
          <w:rFonts w:hint="eastAsia" w:ascii="仿宋" w:hAnsi="仿宋" w:eastAsia="仿宋" w:cs="仿宋"/>
          <w:color w:val="auto"/>
          <w:spacing w:val="0"/>
          <w:kern w:val="0"/>
          <w:sz w:val="24"/>
          <w:highlight w:val="none"/>
          <w:fitText w:val="960" w:id="-982738679"/>
        </w:rPr>
        <w:t>址</w:t>
      </w:r>
      <w:r>
        <w:rPr>
          <w:rFonts w:hint="eastAsia" w:ascii="仿宋" w:hAnsi="仿宋" w:eastAsia="仿宋" w:cs="仿宋"/>
          <w:color w:val="auto"/>
          <w:sz w:val="24"/>
          <w:highlight w:val="none"/>
        </w:rPr>
        <w:t>：杭州市上城区四季青街道新业路市民之家G03办公室（快递仅限ems或顺丰）</w:t>
      </w:r>
    </w:p>
    <w:p w14:paraId="1C466915">
      <w:pPr>
        <w:spacing w:line="360" w:lineRule="auto"/>
        <w:ind w:firstLine="420"/>
        <w:rPr>
          <w:rFonts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82738680"/>
        </w:rPr>
        <w:t>传</w:t>
      </w:r>
      <w:r>
        <w:rPr>
          <w:rFonts w:hint="eastAsia" w:ascii="仿宋" w:hAnsi="仿宋" w:eastAsia="仿宋" w:cs="仿宋"/>
          <w:color w:val="auto"/>
          <w:spacing w:val="0"/>
          <w:kern w:val="0"/>
          <w:sz w:val="24"/>
          <w:highlight w:val="none"/>
          <w:fitText w:val="960" w:id="-982738680"/>
        </w:rPr>
        <w:t>真</w:t>
      </w:r>
      <w:r>
        <w:rPr>
          <w:rFonts w:hint="eastAsia" w:ascii="仿宋" w:hAnsi="仿宋" w:eastAsia="仿宋" w:cs="仿宋"/>
          <w:color w:val="auto"/>
          <w:sz w:val="24"/>
          <w:highlight w:val="none"/>
        </w:rPr>
        <w:t>：/</w:t>
      </w:r>
    </w:p>
    <w:p w14:paraId="543A03A6">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联系人：朱女士/王女士</w:t>
      </w:r>
    </w:p>
    <w:p w14:paraId="50AAD9E9">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监督投诉电话：0571-85252453（仅限投诉事项）</w:t>
      </w:r>
    </w:p>
    <w:p w14:paraId="45769AFB">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224792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CA问题联系电话（人工）：汇信C</w:t>
      </w:r>
      <w:r>
        <w:rPr>
          <w:rFonts w:hint="eastAsia" w:ascii="仿宋" w:hAnsi="仿宋" w:eastAsia="仿宋" w:cs="仿宋"/>
          <w:color w:val="auto"/>
          <w:spacing w:val="240"/>
          <w:kern w:val="0"/>
          <w:sz w:val="24"/>
          <w:highlight w:val="none"/>
          <w:fitText w:val="480" w:id="-982738431"/>
        </w:rPr>
        <w:t>A</w:t>
      </w:r>
      <w:r>
        <w:rPr>
          <w:rFonts w:hint="eastAsia" w:ascii="仿宋" w:hAnsi="仿宋" w:eastAsia="仿宋" w:cs="仿宋"/>
          <w:color w:val="auto"/>
          <w:spacing w:val="0"/>
          <w:kern w:val="0"/>
          <w:sz w:val="24"/>
          <w:highlight w:val="none"/>
          <w:fitText w:val="480" w:id="-982738431"/>
        </w:rPr>
        <w:t>4</w:t>
      </w:r>
      <w:r>
        <w:rPr>
          <w:rFonts w:hint="eastAsia" w:ascii="仿宋" w:hAnsi="仿宋" w:eastAsia="仿宋" w:cs="仿宋"/>
          <w:color w:val="auto"/>
          <w:sz w:val="24"/>
          <w:highlight w:val="none"/>
        </w:rPr>
        <w:t>00-888-4636；天谷C</w:t>
      </w:r>
      <w:r>
        <w:rPr>
          <w:rFonts w:hint="eastAsia" w:ascii="仿宋" w:hAnsi="仿宋" w:eastAsia="仿宋" w:cs="仿宋"/>
          <w:color w:val="auto"/>
          <w:spacing w:val="240"/>
          <w:kern w:val="0"/>
          <w:sz w:val="24"/>
          <w:highlight w:val="none"/>
          <w:fitText w:val="480" w:id="-982738432"/>
        </w:rPr>
        <w:t>A</w:t>
      </w:r>
      <w:r>
        <w:rPr>
          <w:rFonts w:hint="eastAsia" w:ascii="仿宋" w:hAnsi="仿宋" w:eastAsia="仿宋" w:cs="仿宋"/>
          <w:color w:val="auto"/>
          <w:spacing w:val="0"/>
          <w:kern w:val="0"/>
          <w:sz w:val="24"/>
          <w:highlight w:val="none"/>
          <w:fitText w:val="480" w:id="-982738432"/>
        </w:rPr>
        <w:t>4</w:t>
      </w:r>
      <w:r>
        <w:rPr>
          <w:rFonts w:hint="eastAsia" w:ascii="仿宋" w:hAnsi="仿宋" w:eastAsia="仿宋" w:cs="仿宋"/>
          <w:color w:val="auto"/>
          <w:sz w:val="24"/>
          <w:highlight w:val="none"/>
        </w:rPr>
        <w:t>00-087-8198。</w:t>
      </w:r>
    </w:p>
    <w:p w14:paraId="06E8A248">
      <w:pPr>
        <w:adjustRightInd/>
        <w:spacing w:line="360" w:lineRule="auto"/>
        <w:jc w:val="center"/>
        <w:outlineLvl w:val="0"/>
        <w:rPr>
          <w:rFonts w:ascii="仿宋" w:hAnsi="仿宋" w:eastAsia="仿宋" w:cs="仿宋"/>
          <w:b/>
          <w:color w:val="auto"/>
          <w:sz w:val="36"/>
          <w:szCs w:val="20"/>
          <w:highlight w:val="none"/>
        </w:rPr>
        <w:sectPr>
          <w:footerReference r:id="rId10" w:type="first"/>
          <w:footerReference r:id="rId9" w:type="default"/>
          <w:pgSz w:w="11906" w:h="16838"/>
          <w:pgMar w:top="680" w:right="1418" w:bottom="468" w:left="1418" w:header="851" w:footer="992" w:gutter="0"/>
          <w:pgBorders>
            <w:top w:val="none" w:sz="0" w:space="0"/>
            <w:left w:val="none" w:sz="0" w:space="0"/>
            <w:bottom w:val="none" w:sz="0" w:space="0"/>
            <w:right w:val="none" w:sz="0" w:space="0"/>
          </w:pgBorders>
          <w:pgNumType w:fmt="decimal" w:start="1"/>
          <w:cols w:space="720" w:num="1"/>
          <w:titlePg/>
          <w:docGrid w:linePitch="312" w:charSpace="0"/>
        </w:sectPr>
      </w:pPr>
    </w:p>
    <w:p w14:paraId="6C915F26">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w:t>
      </w:r>
      <w:r>
        <w:rPr>
          <w:rFonts w:hint="eastAsia" w:ascii="仿宋" w:hAnsi="仿宋" w:eastAsia="仿宋" w:cs="仿宋"/>
          <w:b/>
          <w:color w:val="auto"/>
          <w:spacing w:val="362"/>
          <w:kern w:val="0"/>
          <w:sz w:val="36"/>
          <w:szCs w:val="20"/>
          <w:highlight w:val="none"/>
          <w:fitText w:val="1444" w:id="-982738176"/>
        </w:rPr>
        <w:t>分</w:t>
      </w:r>
      <w:r>
        <w:rPr>
          <w:rFonts w:hint="eastAsia" w:ascii="仿宋" w:hAnsi="仿宋" w:eastAsia="仿宋" w:cs="仿宋"/>
          <w:b/>
          <w:color w:val="auto"/>
          <w:spacing w:val="0"/>
          <w:kern w:val="0"/>
          <w:sz w:val="36"/>
          <w:szCs w:val="20"/>
          <w:highlight w:val="none"/>
          <w:fitText w:val="1444" w:id="-982738176"/>
        </w:rPr>
        <w:t>投</w:t>
      </w:r>
      <w:r>
        <w:rPr>
          <w:rFonts w:hint="eastAsia" w:ascii="仿宋" w:hAnsi="仿宋" w:eastAsia="仿宋" w:cs="仿宋"/>
          <w:b/>
          <w:color w:val="auto"/>
          <w:sz w:val="36"/>
          <w:szCs w:val="20"/>
          <w:highlight w:val="none"/>
        </w:rPr>
        <w:t>标人须知</w:t>
      </w:r>
      <w:bookmarkEnd w:id="7"/>
    </w:p>
    <w:p w14:paraId="1FFC3443">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48D3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296DA0C5">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vAlign w:val="center"/>
          </w:tcPr>
          <w:p w14:paraId="6DBD6268">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vAlign w:val="center"/>
          </w:tcPr>
          <w:p w14:paraId="15751C81">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62263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tblHeader/>
          <w:jc w:val="center"/>
        </w:trPr>
        <w:tc>
          <w:tcPr>
            <w:tcW w:w="629" w:type="dxa"/>
            <w:vAlign w:val="center"/>
          </w:tcPr>
          <w:p w14:paraId="6CC79A07">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vAlign w:val="center"/>
          </w:tcPr>
          <w:p w14:paraId="406D00B2">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vAlign w:val="center"/>
          </w:tcPr>
          <w:p w14:paraId="30C073C6">
            <w:pPr>
              <w:rPr>
                <w:rFonts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33372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9" w:hRule="atLeast"/>
          <w:tblHeader/>
          <w:jc w:val="center"/>
        </w:trPr>
        <w:tc>
          <w:tcPr>
            <w:tcW w:w="629" w:type="dxa"/>
            <w:vAlign w:val="center"/>
          </w:tcPr>
          <w:p w14:paraId="6EC6FC7E">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vAlign w:val="center"/>
          </w:tcPr>
          <w:p w14:paraId="62D1516D">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vAlign w:val="center"/>
          </w:tcPr>
          <w:p w14:paraId="132DB2EB">
            <w:pPr>
              <w:numPr>
                <w:ilvl w:val="0"/>
                <w:numId w:val="1"/>
              </w:numPr>
              <w:snapToGrid w:val="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标的：</w:t>
            </w:r>
            <w:r>
              <w:rPr>
                <w:rFonts w:hint="eastAsia" w:ascii="仿宋" w:hAnsi="仿宋" w:eastAsia="仿宋" w:cs="宋体"/>
                <w:color w:val="auto"/>
                <w:kern w:val="0"/>
                <w:sz w:val="24"/>
                <w:highlight w:val="none"/>
                <w:u w:val="single"/>
                <w:lang w:eastAsia="zh-CN"/>
              </w:rPr>
              <w:t>杭州市公安局上城区分局160路监控和1399路庭改监控到期改造租赁项目</w:t>
            </w:r>
            <w:r>
              <w:rPr>
                <w:rFonts w:hint="eastAsia" w:ascii="仿宋" w:hAnsi="仿宋" w:eastAsia="仿宋" w:cs="宋体"/>
                <w:color w:val="auto"/>
                <w:kern w:val="0"/>
                <w:sz w:val="24"/>
                <w:highlight w:val="none"/>
              </w:rPr>
              <w:t>，属于</w:t>
            </w:r>
            <w:r>
              <w:rPr>
                <w:rFonts w:hint="eastAsia" w:ascii="仿宋" w:hAnsi="仿宋" w:eastAsia="仿宋" w:cs="宋体"/>
                <w:color w:val="auto"/>
                <w:kern w:val="0"/>
                <w:sz w:val="24"/>
                <w:highlight w:val="none"/>
                <w:u w:val="single"/>
              </w:rPr>
              <w:t>软件和信息技术服务业</w:t>
            </w:r>
            <w:r>
              <w:rPr>
                <w:rFonts w:hint="eastAsia" w:ascii="仿宋" w:hAnsi="仿宋" w:eastAsia="仿宋" w:cs="宋体"/>
                <w:color w:val="auto"/>
                <w:kern w:val="0"/>
                <w:sz w:val="24"/>
                <w:highlight w:val="none"/>
              </w:rPr>
              <w:t>行业；</w:t>
            </w:r>
          </w:p>
          <w:p w14:paraId="5B359F8F">
            <w:pPr>
              <w:snapToGrid w:val="0"/>
              <w:rPr>
                <w:rFonts w:ascii="仿宋" w:hAnsi="仿宋" w:eastAsia="仿宋" w:cs="仿宋"/>
                <w:color w:val="auto"/>
                <w:highlight w:val="none"/>
              </w:rPr>
            </w:pPr>
            <w:r>
              <w:rPr>
                <w:rFonts w:hint="eastAsia" w:ascii="仿宋" w:hAnsi="仿宋" w:eastAsia="仿宋" w:cs="宋体"/>
                <w:color w:val="auto"/>
                <w:kern w:val="0"/>
                <w:sz w:val="24"/>
                <w:highlight w:val="none"/>
              </w:rPr>
              <w:t>（2）备注：《关于印发中小企业划型标准规定的通知》（工信部联企业〔2011〕300）：</w:t>
            </w:r>
            <w:r>
              <w:rPr>
                <w:rFonts w:hint="eastAsia" w:ascii="仿宋" w:hAnsi="仿宋" w:eastAsia="仿宋" w:cs="宋体"/>
                <w:color w:val="auto"/>
                <w:kern w:val="0"/>
                <w:sz w:val="24"/>
                <w:highlight w:val="none"/>
                <w:u w:val="single"/>
              </w:rPr>
              <w:t>软件和信息技术</w:t>
            </w:r>
            <w:r>
              <w:rPr>
                <w:rFonts w:hint="eastAsia" w:ascii="仿宋" w:hAnsi="仿宋" w:eastAsia="仿宋" w:cs="宋体"/>
                <w:color w:val="auto"/>
                <w:kern w:val="0"/>
                <w:sz w:val="24"/>
                <w:highlight w:val="none"/>
                <w:u w:val="single"/>
                <w:lang w:eastAsia="zh-CN"/>
              </w:rPr>
              <w:t>服务业</w:t>
            </w:r>
            <w:r>
              <w:rPr>
                <w:rFonts w:hint="eastAsia" w:ascii="仿宋" w:hAnsi="仿宋" w:eastAsia="仿宋" w:cs="宋体"/>
                <w:color w:val="auto"/>
                <w:kern w:val="0"/>
                <w:sz w:val="24"/>
                <w:highlight w:val="none"/>
                <w:u w:val="singl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1E53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6606C69E">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vAlign w:val="center"/>
          </w:tcPr>
          <w:p w14:paraId="2CFE78D6">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vAlign w:val="center"/>
          </w:tcPr>
          <w:p w14:paraId="396E70A0">
            <w:pPr>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5CE37D85">
            <w:pPr>
              <w:rPr>
                <w:rFonts w:ascii="仿宋" w:hAnsi="仿宋" w:eastAsia="仿宋" w:cs="仿宋"/>
                <w:color w:val="auto"/>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002AE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77" w:hRule="atLeast"/>
          <w:tblHeader/>
          <w:jc w:val="center"/>
        </w:trPr>
        <w:tc>
          <w:tcPr>
            <w:tcW w:w="629" w:type="dxa"/>
            <w:vAlign w:val="center"/>
          </w:tcPr>
          <w:p w14:paraId="7985F235">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vAlign w:val="center"/>
          </w:tcPr>
          <w:p w14:paraId="22A9D5FD">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vAlign w:val="center"/>
          </w:tcPr>
          <w:p w14:paraId="31FB45B7">
            <w:pPr>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728692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同意将非主体、非关键性的工作分包。</w:t>
            </w:r>
          </w:p>
          <w:p w14:paraId="688312C4">
            <w:pPr>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p w14:paraId="0773CA77">
            <w:pPr>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注：不得限制大中型企业向小微企业合理分包。分包份额不得超过总包单位。投标人中标后以分包方式履行合同的，提供分包意向协议（附件7）；不以分包方式履行合同的，则无需提供。</w:t>
            </w:r>
          </w:p>
        </w:tc>
      </w:tr>
      <w:tr w14:paraId="4D62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2" w:hRule="atLeast"/>
          <w:tblHeader/>
          <w:jc w:val="center"/>
        </w:trPr>
        <w:tc>
          <w:tcPr>
            <w:tcW w:w="629" w:type="dxa"/>
            <w:vAlign w:val="center"/>
          </w:tcPr>
          <w:p w14:paraId="0827C2B1">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vAlign w:val="center"/>
          </w:tcPr>
          <w:p w14:paraId="7864A6E3">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vAlign w:val="center"/>
          </w:tcPr>
          <w:p w14:paraId="48634F96">
            <w:pPr>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投标截止前，投标人可自行到项目所在地予以踏勘，对项目实施现场及周边环境等进行勘察，以获取编制投标文件和签署合同所需的所有资料。无论投标人是否踏勘现场，均被视作对项目现场的了解已完全满足本采购项目投标报价的需要。有关踏勘现场需要发生的一切费用由投标人自理，投标人自行负责在踏勘现场中所发生的任何风险责任和财产损失。</w:t>
            </w:r>
          </w:p>
          <w:p w14:paraId="24F1053C">
            <w:pPr>
              <w:rPr>
                <w:rFonts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0A7B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tblHeader/>
          <w:jc w:val="center"/>
        </w:trPr>
        <w:tc>
          <w:tcPr>
            <w:tcW w:w="629" w:type="dxa"/>
            <w:vAlign w:val="center"/>
          </w:tcPr>
          <w:p w14:paraId="5B347AAC">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vAlign w:val="center"/>
          </w:tcPr>
          <w:p w14:paraId="07530296">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vAlign w:val="center"/>
          </w:tcPr>
          <w:p w14:paraId="1696EFC3">
            <w:pPr>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09A1425F">
            <w:pPr>
              <w:rPr>
                <w:rFonts w:ascii="仿宋" w:hAnsi="仿宋" w:eastAsia="仿宋" w:cs="仿宋"/>
                <w:b/>
                <w:color w:val="auto"/>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r>
              <w:rPr>
                <w:rFonts w:hint="eastAsia" w:ascii="仿宋" w:hAnsi="仿宋" w:eastAsia="仿宋" w:cs="仿宋"/>
                <w:color w:val="auto"/>
                <w:sz w:val="24"/>
                <w:highlight w:val="none"/>
              </w:rPr>
              <w:t>。</w:t>
            </w:r>
          </w:p>
        </w:tc>
      </w:tr>
      <w:tr w14:paraId="2029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4" w:hRule="atLeast"/>
          <w:tblHeader/>
          <w:jc w:val="center"/>
        </w:trPr>
        <w:tc>
          <w:tcPr>
            <w:tcW w:w="629" w:type="dxa"/>
            <w:vAlign w:val="center"/>
          </w:tcPr>
          <w:p w14:paraId="4ED7E010">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vAlign w:val="center"/>
          </w:tcPr>
          <w:p w14:paraId="4ABBB515">
            <w:pPr>
              <w:snapToGrid w:val="0"/>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vAlign w:val="center"/>
          </w:tcPr>
          <w:p w14:paraId="1E1EB65B">
            <w:pPr>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329754A8">
            <w:pPr>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B组织。</w:t>
            </w:r>
          </w:p>
          <w:p w14:paraId="211836DA">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（1）各供应商可以根据评分细则，采用视频方式进行演示，演示时长不超过20分钟，并将录制好的演示视频以U盘存储，密封包装并标注项目名称、供应商名称。</w:t>
            </w:r>
          </w:p>
          <w:p w14:paraId="4BF98D9F">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（2）供应商应在响应截止时间前将演示讲解文件的U盘（演示视频文件应为常用格式的视频文件，评标现场电脑操作系统为windows10，视频文件应能由系统自带windows media player播放器播放。）密封包装，以邮寄形式提交或现场提交并向代理机构确认其已收到，外包装应加盖投标人公章。（可与“备份投标文件”一同密封递交，也可单独密封递交，一同密封式需标记将备份投标文件和演示文件进行区分）供应商不提供演示讲解文件是供应商自己的风险，请各投标供应商积极准备。</w:t>
            </w:r>
          </w:p>
          <w:p w14:paraId="26F2AC87">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（3）收件地址：</w:t>
            </w:r>
            <w:r>
              <w:rPr>
                <w:rFonts w:hint="eastAsia" w:ascii="仿宋" w:hAnsi="仿宋" w:eastAsia="仿宋" w:cs="仿宋"/>
                <w:color w:val="auto"/>
                <w:kern w:val="0"/>
                <w:sz w:val="24"/>
                <w:highlight w:val="none"/>
                <w:lang w:eastAsia="zh-CN"/>
              </w:rPr>
              <w:t>杭州市西湖区古墩路701号紫金广场A座15楼1509室</w:t>
            </w:r>
            <w:r>
              <w:rPr>
                <w:rFonts w:hint="eastAsia" w:ascii="仿宋" w:hAnsi="仿宋" w:eastAsia="仿宋" w:cs="仿宋"/>
                <w:color w:val="auto"/>
                <w:kern w:val="0"/>
                <w:sz w:val="24"/>
                <w:highlight w:val="none"/>
              </w:rPr>
              <w:t>；联系人：</w:t>
            </w:r>
            <w:r>
              <w:rPr>
                <w:rFonts w:hint="eastAsia" w:ascii="仿宋" w:hAnsi="仿宋" w:eastAsia="仿宋" w:cs="仿宋"/>
                <w:color w:val="auto"/>
                <w:kern w:val="0"/>
                <w:sz w:val="24"/>
                <w:highlight w:val="none"/>
                <w:lang w:eastAsia="zh-CN"/>
              </w:rPr>
              <w:t>何磊</w:t>
            </w:r>
            <w:r>
              <w:rPr>
                <w:rFonts w:hint="eastAsia" w:ascii="仿宋" w:hAnsi="仿宋" w:eastAsia="仿宋" w:cs="仿宋"/>
                <w:color w:val="auto"/>
                <w:kern w:val="0"/>
                <w:sz w:val="24"/>
                <w:highlight w:val="none"/>
              </w:rPr>
              <w:t>，手机：</w:t>
            </w:r>
            <w:r>
              <w:rPr>
                <w:rFonts w:hint="eastAsia" w:ascii="仿宋" w:hAnsi="仿宋" w:eastAsia="仿宋" w:cs="仿宋"/>
                <w:color w:val="auto"/>
                <w:kern w:val="0"/>
                <w:sz w:val="24"/>
                <w:highlight w:val="none"/>
                <w:lang w:eastAsia="zh-CN"/>
              </w:rPr>
              <w:t>15868121513</w:t>
            </w:r>
            <w:r>
              <w:rPr>
                <w:rFonts w:hint="eastAsia" w:ascii="仿宋" w:hAnsi="仿宋" w:eastAsia="仿宋" w:cs="仿宋"/>
                <w:color w:val="auto"/>
                <w:kern w:val="0"/>
                <w:sz w:val="24"/>
                <w:highlight w:val="none"/>
              </w:rPr>
              <w:t>。</w:t>
            </w:r>
          </w:p>
          <w:p w14:paraId="5EAEEC0A">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（4）供应商提交的演示</w:t>
            </w:r>
            <w:r>
              <w:rPr>
                <w:rFonts w:hint="eastAsia" w:ascii="仿宋" w:hAnsi="仿宋" w:eastAsia="仿宋" w:cs="仿宋"/>
                <w:color w:val="auto"/>
                <w:kern w:val="0"/>
                <w:sz w:val="24"/>
                <w:highlight w:val="none"/>
                <w:lang w:eastAsia="zh-CN"/>
              </w:rPr>
              <w:t>讲解</w:t>
            </w:r>
            <w:r>
              <w:rPr>
                <w:rFonts w:hint="eastAsia" w:ascii="仿宋" w:hAnsi="仿宋" w:eastAsia="仿宋" w:cs="仿宋"/>
                <w:color w:val="auto"/>
                <w:kern w:val="0"/>
                <w:sz w:val="24"/>
                <w:highlight w:val="none"/>
              </w:rPr>
              <w:t>文件将与响应文件一起存档，不予退还。</w:t>
            </w:r>
          </w:p>
          <w:p w14:paraId="3DE548E0">
            <w:pPr>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w:t>
            </w:r>
          </w:p>
        </w:tc>
      </w:tr>
      <w:tr w14:paraId="26ED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jc w:val="center"/>
        </w:trPr>
        <w:tc>
          <w:tcPr>
            <w:tcW w:w="629" w:type="dxa"/>
            <w:vMerge w:val="restart"/>
            <w:vAlign w:val="center"/>
          </w:tcPr>
          <w:p w14:paraId="746F08C1">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vAlign w:val="center"/>
          </w:tcPr>
          <w:p w14:paraId="62AFD55D">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vAlign w:val="center"/>
          </w:tcPr>
          <w:p w14:paraId="0E99375E">
            <w:pPr>
              <w:rPr>
                <w:rFonts w:ascii="仿宋" w:hAnsi="仿宋" w:eastAsia="仿宋" w:cs="仿宋"/>
                <w:snapToGrid w:val="0"/>
                <w:color w:val="auto"/>
                <w:kern w:val="0"/>
                <w:szCs w:val="21"/>
                <w:highlight w:val="none"/>
              </w:rPr>
            </w:pPr>
            <w:r>
              <w:rPr>
                <w:rFonts w:hint="eastAsia" w:ascii="仿宋" w:hAnsi="仿宋" w:eastAsia="仿宋" w:cs="仿宋"/>
                <w:color w:val="auto"/>
                <w:sz w:val="24"/>
                <w:highlight w:val="none"/>
              </w:rPr>
              <w:t>（1）资格证明文件：</w:t>
            </w: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091E5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8" w:hRule="atLeast"/>
          <w:tblHeader/>
          <w:jc w:val="center"/>
        </w:trPr>
        <w:tc>
          <w:tcPr>
            <w:tcW w:w="629" w:type="dxa"/>
            <w:vMerge w:val="continue"/>
            <w:vAlign w:val="center"/>
          </w:tcPr>
          <w:p w14:paraId="08B175EA">
            <w:pPr>
              <w:snapToGrid w:val="0"/>
              <w:jc w:val="center"/>
              <w:rPr>
                <w:rFonts w:ascii="仿宋" w:hAnsi="仿宋" w:eastAsia="仿宋" w:cs="仿宋"/>
                <w:color w:val="auto"/>
                <w:sz w:val="24"/>
                <w:highlight w:val="none"/>
              </w:rPr>
            </w:pPr>
          </w:p>
        </w:tc>
        <w:tc>
          <w:tcPr>
            <w:tcW w:w="1843" w:type="dxa"/>
            <w:vMerge w:val="continue"/>
            <w:vAlign w:val="center"/>
          </w:tcPr>
          <w:p w14:paraId="1B055333">
            <w:pPr>
              <w:snapToGrid w:val="0"/>
              <w:jc w:val="center"/>
              <w:rPr>
                <w:rFonts w:ascii="仿宋" w:hAnsi="仿宋" w:eastAsia="仿宋" w:cs="仿宋"/>
                <w:b/>
                <w:color w:val="auto"/>
                <w:sz w:val="24"/>
                <w:highlight w:val="none"/>
              </w:rPr>
            </w:pPr>
          </w:p>
        </w:tc>
        <w:tc>
          <w:tcPr>
            <w:tcW w:w="6095" w:type="dxa"/>
            <w:vAlign w:val="center"/>
          </w:tcPr>
          <w:p w14:paraId="3655800E">
            <w:pPr>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7D12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jc w:val="center"/>
        </w:trPr>
        <w:tc>
          <w:tcPr>
            <w:tcW w:w="629" w:type="dxa"/>
            <w:vAlign w:val="center"/>
          </w:tcPr>
          <w:p w14:paraId="6C51CC20">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vAlign w:val="center"/>
          </w:tcPr>
          <w:p w14:paraId="1910E176">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vAlign w:val="center"/>
          </w:tcPr>
          <w:p w14:paraId="37A62CD5">
            <w:pPr>
              <w:snapToGrid w:val="0"/>
              <w:rPr>
                <w:rFonts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EF0E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jc w:val="center"/>
        </w:trPr>
        <w:tc>
          <w:tcPr>
            <w:tcW w:w="629" w:type="dxa"/>
            <w:vAlign w:val="center"/>
          </w:tcPr>
          <w:p w14:paraId="50919549">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vAlign w:val="center"/>
          </w:tcPr>
          <w:p w14:paraId="7C18FCE3">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vAlign w:val="center"/>
          </w:tcPr>
          <w:p w14:paraId="65AA9BD4">
            <w:pPr>
              <w:snapToGrid w:val="0"/>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5D290E86">
            <w:pPr>
              <w:snapToGrid w:val="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0B1F03D9">
            <w:pPr>
              <w:snapToGrid w:val="0"/>
              <w:ind w:firstLine="241" w:firstLineChars="10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3FE35527">
            <w:pPr>
              <w:snapToGrid w:val="0"/>
              <w:ind w:firstLine="241" w:firstLineChars="100"/>
              <w:jc w:val="left"/>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0F469149">
            <w:pPr>
              <w:ind w:firstLine="241" w:firstLineChars="100"/>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21406860">
            <w:pPr>
              <w:ind w:firstLine="241" w:firstLineChars="100"/>
              <w:rPr>
                <w:rFonts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6A55B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10" w:hRule="atLeast"/>
          <w:tblHeader/>
          <w:jc w:val="center"/>
        </w:trPr>
        <w:tc>
          <w:tcPr>
            <w:tcW w:w="629" w:type="dxa"/>
            <w:vAlign w:val="center"/>
          </w:tcPr>
          <w:p w14:paraId="3C3275FA">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vAlign w:val="center"/>
          </w:tcPr>
          <w:p w14:paraId="76E4C7D7">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vAlign w:val="center"/>
          </w:tcPr>
          <w:p w14:paraId="41D38302">
            <w:pPr>
              <w:ind w:firstLine="480" w:firstLineChars="200"/>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6A8FB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48" w:hRule="atLeast"/>
          <w:tblHeader/>
          <w:jc w:val="center"/>
        </w:trPr>
        <w:tc>
          <w:tcPr>
            <w:tcW w:w="629" w:type="dxa"/>
            <w:vAlign w:val="center"/>
          </w:tcPr>
          <w:p w14:paraId="76B23135">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vAlign w:val="center"/>
          </w:tcPr>
          <w:p w14:paraId="2D16AD39">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vAlign w:val="center"/>
          </w:tcPr>
          <w:p w14:paraId="5A003DFF">
            <w:pPr>
              <w:pStyle w:val="965"/>
              <w:rPr>
                <w:rFonts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olor w:val="auto"/>
                <w:sz w:val="24"/>
                <w:szCs w:val="24"/>
                <w:highlight w:val="none"/>
                <w:u w:val="single"/>
                <w:lang w:eastAsia="zh-CN"/>
              </w:rPr>
              <w:t>杭州市西湖区古墩路701号紫金广场A座15楼1509室</w:t>
            </w:r>
            <w:r>
              <w:rPr>
                <w:rFonts w:hint="eastAsia" w:ascii="仿宋" w:hAnsi="仿宋" w:eastAsia="仿宋"/>
                <w:color w:val="auto"/>
                <w:kern w:val="28"/>
                <w:sz w:val="24"/>
                <w:szCs w:val="24"/>
                <w:highlight w:val="none"/>
              </w:rPr>
              <w:t>；备份投标文件签收人员联系电话：</w:t>
            </w:r>
            <w:r>
              <w:rPr>
                <w:rFonts w:hint="eastAsia" w:ascii="仿宋" w:hAnsi="仿宋" w:eastAsia="仿宋"/>
                <w:color w:val="auto"/>
                <w:sz w:val="24"/>
                <w:szCs w:val="24"/>
                <w:highlight w:val="none"/>
                <w:u w:val="single"/>
                <w:lang w:eastAsia="zh-CN"/>
              </w:rPr>
              <w:t>何磊</w:t>
            </w:r>
            <w:r>
              <w:rPr>
                <w:rFonts w:hint="eastAsia" w:ascii="仿宋" w:hAnsi="仿宋" w:eastAsia="仿宋"/>
                <w:color w:val="auto"/>
                <w:sz w:val="24"/>
                <w:szCs w:val="24"/>
                <w:highlight w:val="none"/>
                <w:u w:val="single"/>
              </w:rPr>
              <w:t>、</w:t>
            </w:r>
            <w:r>
              <w:rPr>
                <w:rFonts w:hint="eastAsia" w:ascii="仿宋" w:hAnsi="仿宋" w:eastAsia="仿宋"/>
                <w:color w:val="auto"/>
                <w:sz w:val="24"/>
                <w:szCs w:val="24"/>
                <w:highlight w:val="none"/>
                <w:u w:val="single"/>
                <w:lang w:eastAsia="zh-CN"/>
              </w:rPr>
              <w:t>15868121513</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采购人、采购代理机构不强制或变相强制投标人提交备份投标文件。</w:t>
            </w:r>
          </w:p>
        </w:tc>
      </w:tr>
      <w:tr w14:paraId="14134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vMerge w:val="restart"/>
            <w:vAlign w:val="center"/>
          </w:tcPr>
          <w:p w14:paraId="2671B08E">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Merge w:val="restart"/>
            <w:vAlign w:val="center"/>
          </w:tcPr>
          <w:p w14:paraId="728EEE35">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vAlign w:val="center"/>
          </w:tcPr>
          <w:p w14:paraId="7055510D">
            <w:pPr>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49669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vMerge w:val="continue"/>
            <w:vAlign w:val="center"/>
          </w:tcPr>
          <w:p w14:paraId="43517B81">
            <w:pPr>
              <w:snapToGrid w:val="0"/>
              <w:jc w:val="center"/>
              <w:rPr>
                <w:rFonts w:ascii="仿宋" w:hAnsi="仿宋" w:eastAsia="仿宋" w:cs="仿宋"/>
                <w:color w:val="auto"/>
                <w:sz w:val="24"/>
                <w:highlight w:val="none"/>
              </w:rPr>
            </w:pPr>
          </w:p>
        </w:tc>
        <w:tc>
          <w:tcPr>
            <w:tcW w:w="1843" w:type="dxa"/>
            <w:vMerge w:val="continue"/>
            <w:vAlign w:val="center"/>
          </w:tcPr>
          <w:p w14:paraId="27FBDC21">
            <w:pPr>
              <w:snapToGrid w:val="0"/>
              <w:jc w:val="center"/>
              <w:rPr>
                <w:rFonts w:ascii="仿宋" w:hAnsi="仿宋" w:eastAsia="仿宋" w:cs="仿宋"/>
                <w:b/>
                <w:color w:val="auto"/>
                <w:sz w:val="24"/>
                <w:highlight w:val="none"/>
              </w:rPr>
            </w:pPr>
          </w:p>
        </w:tc>
        <w:tc>
          <w:tcPr>
            <w:tcW w:w="6095" w:type="dxa"/>
            <w:vAlign w:val="center"/>
          </w:tcPr>
          <w:p w14:paraId="0438B6C8">
            <w:pPr>
              <w:rPr>
                <w:rFonts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81633666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0EC8D380">
            <w:pPr>
              <w:rPr>
                <w:rFonts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3231189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F60F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vMerge w:val="continue"/>
            <w:vAlign w:val="center"/>
          </w:tcPr>
          <w:p w14:paraId="3414AA2A">
            <w:pPr>
              <w:snapToGrid w:val="0"/>
              <w:jc w:val="center"/>
              <w:rPr>
                <w:rFonts w:ascii="仿宋" w:hAnsi="仿宋" w:eastAsia="仿宋" w:cs="仿宋"/>
                <w:color w:val="auto"/>
                <w:sz w:val="24"/>
                <w:highlight w:val="none"/>
              </w:rPr>
            </w:pPr>
          </w:p>
        </w:tc>
        <w:tc>
          <w:tcPr>
            <w:tcW w:w="1843" w:type="dxa"/>
            <w:vMerge w:val="continue"/>
            <w:vAlign w:val="center"/>
          </w:tcPr>
          <w:p w14:paraId="0B77A0F9">
            <w:pPr>
              <w:snapToGrid w:val="0"/>
              <w:jc w:val="center"/>
              <w:rPr>
                <w:rFonts w:ascii="仿宋" w:hAnsi="仿宋" w:eastAsia="仿宋" w:cs="仿宋"/>
                <w:b/>
                <w:color w:val="auto"/>
                <w:sz w:val="24"/>
                <w:highlight w:val="none"/>
              </w:rPr>
            </w:pPr>
          </w:p>
        </w:tc>
        <w:tc>
          <w:tcPr>
            <w:tcW w:w="6095" w:type="dxa"/>
            <w:vAlign w:val="center"/>
          </w:tcPr>
          <w:p w14:paraId="2C65E59A">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本项目推荐的中标（成交）候选人数量：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tc>
      </w:tr>
      <w:tr w14:paraId="5C61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vMerge w:val="continue"/>
            <w:vAlign w:val="center"/>
          </w:tcPr>
          <w:p w14:paraId="41D42867">
            <w:pPr>
              <w:snapToGrid w:val="0"/>
              <w:jc w:val="center"/>
              <w:rPr>
                <w:rFonts w:ascii="仿宋" w:hAnsi="仿宋" w:eastAsia="仿宋" w:cs="仿宋"/>
                <w:color w:val="auto"/>
                <w:sz w:val="24"/>
                <w:highlight w:val="none"/>
              </w:rPr>
            </w:pPr>
          </w:p>
        </w:tc>
        <w:tc>
          <w:tcPr>
            <w:tcW w:w="1843" w:type="dxa"/>
            <w:vMerge w:val="continue"/>
            <w:vAlign w:val="center"/>
          </w:tcPr>
          <w:p w14:paraId="4C4CE79C">
            <w:pPr>
              <w:snapToGrid w:val="0"/>
              <w:jc w:val="center"/>
              <w:rPr>
                <w:rFonts w:ascii="仿宋" w:hAnsi="仿宋" w:eastAsia="仿宋" w:cs="仿宋"/>
                <w:b/>
                <w:color w:val="auto"/>
                <w:sz w:val="24"/>
                <w:highlight w:val="none"/>
              </w:rPr>
            </w:pPr>
          </w:p>
        </w:tc>
        <w:tc>
          <w:tcPr>
            <w:tcW w:w="6095" w:type="dxa"/>
            <w:vAlign w:val="center"/>
          </w:tcPr>
          <w:p w14:paraId="570E67E6">
            <w:pPr>
              <w:pStyle w:val="32"/>
              <w:jc w:val="left"/>
              <w:rPr>
                <w:rFonts w:hint="eastAsia" w:ascii="仿宋" w:hAnsi="仿宋" w:eastAsia="仿宋"/>
                <w:color w:val="auto"/>
                <w:kern w:val="28"/>
                <w:sz w:val="24"/>
                <w:szCs w:val="24"/>
                <w:highlight w:val="none"/>
              </w:rPr>
            </w:pPr>
            <w:r>
              <w:rPr>
                <w:rFonts w:hint="eastAsia" w:ascii="仿宋" w:hAnsi="仿宋" w:eastAsia="仿宋"/>
                <w:color w:val="auto"/>
                <w:kern w:val="28"/>
                <w:sz w:val="24"/>
                <w:szCs w:val="24"/>
                <w:highlight w:val="none"/>
              </w:rPr>
              <w:t>代理服务费及采购需求调研服务费：</w:t>
            </w:r>
          </w:p>
          <w:p w14:paraId="6D27946E">
            <w:pPr>
              <w:pStyle w:val="32"/>
              <w:jc w:val="left"/>
              <w:rPr>
                <w:rFonts w:hint="eastAsia" w:ascii="仿宋" w:hAnsi="仿宋" w:eastAsia="仿宋"/>
                <w:color w:val="auto"/>
                <w:kern w:val="28"/>
                <w:sz w:val="24"/>
                <w:szCs w:val="24"/>
                <w:highlight w:val="none"/>
              </w:rPr>
            </w:pPr>
            <w:r>
              <w:rPr>
                <w:rFonts w:hint="eastAsia" w:ascii="仿宋" w:hAnsi="仿宋" w:eastAsia="仿宋"/>
                <w:color w:val="auto"/>
                <w:kern w:val="28"/>
                <w:sz w:val="24"/>
                <w:szCs w:val="24"/>
                <w:highlight w:val="none"/>
              </w:rPr>
              <w:t>（1）支付方：中标供应商</w:t>
            </w:r>
          </w:p>
          <w:p w14:paraId="262874D2">
            <w:pPr>
              <w:pStyle w:val="32"/>
              <w:jc w:val="left"/>
              <w:rPr>
                <w:rFonts w:hint="eastAsia" w:ascii="仿宋" w:hAnsi="仿宋" w:eastAsia="仿宋"/>
                <w:color w:val="auto"/>
                <w:kern w:val="28"/>
                <w:sz w:val="24"/>
                <w:szCs w:val="24"/>
                <w:highlight w:val="none"/>
              </w:rPr>
            </w:pPr>
            <w:r>
              <w:rPr>
                <w:rFonts w:hint="eastAsia" w:ascii="仿宋" w:hAnsi="仿宋" w:eastAsia="仿宋"/>
                <w:color w:val="auto"/>
                <w:kern w:val="28"/>
                <w:sz w:val="24"/>
                <w:szCs w:val="24"/>
                <w:highlight w:val="none"/>
              </w:rPr>
              <w:t>（2）代理服务费收取标准：以中标金额为基数，参照国家计委关于印发《招标代理服务收费管理暂行办法》的通知【计价格[2002]1980号】的收费标准收取。采购需求调研服务费</w:t>
            </w:r>
            <w:r>
              <w:rPr>
                <w:rFonts w:hint="eastAsia" w:ascii="仿宋" w:hAnsi="仿宋" w:eastAsia="仿宋"/>
                <w:color w:val="auto"/>
                <w:kern w:val="28"/>
                <w:sz w:val="24"/>
                <w:szCs w:val="24"/>
                <w:highlight w:val="none"/>
                <w:lang w:val="en-US" w:eastAsia="zh-CN"/>
              </w:rPr>
              <w:t>2</w:t>
            </w:r>
            <w:r>
              <w:rPr>
                <w:rFonts w:hint="eastAsia" w:ascii="仿宋" w:hAnsi="仿宋" w:eastAsia="仿宋"/>
                <w:color w:val="auto"/>
                <w:kern w:val="28"/>
                <w:sz w:val="24"/>
                <w:szCs w:val="24"/>
                <w:highlight w:val="none"/>
              </w:rPr>
              <w:t>万元。</w:t>
            </w:r>
          </w:p>
          <w:p w14:paraId="3D2ACA43">
            <w:pPr>
              <w:pStyle w:val="32"/>
              <w:jc w:val="left"/>
              <w:rPr>
                <w:rFonts w:hint="eastAsia" w:ascii="仿宋" w:hAnsi="仿宋" w:eastAsia="仿宋"/>
                <w:color w:val="auto"/>
                <w:kern w:val="28"/>
                <w:sz w:val="24"/>
                <w:szCs w:val="24"/>
                <w:highlight w:val="none"/>
              </w:rPr>
            </w:pPr>
            <w:r>
              <w:rPr>
                <w:rFonts w:hint="eastAsia" w:ascii="仿宋" w:hAnsi="仿宋" w:eastAsia="仿宋"/>
                <w:color w:val="auto"/>
                <w:kern w:val="28"/>
                <w:sz w:val="24"/>
                <w:szCs w:val="24"/>
                <w:highlight w:val="none"/>
              </w:rPr>
              <w:t>（3）缴纳时间：采购结果发布后5</w:t>
            </w:r>
            <w:r>
              <w:rPr>
                <w:rFonts w:hint="eastAsia" w:ascii="仿宋" w:hAnsi="仿宋" w:eastAsia="仿宋"/>
                <w:color w:val="auto"/>
                <w:kern w:val="28"/>
                <w:sz w:val="24"/>
                <w:szCs w:val="24"/>
                <w:highlight w:val="none"/>
                <w:lang w:val="en-US" w:eastAsia="zh-CN"/>
              </w:rPr>
              <w:t>个工作</w:t>
            </w:r>
            <w:r>
              <w:rPr>
                <w:rFonts w:hint="eastAsia" w:ascii="仿宋" w:hAnsi="仿宋" w:eastAsia="仿宋"/>
                <w:color w:val="auto"/>
                <w:kern w:val="28"/>
                <w:sz w:val="24"/>
                <w:szCs w:val="24"/>
                <w:highlight w:val="none"/>
              </w:rPr>
              <w:t>日内一次性缴纳</w:t>
            </w:r>
          </w:p>
          <w:p w14:paraId="1885F8DB">
            <w:pPr>
              <w:pStyle w:val="32"/>
              <w:jc w:val="left"/>
              <w:rPr>
                <w:rFonts w:ascii="仿宋" w:hAnsi="仿宋" w:eastAsia="仿宋"/>
                <w:color w:val="auto"/>
                <w:kern w:val="28"/>
                <w:sz w:val="24"/>
                <w:szCs w:val="24"/>
                <w:highlight w:val="none"/>
              </w:rPr>
            </w:pPr>
            <w:r>
              <w:rPr>
                <w:rFonts w:hint="eastAsia" w:ascii="仿宋" w:hAnsi="仿宋" w:eastAsia="仿宋"/>
                <w:color w:val="auto"/>
                <w:kern w:val="28"/>
                <w:sz w:val="24"/>
                <w:szCs w:val="24"/>
                <w:highlight w:val="none"/>
              </w:rPr>
              <w:t>（4）收取账户：</w:t>
            </w:r>
          </w:p>
          <w:p w14:paraId="316B4E40">
            <w:pPr>
              <w:pStyle w:val="32"/>
              <w:jc w:val="left"/>
              <w:rPr>
                <w:rFonts w:hint="eastAsia" w:ascii="仿宋" w:hAnsi="仿宋" w:eastAsia="仿宋"/>
                <w:color w:val="auto"/>
                <w:kern w:val="28"/>
                <w:sz w:val="24"/>
                <w:szCs w:val="24"/>
                <w:highlight w:val="none"/>
                <w:lang w:eastAsia="zh-CN"/>
              </w:rPr>
            </w:pPr>
            <w:r>
              <w:rPr>
                <w:rFonts w:hint="eastAsia" w:ascii="仿宋" w:hAnsi="仿宋" w:eastAsia="仿宋"/>
                <w:color w:val="auto"/>
                <w:kern w:val="28"/>
                <w:sz w:val="24"/>
                <w:szCs w:val="24"/>
                <w:highlight w:val="none"/>
              </w:rPr>
              <w:t>收款单位（户名）：</w:t>
            </w:r>
            <w:r>
              <w:rPr>
                <w:rFonts w:hint="eastAsia" w:ascii="仿宋" w:hAnsi="仿宋" w:eastAsia="仿宋"/>
                <w:color w:val="auto"/>
                <w:kern w:val="28"/>
                <w:sz w:val="24"/>
                <w:szCs w:val="24"/>
                <w:highlight w:val="none"/>
                <w:lang w:eastAsia="zh-CN"/>
              </w:rPr>
              <w:t>浙江省成套工程有限公司</w:t>
            </w:r>
          </w:p>
          <w:p w14:paraId="059587A7">
            <w:pPr>
              <w:pStyle w:val="32"/>
              <w:jc w:val="left"/>
              <w:rPr>
                <w:rFonts w:ascii="仿宋" w:hAnsi="仿宋" w:eastAsia="仿宋"/>
                <w:color w:val="auto"/>
                <w:kern w:val="28"/>
                <w:sz w:val="24"/>
                <w:szCs w:val="24"/>
                <w:highlight w:val="none"/>
              </w:rPr>
            </w:pPr>
            <w:r>
              <w:rPr>
                <w:rFonts w:hint="eastAsia" w:ascii="仿宋" w:hAnsi="仿宋" w:eastAsia="仿宋"/>
                <w:color w:val="auto"/>
                <w:kern w:val="28"/>
                <w:sz w:val="24"/>
                <w:szCs w:val="24"/>
                <w:highlight w:val="none"/>
              </w:rPr>
              <w:t>开  户：杭州联合农村商业银行三墩支行</w:t>
            </w:r>
          </w:p>
          <w:p w14:paraId="6ECEDC80">
            <w:pPr>
              <w:pStyle w:val="32"/>
              <w:jc w:val="left"/>
              <w:rPr>
                <w:rFonts w:ascii="仿宋" w:hAnsi="仿宋" w:eastAsia="仿宋"/>
                <w:color w:val="auto"/>
                <w:kern w:val="28"/>
                <w:sz w:val="24"/>
                <w:szCs w:val="24"/>
                <w:highlight w:val="none"/>
              </w:rPr>
            </w:pPr>
            <w:r>
              <w:rPr>
                <w:rFonts w:hint="eastAsia" w:ascii="仿宋" w:hAnsi="仿宋" w:eastAsia="仿宋"/>
                <w:color w:val="auto"/>
                <w:kern w:val="28"/>
                <w:sz w:val="24"/>
                <w:szCs w:val="24"/>
                <w:highlight w:val="none"/>
              </w:rPr>
              <w:t>账  号：2010 0006 5548 152</w:t>
            </w:r>
          </w:p>
          <w:p w14:paraId="7C798146">
            <w:pPr>
              <w:rPr>
                <w:rFonts w:ascii="仿宋" w:hAnsi="仿宋" w:eastAsia="仿宋" w:cs="仿宋"/>
                <w:color w:val="auto"/>
                <w:kern w:val="0"/>
                <w:sz w:val="24"/>
                <w:highlight w:val="none"/>
              </w:rPr>
            </w:pPr>
            <w:r>
              <w:rPr>
                <w:rFonts w:hint="eastAsia" w:ascii="仿宋" w:hAnsi="仿宋" w:eastAsia="仿宋"/>
                <w:color w:val="auto"/>
                <w:kern w:val="28"/>
                <w:sz w:val="24"/>
                <w:highlight w:val="none"/>
              </w:rPr>
              <w:t>（3）增值税发票开具资料：单位名称、税号（统一社会信用代码）、开户行名称、账号、地址及联系电话。</w:t>
            </w:r>
          </w:p>
        </w:tc>
      </w:tr>
      <w:tr w14:paraId="4014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vMerge w:val="continue"/>
            <w:vAlign w:val="center"/>
          </w:tcPr>
          <w:p w14:paraId="1FB64C52">
            <w:pPr>
              <w:snapToGrid w:val="0"/>
              <w:jc w:val="center"/>
              <w:rPr>
                <w:rFonts w:ascii="仿宋" w:hAnsi="仿宋" w:eastAsia="仿宋" w:cs="仿宋"/>
                <w:color w:val="auto"/>
                <w:sz w:val="24"/>
                <w:highlight w:val="none"/>
              </w:rPr>
            </w:pPr>
          </w:p>
        </w:tc>
        <w:tc>
          <w:tcPr>
            <w:tcW w:w="1843" w:type="dxa"/>
            <w:vMerge w:val="continue"/>
            <w:vAlign w:val="center"/>
          </w:tcPr>
          <w:p w14:paraId="2F9A9E70">
            <w:pPr>
              <w:snapToGrid w:val="0"/>
              <w:jc w:val="center"/>
              <w:rPr>
                <w:rFonts w:ascii="仿宋" w:hAnsi="仿宋" w:eastAsia="仿宋" w:cs="仿宋"/>
                <w:b/>
                <w:color w:val="auto"/>
                <w:sz w:val="24"/>
                <w:highlight w:val="none"/>
              </w:rPr>
            </w:pPr>
          </w:p>
        </w:tc>
        <w:tc>
          <w:tcPr>
            <w:tcW w:w="6095" w:type="dxa"/>
            <w:vAlign w:val="center"/>
          </w:tcPr>
          <w:p w14:paraId="59BCEE73">
            <w:pPr>
              <w:rPr>
                <w:rFonts w:ascii="仿宋" w:hAnsi="仿宋" w:eastAsia="仿宋"/>
                <w:color w:val="auto"/>
                <w:kern w:val="28"/>
                <w:sz w:val="24"/>
                <w:highlight w:val="none"/>
              </w:rPr>
            </w:pPr>
            <w:r>
              <w:rPr>
                <w:rFonts w:hint="eastAsia" w:ascii="仿宋" w:hAnsi="仿宋" w:eastAsia="仿宋" w:cs="宋体"/>
                <w:snapToGrid w:val="0"/>
                <w:color w:val="auto"/>
                <w:kern w:val="28"/>
                <w:sz w:val="24"/>
                <w:highlight w:val="none"/>
              </w:rPr>
              <w:t>如遇“政府采购云平台”电子化开标或评审程序调整的，按调整后程序执行。</w:t>
            </w:r>
          </w:p>
        </w:tc>
      </w:tr>
      <w:tr w14:paraId="6B5F0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vMerge w:val="continue"/>
            <w:vAlign w:val="center"/>
          </w:tcPr>
          <w:p w14:paraId="728CF7EB">
            <w:pPr>
              <w:snapToGrid w:val="0"/>
              <w:jc w:val="center"/>
              <w:rPr>
                <w:rFonts w:ascii="仿宋" w:hAnsi="仿宋" w:eastAsia="仿宋" w:cs="仿宋"/>
                <w:color w:val="auto"/>
                <w:sz w:val="24"/>
                <w:highlight w:val="none"/>
              </w:rPr>
            </w:pPr>
          </w:p>
        </w:tc>
        <w:tc>
          <w:tcPr>
            <w:tcW w:w="1843" w:type="dxa"/>
            <w:vMerge w:val="continue"/>
            <w:vAlign w:val="center"/>
          </w:tcPr>
          <w:p w14:paraId="250FD7AD">
            <w:pPr>
              <w:snapToGrid w:val="0"/>
              <w:jc w:val="center"/>
              <w:rPr>
                <w:rFonts w:ascii="仿宋" w:hAnsi="仿宋" w:eastAsia="仿宋" w:cs="仿宋"/>
                <w:b/>
                <w:color w:val="auto"/>
                <w:sz w:val="24"/>
                <w:highlight w:val="none"/>
              </w:rPr>
            </w:pPr>
          </w:p>
        </w:tc>
        <w:tc>
          <w:tcPr>
            <w:tcW w:w="6095" w:type="dxa"/>
            <w:vAlign w:val="center"/>
          </w:tcPr>
          <w:p w14:paraId="6BD1D180">
            <w:pPr>
              <w:rPr>
                <w:rFonts w:ascii="仿宋" w:hAnsi="仿宋" w:eastAsia="仿宋" w:cs="宋体"/>
                <w:snapToGrid w:val="0"/>
                <w:color w:val="auto"/>
                <w:kern w:val="28"/>
                <w:sz w:val="24"/>
                <w:highlight w:val="none"/>
              </w:rPr>
            </w:pPr>
            <w:r>
              <w:rPr>
                <w:rFonts w:hint="eastAsia" w:ascii="仿宋" w:hAnsi="仿宋" w:eastAsia="仿宋" w:cs="宋体"/>
                <w:snapToGrid w:val="0"/>
                <w:color w:val="auto"/>
                <w:kern w:val="28"/>
                <w:sz w:val="24"/>
                <w:highlight w:val="none"/>
              </w:rPr>
              <w:t>通过“政府采购云平台”公布开标一览表有关内容后，供应商应通过“政府采购云平台”进行确认，在收到采购人或采购代理机构的通知后仍不予确认的应说明理由，否则视为无异议。</w:t>
            </w:r>
          </w:p>
        </w:tc>
      </w:tr>
      <w:tr w14:paraId="449D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3" w:hRule="atLeast"/>
          <w:tblHeader/>
          <w:jc w:val="center"/>
        </w:trPr>
        <w:tc>
          <w:tcPr>
            <w:tcW w:w="629" w:type="dxa"/>
            <w:vMerge w:val="continue"/>
            <w:vAlign w:val="center"/>
          </w:tcPr>
          <w:p w14:paraId="382457D4">
            <w:pPr>
              <w:snapToGrid w:val="0"/>
              <w:jc w:val="center"/>
              <w:rPr>
                <w:rFonts w:ascii="仿宋" w:hAnsi="仿宋" w:eastAsia="仿宋" w:cs="仿宋"/>
                <w:color w:val="auto"/>
                <w:sz w:val="24"/>
                <w:highlight w:val="none"/>
              </w:rPr>
            </w:pPr>
          </w:p>
        </w:tc>
        <w:tc>
          <w:tcPr>
            <w:tcW w:w="1843" w:type="dxa"/>
            <w:vMerge w:val="continue"/>
            <w:vAlign w:val="center"/>
          </w:tcPr>
          <w:p w14:paraId="654A380E">
            <w:pPr>
              <w:snapToGrid w:val="0"/>
              <w:jc w:val="center"/>
              <w:rPr>
                <w:rFonts w:ascii="仿宋" w:hAnsi="仿宋" w:eastAsia="仿宋" w:cs="仿宋"/>
                <w:b/>
                <w:color w:val="auto"/>
                <w:sz w:val="24"/>
                <w:highlight w:val="none"/>
              </w:rPr>
            </w:pPr>
          </w:p>
        </w:tc>
        <w:tc>
          <w:tcPr>
            <w:tcW w:w="6095" w:type="dxa"/>
            <w:vAlign w:val="center"/>
          </w:tcPr>
          <w:p w14:paraId="6B555B55">
            <w:pPr>
              <w:rPr>
                <w:rFonts w:ascii="仿宋" w:hAnsi="仿宋" w:eastAsia="仿宋" w:cs="宋体"/>
                <w:snapToGrid w:val="0"/>
                <w:color w:val="auto"/>
                <w:kern w:val="28"/>
                <w:sz w:val="24"/>
                <w:highlight w:val="none"/>
              </w:rPr>
            </w:pPr>
            <w:r>
              <w:rPr>
                <w:rFonts w:hint="eastAsia" w:ascii="仿宋" w:hAnsi="仿宋" w:eastAsia="仿宋" w:cs="宋体"/>
                <w:snapToGrid w:val="0"/>
                <w:color w:val="auto"/>
                <w:kern w:val="28"/>
                <w:sz w:val="24"/>
                <w:highlight w:val="none"/>
              </w:rPr>
              <w:t>评审因素对应的要求视为采购需求的一部分。</w:t>
            </w:r>
          </w:p>
        </w:tc>
      </w:tr>
      <w:bookmarkEnd w:id="8"/>
    </w:tbl>
    <w:p w14:paraId="405FA04E">
      <w:pPr>
        <w:adjustRightInd/>
        <w:spacing w:line="360" w:lineRule="auto"/>
        <w:jc w:val="center"/>
        <w:outlineLvl w:val="0"/>
        <w:rPr>
          <w:rFonts w:hint="eastAsia" w:ascii="仿宋" w:hAnsi="仿宋" w:eastAsia="仿宋" w:cs="仿宋"/>
          <w:b/>
          <w:color w:val="auto"/>
          <w:sz w:val="32"/>
          <w:szCs w:val="20"/>
          <w:highlight w:val="none"/>
        </w:rPr>
        <w:sectPr>
          <w:pgSz w:w="11906" w:h="16838"/>
          <w:pgMar w:top="680" w:right="1418" w:bottom="46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bookmarkStart w:id="9" w:name="_Toc164416483"/>
    </w:p>
    <w:p w14:paraId="722CF015">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41035681">
      <w:pPr>
        <w:snapToGrid w:val="0"/>
        <w:spacing w:line="360" w:lineRule="auto"/>
        <w:ind w:firstLine="361" w:firstLineChars="15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381A7CE3">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6B35EB20">
      <w:pPr>
        <w:snapToGrid w:val="0"/>
        <w:spacing w:line="360" w:lineRule="auto"/>
        <w:ind w:firstLine="361" w:firstLineChars="15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0E8A229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2.1“采购人”系指招标公告中载明的本项目的采购人。</w:t>
      </w:r>
    </w:p>
    <w:p w14:paraId="645DA6F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2.2“采购代理机构”系指招标公告中载明的本项目的采购代理机构。</w:t>
      </w:r>
    </w:p>
    <w:p w14:paraId="77DC113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2.3“投标人”系指是指响应招标、参加投标竞争的法人、其他组织或者自然人。</w:t>
      </w:r>
    </w:p>
    <w:p w14:paraId="508DA55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2.4“负责人”系指法人企业的法定负责人，或其他组织为法律、行政法规规定代表单位行使职权的主要负责人，或自然人本人。</w:t>
      </w:r>
    </w:p>
    <w:p w14:paraId="650C577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58442C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5E0392C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sz w:val="24"/>
          <w:highlight w:val="none"/>
        </w:rPr>
        <w:t>”系指适用本项目的要求，“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”系指不适用本项目的要求。</w:t>
      </w:r>
    </w:p>
    <w:p w14:paraId="4A21DF9D">
      <w:pPr>
        <w:snapToGrid w:val="0"/>
        <w:spacing w:line="360" w:lineRule="auto"/>
        <w:ind w:firstLine="361" w:firstLineChars="15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108C5A49">
      <w:pPr>
        <w:snapToGrid w:val="0"/>
        <w:spacing w:line="360" w:lineRule="auto"/>
        <w:ind w:firstLine="480" w:firstLineChars="200"/>
        <w:jc w:val="left"/>
        <w:outlineLvl w:val="1"/>
        <w:rPr>
          <w:rFonts w:ascii="仿宋" w:hAnsi="仿宋" w:eastAsia="仿宋" w:cs="仿宋"/>
          <w:b/>
          <w:color w:val="auto"/>
          <w:sz w:val="24"/>
          <w:highlight w:val="none"/>
        </w:rPr>
      </w:pPr>
      <w:r>
        <w:rPr>
          <w:rFonts w:hint="eastAsia" w:ascii="仿宋" w:hAnsi="仿宋" w:eastAsia="仿宋" w:cs="仿宋"/>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73706A99">
      <w:pPr>
        <w:snapToGrid w:val="0"/>
        <w:spacing w:line="360" w:lineRule="auto"/>
        <w:ind w:firstLine="480" w:firstLineChars="200"/>
        <w:jc w:val="left"/>
        <w:outlineLvl w:val="1"/>
        <w:rPr>
          <w:rFonts w:ascii="仿宋" w:hAnsi="仿宋" w:eastAsia="仿宋" w:cs="仿宋"/>
          <w:b/>
          <w:color w:val="auto"/>
          <w:sz w:val="24"/>
          <w:highlight w:val="none"/>
        </w:rPr>
      </w:pPr>
      <w:r>
        <w:rPr>
          <w:rFonts w:hint="eastAsia" w:ascii="仿宋" w:hAnsi="仿宋" w:eastAsia="仿宋" w:cs="仿宋"/>
          <w:color w:val="auto"/>
          <w:sz w:val="24"/>
          <w:highlight w:val="none"/>
        </w:rPr>
        <w:t>3.2支持绿色发展</w:t>
      </w:r>
    </w:p>
    <w:p w14:paraId="3AB665BF">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26A151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3.2.2修缮、装修类项目采购建材的，采购人应将绿色建筑和绿色建材性能、指标等作为实质性条件纳入招标文件和合同。</w:t>
      </w:r>
    </w:p>
    <w:p w14:paraId="3AB8293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611E14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p>
    <w:p w14:paraId="36FB1C8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5A83584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BDEED8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324ACA9A">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A4B5447">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36ED1BE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w:t>
      </w:r>
      <w:r>
        <w:rPr>
          <w:rFonts w:hint="eastAsia" w:ascii="仿宋" w:hAnsi="仿宋" w:eastAsia="仿宋" w:cs="仿宋"/>
          <w:b/>
          <w:bCs/>
          <w:color w:val="auto"/>
          <w:sz w:val="24"/>
          <w:highlight w:val="none"/>
        </w:rPr>
        <w:t>10%-20%（招标文件第四部分评标办法明确具体的扣除比例，未明确的，给予10%的扣除）</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b/>
          <w:bCs/>
          <w:color w:val="auto"/>
          <w:sz w:val="24"/>
          <w:highlight w:val="none"/>
        </w:rPr>
        <w:t>4%-6%（招标文件第四部分评标办法明确具体的扣除比例，未明确的，给予4%的扣除）</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4155684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048E5E7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4C99EB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25DABCE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538CDAE1">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637D3357">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首台套、“制造精品”、“专精特新”等创新产品按规定享受政府采购支持政策。</w:t>
      </w:r>
    </w:p>
    <w:p w14:paraId="3669FB7F">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3.4.2 采购人应当贯彻落实知识产权保护相关法律法规，应当采购使用正版软件。</w:t>
      </w:r>
    </w:p>
    <w:p w14:paraId="0EC6AF40">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29B45E64">
      <w:pPr>
        <w:spacing w:line="360" w:lineRule="auto"/>
        <w:ind w:firstLine="240" w:firstLineChars="100"/>
        <w:rPr>
          <w:rFonts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4.询问、质疑、投诉</w:t>
      </w:r>
      <w:r>
        <w:rPr>
          <w:rFonts w:hint="eastAsia" w:ascii="仿宋" w:hAnsi="仿宋" w:eastAsia="仿宋" w:cs="仿宋"/>
          <w:b/>
          <w:bCs/>
          <w:color w:val="auto"/>
          <w:sz w:val="24"/>
          <w:highlight w:val="none"/>
        </w:rPr>
        <w:t>、补偿救济</w:t>
      </w:r>
    </w:p>
    <w:p w14:paraId="0795E64B">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B0750F">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38878190">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82453B">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3DA6D30F">
      <w:pPr>
        <w:pStyle w:val="32"/>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43FBAC22">
      <w:pPr>
        <w:pStyle w:val="32"/>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9076B58">
      <w:pPr>
        <w:pStyle w:val="5"/>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1CADE464">
      <w:pPr>
        <w:pStyle w:val="32"/>
        <w:spacing w:line="360" w:lineRule="auto"/>
        <w:ind w:left="479" w:leftChars="228"/>
        <w:rPr>
          <w:rFonts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561F8680">
      <w:pPr>
        <w:pStyle w:val="3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1277C2DB">
      <w:pPr>
        <w:pStyle w:val="3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4.3.3.1供应商的姓名或者名称、地址、邮编、联系人及联系电话；</w:t>
      </w:r>
    </w:p>
    <w:p w14:paraId="177B03AF">
      <w:pPr>
        <w:pStyle w:val="3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4.3.3.2质疑项目的名称、编号；</w:t>
      </w:r>
    </w:p>
    <w:p w14:paraId="654905EC">
      <w:pPr>
        <w:pStyle w:val="3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4.3.3.3具体、明确的质疑事项和与质疑事项相关的请求；</w:t>
      </w:r>
    </w:p>
    <w:p w14:paraId="3D751529">
      <w:pPr>
        <w:pStyle w:val="3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4.3.3.4事实依据；</w:t>
      </w:r>
    </w:p>
    <w:p w14:paraId="4FB9AB59">
      <w:pPr>
        <w:pStyle w:val="3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4.3.3.5必要的法律依据；</w:t>
      </w:r>
    </w:p>
    <w:p w14:paraId="20EF4CED">
      <w:pPr>
        <w:pStyle w:val="3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4.3.3.6提出质疑的日期。</w:t>
      </w:r>
    </w:p>
    <w:p w14:paraId="1766E08A">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60C0C9B3">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质疑函范本及制作说明详见附件2。</w:t>
      </w:r>
    </w:p>
    <w:p w14:paraId="5F06C160">
      <w:pPr>
        <w:pStyle w:val="32"/>
        <w:spacing w:line="360" w:lineRule="auto"/>
        <w:ind w:firstLine="480" w:firstLineChars="200"/>
        <w:rPr>
          <w:rFonts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4.3.4对同一采购程序环节的质疑，供应商须在法定质疑期内一次性提出。</w:t>
      </w:r>
    </w:p>
    <w:p w14:paraId="2135688D">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4.3</w:t>
      </w:r>
      <w:r>
        <w:rPr>
          <w:rFonts w:hint="eastAsia" w:ascii="仿宋" w:hAnsi="仿宋" w:eastAsia="仿宋" w:cs="仿宋"/>
          <w:color w:val="auto"/>
          <w:sz w:val="24"/>
          <w:szCs w:val="24"/>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8F8B98C">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4.3</w:t>
      </w:r>
      <w:r>
        <w:rPr>
          <w:rFonts w:hint="eastAsia" w:ascii="仿宋" w:hAnsi="仿宋" w:eastAsia="仿宋" w:cs="仿宋"/>
          <w:color w:val="auto"/>
          <w:sz w:val="24"/>
          <w:szCs w:val="24"/>
          <w:highlight w:val="none"/>
        </w:rPr>
        <w:t>.6询问或者质疑事项可能影响采购结果的，采购人应当暂停签订合同，已经签订合同的，应当中止履行合同。</w:t>
      </w:r>
    </w:p>
    <w:p w14:paraId="18F2FEE9">
      <w:pPr>
        <w:pStyle w:val="32"/>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4.4供应商投诉</w:t>
      </w:r>
    </w:p>
    <w:p w14:paraId="3D29FC53">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EC1C12A">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4.4.2</w:t>
      </w:r>
      <w:r>
        <w:rPr>
          <w:rFonts w:hint="eastAsia" w:ascii="仿宋" w:hAnsi="仿宋" w:eastAsia="仿宋" w:cs="仿宋"/>
          <w:color w:val="auto"/>
          <w:sz w:val="24"/>
          <w:szCs w:val="24"/>
          <w:highlight w:val="none"/>
        </w:rPr>
        <w:t>供应商投诉的事项不得超出已质疑事项的范围，基于质疑答复内容提出的投诉事项除外。</w:t>
      </w:r>
    </w:p>
    <w:p w14:paraId="3A1C26E6">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4.4.3供应商投诉应当有明确的请求和必要的证明材料。</w:t>
      </w:r>
    </w:p>
    <w:p w14:paraId="650D19B2">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4.4.4以联合体形式参加政府采购活动的，其投诉应当由组成联合体的所有供应商共同提出。</w:t>
      </w:r>
    </w:p>
    <w:p w14:paraId="429FC131">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05C3547D">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4.5补偿救济</w:t>
      </w:r>
    </w:p>
    <w:p w14:paraId="318CF12A">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采购人因政策变化、规划调整而不履行政府采购合同的，供应商可依据《杭州市涉企补偿救济实施办法（试行）》向采购人提起补偿申请。</w:t>
      </w:r>
    </w:p>
    <w:p w14:paraId="070CA31D">
      <w:pPr>
        <w:pStyle w:val="32"/>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投诉书范本及制作说明详见附件3。</w:t>
      </w:r>
    </w:p>
    <w:p w14:paraId="0ADA549F">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74ED1D5E">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478C9589">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5.1招标文件包括下列文件及附件：</w:t>
      </w:r>
    </w:p>
    <w:p w14:paraId="7751824E">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0D00ECDD">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778B9DF1">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42372794">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58F62A83">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76C9C3F2">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356F0B6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00147ACF">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6.招标文件的澄清、修改</w:t>
      </w:r>
    </w:p>
    <w:p w14:paraId="2CB80043">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29EED280">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A0E368A">
      <w:pPr>
        <w:pStyle w:val="23"/>
        <w:jc w:val="center"/>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1E4F3542">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7.招标文件的获取</w:t>
      </w:r>
    </w:p>
    <w:p w14:paraId="5FBAF8BF">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22E59413">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5C6E6AD4">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13051D43">
      <w:pPr>
        <w:pStyle w:val="32"/>
        <w:spacing w:line="360" w:lineRule="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46404970">
      <w:pPr>
        <w:pStyle w:val="5"/>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2B4E2D13">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10.投标文件的语言</w:t>
      </w:r>
    </w:p>
    <w:p w14:paraId="7123EE24">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0A73DCC8">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11.投标文件的组成</w:t>
      </w:r>
    </w:p>
    <w:p w14:paraId="19E9A85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33EB0617">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5A5571F3">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1B017010">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宋体"/>
          <w:snapToGrid w:val="0"/>
          <w:color w:val="auto"/>
          <w:kern w:val="28"/>
          <w:sz w:val="24"/>
          <w:szCs w:val="20"/>
          <w:highlight w:val="none"/>
        </w:rPr>
        <w:t>，专门面向中小企业采购的项目须提供《中小企业声明函》</w:t>
      </w:r>
      <w:r>
        <w:rPr>
          <w:rFonts w:hint="eastAsia" w:ascii="仿宋" w:hAnsi="仿宋" w:eastAsia="仿宋" w:cs="仿宋"/>
          <w:snapToGrid w:val="0"/>
          <w:color w:val="auto"/>
          <w:kern w:val="28"/>
          <w:sz w:val="24"/>
          <w:szCs w:val="20"/>
          <w:highlight w:val="none"/>
        </w:rPr>
        <w:t>)</w:t>
      </w:r>
      <w:r>
        <w:rPr>
          <w:rFonts w:hint="eastAsia" w:ascii="仿宋" w:hAnsi="仿宋" w:eastAsia="仿宋" w:cs="仿宋"/>
          <w:color w:val="auto"/>
          <w:sz w:val="24"/>
          <w:highlight w:val="none"/>
        </w:rPr>
        <w:t>；</w:t>
      </w:r>
    </w:p>
    <w:p w14:paraId="2134E829">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5BB3847">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7A6AA4ED">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p>
    <w:p w14:paraId="68460D95">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62840623">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14:paraId="7DEC53F6">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6E5E101B">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299CD2DF">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0052809E">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781CEB70">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11.2.8政府采购供应商廉洁自律承诺书；</w:t>
      </w:r>
    </w:p>
    <w:p w14:paraId="088110D1">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14:paraId="5A6EDDCB">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6A3F939A">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11.3.2报价情况说明（如供应商报价低于项目预算50%的，应当提交本文档，详细阐述不影响产品质量或者诚信履约的具体原因）；</w:t>
      </w:r>
    </w:p>
    <w:p w14:paraId="240E7980">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11.3.3中小企业声明函。</w:t>
      </w:r>
    </w:p>
    <w:p w14:paraId="5A57F552">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7B6B321D">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5A6E6EE1">
      <w:pPr>
        <w:spacing w:line="360" w:lineRule="auto"/>
        <w:ind w:firstLine="720" w:firstLineChars="300"/>
        <w:rPr>
          <w:rFonts w:ascii="仿宋" w:hAnsi="仿宋" w:eastAsia="仿宋" w:cs="仿宋"/>
          <w:color w:val="auto"/>
          <w:highlight w:val="none"/>
        </w:rPr>
      </w:pPr>
      <w:r>
        <w:rPr>
          <w:rFonts w:hint="eastAsia" w:ascii="仿宋" w:hAnsi="仿宋" w:eastAsia="仿宋" w:cs="仿宋"/>
          <w:color w:val="auto"/>
          <w:sz w:val="24"/>
          <w:highlight w:val="none"/>
          <w:shd w:val="clear" w:color="auto" w:fill="FFFFFF"/>
        </w:rPr>
        <w:t>投标人可事先在公开官网查询、核对相关证书和报告内容，确保投标（响应）文件资料准确无误。投标人应对投标文件中材料的真实性、合法性负责。</w:t>
      </w:r>
    </w:p>
    <w:p w14:paraId="59A0A0C1">
      <w:pPr>
        <w:pStyle w:val="130"/>
        <w:snapToGrid w:val="0"/>
        <w:spacing w:before="0"/>
        <w:ind w:firstLine="0" w:firstLineChars="0"/>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投标文件的编制</w:t>
      </w:r>
    </w:p>
    <w:p w14:paraId="0243DEFD">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0CE3F58">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360C5A0">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28A4D82">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7ECC3864">
      <w:pPr>
        <w:pStyle w:val="130"/>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7B9C4145">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480F877">
      <w:pPr>
        <w:pStyle w:val="13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52C8C592">
      <w:pPr>
        <w:pStyle w:val="13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14.投标文件的提交、补充、修改、撤回</w:t>
      </w:r>
    </w:p>
    <w:p w14:paraId="7B5051CB">
      <w:pPr>
        <w:pStyle w:val="130"/>
        <w:spacing w:before="0"/>
        <w:ind w:firstLine="480"/>
        <w:rPr>
          <w:rFonts w:ascii="仿宋" w:hAnsi="仿宋" w:eastAsia="仿宋" w:cs="仿宋"/>
          <w:color w:val="auto"/>
          <w:highlight w:val="none"/>
        </w:rPr>
      </w:pPr>
      <w:r>
        <w:rPr>
          <w:rFonts w:hint="eastAsia" w:ascii="仿宋" w:hAnsi="仿宋" w:eastAsia="仿宋" w:cs="仿宋"/>
          <w:color w:val="auto"/>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35EDE31">
      <w:pPr>
        <w:pStyle w:val="13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97EEAF8">
      <w:pPr>
        <w:pStyle w:val="13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5091EE3">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19F2A86F">
      <w:pPr>
        <w:pStyle w:val="32"/>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0D34661F">
      <w:pPr>
        <w:pStyle w:val="32"/>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2E3E64CA">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AAD75B2">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5B88FF1C">
      <w:pPr>
        <w:pStyle w:val="32"/>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31AFC005">
      <w:pPr>
        <w:pStyle w:val="13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3E665A68">
      <w:pPr>
        <w:pStyle w:val="24"/>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77A71268">
      <w:pPr>
        <w:pStyle w:val="13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5F7A1CAF">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6AAB5DFB">
      <w:pPr>
        <w:pStyle w:val="130"/>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4B41626A">
      <w:pPr>
        <w:pStyle w:val="130"/>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6695C7E">
      <w:pPr>
        <w:pStyle w:val="130"/>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330E1B66">
      <w:pPr>
        <w:pStyle w:val="556"/>
        <w:spacing w:before="0" w:line="360" w:lineRule="auto"/>
        <w:ind w:left="0" w:firstLine="241" w:firstLineChars="10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18.开标</w:t>
      </w:r>
    </w:p>
    <w:p w14:paraId="3F3DF8CA">
      <w:pPr>
        <w:pStyle w:val="556"/>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477E23F7">
      <w:pPr>
        <w:pStyle w:val="556"/>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4D36989D">
      <w:pPr>
        <w:pStyle w:val="556"/>
        <w:spacing w:before="0" w:line="360" w:lineRule="auto"/>
        <w:ind w:left="0" w:firstLine="482" w:firstLineChars="200"/>
        <w:contextualSpacing/>
        <w:rPr>
          <w:rFonts w:ascii="仿宋" w:hAnsi="仿宋" w:eastAsia="仿宋" w:cs="仿宋"/>
          <w:b/>
          <w:bCs/>
          <w:color w:val="auto"/>
          <w:sz w:val="24"/>
          <w:highlight w:val="none"/>
        </w:rPr>
      </w:pPr>
      <w:r>
        <w:rPr>
          <w:rFonts w:hint="eastAsia" w:ascii="仿宋" w:hAnsi="仿宋" w:eastAsia="仿宋" w:cs="仿宋"/>
          <w:b/>
          <w:bCs/>
          <w:color w:val="auto"/>
          <w:sz w:val="24"/>
          <w:highlight w:val="none"/>
        </w:rPr>
        <w:t>18.3投标文件未按时解密，投标人提供了备份投标文件的，以备份投标文件作为依据，否则视为投标文件撤回。投标文件已按时解密的，备份投标文件自动失效。</w:t>
      </w:r>
    </w:p>
    <w:p w14:paraId="4289AFBA">
      <w:pPr>
        <w:pStyle w:val="556"/>
        <w:spacing w:before="0" w:line="360" w:lineRule="auto"/>
        <w:ind w:left="0" w:firstLine="482" w:firstLineChars="200"/>
        <w:contextualSpacing/>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18.4结束解密后30分钟内，供应商应通过邮件形式将经授权代表签署的《政府采购活动现场确认声明书》（格式见采购文件最后一页内容）扫描件发至代理机构经办人邮箱（邮箱地址：</w:t>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"mailto:1905135046@qq.com，联系人：严淳，电话：18007898088"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lang w:eastAsia="zh-CN"/>
        </w:rPr>
        <w:t>2845551562</w:t>
      </w:r>
      <w:r>
        <w:rPr>
          <w:rFonts w:hint="eastAsia" w:ascii="仿宋" w:hAnsi="仿宋" w:eastAsia="仿宋" w:cs="仿宋"/>
          <w:b/>
          <w:bCs/>
          <w:color w:val="auto"/>
          <w:sz w:val="24"/>
          <w:highlight w:val="none"/>
        </w:rPr>
        <w:t>@qq.com，联系人：</w:t>
      </w:r>
      <w:r>
        <w:rPr>
          <w:rFonts w:hint="eastAsia" w:ascii="仿宋" w:hAnsi="仿宋" w:eastAsia="仿宋" w:cs="仿宋"/>
          <w:b/>
          <w:bCs/>
          <w:color w:val="auto"/>
          <w:sz w:val="24"/>
          <w:highlight w:val="none"/>
          <w:lang w:eastAsia="zh-CN"/>
        </w:rPr>
        <w:t>何磊</w:t>
      </w:r>
      <w:r>
        <w:rPr>
          <w:rFonts w:hint="eastAsia" w:ascii="仿宋" w:hAnsi="仿宋" w:eastAsia="仿宋" w:cs="仿宋"/>
          <w:b/>
          <w:bCs/>
          <w:color w:val="auto"/>
          <w:sz w:val="24"/>
          <w:highlight w:val="none"/>
        </w:rPr>
        <w:t>，电话：</w:t>
      </w:r>
      <w:r>
        <w:rPr>
          <w:rFonts w:hint="eastAsia" w:ascii="仿宋" w:hAnsi="仿宋" w:eastAsia="仿宋" w:cs="仿宋"/>
          <w:b/>
          <w:bCs/>
          <w:color w:val="auto"/>
          <w:sz w:val="24"/>
          <w:highlight w:val="none"/>
          <w:lang w:eastAsia="zh-CN"/>
        </w:rPr>
        <w:t>15868121513</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t>），未发送视为对开标过程及结果无异议。</w:t>
      </w:r>
    </w:p>
    <w:p w14:paraId="7ABF1D66">
      <w:pPr>
        <w:pStyle w:val="556"/>
        <w:spacing w:before="0" w:line="360" w:lineRule="auto"/>
        <w:ind w:left="0" w:firstLine="482" w:firstLineChars="200"/>
        <w:contextualSpacing/>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18.5采购机构点击【开启报价文件】，开启报价成功后进入报价评审流程。各供应商代表应当在接到系统通知后30分钟内自行完成在线签字确认，逾期未在线签字确认的视为对开标过程及结果无异议。</w:t>
      </w:r>
    </w:p>
    <w:p w14:paraId="10D7C5D2">
      <w:pPr>
        <w:pStyle w:val="556"/>
        <w:spacing w:before="0" w:line="360" w:lineRule="auto"/>
        <w:ind w:left="0" w:firstLine="241" w:firstLineChars="10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19.资格审查</w:t>
      </w:r>
    </w:p>
    <w:p w14:paraId="40CCD53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0D1B92B8">
      <w:pPr>
        <w:pStyle w:val="13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75D84F1E">
      <w:pPr>
        <w:pStyle w:val="13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06602D89">
      <w:pPr>
        <w:pStyle w:val="13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78FD99B2">
      <w:pPr>
        <w:pStyle w:val="13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20</w:t>
      </w:r>
      <w:r>
        <w:rPr>
          <w:rFonts w:hint="eastAsia" w:ascii="仿宋" w:hAnsi="仿宋" w:eastAsia="仿宋" w:cs="仿宋"/>
          <w:b/>
          <w:color w:val="auto"/>
          <w:highlight w:val="none"/>
        </w:rPr>
        <w:t>.</w:t>
      </w:r>
      <w:r>
        <w:rPr>
          <w:rFonts w:hint="eastAsia" w:ascii="仿宋" w:hAnsi="仿宋" w:eastAsia="仿宋" w:cs="仿宋"/>
          <w:b/>
          <w:color w:val="auto"/>
          <w:szCs w:val="24"/>
          <w:highlight w:val="none"/>
        </w:rPr>
        <w:t>信用信息查询</w:t>
      </w:r>
    </w:p>
    <w:p w14:paraId="33FE3D86">
      <w:pPr>
        <w:pStyle w:val="13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3B8AFAE6">
      <w:pPr>
        <w:pStyle w:val="13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5DC80C64">
      <w:pPr>
        <w:pStyle w:val="13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E903311">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5D03EBBD">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7A77A652">
      <w:pPr>
        <w:spacing w:line="360" w:lineRule="auto"/>
        <w:rPr>
          <w:rFonts w:ascii="仿宋" w:hAnsi="仿宋" w:eastAsia="仿宋" w:cs="仿宋"/>
          <w:b/>
          <w:color w:val="auto"/>
          <w:sz w:val="24"/>
          <w:highlight w:val="none"/>
        </w:rPr>
      </w:pPr>
      <w:bookmarkStart w:id="10"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5B3490DF">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六、定标</w:t>
      </w:r>
    </w:p>
    <w:p w14:paraId="0AA6A93C">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22.确定中标供应商</w:t>
      </w:r>
    </w:p>
    <w:p w14:paraId="36B71DB1">
      <w:pPr>
        <w:pStyle w:val="130"/>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9FAE04D">
      <w:pPr>
        <w:pStyle w:val="130"/>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14:paraId="187BAB03">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5B5C5F0A">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1" w:name="_Hlk101184471"/>
      <w:r>
        <w:rPr>
          <w:rFonts w:hint="eastAsia" w:ascii="仿宋" w:hAnsi="仿宋" w:eastAsia="仿宋" w:cs="仿宋"/>
          <w:color w:val="auto"/>
          <w:sz w:val="24"/>
          <w:highlight w:val="none"/>
        </w:rPr>
        <w:t>资格审查情况、评审专家抽取规则、符合性审查情况、</w:t>
      </w:r>
      <w:bookmarkEnd w:id="11"/>
      <w:r>
        <w:rPr>
          <w:rFonts w:hint="eastAsia" w:ascii="仿宋" w:hAnsi="仿宋" w:eastAsia="仿宋" w:cs="仿宋"/>
          <w:color w:val="auto"/>
          <w:sz w:val="24"/>
          <w:highlight w:val="none"/>
        </w:rPr>
        <w:t>未中标情况说明、中标公告期限以及评审专家名单、评分汇总及明细。</w:t>
      </w:r>
    </w:p>
    <w:p w14:paraId="01B6F162">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6256DB8C">
      <w:pPr>
        <w:pStyle w:val="130"/>
        <w:snapToGrid w:val="0"/>
        <w:spacing w:before="0"/>
        <w:ind w:firstLine="482"/>
        <w:rPr>
          <w:rFonts w:ascii="仿宋" w:hAnsi="仿宋" w:eastAsia="仿宋" w:cs="仿宋"/>
          <w:color w:val="auto"/>
          <w:sz w:val="21"/>
          <w:szCs w:val="21"/>
          <w:highlight w:val="none"/>
        </w:rPr>
      </w:pPr>
      <w:r>
        <w:rPr>
          <w:rFonts w:hint="eastAsia" w:ascii="仿宋" w:hAnsi="仿宋" w:eastAsia="仿宋" w:cs="仿宋"/>
          <w:b/>
          <w:color w:val="auto"/>
          <w:szCs w:val="24"/>
          <w:highlight w:val="none"/>
        </w:rPr>
        <w:t>23.4</w:t>
      </w:r>
      <w:r>
        <w:rPr>
          <w:rFonts w:hint="eastAsia" w:ascii="仿宋" w:hAnsi="仿宋" w:eastAsia="仿宋" w:cs="仿宋"/>
          <w:bCs/>
          <w:color w:val="auto"/>
          <w:szCs w:val="24"/>
          <w:highlight w:val="none"/>
        </w:rPr>
        <w:t>由于中标、成交供应商原因导致重新采购的，应当承担支付代理费和专家评审费等费用在内的赔偿责任。</w:t>
      </w:r>
    </w:p>
    <w:p w14:paraId="39316460">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36E4918A">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合同主要条款详见第五部分拟签订的合同文本。</w:t>
      </w:r>
    </w:p>
    <w:p w14:paraId="79B02CBA">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25.合同的签订</w:t>
      </w:r>
    </w:p>
    <w:p w14:paraId="76B0D45A">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8CF7967">
      <w:pPr>
        <w:pStyle w:val="130"/>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A71563C">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79061256">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78FA6593">
      <w:pPr>
        <w:pStyle w:val="130"/>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3917ADD1">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26.履约保证金</w:t>
      </w:r>
    </w:p>
    <w:p w14:paraId="5C73F6AD">
      <w:pPr>
        <w:tabs>
          <w:tab w:val="left" w:pos="0"/>
        </w:tabs>
        <w:spacing w:line="360" w:lineRule="auto"/>
        <w:ind w:firstLine="482"/>
        <w:rPr>
          <w:rFonts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7CB3D30">
      <w:pPr>
        <w:tabs>
          <w:tab w:val="left" w:pos="0"/>
        </w:tabs>
        <w:spacing w:line="360" w:lineRule="auto"/>
        <w:ind w:firstLine="482"/>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AF73B51">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27.预付款</w:t>
      </w:r>
    </w:p>
    <w:p w14:paraId="79AB8D4E">
      <w:pPr>
        <w:adjustRightInd/>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保函受理—确认保单—支付保费—成功出单。政采云金融专线400-903-9583。</w:t>
      </w:r>
    </w:p>
    <w:p w14:paraId="4558E558">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7E632C1E">
      <w:pPr>
        <w:pStyle w:val="130"/>
        <w:snapToGrid w:val="0"/>
        <w:spacing w:before="0"/>
        <w:ind w:firstLine="0" w:firstLineChars="0"/>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3DA08238">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28.1电子交易平台发生故障而无法登录访问的；</w:t>
      </w:r>
    </w:p>
    <w:p w14:paraId="51B079FB">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7A4471A4">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2EC88A27">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28.4病毒发作导致不能进行正常操作的；</w:t>
      </w:r>
    </w:p>
    <w:p w14:paraId="5E68D175">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763866CB">
      <w:pPr>
        <w:pStyle w:val="130"/>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6CCC6C29">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795E48D1">
      <w:pPr>
        <w:pStyle w:val="24"/>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30.验收</w:t>
      </w:r>
    </w:p>
    <w:p w14:paraId="311C77BB">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C2A19E0">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662F7127">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w:t>
      </w:r>
      <w:r>
        <w:rPr>
          <w:rFonts w:hint="eastAsia" w:ascii="仿宋" w:hAnsi="仿宋" w:eastAsia="仿宋" w:cs="仿宋"/>
          <w:color w:val="auto"/>
          <w:kern w:val="0"/>
          <w:sz w:val="24"/>
          <w:highlight w:val="none"/>
          <w:lang w:val="en-US" w:eastAsia="zh-CN"/>
        </w:rPr>
        <w:t>每年</w:t>
      </w:r>
      <w:r>
        <w:rPr>
          <w:rFonts w:hint="eastAsia" w:ascii="仿宋" w:hAnsi="仿宋" w:eastAsia="仿宋" w:cs="仿宋"/>
          <w:color w:val="auto"/>
          <w:kern w:val="0"/>
          <w:sz w:val="24"/>
          <w:highlight w:val="none"/>
        </w:rPr>
        <w:t>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514C9A6">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988AF09">
      <w:pPr>
        <w:tabs>
          <w:tab w:val="left" w:pos="0"/>
        </w:tabs>
        <w:spacing w:line="360" w:lineRule="auto"/>
        <w:ind w:firstLine="480"/>
        <w:rPr>
          <w:rFonts w:ascii="仿宋" w:hAnsi="仿宋" w:eastAsia="仿宋" w:cs="仿宋"/>
          <w:color w:val="auto"/>
          <w:kern w:val="0"/>
          <w:sz w:val="24"/>
          <w:highlight w:val="none"/>
        </w:rPr>
      </w:pPr>
      <w:r>
        <w:rPr>
          <w:rFonts w:hint="eastAsia" w:ascii="仿宋" w:eastAsia="仿宋" w:cs="仿宋"/>
          <w:color w:val="auto"/>
          <w:kern w:val="0"/>
          <w:sz w:val="24"/>
          <w:highlight w:val="none"/>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0"/>
    <w:p w14:paraId="4BD1C362">
      <w:pPr>
        <w:tabs>
          <w:tab w:val="left" w:pos="0"/>
        </w:tabs>
        <w:spacing w:line="360" w:lineRule="auto"/>
        <w:ind w:firstLine="480"/>
        <w:rPr>
          <w:rFonts w:ascii="仿宋" w:hAnsi="仿宋" w:eastAsia="仿宋" w:cs="仿宋"/>
          <w:color w:val="auto"/>
          <w:kern w:val="0"/>
          <w:sz w:val="24"/>
          <w:highlight w:val="none"/>
        </w:rPr>
        <w:sectPr>
          <w:pgSz w:w="11906" w:h="16838"/>
          <w:pgMar w:top="680" w:right="1418" w:bottom="46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bookmarkStart w:id="12" w:name="_Hlt68072990"/>
      <w:bookmarkEnd w:id="12"/>
      <w:bookmarkStart w:id="13" w:name="_Hlt68057669"/>
      <w:bookmarkEnd w:id="13"/>
      <w:bookmarkStart w:id="14" w:name="_Hlt75236101"/>
      <w:bookmarkEnd w:id="14"/>
      <w:bookmarkStart w:id="15" w:name="_Hlt68072998"/>
      <w:bookmarkEnd w:id="15"/>
      <w:bookmarkStart w:id="16" w:name="_Hlt68073093"/>
      <w:bookmarkEnd w:id="16"/>
      <w:bookmarkStart w:id="17" w:name="_Hlt75236290"/>
      <w:bookmarkEnd w:id="17"/>
      <w:bookmarkStart w:id="18" w:name="_Hlt74707468"/>
      <w:bookmarkEnd w:id="18"/>
      <w:bookmarkStart w:id="19" w:name="_Hlt74714665"/>
      <w:bookmarkEnd w:id="19"/>
      <w:bookmarkStart w:id="20" w:name="_Hlt75236011"/>
      <w:bookmarkEnd w:id="20"/>
      <w:bookmarkStart w:id="21" w:name="_Hlt74729768"/>
      <w:bookmarkEnd w:id="21"/>
      <w:bookmarkStart w:id="22" w:name="_Hlt74730295"/>
      <w:bookmarkEnd w:id="22"/>
      <w:bookmarkStart w:id="23" w:name="_Hlt68403820"/>
      <w:bookmarkEnd w:id="23"/>
    </w:p>
    <w:bookmarkEnd w:id="9"/>
    <w:p w14:paraId="3FC9036F">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w:t>
      </w:r>
      <w:r>
        <w:rPr>
          <w:rFonts w:hint="eastAsia" w:ascii="仿宋" w:hAnsi="仿宋" w:eastAsia="仿宋" w:cs="仿宋"/>
          <w:b/>
          <w:color w:val="auto"/>
          <w:spacing w:val="362"/>
          <w:kern w:val="0"/>
          <w:sz w:val="36"/>
          <w:szCs w:val="36"/>
          <w:highlight w:val="none"/>
          <w:fitText w:val="1444" w:id="-982737920"/>
        </w:rPr>
        <w:t>分</w:t>
      </w:r>
      <w:r>
        <w:rPr>
          <w:rFonts w:hint="eastAsia" w:ascii="仿宋" w:hAnsi="仿宋" w:eastAsia="仿宋" w:cs="仿宋"/>
          <w:b/>
          <w:color w:val="auto"/>
          <w:spacing w:val="0"/>
          <w:kern w:val="0"/>
          <w:sz w:val="36"/>
          <w:szCs w:val="36"/>
          <w:highlight w:val="none"/>
          <w:fitText w:val="1444" w:id="-982737920"/>
        </w:rPr>
        <w:t>采</w:t>
      </w:r>
      <w:r>
        <w:rPr>
          <w:rFonts w:hint="eastAsia" w:ascii="仿宋" w:hAnsi="仿宋" w:eastAsia="仿宋" w:cs="仿宋"/>
          <w:b/>
          <w:color w:val="auto"/>
          <w:sz w:val="36"/>
          <w:szCs w:val="36"/>
          <w:highlight w:val="none"/>
        </w:rPr>
        <w:t>购需求</w:t>
      </w:r>
    </w:p>
    <w:p w14:paraId="29DCBACD">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建设立体化智能化社会治安防控体系，深化公共安全视频图像建设联网，加强社会安全智能感知网络建设，升级公共安全视频图像智能应用。</w:t>
      </w:r>
    </w:p>
    <w:p w14:paraId="18863084">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完善公安视频图像综合应用平台，优化公安图像信息系统体系架构，整合联网</w:t>
      </w:r>
      <w:r>
        <w:rPr>
          <w:rFonts w:ascii="仿宋" w:hAnsi="仿宋" w:eastAsia="仿宋"/>
          <w:color w:val="auto"/>
          <w:sz w:val="24"/>
          <w:highlight w:val="none"/>
        </w:rPr>
        <w:t>/共享平台、解析系统、视图库、视综平台等系统，加强重点地区，农村地区和城乡接合部等薄弱区域，道路边界及重点敏感场所的智能化视频前端点位建设。</w:t>
      </w:r>
    </w:p>
    <w:p w14:paraId="5543C15A">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另外，视频监控已经成为各项公安工作的重要基础资源，充分运用物联网、云计算等技术，利用大数据优势，进一步加强公安机关视频监控应用工作，最大限度发挥视频监控应用效能，对于构建立体化社会治安防控体系，提升公安工作能力与水平具有重要意义。</w:t>
      </w:r>
    </w:p>
    <w:p w14:paraId="5106E93B">
      <w:pPr>
        <w:pStyle w:val="257"/>
        <w:numPr>
          <w:ilvl w:val="0"/>
          <w:numId w:val="0"/>
        </w:numPr>
        <w:spacing w:line="360" w:lineRule="auto"/>
        <w:ind w:left="480" w:leftChars="0" w:hanging="480" w:firstLineChars="0"/>
        <w:rPr>
          <w:rFonts w:ascii="仿宋" w:hAnsi="仿宋" w:eastAsia="仿宋"/>
          <w:b/>
          <w:color w:val="auto"/>
          <w:sz w:val="24"/>
          <w:highlight w:val="none"/>
        </w:rPr>
      </w:pPr>
      <w:r>
        <w:rPr>
          <w:rFonts w:hint="default" w:ascii="仿宋" w:hAnsi="仿宋" w:eastAsia="仿宋" w:cstheme="minorBidi"/>
          <w:b/>
          <w:color w:val="auto"/>
          <w:kern w:val="2"/>
          <w:sz w:val="24"/>
          <w:szCs w:val="22"/>
          <w:highlight w:val="none"/>
          <w:lang w:val="en-US" w:eastAsia="zh-CN" w:bidi="ar-SA"/>
        </w:rPr>
        <w:t>一、</w:t>
      </w:r>
      <w:r>
        <w:rPr>
          <w:rFonts w:hint="eastAsia" w:ascii="仿宋" w:hAnsi="仿宋" w:eastAsia="仿宋"/>
          <w:b/>
          <w:color w:val="auto"/>
          <w:sz w:val="24"/>
          <w:highlight w:val="none"/>
        </w:rPr>
        <w:t>项目概况</w:t>
      </w:r>
    </w:p>
    <w:p w14:paraId="0A99AF9B">
      <w:pPr>
        <w:pStyle w:val="257"/>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上城区在</w:t>
      </w:r>
      <w:r>
        <w:rPr>
          <w:rFonts w:ascii="仿宋" w:hAnsi="仿宋" w:eastAsia="仿宋"/>
          <w:color w:val="auto"/>
          <w:sz w:val="24"/>
          <w:highlight w:val="none"/>
        </w:rPr>
        <w:t>通过</w:t>
      </w:r>
      <w:r>
        <w:rPr>
          <w:rFonts w:hint="eastAsia" w:ascii="仿宋" w:hAnsi="仿宋" w:eastAsia="仿宋"/>
          <w:color w:val="auto"/>
          <w:sz w:val="24"/>
          <w:highlight w:val="none"/>
        </w:rPr>
        <w:t>上城区天网工程项目、</w:t>
      </w:r>
      <w:r>
        <w:rPr>
          <w:rFonts w:ascii="仿宋" w:hAnsi="仿宋" w:eastAsia="仿宋"/>
          <w:color w:val="auto"/>
          <w:sz w:val="24"/>
          <w:highlight w:val="none"/>
        </w:rPr>
        <w:t>雪亮工程三年计划、五圈五防监控补盲、智慧安防小区等项目为依托，逐步推进全区的视频监控建设，目前已联网汇聚街道、城管、教育、医疗、旅馆等各企事业单</w:t>
      </w:r>
      <w:r>
        <w:rPr>
          <w:rFonts w:hint="eastAsia" w:ascii="仿宋" w:hAnsi="仿宋" w:eastAsia="仿宋"/>
          <w:color w:val="auto"/>
          <w:sz w:val="24"/>
          <w:highlight w:val="none"/>
        </w:rPr>
        <w:t>位的</w:t>
      </w:r>
      <w:r>
        <w:rPr>
          <w:rFonts w:ascii="仿宋" w:hAnsi="仿宋" w:eastAsia="仿宋"/>
          <w:color w:val="auto"/>
          <w:sz w:val="24"/>
          <w:highlight w:val="none"/>
        </w:rPr>
        <w:t>视频监控资源，其中</w:t>
      </w:r>
      <w:r>
        <w:rPr>
          <w:rFonts w:hint="eastAsia" w:ascii="仿宋" w:hAnsi="仿宋" w:eastAsia="仿宋"/>
          <w:color w:val="auto"/>
          <w:sz w:val="24"/>
          <w:highlight w:val="none"/>
        </w:rPr>
        <w:t>针对部分重点区域加载了A</w:t>
      </w:r>
      <w:r>
        <w:rPr>
          <w:rFonts w:ascii="仿宋" w:hAnsi="仿宋" w:eastAsia="仿宋"/>
          <w:color w:val="auto"/>
          <w:sz w:val="24"/>
          <w:highlight w:val="none"/>
        </w:rPr>
        <w:t>I</w:t>
      </w:r>
      <w:r>
        <w:rPr>
          <w:rFonts w:hint="eastAsia" w:ascii="仿宋" w:hAnsi="仿宋" w:eastAsia="仿宋"/>
          <w:color w:val="auto"/>
          <w:sz w:val="24"/>
          <w:highlight w:val="none"/>
        </w:rPr>
        <w:t>抓图技术</w:t>
      </w:r>
      <w:r>
        <w:rPr>
          <w:rFonts w:ascii="仿宋" w:hAnsi="仿宋" w:eastAsia="仿宋"/>
          <w:color w:val="auto"/>
          <w:sz w:val="24"/>
          <w:highlight w:val="none"/>
        </w:rPr>
        <w:t>，初步实现了公安视频侦查智能化。</w:t>
      </w:r>
      <w:r>
        <w:rPr>
          <w:rFonts w:hint="eastAsia" w:ascii="仿宋" w:hAnsi="仿宋" w:eastAsia="仿宋"/>
          <w:color w:val="auto"/>
          <w:sz w:val="24"/>
          <w:highlight w:val="none"/>
        </w:rPr>
        <w:t>但随着新兴技术的迅速发展、城市建设的不断深入，</w:t>
      </w:r>
      <w:r>
        <w:rPr>
          <w:rFonts w:ascii="仿宋" w:hAnsi="仿宋" w:eastAsia="仿宋"/>
          <w:color w:val="auto"/>
          <w:sz w:val="24"/>
          <w:highlight w:val="none"/>
        </w:rPr>
        <w:t>2019</w:t>
      </w:r>
      <w:r>
        <w:rPr>
          <w:rFonts w:hint="eastAsia" w:ascii="仿宋" w:hAnsi="仿宋" w:eastAsia="仿宋"/>
          <w:color w:val="auto"/>
          <w:sz w:val="24"/>
          <w:highlight w:val="none"/>
        </w:rPr>
        <w:t>年前建设的抓拍摄像机采集的R</w:t>
      </w:r>
      <w:r>
        <w:rPr>
          <w:rFonts w:ascii="仿宋" w:hAnsi="仿宋" w:eastAsia="仿宋"/>
          <w:color w:val="auto"/>
          <w:sz w:val="24"/>
          <w:highlight w:val="none"/>
        </w:rPr>
        <w:t>L</w:t>
      </w:r>
      <w:r>
        <w:rPr>
          <w:rFonts w:hint="eastAsia" w:ascii="仿宋" w:hAnsi="仿宋" w:eastAsia="仿宋"/>
          <w:color w:val="auto"/>
          <w:sz w:val="24"/>
          <w:highlight w:val="none"/>
        </w:rPr>
        <w:t>图像清晰度不够，平台兼容性、应急响应存在问题等原因，后端应用在业务深挖、数据融合方面仍存在不足等问题也逐渐显现出来，已无法满足当前工作需要，需进行改造提升。适逢近期2</w:t>
      </w:r>
      <w:r>
        <w:rPr>
          <w:rFonts w:ascii="仿宋" w:hAnsi="仿宋" w:eastAsia="仿宋"/>
          <w:color w:val="auto"/>
          <w:sz w:val="24"/>
          <w:highlight w:val="none"/>
        </w:rPr>
        <w:t>018</w:t>
      </w:r>
      <w:r>
        <w:rPr>
          <w:rFonts w:hint="eastAsia" w:ascii="仿宋" w:hAnsi="仿宋" w:eastAsia="仿宋"/>
          <w:color w:val="auto"/>
          <w:sz w:val="24"/>
          <w:highlight w:val="none"/>
        </w:rPr>
        <w:t>年《</w:t>
      </w:r>
      <w:r>
        <w:rPr>
          <w:rFonts w:ascii="仿宋" w:hAnsi="仿宋" w:eastAsia="仿宋"/>
          <w:color w:val="auto"/>
          <w:sz w:val="24"/>
          <w:highlight w:val="none"/>
        </w:rPr>
        <w:t>2017“雪亮工程”准物业小区监控租赁高清升级改造项目</w:t>
      </w:r>
      <w:r>
        <w:rPr>
          <w:rFonts w:hint="eastAsia" w:ascii="仿宋" w:hAnsi="仿宋" w:eastAsia="仿宋"/>
          <w:color w:val="auto"/>
          <w:sz w:val="24"/>
          <w:highlight w:val="none"/>
        </w:rPr>
        <w:t>》、2</w:t>
      </w:r>
      <w:r>
        <w:rPr>
          <w:rFonts w:ascii="仿宋" w:hAnsi="仿宋" w:eastAsia="仿宋"/>
          <w:color w:val="auto"/>
          <w:sz w:val="24"/>
          <w:highlight w:val="none"/>
        </w:rPr>
        <w:t>019</w:t>
      </w:r>
      <w:r>
        <w:rPr>
          <w:rFonts w:hint="eastAsia" w:ascii="仿宋" w:hAnsi="仿宋" w:eastAsia="仿宋"/>
          <w:color w:val="auto"/>
          <w:sz w:val="24"/>
          <w:highlight w:val="none"/>
        </w:rPr>
        <w:t>年《上城区分局高清视频监控系统租赁升级项目》服务租赁即将到期，现参照杭州市、上城区的前端建设指南要求及现场实际需求，对服务到期的点位升级改造</w:t>
      </w:r>
      <w:r>
        <w:rPr>
          <w:rFonts w:ascii="仿宋" w:hAnsi="仿宋" w:eastAsia="仿宋"/>
          <w:color w:val="auto"/>
          <w:sz w:val="24"/>
          <w:highlight w:val="none"/>
        </w:rPr>
        <w:t>。</w:t>
      </w:r>
    </w:p>
    <w:p w14:paraId="2B6B761C">
      <w:pPr>
        <w:pStyle w:val="257"/>
        <w:numPr>
          <w:ilvl w:val="0"/>
          <w:numId w:val="0"/>
        </w:numPr>
        <w:spacing w:line="360" w:lineRule="auto"/>
        <w:ind w:left="480" w:leftChars="0" w:hanging="480" w:firstLineChars="0"/>
        <w:rPr>
          <w:rFonts w:ascii="仿宋" w:hAnsi="仿宋" w:eastAsia="仿宋"/>
          <w:b/>
          <w:color w:val="auto"/>
          <w:sz w:val="24"/>
          <w:highlight w:val="none"/>
        </w:rPr>
      </w:pPr>
      <w:r>
        <w:rPr>
          <w:rFonts w:hint="default" w:ascii="仿宋" w:hAnsi="仿宋" w:eastAsia="仿宋" w:cstheme="minorBidi"/>
          <w:b/>
          <w:color w:val="auto"/>
          <w:kern w:val="2"/>
          <w:sz w:val="24"/>
          <w:szCs w:val="22"/>
          <w:highlight w:val="none"/>
          <w:lang w:val="en-US" w:eastAsia="zh-CN" w:bidi="ar-SA"/>
        </w:rPr>
        <w:t>二、</w:t>
      </w:r>
      <w:r>
        <w:rPr>
          <w:rFonts w:hint="eastAsia" w:ascii="仿宋" w:hAnsi="仿宋" w:eastAsia="仿宋"/>
          <w:b/>
          <w:color w:val="auto"/>
          <w:sz w:val="24"/>
          <w:highlight w:val="none"/>
        </w:rPr>
        <w:t>项目目标</w:t>
      </w:r>
    </w:p>
    <w:p w14:paraId="560E3360">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针对即将到期的</w:t>
      </w:r>
      <w:r>
        <w:rPr>
          <w:rFonts w:ascii="仿宋" w:hAnsi="仿宋" w:eastAsia="仿宋"/>
          <w:color w:val="auto"/>
          <w:sz w:val="24"/>
          <w:highlight w:val="none"/>
        </w:rPr>
        <w:t>1453路准物业小区前端监控设备</w:t>
      </w:r>
      <w:r>
        <w:rPr>
          <w:rFonts w:hint="eastAsia" w:ascii="仿宋" w:hAnsi="仿宋" w:eastAsia="仿宋"/>
          <w:color w:val="auto"/>
          <w:sz w:val="24"/>
          <w:highlight w:val="none"/>
        </w:rPr>
        <w:t>和1</w:t>
      </w:r>
      <w:r>
        <w:rPr>
          <w:rFonts w:ascii="仿宋" w:hAnsi="仿宋" w:eastAsia="仿宋"/>
          <w:color w:val="auto"/>
          <w:sz w:val="24"/>
          <w:highlight w:val="none"/>
        </w:rPr>
        <w:t>06</w:t>
      </w:r>
      <w:r>
        <w:rPr>
          <w:rFonts w:hint="eastAsia" w:ascii="仿宋" w:hAnsi="仿宋" w:eastAsia="仿宋"/>
          <w:color w:val="auto"/>
          <w:sz w:val="24"/>
          <w:highlight w:val="none"/>
        </w:rPr>
        <w:t>路路面监控设备</w:t>
      </w:r>
      <w:r>
        <w:rPr>
          <w:rFonts w:ascii="仿宋" w:hAnsi="仿宋" w:eastAsia="仿宋"/>
          <w:color w:val="auto"/>
          <w:sz w:val="24"/>
          <w:highlight w:val="none"/>
        </w:rPr>
        <w:t>进行升级改造，同时针对存储、智能两大后端能力进行针对性的升级扩容。</w:t>
      </w:r>
    </w:p>
    <w:p w14:paraId="3FC5A521">
      <w:pPr>
        <w:pStyle w:val="257"/>
        <w:numPr>
          <w:ilvl w:val="0"/>
          <w:numId w:val="0"/>
        </w:numPr>
        <w:spacing w:line="360" w:lineRule="auto"/>
        <w:ind w:left="480" w:leftChars="0" w:hanging="480" w:firstLineChars="0"/>
        <w:rPr>
          <w:rFonts w:ascii="仿宋" w:hAnsi="仿宋" w:eastAsia="仿宋"/>
          <w:b/>
          <w:color w:val="auto"/>
          <w:sz w:val="24"/>
          <w:highlight w:val="none"/>
        </w:rPr>
      </w:pPr>
      <w:r>
        <w:rPr>
          <w:rFonts w:hint="default" w:ascii="仿宋" w:hAnsi="仿宋" w:eastAsia="仿宋" w:cstheme="minorBidi"/>
          <w:b/>
          <w:color w:val="auto"/>
          <w:kern w:val="2"/>
          <w:sz w:val="24"/>
          <w:szCs w:val="22"/>
          <w:highlight w:val="none"/>
          <w:lang w:val="en-US" w:eastAsia="zh-CN" w:bidi="ar-SA"/>
        </w:rPr>
        <w:t>三、</w:t>
      </w:r>
      <w:r>
        <w:rPr>
          <w:rFonts w:hint="eastAsia" w:ascii="仿宋" w:hAnsi="仿宋" w:eastAsia="仿宋"/>
          <w:b/>
          <w:color w:val="auto"/>
          <w:sz w:val="24"/>
          <w:highlight w:val="none"/>
        </w:rPr>
        <w:t>建设内容</w:t>
      </w:r>
    </w:p>
    <w:p w14:paraId="79848972">
      <w:pPr>
        <w:pStyle w:val="257"/>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本次项目建设内容包括【前端相机改造服务】、【后端存储升级扩容服务】、【后端算法能力扩容服务】共三块内容。</w:t>
      </w:r>
    </w:p>
    <w:p w14:paraId="49FD1386">
      <w:pPr>
        <w:pStyle w:val="257"/>
        <w:spacing w:line="360" w:lineRule="auto"/>
        <w:ind w:firstLine="482"/>
        <w:rPr>
          <w:rFonts w:ascii="仿宋" w:hAnsi="仿宋" w:eastAsia="仿宋"/>
          <w:b/>
          <w:color w:val="auto"/>
          <w:sz w:val="24"/>
          <w:highlight w:val="none"/>
        </w:rPr>
      </w:pPr>
      <w:r>
        <w:rPr>
          <w:rFonts w:hint="eastAsia" w:ascii="仿宋" w:hAnsi="仿宋" w:eastAsia="仿宋"/>
          <w:b/>
          <w:color w:val="auto"/>
          <w:sz w:val="24"/>
          <w:highlight w:val="none"/>
        </w:rPr>
        <w:t>1、前端相机改造服务</w:t>
      </w:r>
    </w:p>
    <w:p w14:paraId="7F21F452">
      <w:pPr>
        <w:pStyle w:val="84"/>
        <w:rPr>
          <w:rFonts w:ascii="仿宋" w:hAnsi="仿宋" w:eastAsia="仿宋" w:cstheme="minorBidi"/>
          <w:color w:val="auto"/>
          <w:kern w:val="2"/>
          <w:szCs w:val="22"/>
          <w:highlight w:val="none"/>
        </w:rPr>
      </w:pPr>
      <w:r>
        <w:rPr>
          <w:rFonts w:hint="eastAsia" w:ascii="仿宋" w:hAnsi="仿宋" w:eastAsia="仿宋" w:cstheme="minorBidi"/>
          <w:color w:val="auto"/>
          <w:kern w:val="2"/>
          <w:szCs w:val="22"/>
          <w:highlight w:val="none"/>
        </w:rPr>
        <w:t>完成对上城区内共计</w:t>
      </w:r>
      <w:r>
        <w:rPr>
          <w:rFonts w:ascii="仿宋" w:hAnsi="仿宋" w:eastAsia="仿宋" w:cstheme="minorBidi"/>
          <w:color w:val="auto"/>
          <w:kern w:val="2"/>
          <w:szCs w:val="22"/>
          <w:highlight w:val="none"/>
        </w:rPr>
        <w:t>1559</w:t>
      </w:r>
      <w:r>
        <w:rPr>
          <w:rFonts w:hint="eastAsia" w:ascii="仿宋" w:hAnsi="仿宋" w:eastAsia="仿宋" w:cstheme="minorBidi"/>
          <w:color w:val="auto"/>
          <w:kern w:val="2"/>
          <w:szCs w:val="22"/>
          <w:highlight w:val="none"/>
        </w:rPr>
        <w:t>个点位的前端感知单元智能化改造任务，同时保证所有通道的视频全天</w:t>
      </w:r>
      <w:r>
        <w:rPr>
          <w:rFonts w:ascii="仿宋" w:hAnsi="仿宋" w:eastAsia="仿宋" w:cstheme="minorBidi"/>
          <w:color w:val="auto"/>
          <w:kern w:val="2"/>
          <w:szCs w:val="22"/>
          <w:highlight w:val="none"/>
        </w:rPr>
        <w:t>24小时存储、30天以上</w:t>
      </w:r>
      <w:r>
        <w:rPr>
          <w:rFonts w:hint="eastAsia" w:ascii="仿宋" w:hAnsi="仿宋" w:eastAsia="仿宋" w:cstheme="minorBidi"/>
          <w:color w:val="auto"/>
          <w:kern w:val="2"/>
          <w:szCs w:val="22"/>
          <w:highlight w:val="none"/>
        </w:rPr>
        <w:t>录像保存。</w:t>
      </w:r>
    </w:p>
    <w:p w14:paraId="041C7F82">
      <w:pPr>
        <w:pStyle w:val="257"/>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其中前端建设以原上城老城区为主要建设范围，针对1</w:t>
      </w:r>
      <w:r>
        <w:rPr>
          <w:rFonts w:ascii="仿宋" w:hAnsi="仿宋" w:eastAsia="仿宋"/>
          <w:color w:val="auto"/>
          <w:sz w:val="24"/>
          <w:highlight w:val="none"/>
        </w:rPr>
        <w:t>06</w:t>
      </w:r>
      <w:r>
        <w:rPr>
          <w:rFonts w:hint="eastAsia" w:ascii="仿宋" w:hAnsi="仿宋" w:eastAsia="仿宋"/>
          <w:color w:val="auto"/>
          <w:sz w:val="24"/>
          <w:highlight w:val="none"/>
        </w:rPr>
        <w:t>个路面点位参照《杭州市公共区域感知前端建设指南》开展点位的科学规划和设备的智能化提升</w:t>
      </w:r>
      <w:r>
        <w:rPr>
          <w:rFonts w:ascii="仿宋" w:hAnsi="仿宋" w:eastAsia="仿宋"/>
          <w:color w:val="auto"/>
          <w:sz w:val="24"/>
          <w:highlight w:val="none"/>
        </w:rPr>
        <w:t>，实现对区域宏观态势和感知对象细节多维感知能力的构建。兼顾不同业务的应用要求与感知能力相互补充，采用“一杆多采、一机多用、一机多能、一机多摄”的集约化建设方式，利用多技术、多手段融合的信息采集方式，进行全量信息采集</w:t>
      </w:r>
      <w:r>
        <w:rPr>
          <w:rFonts w:hint="eastAsia" w:ascii="仿宋" w:hAnsi="仿宋" w:eastAsia="仿宋"/>
          <w:color w:val="auto"/>
          <w:sz w:val="24"/>
          <w:highlight w:val="none"/>
        </w:rPr>
        <w:t>，加强拓展前端感知触角，以补足上城区域的点位配置。</w:t>
      </w:r>
    </w:p>
    <w:p w14:paraId="63A8369F">
      <w:pPr>
        <w:pStyle w:val="257"/>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针对1</w:t>
      </w:r>
      <w:r>
        <w:rPr>
          <w:rFonts w:ascii="仿宋" w:hAnsi="仿宋" w:eastAsia="仿宋"/>
          <w:color w:val="auto"/>
          <w:sz w:val="24"/>
          <w:highlight w:val="none"/>
        </w:rPr>
        <w:t>453</w:t>
      </w:r>
      <w:r>
        <w:rPr>
          <w:rFonts w:hint="eastAsia" w:ascii="仿宋" w:hAnsi="仿宋" w:eastAsia="仿宋"/>
          <w:color w:val="auto"/>
          <w:sz w:val="24"/>
          <w:highlight w:val="none"/>
        </w:rPr>
        <w:t>路准物业小区的监控点位按照现场实际需求进行改造。对其中</w:t>
      </w:r>
      <w:r>
        <w:rPr>
          <w:rFonts w:ascii="仿宋" w:hAnsi="仿宋" w:eastAsia="仿宋"/>
          <w:color w:val="auto"/>
          <w:sz w:val="24"/>
          <w:highlight w:val="none"/>
        </w:rPr>
        <w:t>1399路200万像素普通监控的画面质量进行提升，确保更清晰稳定的监控效果；其次，对剩余54个关键位置的200万像素RL监控实施智能优化，增强这些区域的监控智能化水平和响应效率。</w:t>
      </w:r>
    </w:p>
    <w:p w14:paraId="4E1B9031">
      <w:pPr>
        <w:pStyle w:val="257"/>
        <w:spacing w:line="360" w:lineRule="auto"/>
        <w:ind w:firstLine="482"/>
        <w:rPr>
          <w:rFonts w:ascii="仿宋" w:hAnsi="仿宋" w:eastAsia="仿宋"/>
          <w:b/>
          <w:color w:val="auto"/>
          <w:sz w:val="24"/>
          <w:highlight w:val="none"/>
        </w:rPr>
      </w:pPr>
      <w:r>
        <w:rPr>
          <w:rFonts w:ascii="仿宋" w:hAnsi="仿宋" w:eastAsia="仿宋"/>
          <w:b/>
          <w:color w:val="auto"/>
          <w:sz w:val="24"/>
          <w:highlight w:val="none"/>
        </w:rPr>
        <w:t>2</w:t>
      </w:r>
      <w:r>
        <w:rPr>
          <w:rFonts w:hint="eastAsia" w:ascii="仿宋" w:hAnsi="仿宋" w:eastAsia="仿宋"/>
          <w:b/>
          <w:color w:val="auto"/>
          <w:sz w:val="24"/>
          <w:highlight w:val="none"/>
        </w:rPr>
        <w:t>、后端存储升级扩容服务</w:t>
      </w:r>
    </w:p>
    <w:p w14:paraId="5439127E">
      <w:pPr>
        <w:pStyle w:val="257"/>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对应</w:t>
      </w:r>
      <w:r>
        <w:rPr>
          <w:rFonts w:ascii="仿宋" w:hAnsi="仿宋" w:eastAsia="仿宋"/>
          <w:color w:val="auto"/>
          <w:sz w:val="24"/>
          <w:highlight w:val="none"/>
        </w:rPr>
        <w:t>1559</w:t>
      </w:r>
      <w:r>
        <w:rPr>
          <w:rFonts w:hint="eastAsia" w:ascii="仿宋" w:hAnsi="仿宋" w:eastAsia="仿宋"/>
          <w:color w:val="auto"/>
          <w:sz w:val="24"/>
          <w:highlight w:val="none"/>
        </w:rPr>
        <w:t>路监控摄像机</w:t>
      </w:r>
      <w:r>
        <w:rPr>
          <w:rFonts w:ascii="仿宋" w:hAnsi="仿宋" w:eastAsia="仿宋"/>
          <w:color w:val="auto"/>
          <w:sz w:val="24"/>
          <w:highlight w:val="none"/>
        </w:rPr>
        <w:t>的前端建设目标，</w:t>
      </w:r>
      <w:r>
        <w:rPr>
          <w:rFonts w:hint="eastAsia" w:ascii="仿宋" w:hAnsi="仿宋" w:eastAsia="仿宋"/>
          <w:color w:val="auto"/>
          <w:sz w:val="24"/>
          <w:highlight w:val="none"/>
        </w:rPr>
        <w:t>扩容分局公安网现有视图数据云存储池，满足本次建设的双目结构化视频监控抓拍的大图</w:t>
      </w:r>
      <w:r>
        <w:rPr>
          <w:rFonts w:ascii="仿宋" w:hAnsi="仿宋" w:eastAsia="仿宋"/>
          <w:color w:val="auto"/>
          <w:sz w:val="24"/>
          <w:highlight w:val="none"/>
        </w:rPr>
        <w:t>180</w:t>
      </w:r>
      <w:r>
        <w:rPr>
          <w:rFonts w:hint="eastAsia" w:ascii="仿宋" w:hAnsi="仿宋" w:eastAsia="仿宋"/>
          <w:color w:val="auto"/>
          <w:sz w:val="24"/>
          <w:highlight w:val="none"/>
        </w:rPr>
        <w:t>天、小图</w:t>
      </w:r>
      <w:r>
        <w:rPr>
          <w:rFonts w:ascii="仿宋" w:hAnsi="仿宋" w:eastAsia="仿宋"/>
          <w:color w:val="auto"/>
          <w:sz w:val="24"/>
          <w:highlight w:val="none"/>
        </w:rPr>
        <w:t>730</w:t>
      </w:r>
      <w:r>
        <w:rPr>
          <w:rFonts w:hint="eastAsia" w:ascii="仿宋" w:hAnsi="仿宋" w:eastAsia="仿宋"/>
          <w:color w:val="auto"/>
          <w:sz w:val="24"/>
          <w:highlight w:val="none"/>
        </w:rPr>
        <w:t>天及结构化数据记录</w:t>
      </w:r>
      <w:r>
        <w:rPr>
          <w:rFonts w:ascii="仿宋" w:hAnsi="仿宋" w:eastAsia="仿宋"/>
          <w:color w:val="auto"/>
          <w:sz w:val="24"/>
          <w:highlight w:val="none"/>
        </w:rPr>
        <w:t>730</w:t>
      </w:r>
      <w:r>
        <w:rPr>
          <w:rFonts w:hint="eastAsia" w:ascii="仿宋" w:hAnsi="仿宋" w:eastAsia="仿宋"/>
          <w:color w:val="auto"/>
          <w:sz w:val="24"/>
          <w:highlight w:val="none"/>
        </w:rPr>
        <w:t>天的存储能力。</w:t>
      </w:r>
    </w:p>
    <w:p w14:paraId="15D81275">
      <w:pPr>
        <w:spacing w:line="360" w:lineRule="auto"/>
        <w:ind w:firstLine="422" w:firstLineChars="175"/>
        <w:rPr>
          <w:rFonts w:ascii="仿宋" w:hAnsi="仿宋" w:eastAsia="仿宋"/>
          <w:b/>
          <w:color w:val="auto"/>
          <w:sz w:val="24"/>
          <w:highlight w:val="none"/>
        </w:rPr>
      </w:pPr>
      <w:r>
        <w:rPr>
          <w:rFonts w:ascii="仿宋" w:hAnsi="仿宋" w:eastAsia="仿宋"/>
          <w:b/>
          <w:color w:val="auto"/>
          <w:sz w:val="24"/>
          <w:highlight w:val="none"/>
        </w:rPr>
        <w:t>3</w:t>
      </w:r>
      <w:r>
        <w:rPr>
          <w:rFonts w:hint="eastAsia" w:ascii="仿宋" w:hAnsi="仿宋" w:eastAsia="仿宋"/>
          <w:b/>
          <w:color w:val="auto"/>
          <w:sz w:val="24"/>
          <w:highlight w:val="none"/>
        </w:rPr>
        <w:t>、后端算法能力扩容服务</w:t>
      </w:r>
    </w:p>
    <w:p w14:paraId="45F8A132">
      <w:pPr>
        <w:pStyle w:val="257"/>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对应5</w:t>
      </w:r>
      <w:r>
        <w:rPr>
          <w:rFonts w:ascii="仿宋" w:hAnsi="仿宋" w:eastAsia="仿宋"/>
          <w:color w:val="auto"/>
          <w:sz w:val="24"/>
          <w:highlight w:val="none"/>
        </w:rPr>
        <w:t>4</w:t>
      </w:r>
      <w:r>
        <w:rPr>
          <w:rFonts w:hint="eastAsia" w:ascii="仿宋" w:hAnsi="仿宋" w:eastAsia="仿宋"/>
          <w:color w:val="auto"/>
          <w:sz w:val="24"/>
          <w:highlight w:val="none"/>
        </w:rPr>
        <w:t>路R</w:t>
      </w:r>
      <w:r>
        <w:rPr>
          <w:rFonts w:ascii="仿宋" w:hAnsi="仿宋" w:eastAsia="仿宋"/>
          <w:color w:val="auto"/>
          <w:sz w:val="24"/>
          <w:highlight w:val="none"/>
        </w:rPr>
        <w:t>L</w:t>
      </w:r>
      <w:r>
        <w:rPr>
          <w:rFonts w:hint="eastAsia" w:ascii="仿宋" w:hAnsi="仿宋" w:eastAsia="仿宋"/>
          <w:color w:val="auto"/>
          <w:sz w:val="24"/>
          <w:highlight w:val="none"/>
        </w:rPr>
        <w:t>监控摄像机和</w:t>
      </w:r>
      <w:r>
        <w:rPr>
          <w:rFonts w:ascii="仿宋" w:hAnsi="仿宋" w:eastAsia="仿宋"/>
          <w:color w:val="auto"/>
          <w:sz w:val="24"/>
          <w:highlight w:val="none"/>
        </w:rPr>
        <w:t>106路</w:t>
      </w:r>
      <w:r>
        <w:rPr>
          <w:rFonts w:hint="eastAsia" w:ascii="仿宋" w:hAnsi="仿宋" w:eastAsia="仿宋"/>
          <w:color w:val="auto"/>
          <w:sz w:val="24"/>
          <w:highlight w:val="none"/>
        </w:rPr>
        <w:t>双目视频监控摄像机</w:t>
      </w:r>
      <w:r>
        <w:rPr>
          <w:rFonts w:ascii="仿宋" w:hAnsi="仿宋" w:eastAsia="仿宋"/>
          <w:color w:val="auto"/>
          <w:sz w:val="24"/>
          <w:highlight w:val="none"/>
        </w:rPr>
        <w:t>的前端建设目标</w:t>
      </w:r>
      <w:r>
        <w:rPr>
          <w:rFonts w:hint="eastAsia" w:ascii="仿宋" w:hAnsi="仿宋" w:eastAsia="仿宋"/>
          <w:color w:val="auto"/>
          <w:sz w:val="24"/>
          <w:highlight w:val="none"/>
        </w:rPr>
        <w:t>，扩容分局现有中心算力池，</w:t>
      </w:r>
      <w:r>
        <w:rPr>
          <w:rFonts w:ascii="仿宋" w:hAnsi="仿宋" w:eastAsia="仿宋"/>
          <w:color w:val="auto"/>
          <w:sz w:val="24"/>
          <w:highlight w:val="none"/>
        </w:rPr>
        <w:t>保证</w:t>
      </w:r>
      <w:r>
        <w:rPr>
          <w:rFonts w:hint="eastAsia" w:ascii="仿宋" w:hAnsi="仿宋" w:eastAsia="仿宋"/>
          <w:color w:val="auto"/>
          <w:sz w:val="24"/>
          <w:highlight w:val="none"/>
        </w:rPr>
        <w:t>智能摄像机采集的图片不少于</w:t>
      </w:r>
      <w:r>
        <w:rPr>
          <w:rFonts w:ascii="仿宋" w:hAnsi="仿宋" w:eastAsia="仿宋"/>
          <w:color w:val="auto"/>
          <w:sz w:val="24"/>
          <w:highlight w:val="none"/>
        </w:rPr>
        <w:t>90</w:t>
      </w:r>
      <w:r>
        <w:rPr>
          <w:rFonts w:hint="eastAsia" w:ascii="仿宋" w:hAnsi="仿宋" w:eastAsia="仿宋"/>
          <w:color w:val="auto"/>
          <w:sz w:val="24"/>
          <w:highlight w:val="none"/>
        </w:rPr>
        <w:t>天</w:t>
      </w:r>
      <w:r>
        <w:rPr>
          <w:rFonts w:ascii="仿宋" w:hAnsi="仿宋" w:eastAsia="仿宋"/>
          <w:color w:val="auto"/>
          <w:sz w:val="24"/>
          <w:highlight w:val="none"/>
        </w:rPr>
        <w:t>的解析比对能力</w:t>
      </w:r>
      <w:r>
        <w:rPr>
          <w:rFonts w:hint="eastAsia" w:ascii="仿宋" w:hAnsi="仿宋" w:eastAsia="仿宋"/>
          <w:color w:val="auto"/>
          <w:sz w:val="24"/>
          <w:highlight w:val="none"/>
        </w:rPr>
        <w:t>。</w:t>
      </w:r>
    </w:p>
    <w:p w14:paraId="2884B2FB">
      <w:pPr>
        <w:pStyle w:val="257"/>
        <w:numPr>
          <w:ilvl w:val="0"/>
          <w:numId w:val="0"/>
        </w:numPr>
        <w:spacing w:line="360" w:lineRule="auto"/>
        <w:ind w:left="480" w:leftChars="0" w:hanging="480" w:firstLineChars="0"/>
        <w:rPr>
          <w:rFonts w:hint="default" w:ascii="仿宋" w:hAnsi="仿宋" w:eastAsia="仿宋"/>
          <w:color w:val="auto"/>
          <w:sz w:val="24"/>
          <w:highlight w:val="none"/>
          <w:lang w:val="en-US" w:eastAsia="zh-CN"/>
        </w:rPr>
      </w:pPr>
      <w:r>
        <w:rPr>
          <w:rFonts w:hint="default" w:ascii="仿宋" w:hAnsi="仿宋" w:eastAsia="仿宋" w:cstheme="minorBidi"/>
          <w:b/>
          <w:color w:val="auto"/>
          <w:kern w:val="2"/>
          <w:sz w:val="24"/>
          <w:szCs w:val="22"/>
          <w:highlight w:val="none"/>
          <w:lang w:val="en-US" w:eastAsia="zh-CN" w:bidi="ar-SA"/>
        </w:rPr>
        <w:t>四、</w:t>
      </w:r>
      <w:r>
        <w:rPr>
          <w:rFonts w:hint="eastAsia" w:ascii="仿宋" w:hAnsi="仿宋" w:eastAsia="仿宋"/>
          <w:b/>
          <w:color w:val="auto"/>
          <w:sz w:val="24"/>
          <w:highlight w:val="none"/>
        </w:rPr>
        <w:t>项目需求清单及</w:t>
      </w:r>
      <w:r>
        <w:rPr>
          <w:rFonts w:hint="eastAsia" w:ascii="仿宋" w:hAnsi="仿宋" w:eastAsia="仿宋"/>
          <w:b/>
          <w:color w:val="auto"/>
          <w:sz w:val="24"/>
          <w:highlight w:val="none"/>
          <w:lang w:val="en-US" w:eastAsia="zh-CN"/>
        </w:rPr>
        <w:t>技术参数要求</w:t>
      </w:r>
    </w:p>
    <w:tbl>
      <w:tblPr>
        <w:tblStyle w:val="62"/>
        <w:tblW w:w="50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07"/>
        <w:gridCol w:w="771"/>
        <w:gridCol w:w="6266"/>
        <w:gridCol w:w="433"/>
        <w:gridCol w:w="642"/>
      </w:tblGrid>
      <w:tr w14:paraId="25BF2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238" w:type="pct"/>
            <w:shd w:val="clear" w:color="auto" w:fill="auto"/>
            <w:vAlign w:val="center"/>
          </w:tcPr>
          <w:p w14:paraId="7F1A58C9">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序号</w:t>
            </w:r>
          </w:p>
        </w:tc>
        <w:tc>
          <w:tcPr>
            <w:tcW w:w="452" w:type="pct"/>
            <w:shd w:val="clear" w:color="auto" w:fill="auto"/>
            <w:vAlign w:val="center"/>
          </w:tcPr>
          <w:p w14:paraId="2B268062">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产品名称</w:t>
            </w:r>
          </w:p>
        </w:tc>
        <w:tc>
          <w:tcPr>
            <w:tcW w:w="3677" w:type="pct"/>
            <w:shd w:val="clear" w:color="auto" w:fill="auto"/>
            <w:vAlign w:val="center"/>
          </w:tcPr>
          <w:p w14:paraId="6A2D1BBC">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技术参数</w:t>
            </w:r>
          </w:p>
        </w:tc>
        <w:tc>
          <w:tcPr>
            <w:tcW w:w="254" w:type="pct"/>
            <w:shd w:val="clear" w:color="auto" w:fill="auto"/>
            <w:vAlign w:val="center"/>
          </w:tcPr>
          <w:p w14:paraId="1F37A090">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单位</w:t>
            </w:r>
          </w:p>
        </w:tc>
        <w:tc>
          <w:tcPr>
            <w:tcW w:w="376" w:type="pct"/>
            <w:shd w:val="clear" w:color="auto" w:fill="auto"/>
            <w:vAlign w:val="center"/>
          </w:tcPr>
          <w:p w14:paraId="047A2745">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数量</w:t>
            </w:r>
          </w:p>
        </w:tc>
      </w:tr>
      <w:tr w14:paraId="011D9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000" w:type="pct"/>
            <w:gridSpan w:val="5"/>
            <w:shd w:val="clear" w:color="auto" w:fill="auto"/>
            <w:vAlign w:val="center"/>
          </w:tcPr>
          <w:p w14:paraId="3D1D1FE7">
            <w:pPr>
              <w:widowControl/>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1、前端相机改造服务</w:t>
            </w:r>
          </w:p>
        </w:tc>
      </w:tr>
      <w:tr w14:paraId="42EEB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38" w:type="pct"/>
            <w:shd w:val="clear" w:color="auto" w:fill="auto"/>
            <w:vAlign w:val="center"/>
          </w:tcPr>
          <w:p w14:paraId="219E7BA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452" w:type="pct"/>
            <w:shd w:val="clear" w:color="auto" w:fill="auto"/>
            <w:vAlign w:val="center"/>
          </w:tcPr>
          <w:p w14:paraId="67E9E1F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400万球机</w:t>
            </w:r>
          </w:p>
        </w:tc>
        <w:tc>
          <w:tcPr>
            <w:tcW w:w="3677" w:type="pct"/>
            <w:shd w:val="clear" w:color="auto" w:fill="auto"/>
            <w:vAlign w:val="center"/>
          </w:tcPr>
          <w:p w14:paraId="7196EFF9">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全景细节都采用400万像素1/1.8英寸CMOS传感器；</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内置GPU芯片，支持深度学习算法；</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细节相机支持25倍光学变倍，16倍数字变倍；</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全景相机内置20米白光灯补光，细节相机内置100米红外灯补光；</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★全景摄像机和细节摄像机可分别对监控画面中出现的行人、机动车、非机动车进行检测和抓拍；（具备合法资质的第三方检测机构出具的检测报告复印件）</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设备支持RL属性识别功能，支持RL表情显示功能；</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支持绊线入侵、区域入侵、穿越围栏、徘徊、物品遗留、物品搬移、快速移动、停车、人员聚集检测；支持行为分析触发后联动抓图、录像、报警上传、发送邮件、辅助输出等多种报警触发方式；</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★支持自动调节全景摄像机和细节摄像机分别变倍和聚焦，并可以抓拍上传不同位置、不同倍率下的目标；（具备合法资质的第三方检测机构出具的检测报告复印件）</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全景相机：水平范围不少于0°～360°连续旋转、垂直范围不少于0°～30°；细节相机：水平范围不少于0°～300°，垂直范围不少于-5°～90；</w:t>
            </w:r>
          </w:p>
          <w:p w14:paraId="10DB5E9A">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可通过卡扣方式固定；</w:t>
            </w:r>
          </w:p>
          <w:p w14:paraId="616AAA06">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支持1路音频输入和1路音频输出；</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内置2路报警输入和1路报警输出，支持报警联动功能；</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支持IP67防护等级；</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配套横杆装支架；</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6米以上自建杆件需采用优质Q235钢板制作，内外表面热镀锌处理，外表面喷塑，管壁厚度不小于6MM；</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6米自建杆件杆件需采用优质Q235钢板制作，内外表面热镀锌处理，外表面喷塑，管壁厚度不小于5MM；</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6米以下自建杆件需采用优质Q235钢板制作，内外表面热镀锌处理，外表面喷塑，管壁厚度不小于4MM；</w:t>
            </w:r>
          </w:p>
        </w:tc>
        <w:tc>
          <w:tcPr>
            <w:tcW w:w="254" w:type="pct"/>
            <w:shd w:val="clear" w:color="auto" w:fill="auto"/>
            <w:vAlign w:val="center"/>
          </w:tcPr>
          <w:p w14:paraId="12F999E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376" w:type="pct"/>
            <w:shd w:val="clear" w:color="auto" w:fill="auto"/>
            <w:vAlign w:val="center"/>
          </w:tcPr>
          <w:p w14:paraId="7C75DC9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106</w:t>
            </w:r>
          </w:p>
        </w:tc>
      </w:tr>
      <w:tr w14:paraId="784D6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38" w:type="pct"/>
            <w:shd w:val="clear" w:color="auto" w:fill="auto"/>
            <w:vAlign w:val="center"/>
          </w:tcPr>
          <w:p w14:paraId="7B848D0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452" w:type="pct"/>
            <w:shd w:val="clear" w:color="auto" w:fill="auto"/>
            <w:vAlign w:val="center"/>
          </w:tcPr>
          <w:p w14:paraId="17035B0E">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400万枪机</w:t>
            </w:r>
          </w:p>
        </w:tc>
        <w:tc>
          <w:tcPr>
            <w:tcW w:w="3677" w:type="pct"/>
            <w:shd w:val="clear" w:color="auto" w:fill="auto"/>
            <w:vAlign w:val="center"/>
          </w:tcPr>
          <w:p w14:paraId="3C5C37B4">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采用400万像素1/1.8英寸CMOS传感器；</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设备抓拍图片分辨率(像素数)不小于2688×1520；</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★最低照度：≤0.0005lux（彩色模式），≤0.0001lux（黑白模式）；（具备合法资质的第三方检测机构出具的检测报告复印件）</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内置暖光补光灯，最大监控距离不少于40米；</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镜头光圈不小于F1.0；</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视场角不少于：水平：94°；垂直：50°；对角：113°；</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支持周界防范智能，绊线入侵，区域入侵；</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支持智能编码H.264，H.265；</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宽动态范围应不小于120dB；</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支持自适应镜头校正（图像矫正）；</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内置MIC；</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★支持自动调节画面中RL、RT目标以及环境景物的亮度、色彩饱和度、对比度、锐度；（具备合法资质的第三方检测机构出具的检测报告复印件）</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防护等级：IP67；</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配套横杆装支架；</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6米以上自建杆件需采用优质Q235钢板制作，内外表面热镀锌处理，外表面喷塑，管壁厚度不小于6MM；</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6米自建杆件杆件需采用优质Q235钢板制作，内外表面热镀锌处理，外表面喷塑，管壁厚度不小于5MM；</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6米以下自建杆件需采用优质Q235钢板制作，内外表面热镀锌处理，外表面喷塑，管壁厚度不小于4MM；</w:t>
            </w:r>
          </w:p>
        </w:tc>
        <w:tc>
          <w:tcPr>
            <w:tcW w:w="254" w:type="pct"/>
            <w:shd w:val="clear" w:color="auto" w:fill="auto"/>
            <w:vAlign w:val="center"/>
          </w:tcPr>
          <w:p w14:paraId="0CB1B12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376" w:type="pct"/>
            <w:shd w:val="clear" w:color="auto" w:fill="auto"/>
            <w:vAlign w:val="center"/>
          </w:tcPr>
          <w:p w14:paraId="02958E4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1399</w:t>
            </w:r>
          </w:p>
        </w:tc>
      </w:tr>
      <w:tr w14:paraId="6CA6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238" w:type="pct"/>
            <w:shd w:val="clear" w:color="auto" w:fill="auto"/>
            <w:vAlign w:val="center"/>
          </w:tcPr>
          <w:p w14:paraId="1F67766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452" w:type="pct"/>
            <w:shd w:val="clear" w:color="auto" w:fill="auto"/>
            <w:vAlign w:val="center"/>
          </w:tcPr>
          <w:p w14:paraId="58C61B7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RL抓拍机</w:t>
            </w:r>
          </w:p>
        </w:tc>
        <w:tc>
          <w:tcPr>
            <w:tcW w:w="3677" w:type="pct"/>
            <w:shd w:val="clear" w:color="auto" w:fill="auto"/>
            <w:vAlign w:val="center"/>
          </w:tcPr>
          <w:p w14:paraId="0F6EFCFA">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采用单个电动变焦镜头一体化设计，自带补光灯；</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采用不低于400万像素1/1.8英寸CMOS图像传感器；</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内置GPU芯片，支持深度学习算法；</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支持8mm-56mm可变焦距，支持不小于F1.2光圈；</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内置补光灯，每颗补光灯均有红外灯和暖光灯组成；</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最大支持输出分辨率2688×1520，支持五码流；</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支持六种智能资源切换：通用行为分析、RL检测、RL识别、视频结构化、人数统计、道路监控；</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支持声光报警联动，可触发联动声音警报和灯光闪烁；</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★环境照度不高于0.5lx时，可自动调节画面中RL、RT目标以及环境景物的亮度、色彩饱和度、对比度、锐度；（具备合法资质的第三方检测机构出具的检测报告复印件）</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内部硬件机芯均采用金属外壳包裹，有良好的散热性能；</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当RL、RT、车身、车牌目标在画面中横向运动时，因速度过快或环境亮度动态范围过大，导致画面出现拖影与重影现象时，可通过软件消除RL、RT、车身、车牌目标横向拖影与重影现象，并自动调节画面亮度、锐度；（具备合法资质的第三方检测机构出具的检测报告复印件）</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★具有智能除雾功能，可自动去除前盖玻璃水状和雾状附着物；（具备合法资质的第三方检测机构出具的检测报告复印件）</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★具有定位设置选项，并能够在监控画面叠加设备所在位置的经纬度信息；（具备合法资质的第三方检测机构出具的检测报告复印件）</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支持报警3进2出，双MIC，扬声器；</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支持DC12V/AC24V/POE三合一供电方式，支持12V电源返送；</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支持IP67防护等级；</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配套横杆装支架；</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6米以上自建杆件需采用优质Q235钢板制作，内外表面热镀锌处理，外表面喷塑，管壁厚度不小于6MM；</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6米自建杆件杆件需采用优质Q235钢板制作，内外表面热镀锌处理，外表面喷塑，管壁厚度不小于5MM；</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6米以下自建杆件需采用优质Q235钢板制作，内外表面热镀锌处理，外表面喷塑，管壁厚度不小于4MM；</w:t>
            </w:r>
          </w:p>
        </w:tc>
        <w:tc>
          <w:tcPr>
            <w:tcW w:w="254" w:type="pct"/>
            <w:shd w:val="clear" w:color="auto" w:fill="auto"/>
            <w:vAlign w:val="center"/>
          </w:tcPr>
          <w:p w14:paraId="093AC01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376" w:type="pct"/>
            <w:shd w:val="clear" w:color="auto" w:fill="auto"/>
            <w:vAlign w:val="center"/>
          </w:tcPr>
          <w:p w14:paraId="4818CB0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54</w:t>
            </w:r>
          </w:p>
        </w:tc>
      </w:tr>
      <w:tr w14:paraId="14A5E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238" w:type="pct"/>
            <w:shd w:val="clear" w:color="auto" w:fill="auto"/>
            <w:noWrap/>
            <w:vAlign w:val="center"/>
          </w:tcPr>
          <w:p w14:paraId="1C31D5A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452" w:type="pct"/>
            <w:shd w:val="clear" w:color="auto" w:fill="auto"/>
            <w:noWrap/>
            <w:vAlign w:val="center"/>
          </w:tcPr>
          <w:p w14:paraId="2AC0961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全通道录像存储服务</w:t>
            </w:r>
          </w:p>
        </w:tc>
        <w:tc>
          <w:tcPr>
            <w:tcW w:w="3677" w:type="pct"/>
            <w:shd w:val="clear" w:color="auto" w:fill="auto"/>
            <w:vAlign w:val="center"/>
          </w:tcPr>
          <w:p w14:paraId="359D54A8">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运营商提供IDC机房机柜空间、核心网络、服务器、流媒体转发、注册管理、故障诊断等平台接入服务（双通道设备按两路计算，全通道主码流存储不少于30天存储）</w:t>
            </w:r>
          </w:p>
        </w:tc>
        <w:tc>
          <w:tcPr>
            <w:tcW w:w="254" w:type="pct"/>
            <w:shd w:val="clear" w:color="auto" w:fill="auto"/>
            <w:noWrap/>
            <w:vAlign w:val="center"/>
          </w:tcPr>
          <w:p w14:paraId="1DD107E0">
            <w:pPr>
              <w:widowControl/>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项</w:t>
            </w:r>
          </w:p>
        </w:tc>
        <w:tc>
          <w:tcPr>
            <w:tcW w:w="376" w:type="pct"/>
            <w:shd w:val="clear" w:color="auto" w:fill="auto"/>
            <w:noWrap/>
            <w:vAlign w:val="center"/>
          </w:tcPr>
          <w:p w14:paraId="2F0C5718">
            <w:pPr>
              <w:widowControl/>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1</w:t>
            </w:r>
          </w:p>
        </w:tc>
      </w:tr>
      <w:tr w14:paraId="53A5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000" w:type="pct"/>
            <w:gridSpan w:val="5"/>
            <w:shd w:val="clear" w:color="auto" w:fill="auto"/>
            <w:vAlign w:val="center"/>
          </w:tcPr>
          <w:p w14:paraId="7BA38784">
            <w:pPr>
              <w:widowControl/>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2、后端存储升级扩容服务</w:t>
            </w:r>
          </w:p>
        </w:tc>
      </w:tr>
      <w:tr w14:paraId="3839D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238" w:type="pct"/>
            <w:shd w:val="clear" w:color="auto" w:fill="auto"/>
            <w:vAlign w:val="center"/>
          </w:tcPr>
          <w:p w14:paraId="36D9E4CE">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452" w:type="pct"/>
            <w:shd w:val="clear" w:color="auto" w:fill="auto"/>
            <w:vAlign w:val="center"/>
          </w:tcPr>
          <w:p w14:paraId="190CB65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云存储数据存储节点</w:t>
            </w:r>
          </w:p>
        </w:tc>
        <w:tc>
          <w:tcPr>
            <w:tcW w:w="3677" w:type="pct"/>
            <w:shd w:val="clear" w:color="auto" w:fill="auto"/>
            <w:vAlign w:val="center"/>
          </w:tcPr>
          <w:p w14:paraId="2DEF7CCE">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卡口设备接入模块：支持RL设备接入以及结构化数据接入；</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图片存储模块：支持图片的基础存储业务，包括图片计划配置管理；</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主处理器：配置不少于2颗24核国产处理器；</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高速缓存：不低于32GB内存的配置；</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电源冗余：1+1冗余电源；支持热插拔；</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功耗：不大于800W（含硬盘）；</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网络接口：不少于4个千兆口，不少于4个万兆口（含万兆光模块）；</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硬盘个数：标配不低于内置1块4TSATA企业级硬盘；1块480G企业级固态硬盘，36块20TB机械硬盘；</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同一套存量云存储系统架构支持持续异构节点扩容，同一套集群中支持多种异构存储节点，异构存储节点同时支持36/48盘位；同时支持多种不同硬盘大小节点，不同硬盘容量大小应包括6T/8T/16T/20T；（具备合法资质的第三方检测机构出具的检测报告复印件）</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★云存储集群支持网络异常监测，包括支持监测网卡丢包、流量瞬时波峰数、网络重连数、ping大包丢失、网络超时数；（具备合法资质的第三方检测机构出具的检测报告复印件）</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云存储系统支持全自动数据校验和数据恢复功能；</w:t>
            </w:r>
          </w:p>
        </w:tc>
        <w:tc>
          <w:tcPr>
            <w:tcW w:w="254" w:type="pct"/>
            <w:shd w:val="clear" w:color="auto" w:fill="auto"/>
            <w:vAlign w:val="center"/>
          </w:tcPr>
          <w:p w14:paraId="7266449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376" w:type="pct"/>
            <w:shd w:val="clear" w:color="auto" w:fill="auto"/>
            <w:vAlign w:val="center"/>
          </w:tcPr>
          <w:p w14:paraId="5D6B95F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r>
      <w:tr w14:paraId="0868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238" w:type="pct"/>
            <w:shd w:val="clear" w:color="auto" w:fill="auto"/>
            <w:vAlign w:val="center"/>
          </w:tcPr>
          <w:p w14:paraId="6ED3DB4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452" w:type="pct"/>
            <w:shd w:val="clear" w:color="auto" w:fill="auto"/>
            <w:noWrap/>
            <w:vAlign w:val="center"/>
          </w:tcPr>
          <w:p w14:paraId="7556452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云数据库</w:t>
            </w:r>
          </w:p>
        </w:tc>
        <w:tc>
          <w:tcPr>
            <w:tcW w:w="3677" w:type="pct"/>
            <w:shd w:val="clear" w:color="auto" w:fill="auto"/>
            <w:vAlign w:val="center"/>
          </w:tcPr>
          <w:p w14:paraId="1412EE09">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处理器：配置不少于2颗32核国产处理器；</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内存：不低于128GB内存配置；</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硬盘：480GSSD不少于3块，2THDD不少于2块；</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网口：万兆口不少于2个（含光模块）；</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电源：1+1冗余电源；</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数据库存储数据量管理功能：支持对所有节点存储数据量资源的统一管理，支持集群存储数据量动态扩容;</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数据库存储数据量回收功能：支持数据删除后回收存储数据量；</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★支持多种业务数据存储在同一云数据库集群中，集群数据均衡；（具备合法资质的第三方检测机构出具的检测报告复印件）</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★支持集群环境到集群环境的数据迁移；（具备合法资质的第三方检测机构出具的检测报告复印件）</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支持配置巡检计划进行自动巡检;巡检项包括：数据量超过默认规格、预计使用天数、冷盘挂载情况、过期数据情况、ES组件运行详情、查询服务异常日志检测、各服务运行情况、系统负载情况；</w:t>
            </w:r>
          </w:p>
        </w:tc>
        <w:tc>
          <w:tcPr>
            <w:tcW w:w="254" w:type="pct"/>
            <w:shd w:val="clear" w:color="auto" w:fill="auto"/>
            <w:vAlign w:val="center"/>
          </w:tcPr>
          <w:p w14:paraId="5F9500E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376" w:type="pct"/>
            <w:shd w:val="clear" w:color="auto" w:fill="auto"/>
            <w:vAlign w:val="center"/>
          </w:tcPr>
          <w:p w14:paraId="6D63AC3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r>
      <w:tr w14:paraId="3AF1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238" w:type="pct"/>
            <w:shd w:val="clear" w:color="auto" w:fill="auto"/>
            <w:vAlign w:val="center"/>
          </w:tcPr>
          <w:p w14:paraId="2D11CBB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452" w:type="pct"/>
            <w:shd w:val="clear" w:color="auto" w:fill="auto"/>
            <w:vAlign w:val="center"/>
          </w:tcPr>
          <w:p w14:paraId="3DB830C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视频图像信息库网关</w:t>
            </w:r>
          </w:p>
        </w:tc>
        <w:tc>
          <w:tcPr>
            <w:tcW w:w="3677" w:type="pct"/>
            <w:shd w:val="clear" w:color="auto" w:fill="auto"/>
            <w:vAlign w:val="center"/>
          </w:tcPr>
          <w:p w14:paraId="5766BC4C">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CPU：配置不少于2颗24核国产处理器；</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内存：不低于64GB内存的配置；</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硬盘：不少于2块4TBSATA硬盘；</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网口：不少于2个万兆网口（含光模块）；</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SSD：480G×2；</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支持按公安部GA/T1400标准协议接口接入物联感知数据，实现物联感知数据统一汇聚整合；</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支持按公安部GA/T1400标准协议接口分发级联物联感知数据共享给上级视图库，实现物联感知数据统一汇聚整合；</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支持上级视图库、应用平台向视图库进行视图对象属性组合查询、以图搜图、布控告警，支持对应跨级查询、跨级以图搜图、跨级布控告警和跨级订阅通知；</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支持以采集接口上报方式向上级视图库上报推送视图库对象数据；</w:t>
            </w:r>
          </w:p>
          <w:p w14:paraId="04856BFE">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性能规格不低于200条/s（一大图（500K）+一小图（50K））或2000条/s（一小图（50K））或8000条/s（无图（5K））；</w:t>
            </w:r>
          </w:p>
        </w:tc>
        <w:tc>
          <w:tcPr>
            <w:tcW w:w="254" w:type="pct"/>
            <w:shd w:val="clear" w:color="auto" w:fill="auto"/>
            <w:vAlign w:val="center"/>
          </w:tcPr>
          <w:p w14:paraId="6ACF0F6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376" w:type="pct"/>
            <w:shd w:val="clear" w:color="auto" w:fill="auto"/>
            <w:vAlign w:val="center"/>
          </w:tcPr>
          <w:p w14:paraId="70B4055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r>
      <w:tr w14:paraId="140E6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5000" w:type="pct"/>
            <w:gridSpan w:val="5"/>
            <w:shd w:val="clear" w:color="auto" w:fill="auto"/>
            <w:vAlign w:val="center"/>
          </w:tcPr>
          <w:p w14:paraId="68A4EEBD">
            <w:pPr>
              <w:widowControl/>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3、后端算法能力扩容服务</w:t>
            </w:r>
          </w:p>
        </w:tc>
      </w:tr>
      <w:tr w14:paraId="323D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238" w:type="pct"/>
            <w:shd w:val="clear" w:color="auto" w:fill="auto"/>
            <w:vAlign w:val="center"/>
          </w:tcPr>
          <w:p w14:paraId="7B1A871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452" w:type="pct"/>
            <w:shd w:val="clear" w:color="auto" w:fill="auto"/>
            <w:vAlign w:val="center"/>
          </w:tcPr>
          <w:p w14:paraId="606BABD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全感知智能服务器</w:t>
            </w:r>
          </w:p>
        </w:tc>
        <w:tc>
          <w:tcPr>
            <w:tcW w:w="3677" w:type="pct"/>
            <w:shd w:val="clear" w:color="auto" w:fill="auto"/>
            <w:vAlign w:val="center"/>
          </w:tcPr>
          <w:p w14:paraId="543FF59A">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CPU：≥2颗国产处理器，不低于24核2.6GHz的配置能力；</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内存：不少于128GB内存配置；</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硬盘：系统盘不少于2块480GSSD，数据盘不少于4块4T；</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算力卡：配置6张国产GPU计算卡；</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电源：支持1+1冗余；</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支持对图片流的RL目标检测和建模；</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支持集群；</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支持基于纯感知数据，挖掘同现、伴随、同乘、同小区同现、同办公场所同现等人人客观关系，频繁夜间同现、频繁工作日同现、频繁伴随等人人频繁关系，认识、朋友、祖孙、夫妻、同事、同学等人人推断关系；</w:t>
            </w:r>
          </w:p>
          <w:p w14:paraId="1E2D8785">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★支持基于纯感知数据，挖掘出副驾和主驾人车关系类型；（具备合法资质的第三方检测机构出具的检测报告复印件）</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支持基于纯感知数据，挖掘人员、车辆、场所之间的关系，形成三大类实体之间关联关系；支持通过姓名、身份证、人员ID、车牌号、场所名称等搜索实体关系；（具备合法资质的第三方检测机构出具的检测报告复印件）</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支持通过图片、实体属性、时空条件、关键字等查询人、车、场所等目标实体；支持通过关系类型、时空条件、标签等追踪与目标实体相关联的实体；支持将追踪到的关系实体重新作为目标实体输入，再次追踪与之相关联的实体；</w:t>
            </w:r>
          </w:p>
        </w:tc>
        <w:tc>
          <w:tcPr>
            <w:tcW w:w="254" w:type="pct"/>
            <w:shd w:val="clear" w:color="auto" w:fill="auto"/>
            <w:vAlign w:val="center"/>
          </w:tcPr>
          <w:p w14:paraId="684EE97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台</w:t>
            </w:r>
          </w:p>
        </w:tc>
        <w:tc>
          <w:tcPr>
            <w:tcW w:w="376" w:type="pct"/>
            <w:shd w:val="clear" w:color="auto" w:fill="auto"/>
            <w:vAlign w:val="center"/>
          </w:tcPr>
          <w:p w14:paraId="5560BDD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r>
    </w:tbl>
    <w:p w14:paraId="24036DF4">
      <w:pPr>
        <w:spacing w:line="340" w:lineRule="exact"/>
        <w:ind w:firstLine="422"/>
        <w:rPr>
          <w:rFonts w:ascii="仿宋" w:hAnsi="仿宋" w:eastAsia="仿宋" w:cs="仿宋"/>
          <w:b/>
          <w:bCs/>
          <w:color w:val="auto"/>
          <w:highlight w:val="none"/>
        </w:rPr>
      </w:pPr>
      <w:r>
        <w:rPr>
          <w:rFonts w:hint="eastAsia" w:ascii="仿宋" w:hAnsi="仿宋" w:eastAsia="仿宋" w:cs="仿宋"/>
          <w:b/>
          <w:bCs/>
          <w:color w:val="auto"/>
          <w:highlight w:val="none"/>
        </w:rPr>
        <w:t>备注：</w:t>
      </w:r>
    </w:p>
    <w:p w14:paraId="321309DA">
      <w:pPr>
        <w:spacing w:line="340" w:lineRule="exact"/>
        <w:ind w:firstLine="422"/>
        <w:rPr>
          <w:rFonts w:ascii="仿宋" w:hAnsi="仿宋" w:eastAsia="仿宋" w:cs="仿宋"/>
          <w:b/>
          <w:bCs/>
          <w:color w:val="auto"/>
          <w:highlight w:val="none"/>
        </w:rPr>
      </w:pPr>
      <w:r>
        <w:rPr>
          <w:rFonts w:hint="eastAsia" w:ascii="仿宋" w:hAnsi="仿宋" w:eastAsia="仿宋" w:cs="仿宋"/>
          <w:b/>
          <w:bCs/>
          <w:color w:val="auto"/>
          <w:highlight w:val="none"/>
        </w:rPr>
        <w:t>1.投标人所投产品的技术参数不应低于本项目的技术要求和档次。上述技术要求如出现某类品牌型号特有的技术指标或性能，仅供投标人参考，不作为实质性响应条款。</w:t>
      </w:r>
    </w:p>
    <w:p w14:paraId="18D87F43">
      <w:pPr>
        <w:spacing w:line="340" w:lineRule="exact"/>
        <w:ind w:firstLine="422"/>
        <w:rPr>
          <w:rFonts w:ascii="仿宋" w:hAnsi="仿宋" w:eastAsia="仿宋" w:cs="仿宋"/>
          <w:b/>
          <w:bCs/>
          <w:color w:val="auto"/>
          <w:highlight w:val="none"/>
        </w:rPr>
      </w:pPr>
      <w:r>
        <w:rPr>
          <w:rFonts w:hint="eastAsia" w:ascii="仿宋" w:hAnsi="仿宋" w:eastAsia="仿宋" w:cs="仿宋"/>
          <w:b/>
          <w:bCs/>
          <w:color w:val="auto"/>
          <w:highlight w:val="none"/>
        </w:rPr>
        <w:t>2.供应商的响应文件应该真实、全面、完整。包括设备功能说明、性能指标及设备选型，明确设备、材料的具体品牌、型号和数量，符合采购文件的要求。</w:t>
      </w:r>
    </w:p>
    <w:p w14:paraId="4485D185">
      <w:pPr>
        <w:spacing w:line="340" w:lineRule="exact"/>
        <w:ind w:firstLine="422"/>
        <w:rPr>
          <w:rFonts w:ascii="仿宋" w:hAnsi="仿宋" w:eastAsia="仿宋" w:cs="仿宋"/>
          <w:b/>
          <w:bCs/>
          <w:color w:val="auto"/>
          <w:highlight w:val="none"/>
        </w:rPr>
      </w:pPr>
      <w:r>
        <w:rPr>
          <w:rFonts w:hint="eastAsia" w:ascii="仿宋" w:hAnsi="仿宋" w:eastAsia="仿宋" w:cs="仿宋"/>
          <w:b/>
          <w:bCs/>
          <w:color w:val="auto"/>
          <w:highlight w:val="none"/>
        </w:rPr>
        <w:t>3.响应文件不仅应包括招标文件所要求提供的技术条款上所标明的材料，还应包括任何未明确标出的，但全套产品安装后保证正常安全运行所不可缺少的配件及附件。其中全部材料应说明名称、型号、数量、单价、总价、制造商等。投标人按要求应列入而未列入材料清单的货物及材料，均认为已含在其货物材料清单中。</w:t>
      </w:r>
    </w:p>
    <w:p w14:paraId="0E02692E">
      <w:pPr>
        <w:spacing w:line="340" w:lineRule="exact"/>
        <w:ind w:firstLine="422"/>
        <w:rPr>
          <w:rFonts w:ascii="仿宋" w:hAnsi="仿宋" w:eastAsia="仿宋" w:cs="仿宋"/>
          <w:b/>
          <w:bCs/>
          <w:color w:val="auto"/>
          <w:highlight w:val="none"/>
        </w:rPr>
      </w:pPr>
      <w:r>
        <w:rPr>
          <w:rFonts w:hint="eastAsia" w:ascii="仿宋" w:hAnsi="仿宋" w:eastAsia="仿宋" w:cs="仿宋"/>
          <w:b/>
          <w:bCs/>
          <w:color w:val="auto"/>
          <w:highlight w:val="none"/>
        </w:rPr>
        <w:t>◆特别提示：</w:t>
      </w:r>
    </w:p>
    <w:p w14:paraId="48719DC5">
      <w:pPr>
        <w:spacing w:line="340" w:lineRule="exact"/>
        <w:ind w:firstLine="422"/>
        <w:rPr>
          <w:color w:val="auto"/>
          <w:highlight w:val="none"/>
        </w:rPr>
      </w:pPr>
      <w:r>
        <w:rPr>
          <w:rFonts w:hint="eastAsia" w:ascii="仿宋" w:hAnsi="仿宋" w:eastAsia="仿宋" w:cs="仿宋"/>
          <w:b/>
          <w:bCs/>
          <w:color w:val="auto"/>
          <w:highlight w:val="none"/>
        </w:rPr>
        <w:t>投标人须保证所提供产品具有合法的版权或使用权，本项目采购的产品，如在本项目范围内使用过程中出现版权或使用权纠纷，应由中标人负责，采购人和采购代理机构不承担任何责任。</w:t>
      </w:r>
    </w:p>
    <w:p w14:paraId="1A6C5EFE">
      <w:pPr>
        <w:spacing w:line="340" w:lineRule="exact"/>
        <w:ind w:firstLine="482"/>
        <w:rPr>
          <w:rFonts w:ascii="仿宋" w:hAnsi="仿宋" w:eastAsia="仿宋" w:cs="仿宋"/>
          <w:b/>
          <w:bCs/>
          <w:color w:val="auto"/>
          <w:sz w:val="24"/>
          <w:highlight w:val="none"/>
        </w:rPr>
      </w:pPr>
      <w:r>
        <w:rPr>
          <w:rFonts w:hint="eastAsia" w:ascii="仿宋" w:hAnsi="仿宋" w:eastAsia="仿宋" w:cs="仿宋"/>
          <w:b/>
          <w:bCs/>
          <w:color w:val="auto"/>
          <w:sz w:val="24"/>
          <w:highlight w:val="none"/>
        </w:rPr>
        <w:t>五、项目总体要求</w:t>
      </w:r>
    </w:p>
    <w:p w14:paraId="0A38DE98">
      <w:pPr>
        <w:spacing w:line="3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本项目要求中标供应商根据采购人的要求，在指定点位自行完成所有前端点位及配套设施的新建后交付采购人使用，合同服务期限三年。合同期间，中标供应商须同时提供所有前端点位图像、视频、数据的采集以及存储和接入服务，产生的所有图像、视频存储、采集数据所有权归采购人所有。</w:t>
      </w:r>
    </w:p>
    <w:p w14:paraId="63B47C80">
      <w:pPr>
        <w:spacing w:line="3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2.本项目涉及的所有前端点位及配套系统全部由中标供应商自行完成建设，并负责实施全部配套的运维管理，所有前端点位及配套设施产权归中标供应商所有。</w:t>
      </w:r>
    </w:p>
    <w:p w14:paraId="56F769BE">
      <w:pPr>
        <w:spacing w:line="3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3.本项目改建后的前端视频监控要求接入杭州市公安局上城区分局现有视频监控平台，产生的R</w:t>
      </w:r>
      <w:r>
        <w:rPr>
          <w:rFonts w:ascii="仿宋" w:hAnsi="仿宋" w:eastAsia="仿宋" w:cs="仿宋"/>
          <w:color w:val="auto"/>
          <w:sz w:val="24"/>
          <w:highlight w:val="none"/>
        </w:rPr>
        <w:t>L</w:t>
      </w:r>
      <w:r>
        <w:rPr>
          <w:rFonts w:hint="eastAsia" w:ascii="仿宋" w:hAnsi="仿宋" w:eastAsia="仿宋" w:cs="仿宋"/>
          <w:color w:val="auto"/>
          <w:sz w:val="24"/>
          <w:highlight w:val="none"/>
        </w:rPr>
        <w:t>抓拍数据要求无缝接入杭州市公安局上城区分局R</w:t>
      </w:r>
      <w:r>
        <w:rPr>
          <w:rFonts w:ascii="仿宋" w:hAnsi="仿宋" w:eastAsia="仿宋" w:cs="仿宋"/>
          <w:color w:val="auto"/>
          <w:sz w:val="24"/>
          <w:highlight w:val="none"/>
        </w:rPr>
        <w:t>X</w:t>
      </w:r>
      <w:r>
        <w:rPr>
          <w:rFonts w:hint="eastAsia" w:ascii="仿宋" w:hAnsi="仿宋" w:eastAsia="仿宋" w:cs="仿宋"/>
          <w:color w:val="auto"/>
          <w:sz w:val="24"/>
          <w:highlight w:val="none"/>
        </w:rPr>
        <w:t>识别系统，实现统一识别、比对、布防。</w:t>
      </w:r>
    </w:p>
    <w:p w14:paraId="2027F151">
      <w:pPr>
        <w:spacing w:line="3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4.所有的前端点位必须统一编号，须对所有点位进行GPS定位坐标采集，并在监控应用平台中实现地图系统可视化标注，充分利用已有城市公共杆件、网络和设备等基础资源，推进“一杆多采、一机多用、一机多能、一机多摄”建设，提升集约建设水平。</w:t>
      </w:r>
    </w:p>
    <w:p w14:paraId="2C2C3703">
      <w:pPr>
        <w:spacing w:line="3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5.中标供应商应充分考虑采购人对图像和视频数据服务的高质量要求，充分考虑未来发展需要，选择先进、可靠、符合规范的设备完成项目建设，以确保合同期内能稳定提供高标准、高质量的图像和视频采集、处理服务。</w:t>
      </w:r>
    </w:p>
    <w:p w14:paraId="0D67C361">
      <w:pPr>
        <w:spacing w:line="3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6.合同期内，如某些点位的软硬件水平无法满足采购需求，中标供应商必须无条件、及时进行更新、改造，所需费用由中标供应商自行承担，此项规定所涉及的报价风险请供应商在投标时予以考虑。</w:t>
      </w:r>
    </w:p>
    <w:p w14:paraId="5E6FD7CC">
      <w:pPr>
        <w:spacing w:line="340" w:lineRule="exact"/>
        <w:ind w:firstLine="482"/>
        <w:rPr>
          <w:rFonts w:ascii="仿宋" w:hAnsi="仿宋" w:eastAsia="仿宋" w:cs="仿宋"/>
          <w:b/>
          <w:bCs/>
          <w:color w:val="auto"/>
          <w:sz w:val="24"/>
          <w:highlight w:val="none"/>
        </w:rPr>
      </w:pPr>
      <w:r>
        <w:rPr>
          <w:rFonts w:hint="eastAsia" w:ascii="仿宋" w:hAnsi="仿宋" w:eastAsia="仿宋" w:cs="仿宋"/>
          <w:b/>
          <w:bCs/>
          <w:color w:val="auto"/>
          <w:sz w:val="24"/>
          <w:highlight w:val="none"/>
        </w:rPr>
        <w:t>六、项目服务要求</w:t>
      </w:r>
    </w:p>
    <w:p w14:paraId="6F63F6C2">
      <w:pPr>
        <w:spacing w:line="3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1.投标人提供租赁的前端部分所需的光纤线路、网络资源以及配套设施由中标供应商负责并维护，如在“项目需求清单”中未列明的，由中标供应商自行补齐，所有费用由中标供应商承担。</w:t>
      </w:r>
    </w:p>
    <w:p w14:paraId="007E4DC0">
      <w:pPr>
        <w:spacing w:line="3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2.在合同服务期内，投标人提供租赁的前端部分内所有设备的维护、淘汰、更新、质保服务均由中标供应商自行负责，中标供应商须确保系统的正常运行和网络线路的通畅。</w:t>
      </w:r>
    </w:p>
    <w:p w14:paraId="19BC6387">
      <w:pPr>
        <w:spacing w:line="3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3.服务开通后，中标供应商须提供7×24小时服务，接到采购人需求电话后1小时内做出明确响应和安排。在服务期内，单个点位发生重大故障，需要48小时内排除故障；若无法在48小时内修复的，要给出下一步合理解决方案，且征得采购人同意。</w:t>
      </w:r>
    </w:p>
    <w:p w14:paraId="697AD28A">
      <w:pPr>
        <w:spacing w:line="3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4.在合同服务期内，单个点位故障不在线时间连续或30天内间断出现累计时间不得超过72小时，单个点位故障时间由采购人根据视频监控运维中心数据及单点录像缺失情况综合评定。</w:t>
      </w:r>
    </w:p>
    <w:p w14:paraId="60A91B0F">
      <w:pPr>
        <w:spacing w:line="3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5.在合同服务期内，定期针对每个前端点位进行一次实地巡检，并建立相应台账。巡检过程中，应检查前端杆件、设备箱等基础设施的完好程度及整洁卫生情况，同时要重点检查前端设备是否有树枝、树叶或其他遮挡物遮挡的情况，发现情况及时记录并联系相关部门清除，对已脏污前端设备进行清洗。</w:t>
      </w:r>
    </w:p>
    <w:p w14:paraId="77AC0B3C">
      <w:pPr>
        <w:spacing w:line="3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6.中标供应商要保证采购人的服务正常运行，如因网络割接、系统升级、线路调整等原因必须中断服务，中标供应商需提前通知采购人。</w:t>
      </w:r>
    </w:p>
    <w:p w14:paraId="46FC96B6">
      <w:pPr>
        <w:spacing w:line="3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7.人员驻场运维职责：1、项目运维；2、应急响应；3、其他工作内容。提供不少于1人次的驻场运维服务，服务时间三年。</w:t>
      </w:r>
    </w:p>
    <w:p w14:paraId="4F5B77A6">
      <w:pPr>
        <w:spacing w:line="3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8.保密要求：</w:t>
      </w:r>
    </w:p>
    <w:p w14:paraId="386182E7">
      <w:pPr>
        <w:spacing w:line="3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8.1采购人对中标人及工作人员开展常态化安全保密教育，组织签订安全保密承诺书，明确具体安全管理内容、安全保密义务和责任；</w:t>
      </w:r>
    </w:p>
    <w:p w14:paraId="2DDF68E1">
      <w:pPr>
        <w:spacing w:line="3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8.2中标人及工作人员违反安全管理要求，构成违法犯罪的，采购人将及时报送本级政府采购和市场监督管理部门，提请列入政府采购严重违法失信行为记录名单、市场监督管理严重失信名单，并追究相关责任。</w:t>
      </w:r>
    </w:p>
    <w:p w14:paraId="7597CD83">
      <w:pPr>
        <w:spacing w:line="3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9.应急服务要求</w:t>
      </w:r>
    </w:p>
    <w:p w14:paraId="561CC1D4">
      <w:pPr>
        <w:spacing w:line="3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投标人应制定全面合理的应急服务响应方案，包括预防和预警机制、运维应急、应急处置、故障处理、善后处置、监督管理等内容。</w:t>
      </w:r>
    </w:p>
    <w:p w14:paraId="04FD3C59">
      <w:pPr>
        <w:spacing w:line="3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10.培训要求</w:t>
      </w:r>
    </w:p>
    <w:p w14:paraId="6570D454">
      <w:pPr>
        <w:spacing w:line="3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投标人应制定全面合理的培训方案，包括培训目的、培训对象和形式、培训计划、培训内容等内容。</w:t>
      </w:r>
    </w:p>
    <w:p w14:paraId="7CD68E50">
      <w:pPr>
        <w:spacing w:line="3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11.系统维护要求</w:t>
      </w:r>
    </w:p>
    <w:p w14:paraId="565A1A6E">
      <w:pPr>
        <w:spacing w:line="3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11.1服务人员需提供及时优质的服务，保障视频监控各项基本功能正常运行（即时浏览、云台控制、R</w:t>
      </w:r>
      <w:r>
        <w:rPr>
          <w:rFonts w:ascii="仿宋" w:hAnsi="仿宋" w:eastAsia="仿宋" w:cs="仿宋"/>
          <w:color w:val="auto"/>
          <w:sz w:val="24"/>
          <w:highlight w:val="none"/>
        </w:rPr>
        <w:t>L</w:t>
      </w:r>
      <w:r>
        <w:rPr>
          <w:rFonts w:hint="eastAsia" w:ascii="仿宋" w:hAnsi="仿宋" w:eastAsia="仿宋" w:cs="仿宋"/>
          <w:color w:val="auto"/>
          <w:sz w:val="24"/>
          <w:highlight w:val="none"/>
        </w:rPr>
        <w:t>图片检索、录像回放调取），并负责故障的全程处理。中标人提供7×24小时热线电话服务，并确定专人协调处理。</w:t>
      </w:r>
    </w:p>
    <w:p w14:paraId="248DC230">
      <w:pPr>
        <w:spacing w:line="3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11.2服务人员需提供专业的排障系统平台，发现业务点发生故障或由采购人提出申告时，服务人员需做到：</w:t>
      </w:r>
    </w:p>
    <w:p w14:paraId="48202B9C">
      <w:pPr>
        <w:spacing w:line="3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——如遇系统平台、光纤链路、前端设备等故障时，需在36小时内修复，直至该业务点恢复为止。</w:t>
      </w:r>
    </w:p>
    <w:p w14:paraId="262009BD">
      <w:pPr>
        <w:spacing w:line="3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——如遇电力问题造成业务点无法正常使用时，需在8小时内书面或邮件告知采购人故障原因，并在36小时内修复，直至该业务点恢复为止。</w:t>
      </w:r>
    </w:p>
    <w:p w14:paraId="0CAFDB7F">
      <w:pPr>
        <w:spacing w:line="3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11.3服务人员运维保障工作依托于自身排障系统平台进行开展，最终服务质量需结合采购人建设的视频质量诊断平台产生的诊断结果，并在此基础上每月提供详细的故障及扣费情况。</w:t>
      </w:r>
    </w:p>
    <w:p w14:paraId="3C2D79D4">
      <w:pPr>
        <w:spacing w:line="3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12.项目施工要求</w:t>
      </w:r>
    </w:p>
    <w:p w14:paraId="3846BEDB">
      <w:pPr>
        <w:spacing w:line="3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12.1服务人员应对电力设施、网络基础设施的施工提出要求，并在施工期间由技术人员到现场给予技术支持。</w:t>
      </w:r>
    </w:p>
    <w:p w14:paraId="7924BB37">
      <w:pPr>
        <w:spacing w:line="3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12.2在系统设计时，考虑杭州地区的气候条件，对场外设备应考虑防潮、防雾，金属设备和器件具有较强的防腐蚀能力。</w:t>
      </w:r>
    </w:p>
    <w:p w14:paraId="376DE97B">
      <w:pPr>
        <w:spacing w:line="3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12.3如有涉及开挖审批、接电等工作的，由服务方负责，采购人协助，费用计入投标报价。</w:t>
      </w:r>
    </w:p>
    <w:p w14:paraId="6763B419">
      <w:pPr>
        <w:spacing w:line="3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13.其他服务要求</w:t>
      </w:r>
    </w:p>
    <w:p w14:paraId="0FE9979C">
      <w:pPr>
        <w:spacing w:line="3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13.1提供系统月巡检服务，确保每台服务器在稳定的工作；出现异常情况应在36小时内解决。</w:t>
      </w:r>
    </w:p>
    <w:p w14:paraId="44B192A0">
      <w:pPr>
        <w:spacing w:line="3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13.2每个季度对整个系统进行现场抽检一次和摄像机镜头清洁一次，遇重大活动和重要保障任务时，接公安局通知时应立即进行巡检和清洁，对系统存在的潜在安全或故障隐患进行分析并提出相应的解决方案加以排除。</w:t>
      </w:r>
    </w:p>
    <w:p w14:paraId="6F1598F3">
      <w:pPr>
        <w:spacing w:line="3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13.3针对本项目中的所有设备，中标方需在备件库中有高于或等同于本项目设备型号或系列的备品备件，对无法及时修复的故障先免费更换；备品储备量需达到本项目设备的2%。</w:t>
      </w:r>
    </w:p>
    <w:p w14:paraId="3C6B0DDE">
      <w:pPr>
        <w:spacing w:line="3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13.4租用期内，中标方应免费提供设备软件升级服务，在网络和设备扩容及软件升级时，需派技术人员到场免费实施或指导。</w:t>
      </w:r>
    </w:p>
    <w:p w14:paraId="6C1F347F">
      <w:pPr>
        <w:spacing w:line="3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13.5服务方应提供系统所有故障排除服务，确保系统进行实时、有效的视频探测、视频监视，图像显示、记录与回放。</w:t>
      </w:r>
    </w:p>
    <w:p w14:paraId="4E6F8218">
      <w:pPr>
        <w:spacing w:line="3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13.6设备安装、调试结束后，中标方应立即派有经验的工程师对采购方人员进行操作和日常管理的培训，并确保采购方参与培训的人员能独立、熟练地进行操作。</w:t>
      </w:r>
    </w:p>
    <w:p w14:paraId="1D6AAB16">
      <w:pPr>
        <w:spacing w:line="340" w:lineRule="exact"/>
        <w:ind w:firstLine="482"/>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商务需求</w:t>
      </w:r>
      <w:r>
        <w:rPr>
          <w:rFonts w:hint="eastAsia" w:ascii="仿宋" w:hAnsi="仿宋" w:eastAsia="仿宋" w:cs="仿宋"/>
          <w:b/>
          <w:bCs/>
          <w:color w:val="auto"/>
          <w:sz w:val="24"/>
          <w:highlight w:val="none"/>
          <w:lang w:val="en-US" w:eastAsia="zh-CN"/>
        </w:rPr>
        <w:t>表</w:t>
      </w:r>
    </w:p>
    <w:tbl>
      <w:tblPr>
        <w:tblStyle w:val="62"/>
        <w:tblW w:w="8472" w:type="dxa"/>
        <w:tblInd w:w="0" w:type="dxa"/>
        <w:tblBorders>
          <w:top w:val="thinThickSmallGap" w:color="000000" w:themeColor="text1" w:sz="12" w:space="0"/>
          <w:left w:val="thinThickSmallGap" w:color="000000" w:themeColor="text1" w:sz="12" w:space="0"/>
          <w:bottom w:val="thinThickSmallGap" w:color="000000" w:themeColor="text1" w:sz="12" w:space="0"/>
          <w:right w:val="thinThickSmallGap" w:color="000000" w:themeColor="text1" w:sz="12" w:space="0"/>
          <w:insideH w:val="thinThickSmallGap" w:color="000000" w:themeColor="text1" w:sz="12" w:space="0"/>
          <w:insideV w:val="thinThickSmallGap" w:color="000000" w:themeColor="text1" w:sz="12" w:space="0"/>
        </w:tblBorders>
        <w:shd w:val="clear" w:color="auto" w:fill="auto"/>
        <w:tblLayout w:type="fixed"/>
        <w:tblCellMar>
          <w:top w:w="0" w:type="dxa"/>
          <w:left w:w="108" w:type="dxa"/>
          <w:bottom w:w="0" w:type="dxa"/>
          <w:right w:w="108" w:type="dxa"/>
        </w:tblCellMar>
      </w:tblPr>
      <w:tblGrid>
        <w:gridCol w:w="620"/>
        <w:gridCol w:w="1531"/>
        <w:gridCol w:w="6321"/>
      </w:tblGrid>
      <w:tr w14:paraId="5AE392D8">
        <w:tblPrEx>
          <w:tblBorders>
            <w:top w:val="thinThickSmallGap" w:color="000000" w:themeColor="text1" w:sz="12" w:space="0"/>
            <w:left w:val="thinThickSmallGap" w:color="000000" w:themeColor="text1" w:sz="12" w:space="0"/>
            <w:bottom w:val="thinThickSmallGap" w:color="000000" w:themeColor="text1" w:sz="12" w:space="0"/>
            <w:right w:val="thinThickSmallGap" w:color="000000" w:themeColor="text1" w:sz="12" w:space="0"/>
            <w:insideH w:val="thinThickSmallGap" w:color="000000" w:themeColor="text1" w:sz="12" w:space="0"/>
            <w:insideV w:val="thinThickSmallGap" w:color="000000" w:themeColor="text1" w:sz="12" w:space="0"/>
          </w:tblBorders>
          <w:shd w:val="clear" w:color="auto" w:fill="auto"/>
          <w:tblCellMar>
            <w:top w:w="0" w:type="dxa"/>
            <w:left w:w="108" w:type="dxa"/>
            <w:bottom w:w="0" w:type="dxa"/>
            <w:right w:w="108" w:type="dxa"/>
          </w:tblCellMar>
        </w:tblPrEx>
        <w:trPr>
          <w:trHeight w:val="454" w:hRule="atLeast"/>
          <w:tblHeader/>
        </w:trPr>
        <w:tc>
          <w:tcPr>
            <w:tcW w:w="620" w:type="dxa"/>
            <w:tcBorders>
              <w:tl2br w:val="nil"/>
              <w:tr2bl w:val="nil"/>
            </w:tcBorders>
            <w:shd w:val="clear" w:color="auto" w:fill="auto"/>
            <w:vAlign w:val="center"/>
          </w:tcPr>
          <w:p w14:paraId="3DE5549B">
            <w:pPr>
              <w:spacing w:line="400" w:lineRule="exact"/>
              <w:jc w:val="center"/>
              <w:rPr>
                <w:rFonts w:ascii="仿宋" w:hAnsi="仿宋" w:eastAsia="仿宋" w:cs="Arial"/>
                <w:b/>
                <w:color w:val="auto"/>
                <w:sz w:val="24"/>
                <w:highlight w:val="none"/>
              </w:rPr>
            </w:pPr>
            <w:r>
              <w:rPr>
                <w:rFonts w:ascii="仿宋" w:hAnsi="仿宋" w:eastAsia="仿宋" w:cs="Arial"/>
                <w:b/>
                <w:color w:val="auto"/>
                <w:sz w:val="24"/>
                <w:highlight w:val="none"/>
              </w:rPr>
              <w:t>序号</w:t>
            </w:r>
          </w:p>
        </w:tc>
        <w:tc>
          <w:tcPr>
            <w:tcW w:w="1531" w:type="dxa"/>
            <w:tcBorders>
              <w:tl2br w:val="nil"/>
              <w:tr2bl w:val="nil"/>
            </w:tcBorders>
            <w:shd w:val="clear" w:color="auto" w:fill="auto"/>
            <w:vAlign w:val="center"/>
          </w:tcPr>
          <w:p w14:paraId="5A46CBC0">
            <w:pPr>
              <w:spacing w:line="400" w:lineRule="exact"/>
              <w:jc w:val="center"/>
              <w:rPr>
                <w:rFonts w:ascii="仿宋" w:hAnsi="仿宋" w:eastAsia="仿宋" w:cs="Arial"/>
                <w:b/>
                <w:color w:val="auto"/>
                <w:sz w:val="24"/>
                <w:highlight w:val="none"/>
              </w:rPr>
            </w:pPr>
            <w:r>
              <w:rPr>
                <w:rFonts w:ascii="仿宋" w:hAnsi="仿宋" w:eastAsia="仿宋" w:cs="Arial"/>
                <w:b/>
                <w:color w:val="auto"/>
                <w:sz w:val="24"/>
                <w:highlight w:val="none"/>
              </w:rPr>
              <w:t>内容</w:t>
            </w:r>
          </w:p>
        </w:tc>
        <w:tc>
          <w:tcPr>
            <w:tcW w:w="6321" w:type="dxa"/>
            <w:tcBorders>
              <w:tl2br w:val="nil"/>
              <w:tr2bl w:val="nil"/>
            </w:tcBorders>
            <w:shd w:val="clear" w:color="auto" w:fill="auto"/>
            <w:vAlign w:val="center"/>
          </w:tcPr>
          <w:p w14:paraId="4FD0F9DD">
            <w:pPr>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lang w:val="en-US" w:eastAsia="zh-CN"/>
              </w:rPr>
              <w:t>具体</w:t>
            </w:r>
            <w:r>
              <w:rPr>
                <w:rFonts w:ascii="仿宋" w:hAnsi="仿宋" w:eastAsia="仿宋"/>
                <w:b/>
                <w:color w:val="auto"/>
                <w:sz w:val="24"/>
                <w:highlight w:val="none"/>
              </w:rPr>
              <w:t>要求</w:t>
            </w:r>
          </w:p>
        </w:tc>
      </w:tr>
      <w:tr w14:paraId="4E7E340D">
        <w:tblPrEx>
          <w:tblBorders>
            <w:top w:val="thinThickSmallGap" w:color="000000" w:themeColor="text1" w:sz="12" w:space="0"/>
            <w:left w:val="thinThickSmallGap" w:color="000000" w:themeColor="text1" w:sz="12" w:space="0"/>
            <w:bottom w:val="thinThickSmallGap" w:color="000000" w:themeColor="text1" w:sz="12" w:space="0"/>
            <w:right w:val="thinThickSmallGap" w:color="000000" w:themeColor="text1" w:sz="12" w:space="0"/>
            <w:insideH w:val="thinThickSmallGap" w:color="000000" w:themeColor="text1" w:sz="12" w:space="0"/>
            <w:insideV w:val="thinThickSmallGap" w:color="000000" w:themeColor="text1" w:sz="12" w:space="0"/>
          </w:tblBorders>
          <w:shd w:val="clear" w:color="auto" w:fill="auto"/>
          <w:tblCellMar>
            <w:top w:w="0" w:type="dxa"/>
            <w:left w:w="108" w:type="dxa"/>
            <w:bottom w:w="0" w:type="dxa"/>
            <w:right w:w="108" w:type="dxa"/>
          </w:tblCellMar>
        </w:tblPrEx>
        <w:trPr>
          <w:trHeight w:val="454" w:hRule="atLeast"/>
        </w:trPr>
        <w:tc>
          <w:tcPr>
            <w:tcW w:w="620" w:type="dxa"/>
            <w:tcBorders>
              <w:tl2br w:val="nil"/>
              <w:tr2bl w:val="nil"/>
            </w:tcBorders>
            <w:shd w:val="clear" w:color="auto" w:fill="auto"/>
            <w:vAlign w:val="center"/>
          </w:tcPr>
          <w:p w14:paraId="07D782F3">
            <w:pPr>
              <w:spacing w:line="400" w:lineRule="exact"/>
              <w:jc w:val="center"/>
              <w:rPr>
                <w:rFonts w:ascii="仿宋" w:hAnsi="仿宋" w:eastAsia="仿宋" w:cs="Arial"/>
                <w:color w:val="auto"/>
                <w:sz w:val="24"/>
                <w:highlight w:val="none"/>
              </w:rPr>
            </w:pPr>
            <w:r>
              <w:rPr>
                <w:rFonts w:hint="eastAsia" w:ascii="仿宋" w:hAnsi="仿宋" w:eastAsia="仿宋" w:cs="Arial"/>
                <w:color w:val="auto"/>
                <w:sz w:val="24"/>
                <w:highlight w:val="none"/>
              </w:rPr>
              <w:t>1</w:t>
            </w:r>
          </w:p>
        </w:tc>
        <w:tc>
          <w:tcPr>
            <w:tcW w:w="1531" w:type="dxa"/>
            <w:tcBorders>
              <w:tl2br w:val="nil"/>
              <w:tr2bl w:val="nil"/>
            </w:tcBorders>
            <w:shd w:val="clear" w:color="auto" w:fill="auto"/>
            <w:vAlign w:val="center"/>
          </w:tcPr>
          <w:p w14:paraId="58CDE478">
            <w:pPr>
              <w:snapToGrid w:val="0"/>
              <w:spacing w:line="340" w:lineRule="exact"/>
              <w:jc w:val="center"/>
              <w:rPr>
                <w:rFonts w:hint="default" w:ascii="仿宋" w:hAnsi="仿宋" w:eastAsia="仿宋" w:cs="Arial"/>
                <w:color w:val="auto"/>
                <w:sz w:val="24"/>
                <w:highlight w:val="none"/>
                <w:lang w:val="en-US" w:eastAsia="zh-CN"/>
              </w:rPr>
            </w:pPr>
            <w:r>
              <w:rPr>
                <w:rFonts w:ascii="仿宋" w:hAnsi="仿宋" w:eastAsia="仿宋" w:cs="Arial"/>
                <w:color w:val="auto"/>
                <w:sz w:val="24"/>
                <w:highlight w:val="none"/>
              </w:rPr>
              <w:t>▲</w:t>
            </w:r>
            <w:r>
              <w:rPr>
                <w:rFonts w:ascii="仿宋" w:hAnsi="仿宋" w:eastAsia="仿宋" w:cs="Arial"/>
                <w:b/>
                <w:color w:val="auto"/>
                <w:sz w:val="24"/>
                <w:highlight w:val="none"/>
              </w:rPr>
              <w:t>投标</w:t>
            </w:r>
            <w:r>
              <w:rPr>
                <w:rFonts w:hint="eastAsia" w:ascii="仿宋" w:hAnsi="仿宋" w:eastAsia="仿宋" w:cs="Arial"/>
                <w:b/>
                <w:color w:val="auto"/>
                <w:sz w:val="24"/>
                <w:highlight w:val="none"/>
              </w:rPr>
              <w:t>报价</w:t>
            </w:r>
          </w:p>
        </w:tc>
        <w:tc>
          <w:tcPr>
            <w:tcW w:w="6321" w:type="dxa"/>
            <w:tcBorders>
              <w:tl2br w:val="nil"/>
              <w:tr2bl w:val="nil"/>
            </w:tcBorders>
            <w:shd w:val="clear" w:color="auto" w:fill="auto"/>
            <w:vAlign w:val="center"/>
          </w:tcPr>
          <w:p w14:paraId="099A55A4">
            <w:pPr>
              <w:snapToGrid w:val="0"/>
              <w:spacing w:line="340" w:lineRule="exact"/>
              <w:ind w:firstLine="482"/>
              <w:jc w:val="left"/>
              <w:rPr>
                <w:rFonts w:ascii="仿宋" w:hAnsi="仿宋" w:eastAsia="仿宋" w:cs="Arial"/>
                <w:b/>
                <w:color w:val="auto"/>
                <w:sz w:val="24"/>
                <w:highlight w:val="none"/>
              </w:rPr>
            </w:pPr>
            <w:r>
              <w:rPr>
                <w:rFonts w:hint="eastAsia" w:ascii="仿宋" w:hAnsi="仿宋" w:eastAsia="仿宋" w:cs="Arial"/>
                <w:b/>
                <w:color w:val="auto"/>
                <w:sz w:val="24"/>
                <w:highlight w:val="none"/>
              </w:rPr>
              <w:t>1.1投标人应考虑企业自身实力、经验及项目实施过程中的各种因素，根据采购要求，详细说明所能提供的各项具体服务内容，自主确定报价，并按服务的内容分别独立报价并提供报价组成与成本分析。</w:t>
            </w:r>
          </w:p>
          <w:p w14:paraId="3D5315DB">
            <w:pPr>
              <w:snapToGrid w:val="0"/>
              <w:spacing w:line="340" w:lineRule="exact"/>
              <w:ind w:firstLine="482"/>
              <w:jc w:val="left"/>
              <w:rPr>
                <w:rFonts w:ascii="仿宋" w:hAnsi="仿宋" w:eastAsia="仿宋" w:cs="Arial"/>
                <w:b/>
                <w:color w:val="auto"/>
                <w:sz w:val="24"/>
                <w:highlight w:val="none"/>
              </w:rPr>
            </w:pPr>
            <w:r>
              <w:rPr>
                <w:rFonts w:hint="eastAsia" w:ascii="仿宋" w:hAnsi="仿宋" w:eastAsia="仿宋" w:cs="Arial"/>
                <w:b/>
                <w:color w:val="auto"/>
                <w:sz w:val="24"/>
                <w:highlight w:val="none"/>
              </w:rPr>
              <w:t>1.2投标人的报价应包括为完成本项目服务可能发生的全部费用及投标人的利润和应交纳的税金等（包括工资、人员福利津贴、交通工具费用、各种社会保险、人员食宿与交通、办公费、管理费、后勤保障政策性文件规定、招标代理费、有关部门的验收费及合同包含的所有风险、责任、税费、合理利润、提供交通工具和装备等各项全部费用）。投标人对合同内容的费用、质量、安全、文明服务等实行全面承包。</w:t>
            </w:r>
          </w:p>
          <w:p w14:paraId="79A6C015">
            <w:pPr>
              <w:snapToGrid w:val="0"/>
              <w:spacing w:line="340" w:lineRule="exact"/>
              <w:ind w:firstLine="482"/>
              <w:jc w:val="left"/>
              <w:rPr>
                <w:rFonts w:ascii="仿宋" w:hAnsi="仿宋" w:eastAsia="仿宋" w:cs="Arial"/>
                <w:b/>
                <w:color w:val="auto"/>
                <w:sz w:val="24"/>
                <w:highlight w:val="none"/>
              </w:rPr>
            </w:pPr>
            <w:r>
              <w:rPr>
                <w:rFonts w:hint="eastAsia" w:ascii="仿宋" w:hAnsi="仿宋" w:eastAsia="仿宋" w:cs="Arial"/>
                <w:b/>
                <w:color w:val="auto"/>
                <w:sz w:val="24"/>
                <w:highlight w:val="none"/>
              </w:rPr>
              <w:t>1.3中标单位须按相关规定给相关服务人员发放高温补贴、购买人身意外险等。</w:t>
            </w:r>
          </w:p>
          <w:p w14:paraId="7F412E79">
            <w:pPr>
              <w:snapToGrid w:val="0"/>
              <w:spacing w:line="340" w:lineRule="exact"/>
              <w:ind w:firstLine="482" w:firstLineChars="0"/>
              <w:jc w:val="left"/>
              <w:rPr>
                <w:rFonts w:hint="eastAsia" w:ascii="仿宋" w:hAnsi="仿宋" w:eastAsia="仿宋" w:cs="Arial"/>
                <w:color w:val="auto"/>
                <w:sz w:val="24"/>
                <w:highlight w:val="none"/>
              </w:rPr>
            </w:pPr>
            <w:r>
              <w:rPr>
                <w:rFonts w:hint="eastAsia" w:ascii="仿宋" w:hAnsi="仿宋" w:eastAsia="仿宋" w:cs="Arial"/>
                <w:b/>
                <w:color w:val="auto"/>
                <w:sz w:val="24"/>
                <w:highlight w:val="none"/>
              </w:rPr>
              <w:t>1.4如采购文件中遗漏了必须具备的设备、配件或服务，请投标人在投标文件中指出，并提出解决方案供采购单位、采购机构参考；中标人有义务保证采购单位系统的完整性，如项目实施过程中因缺少设备、配件或服务导致采购单位系统无法正常运行，中标人须承诺免费提供。</w:t>
            </w:r>
          </w:p>
        </w:tc>
      </w:tr>
      <w:tr w14:paraId="4A89A823">
        <w:tblPrEx>
          <w:tblBorders>
            <w:top w:val="thinThickSmallGap" w:color="000000" w:themeColor="text1" w:sz="12" w:space="0"/>
            <w:left w:val="thinThickSmallGap" w:color="000000" w:themeColor="text1" w:sz="12" w:space="0"/>
            <w:bottom w:val="thinThickSmallGap" w:color="000000" w:themeColor="text1" w:sz="12" w:space="0"/>
            <w:right w:val="thinThickSmallGap" w:color="000000" w:themeColor="text1" w:sz="12" w:space="0"/>
            <w:insideH w:val="thinThickSmallGap" w:color="000000" w:themeColor="text1" w:sz="12" w:space="0"/>
            <w:insideV w:val="thinThickSmallGap" w:color="000000" w:themeColor="text1" w:sz="12" w:space="0"/>
          </w:tblBorders>
          <w:shd w:val="clear" w:color="auto" w:fill="auto"/>
          <w:tblCellMar>
            <w:top w:w="0" w:type="dxa"/>
            <w:left w:w="108" w:type="dxa"/>
            <w:bottom w:w="0" w:type="dxa"/>
            <w:right w:w="108" w:type="dxa"/>
          </w:tblCellMar>
        </w:tblPrEx>
        <w:trPr>
          <w:trHeight w:val="454" w:hRule="atLeast"/>
        </w:trPr>
        <w:tc>
          <w:tcPr>
            <w:tcW w:w="620" w:type="dxa"/>
            <w:tcBorders>
              <w:tl2br w:val="nil"/>
              <w:tr2bl w:val="nil"/>
            </w:tcBorders>
            <w:shd w:val="clear" w:color="auto" w:fill="auto"/>
            <w:vAlign w:val="center"/>
          </w:tcPr>
          <w:p w14:paraId="42DAEE7E">
            <w:pPr>
              <w:spacing w:line="400" w:lineRule="exact"/>
              <w:jc w:val="center"/>
              <w:rPr>
                <w:rFonts w:hint="eastAsia" w:ascii="仿宋" w:hAnsi="仿宋" w:eastAsia="仿宋" w:cs="Arial"/>
                <w:color w:val="auto"/>
                <w:sz w:val="24"/>
                <w:highlight w:val="none"/>
                <w:lang w:eastAsia="zh-CN"/>
              </w:rPr>
            </w:pPr>
            <w:r>
              <w:rPr>
                <w:rFonts w:hint="eastAsia" w:ascii="仿宋" w:hAnsi="仿宋" w:eastAsia="仿宋" w:cs="Arial"/>
                <w:color w:val="auto"/>
                <w:sz w:val="24"/>
                <w:highlight w:val="none"/>
                <w:lang w:val="en-US" w:eastAsia="zh-CN"/>
              </w:rPr>
              <w:t>2</w:t>
            </w:r>
          </w:p>
        </w:tc>
        <w:tc>
          <w:tcPr>
            <w:tcW w:w="1531" w:type="dxa"/>
            <w:tcBorders>
              <w:tl2br w:val="nil"/>
              <w:tr2bl w:val="nil"/>
            </w:tcBorders>
            <w:shd w:val="clear" w:color="auto" w:fill="auto"/>
            <w:vAlign w:val="center"/>
          </w:tcPr>
          <w:p w14:paraId="2EB81E15">
            <w:pPr>
              <w:spacing w:line="400" w:lineRule="exact"/>
              <w:jc w:val="center"/>
              <w:rPr>
                <w:rFonts w:hint="eastAsia"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项目实施时间</w:t>
            </w:r>
          </w:p>
        </w:tc>
        <w:tc>
          <w:tcPr>
            <w:tcW w:w="6321" w:type="dxa"/>
            <w:tcBorders>
              <w:tl2br w:val="nil"/>
              <w:tr2bl w:val="nil"/>
            </w:tcBorders>
            <w:shd w:val="clear" w:color="auto" w:fill="auto"/>
            <w:vAlign w:val="center"/>
          </w:tcPr>
          <w:p w14:paraId="6C820430">
            <w:pPr>
              <w:spacing w:line="400" w:lineRule="exact"/>
              <w:jc w:val="left"/>
              <w:rPr>
                <w:rFonts w:hint="eastAsia" w:ascii="仿宋" w:hAnsi="仿宋" w:eastAsia="仿宋" w:cs="Arial"/>
                <w:color w:val="auto"/>
                <w:sz w:val="24"/>
                <w:highlight w:val="none"/>
              </w:rPr>
            </w:pPr>
            <w:r>
              <w:rPr>
                <w:rFonts w:hint="eastAsia" w:ascii="仿宋" w:hAnsi="仿宋" w:eastAsia="仿宋" w:cs="Arial"/>
                <w:color w:val="auto"/>
                <w:sz w:val="24"/>
                <w:highlight w:val="none"/>
              </w:rPr>
              <w:t>经采购人确认满足实施条件并</w:t>
            </w:r>
            <w:r>
              <w:rPr>
                <w:rFonts w:hint="eastAsia" w:ascii="仿宋" w:hAnsi="仿宋" w:eastAsia="仿宋" w:cs="Arial"/>
                <w:color w:val="auto"/>
                <w:sz w:val="24"/>
                <w:highlight w:val="none"/>
                <w:lang w:val="en-US" w:eastAsia="zh-CN"/>
              </w:rPr>
              <w:t>收到</w:t>
            </w:r>
            <w:r>
              <w:rPr>
                <w:rFonts w:hint="eastAsia" w:ascii="仿宋" w:hAnsi="仿宋" w:eastAsia="仿宋" w:cs="Arial"/>
                <w:color w:val="auto"/>
                <w:sz w:val="24"/>
                <w:highlight w:val="none"/>
              </w:rPr>
              <w:t>通知</w:t>
            </w:r>
            <w:r>
              <w:rPr>
                <w:rFonts w:hint="eastAsia" w:ascii="仿宋" w:hAnsi="仿宋" w:eastAsia="仿宋" w:cs="Arial"/>
                <w:color w:val="auto"/>
                <w:sz w:val="24"/>
                <w:highlight w:val="none"/>
                <w:lang w:val="en-US" w:eastAsia="zh-CN"/>
              </w:rPr>
              <w:t>后180</w:t>
            </w:r>
            <w:r>
              <w:rPr>
                <w:rFonts w:hint="eastAsia" w:ascii="仿宋" w:hAnsi="仿宋" w:eastAsia="仿宋" w:cs="Arial"/>
                <w:color w:val="auto"/>
                <w:sz w:val="24"/>
                <w:highlight w:val="none"/>
              </w:rPr>
              <w:t>天内完成系统建设，并通过“系统交付使用前验收”正式交付采购人使用，开始提供服务。</w:t>
            </w:r>
          </w:p>
        </w:tc>
      </w:tr>
      <w:tr w14:paraId="7F125C5A">
        <w:tblPrEx>
          <w:tblBorders>
            <w:top w:val="thinThickSmallGap" w:color="000000" w:themeColor="text1" w:sz="12" w:space="0"/>
            <w:left w:val="thinThickSmallGap" w:color="000000" w:themeColor="text1" w:sz="12" w:space="0"/>
            <w:bottom w:val="thinThickSmallGap" w:color="000000" w:themeColor="text1" w:sz="12" w:space="0"/>
            <w:right w:val="thinThickSmallGap" w:color="000000" w:themeColor="text1" w:sz="12" w:space="0"/>
            <w:insideH w:val="thinThickSmallGap" w:color="000000" w:themeColor="text1" w:sz="12" w:space="0"/>
            <w:insideV w:val="thinThickSmallGap" w:color="000000" w:themeColor="text1" w:sz="12" w:space="0"/>
          </w:tblBorders>
          <w:shd w:val="clear" w:color="auto" w:fill="auto"/>
          <w:tblCellMar>
            <w:top w:w="0" w:type="dxa"/>
            <w:left w:w="108" w:type="dxa"/>
            <w:bottom w:w="0" w:type="dxa"/>
            <w:right w:w="108" w:type="dxa"/>
          </w:tblCellMar>
        </w:tblPrEx>
        <w:trPr>
          <w:trHeight w:val="454" w:hRule="atLeast"/>
        </w:trPr>
        <w:tc>
          <w:tcPr>
            <w:tcW w:w="620" w:type="dxa"/>
            <w:tcBorders>
              <w:tl2br w:val="nil"/>
              <w:tr2bl w:val="nil"/>
            </w:tcBorders>
            <w:shd w:val="clear" w:color="auto" w:fill="auto"/>
            <w:vAlign w:val="center"/>
          </w:tcPr>
          <w:p w14:paraId="38E3F495">
            <w:pPr>
              <w:spacing w:line="400" w:lineRule="exact"/>
              <w:jc w:val="center"/>
              <w:rPr>
                <w:rFonts w:hint="eastAsia" w:ascii="仿宋" w:hAnsi="仿宋" w:eastAsia="仿宋" w:cs="Arial"/>
                <w:color w:val="auto"/>
                <w:sz w:val="24"/>
                <w:highlight w:val="none"/>
                <w:lang w:eastAsia="zh-CN"/>
              </w:rPr>
            </w:pPr>
            <w:r>
              <w:rPr>
                <w:rFonts w:hint="eastAsia" w:ascii="仿宋" w:hAnsi="仿宋" w:eastAsia="仿宋" w:cs="Arial"/>
                <w:color w:val="auto"/>
                <w:sz w:val="24"/>
                <w:highlight w:val="none"/>
                <w:lang w:val="en-US" w:eastAsia="zh-CN"/>
              </w:rPr>
              <w:t>3</w:t>
            </w:r>
          </w:p>
        </w:tc>
        <w:tc>
          <w:tcPr>
            <w:tcW w:w="1531" w:type="dxa"/>
            <w:tcBorders>
              <w:tl2br w:val="nil"/>
              <w:tr2bl w:val="nil"/>
            </w:tcBorders>
            <w:shd w:val="clear" w:color="auto" w:fill="auto"/>
            <w:vAlign w:val="center"/>
          </w:tcPr>
          <w:p w14:paraId="26AF835C">
            <w:pPr>
              <w:spacing w:line="400" w:lineRule="exact"/>
              <w:jc w:val="center"/>
              <w:rPr>
                <w:rFonts w:ascii="仿宋" w:hAnsi="仿宋" w:eastAsia="仿宋" w:cs="Arial"/>
                <w:color w:val="auto"/>
                <w:sz w:val="24"/>
                <w:highlight w:val="none"/>
              </w:rPr>
            </w:pPr>
            <w:r>
              <w:rPr>
                <w:rFonts w:hint="eastAsia" w:ascii="仿宋" w:hAnsi="仿宋" w:eastAsia="仿宋" w:cs="Arial"/>
                <w:color w:val="auto"/>
                <w:sz w:val="24"/>
                <w:highlight w:val="none"/>
              </w:rPr>
              <w:t>交付地点</w:t>
            </w:r>
          </w:p>
        </w:tc>
        <w:tc>
          <w:tcPr>
            <w:tcW w:w="6321" w:type="dxa"/>
            <w:tcBorders>
              <w:tl2br w:val="nil"/>
              <w:tr2bl w:val="nil"/>
            </w:tcBorders>
            <w:shd w:val="clear" w:color="auto" w:fill="auto"/>
            <w:vAlign w:val="center"/>
          </w:tcPr>
          <w:p w14:paraId="599A28CC">
            <w:pPr>
              <w:spacing w:line="400" w:lineRule="exact"/>
              <w:jc w:val="left"/>
              <w:rPr>
                <w:rFonts w:ascii="仿宋" w:hAnsi="仿宋" w:eastAsia="仿宋" w:cs="Arial"/>
                <w:color w:val="auto"/>
                <w:sz w:val="24"/>
                <w:highlight w:val="none"/>
              </w:rPr>
            </w:pPr>
            <w:r>
              <w:rPr>
                <w:rFonts w:hint="eastAsia" w:ascii="仿宋" w:hAnsi="仿宋" w:eastAsia="仿宋" w:cs="Arial"/>
                <w:color w:val="auto"/>
                <w:sz w:val="24"/>
                <w:highlight w:val="none"/>
                <w:lang w:val="en-US" w:eastAsia="zh-CN"/>
              </w:rPr>
              <w:t>杭州市公安局上城区分局辖区内</w:t>
            </w:r>
            <w:r>
              <w:rPr>
                <w:rFonts w:hint="eastAsia" w:ascii="仿宋" w:hAnsi="仿宋" w:eastAsia="仿宋" w:cs="Arial"/>
                <w:color w:val="auto"/>
                <w:sz w:val="24"/>
                <w:highlight w:val="none"/>
                <w:lang w:eastAsia="zh-CN"/>
              </w:rPr>
              <w:t>，</w:t>
            </w:r>
            <w:r>
              <w:rPr>
                <w:rFonts w:hint="eastAsia" w:ascii="仿宋" w:hAnsi="仿宋" w:eastAsia="仿宋" w:cs="Arial"/>
                <w:color w:val="auto"/>
                <w:sz w:val="24"/>
                <w:highlight w:val="none"/>
              </w:rPr>
              <w:t>具体地点由</w:t>
            </w:r>
            <w:r>
              <w:rPr>
                <w:rFonts w:hint="eastAsia" w:ascii="仿宋" w:hAnsi="仿宋" w:eastAsia="仿宋" w:cs="Arial"/>
                <w:color w:val="auto"/>
                <w:sz w:val="24"/>
                <w:highlight w:val="none"/>
                <w:lang w:val="en-US" w:eastAsia="zh-CN"/>
              </w:rPr>
              <w:t>采购</w:t>
            </w:r>
            <w:r>
              <w:rPr>
                <w:rFonts w:hint="eastAsia" w:ascii="仿宋" w:hAnsi="仿宋" w:eastAsia="仿宋" w:cs="Arial"/>
                <w:color w:val="auto"/>
                <w:sz w:val="24"/>
                <w:highlight w:val="none"/>
              </w:rPr>
              <w:t>人指定，中标人负责落实。</w:t>
            </w:r>
          </w:p>
        </w:tc>
      </w:tr>
      <w:tr w14:paraId="7B226E06">
        <w:tblPrEx>
          <w:tblBorders>
            <w:top w:val="thinThickSmallGap" w:color="000000" w:themeColor="text1" w:sz="12" w:space="0"/>
            <w:left w:val="thinThickSmallGap" w:color="000000" w:themeColor="text1" w:sz="12" w:space="0"/>
            <w:bottom w:val="thinThickSmallGap" w:color="000000" w:themeColor="text1" w:sz="12" w:space="0"/>
            <w:right w:val="thinThickSmallGap" w:color="000000" w:themeColor="text1" w:sz="12" w:space="0"/>
            <w:insideH w:val="thinThickSmallGap" w:color="000000" w:themeColor="text1" w:sz="12" w:space="0"/>
            <w:insideV w:val="thinThickSmallGap" w:color="000000" w:themeColor="text1" w:sz="12" w:space="0"/>
          </w:tblBorders>
          <w:shd w:val="clear" w:color="auto" w:fill="auto"/>
          <w:tblCellMar>
            <w:top w:w="0" w:type="dxa"/>
            <w:left w:w="108" w:type="dxa"/>
            <w:bottom w:w="0" w:type="dxa"/>
            <w:right w:w="108" w:type="dxa"/>
          </w:tblCellMar>
        </w:tblPrEx>
        <w:trPr>
          <w:trHeight w:val="477" w:hRule="atLeast"/>
        </w:trPr>
        <w:tc>
          <w:tcPr>
            <w:tcW w:w="620" w:type="dxa"/>
            <w:tcBorders>
              <w:tl2br w:val="nil"/>
              <w:tr2bl w:val="nil"/>
            </w:tcBorders>
            <w:shd w:val="clear" w:color="auto" w:fill="auto"/>
            <w:vAlign w:val="center"/>
          </w:tcPr>
          <w:p w14:paraId="55E33A8B">
            <w:pPr>
              <w:spacing w:line="400" w:lineRule="exact"/>
              <w:jc w:val="center"/>
              <w:rPr>
                <w:rFonts w:hint="eastAsia"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4</w:t>
            </w:r>
          </w:p>
        </w:tc>
        <w:tc>
          <w:tcPr>
            <w:tcW w:w="1531" w:type="dxa"/>
            <w:tcBorders>
              <w:tl2br w:val="nil"/>
              <w:tr2bl w:val="nil"/>
            </w:tcBorders>
            <w:shd w:val="clear" w:color="auto" w:fill="auto"/>
            <w:vAlign w:val="center"/>
          </w:tcPr>
          <w:p w14:paraId="5F2F08A2">
            <w:pPr>
              <w:spacing w:line="400" w:lineRule="exact"/>
              <w:jc w:val="center"/>
              <w:rPr>
                <w:rFonts w:hint="eastAsia"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服务期</w:t>
            </w:r>
          </w:p>
        </w:tc>
        <w:tc>
          <w:tcPr>
            <w:tcW w:w="6321" w:type="dxa"/>
            <w:tcBorders>
              <w:tl2br w:val="nil"/>
              <w:tr2bl w:val="nil"/>
            </w:tcBorders>
            <w:shd w:val="clear" w:color="auto" w:fill="auto"/>
            <w:vAlign w:val="center"/>
          </w:tcPr>
          <w:p w14:paraId="3B80DBC6">
            <w:pPr>
              <w:spacing w:line="400" w:lineRule="exact"/>
              <w:jc w:val="left"/>
              <w:rPr>
                <w:rFonts w:hint="eastAsia"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本项目服务期为3年（自系统正式交付使用之日起计）。</w:t>
            </w:r>
          </w:p>
        </w:tc>
      </w:tr>
      <w:tr w14:paraId="36B0C5E5">
        <w:tblPrEx>
          <w:tblBorders>
            <w:top w:val="thinThickSmallGap" w:color="000000" w:themeColor="text1" w:sz="12" w:space="0"/>
            <w:left w:val="thinThickSmallGap" w:color="000000" w:themeColor="text1" w:sz="12" w:space="0"/>
            <w:bottom w:val="thinThickSmallGap" w:color="000000" w:themeColor="text1" w:sz="12" w:space="0"/>
            <w:right w:val="thinThickSmallGap" w:color="000000" w:themeColor="text1" w:sz="12" w:space="0"/>
            <w:insideH w:val="thinThickSmallGap" w:color="000000" w:themeColor="text1" w:sz="12" w:space="0"/>
            <w:insideV w:val="thinThickSmallGap" w:color="000000" w:themeColor="text1" w:sz="12" w:space="0"/>
          </w:tblBorders>
          <w:shd w:val="clear" w:color="auto" w:fill="auto"/>
          <w:tblCellMar>
            <w:top w:w="0" w:type="dxa"/>
            <w:left w:w="108" w:type="dxa"/>
            <w:bottom w:w="0" w:type="dxa"/>
            <w:right w:w="108" w:type="dxa"/>
          </w:tblCellMar>
        </w:tblPrEx>
        <w:trPr>
          <w:trHeight w:val="454" w:hRule="atLeast"/>
        </w:trPr>
        <w:tc>
          <w:tcPr>
            <w:tcW w:w="620" w:type="dxa"/>
            <w:tcBorders>
              <w:tl2br w:val="nil"/>
              <w:tr2bl w:val="nil"/>
            </w:tcBorders>
            <w:shd w:val="clear" w:color="auto" w:fill="auto"/>
            <w:vAlign w:val="center"/>
          </w:tcPr>
          <w:p w14:paraId="30A798BF">
            <w:pPr>
              <w:spacing w:line="400" w:lineRule="exact"/>
              <w:jc w:val="center"/>
              <w:rPr>
                <w:rFonts w:hint="eastAsia" w:ascii="仿宋" w:hAnsi="仿宋" w:eastAsia="仿宋" w:cs="Arial"/>
                <w:color w:val="auto"/>
                <w:sz w:val="24"/>
                <w:highlight w:val="none"/>
                <w:lang w:eastAsia="zh-CN"/>
              </w:rPr>
            </w:pPr>
            <w:r>
              <w:rPr>
                <w:rFonts w:hint="eastAsia" w:ascii="仿宋" w:hAnsi="仿宋" w:eastAsia="仿宋" w:cs="Arial"/>
                <w:color w:val="auto"/>
                <w:sz w:val="24"/>
                <w:highlight w:val="none"/>
                <w:lang w:val="en-US" w:eastAsia="zh-CN"/>
              </w:rPr>
              <w:t>5</w:t>
            </w:r>
          </w:p>
        </w:tc>
        <w:tc>
          <w:tcPr>
            <w:tcW w:w="1531" w:type="dxa"/>
            <w:tcBorders>
              <w:tl2br w:val="nil"/>
              <w:tr2bl w:val="nil"/>
            </w:tcBorders>
            <w:shd w:val="clear" w:color="auto" w:fill="auto"/>
            <w:vAlign w:val="center"/>
          </w:tcPr>
          <w:p w14:paraId="29BB18B3">
            <w:pPr>
              <w:spacing w:line="400" w:lineRule="exact"/>
              <w:jc w:val="center"/>
              <w:rPr>
                <w:rFonts w:ascii="仿宋" w:hAnsi="仿宋" w:eastAsia="仿宋" w:cs="Arial"/>
                <w:color w:val="auto"/>
                <w:sz w:val="24"/>
                <w:highlight w:val="none"/>
              </w:rPr>
            </w:pPr>
            <w:r>
              <w:rPr>
                <w:rFonts w:hint="eastAsia" w:ascii="仿宋" w:hAnsi="仿宋" w:eastAsia="仿宋" w:cs="Arial"/>
                <w:color w:val="auto"/>
                <w:sz w:val="24"/>
                <w:highlight w:val="none"/>
              </w:rPr>
              <w:t>付款办法</w:t>
            </w:r>
          </w:p>
        </w:tc>
        <w:tc>
          <w:tcPr>
            <w:tcW w:w="6321" w:type="dxa"/>
            <w:tcBorders>
              <w:tl2br w:val="nil"/>
              <w:tr2bl w:val="nil"/>
            </w:tcBorders>
            <w:shd w:val="clear" w:color="auto" w:fill="auto"/>
            <w:vAlign w:val="center"/>
          </w:tcPr>
          <w:p w14:paraId="52A08C40">
            <w:pPr>
              <w:spacing w:line="400" w:lineRule="exact"/>
              <w:jc w:val="left"/>
              <w:rPr>
                <w:rFonts w:hint="eastAsia" w:ascii="仿宋" w:hAnsi="仿宋" w:eastAsia="仿宋"/>
                <w:color w:val="auto"/>
                <w:sz w:val="24"/>
                <w:highlight w:val="none"/>
                <w:lang w:val="en-US" w:eastAsia="zh-CN"/>
              </w:rPr>
            </w:pPr>
            <w:r>
              <w:rPr>
                <w:rFonts w:hint="eastAsia" w:ascii="仿宋" w:hAnsi="仿宋" w:eastAsia="仿宋"/>
                <w:bCs/>
                <w:color w:val="auto"/>
                <w:sz w:val="24"/>
                <w:highlight w:val="none"/>
              </w:rPr>
              <w:t>（1）</w:t>
            </w:r>
            <w:r>
              <w:rPr>
                <w:rFonts w:hint="eastAsia" w:ascii="仿宋" w:hAnsi="仿宋" w:eastAsia="仿宋"/>
                <w:color w:val="auto"/>
                <w:sz w:val="24"/>
                <w:highlight w:val="none"/>
                <w:lang w:val="en-US" w:eastAsia="zh-CN"/>
              </w:rPr>
              <w:t>履约保证金：合同签订后7个工作日内，乙方须向甲方支付中标金额的1%作为履约保证金，以支票、汇票、本票或者金融机构、担保机构出具的保函等非现金形式提交。</w:t>
            </w:r>
          </w:p>
          <w:p w14:paraId="3CCD837E">
            <w:pPr>
              <w:spacing w:line="400" w:lineRule="exact"/>
              <w:jc w:val="left"/>
              <w:rPr>
                <w:rFonts w:hint="eastAsia" w:ascii="仿宋" w:hAnsi="仿宋" w:eastAsia="仿宋"/>
                <w:bCs/>
                <w:color w:val="auto"/>
                <w:sz w:val="24"/>
                <w:highlight w:val="none"/>
              </w:rPr>
            </w:pPr>
            <w:r>
              <w:rPr>
                <w:rFonts w:hint="eastAsia" w:ascii="仿宋" w:hAnsi="仿宋" w:eastAsia="仿宋"/>
                <w:bCs/>
                <w:color w:val="auto"/>
                <w:sz w:val="24"/>
                <w:highlight w:val="none"/>
              </w:rPr>
              <w:t>（</w:t>
            </w:r>
            <w:r>
              <w:rPr>
                <w:rFonts w:hint="eastAsia" w:ascii="仿宋" w:hAnsi="仿宋" w:eastAsia="仿宋"/>
                <w:bCs/>
                <w:color w:val="auto"/>
                <w:sz w:val="24"/>
                <w:highlight w:val="none"/>
                <w:lang w:val="en-US" w:eastAsia="zh-CN"/>
              </w:rPr>
              <w:t>2</w:t>
            </w:r>
            <w:r>
              <w:rPr>
                <w:rFonts w:hint="eastAsia" w:ascii="仿宋" w:hAnsi="仿宋" w:eastAsia="仿宋"/>
                <w:bCs/>
                <w:color w:val="auto"/>
                <w:sz w:val="24"/>
                <w:highlight w:val="none"/>
              </w:rPr>
              <w:t>）预付款：合同生效以及具备实施条件后5个工作日内采购人向中标人支付第一年合同金额的40%作为预付款，预付款不扣回，在后续每季度的结算中用于冲抵当期应付金额，预付款冲抵完后，再行支付相应款项。剩余部分（如有）将结转至下一季度继续使用。（在签订合同时，中标人明确表示无需预付款或者主动要求降低预付款比例的，采购人可不适用前述规定。）</w:t>
            </w:r>
          </w:p>
          <w:p w14:paraId="33595FCA">
            <w:pPr>
              <w:spacing w:line="400" w:lineRule="exact"/>
              <w:jc w:val="left"/>
              <w:rPr>
                <w:rFonts w:hint="eastAsia" w:ascii="仿宋" w:hAnsi="仿宋" w:eastAsia="仿宋" w:cs="Times New Roman"/>
                <w:color w:val="auto"/>
                <w:sz w:val="24"/>
                <w:highlight w:val="none"/>
                <w:lang w:val="en-US" w:eastAsia="zh-CN"/>
              </w:rPr>
            </w:pPr>
            <w:r>
              <w:rPr>
                <w:rFonts w:hint="eastAsia" w:ascii="仿宋" w:hAnsi="仿宋" w:eastAsia="仿宋"/>
                <w:bCs/>
                <w:color w:val="auto"/>
                <w:sz w:val="24"/>
                <w:highlight w:val="none"/>
                <w:lang w:eastAsia="zh-CN"/>
              </w:rPr>
              <w:t>（</w:t>
            </w:r>
            <w:r>
              <w:rPr>
                <w:rFonts w:hint="eastAsia" w:ascii="仿宋" w:hAnsi="仿宋" w:eastAsia="仿宋"/>
                <w:bCs/>
                <w:color w:val="auto"/>
                <w:sz w:val="24"/>
                <w:highlight w:val="none"/>
                <w:lang w:val="en-US" w:eastAsia="zh-CN"/>
              </w:rPr>
              <w:t>3）服务费用结算：按季度结算</w:t>
            </w:r>
            <w:r>
              <w:rPr>
                <w:rFonts w:hint="eastAsia" w:ascii="仿宋" w:hAnsi="仿宋" w:eastAsia="仿宋" w:cs="Times New Roman"/>
                <w:color w:val="auto"/>
                <w:sz w:val="24"/>
                <w:highlight w:val="none"/>
                <w:lang w:val="en-US" w:eastAsia="zh-CN"/>
              </w:rPr>
              <w:t>（在下季度的首月支付上一季度服务费用），服务期结束且权利义务清算完毕后，甲方无息退还剩余履约保证金。</w:t>
            </w:r>
          </w:p>
          <w:p w14:paraId="1FA822DD">
            <w:pPr>
              <w:spacing w:line="400" w:lineRule="exact"/>
              <w:jc w:val="left"/>
              <w:rPr>
                <w:rFonts w:hint="eastAsia" w:ascii="仿宋" w:hAnsi="仿宋" w:eastAsia="仿宋" w:cs="Arial"/>
                <w:b/>
                <w:bCs/>
                <w:color w:val="auto"/>
                <w:sz w:val="24"/>
                <w:highlight w:val="none"/>
              </w:rPr>
            </w:pPr>
            <w:r>
              <w:rPr>
                <w:rFonts w:hint="eastAsia" w:ascii="仿宋" w:hAnsi="仿宋" w:eastAsia="仿宋" w:cs="Arial"/>
                <w:b/>
                <w:bCs/>
                <w:color w:val="auto"/>
                <w:sz w:val="24"/>
                <w:highlight w:val="none"/>
                <w:lang w:val="en-US" w:eastAsia="zh-CN"/>
              </w:rPr>
              <w:t>注1：</w:t>
            </w:r>
            <w:r>
              <w:rPr>
                <w:rFonts w:hint="eastAsia" w:ascii="仿宋" w:hAnsi="仿宋" w:eastAsia="仿宋" w:cs="Arial"/>
                <w:b/>
                <w:bCs/>
                <w:color w:val="auto"/>
                <w:sz w:val="24"/>
                <w:highlight w:val="none"/>
              </w:rPr>
              <w:t>以上进度款的实际支付金额和付款时间以财政下拨资金为准，因财政审批延迟导致付款时间相应顺延，不视为逾期付款。</w:t>
            </w:r>
          </w:p>
          <w:p w14:paraId="2053C0F3">
            <w:pPr>
              <w:spacing w:line="400" w:lineRule="exact"/>
              <w:jc w:val="left"/>
              <w:rPr>
                <w:rFonts w:ascii="仿宋" w:hAnsi="仿宋" w:eastAsia="仿宋" w:cs="Arial"/>
                <w:color w:val="auto"/>
                <w:sz w:val="24"/>
                <w:highlight w:val="none"/>
              </w:rPr>
            </w:pPr>
            <w:r>
              <w:rPr>
                <w:rFonts w:hint="eastAsia" w:ascii="仿宋" w:hAnsi="仿宋" w:eastAsia="仿宋" w:cs="Arial"/>
                <w:b/>
                <w:bCs/>
                <w:color w:val="auto"/>
                <w:sz w:val="24"/>
                <w:highlight w:val="none"/>
              </w:rPr>
              <w:t>注</w:t>
            </w:r>
            <w:r>
              <w:rPr>
                <w:rFonts w:hint="eastAsia" w:ascii="仿宋" w:hAnsi="仿宋" w:eastAsia="仿宋" w:cs="Arial"/>
                <w:b/>
                <w:bCs/>
                <w:color w:val="auto"/>
                <w:sz w:val="24"/>
                <w:highlight w:val="none"/>
                <w:lang w:val="en-US" w:eastAsia="zh-CN"/>
              </w:rPr>
              <w:t>2</w:t>
            </w:r>
            <w:r>
              <w:rPr>
                <w:rFonts w:hint="eastAsia" w:ascii="仿宋" w:hAnsi="仿宋" w:eastAsia="仿宋" w:cs="Arial"/>
                <w:b/>
                <w:bCs/>
                <w:color w:val="auto"/>
                <w:sz w:val="24"/>
                <w:highlight w:val="none"/>
              </w:rPr>
              <w:t>：付款前，中标人须提供符合要求的财务发票，否则采购人有权不予支付，且不承担违约责任，但中标人仍须履行本合同。</w:t>
            </w:r>
          </w:p>
        </w:tc>
      </w:tr>
      <w:tr w14:paraId="095248B0">
        <w:tblPrEx>
          <w:tblBorders>
            <w:top w:val="thinThickSmallGap" w:color="000000" w:themeColor="text1" w:sz="12" w:space="0"/>
            <w:left w:val="thinThickSmallGap" w:color="000000" w:themeColor="text1" w:sz="12" w:space="0"/>
            <w:bottom w:val="thinThickSmallGap" w:color="000000" w:themeColor="text1" w:sz="12" w:space="0"/>
            <w:right w:val="thinThickSmallGap" w:color="000000" w:themeColor="text1" w:sz="12" w:space="0"/>
            <w:insideH w:val="thinThickSmallGap" w:color="000000" w:themeColor="text1" w:sz="12" w:space="0"/>
            <w:insideV w:val="thinThickSmallGap" w:color="000000" w:themeColor="text1" w:sz="12" w:space="0"/>
          </w:tblBorders>
          <w:shd w:val="clear" w:color="auto" w:fill="auto"/>
          <w:tblCellMar>
            <w:top w:w="0" w:type="dxa"/>
            <w:left w:w="108" w:type="dxa"/>
            <w:bottom w:w="0" w:type="dxa"/>
            <w:right w:w="108" w:type="dxa"/>
          </w:tblCellMar>
        </w:tblPrEx>
        <w:trPr>
          <w:trHeight w:val="454" w:hRule="atLeast"/>
        </w:trPr>
        <w:tc>
          <w:tcPr>
            <w:tcW w:w="620" w:type="dxa"/>
            <w:tcBorders>
              <w:tl2br w:val="nil"/>
              <w:tr2bl w:val="nil"/>
            </w:tcBorders>
            <w:shd w:val="clear" w:color="auto" w:fill="auto"/>
            <w:vAlign w:val="center"/>
          </w:tcPr>
          <w:p w14:paraId="34C3BE5E">
            <w:pPr>
              <w:spacing w:line="400" w:lineRule="exact"/>
              <w:jc w:val="center"/>
              <w:rPr>
                <w:rFonts w:hint="eastAsia" w:ascii="仿宋" w:hAnsi="仿宋" w:eastAsia="仿宋" w:cs="Arial"/>
                <w:color w:val="auto"/>
                <w:sz w:val="24"/>
                <w:highlight w:val="none"/>
                <w:lang w:eastAsia="zh-CN"/>
              </w:rPr>
            </w:pPr>
            <w:r>
              <w:rPr>
                <w:rFonts w:hint="eastAsia" w:ascii="仿宋" w:hAnsi="仿宋" w:eastAsia="仿宋" w:cs="Arial"/>
                <w:color w:val="auto"/>
                <w:sz w:val="24"/>
                <w:highlight w:val="none"/>
                <w:lang w:val="en-US" w:eastAsia="zh-CN"/>
              </w:rPr>
              <w:t>6</w:t>
            </w:r>
          </w:p>
        </w:tc>
        <w:tc>
          <w:tcPr>
            <w:tcW w:w="1531" w:type="dxa"/>
            <w:tcBorders>
              <w:tl2br w:val="nil"/>
              <w:tr2bl w:val="nil"/>
            </w:tcBorders>
            <w:shd w:val="clear" w:color="auto" w:fill="auto"/>
            <w:vAlign w:val="center"/>
          </w:tcPr>
          <w:p w14:paraId="3272767D">
            <w:pPr>
              <w:spacing w:line="400" w:lineRule="exact"/>
              <w:jc w:val="center"/>
              <w:rPr>
                <w:rFonts w:ascii="仿宋" w:hAnsi="仿宋" w:eastAsia="仿宋" w:cs="Arial"/>
                <w:color w:val="auto"/>
                <w:sz w:val="24"/>
                <w:highlight w:val="none"/>
              </w:rPr>
            </w:pPr>
            <w:r>
              <w:rPr>
                <w:rFonts w:ascii="仿宋" w:hAnsi="仿宋" w:eastAsia="仿宋" w:cs="Arial"/>
                <w:color w:val="auto"/>
                <w:sz w:val="24"/>
                <w:highlight w:val="none"/>
              </w:rPr>
              <w:t>安装</w:t>
            </w:r>
            <w:r>
              <w:rPr>
                <w:rFonts w:hint="eastAsia" w:ascii="仿宋" w:hAnsi="仿宋" w:eastAsia="仿宋" w:cs="Arial"/>
                <w:color w:val="auto"/>
                <w:sz w:val="24"/>
                <w:highlight w:val="none"/>
              </w:rPr>
              <w:t>调试</w:t>
            </w:r>
          </w:p>
        </w:tc>
        <w:tc>
          <w:tcPr>
            <w:tcW w:w="6321" w:type="dxa"/>
            <w:tcBorders>
              <w:tl2br w:val="nil"/>
              <w:tr2bl w:val="nil"/>
            </w:tcBorders>
            <w:shd w:val="clear" w:color="auto" w:fill="auto"/>
            <w:vAlign w:val="center"/>
          </w:tcPr>
          <w:p w14:paraId="76EF6CC8">
            <w:pPr>
              <w:spacing w:line="400" w:lineRule="exact"/>
              <w:jc w:val="left"/>
              <w:rPr>
                <w:rFonts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标准：</w:t>
            </w:r>
            <w:r>
              <w:rPr>
                <w:rFonts w:ascii="仿宋" w:hAnsi="仿宋" w:eastAsia="仿宋"/>
                <w:i/>
                <w:color w:val="auto"/>
                <w:sz w:val="24"/>
                <w:highlight w:val="none"/>
                <w:u w:val="single"/>
              </w:rPr>
              <w:t>符合</w:t>
            </w:r>
            <w:r>
              <w:rPr>
                <w:rFonts w:hint="eastAsia" w:ascii="仿宋" w:hAnsi="仿宋" w:eastAsia="仿宋"/>
                <w:i/>
                <w:color w:val="auto"/>
                <w:sz w:val="24"/>
                <w:highlight w:val="none"/>
                <w:u w:val="single"/>
              </w:rPr>
              <w:t>投标承诺以及</w:t>
            </w:r>
            <w:r>
              <w:rPr>
                <w:rFonts w:ascii="仿宋" w:hAnsi="仿宋" w:eastAsia="仿宋"/>
                <w:i/>
                <w:color w:val="auto"/>
                <w:sz w:val="24"/>
                <w:highlight w:val="none"/>
                <w:u w:val="single"/>
              </w:rPr>
              <w:t>国家</w:t>
            </w:r>
            <w:r>
              <w:rPr>
                <w:rFonts w:hint="eastAsia" w:ascii="仿宋" w:hAnsi="仿宋" w:eastAsia="仿宋"/>
                <w:i/>
                <w:color w:val="auto"/>
                <w:sz w:val="24"/>
                <w:highlight w:val="none"/>
                <w:u w:val="single"/>
              </w:rPr>
              <w:t>、行业相关</w:t>
            </w:r>
            <w:r>
              <w:rPr>
                <w:rFonts w:ascii="仿宋" w:hAnsi="仿宋" w:eastAsia="仿宋"/>
                <w:i/>
                <w:color w:val="auto"/>
                <w:sz w:val="24"/>
                <w:highlight w:val="none"/>
                <w:u w:val="single"/>
              </w:rPr>
              <w:t>技术规范与标准</w:t>
            </w:r>
            <w:r>
              <w:rPr>
                <w:rFonts w:hint="eastAsia" w:ascii="仿宋" w:hAnsi="仿宋" w:eastAsia="仿宋"/>
                <w:color w:val="auto"/>
                <w:sz w:val="24"/>
                <w:highlight w:val="none"/>
              </w:rPr>
              <w:t>；</w:t>
            </w:r>
          </w:p>
          <w:p w14:paraId="516F9007">
            <w:pPr>
              <w:spacing w:line="400" w:lineRule="exact"/>
              <w:jc w:val="left"/>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本项目所有</w:t>
            </w:r>
            <w:r>
              <w:rPr>
                <w:rFonts w:hint="eastAsia" w:ascii="仿宋" w:hAnsi="仿宋" w:eastAsia="仿宋"/>
                <w:color w:val="auto"/>
                <w:sz w:val="24"/>
                <w:highlight w:val="none"/>
              </w:rPr>
              <w:t>产品在安装调试过程中</w:t>
            </w:r>
            <w:r>
              <w:rPr>
                <w:rFonts w:ascii="仿宋" w:hAnsi="仿宋" w:eastAsia="仿宋"/>
                <w:color w:val="auto"/>
                <w:sz w:val="24"/>
                <w:highlight w:val="none"/>
              </w:rPr>
              <w:t>涉及的所有工作及配件辅材均由中标</w:t>
            </w:r>
            <w:r>
              <w:rPr>
                <w:rFonts w:hint="eastAsia" w:ascii="仿宋" w:hAnsi="仿宋" w:eastAsia="仿宋"/>
                <w:color w:val="auto"/>
                <w:sz w:val="24"/>
                <w:highlight w:val="none"/>
              </w:rPr>
              <w:t>人</w:t>
            </w:r>
            <w:r>
              <w:rPr>
                <w:rFonts w:ascii="仿宋" w:hAnsi="仿宋" w:eastAsia="仿宋"/>
                <w:color w:val="auto"/>
                <w:sz w:val="24"/>
                <w:highlight w:val="none"/>
              </w:rPr>
              <w:t>负责，</w:t>
            </w:r>
            <w:r>
              <w:rPr>
                <w:rFonts w:hint="eastAsia" w:ascii="仿宋" w:hAnsi="仿宋" w:eastAsia="仿宋"/>
                <w:color w:val="auto"/>
                <w:sz w:val="24"/>
                <w:highlight w:val="none"/>
              </w:rPr>
              <w:t>所需费用由投标人在报价时考虑</w:t>
            </w:r>
            <w:r>
              <w:rPr>
                <w:rFonts w:ascii="仿宋" w:hAnsi="仿宋" w:eastAsia="仿宋"/>
                <w:color w:val="auto"/>
                <w:sz w:val="24"/>
                <w:highlight w:val="none"/>
              </w:rPr>
              <w:t>。</w:t>
            </w:r>
          </w:p>
        </w:tc>
      </w:tr>
      <w:tr w14:paraId="536E1383">
        <w:tblPrEx>
          <w:tblBorders>
            <w:top w:val="thinThickSmallGap" w:color="000000" w:themeColor="text1" w:sz="12" w:space="0"/>
            <w:left w:val="thinThickSmallGap" w:color="000000" w:themeColor="text1" w:sz="12" w:space="0"/>
            <w:bottom w:val="thinThickSmallGap" w:color="000000" w:themeColor="text1" w:sz="12" w:space="0"/>
            <w:right w:val="thinThickSmallGap" w:color="000000" w:themeColor="text1" w:sz="12" w:space="0"/>
            <w:insideH w:val="thinThickSmallGap" w:color="000000" w:themeColor="text1" w:sz="12" w:space="0"/>
            <w:insideV w:val="thinThickSmallGap" w:color="000000" w:themeColor="text1" w:sz="12" w:space="0"/>
          </w:tblBorders>
          <w:shd w:val="clear" w:color="auto" w:fill="auto"/>
          <w:tblCellMar>
            <w:top w:w="0" w:type="dxa"/>
            <w:left w:w="108" w:type="dxa"/>
            <w:bottom w:w="0" w:type="dxa"/>
            <w:right w:w="108" w:type="dxa"/>
          </w:tblCellMar>
        </w:tblPrEx>
        <w:trPr>
          <w:trHeight w:val="454" w:hRule="atLeast"/>
        </w:trPr>
        <w:tc>
          <w:tcPr>
            <w:tcW w:w="620" w:type="dxa"/>
            <w:tcBorders>
              <w:tl2br w:val="nil"/>
              <w:tr2bl w:val="nil"/>
            </w:tcBorders>
            <w:shd w:val="clear" w:color="auto" w:fill="auto"/>
            <w:vAlign w:val="center"/>
          </w:tcPr>
          <w:p w14:paraId="625C7FB0">
            <w:pPr>
              <w:spacing w:line="400" w:lineRule="exact"/>
              <w:jc w:val="center"/>
              <w:rPr>
                <w:rFonts w:hint="eastAsia" w:ascii="仿宋" w:hAnsi="仿宋" w:eastAsia="仿宋" w:cs="Arial"/>
                <w:color w:val="auto"/>
                <w:sz w:val="24"/>
                <w:highlight w:val="none"/>
                <w:lang w:eastAsia="zh-CN"/>
              </w:rPr>
            </w:pPr>
            <w:r>
              <w:rPr>
                <w:rFonts w:hint="eastAsia" w:ascii="仿宋" w:hAnsi="仿宋" w:eastAsia="仿宋" w:cs="Arial"/>
                <w:color w:val="auto"/>
                <w:sz w:val="24"/>
                <w:highlight w:val="none"/>
                <w:lang w:val="en-US" w:eastAsia="zh-CN"/>
              </w:rPr>
              <w:t>7</w:t>
            </w:r>
          </w:p>
        </w:tc>
        <w:tc>
          <w:tcPr>
            <w:tcW w:w="1531" w:type="dxa"/>
            <w:tcBorders>
              <w:tl2br w:val="nil"/>
              <w:tr2bl w:val="nil"/>
            </w:tcBorders>
            <w:shd w:val="clear" w:color="auto" w:fill="auto"/>
            <w:vAlign w:val="center"/>
          </w:tcPr>
          <w:p w14:paraId="0C9C42A5">
            <w:pPr>
              <w:spacing w:line="400" w:lineRule="exact"/>
              <w:jc w:val="center"/>
              <w:rPr>
                <w:rFonts w:ascii="仿宋" w:hAnsi="仿宋" w:eastAsia="仿宋" w:cs="Arial"/>
                <w:color w:val="auto"/>
                <w:sz w:val="24"/>
                <w:highlight w:val="none"/>
              </w:rPr>
            </w:pPr>
            <w:r>
              <w:rPr>
                <w:rFonts w:hint="eastAsia" w:ascii="仿宋" w:hAnsi="仿宋" w:eastAsia="仿宋" w:cs="Arial"/>
                <w:color w:val="auto"/>
                <w:sz w:val="24"/>
                <w:highlight w:val="none"/>
              </w:rPr>
              <w:t>验收</w:t>
            </w:r>
          </w:p>
        </w:tc>
        <w:tc>
          <w:tcPr>
            <w:tcW w:w="6321" w:type="dxa"/>
            <w:tcBorders>
              <w:tl2br w:val="nil"/>
              <w:tr2bl w:val="nil"/>
            </w:tcBorders>
            <w:shd w:val="clear" w:color="auto" w:fill="auto"/>
            <w:vAlign w:val="center"/>
          </w:tcPr>
          <w:p w14:paraId="396B93E7">
            <w:pPr>
              <w:spacing w:line="400" w:lineRule="exact"/>
              <w:jc w:val="left"/>
              <w:rPr>
                <w:rFonts w:hint="eastAsia" w:ascii="仿宋" w:hAnsi="仿宋" w:eastAsia="仿宋"/>
                <w:bCs/>
                <w:color w:val="auto"/>
                <w:sz w:val="24"/>
                <w:highlight w:val="none"/>
              </w:rPr>
            </w:pPr>
            <w:r>
              <w:rPr>
                <w:rFonts w:hint="eastAsia" w:ascii="仿宋" w:hAnsi="仿宋" w:eastAsia="仿宋"/>
                <w:bCs/>
                <w:color w:val="auto"/>
                <w:sz w:val="24"/>
                <w:highlight w:val="none"/>
              </w:rPr>
              <w:t>项目验收需根据招标文件以及合同，按照《杭州市政府采购履约验收暂行办法》（杭财采监[2019]10号）规定</w:t>
            </w:r>
            <w:r>
              <w:rPr>
                <w:rFonts w:hint="eastAsia" w:ascii="仿宋" w:hAnsi="仿宋" w:eastAsia="仿宋"/>
                <w:bCs/>
                <w:color w:val="auto"/>
                <w:sz w:val="24"/>
                <w:highlight w:val="none"/>
                <w:lang w:val="en-US" w:eastAsia="zh-CN"/>
              </w:rPr>
              <w:t>每年</w:t>
            </w:r>
            <w:r>
              <w:rPr>
                <w:rFonts w:hint="eastAsia" w:ascii="仿宋" w:hAnsi="仿宋" w:eastAsia="仿宋"/>
                <w:bCs/>
                <w:color w:val="auto"/>
                <w:sz w:val="24"/>
                <w:highlight w:val="none"/>
              </w:rPr>
              <w:t>组织对中标人履约的验收。验收时需提供相应的文档。</w:t>
            </w:r>
          </w:p>
          <w:p w14:paraId="542F3CF7">
            <w:pPr>
              <w:spacing w:line="400" w:lineRule="exact"/>
              <w:jc w:val="left"/>
              <w:rPr>
                <w:rFonts w:hint="eastAsia" w:ascii="仿宋" w:hAnsi="仿宋" w:eastAsia="仿宋"/>
                <w:bCs/>
                <w:color w:val="auto"/>
                <w:sz w:val="24"/>
                <w:highlight w:val="none"/>
              </w:rPr>
            </w:pPr>
            <w:r>
              <w:rPr>
                <w:rFonts w:hint="eastAsia" w:ascii="仿宋" w:hAnsi="仿宋" w:eastAsia="仿宋"/>
                <w:bCs/>
                <w:color w:val="auto"/>
                <w:sz w:val="24"/>
                <w:highlight w:val="none"/>
              </w:rPr>
              <w:t>本项目合同验收分为“系统交付使用前验收”和“</w:t>
            </w:r>
            <w:r>
              <w:rPr>
                <w:rFonts w:hint="eastAsia" w:ascii="仿宋" w:hAnsi="仿宋" w:eastAsia="仿宋"/>
                <w:bCs/>
                <w:color w:val="auto"/>
                <w:sz w:val="24"/>
                <w:highlight w:val="none"/>
                <w:lang w:val="en-US" w:eastAsia="zh-CN"/>
              </w:rPr>
              <w:t>分期</w:t>
            </w:r>
            <w:r>
              <w:rPr>
                <w:rFonts w:hint="eastAsia" w:ascii="仿宋" w:hAnsi="仿宋" w:eastAsia="仿宋"/>
                <w:bCs/>
                <w:color w:val="auto"/>
                <w:sz w:val="24"/>
                <w:highlight w:val="none"/>
              </w:rPr>
              <w:t>验收”两个</w:t>
            </w:r>
            <w:r>
              <w:rPr>
                <w:rFonts w:hint="eastAsia" w:ascii="仿宋" w:hAnsi="仿宋" w:eastAsia="仿宋"/>
                <w:bCs/>
                <w:color w:val="auto"/>
                <w:sz w:val="24"/>
                <w:highlight w:val="none"/>
                <w:lang w:val="en-US" w:eastAsia="zh-CN"/>
              </w:rPr>
              <w:t>部分</w:t>
            </w:r>
            <w:r>
              <w:rPr>
                <w:rFonts w:hint="eastAsia" w:ascii="仿宋" w:hAnsi="仿宋" w:eastAsia="仿宋"/>
                <w:bCs/>
                <w:color w:val="auto"/>
                <w:sz w:val="24"/>
                <w:highlight w:val="none"/>
              </w:rPr>
              <w:t>，由采购人组织实施，各阶段验收过程中，中标供应商应派专业的技术人员协助采购人进行验收，说明如下（具体安排以合同为准）：</w:t>
            </w:r>
          </w:p>
          <w:p w14:paraId="21659DF9">
            <w:pPr>
              <w:spacing w:line="400" w:lineRule="exact"/>
              <w:jc w:val="left"/>
              <w:rPr>
                <w:rFonts w:hint="eastAsia" w:ascii="仿宋" w:hAnsi="仿宋" w:eastAsia="仿宋"/>
                <w:bCs/>
                <w:color w:val="auto"/>
                <w:sz w:val="24"/>
                <w:highlight w:val="none"/>
              </w:rPr>
            </w:pPr>
            <w:r>
              <w:rPr>
                <w:rFonts w:hint="eastAsia" w:ascii="仿宋" w:hAnsi="仿宋" w:eastAsia="仿宋"/>
                <w:bCs/>
                <w:color w:val="auto"/>
                <w:sz w:val="24"/>
                <w:highlight w:val="none"/>
              </w:rPr>
              <w:t>（1）系统交付使用前验收：中标供应商按采购文件要求、投标承诺以及国家、行业有关技术规范和标准自行完成系统建设后向采购人提出“系统交付使用前验收”申请，采购人在收到验收申请后7个工作日内完成该阶段验收。“系统交付使用前验收”合格的，系统正式交付采购人使用，开始提供服务；“系统交付使用前验收”不合格的，中标供应商应当在承诺的系统交付及服务开始时间前完成整改并通过二次验收后，正式交付采购人使用，开始提供服务。整改后二次验收仍不合格的，采购人可以解除合同，已收缴的履约保证金不予退还，并按合同约定追究中标供应商的违约责任。</w:t>
            </w:r>
          </w:p>
          <w:p w14:paraId="45AFF0AF">
            <w:pPr>
              <w:spacing w:line="400" w:lineRule="exact"/>
              <w:jc w:val="left"/>
              <w:rPr>
                <w:rFonts w:ascii="仿宋" w:hAnsi="仿宋" w:eastAsia="仿宋"/>
                <w:b/>
                <w:color w:val="auto"/>
                <w:sz w:val="24"/>
                <w:highlight w:val="none"/>
              </w:rPr>
            </w:pPr>
            <w:r>
              <w:rPr>
                <w:rFonts w:hint="eastAsia" w:ascii="仿宋" w:hAnsi="仿宋" w:eastAsia="仿宋"/>
                <w:bCs/>
                <w:color w:val="auto"/>
                <w:sz w:val="24"/>
                <w:highlight w:val="none"/>
              </w:rPr>
              <w:t>（2）项目</w:t>
            </w:r>
            <w:r>
              <w:rPr>
                <w:rFonts w:hint="eastAsia" w:ascii="仿宋" w:hAnsi="仿宋" w:eastAsia="仿宋"/>
                <w:bCs/>
                <w:color w:val="auto"/>
                <w:sz w:val="24"/>
                <w:highlight w:val="none"/>
                <w:lang w:val="en-US" w:eastAsia="zh-CN"/>
              </w:rPr>
              <w:t>分期</w:t>
            </w:r>
            <w:r>
              <w:rPr>
                <w:rFonts w:hint="eastAsia" w:ascii="仿宋" w:hAnsi="仿宋" w:eastAsia="仿宋"/>
                <w:bCs/>
                <w:color w:val="auto"/>
                <w:sz w:val="24"/>
                <w:highlight w:val="none"/>
              </w:rPr>
              <w:t>验收：采购人根据中标供应商合同期内服务情况（服务质量评价情况）组织项目</w:t>
            </w:r>
            <w:r>
              <w:rPr>
                <w:rFonts w:hint="eastAsia" w:ascii="仿宋" w:hAnsi="仿宋" w:eastAsia="仿宋"/>
                <w:bCs/>
                <w:color w:val="auto"/>
                <w:sz w:val="24"/>
                <w:highlight w:val="none"/>
                <w:lang w:val="en-US" w:eastAsia="zh-CN"/>
              </w:rPr>
              <w:t>每满一年进行一次验收</w:t>
            </w:r>
            <w:r>
              <w:rPr>
                <w:rFonts w:hint="eastAsia" w:ascii="仿宋" w:hAnsi="仿宋" w:eastAsia="仿宋"/>
                <w:bCs/>
                <w:color w:val="auto"/>
                <w:sz w:val="24"/>
                <w:highlight w:val="none"/>
              </w:rPr>
              <w:t>。</w:t>
            </w:r>
          </w:p>
        </w:tc>
      </w:tr>
      <w:tr w14:paraId="447D9FDD">
        <w:tblPrEx>
          <w:tblBorders>
            <w:top w:val="thinThickSmallGap" w:color="000000" w:themeColor="text1" w:sz="12" w:space="0"/>
            <w:left w:val="thinThickSmallGap" w:color="000000" w:themeColor="text1" w:sz="12" w:space="0"/>
            <w:bottom w:val="thinThickSmallGap" w:color="000000" w:themeColor="text1" w:sz="12" w:space="0"/>
            <w:right w:val="thinThickSmallGap" w:color="000000" w:themeColor="text1" w:sz="12" w:space="0"/>
            <w:insideH w:val="thinThickSmallGap" w:color="000000" w:themeColor="text1" w:sz="12" w:space="0"/>
            <w:insideV w:val="thinThickSmallGap" w:color="000000" w:themeColor="text1" w:sz="12" w:space="0"/>
          </w:tblBorders>
          <w:shd w:val="clear" w:color="auto" w:fill="auto"/>
          <w:tblCellMar>
            <w:top w:w="0" w:type="dxa"/>
            <w:left w:w="108" w:type="dxa"/>
            <w:bottom w:w="0" w:type="dxa"/>
            <w:right w:w="108" w:type="dxa"/>
          </w:tblCellMar>
        </w:tblPrEx>
        <w:trPr>
          <w:trHeight w:val="454" w:hRule="atLeast"/>
        </w:trPr>
        <w:tc>
          <w:tcPr>
            <w:tcW w:w="620" w:type="dxa"/>
            <w:tcBorders>
              <w:tl2br w:val="nil"/>
              <w:tr2bl w:val="nil"/>
            </w:tcBorders>
            <w:shd w:val="clear" w:color="auto" w:fill="auto"/>
            <w:vAlign w:val="center"/>
          </w:tcPr>
          <w:p w14:paraId="1D954BE8">
            <w:pPr>
              <w:spacing w:line="400" w:lineRule="exact"/>
              <w:jc w:val="center"/>
              <w:rPr>
                <w:rFonts w:hint="eastAsia" w:ascii="仿宋" w:hAnsi="仿宋" w:eastAsia="仿宋" w:cs="Arial"/>
                <w:color w:val="auto"/>
                <w:sz w:val="24"/>
                <w:highlight w:val="none"/>
                <w:lang w:eastAsia="zh-CN"/>
              </w:rPr>
            </w:pPr>
            <w:r>
              <w:rPr>
                <w:rFonts w:hint="eastAsia" w:ascii="仿宋" w:hAnsi="仿宋" w:eastAsia="仿宋" w:cs="Arial"/>
                <w:color w:val="auto"/>
                <w:sz w:val="24"/>
                <w:highlight w:val="none"/>
                <w:lang w:val="en-US" w:eastAsia="zh-CN"/>
              </w:rPr>
              <w:t>8</w:t>
            </w:r>
          </w:p>
        </w:tc>
        <w:tc>
          <w:tcPr>
            <w:tcW w:w="1531" w:type="dxa"/>
            <w:tcBorders>
              <w:tl2br w:val="nil"/>
              <w:tr2bl w:val="nil"/>
            </w:tcBorders>
            <w:shd w:val="clear" w:color="auto" w:fill="auto"/>
            <w:vAlign w:val="center"/>
          </w:tcPr>
          <w:p w14:paraId="0D4A24B3">
            <w:pPr>
              <w:spacing w:line="400" w:lineRule="exact"/>
              <w:jc w:val="center"/>
              <w:rPr>
                <w:rFonts w:ascii="仿宋" w:hAnsi="仿宋" w:eastAsia="仿宋" w:cs="Arial"/>
                <w:color w:val="auto"/>
                <w:sz w:val="24"/>
                <w:highlight w:val="none"/>
              </w:rPr>
            </w:pPr>
            <w:r>
              <w:rPr>
                <w:rFonts w:ascii="仿宋" w:hAnsi="仿宋" w:eastAsia="仿宋" w:cs="Arial"/>
                <w:color w:val="auto"/>
                <w:sz w:val="24"/>
                <w:highlight w:val="none"/>
              </w:rPr>
              <w:t>▲</w:t>
            </w:r>
            <w:r>
              <w:rPr>
                <w:rFonts w:hint="eastAsia" w:ascii="仿宋" w:hAnsi="仿宋" w:eastAsia="仿宋" w:cs="Arial"/>
                <w:b/>
                <w:color w:val="auto"/>
                <w:sz w:val="24"/>
                <w:highlight w:val="none"/>
              </w:rPr>
              <w:t>质量要求</w:t>
            </w:r>
          </w:p>
        </w:tc>
        <w:tc>
          <w:tcPr>
            <w:tcW w:w="6321" w:type="dxa"/>
            <w:tcBorders>
              <w:tl2br w:val="nil"/>
              <w:tr2bl w:val="nil"/>
            </w:tcBorders>
            <w:shd w:val="clear" w:color="auto" w:fill="auto"/>
            <w:vAlign w:val="center"/>
          </w:tcPr>
          <w:p w14:paraId="28FBA71E">
            <w:pPr>
              <w:spacing w:line="400" w:lineRule="exact"/>
              <w:jc w:val="left"/>
              <w:rPr>
                <w:rFonts w:ascii="仿宋" w:hAnsi="仿宋" w:eastAsia="仿宋" w:cs="Arial"/>
                <w:color w:val="auto"/>
                <w:sz w:val="24"/>
                <w:highlight w:val="none"/>
              </w:rPr>
            </w:pPr>
            <w:r>
              <w:rPr>
                <w:rFonts w:hint="eastAsia" w:ascii="仿宋" w:hAnsi="仿宋" w:eastAsia="仿宋" w:cs="Arial"/>
                <w:b/>
                <w:color w:val="auto"/>
                <w:sz w:val="24"/>
                <w:highlight w:val="none"/>
              </w:rPr>
              <w:t>合格</w:t>
            </w:r>
            <w:r>
              <w:rPr>
                <w:rFonts w:hint="eastAsia" w:ascii="仿宋" w:hAnsi="仿宋" w:eastAsia="仿宋" w:cs="Arial"/>
                <w:color w:val="auto"/>
                <w:sz w:val="24"/>
                <w:highlight w:val="none"/>
              </w:rPr>
              <w:t>（符合投标承诺以及</w:t>
            </w:r>
            <w:r>
              <w:rPr>
                <w:rFonts w:ascii="仿宋" w:hAnsi="仿宋" w:eastAsia="仿宋" w:cs="Arial"/>
                <w:color w:val="auto"/>
                <w:sz w:val="24"/>
                <w:highlight w:val="none"/>
              </w:rPr>
              <w:t>国家</w:t>
            </w:r>
            <w:r>
              <w:rPr>
                <w:rFonts w:hint="eastAsia" w:ascii="仿宋" w:hAnsi="仿宋" w:eastAsia="仿宋" w:cs="Arial"/>
                <w:color w:val="auto"/>
                <w:sz w:val="24"/>
                <w:highlight w:val="none"/>
              </w:rPr>
              <w:t>、行业</w:t>
            </w:r>
            <w:r>
              <w:rPr>
                <w:rFonts w:ascii="仿宋" w:hAnsi="仿宋" w:eastAsia="仿宋" w:cs="Arial"/>
                <w:color w:val="auto"/>
                <w:sz w:val="24"/>
                <w:highlight w:val="none"/>
              </w:rPr>
              <w:t>有关技术规范和标准</w:t>
            </w:r>
            <w:r>
              <w:rPr>
                <w:rFonts w:hint="eastAsia" w:ascii="仿宋" w:hAnsi="仿宋" w:eastAsia="仿宋" w:cs="Arial"/>
                <w:color w:val="auto"/>
                <w:sz w:val="24"/>
                <w:highlight w:val="none"/>
              </w:rPr>
              <w:t>）</w:t>
            </w:r>
          </w:p>
        </w:tc>
      </w:tr>
      <w:tr w14:paraId="2040053B">
        <w:tblPrEx>
          <w:tblBorders>
            <w:top w:val="thinThickSmallGap" w:color="000000" w:themeColor="text1" w:sz="12" w:space="0"/>
            <w:left w:val="thinThickSmallGap" w:color="000000" w:themeColor="text1" w:sz="12" w:space="0"/>
            <w:bottom w:val="thinThickSmallGap" w:color="000000" w:themeColor="text1" w:sz="12" w:space="0"/>
            <w:right w:val="thinThickSmallGap" w:color="000000" w:themeColor="text1" w:sz="12" w:space="0"/>
            <w:insideH w:val="thinThickSmallGap" w:color="000000" w:themeColor="text1" w:sz="12" w:space="0"/>
            <w:insideV w:val="thinThickSmallGap" w:color="000000" w:themeColor="text1" w:sz="12" w:space="0"/>
          </w:tblBorders>
          <w:shd w:val="clear" w:color="auto" w:fill="auto"/>
          <w:tblCellMar>
            <w:top w:w="0" w:type="dxa"/>
            <w:left w:w="108" w:type="dxa"/>
            <w:bottom w:w="0" w:type="dxa"/>
            <w:right w:w="108" w:type="dxa"/>
          </w:tblCellMar>
        </w:tblPrEx>
        <w:trPr>
          <w:trHeight w:val="454" w:hRule="atLeast"/>
        </w:trPr>
        <w:tc>
          <w:tcPr>
            <w:tcW w:w="620" w:type="dxa"/>
            <w:tcBorders>
              <w:tl2br w:val="nil"/>
              <w:tr2bl w:val="nil"/>
            </w:tcBorders>
            <w:shd w:val="clear" w:color="auto" w:fill="auto"/>
            <w:vAlign w:val="center"/>
          </w:tcPr>
          <w:p w14:paraId="7A6536E0">
            <w:pPr>
              <w:spacing w:line="400" w:lineRule="exact"/>
              <w:jc w:val="center"/>
              <w:rPr>
                <w:rFonts w:hint="default"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9</w:t>
            </w:r>
          </w:p>
        </w:tc>
        <w:tc>
          <w:tcPr>
            <w:tcW w:w="1531" w:type="dxa"/>
            <w:tcBorders>
              <w:tl2br w:val="nil"/>
              <w:tr2bl w:val="nil"/>
            </w:tcBorders>
            <w:shd w:val="clear" w:color="auto" w:fill="auto"/>
            <w:vAlign w:val="center"/>
          </w:tcPr>
          <w:p w14:paraId="2AB798C7">
            <w:pPr>
              <w:spacing w:line="400" w:lineRule="exact"/>
              <w:jc w:val="center"/>
              <w:rPr>
                <w:rFonts w:hint="eastAsia" w:ascii="仿宋" w:hAnsi="仿宋" w:eastAsia="仿宋" w:cs="Arial"/>
                <w:color w:val="auto"/>
                <w:sz w:val="24"/>
                <w:highlight w:val="none"/>
              </w:rPr>
            </w:pPr>
            <w:r>
              <w:rPr>
                <w:rFonts w:hint="eastAsia" w:ascii="仿宋" w:hAnsi="仿宋" w:eastAsia="仿宋" w:cs="Arial"/>
                <w:color w:val="auto"/>
                <w:sz w:val="24"/>
                <w:highlight w:val="none"/>
              </w:rPr>
              <w:t>特别说明与规定</w:t>
            </w:r>
          </w:p>
        </w:tc>
        <w:tc>
          <w:tcPr>
            <w:tcW w:w="6321" w:type="dxa"/>
            <w:tcBorders>
              <w:tl2br w:val="nil"/>
              <w:tr2bl w:val="nil"/>
            </w:tcBorders>
            <w:shd w:val="clear" w:color="auto" w:fill="auto"/>
            <w:vAlign w:val="center"/>
          </w:tcPr>
          <w:p w14:paraId="784B8803">
            <w:pPr>
              <w:spacing w:line="400" w:lineRule="exact"/>
              <w:jc w:val="left"/>
              <w:rPr>
                <w:rFonts w:hint="eastAsia"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）投标响应前后矛盾导致评标委员会有疑问的，评标委员会认为必要时可以要求投标人在规定的时间内提供相关技术证明材料，投标人不能按时提供相关技术证明材料的视为“未响应”作负偏离处理。</w:t>
            </w:r>
          </w:p>
          <w:p w14:paraId="5718D29D">
            <w:pPr>
              <w:spacing w:line="400" w:lineRule="exact"/>
              <w:jc w:val="left"/>
              <w:rPr>
                <w:rFonts w:hint="eastAsia"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采购人将以合同形式有偿取得货物或服务，不接受投标人给予的任何赠品、回扣或者与采购无关的其他商品、服务，不得出现“0元”、“免费赠送”等形式的无偿报价，否则视为投标文件含有采购人不能接受的附加条件，投标无效。</w:t>
            </w:r>
          </w:p>
          <w:p w14:paraId="10666136">
            <w:pPr>
              <w:spacing w:line="400" w:lineRule="exact"/>
              <w:jc w:val="left"/>
              <w:rPr>
                <w:rFonts w:hint="eastAsia"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）产品的各项要求（品牌、规格、型号、配置）应</w:t>
            </w:r>
            <w:r>
              <w:rPr>
                <w:rFonts w:hint="eastAsia" w:ascii="仿宋" w:hAnsi="仿宋" w:eastAsia="仿宋"/>
                <w:color w:val="auto"/>
                <w:sz w:val="24"/>
                <w:highlight w:val="none"/>
                <w:lang w:eastAsia="zh-CN"/>
              </w:rPr>
              <w:t>以</w:t>
            </w:r>
            <w:r>
              <w:rPr>
                <w:rFonts w:hint="eastAsia" w:ascii="仿宋" w:hAnsi="仿宋" w:eastAsia="仿宋"/>
                <w:color w:val="auto"/>
                <w:sz w:val="24"/>
                <w:highlight w:val="none"/>
              </w:rPr>
              <w:t>中标供应商投标承诺为准，不得擅自更改。投标人须对采购中涉及到的专利负责，并保证不伤害采购人的利益。在法律范围内，所有文字、商标和技术侵权造成的相关费用，采购人概不负责。</w:t>
            </w:r>
          </w:p>
          <w:p w14:paraId="0483CDD7">
            <w:pPr>
              <w:spacing w:line="400" w:lineRule="exact"/>
              <w:jc w:val="left"/>
              <w:rPr>
                <w:rFonts w:hint="eastAsia"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）投标人必须保证解决项目所涉及的技术问题，如因技术原因无法满足用户需求，由此产生的风险由</w:t>
            </w:r>
            <w:r>
              <w:rPr>
                <w:rFonts w:hint="eastAsia" w:ascii="仿宋" w:hAnsi="仿宋" w:eastAsia="仿宋"/>
                <w:color w:val="auto"/>
                <w:sz w:val="24"/>
                <w:highlight w:val="none"/>
                <w:lang w:eastAsia="zh-CN"/>
              </w:rPr>
              <w:t>投标</w:t>
            </w:r>
            <w:r>
              <w:rPr>
                <w:rFonts w:hint="eastAsia" w:ascii="仿宋" w:hAnsi="仿宋" w:eastAsia="仿宋"/>
                <w:color w:val="auto"/>
                <w:sz w:val="24"/>
                <w:highlight w:val="none"/>
              </w:rPr>
              <w:t>方承担。</w:t>
            </w:r>
          </w:p>
        </w:tc>
      </w:tr>
    </w:tbl>
    <w:p w14:paraId="1D9583BB">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第四部</w:t>
      </w:r>
      <w:r>
        <w:rPr>
          <w:rFonts w:hint="eastAsia" w:ascii="仿宋" w:hAnsi="仿宋" w:eastAsia="仿宋" w:cs="仿宋"/>
          <w:b/>
          <w:color w:val="auto"/>
          <w:spacing w:val="362"/>
          <w:kern w:val="0"/>
          <w:sz w:val="36"/>
          <w:szCs w:val="36"/>
          <w:highlight w:val="none"/>
          <w:fitText w:val="1444" w:id="-982737664"/>
        </w:rPr>
        <w:t>分</w:t>
      </w:r>
      <w:bookmarkStart w:id="24" w:name="_Toc184312135"/>
      <w:bookmarkEnd w:id="24"/>
      <w:bookmarkStart w:id="25" w:name="_Toc184313297"/>
      <w:bookmarkEnd w:id="25"/>
      <w:bookmarkStart w:id="26" w:name="_Toc184308062"/>
      <w:bookmarkEnd w:id="26"/>
      <w:bookmarkStart w:id="27" w:name="_Toc184314463"/>
      <w:bookmarkEnd w:id="27"/>
      <w:bookmarkStart w:id="28" w:name="_Toc184312103"/>
      <w:bookmarkEnd w:id="28"/>
      <w:bookmarkStart w:id="29" w:name="_Toc184313291"/>
      <w:bookmarkEnd w:id="29"/>
      <w:bookmarkStart w:id="30" w:name="_Toc184312105"/>
      <w:bookmarkEnd w:id="30"/>
      <w:bookmarkStart w:id="31" w:name="_Toc184312076"/>
      <w:bookmarkEnd w:id="31"/>
      <w:bookmarkStart w:id="32" w:name="_Toc184312086"/>
      <w:bookmarkEnd w:id="32"/>
      <w:bookmarkStart w:id="33" w:name="_Toc184308066"/>
      <w:bookmarkEnd w:id="33"/>
      <w:bookmarkStart w:id="34" w:name="_Toc184308081"/>
      <w:bookmarkEnd w:id="34"/>
      <w:bookmarkStart w:id="35" w:name="_Toc184314438"/>
      <w:bookmarkEnd w:id="35"/>
      <w:bookmarkStart w:id="36" w:name="_Toc184310313"/>
      <w:bookmarkEnd w:id="36"/>
      <w:bookmarkStart w:id="37" w:name="_Toc184312093"/>
      <w:bookmarkEnd w:id="37"/>
      <w:bookmarkStart w:id="38" w:name="_Toc184310291"/>
      <w:bookmarkEnd w:id="38"/>
      <w:bookmarkStart w:id="39" w:name="_Toc184308106"/>
      <w:bookmarkEnd w:id="39"/>
      <w:bookmarkStart w:id="40" w:name="_Toc184310281"/>
      <w:bookmarkEnd w:id="40"/>
      <w:bookmarkStart w:id="41" w:name="_Toc184308075"/>
      <w:bookmarkEnd w:id="41"/>
      <w:bookmarkStart w:id="42" w:name="_Toc184313309"/>
      <w:bookmarkEnd w:id="42"/>
      <w:bookmarkStart w:id="43" w:name="_Toc184312081"/>
      <w:bookmarkEnd w:id="43"/>
      <w:bookmarkStart w:id="44" w:name="_Toc184314478"/>
      <w:bookmarkEnd w:id="44"/>
      <w:bookmarkStart w:id="45" w:name="_Toc184313306"/>
      <w:bookmarkEnd w:id="45"/>
      <w:bookmarkStart w:id="46" w:name="_Toc184308092"/>
      <w:bookmarkEnd w:id="46"/>
      <w:bookmarkStart w:id="47" w:name="_Toc184308087"/>
      <w:bookmarkEnd w:id="47"/>
      <w:bookmarkStart w:id="48" w:name="_Toc184314436"/>
      <w:bookmarkEnd w:id="48"/>
      <w:bookmarkStart w:id="49" w:name="_Toc184310329"/>
      <w:bookmarkEnd w:id="49"/>
      <w:bookmarkStart w:id="50" w:name="_Toc184314432"/>
      <w:bookmarkEnd w:id="50"/>
      <w:bookmarkStart w:id="51" w:name="_Toc184313298"/>
      <w:bookmarkEnd w:id="51"/>
      <w:bookmarkStart w:id="52" w:name="_Toc184313303"/>
      <w:bookmarkEnd w:id="52"/>
      <w:bookmarkStart w:id="53" w:name="_Toc184310278"/>
      <w:bookmarkEnd w:id="53"/>
      <w:bookmarkStart w:id="54" w:name="_Toc184312130"/>
      <w:bookmarkEnd w:id="54"/>
      <w:bookmarkStart w:id="55" w:name="_Toc184312100"/>
      <w:bookmarkEnd w:id="55"/>
      <w:bookmarkStart w:id="56" w:name="_Toc184313290"/>
      <w:bookmarkEnd w:id="56"/>
      <w:bookmarkStart w:id="57" w:name="_Toc184314470"/>
      <w:bookmarkEnd w:id="57"/>
      <w:bookmarkStart w:id="58" w:name="_Toc184310306"/>
      <w:bookmarkEnd w:id="58"/>
      <w:bookmarkStart w:id="59" w:name="_Toc184308094"/>
      <w:bookmarkEnd w:id="59"/>
      <w:bookmarkStart w:id="60" w:name="_Toc184313250"/>
      <w:bookmarkEnd w:id="60"/>
      <w:bookmarkStart w:id="61" w:name="_Toc184308082"/>
      <w:bookmarkEnd w:id="61"/>
      <w:bookmarkStart w:id="62" w:name="_Toc184308056"/>
      <w:bookmarkEnd w:id="62"/>
      <w:bookmarkStart w:id="63" w:name="_Toc184308060"/>
      <w:bookmarkEnd w:id="63"/>
      <w:bookmarkStart w:id="64" w:name="_Toc184313239"/>
      <w:bookmarkEnd w:id="64"/>
      <w:bookmarkStart w:id="65" w:name="_Toc184313265"/>
      <w:bookmarkEnd w:id="65"/>
      <w:bookmarkStart w:id="66" w:name="_Toc184312071"/>
      <w:bookmarkEnd w:id="66"/>
      <w:bookmarkStart w:id="67" w:name="_Toc184312067"/>
      <w:bookmarkEnd w:id="67"/>
      <w:bookmarkStart w:id="68" w:name="_Toc184310296"/>
      <w:bookmarkEnd w:id="68"/>
      <w:bookmarkStart w:id="69" w:name="_Toc184312090"/>
      <w:bookmarkEnd w:id="69"/>
      <w:bookmarkStart w:id="70" w:name="_Toc184312134"/>
      <w:bookmarkEnd w:id="70"/>
      <w:bookmarkStart w:id="71" w:name="_Toc184314472"/>
      <w:bookmarkEnd w:id="71"/>
      <w:bookmarkStart w:id="72" w:name="_Toc184314430"/>
      <w:bookmarkEnd w:id="72"/>
      <w:bookmarkStart w:id="73" w:name="_Toc184310333"/>
      <w:bookmarkEnd w:id="73"/>
      <w:bookmarkStart w:id="74" w:name="_Toc184314445"/>
      <w:bookmarkEnd w:id="74"/>
      <w:bookmarkStart w:id="75" w:name="_Toc184313281"/>
      <w:bookmarkEnd w:id="75"/>
      <w:bookmarkStart w:id="76" w:name="_Toc184313300"/>
      <w:bookmarkEnd w:id="76"/>
      <w:bookmarkStart w:id="77" w:name="_Toc184310277"/>
      <w:bookmarkEnd w:id="77"/>
      <w:bookmarkStart w:id="78" w:name="_Toc184308086"/>
      <w:bookmarkEnd w:id="78"/>
      <w:bookmarkStart w:id="79" w:name="_Toc184313307"/>
      <w:bookmarkEnd w:id="79"/>
      <w:bookmarkStart w:id="80" w:name="_Toc184312085"/>
      <w:bookmarkEnd w:id="80"/>
      <w:bookmarkStart w:id="81" w:name="_Toc184310341"/>
      <w:bookmarkEnd w:id="81"/>
      <w:bookmarkStart w:id="82" w:name="_Toc184310284"/>
      <w:bookmarkEnd w:id="82"/>
      <w:bookmarkStart w:id="83" w:name="_Toc184313251"/>
      <w:bookmarkEnd w:id="83"/>
      <w:bookmarkStart w:id="84" w:name="_Toc184312101"/>
      <w:bookmarkEnd w:id="84"/>
      <w:bookmarkStart w:id="85" w:name="_Toc184313275"/>
      <w:bookmarkEnd w:id="85"/>
      <w:bookmarkStart w:id="86" w:name="_Toc184308067"/>
      <w:bookmarkEnd w:id="86"/>
      <w:bookmarkStart w:id="87" w:name="_Toc184308102"/>
      <w:bookmarkEnd w:id="87"/>
      <w:bookmarkStart w:id="88" w:name="_Toc184310305"/>
      <w:bookmarkEnd w:id="88"/>
      <w:bookmarkStart w:id="89" w:name="_Toc184314412"/>
      <w:bookmarkEnd w:id="89"/>
      <w:bookmarkStart w:id="90" w:name="_Toc184310324"/>
      <w:bookmarkEnd w:id="90"/>
      <w:bookmarkStart w:id="91" w:name="_Toc184314411"/>
      <w:bookmarkEnd w:id="91"/>
      <w:bookmarkStart w:id="92" w:name="_Toc184313276"/>
      <w:bookmarkEnd w:id="92"/>
      <w:bookmarkStart w:id="93" w:name="_Toc184308045"/>
      <w:bookmarkEnd w:id="93"/>
      <w:bookmarkStart w:id="94" w:name="_Toc184310286"/>
      <w:bookmarkEnd w:id="94"/>
      <w:bookmarkStart w:id="95" w:name="_Toc184312078"/>
      <w:bookmarkEnd w:id="95"/>
      <w:bookmarkStart w:id="96" w:name="_Toc184312082"/>
      <w:bookmarkEnd w:id="96"/>
      <w:bookmarkStart w:id="97" w:name="_Toc184313253"/>
      <w:bookmarkEnd w:id="97"/>
      <w:bookmarkStart w:id="98" w:name="_Toc184308058"/>
      <w:bookmarkEnd w:id="98"/>
      <w:bookmarkStart w:id="99" w:name="_Toc184310303"/>
      <w:bookmarkEnd w:id="99"/>
      <w:bookmarkStart w:id="100" w:name="_Toc184310279"/>
      <w:bookmarkEnd w:id="100"/>
      <w:bookmarkStart w:id="101" w:name="_Toc184314480"/>
      <w:bookmarkEnd w:id="101"/>
      <w:bookmarkStart w:id="102" w:name="_Toc184310301"/>
      <w:bookmarkEnd w:id="102"/>
      <w:bookmarkStart w:id="103" w:name="_Toc184313293"/>
      <w:bookmarkEnd w:id="103"/>
      <w:bookmarkStart w:id="104" w:name="_Toc184313304"/>
      <w:bookmarkEnd w:id="104"/>
      <w:bookmarkStart w:id="105" w:name="_Toc184310342"/>
      <w:bookmarkEnd w:id="105"/>
      <w:bookmarkStart w:id="106" w:name="_Toc184312104"/>
      <w:bookmarkEnd w:id="106"/>
      <w:bookmarkStart w:id="107" w:name="_Toc184313308"/>
      <w:bookmarkEnd w:id="107"/>
      <w:bookmarkStart w:id="108" w:name="_Toc184308064"/>
      <w:bookmarkEnd w:id="108"/>
      <w:bookmarkStart w:id="109" w:name="_Toc184308044"/>
      <w:bookmarkEnd w:id="109"/>
      <w:bookmarkStart w:id="110" w:name="_Toc184312120"/>
      <w:bookmarkEnd w:id="110"/>
      <w:bookmarkStart w:id="111" w:name="_Toc184310325"/>
      <w:bookmarkEnd w:id="111"/>
      <w:bookmarkStart w:id="112" w:name="_Toc184310283"/>
      <w:bookmarkEnd w:id="112"/>
      <w:bookmarkStart w:id="113" w:name="_Toc184312114"/>
      <w:bookmarkEnd w:id="113"/>
      <w:bookmarkStart w:id="114" w:name="_Toc184313242"/>
      <w:bookmarkEnd w:id="114"/>
      <w:bookmarkStart w:id="115" w:name="_Toc184314426"/>
      <w:bookmarkEnd w:id="115"/>
      <w:bookmarkStart w:id="116" w:name="_Toc184310334"/>
      <w:bookmarkEnd w:id="116"/>
      <w:bookmarkStart w:id="117" w:name="_Toc184314453"/>
      <w:bookmarkEnd w:id="117"/>
      <w:bookmarkStart w:id="118" w:name="_Toc184308042"/>
      <w:bookmarkEnd w:id="118"/>
      <w:bookmarkStart w:id="119" w:name="_Toc184310295"/>
      <w:bookmarkEnd w:id="119"/>
      <w:bookmarkStart w:id="120" w:name="_Toc184314417"/>
      <w:bookmarkEnd w:id="120"/>
      <w:bookmarkStart w:id="121" w:name="_Toc184313288"/>
      <w:bookmarkEnd w:id="121"/>
      <w:bookmarkStart w:id="122" w:name="_Toc184312083"/>
      <w:bookmarkEnd w:id="122"/>
      <w:bookmarkStart w:id="123" w:name="_Toc184313273"/>
      <w:bookmarkEnd w:id="123"/>
      <w:bookmarkStart w:id="124" w:name="_Toc184312119"/>
      <w:bookmarkEnd w:id="124"/>
      <w:bookmarkStart w:id="125" w:name="_Toc184308047"/>
      <w:bookmarkEnd w:id="125"/>
      <w:bookmarkStart w:id="126" w:name="_Toc184312094"/>
      <w:bookmarkEnd w:id="126"/>
      <w:bookmarkStart w:id="127" w:name="_Toc184308097"/>
      <w:bookmarkEnd w:id="127"/>
      <w:bookmarkStart w:id="128" w:name="_Toc184314421"/>
      <w:bookmarkEnd w:id="128"/>
      <w:bookmarkStart w:id="129" w:name="_Toc184308046"/>
      <w:bookmarkEnd w:id="129"/>
      <w:bookmarkStart w:id="130" w:name="_Toc184310282"/>
      <w:bookmarkEnd w:id="130"/>
      <w:bookmarkStart w:id="131" w:name="_Toc184308071"/>
      <w:bookmarkEnd w:id="131"/>
      <w:bookmarkStart w:id="132" w:name="_Toc184308051"/>
      <w:bookmarkEnd w:id="132"/>
      <w:bookmarkStart w:id="133" w:name="_Toc184313263"/>
      <w:bookmarkEnd w:id="133"/>
      <w:bookmarkStart w:id="134" w:name="_Toc184314425"/>
      <w:bookmarkEnd w:id="134"/>
      <w:bookmarkStart w:id="135" w:name="_Toc184308073"/>
      <w:bookmarkEnd w:id="135"/>
      <w:bookmarkStart w:id="136" w:name="_Toc184312136"/>
      <w:bookmarkEnd w:id="136"/>
      <w:bookmarkStart w:id="137" w:name="_Toc184313292"/>
      <w:bookmarkEnd w:id="137"/>
      <w:bookmarkStart w:id="138" w:name="_Toc184313310"/>
      <w:bookmarkEnd w:id="138"/>
      <w:bookmarkStart w:id="139" w:name="_Toc184314420"/>
      <w:bookmarkEnd w:id="139"/>
      <w:bookmarkStart w:id="140" w:name="_Toc184313266"/>
      <w:bookmarkEnd w:id="140"/>
      <w:bookmarkStart w:id="141" w:name="_Toc184310288"/>
      <w:bookmarkEnd w:id="141"/>
      <w:bookmarkStart w:id="142" w:name="_Toc184312110"/>
      <w:bookmarkEnd w:id="142"/>
      <w:bookmarkStart w:id="143" w:name="_Toc184308076"/>
      <w:bookmarkEnd w:id="143"/>
      <w:bookmarkStart w:id="144" w:name="_Toc184314464"/>
      <w:bookmarkEnd w:id="144"/>
      <w:bookmarkStart w:id="145" w:name="_Toc184313286"/>
      <w:bookmarkEnd w:id="145"/>
      <w:bookmarkStart w:id="146" w:name="_Toc184312127"/>
      <w:bookmarkEnd w:id="146"/>
      <w:bookmarkStart w:id="147" w:name="_Toc184310310"/>
      <w:bookmarkEnd w:id="147"/>
      <w:bookmarkStart w:id="148" w:name="_Toc184308089"/>
      <w:bookmarkEnd w:id="148"/>
      <w:bookmarkStart w:id="149" w:name="_Toc184312084"/>
      <w:bookmarkEnd w:id="149"/>
      <w:bookmarkStart w:id="150" w:name="_Toc184312116"/>
      <w:bookmarkEnd w:id="150"/>
      <w:bookmarkStart w:id="151" w:name="_Toc184314476"/>
      <w:bookmarkEnd w:id="151"/>
      <w:bookmarkStart w:id="152" w:name="_Toc184313284"/>
      <w:bookmarkEnd w:id="152"/>
      <w:bookmarkStart w:id="153" w:name="_Toc184308054"/>
      <w:bookmarkEnd w:id="153"/>
      <w:bookmarkStart w:id="154" w:name="_Toc184313274"/>
      <w:bookmarkEnd w:id="154"/>
      <w:bookmarkStart w:id="155" w:name="_Toc184308049"/>
      <w:bookmarkEnd w:id="155"/>
      <w:bookmarkStart w:id="156" w:name="_Toc184312107"/>
      <w:bookmarkEnd w:id="156"/>
      <w:bookmarkStart w:id="157" w:name="_Toc184314475"/>
      <w:bookmarkEnd w:id="157"/>
      <w:bookmarkStart w:id="158" w:name="_Toc184314439"/>
      <w:bookmarkEnd w:id="158"/>
      <w:bookmarkStart w:id="159" w:name="_Toc184314419"/>
      <w:bookmarkEnd w:id="159"/>
      <w:bookmarkStart w:id="160" w:name="_Toc184312072"/>
      <w:bookmarkEnd w:id="160"/>
      <w:bookmarkStart w:id="161" w:name="_Toc184313246"/>
      <w:bookmarkEnd w:id="161"/>
      <w:bookmarkStart w:id="162" w:name="_Toc184310292"/>
      <w:bookmarkEnd w:id="162"/>
      <w:bookmarkStart w:id="163" w:name="_Toc184308103"/>
      <w:bookmarkEnd w:id="163"/>
      <w:bookmarkStart w:id="164" w:name="_Toc184308039"/>
      <w:bookmarkEnd w:id="164"/>
      <w:bookmarkStart w:id="165" w:name="_Toc184310331"/>
      <w:bookmarkEnd w:id="165"/>
      <w:bookmarkStart w:id="166" w:name="_Toc184314454"/>
      <w:bookmarkEnd w:id="166"/>
      <w:bookmarkStart w:id="167" w:name="_Toc184313260"/>
      <w:bookmarkEnd w:id="167"/>
      <w:bookmarkStart w:id="168" w:name="_Toc184310343"/>
      <w:bookmarkEnd w:id="168"/>
      <w:bookmarkStart w:id="169" w:name="_Toc184312087"/>
      <w:bookmarkEnd w:id="169"/>
      <w:bookmarkStart w:id="170" w:name="_Toc184308070"/>
      <w:bookmarkEnd w:id="170"/>
      <w:bookmarkStart w:id="171" w:name="_Toc184310289"/>
      <w:bookmarkEnd w:id="171"/>
      <w:bookmarkStart w:id="172" w:name="_Toc184308083"/>
      <w:bookmarkEnd w:id="172"/>
      <w:bookmarkStart w:id="173" w:name="_Toc184314458"/>
      <w:bookmarkEnd w:id="173"/>
      <w:bookmarkStart w:id="174" w:name="_Toc184314427"/>
      <w:bookmarkEnd w:id="174"/>
      <w:bookmarkStart w:id="175" w:name="_Toc184313240"/>
      <w:bookmarkEnd w:id="175"/>
      <w:bookmarkStart w:id="176" w:name="_Toc184310285"/>
      <w:bookmarkEnd w:id="176"/>
      <w:bookmarkStart w:id="177" w:name="_Toc184312137"/>
      <w:bookmarkEnd w:id="177"/>
      <w:bookmarkStart w:id="178" w:name="_Toc184310307"/>
      <w:bookmarkEnd w:id="178"/>
      <w:bookmarkStart w:id="179" w:name="_Toc184314442"/>
      <w:bookmarkEnd w:id="179"/>
      <w:bookmarkStart w:id="180" w:name="_Toc184310276"/>
      <w:bookmarkEnd w:id="180"/>
      <w:bookmarkStart w:id="181" w:name="_Toc184313269"/>
      <w:bookmarkEnd w:id="181"/>
      <w:bookmarkStart w:id="182" w:name="_Toc184312080"/>
      <w:bookmarkEnd w:id="182"/>
      <w:bookmarkStart w:id="183" w:name="_Toc184310275"/>
      <w:bookmarkEnd w:id="183"/>
      <w:bookmarkStart w:id="184" w:name="_Toc184308068"/>
      <w:bookmarkEnd w:id="184"/>
      <w:bookmarkStart w:id="185" w:name="_Toc184312089"/>
      <w:bookmarkEnd w:id="185"/>
      <w:bookmarkStart w:id="186" w:name="_Toc184312070"/>
      <w:bookmarkEnd w:id="186"/>
      <w:bookmarkStart w:id="187" w:name="_Toc184314434"/>
      <w:bookmarkEnd w:id="187"/>
      <w:bookmarkStart w:id="188" w:name="_Toc184312108"/>
      <w:bookmarkEnd w:id="188"/>
      <w:bookmarkStart w:id="189" w:name="_Toc184313305"/>
      <w:bookmarkEnd w:id="189"/>
      <w:bookmarkStart w:id="190" w:name="_Toc184310290"/>
      <w:bookmarkEnd w:id="190"/>
      <w:bookmarkStart w:id="191" w:name="_Toc184313301"/>
      <w:bookmarkEnd w:id="191"/>
      <w:bookmarkStart w:id="192" w:name="_Toc184310330"/>
      <w:bookmarkEnd w:id="192"/>
      <w:bookmarkStart w:id="193" w:name="_Toc184312095"/>
      <w:bookmarkEnd w:id="193"/>
      <w:bookmarkStart w:id="194" w:name="_Toc184314429"/>
      <w:bookmarkEnd w:id="194"/>
      <w:bookmarkStart w:id="195" w:name="_Toc184313279"/>
      <w:bookmarkEnd w:id="195"/>
      <w:bookmarkStart w:id="196" w:name="_Toc184308105"/>
      <w:bookmarkEnd w:id="196"/>
      <w:bookmarkStart w:id="197" w:name="_Toc184310327"/>
      <w:bookmarkEnd w:id="197"/>
      <w:bookmarkStart w:id="198" w:name="_Toc184314462"/>
      <w:bookmarkEnd w:id="198"/>
      <w:bookmarkStart w:id="199" w:name="_Toc184313283"/>
      <w:bookmarkEnd w:id="199"/>
      <w:bookmarkStart w:id="200" w:name="_Toc184310339"/>
      <w:bookmarkEnd w:id="200"/>
      <w:bookmarkStart w:id="201" w:name="_Toc184308100"/>
      <w:bookmarkEnd w:id="201"/>
      <w:bookmarkStart w:id="202" w:name="_Toc184308108"/>
      <w:bookmarkEnd w:id="202"/>
      <w:bookmarkStart w:id="203" w:name="_Toc184310337"/>
      <w:bookmarkEnd w:id="203"/>
      <w:bookmarkStart w:id="204" w:name="_Toc184308059"/>
      <w:bookmarkEnd w:id="204"/>
      <w:bookmarkStart w:id="205" w:name="_Toc184308055"/>
      <w:bookmarkEnd w:id="205"/>
      <w:bookmarkStart w:id="206" w:name="_Toc184313258"/>
      <w:bookmarkEnd w:id="206"/>
      <w:bookmarkStart w:id="207" w:name="_Toc184308078"/>
      <w:bookmarkEnd w:id="207"/>
      <w:bookmarkStart w:id="208" w:name="_Toc184310340"/>
      <w:bookmarkEnd w:id="208"/>
      <w:bookmarkStart w:id="209" w:name="_Toc184313272"/>
      <w:bookmarkEnd w:id="209"/>
      <w:bookmarkStart w:id="210" w:name="_Toc184310274"/>
      <w:bookmarkEnd w:id="210"/>
      <w:bookmarkStart w:id="211" w:name="_Toc184313302"/>
      <w:bookmarkEnd w:id="211"/>
      <w:bookmarkStart w:id="212" w:name="_Toc184310344"/>
      <w:bookmarkEnd w:id="212"/>
      <w:bookmarkStart w:id="213" w:name="_Toc184308090"/>
      <w:bookmarkEnd w:id="213"/>
      <w:bookmarkStart w:id="214" w:name="_Toc184308072"/>
      <w:bookmarkEnd w:id="214"/>
      <w:bookmarkStart w:id="215" w:name="_Toc184308043"/>
      <w:bookmarkEnd w:id="215"/>
      <w:bookmarkStart w:id="216" w:name="_Toc184312098"/>
      <w:bookmarkEnd w:id="216"/>
      <w:bookmarkStart w:id="217" w:name="_Toc184314443"/>
      <w:bookmarkEnd w:id="217"/>
      <w:bookmarkStart w:id="218" w:name="_Toc184313261"/>
      <w:bookmarkEnd w:id="218"/>
      <w:bookmarkStart w:id="219" w:name="_Toc184310314"/>
      <w:bookmarkEnd w:id="219"/>
      <w:bookmarkStart w:id="220" w:name="_Toc184312112"/>
      <w:bookmarkEnd w:id="220"/>
      <w:bookmarkStart w:id="221" w:name="_Toc184308099"/>
      <w:bookmarkEnd w:id="221"/>
      <w:bookmarkStart w:id="222" w:name="_Toc184312091"/>
      <w:bookmarkEnd w:id="222"/>
      <w:bookmarkStart w:id="223" w:name="_Toc184313271"/>
      <w:bookmarkEnd w:id="223"/>
      <w:bookmarkStart w:id="224" w:name="_Toc184314451"/>
      <w:bookmarkEnd w:id="224"/>
      <w:bookmarkStart w:id="225" w:name="_Toc184312122"/>
      <w:bookmarkEnd w:id="225"/>
      <w:bookmarkStart w:id="226" w:name="_Toc184308093"/>
      <w:bookmarkEnd w:id="226"/>
      <w:bookmarkStart w:id="227" w:name="_Toc184314416"/>
      <w:bookmarkEnd w:id="227"/>
      <w:bookmarkStart w:id="228" w:name="_Toc184308074"/>
      <w:bookmarkEnd w:id="228"/>
      <w:bookmarkStart w:id="229" w:name="_Toc184313270"/>
      <w:bookmarkEnd w:id="229"/>
      <w:bookmarkStart w:id="230" w:name="_Toc184310315"/>
      <w:bookmarkEnd w:id="230"/>
      <w:bookmarkStart w:id="231" w:name="_Toc184313247"/>
      <w:bookmarkEnd w:id="231"/>
      <w:bookmarkStart w:id="232" w:name="_Toc184308036"/>
      <w:bookmarkEnd w:id="232"/>
      <w:bookmarkStart w:id="233" w:name="_Toc184312133"/>
      <w:bookmarkEnd w:id="233"/>
      <w:bookmarkStart w:id="234" w:name="_Toc184312128"/>
      <w:bookmarkEnd w:id="234"/>
      <w:bookmarkStart w:id="235" w:name="_Toc184314465"/>
      <w:bookmarkEnd w:id="235"/>
      <w:bookmarkStart w:id="236" w:name="_Toc184314466"/>
      <w:bookmarkEnd w:id="236"/>
      <w:bookmarkStart w:id="237" w:name="_Toc184313254"/>
      <w:bookmarkEnd w:id="237"/>
      <w:bookmarkStart w:id="238" w:name="_Toc184310321"/>
      <w:bookmarkEnd w:id="238"/>
      <w:bookmarkStart w:id="239" w:name="_Toc184310300"/>
      <w:bookmarkEnd w:id="239"/>
      <w:bookmarkStart w:id="240" w:name="_Toc184310309"/>
      <w:bookmarkEnd w:id="240"/>
      <w:bookmarkStart w:id="241" w:name="_Toc184312125"/>
      <w:bookmarkEnd w:id="241"/>
      <w:bookmarkStart w:id="242" w:name="_Toc184310311"/>
      <w:bookmarkEnd w:id="242"/>
      <w:bookmarkStart w:id="243" w:name="_Toc184314473"/>
      <w:bookmarkEnd w:id="243"/>
      <w:bookmarkStart w:id="244" w:name="_Toc184313252"/>
      <w:bookmarkEnd w:id="244"/>
      <w:bookmarkStart w:id="245" w:name="_Toc184314428"/>
      <w:bookmarkEnd w:id="245"/>
      <w:bookmarkStart w:id="246" w:name="_Toc184310273"/>
      <w:bookmarkEnd w:id="246"/>
      <w:bookmarkStart w:id="247" w:name="_Toc184312132"/>
      <w:bookmarkEnd w:id="247"/>
      <w:bookmarkStart w:id="248" w:name="_Toc184308040"/>
      <w:bookmarkEnd w:id="248"/>
      <w:bookmarkStart w:id="249" w:name="_Toc184313259"/>
      <w:bookmarkEnd w:id="249"/>
      <w:bookmarkStart w:id="250" w:name="_Toc184313241"/>
      <w:bookmarkEnd w:id="250"/>
      <w:bookmarkStart w:id="251" w:name="_Toc184308096"/>
      <w:bookmarkEnd w:id="251"/>
      <w:bookmarkStart w:id="252" w:name="_Toc184312088"/>
      <w:bookmarkEnd w:id="252"/>
      <w:bookmarkStart w:id="253" w:name="_Toc184314468"/>
      <w:bookmarkEnd w:id="253"/>
      <w:bookmarkStart w:id="254" w:name="_Toc184314447"/>
      <w:bookmarkEnd w:id="254"/>
      <w:bookmarkStart w:id="255" w:name="_Toc184312124"/>
      <w:bookmarkEnd w:id="255"/>
      <w:bookmarkStart w:id="256" w:name="_Toc184312115"/>
      <w:bookmarkEnd w:id="256"/>
      <w:bookmarkStart w:id="257" w:name="_Toc184313277"/>
      <w:bookmarkEnd w:id="257"/>
      <w:bookmarkStart w:id="258" w:name="_Toc184312102"/>
      <w:bookmarkEnd w:id="258"/>
      <w:bookmarkStart w:id="259" w:name="_Toc184310317"/>
      <w:bookmarkEnd w:id="259"/>
      <w:bookmarkStart w:id="260" w:name="_Toc184308050"/>
      <w:bookmarkEnd w:id="260"/>
      <w:bookmarkStart w:id="261" w:name="_Toc184314481"/>
      <w:bookmarkEnd w:id="261"/>
      <w:bookmarkStart w:id="262" w:name="_Toc184312123"/>
      <w:bookmarkEnd w:id="262"/>
      <w:bookmarkStart w:id="263" w:name="_Toc184310338"/>
      <w:bookmarkEnd w:id="263"/>
      <w:bookmarkStart w:id="264" w:name="_Toc184313243"/>
      <w:bookmarkEnd w:id="264"/>
      <w:bookmarkStart w:id="265" w:name="_Toc184314457"/>
      <w:bookmarkEnd w:id="265"/>
      <w:bookmarkStart w:id="266" w:name="_Toc184313264"/>
      <w:bookmarkEnd w:id="266"/>
      <w:bookmarkStart w:id="267" w:name="_Toc184308091"/>
      <w:bookmarkEnd w:id="267"/>
      <w:bookmarkStart w:id="268" w:name="_Toc184312092"/>
      <w:bookmarkEnd w:id="268"/>
      <w:bookmarkStart w:id="269" w:name="_Toc184312118"/>
      <w:bookmarkEnd w:id="269"/>
      <w:bookmarkStart w:id="270" w:name="_Toc184310298"/>
      <w:bookmarkEnd w:id="270"/>
      <w:bookmarkStart w:id="271" w:name="_Toc184314479"/>
      <w:bookmarkEnd w:id="271"/>
      <w:bookmarkStart w:id="272" w:name="_Toc184312073"/>
      <w:bookmarkEnd w:id="272"/>
      <w:bookmarkStart w:id="273" w:name="_Toc184310293"/>
      <w:bookmarkEnd w:id="273"/>
      <w:bookmarkStart w:id="274" w:name="_Toc184308088"/>
      <w:bookmarkEnd w:id="274"/>
      <w:bookmarkStart w:id="275" w:name="_Toc184314446"/>
      <w:bookmarkEnd w:id="275"/>
      <w:bookmarkStart w:id="276" w:name="_Toc184308095"/>
      <w:bookmarkEnd w:id="276"/>
      <w:bookmarkStart w:id="277" w:name="_Toc184314469"/>
      <w:bookmarkEnd w:id="277"/>
      <w:bookmarkStart w:id="278" w:name="_Toc184314452"/>
      <w:bookmarkEnd w:id="278"/>
      <w:bookmarkStart w:id="279" w:name="_Toc184312138"/>
      <w:bookmarkEnd w:id="279"/>
      <w:bookmarkStart w:id="280" w:name="_Toc184313245"/>
      <w:bookmarkEnd w:id="280"/>
      <w:bookmarkStart w:id="281" w:name="_Toc184313299"/>
      <w:bookmarkEnd w:id="281"/>
      <w:bookmarkStart w:id="282" w:name="_Toc184310335"/>
      <w:bookmarkEnd w:id="282"/>
      <w:bookmarkStart w:id="283" w:name="_Toc184313268"/>
      <w:bookmarkEnd w:id="283"/>
      <w:bookmarkStart w:id="284" w:name="_Toc184314477"/>
      <w:bookmarkEnd w:id="284"/>
      <w:bookmarkStart w:id="285" w:name="_Toc184312121"/>
      <w:bookmarkEnd w:id="285"/>
      <w:bookmarkStart w:id="286" w:name="_Toc184308061"/>
      <w:bookmarkEnd w:id="286"/>
      <w:bookmarkStart w:id="287" w:name="_Toc184313289"/>
      <w:bookmarkEnd w:id="287"/>
      <w:bookmarkStart w:id="288" w:name="_Toc184313262"/>
      <w:bookmarkEnd w:id="288"/>
      <w:bookmarkStart w:id="289" w:name="_Toc184314471"/>
      <w:bookmarkEnd w:id="289"/>
      <w:bookmarkStart w:id="290" w:name="_Toc184314418"/>
      <w:bookmarkEnd w:id="290"/>
      <w:bookmarkStart w:id="291" w:name="_Toc184312126"/>
      <w:bookmarkEnd w:id="291"/>
      <w:bookmarkStart w:id="292" w:name="_Toc184312117"/>
      <w:bookmarkEnd w:id="292"/>
      <w:bookmarkStart w:id="293" w:name="_Toc184308037"/>
      <w:bookmarkEnd w:id="293"/>
      <w:bookmarkStart w:id="294" w:name="_Toc184312069"/>
      <w:bookmarkEnd w:id="294"/>
      <w:bookmarkStart w:id="295" w:name="_Toc184310336"/>
      <w:bookmarkEnd w:id="295"/>
      <w:bookmarkStart w:id="296" w:name="_Toc184314423"/>
      <w:bookmarkEnd w:id="296"/>
      <w:bookmarkStart w:id="297" w:name="_Toc184314410"/>
      <w:bookmarkEnd w:id="297"/>
      <w:bookmarkStart w:id="298" w:name="_Toc184312077"/>
      <w:bookmarkEnd w:id="298"/>
      <w:bookmarkStart w:id="299" w:name="_Toc184312129"/>
      <w:bookmarkEnd w:id="299"/>
      <w:bookmarkStart w:id="300" w:name="_Toc184310308"/>
      <w:bookmarkEnd w:id="300"/>
      <w:bookmarkStart w:id="301" w:name="_Toc184310280"/>
      <w:bookmarkEnd w:id="301"/>
      <w:bookmarkStart w:id="302" w:name="_Toc184310299"/>
      <w:bookmarkEnd w:id="302"/>
      <w:bookmarkStart w:id="303" w:name="_Toc184314440"/>
      <w:bookmarkEnd w:id="303"/>
      <w:bookmarkStart w:id="304" w:name="_Toc184313294"/>
      <w:bookmarkEnd w:id="304"/>
      <w:bookmarkStart w:id="305" w:name="_Toc184312079"/>
      <w:bookmarkEnd w:id="305"/>
      <w:bookmarkStart w:id="306" w:name="_Toc184310272"/>
      <w:bookmarkEnd w:id="306"/>
      <w:bookmarkStart w:id="307" w:name="_Toc184308077"/>
      <w:bookmarkEnd w:id="307"/>
      <w:bookmarkStart w:id="308" w:name="_Toc184314450"/>
      <w:bookmarkEnd w:id="308"/>
      <w:bookmarkStart w:id="309" w:name="_Toc184314424"/>
      <w:bookmarkEnd w:id="309"/>
      <w:bookmarkStart w:id="310" w:name="_Toc184308048"/>
      <w:bookmarkEnd w:id="310"/>
      <w:bookmarkStart w:id="311" w:name="_Toc184310316"/>
      <w:bookmarkEnd w:id="311"/>
      <w:bookmarkStart w:id="312" w:name="_Toc184314449"/>
      <w:bookmarkEnd w:id="312"/>
      <w:bookmarkStart w:id="313" w:name="_Toc184313285"/>
      <w:bookmarkEnd w:id="313"/>
      <w:bookmarkStart w:id="314" w:name="_Toc184312111"/>
      <w:bookmarkEnd w:id="314"/>
      <w:bookmarkStart w:id="315" w:name="_Toc184310297"/>
      <w:bookmarkEnd w:id="315"/>
      <w:bookmarkStart w:id="316" w:name="_Toc184310319"/>
      <w:bookmarkEnd w:id="316"/>
      <w:bookmarkStart w:id="317" w:name="_Toc184308079"/>
      <w:bookmarkEnd w:id="317"/>
      <w:bookmarkStart w:id="318" w:name="_Toc184308052"/>
      <w:bookmarkEnd w:id="318"/>
      <w:bookmarkStart w:id="319" w:name="_Toc184314415"/>
      <w:bookmarkEnd w:id="319"/>
      <w:bookmarkStart w:id="320" w:name="_Toc184310287"/>
      <w:bookmarkEnd w:id="320"/>
      <w:bookmarkStart w:id="321" w:name="_Toc184312106"/>
      <w:bookmarkEnd w:id="321"/>
      <w:bookmarkStart w:id="322" w:name="_Toc184312131"/>
      <w:bookmarkEnd w:id="322"/>
      <w:bookmarkStart w:id="323" w:name="_Toc184310326"/>
      <w:bookmarkEnd w:id="323"/>
      <w:bookmarkStart w:id="324" w:name="_Toc184308084"/>
      <w:bookmarkEnd w:id="324"/>
      <w:bookmarkStart w:id="325" w:name="_Toc184308065"/>
      <w:bookmarkEnd w:id="325"/>
      <w:bookmarkStart w:id="326" w:name="_Toc184310332"/>
      <w:bookmarkEnd w:id="326"/>
      <w:bookmarkStart w:id="327" w:name="_Toc184310318"/>
      <w:bookmarkEnd w:id="327"/>
      <w:bookmarkStart w:id="328" w:name="_Toc184313255"/>
      <w:bookmarkEnd w:id="328"/>
      <w:bookmarkStart w:id="329" w:name="_Toc184310328"/>
      <w:bookmarkEnd w:id="329"/>
      <w:bookmarkStart w:id="330" w:name="_Toc184308107"/>
      <w:bookmarkEnd w:id="330"/>
      <w:bookmarkStart w:id="331" w:name="_Toc184314455"/>
      <w:bookmarkEnd w:id="331"/>
      <w:bookmarkStart w:id="332" w:name="_Toc184314482"/>
      <w:bookmarkEnd w:id="332"/>
      <w:bookmarkStart w:id="333" w:name="_Toc184310294"/>
      <w:bookmarkEnd w:id="333"/>
      <w:bookmarkStart w:id="334" w:name="_Toc184314422"/>
      <w:bookmarkEnd w:id="334"/>
      <w:bookmarkStart w:id="335" w:name="_Toc184314433"/>
      <w:bookmarkEnd w:id="335"/>
      <w:bookmarkStart w:id="336" w:name="_Toc184314441"/>
      <w:bookmarkEnd w:id="336"/>
      <w:bookmarkStart w:id="337" w:name="_Toc184312096"/>
      <w:bookmarkEnd w:id="337"/>
      <w:bookmarkStart w:id="338" w:name="_Toc184308098"/>
      <w:bookmarkEnd w:id="338"/>
      <w:bookmarkStart w:id="339" w:name="_Toc184310323"/>
      <w:bookmarkEnd w:id="339"/>
      <w:bookmarkStart w:id="340" w:name="_Toc184308057"/>
      <w:bookmarkEnd w:id="340"/>
      <w:bookmarkStart w:id="341" w:name="_Toc184314414"/>
      <w:bookmarkEnd w:id="341"/>
      <w:bookmarkStart w:id="342" w:name="_Toc184310302"/>
      <w:bookmarkEnd w:id="342"/>
      <w:bookmarkStart w:id="343" w:name="_Toc184312109"/>
      <w:bookmarkEnd w:id="343"/>
      <w:bookmarkStart w:id="344" w:name="_Toc184312113"/>
      <w:bookmarkEnd w:id="344"/>
      <w:bookmarkStart w:id="345" w:name="_Toc184308063"/>
      <w:bookmarkEnd w:id="345"/>
      <w:bookmarkStart w:id="346" w:name="_Toc184310320"/>
      <w:bookmarkEnd w:id="346"/>
      <w:bookmarkStart w:id="347" w:name="_Toc184313249"/>
      <w:bookmarkEnd w:id="347"/>
      <w:bookmarkStart w:id="348" w:name="_Toc184314444"/>
      <w:bookmarkEnd w:id="348"/>
      <w:bookmarkStart w:id="349" w:name="_Toc184308038"/>
      <w:bookmarkEnd w:id="349"/>
      <w:bookmarkStart w:id="350" w:name="_Toc184314437"/>
      <w:bookmarkEnd w:id="350"/>
      <w:bookmarkStart w:id="351" w:name="_Toc184312099"/>
      <w:bookmarkEnd w:id="351"/>
      <w:bookmarkStart w:id="352" w:name="_Toc184313256"/>
      <w:bookmarkEnd w:id="352"/>
      <w:bookmarkStart w:id="353" w:name="_Toc184310304"/>
      <w:bookmarkEnd w:id="353"/>
      <w:bookmarkStart w:id="354" w:name="_Toc184314460"/>
      <w:bookmarkEnd w:id="354"/>
      <w:bookmarkStart w:id="355" w:name="_Toc184312075"/>
      <w:bookmarkEnd w:id="355"/>
      <w:bookmarkStart w:id="356" w:name="_Toc184308069"/>
      <w:bookmarkEnd w:id="356"/>
      <w:bookmarkStart w:id="357" w:name="_Toc184308041"/>
      <w:bookmarkEnd w:id="357"/>
      <w:bookmarkStart w:id="358" w:name="_Toc184308085"/>
      <w:bookmarkEnd w:id="358"/>
      <w:bookmarkStart w:id="359" w:name="_Toc184313295"/>
      <w:bookmarkEnd w:id="359"/>
      <w:bookmarkStart w:id="360" w:name="_Toc184314467"/>
      <w:bookmarkEnd w:id="360"/>
      <w:bookmarkStart w:id="361" w:name="_Toc184313282"/>
      <w:bookmarkEnd w:id="361"/>
      <w:bookmarkStart w:id="362" w:name="_Toc184313244"/>
      <w:bookmarkEnd w:id="362"/>
      <w:bookmarkStart w:id="363" w:name="_Toc184314474"/>
      <w:bookmarkEnd w:id="363"/>
      <w:bookmarkStart w:id="364" w:name="_Toc184314413"/>
      <w:bookmarkEnd w:id="364"/>
      <w:bookmarkStart w:id="365" w:name="_Toc184313248"/>
      <w:bookmarkEnd w:id="365"/>
      <w:bookmarkStart w:id="366" w:name="_Toc184308104"/>
      <w:bookmarkEnd w:id="366"/>
      <w:bookmarkStart w:id="367" w:name="_Toc184314448"/>
      <w:bookmarkEnd w:id="367"/>
      <w:bookmarkStart w:id="368" w:name="_Toc184310322"/>
      <w:bookmarkEnd w:id="368"/>
      <w:bookmarkStart w:id="369" w:name="_Toc184314459"/>
      <w:bookmarkEnd w:id="369"/>
      <w:bookmarkStart w:id="370" w:name="_Toc184313296"/>
      <w:bookmarkEnd w:id="370"/>
      <w:bookmarkStart w:id="371" w:name="_Toc184314461"/>
      <w:bookmarkEnd w:id="371"/>
      <w:bookmarkStart w:id="372" w:name="_Toc184312068"/>
      <w:bookmarkEnd w:id="372"/>
      <w:bookmarkStart w:id="373" w:name="_Toc184314431"/>
      <w:bookmarkEnd w:id="373"/>
      <w:bookmarkStart w:id="374" w:name="_Toc184312074"/>
      <w:bookmarkEnd w:id="374"/>
      <w:bookmarkStart w:id="375" w:name="_Toc184313278"/>
      <w:bookmarkEnd w:id="375"/>
      <w:bookmarkStart w:id="376" w:name="_Toc184308053"/>
      <w:bookmarkEnd w:id="376"/>
      <w:bookmarkStart w:id="377" w:name="_Toc184313257"/>
      <w:bookmarkEnd w:id="377"/>
      <w:bookmarkStart w:id="378" w:name="_Toc184308080"/>
      <w:bookmarkEnd w:id="378"/>
      <w:bookmarkStart w:id="379" w:name="_Toc184313287"/>
      <w:bookmarkEnd w:id="379"/>
      <w:bookmarkStart w:id="380" w:name="_Toc184312139"/>
      <w:bookmarkEnd w:id="380"/>
      <w:bookmarkStart w:id="381" w:name="_Toc184308101"/>
      <w:bookmarkEnd w:id="381"/>
      <w:bookmarkStart w:id="382" w:name="_Toc184314456"/>
      <w:bookmarkEnd w:id="382"/>
      <w:bookmarkStart w:id="383" w:name="_Toc184313238"/>
      <w:bookmarkEnd w:id="383"/>
      <w:bookmarkStart w:id="384" w:name="_Toc184310312"/>
      <w:bookmarkEnd w:id="384"/>
      <w:bookmarkStart w:id="385" w:name="_Toc184312097"/>
      <w:bookmarkEnd w:id="385"/>
      <w:bookmarkStart w:id="386" w:name="_Toc184313267"/>
      <w:bookmarkEnd w:id="386"/>
      <w:bookmarkStart w:id="387" w:name="_Toc184314435"/>
      <w:bookmarkEnd w:id="387"/>
      <w:bookmarkStart w:id="388" w:name="_Toc184313280"/>
      <w:bookmarkEnd w:id="388"/>
      <w:r>
        <w:rPr>
          <w:rFonts w:hint="eastAsia" w:ascii="仿宋" w:hAnsi="仿宋" w:eastAsia="仿宋" w:cs="仿宋"/>
          <w:b/>
          <w:color w:val="auto"/>
          <w:spacing w:val="0"/>
          <w:kern w:val="0"/>
          <w:sz w:val="36"/>
          <w:szCs w:val="36"/>
          <w:highlight w:val="none"/>
          <w:fitText w:val="1444" w:id="-982737664"/>
        </w:rPr>
        <w:t>评</w:t>
      </w:r>
      <w:r>
        <w:rPr>
          <w:rFonts w:hint="eastAsia" w:ascii="仿宋" w:hAnsi="仿宋" w:eastAsia="仿宋" w:cs="仿宋"/>
          <w:b/>
          <w:color w:val="auto"/>
          <w:sz w:val="36"/>
          <w:szCs w:val="36"/>
          <w:highlight w:val="none"/>
        </w:rPr>
        <w:t>标办法</w:t>
      </w:r>
    </w:p>
    <w:p w14:paraId="0BEB5E93">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pPr w:leftFromText="180" w:rightFromText="180" w:vertAnchor="text" w:horzAnchor="page" w:tblpX="1803" w:tblpY="6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4898"/>
        <w:gridCol w:w="611"/>
        <w:gridCol w:w="698"/>
        <w:gridCol w:w="1514"/>
      </w:tblGrid>
      <w:tr w14:paraId="4FC93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7E0F3D1E">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4898" w:type="dxa"/>
            <w:vAlign w:val="center"/>
          </w:tcPr>
          <w:p w14:paraId="4175BDEF">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评标标准</w:t>
            </w:r>
          </w:p>
        </w:tc>
        <w:tc>
          <w:tcPr>
            <w:tcW w:w="611" w:type="dxa"/>
            <w:vAlign w:val="center"/>
          </w:tcPr>
          <w:p w14:paraId="2D0C19FF">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698" w:type="dxa"/>
            <w:vAlign w:val="center"/>
          </w:tcPr>
          <w:p w14:paraId="1349114D">
            <w:pPr>
              <w:snapToGrid w:val="0"/>
              <w:spacing w:line="24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主观分/客观分属性</w:t>
            </w:r>
          </w:p>
        </w:tc>
        <w:tc>
          <w:tcPr>
            <w:tcW w:w="1514" w:type="dxa"/>
            <w:vAlign w:val="center"/>
          </w:tcPr>
          <w:p w14:paraId="4DF8C18E">
            <w:pPr>
              <w:snapToGrid w:val="0"/>
              <w:spacing w:line="240" w:lineRule="auto"/>
              <w:jc w:val="center"/>
              <w:rPr>
                <w:rFonts w:ascii="仿宋" w:hAnsi="仿宋" w:eastAsia="仿宋" w:cs="仿宋"/>
                <w:color w:val="auto"/>
                <w:sz w:val="24"/>
                <w:highlight w:val="none"/>
              </w:rPr>
            </w:pPr>
            <w:r>
              <w:rPr>
                <w:rFonts w:hint="eastAsia" w:ascii="仿宋" w:hAnsi="仿宋" w:eastAsia="仿宋" w:cs="仿宋"/>
                <w:bCs/>
                <w:color w:val="auto"/>
                <w:sz w:val="24"/>
                <w:highlight w:val="none"/>
              </w:rPr>
              <w:t>投标文件中评标标准相应的商务技术资料目录*</w:t>
            </w:r>
          </w:p>
        </w:tc>
      </w:tr>
      <w:tr w14:paraId="1BAC9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027829A7">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4898" w:type="dxa"/>
            <w:vAlign w:val="center"/>
          </w:tcPr>
          <w:p w14:paraId="7D3FE606">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投标人2022年1月1日（以合同签订时间为准）至今具有同类项目成功案例合同电子扫描件，经评标委员会认定为有效业绩合同的，每份按1分计算，最高得2分。</w:t>
            </w:r>
          </w:p>
          <w:p w14:paraId="11341042">
            <w:pPr>
              <w:snapToGrid w:val="0"/>
              <w:spacing w:line="240" w:lineRule="auto"/>
              <w:jc w:val="left"/>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证明材料：提供合同复印件并加盖公章，以合同签订时间为准，无日期视为无效资料。</w:t>
            </w:r>
          </w:p>
        </w:tc>
        <w:tc>
          <w:tcPr>
            <w:tcW w:w="611" w:type="dxa"/>
            <w:vAlign w:val="center"/>
          </w:tcPr>
          <w:p w14:paraId="671380C9">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698" w:type="dxa"/>
            <w:vAlign w:val="center"/>
          </w:tcPr>
          <w:p w14:paraId="63DE47E4">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1514" w:type="dxa"/>
            <w:vAlign w:val="center"/>
          </w:tcPr>
          <w:p w14:paraId="1ED8EEED">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业绩</w:t>
            </w:r>
          </w:p>
        </w:tc>
      </w:tr>
      <w:tr w14:paraId="769D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6D168DF0">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4898" w:type="dxa"/>
            <w:vAlign w:val="center"/>
          </w:tcPr>
          <w:p w14:paraId="29DB5BBF">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投标人具有有效期内的环境管理体系认证、职业健康安全管理体系认证、质量管理体系认证，每提供一个得1分，最高得3分。</w:t>
            </w:r>
          </w:p>
          <w:p w14:paraId="1134D8F9">
            <w:pPr>
              <w:snapToGrid w:val="0"/>
              <w:spacing w:line="240" w:lineRule="auto"/>
              <w:jc w:val="left"/>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证明材料：提供证书复印件及国家认证认可业务信息统一查询平台（http：//www.cnca.gov.cn）的证书查询截图（含网址）并加盖公章，不提供不得分。</w:t>
            </w:r>
          </w:p>
        </w:tc>
        <w:tc>
          <w:tcPr>
            <w:tcW w:w="611" w:type="dxa"/>
            <w:vAlign w:val="center"/>
          </w:tcPr>
          <w:p w14:paraId="337033FA">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698" w:type="dxa"/>
            <w:vAlign w:val="center"/>
          </w:tcPr>
          <w:p w14:paraId="2AE93A4E">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1514" w:type="dxa"/>
            <w:vAlign w:val="center"/>
          </w:tcPr>
          <w:p w14:paraId="6D3814AC">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体系认证</w:t>
            </w:r>
          </w:p>
        </w:tc>
      </w:tr>
      <w:tr w14:paraId="16D4B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78D9E005">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4898" w:type="dxa"/>
            <w:vAlign w:val="center"/>
          </w:tcPr>
          <w:p w14:paraId="5F945D9F">
            <w:pPr>
              <w:snapToGrid w:val="0"/>
              <w:spacing w:line="240" w:lineRule="auto"/>
              <w:jc w:val="left"/>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投标人对采购人的需求理解程度及整体方案的科学性、合理性、完整性：①投标人根据对项目建设需求、技术要求的理解②充分考虑用户实际使用场景，提供升级改造的整体技术解决方案。每一项方案内容完整且合理、可行的得3分，内容完整基本合理可行的得2分，内容有所欠缺需完善的得1分，不提供的不得分，最高得6分。</w:t>
            </w:r>
          </w:p>
        </w:tc>
        <w:tc>
          <w:tcPr>
            <w:tcW w:w="611" w:type="dxa"/>
            <w:vAlign w:val="center"/>
          </w:tcPr>
          <w:p w14:paraId="6BD91E52">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698" w:type="dxa"/>
            <w:vAlign w:val="center"/>
          </w:tcPr>
          <w:p w14:paraId="50F4313E">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514" w:type="dxa"/>
            <w:vAlign w:val="center"/>
          </w:tcPr>
          <w:p w14:paraId="5E3ABD0B">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需求了解及整体方案</w:t>
            </w:r>
          </w:p>
        </w:tc>
      </w:tr>
      <w:tr w14:paraId="22A1C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7DBD2FA5">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4898" w:type="dxa"/>
            <w:vAlign w:val="center"/>
          </w:tcPr>
          <w:p w14:paraId="469D6AA8">
            <w:pPr>
              <w:snapToGrid w:val="0"/>
              <w:spacing w:line="240" w:lineRule="auto"/>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投标人是否具有充足的网络资源：要求满足上城区全域的服务需求，投标人须提供真实的网络资源分布清单，网络资源分布情况应确保能在上城区范围内根据要求在需要的位置进行前端设备的布点或移机，有效保障提供高质量地提供服务，提供清单并满足网络要求得3分，否则不得分。</w:t>
            </w:r>
          </w:p>
        </w:tc>
        <w:tc>
          <w:tcPr>
            <w:tcW w:w="611" w:type="dxa"/>
            <w:vAlign w:val="center"/>
          </w:tcPr>
          <w:p w14:paraId="4057D91C">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698" w:type="dxa"/>
            <w:vAlign w:val="center"/>
          </w:tcPr>
          <w:p w14:paraId="6044E0B9">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1514" w:type="dxa"/>
            <w:vAlign w:val="center"/>
          </w:tcPr>
          <w:p w14:paraId="453DB3A6">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具体网络资源情况</w:t>
            </w:r>
          </w:p>
        </w:tc>
      </w:tr>
      <w:tr w14:paraId="4E0F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08443354">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4898" w:type="dxa"/>
            <w:vAlign w:val="center"/>
          </w:tcPr>
          <w:p w14:paraId="47A07660">
            <w:pPr>
              <w:snapToGrid w:val="0"/>
              <w:spacing w:line="240" w:lineRule="auto"/>
              <w:jc w:val="lef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投标产品与需求的吻合程度：“★”项技术指标每一项符合得1分，本项最高15分。（投标产品与“★”需求的吻合程度需要提供具备合法资质的第三方检测机构出具的检测报告作为功能吻合度核对依据的，以检测报告作为评判依据，在技术响应表中明确该项参数证明材料的具体页码。）</w:t>
            </w:r>
          </w:p>
        </w:tc>
        <w:tc>
          <w:tcPr>
            <w:tcW w:w="611" w:type="dxa"/>
            <w:shd w:val="clear" w:color="auto" w:fill="auto"/>
            <w:vAlign w:val="center"/>
          </w:tcPr>
          <w:p w14:paraId="4549268E">
            <w:pPr>
              <w:snapToGrid w:val="0"/>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15</w:t>
            </w:r>
          </w:p>
        </w:tc>
        <w:tc>
          <w:tcPr>
            <w:tcW w:w="698" w:type="dxa"/>
            <w:shd w:val="clear" w:color="auto" w:fill="auto"/>
            <w:vAlign w:val="center"/>
          </w:tcPr>
          <w:p w14:paraId="519B0347">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客观</w:t>
            </w:r>
          </w:p>
        </w:tc>
        <w:tc>
          <w:tcPr>
            <w:tcW w:w="1514" w:type="dxa"/>
            <w:shd w:val="clear" w:color="auto" w:fill="auto"/>
            <w:vAlign w:val="center"/>
          </w:tcPr>
          <w:p w14:paraId="1774ACEF">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sz w:val="24"/>
                <w:highlight w:val="none"/>
                <w:lang w:val="en-US" w:eastAsia="zh-CN"/>
              </w:rPr>
              <w:t>产品具体资料</w:t>
            </w:r>
          </w:p>
        </w:tc>
      </w:tr>
      <w:tr w14:paraId="14F1E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12BCFC9A">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4898" w:type="dxa"/>
            <w:vAlign w:val="center"/>
          </w:tcPr>
          <w:p w14:paraId="7E844244">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承诺①由投标人提供培训服务包括（产品的功能、操作使用、注意事项、日常维护保养事项等）方面，使产品能正常应用②集中培训次数不少于2次③培训人数不少于6人④师资力量：技术人员或工程师，提供承诺并符合采购人要求的①~④项，每一项得1分，未提供不得分，最高得4分。</w:t>
            </w:r>
          </w:p>
        </w:tc>
        <w:tc>
          <w:tcPr>
            <w:tcW w:w="611" w:type="dxa"/>
            <w:vAlign w:val="center"/>
          </w:tcPr>
          <w:p w14:paraId="18F36F39">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698" w:type="dxa"/>
            <w:vAlign w:val="center"/>
          </w:tcPr>
          <w:p w14:paraId="6E25B2F5">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1514" w:type="dxa"/>
            <w:vAlign w:val="center"/>
          </w:tcPr>
          <w:p w14:paraId="65ACCF53">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服务承诺</w:t>
            </w:r>
          </w:p>
        </w:tc>
      </w:tr>
      <w:tr w14:paraId="3D0BD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6294BF4E">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4898" w:type="dxa"/>
            <w:vAlign w:val="center"/>
          </w:tcPr>
          <w:p w14:paraId="6B797B16">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承诺提供7×24小时的电话响应服务，接到采购人产品质量申告电话后提供2小时以内响应，4小时内到达现场进行故障处理，如因货物本身问题在24小时之内仍不能排除的故障，承诺提供换货服务，以保证采购人的正常使用。提供承诺并符合要求得2分，未提供不得分。</w:t>
            </w:r>
          </w:p>
        </w:tc>
        <w:tc>
          <w:tcPr>
            <w:tcW w:w="611" w:type="dxa"/>
            <w:vAlign w:val="center"/>
          </w:tcPr>
          <w:p w14:paraId="66B0F0C3">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698" w:type="dxa"/>
            <w:shd w:val="clear" w:color="auto" w:fill="auto"/>
            <w:vAlign w:val="center"/>
          </w:tcPr>
          <w:p w14:paraId="6A78CEEF">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客观</w:t>
            </w:r>
          </w:p>
        </w:tc>
        <w:tc>
          <w:tcPr>
            <w:tcW w:w="1514" w:type="dxa"/>
            <w:shd w:val="clear" w:color="auto" w:fill="auto"/>
            <w:vAlign w:val="center"/>
          </w:tcPr>
          <w:p w14:paraId="2233C3A3">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服务承诺</w:t>
            </w:r>
          </w:p>
        </w:tc>
      </w:tr>
      <w:tr w14:paraId="332B0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4966E90C">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4898" w:type="dxa"/>
            <w:vAlign w:val="center"/>
          </w:tcPr>
          <w:p w14:paraId="22E0799B">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投标人承诺提供不少于3年的维护技术支持，中标后提供原厂质保承诺函，如原厂质保期高于3年的，按原厂质保期执行。满足得2分，不满足不得分。</w:t>
            </w:r>
          </w:p>
        </w:tc>
        <w:tc>
          <w:tcPr>
            <w:tcW w:w="611" w:type="dxa"/>
            <w:vAlign w:val="center"/>
          </w:tcPr>
          <w:p w14:paraId="6D8A0135">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698" w:type="dxa"/>
            <w:shd w:val="clear" w:color="auto" w:fill="auto"/>
            <w:vAlign w:val="center"/>
          </w:tcPr>
          <w:p w14:paraId="42D5C599">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客观</w:t>
            </w:r>
          </w:p>
        </w:tc>
        <w:tc>
          <w:tcPr>
            <w:tcW w:w="1514" w:type="dxa"/>
            <w:shd w:val="clear" w:color="auto" w:fill="auto"/>
            <w:vAlign w:val="center"/>
          </w:tcPr>
          <w:p w14:paraId="522F26E6">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服务承诺</w:t>
            </w:r>
          </w:p>
        </w:tc>
      </w:tr>
      <w:tr w14:paraId="0629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7EDCFAE0">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4898" w:type="dxa"/>
            <w:vAlign w:val="center"/>
          </w:tcPr>
          <w:p w14:paraId="084A778F">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承诺中标后与采购人签署保密协议，对在项目实施期间所获得的采购人的情报和资料有保密义务，泄漏秘密应承担的责任，造成采购人损失的应予赔偿，涉嫌犯罪的依法追究刑事责任，提供承诺并符合要求的得2分，未提供不得分。</w:t>
            </w:r>
          </w:p>
        </w:tc>
        <w:tc>
          <w:tcPr>
            <w:tcW w:w="611" w:type="dxa"/>
            <w:shd w:val="clear" w:color="auto" w:fill="auto"/>
            <w:vAlign w:val="center"/>
          </w:tcPr>
          <w:p w14:paraId="61DE89DC">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2</w:t>
            </w:r>
          </w:p>
        </w:tc>
        <w:tc>
          <w:tcPr>
            <w:tcW w:w="698" w:type="dxa"/>
            <w:shd w:val="clear" w:color="auto" w:fill="auto"/>
            <w:vAlign w:val="center"/>
          </w:tcPr>
          <w:p w14:paraId="1EA19A97">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客观</w:t>
            </w:r>
          </w:p>
        </w:tc>
        <w:tc>
          <w:tcPr>
            <w:tcW w:w="1514" w:type="dxa"/>
            <w:shd w:val="clear" w:color="auto" w:fill="auto"/>
            <w:vAlign w:val="center"/>
          </w:tcPr>
          <w:p w14:paraId="5354727D">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服务承诺</w:t>
            </w:r>
          </w:p>
        </w:tc>
      </w:tr>
      <w:tr w14:paraId="075AD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0CEFC05F">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4898" w:type="dxa"/>
            <w:vAlign w:val="center"/>
          </w:tcPr>
          <w:p w14:paraId="20377766">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组织实施方案：投标人项目组织实施方案的科学性、合理性、规范性和可操作性，包括施工内容及进度安排、施工物资准备、施工现场管理、安全文明施工管理等，有合理的进度保证、供货保证、质量保证等措施。组织实施方案科学、合理、规范的且操作性强，与采购需求完全相适应的得4分；组织实施方案详细且与采购需求相适应，但存在不足的得3分；组织实施方案基本与采购需求相适应，但存在欠缺的得2分；组织实施方案与采购需求不适应的得1分；未提供的得0分。</w:t>
            </w:r>
          </w:p>
        </w:tc>
        <w:tc>
          <w:tcPr>
            <w:tcW w:w="611" w:type="dxa"/>
            <w:shd w:val="clear" w:color="auto" w:fill="auto"/>
            <w:vAlign w:val="center"/>
          </w:tcPr>
          <w:p w14:paraId="31545F6E">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4</w:t>
            </w:r>
          </w:p>
        </w:tc>
        <w:tc>
          <w:tcPr>
            <w:tcW w:w="698" w:type="dxa"/>
            <w:shd w:val="clear" w:color="auto" w:fill="auto"/>
            <w:vAlign w:val="center"/>
          </w:tcPr>
          <w:p w14:paraId="7D561B85">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主观</w:t>
            </w:r>
          </w:p>
        </w:tc>
        <w:tc>
          <w:tcPr>
            <w:tcW w:w="1514" w:type="dxa"/>
            <w:shd w:val="clear" w:color="auto" w:fill="auto"/>
            <w:vAlign w:val="center"/>
          </w:tcPr>
          <w:p w14:paraId="1310B208">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组织实施方案</w:t>
            </w:r>
          </w:p>
        </w:tc>
      </w:tr>
      <w:tr w14:paraId="3A216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34D8DAE4">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4898" w:type="dxa"/>
            <w:vAlign w:val="center"/>
          </w:tcPr>
          <w:p w14:paraId="294A2D70">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是否具有较强的服务能力，常驻售后服务和技术支持机构或中标后承诺常驻售后服务，是否有完善、全面的售后服务方案。（完善的得4分，较完善的得3分，不够完善的得2分，明显欠缺的得1分，不提供不得分）</w:t>
            </w:r>
          </w:p>
        </w:tc>
        <w:tc>
          <w:tcPr>
            <w:tcW w:w="611" w:type="dxa"/>
            <w:shd w:val="clear" w:color="auto" w:fill="auto"/>
            <w:vAlign w:val="center"/>
          </w:tcPr>
          <w:p w14:paraId="294FFBBF">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4</w:t>
            </w:r>
          </w:p>
        </w:tc>
        <w:tc>
          <w:tcPr>
            <w:tcW w:w="698" w:type="dxa"/>
            <w:shd w:val="clear" w:color="auto" w:fill="auto"/>
            <w:vAlign w:val="center"/>
          </w:tcPr>
          <w:p w14:paraId="031F2339">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主观</w:t>
            </w:r>
          </w:p>
        </w:tc>
        <w:tc>
          <w:tcPr>
            <w:tcW w:w="1514" w:type="dxa"/>
            <w:shd w:val="clear" w:color="auto" w:fill="auto"/>
            <w:vAlign w:val="center"/>
          </w:tcPr>
          <w:p w14:paraId="1E29134F">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售后服务方案</w:t>
            </w:r>
          </w:p>
        </w:tc>
      </w:tr>
      <w:tr w14:paraId="13729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073C5E13">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4898" w:type="dxa"/>
            <w:vAlign w:val="center"/>
          </w:tcPr>
          <w:p w14:paraId="25C1D3FB">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提供的服务承诺的可行性、完整性和可操作性，售后服务内容（包括日常巡检、平台维护、网络维护、运行环境维护、特殊时期巡检等）、售后服务团队、售后服务管理体系、售后服务流程等是否满足采购人的要求。方案全面完整、合理且科学，与采购需求完全相适应的得5分；方案详细且与采购需求相适应，但存在不足的得4分；方案基本与采购需求相适应，但存在欠缺的得3分；方案存在缺项的得2分；方案与采购需求不适应的得1分；未提供的得0分。</w:t>
            </w:r>
          </w:p>
        </w:tc>
        <w:tc>
          <w:tcPr>
            <w:tcW w:w="611" w:type="dxa"/>
            <w:shd w:val="clear" w:color="auto" w:fill="auto"/>
            <w:vAlign w:val="center"/>
          </w:tcPr>
          <w:p w14:paraId="78A0C45B">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c>
          <w:tcPr>
            <w:tcW w:w="698" w:type="dxa"/>
            <w:shd w:val="clear" w:color="auto" w:fill="auto"/>
            <w:vAlign w:val="center"/>
          </w:tcPr>
          <w:p w14:paraId="4BCEF76A">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主观</w:t>
            </w:r>
          </w:p>
        </w:tc>
        <w:tc>
          <w:tcPr>
            <w:tcW w:w="1514" w:type="dxa"/>
            <w:shd w:val="clear" w:color="auto" w:fill="auto"/>
            <w:vAlign w:val="center"/>
          </w:tcPr>
          <w:p w14:paraId="62C83C1D">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售后服务方案</w:t>
            </w:r>
          </w:p>
        </w:tc>
      </w:tr>
      <w:tr w14:paraId="220A9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5C88D411">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4898" w:type="dxa"/>
            <w:vAlign w:val="center"/>
          </w:tcPr>
          <w:p w14:paraId="289B42BE">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根据投标人提出的试运行、验收方案的合理性、可行性情况等进行评分：符合项目且详实全面的得2分，部分符合的得1分，未提供相关方案的不得分。</w:t>
            </w:r>
          </w:p>
        </w:tc>
        <w:tc>
          <w:tcPr>
            <w:tcW w:w="611" w:type="dxa"/>
            <w:vAlign w:val="center"/>
          </w:tcPr>
          <w:p w14:paraId="0BE23CE3">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698" w:type="dxa"/>
            <w:vAlign w:val="center"/>
          </w:tcPr>
          <w:p w14:paraId="31842551">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w:t>
            </w:r>
          </w:p>
        </w:tc>
        <w:tc>
          <w:tcPr>
            <w:tcW w:w="1514" w:type="dxa"/>
            <w:vAlign w:val="center"/>
          </w:tcPr>
          <w:p w14:paraId="342D02DB">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试运行、验收方案</w:t>
            </w:r>
          </w:p>
        </w:tc>
      </w:tr>
      <w:tr w14:paraId="5EA62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485D8EFA">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4898" w:type="dxa"/>
            <w:vAlign w:val="center"/>
          </w:tcPr>
          <w:p w14:paraId="4E50B865">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根据投标人提出培训计划、地点、组织、人员配备等内容是否完整、科学合理进行评分：符合项目且详实全面的得3分，符合的得2分，部分符合的得1分，未提供相关方案的不得分。</w:t>
            </w:r>
          </w:p>
        </w:tc>
        <w:tc>
          <w:tcPr>
            <w:tcW w:w="611" w:type="dxa"/>
            <w:vAlign w:val="center"/>
          </w:tcPr>
          <w:p w14:paraId="5B257FD7">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698" w:type="dxa"/>
            <w:vAlign w:val="center"/>
          </w:tcPr>
          <w:p w14:paraId="28D97731">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w:t>
            </w:r>
          </w:p>
        </w:tc>
        <w:tc>
          <w:tcPr>
            <w:tcW w:w="1514" w:type="dxa"/>
            <w:vAlign w:val="center"/>
          </w:tcPr>
          <w:p w14:paraId="1355C1B2">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培训方案</w:t>
            </w:r>
          </w:p>
        </w:tc>
      </w:tr>
      <w:tr w14:paraId="68745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77C99865">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4898" w:type="dxa"/>
            <w:vAlign w:val="center"/>
          </w:tcPr>
          <w:p w14:paraId="025D2CE6">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是否建立完善的应急响应方案，故障分级标准、故障处理流程、应急响应预案的启动及后期处理是否合理，前端点位、网络的应急抢修方案是否合理，人员、设备、材料的保障是否合理。（完善的得3分，较完善的得2分，不够完善的得1分，不提供不得分）</w:t>
            </w:r>
          </w:p>
        </w:tc>
        <w:tc>
          <w:tcPr>
            <w:tcW w:w="611" w:type="dxa"/>
            <w:vAlign w:val="center"/>
          </w:tcPr>
          <w:p w14:paraId="2D8F4717">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698" w:type="dxa"/>
            <w:vAlign w:val="center"/>
          </w:tcPr>
          <w:p w14:paraId="55D3551D">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w:t>
            </w:r>
          </w:p>
        </w:tc>
        <w:tc>
          <w:tcPr>
            <w:tcW w:w="1514" w:type="dxa"/>
            <w:vAlign w:val="center"/>
          </w:tcPr>
          <w:p w14:paraId="673476B2">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应急响应方案</w:t>
            </w:r>
          </w:p>
        </w:tc>
      </w:tr>
      <w:tr w14:paraId="049DC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58A70ECB">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w:t>
            </w:r>
          </w:p>
        </w:tc>
        <w:tc>
          <w:tcPr>
            <w:tcW w:w="4898" w:type="dxa"/>
            <w:vAlign w:val="center"/>
          </w:tcPr>
          <w:p w14:paraId="2EBECC4B">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项目组人员素质情况：</w:t>
            </w:r>
          </w:p>
          <w:p w14:paraId="2B1138E3">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16.1项目经理具备系统集成项目管理工程师得1分，没有不得分。</w:t>
            </w:r>
          </w:p>
          <w:p w14:paraId="6F4A16DF">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16.2技术负责人具备信息技术或系统集成类高级工程师资质和系统集成项目管理工程师资质，每项证书得1分，最多得2分。</w:t>
            </w:r>
          </w:p>
          <w:p w14:paraId="1B30A63B">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16.3项目组成员素质情况（项目经理和技术负责人除外）：</w:t>
            </w:r>
          </w:p>
          <w:p w14:paraId="2C2F4D47">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项目成员具备：①登高证、②电工证、③中级工程师等。每具备一项证书得1分，最多得3分。</w:t>
            </w:r>
          </w:p>
          <w:p w14:paraId="67EBCF1C">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证明材料：提供相关人员投标截止时间前近三个月内任意一个月的社保证明及相关证书复印件等证明材料。否则不予认可。</w:t>
            </w:r>
          </w:p>
        </w:tc>
        <w:tc>
          <w:tcPr>
            <w:tcW w:w="611" w:type="dxa"/>
            <w:vAlign w:val="center"/>
          </w:tcPr>
          <w:p w14:paraId="0EF6FC23">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698" w:type="dxa"/>
            <w:vAlign w:val="center"/>
          </w:tcPr>
          <w:p w14:paraId="1103E612">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1514" w:type="dxa"/>
            <w:vAlign w:val="center"/>
          </w:tcPr>
          <w:p w14:paraId="5E9C0E6C">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人员配备</w:t>
            </w:r>
          </w:p>
        </w:tc>
      </w:tr>
      <w:tr w14:paraId="0D7FC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29A1147C">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w:t>
            </w:r>
          </w:p>
        </w:tc>
        <w:tc>
          <w:tcPr>
            <w:tcW w:w="4898" w:type="dxa"/>
            <w:vAlign w:val="center"/>
          </w:tcPr>
          <w:p w14:paraId="358F63A6">
            <w:pPr>
              <w:snapToGrid w:val="0"/>
              <w:spacing w:line="240" w:lineRule="auto"/>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系统功能演示：</w:t>
            </w:r>
          </w:p>
          <w:p w14:paraId="03304058">
            <w:pPr>
              <w:widowControl/>
              <w:jc w:val="left"/>
              <w:rPr>
                <w:rFonts w:hint="eastAsia" w:ascii="仿宋" w:hAnsi="仿宋" w:eastAsia="仿宋" w:cs="宋体"/>
                <w:b/>
                <w:bCs/>
                <w:color w:val="auto"/>
                <w:kern w:val="0"/>
                <w:szCs w:val="21"/>
                <w:highlight w:val="none"/>
              </w:rPr>
            </w:pPr>
            <w:r>
              <w:rPr>
                <w:rFonts w:hint="eastAsia" w:ascii="仿宋" w:hAnsi="仿宋" w:eastAsia="仿宋" w:cs="宋体"/>
                <w:b/>
                <w:bCs/>
                <w:color w:val="auto"/>
                <w:kern w:val="0"/>
                <w:szCs w:val="21"/>
                <w:highlight w:val="none"/>
              </w:rPr>
              <w:t>系统功能演示：（提供录屏或实际操作录像，对于所有演示内容使用PPT、截图、动画、静态U</w:t>
            </w:r>
            <w:r>
              <w:rPr>
                <w:rFonts w:ascii="仿宋" w:hAnsi="仿宋" w:eastAsia="仿宋" w:cs="宋体"/>
                <w:b/>
                <w:bCs/>
                <w:color w:val="auto"/>
                <w:kern w:val="0"/>
                <w:szCs w:val="21"/>
                <w:highlight w:val="none"/>
              </w:rPr>
              <w:t>I</w:t>
            </w:r>
            <w:r>
              <w:rPr>
                <w:rFonts w:hint="eastAsia" w:ascii="仿宋" w:hAnsi="仿宋" w:eastAsia="仿宋" w:cs="宋体"/>
                <w:b/>
                <w:bCs/>
                <w:color w:val="auto"/>
                <w:kern w:val="0"/>
                <w:szCs w:val="21"/>
                <w:highlight w:val="none"/>
              </w:rPr>
              <w:t>页面、office软件等非真实应用系统方式进行演示的，对应演示项不得分）</w:t>
            </w:r>
          </w:p>
          <w:p w14:paraId="5CA9F242">
            <w:pPr>
              <w:widowControl/>
              <w:jc w:val="left"/>
              <w:rPr>
                <w:rFonts w:ascii="仿宋" w:hAnsi="仿宋" w:eastAsia="仿宋" w:cs="宋体"/>
                <w:b/>
                <w:bCs/>
                <w:color w:val="auto"/>
                <w:kern w:val="0"/>
                <w:szCs w:val="21"/>
                <w:highlight w:val="none"/>
              </w:rPr>
            </w:pPr>
            <w:r>
              <w:rPr>
                <w:rFonts w:hint="eastAsia" w:ascii="仿宋" w:hAnsi="仿宋" w:eastAsia="仿宋" w:cs="宋体"/>
                <w:b/>
                <w:bCs/>
                <w:color w:val="auto"/>
                <w:kern w:val="0"/>
                <w:szCs w:val="21"/>
                <w:highlight w:val="none"/>
              </w:rPr>
              <w:t>1、对中心算力池进行演示：（2分）</w:t>
            </w:r>
          </w:p>
          <w:p w14:paraId="56CBB907">
            <w:pPr>
              <w:widowControl/>
              <w:jc w:val="left"/>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①支持查看今日和历史累计人员聚档数量以及每个算法引擎的细化；（1分）</w:t>
            </w:r>
          </w:p>
          <w:p w14:paraId="00F38E16">
            <w:pPr>
              <w:widowControl/>
              <w:jc w:val="left"/>
              <w:rPr>
                <w:rFonts w:ascii="仿宋" w:hAnsi="仿宋" w:eastAsia="仿宋" w:cs="宋体"/>
                <w:bCs/>
                <w:color w:val="auto"/>
                <w:kern w:val="0"/>
                <w:szCs w:val="21"/>
                <w:highlight w:val="none"/>
              </w:rPr>
            </w:pPr>
            <w:r>
              <w:rPr>
                <w:rFonts w:hint="eastAsia" w:ascii="仿宋" w:hAnsi="仿宋" w:eastAsia="仿宋" w:cs="宋体"/>
                <w:bCs/>
                <w:color w:val="auto"/>
                <w:kern w:val="0"/>
                <w:szCs w:val="21"/>
                <w:highlight w:val="none"/>
              </w:rPr>
              <w:t>②支持查看单个点位的解析目标数量趋势。（1分）</w:t>
            </w:r>
          </w:p>
          <w:p w14:paraId="78E55DBF">
            <w:pPr>
              <w:widowControl/>
              <w:jc w:val="left"/>
              <w:rPr>
                <w:rFonts w:ascii="仿宋" w:hAnsi="仿宋" w:eastAsia="仿宋" w:cs="宋体"/>
                <w:b/>
                <w:bCs/>
                <w:color w:val="auto"/>
                <w:kern w:val="0"/>
                <w:szCs w:val="21"/>
                <w:highlight w:val="none"/>
              </w:rPr>
            </w:pPr>
            <w:r>
              <w:rPr>
                <w:rFonts w:ascii="仿宋" w:hAnsi="仿宋" w:eastAsia="仿宋" w:cs="宋体"/>
                <w:b/>
                <w:bCs/>
                <w:color w:val="auto"/>
                <w:kern w:val="0"/>
                <w:szCs w:val="21"/>
                <w:highlight w:val="none"/>
              </w:rPr>
              <w:t>2</w:t>
            </w:r>
            <w:r>
              <w:rPr>
                <w:rFonts w:hint="eastAsia" w:ascii="仿宋" w:hAnsi="仿宋" w:eastAsia="仿宋" w:cs="宋体"/>
                <w:b/>
                <w:bCs/>
                <w:color w:val="auto"/>
                <w:kern w:val="0"/>
                <w:szCs w:val="21"/>
                <w:highlight w:val="none"/>
              </w:rPr>
              <w:t>、对后端算法能力进行演示：（</w:t>
            </w:r>
            <w:r>
              <w:rPr>
                <w:rFonts w:ascii="仿宋" w:hAnsi="仿宋" w:eastAsia="仿宋" w:cs="宋体"/>
                <w:b/>
                <w:bCs/>
                <w:color w:val="auto"/>
                <w:kern w:val="0"/>
                <w:szCs w:val="21"/>
                <w:highlight w:val="none"/>
              </w:rPr>
              <w:t>12</w:t>
            </w:r>
            <w:r>
              <w:rPr>
                <w:rFonts w:hint="eastAsia" w:ascii="仿宋" w:hAnsi="仿宋" w:eastAsia="仿宋" w:cs="宋体"/>
                <w:b/>
                <w:bCs/>
                <w:color w:val="auto"/>
                <w:kern w:val="0"/>
                <w:szCs w:val="21"/>
                <w:highlight w:val="none"/>
              </w:rPr>
              <w:t>分）</w:t>
            </w:r>
          </w:p>
          <w:p w14:paraId="6B7AD395">
            <w:pPr>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①可挖掘人人、人地、人员团体等多种关系，并支持以3D星空图或列表的形式查看所有关系，支持查看关系指标总览及关系详情信息，支持通过姓名、身份证、人员ID、场所名称等搜索关系。（3分）</w:t>
            </w:r>
          </w:p>
          <w:p w14:paraId="2198E8A5">
            <w:pPr>
              <w:rPr>
                <w:rFonts w:ascii="仿宋" w:hAnsi="仿宋" w:eastAsia="仿宋" w:cs="仿宋"/>
                <w:color w:val="auto"/>
                <w:kern w:val="0"/>
                <w:szCs w:val="21"/>
                <w:highlight w:val="none"/>
              </w:rPr>
            </w:pPr>
            <w:r>
              <w:rPr>
                <w:rFonts w:hint="eastAsia" w:ascii="仿宋" w:hAnsi="仿宋" w:eastAsia="仿宋" w:cs="仿宋"/>
                <w:bCs/>
                <w:color w:val="auto"/>
                <w:kern w:val="0"/>
                <w:szCs w:val="21"/>
                <w:highlight w:val="none"/>
              </w:rPr>
              <w:t>②可查询同现、伴随、同小区同现、同办公场所同现、同学校同现等客观关系，频繁夜间同现、频繁工作日同现、频繁伴随、频繁同乘、频繁同小区同现、频繁办公场所同现等频繁关系和认识、朋友、祖孙、夫妻、同事、同学、情侣等推断关系</w:t>
            </w:r>
            <w:r>
              <w:rPr>
                <w:rFonts w:hint="eastAsia" w:ascii="仿宋" w:hAnsi="仿宋" w:eastAsia="仿宋" w:cs="仿宋"/>
                <w:color w:val="auto"/>
                <w:kern w:val="0"/>
                <w:szCs w:val="21"/>
                <w:highlight w:val="none"/>
              </w:rPr>
              <w:t>。（3分）</w:t>
            </w:r>
          </w:p>
          <w:p w14:paraId="559E0679">
            <w:pP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③可查询居住地、工作地、兴趣地等推断关系；人员团体关系可查询朋友圈、未成年团体、大家庭、小家庭、施工人员、涉毒团体、重点上访团体、在逃团体等团体关系。（3分）</w:t>
            </w:r>
          </w:p>
          <w:p w14:paraId="4FAD1BD3">
            <w:pPr>
              <w:rPr>
                <w:rFonts w:hint="eastAsia"/>
                <w:color w:val="auto"/>
                <w:highlight w:val="none"/>
                <w:lang w:val="en-US" w:eastAsia="zh-CN"/>
              </w:rPr>
            </w:pPr>
            <w:r>
              <w:rPr>
                <w:rFonts w:hint="eastAsia" w:ascii="仿宋" w:hAnsi="仿宋" w:eastAsia="仿宋" w:cs="仿宋"/>
                <w:bCs/>
                <w:color w:val="auto"/>
                <w:kern w:val="0"/>
                <w:szCs w:val="21"/>
                <w:highlight w:val="none"/>
              </w:rPr>
              <w:t>④支持以人找人，通过客观、频繁、推断人人关系类型、多种时空条件和人员生物特征、职业类型、背景、人口管理、行为规律、异常行为、频繁活动地、异常关系等人员标签查找与目标人相关联的人。（3分）</w:t>
            </w:r>
          </w:p>
        </w:tc>
        <w:tc>
          <w:tcPr>
            <w:tcW w:w="611" w:type="dxa"/>
            <w:vAlign w:val="center"/>
          </w:tcPr>
          <w:p w14:paraId="560C68C1">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698" w:type="dxa"/>
            <w:vAlign w:val="center"/>
          </w:tcPr>
          <w:p w14:paraId="08E360BA">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1514" w:type="dxa"/>
            <w:vAlign w:val="center"/>
          </w:tcPr>
          <w:p w14:paraId="14D8BD2F">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系统功能演示</w:t>
            </w:r>
          </w:p>
        </w:tc>
      </w:tr>
      <w:tr w14:paraId="3C81F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3AED708B">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w:t>
            </w:r>
          </w:p>
        </w:tc>
        <w:tc>
          <w:tcPr>
            <w:tcW w:w="4898" w:type="dxa"/>
            <w:vAlign w:val="center"/>
          </w:tcPr>
          <w:p w14:paraId="3108AB75">
            <w:pPr>
              <w:spacing w:line="240" w:lineRule="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］的计算公式计算。</w:t>
            </w:r>
          </w:p>
          <w:p w14:paraId="536BA1A5">
            <w:pPr>
              <w:widowControl/>
              <w:shd w:val="clear" w:color="auto" w:fill="FFFFFF"/>
              <w:adjustRightInd/>
              <w:spacing w:after="225" w:line="240" w:lineRule="auto"/>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14:paraId="44BECEBD">
            <w:pPr>
              <w:widowControl/>
              <w:shd w:val="clear" w:color="auto" w:fill="FFFFFF"/>
              <w:adjustRightInd/>
              <w:spacing w:after="225" w:line="240" w:lineRule="auto"/>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%的扣除，用扣除后的价格参加评审。</w:t>
            </w:r>
          </w:p>
        </w:tc>
        <w:tc>
          <w:tcPr>
            <w:tcW w:w="611" w:type="dxa"/>
            <w:vAlign w:val="center"/>
          </w:tcPr>
          <w:p w14:paraId="24D73B97">
            <w:pPr>
              <w:spacing w:line="240" w:lineRule="auto"/>
              <w:jc w:val="center"/>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20</w:t>
            </w:r>
          </w:p>
        </w:tc>
        <w:tc>
          <w:tcPr>
            <w:tcW w:w="698" w:type="dxa"/>
            <w:vAlign w:val="center"/>
          </w:tcPr>
          <w:p w14:paraId="6FB2E246">
            <w:pPr>
              <w:spacing w:line="24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1514" w:type="dxa"/>
            <w:vAlign w:val="center"/>
          </w:tcPr>
          <w:p w14:paraId="6F156521">
            <w:pPr>
              <w:spacing w:line="240" w:lineRule="auto"/>
              <w:jc w:val="center"/>
              <w:outlineLvl w:val="0"/>
              <w:rPr>
                <w:rFonts w:ascii="仿宋" w:hAnsi="仿宋" w:eastAsia="仿宋" w:cs="仿宋"/>
                <w:color w:val="auto"/>
                <w:sz w:val="24"/>
                <w:highlight w:val="none"/>
              </w:rPr>
            </w:pPr>
            <w:r>
              <w:rPr>
                <w:rFonts w:hint="eastAsia" w:ascii="仿宋" w:hAnsi="仿宋" w:eastAsia="仿宋" w:cs="仿宋"/>
                <w:color w:val="auto"/>
                <w:sz w:val="24"/>
                <w:highlight w:val="none"/>
              </w:rPr>
              <w:t>/</w:t>
            </w:r>
          </w:p>
        </w:tc>
      </w:tr>
    </w:tbl>
    <w:p w14:paraId="4A5B440F">
      <w:pPr>
        <w:snapToGrid w:val="0"/>
        <w:spacing w:line="360" w:lineRule="auto"/>
        <w:rPr>
          <w:rFonts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w:t>
      </w:r>
    </w:p>
    <w:p w14:paraId="2A4EC426">
      <w:pPr>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2AC7B156">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49EAE750">
      <w:pPr>
        <w:adjustRightInd/>
        <w:spacing w:line="360" w:lineRule="auto"/>
        <w:rPr>
          <w:rFonts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53B8D54F">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2.评标标准：</w:t>
      </w:r>
      <w:r>
        <w:rPr>
          <w:rFonts w:hint="eastAsia" w:ascii="仿宋" w:hAnsi="仿宋" w:eastAsia="仿宋" w:cs="仿宋"/>
          <w:color w:val="auto"/>
          <w:kern w:val="0"/>
          <w:sz w:val="24"/>
          <w:highlight w:val="none"/>
        </w:rPr>
        <w:t>见评标办法前附表。</w:t>
      </w:r>
    </w:p>
    <w:p w14:paraId="74DC0B17">
      <w:pPr>
        <w:spacing w:line="360" w:lineRule="auto"/>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38A277ED">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BDFA1A1">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5D4871DB">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3F44CCA1">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4D6B0FCF">
      <w:pPr>
        <w:pStyle w:val="130"/>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1F4A5171">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01231C58">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3B03099A">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7E94242C">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143C9F60">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74BAF539">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435E7342">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19788604">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FBA1587">
      <w:pPr>
        <w:pStyle w:val="13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0D8C038">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6531EEC">
      <w:pPr>
        <w:spacing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DD64A3A">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0EA9512">
      <w:pPr>
        <w:widowControl/>
        <w:shd w:val="clear" w:color="auto" w:fill="FFFFFF"/>
        <w:adjustRightInd/>
        <w:spacing w:after="225" w:line="315" w:lineRule="atLeast"/>
        <w:jc w:val="left"/>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5265B312">
      <w:pPr>
        <w:pStyle w:val="130"/>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293AA15">
      <w:pPr>
        <w:pStyle w:val="24"/>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57AF65A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004DF0F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76804C1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84AB36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07FC1D8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5276C31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4.2.6投标文件出现不是唯一的、有选择性投标报价的;</w:t>
      </w:r>
    </w:p>
    <w:p w14:paraId="0170B05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03AF8FE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4.2.8投标人对根据修正原则修正后的报价不确认的；</w:t>
      </w:r>
    </w:p>
    <w:p w14:paraId="0D22CAF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4.2.9投标人提供虚假材料投标的；</w:t>
      </w:r>
    </w:p>
    <w:p w14:paraId="6F2DFB50">
      <w:pPr>
        <w:spacing w:line="360" w:lineRule="auto"/>
        <w:ind w:firstLine="480" w:firstLineChars="200"/>
        <w:rPr>
          <w:rFonts w:hint="eastAsia" w:ascii="仿宋" w:hAnsi="仿宋" w:eastAsia="仿宋" w:cs="仿宋"/>
          <w:color w:val="auto"/>
          <w:kern w:val="0"/>
          <w:sz w:val="24"/>
          <w:highlight w:val="none"/>
        </w:rPr>
      </w:pPr>
      <w:bookmarkStart w:id="507" w:name="_GoBack"/>
      <w:bookmarkEnd w:id="507"/>
      <w:r>
        <w:rPr>
          <w:rFonts w:hint="eastAsia" w:ascii="仿宋" w:hAnsi="仿宋" w:eastAsia="仿宋" w:cs="仿宋"/>
          <w:color w:val="auto"/>
          <w:kern w:val="0"/>
          <w:sz w:val="24"/>
          <w:highlight w:val="none"/>
        </w:rPr>
        <w:t>4.2.10投标人有恶意串通、妨碍其他投标人的竞争行为、损害采购人或者其他投标人的合法权益情形的；</w:t>
      </w:r>
    </w:p>
    <w:p w14:paraId="3CC0B9F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8BC91C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0783AD3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 投标文件不满足招标文件的其它实质性要求的；</w:t>
      </w:r>
    </w:p>
    <w:p w14:paraId="72637665">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6CC1E59E">
      <w:pPr>
        <w:pStyle w:val="24"/>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6592D203">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4C8FA16B">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3D306807">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0513AC70">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5ECAFAA2">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2BFE10AA">
      <w:pPr>
        <w:pStyle w:val="24"/>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CD20E3E">
      <w:pPr>
        <w:pStyle w:val="24"/>
        <w:snapToGrid w:val="0"/>
        <w:spacing w:line="360" w:lineRule="auto"/>
        <w:ind w:firstLine="482"/>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31793B1D">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12DD922B">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593D2BCC">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1AC62972">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3F30C950">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Start w:id="389" w:name="_Toc86217003"/>
    </w:p>
    <w:p w14:paraId="619EBBDD">
      <w:pPr>
        <w:spacing w:line="360" w:lineRule="auto"/>
        <w:ind w:left="720" w:leftChars="343" w:firstLine="1084" w:firstLineChars="300"/>
        <w:outlineLvl w:val="0"/>
        <w:rPr>
          <w:rFonts w:ascii="仿宋" w:hAnsi="仿宋" w:eastAsia="仿宋" w:cs="仿宋"/>
          <w:b/>
          <w:color w:val="auto"/>
          <w:sz w:val="36"/>
          <w:szCs w:val="36"/>
          <w:highlight w:val="none"/>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3D35CCDF">
      <w:pPr>
        <w:spacing w:line="360" w:lineRule="auto"/>
        <w:ind w:left="720" w:leftChars="343" w:firstLine="1084" w:firstLineChars="300"/>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w:t>
      </w:r>
      <w:r>
        <w:rPr>
          <w:rFonts w:hint="eastAsia" w:ascii="仿宋" w:hAnsi="仿宋" w:eastAsia="仿宋" w:cs="仿宋"/>
          <w:b/>
          <w:color w:val="auto"/>
          <w:spacing w:val="362"/>
          <w:kern w:val="0"/>
          <w:sz w:val="36"/>
          <w:szCs w:val="36"/>
          <w:highlight w:val="none"/>
          <w:fitText w:val="1444" w:id="-982737663"/>
        </w:rPr>
        <w:t>分</w:t>
      </w:r>
      <w:r>
        <w:rPr>
          <w:rFonts w:hint="eastAsia" w:ascii="仿宋" w:hAnsi="仿宋" w:eastAsia="仿宋" w:cs="仿宋"/>
          <w:b/>
          <w:color w:val="auto"/>
          <w:spacing w:val="0"/>
          <w:kern w:val="0"/>
          <w:sz w:val="36"/>
          <w:szCs w:val="36"/>
          <w:highlight w:val="none"/>
          <w:fitText w:val="1444" w:id="-982737663"/>
        </w:rPr>
        <w:t>拟</w:t>
      </w:r>
      <w:r>
        <w:rPr>
          <w:rFonts w:hint="eastAsia" w:ascii="仿宋" w:hAnsi="仿宋" w:eastAsia="仿宋" w:cs="仿宋"/>
          <w:b/>
          <w:color w:val="auto"/>
          <w:sz w:val="36"/>
          <w:szCs w:val="36"/>
          <w:highlight w:val="none"/>
        </w:rPr>
        <w:t>签订的合同文本</w:t>
      </w:r>
    </w:p>
    <w:p w14:paraId="557CEAE4">
      <w:pPr>
        <w:spacing w:line="72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344C08D7">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63FBFC0A">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5C2CF301">
      <w:pPr>
        <w:pStyle w:val="701"/>
        <w:spacing w:line="1200" w:lineRule="auto"/>
        <w:ind w:firstLine="2843" w:firstLineChars="1180"/>
        <w:rPr>
          <w:rFonts w:ascii="仿宋" w:hAnsi="仿宋" w:eastAsia="仿宋" w:cs="仿宋"/>
          <w:b/>
          <w:color w:val="auto"/>
          <w:szCs w:val="24"/>
          <w:highlight w:val="none"/>
        </w:rPr>
      </w:pPr>
      <w:r>
        <w:rPr>
          <w:rFonts w:hint="eastAsia" w:ascii="仿宋" w:hAnsi="仿宋" w:eastAsia="仿宋" w:cs="仿宋"/>
          <w:b/>
          <w:color w:val="auto"/>
          <w:szCs w:val="24"/>
          <w:highlight w:val="none"/>
        </w:rPr>
        <w:t>第一部</w:t>
      </w:r>
      <w:r>
        <w:rPr>
          <w:rFonts w:hint="eastAsia" w:ascii="仿宋" w:hAnsi="仿宋" w:eastAsia="仿宋" w:cs="仿宋"/>
          <w:b/>
          <w:color w:val="auto"/>
          <w:spacing w:val="242"/>
          <w:kern w:val="0"/>
          <w:szCs w:val="24"/>
          <w:highlight w:val="none"/>
          <w:fitText w:val="964" w:id="-982737661"/>
        </w:rPr>
        <w:t>分</w:t>
      </w:r>
      <w:r>
        <w:rPr>
          <w:rFonts w:hint="eastAsia" w:ascii="仿宋" w:hAnsi="仿宋" w:eastAsia="仿宋" w:cs="仿宋"/>
          <w:b/>
          <w:color w:val="auto"/>
          <w:spacing w:val="0"/>
          <w:kern w:val="0"/>
          <w:szCs w:val="24"/>
          <w:highlight w:val="none"/>
          <w:fitText w:val="964" w:id="-982737661"/>
        </w:rPr>
        <w:t>合</w:t>
      </w:r>
      <w:r>
        <w:rPr>
          <w:rFonts w:hint="eastAsia" w:ascii="仿宋" w:hAnsi="仿宋" w:eastAsia="仿宋" w:cs="仿宋"/>
          <w:b/>
          <w:color w:val="auto"/>
          <w:szCs w:val="24"/>
          <w:highlight w:val="none"/>
        </w:rPr>
        <w:t>同书</w:t>
      </w:r>
    </w:p>
    <w:p w14:paraId="4373499A">
      <w:pPr>
        <w:spacing w:before="120" w:line="1200" w:lineRule="auto"/>
        <w:ind w:left="958"/>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杭州市公安局上城区分局160路监控和1399路庭改监控到期改造租赁项目</w:t>
      </w:r>
      <w:r>
        <w:rPr>
          <w:rFonts w:hint="eastAsia" w:ascii="仿宋" w:hAnsi="仿宋" w:eastAsia="仿宋" w:cs="仿宋"/>
          <w:color w:val="auto"/>
          <w:sz w:val="24"/>
          <w:highlight w:val="none"/>
          <w:u w:val="single"/>
        </w:rPr>
        <w:t xml:space="preserve"> </w:t>
      </w:r>
    </w:p>
    <w:p w14:paraId="47B247F5">
      <w:pPr>
        <w:spacing w:before="120" w:line="720" w:lineRule="auto"/>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杭州市公安局上城区分局</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3C8B4144">
      <w:pPr>
        <w:spacing w:before="120" w:line="720" w:lineRule="auto"/>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364F25A9">
      <w:pPr>
        <w:spacing w:before="120" w:line="720" w:lineRule="auto"/>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杭州市上城区候潮东路175号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55AC4251">
      <w:pPr>
        <w:spacing w:before="120" w:line="22" w:lineRule="atLeast"/>
        <w:ind w:firstLine="960" w:firstLineChars="400"/>
        <w:rPr>
          <w:rFonts w:ascii="仿宋" w:hAnsi="仿宋" w:eastAsia="仿宋" w:cs="仿宋"/>
          <w:color w:val="auto"/>
          <w:sz w:val="24"/>
          <w:highlight w:val="none"/>
          <w:u w:val="single"/>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2025</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ED3E40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en-US" w:eastAsia="zh-CN"/>
        </w:rPr>
        <w:t>2025</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杭州市公安局上城区分局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公开招标的</w:t>
      </w:r>
      <w:r>
        <w:rPr>
          <w:rFonts w:hint="eastAsia" w:ascii="仿宋" w:hAnsi="仿宋" w:eastAsia="仿宋" w:cs="仿宋"/>
          <w:color w:val="auto"/>
          <w:sz w:val="24"/>
          <w:highlight w:val="none"/>
          <w:u w:val="single"/>
        </w:rPr>
        <w:t xml:space="preserve">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杭州市公安局上城区分局160路监控和1399路庭改监控到期改造租赁项目</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评标委员会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（中标或者成交供应商名称）</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51DF675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杭州市公安局上城区分局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（中</w:t>
      </w:r>
      <w:r>
        <w:rPr>
          <w:rFonts w:hint="eastAsia" w:ascii="仿宋" w:hAnsi="仿宋" w:eastAsia="仿宋" w:cs="仿宋"/>
          <w:color w:val="auto"/>
          <w:sz w:val="24"/>
          <w:highlight w:val="none"/>
          <w:u w:val="single"/>
          <w:lang w:val="en-US" w:eastAsia="zh-CN"/>
        </w:rPr>
        <w:t>标</w:t>
      </w:r>
      <w:r>
        <w:rPr>
          <w:rFonts w:hint="eastAsia" w:ascii="仿宋" w:hAnsi="仿宋" w:eastAsia="仿宋" w:cs="仿宋"/>
          <w:color w:val="auto"/>
          <w:sz w:val="24"/>
          <w:highlight w:val="none"/>
          <w:u w:val="single"/>
        </w:rPr>
        <w:t>或者成交标供应商名称）</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028D22A5">
      <w:pPr>
        <w:spacing w:line="560" w:lineRule="exact"/>
        <w:ind w:firstLine="482" w:firstLineChars="200"/>
        <w:outlineLvl w:val="0"/>
        <w:rPr>
          <w:rFonts w:ascii="仿宋" w:hAnsi="仿宋" w:eastAsia="仿宋" w:cs="仿宋"/>
          <w:color w:val="auto"/>
          <w:sz w:val="24"/>
          <w:highlight w:val="none"/>
        </w:rPr>
      </w:pPr>
      <w:bookmarkStart w:id="390" w:name="_Toc20421"/>
      <w:bookmarkStart w:id="391" w:name="_Toc28855"/>
      <w:bookmarkStart w:id="392" w:name="_Toc22967"/>
      <w:bookmarkStart w:id="393" w:name="_Toc19273"/>
      <w:bookmarkStart w:id="394" w:name="_Toc15367"/>
      <w:r>
        <w:rPr>
          <w:rFonts w:hint="eastAsia" w:ascii="仿宋" w:hAnsi="仿宋" w:eastAsia="仿宋" w:cs="仿宋"/>
          <w:b/>
          <w:color w:val="auto"/>
          <w:sz w:val="24"/>
          <w:highlight w:val="none"/>
        </w:rPr>
        <w:t>1.1合同组成部分</w:t>
      </w:r>
      <w:bookmarkEnd w:id="390"/>
      <w:bookmarkEnd w:id="391"/>
      <w:bookmarkEnd w:id="392"/>
      <w:bookmarkEnd w:id="393"/>
      <w:bookmarkEnd w:id="394"/>
    </w:p>
    <w:p w14:paraId="7B76CED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7E9B8B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1.1.1本合同及其补充合同、变更协议；</w:t>
      </w:r>
    </w:p>
    <w:p w14:paraId="7C61291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1.1.2中标或者成交通知书；</w:t>
      </w:r>
    </w:p>
    <w:p w14:paraId="3671351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1.1.3投标或者响应文件（含澄清或者说明文件）；</w:t>
      </w:r>
    </w:p>
    <w:p w14:paraId="300D702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1.1.4采购文件（含澄清或者修改文件）；</w:t>
      </w:r>
    </w:p>
    <w:p w14:paraId="0E94F4C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1.1.5其他相关采购文件。</w:t>
      </w:r>
    </w:p>
    <w:p w14:paraId="037FDB0E">
      <w:pPr>
        <w:spacing w:line="560" w:lineRule="exact"/>
        <w:ind w:firstLine="482" w:firstLineChars="200"/>
        <w:outlineLvl w:val="0"/>
        <w:rPr>
          <w:rFonts w:ascii="仿宋" w:hAnsi="仿宋" w:eastAsia="仿宋" w:cs="仿宋"/>
          <w:b/>
          <w:color w:val="auto"/>
          <w:sz w:val="24"/>
          <w:highlight w:val="none"/>
        </w:rPr>
      </w:pPr>
      <w:bookmarkStart w:id="395" w:name="_Toc6773"/>
      <w:bookmarkStart w:id="396" w:name="_Toc2918"/>
      <w:bookmarkStart w:id="397" w:name="_Toc22185"/>
      <w:bookmarkStart w:id="398" w:name="_Toc18585"/>
      <w:bookmarkStart w:id="399" w:name="_Toc6311"/>
      <w:r>
        <w:rPr>
          <w:rFonts w:hint="eastAsia" w:ascii="仿宋" w:hAnsi="仿宋" w:eastAsia="仿宋" w:cs="仿宋"/>
          <w:b/>
          <w:color w:val="auto"/>
          <w:sz w:val="24"/>
          <w:highlight w:val="none"/>
        </w:rPr>
        <w:t>1.2标的</w:t>
      </w:r>
      <w:bookmarkEnd w:id="395"/>
      <w:bookmarkEnd w:id="396"/>
      <w:bookmarkEnd w:id="397"/>
      <w:bookmarkEnd w:id="398"/>
      <w:bookmarkEnd w:id="399"/>
    </w:p>
    <w:p w14:paraId="5B034A40">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1.2.1服务内容：</w:t>
      </w:r>
      <w:r>
        <w:rPr>
          <w:rFonts w:hint="eastAsia" w:ascii="仿宋" w:hAnsi="仿宋" w:eastAsia="仿宋" w:cs="仿宋"/>
          <w:color w:val="auto"/>
          <w:sz w:val="24"/>
          <w:highlight w:val="none"/>
          <w:u w:val="single"/>
        </w:rPr>
        <w:t xml:space="preserve"> 采购文件采购需求部分内容 </w:t>
      </w:r>
      <w:r>
        <w:rPr>
          <w:rFonts w:hint="eastAsia" w:ascii="仿宋" w:hAnsi="仿宋" w:eastAsia="仿宋" w:cs="仿宋"/>
          <w:color w:val="auto"/>
          <w:sz w:val="24"/>
          <w:highlight w:val="none"/>
        </w:rPr>
        <w:t>；</w:t>
      </w:r>
    </w:p>
    <w:p w14:paraId="284472DC">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1.2.2服务标准：</w:t>
      </w:r>
      <w:r>
        <w:rPr>
          <w:rFonts w:hint="eastAsia" w:ascii="仿宋" w:hAnsi="仿宋" w:eastAsia="仿宋" w:cs="仿宋"/>
          <w:color w:val="auto"/>
          <w:sz w:val="24"/>
          <w:highlight w:val="none"/>
          <w:u w:val="single"/>
        </w:rPr>
        <w:t xml:space="preserve"> 根据采购文件确定的技术指标或者服务要求确定验收指标和标准。未进行相应约定的，应当符合国家强制性规定、政策要求、安全标准、行业或企业有关标准等 </w:t>
      </w:r>
      <w:r>
        <w:rPr>
          <w:rFonts w:hint="eastAsia" w:ascii="仿宋" w:hAnsi="仿宋" w:eastAsia="仿宋" w:cs="仿宋"/>
          <w:color w:val="auto"/>
          <w:sz w:val="24"/>
          <w:highlight w:val="none"/>
        </w:rPr>
        <w:t>；</w:t>
      </w:r>
    </w:p>
    <w:p w14:paraId="64F73431">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1.2.3技术保障：</w:t>
      </w:r>
      <w:r>
        <w:rPr>
          <w:rFonts w:hint="eastAsia" w:ascii="仿宋" w:hAnsi="仿宋" w:eastAsia="仿宋" w:cs="仿宋"/>
          <w:color w:val="auto"/>
          <w:sz w:val="24"/>
          <w:highlight w:val="none"/>
          <w:u w:val="single"/>
        </w:rPr>
        <w:t xml:space="preserve"> 按乙方提供的服务方案及承诺保障本合同有效执行 </w:t>
      </w:r>
      <w:r>
        <w:rPr>
          <w:rFonts w:hint="eastAsia" w:ascii="仿宋" w:hAnsi="仿宋" w:eastAsia="仿宋" w:cs="仿宋"/>
          <w:color w:val="auto"/>
          <w:sz w:val="24"/>
          <w:highlight w:val="none"/>
        </w:rPr>
        <w:t>；</w:t>
      </w:r>
    </w:p>
    <w:p w14:paraId="7A9A269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1.2.4服务人员组成：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4DC39AA">
      <w:pPr>
        <w:spacing w:line="560" w:lineRule="exact"/>
        <w:ind w:firstLine="480" w:firstLineChars="200"/>
        <w:rPr>
          <w:color w:val="auto"/>
          <w:highlight w:val="non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5服务要求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6C6A90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合同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否</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（是/否）涉及货物。若涉及货物的，则：</w:t>
      </w:r>
    </w:p>
    <w:p w14:paraId="0E4F19EF">
      <w:pPr>
        <w:spacing w:line="560" w:lineRule="exact"/>
        <w:ind w:firstLine="480" w:firstLineChars="200"/>
        <w:rPr>
          <w:rFonts w:ascii="仿宋" w:hAnsi="仿宋" w:eastAsia="仿宋" w:cs="仿宋"/>
          <w:color w:val="auto"/>
          <w:sz w:val="24"/>
          <w:highlight w:val="none"/>
          <w:u w:val="single"/>
        </w:rPr>
      </w:pPr>
      <w:bookmarkStart w:id="400" w:name="_Toc1386"/>
      <w:bookmarkStart w:id="401" w:name="_Toc13918"/>
      <w:bookmarkStart w:id="402" w:name="_Toc5635"/>
      <w:bookmarkStart w:id="403" w:name="_Toc4929"/>
      <w:bookmarkStart w:id="404" w:name="_Toc21124"/>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BA295A2">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75316FA">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.3货物质量：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9A57EB0">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1.3价款</w:t>
      </w:r>
      <w:bookmarkEnd w:id="400"/>
      <w:bookmarkEnd w:id="401"/>
      <w:bookmarkEnd w:id="402"/>
      <w:bookmarkEnd w:id="403"/>
      <w:bookmarkEnd w:id="404"/>
    </w:p>
    <w:p w14:paraId="6CFA082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1.3.1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4F18387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元人民币）。(本合同总价为本项目包干价，包括本合同项下的设备费用、人工费、维护费、税费等甲方应支付的一切费用)</w:t>
      </w:r>
    </w:p>
    <w:p w14:paraId="6F3B9F06">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9544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D5088F0">
            <w:pPr>
              <w:pStyle w:val="319"/>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75A23E6B">
            <w:pPr>
              <w:pStyle w:val="319"/>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6C4189E7">
            <w:pPr>
              <w:pStyle w:val="319"/>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5A07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271F28">
            <w:pPr>
              <w:pStyle w:val="319"/>
              <w:spacing w:line="560" w:lineRule="exact"/>
              <w:ind w:firstLine="200"/>
              <w:jc w:val="center"/>
              <w:rPr>
                <w:rFonts w:ascii="仿宋" w:hAnsi="仿宋" w:eastAsia="仿宋" w:cs="仿宋"/>
                <w:color w:val="auto"/>
                <w:sz w:val="24"/>
                <w:szCs w:val="24"/>
                <w:highlight w:val="none"/>
              </w:rPr>
            </w:pPr>
          </w:p>
        </w:tc>
        <w:tc>
          <w:tcPr>
            <w:tcW w:w="3402" w:type="dxa"/>
            <w:vAlign w:val="center"/>
          </w:tcPr>
          <w:p w14:paraId="74E2F4A1">
            <w:pPr>
              <w:pStyle w:val="319"/>
              <w:spacing w:line="560" w:lineRule="exact"/>
              <w:ind w:firstLine="200"/>
              <w:jc w:val="center"/>
              <w:rPr>
                <w:rFonts w:ascii="仿宋" w:hAnsi="仿宋" w:eastAsia="仿宋" w:cs="仿宋"/>
                <w:color w:val="auto"/>
                <w:sz w:val="24"/>
                <w:szCs w:val="24"/>
                <w:highlight w:val="none"/>
              </w:rPr>
            </w:pPr>
          </w:p>
        </w:tc>
        <w:tc>
          <w:tcPr>
            <w:tcW w:w="2552" w:type="dxa"/>
            <w:vAlign w:val="center"/>
          </w:tcPr>
          <w:p w14:paraId="41CFC00C">
            <w:pPr>
              <w:pStyle w:val="319"/>
              <w:spacing w:line="560" w:lineRule="exact"/>
              <w:ind w:firstLine="200"/>
              <w:jc w:val="center"/>
              <w:rPr>
                <w:rFonts w:ascii="仿宋" w:hAnsi="仿宋" w:eastAsia="仿宋" w:cs="仿宋"/>
                <w:color w:val="auto"/>
                <w:sz w:val="24"/>
                <w:szCs w:val="24"/>
                <w:highlight w:val="none"/>
              </w:rPr>
            </w:pPr>
          </w:p>
        </w:tc>
      </w:tr>
      <w:tr w14:paraId="7E51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30E37E">
            <w:pPr>
              <w:pStyle w:val="319"/>
              <w:spacing w:line="560" w:lineRule="exact"/>
              <w:ind w:firstLine="200"/>
              <w:jc w:val="center"/>
              <w:rPr>
                <w:rFonts w:ascii="仿宋" w:hAnsi="仿宋" w:eastAsia="仿宋" w:cs="仿宋"/>
                <w:color w:val="auto"/>
                <w:sz w:val="24"/>
                <w:szCs w:val="24"/>
                <w:highlight w:val="none"/>
              </w:rPr>
            </w:pPr>
          </w:p>
        </w:tc>
        <w:tc>
          <w:tcPr>
            <w:tcW w:w="3402" w:type="dxa"/>
            <w:vAlign w:val="center"/>
          </w:tcPr>
          <w:p w14:paraId="7C94585F">
            <w:pPr>
              <w:pStyle w:val="319"/>
              <w:spacing w:line="560" w:lineRule="exact"/>
              <w:ind w:firstLine="200"/>
              <w:jc w:val="center"/>
              <w:rPr>
                <w:rFonts w:ascii="仿宋" w:hAnsi="仿宋" w:eastAsia="仿宋" w:cs="仿宋"/>
                <w:color w:val="auto"/>
                <w:sz w:val="24"/>
                <w:szCs w:val="24"/>
                <w:highlight w:val="none"/>
              </w:rPr>
            </w:pPr>
          </w:p>
        </w:tc>
        <w:tc>
          <w:tcPr>
            <w:tcW w:w="2552" w:type="dxa"/>
            <w:vAlign w:val="center"/>
          </w:tcPr>
          <w:p w14:paraId="620F4186">
            <w:pPr>
              <w:pStyle w:val="319"/>
              <w:spacing w:line="560" w:lineRule="exact"/>
              <w:ind w:firstLine="200"/>
              <w:jc w:val="center"/>
              <w:rPr>
                <w:rFonts w:ascii="仿宋" w:hAnsi="仿宋" w:eastAsia="仿宋" w:cs="仿宋"/>
                <w:color w:val="auto"/>
                <w:sz w:val="24"/>
                <w:szCs w:val="24"/>
                <w:highlight w:val="none"/>
              </w:rPr>
            </w:pPr>
          </w:p>
        </w:tc>
      </w:tr>
      <w:tr w14:paraId="61A5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47869B">
            <w:pPr>
              <w:pStyle w:val="319"/>
              <w:spacing w:line="560" w:lineRule="exact"/>
              <w:ind w:firstLine="200"/>
              <w:jc w:val="center"/>
              <w:rPr>
                <w:rFonts w:ascii="仿宋" w:hAnsi="仿宋" w:eastAsia="仿宋" w:cs="仿宋"/>
                <w:color w:val="auto"/>
                <w:sz w:val="24"/>
                <w:szCs w:val="24"/>
                <w:highlight w:val="none"/>
              </w:rPr>
            </w:pPr>
          </w:p>
        </w:tc>
        <w:tc>
          <w:tcPr>
            <w:tcW w:w="3402" w:type="dxa"/>
            <w:vAlign w:val="center"/>
          </w:tcPr>
          <w:p w14:paraId="3903A1C8">
            <w:pPr>
              <w:pStyle w:val="319"/>
              <w:spacing w:line="560" w:lineRule="exact"/>
              <w:ind w:firstLine="200"/>
              <w:jc w:val="center"/>
              <w:rPr>
                <w:rFonts w:ascii="仿宋" w:hAnsi="仿宋" w:eastAsia="仿宋" w:cs="仿宋"/>
                <w:color w:val="auto"/>
                <w:sz w:val="24"/>
                <w:szCs w:val="24"/>
                <w:highlight w:val="none"/>
              </w:rPr>
            </w:pPr>
          </w:p>
        </w:tc>
        <w:tc>
          <w:tcPr>
            <w:tcW w:w="2552" w:type="dxa"/>
            <w:vAlign w:val="center"/>
          </w:tcPr>
          <w:p w14:paraId="5B623558">
            <w:pPr>
              <w:pStyle w:val="319"/>
              <w:spacing w:line="560" w:lineRule="exact"/>
              <w:ind w:firstLine="200"/>
              <w:jc w:val="center"/>
              <w:rPr>
                <w:rFonts w:ascii="仿宋" w:hAnsi="仿宋" w:eastAsia="仿宋" w:cs="仿宋"/>
                <w:color w:val="auto"/>
                <w:sz w:val="24"/>
                <w:szCs w:val="24"/>
                <w:highlight w:val="none"/>
              </w:rPr>
            </w:pPr>
          </w:p>
        </w:tc>
      </w:tr>
      <w:tr w14:paraId="3DA99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F785EC0">
            <w:pPr>
              <w:pStyle w:val="319"/>
              <w:spacing w:line="560" w:lineRule="exact"/>
              <w:ind w:firstLine="200"/>
              <w:jc w:val="center"/>
              <w:rPr>
                <w:rFonts w:ascii="仿宋" w:hAnsi="仿宋" w:eastAsia="仿宋" w:cs="仿宋"/>
                <w:color w:val="auto"/>
                <w:sz w:val="24"/>
                <w:szCs w:val="24"/>
                <w:highlight w:val="none"/>
              </w:rPr>
            </w:pPr>
          </w:p>
        </w:tc>
        <w:tc>
          <w:tcPr>
            <w:tcW w:w="3402" w:type="dxa"/>
            <w:vAlign w:val="center"/>
          </w:tcPr>
          <w:p w14:paraId="67D7AA50">
            <w:pPr>
              <w:pStyle w:val="319"/>
              <w:spacing w:line="560" w:lineRule="exact"/>
              <w:ind w:firstLine="200"/>
              <w:jc w:val="center"/>
              <w:rPr>
                <w:rFonts w:ascii="仿宋" w:hAnsi="仿宋" w:eastAsia="仿宋" w:cs="仿宋"/>
                <w:color w:val="auto"/>
                <w:sz w:val="24"/>
                <w:szCs w:val="24"/>
                <w:highlight w:val="none"/>
              </w:rPr>
            </w:pPr>
          </w:p>
        </w:tc>
        <w:tc>
          <w:tcPr>
            <w:tcW w:w="2552" w:type="dxa"/>
            <w:vAlign w:val="center"/>
          </w:tcPr>
          <w:p w14:paraId="57ADB29A">
            <w:pPr>
              <w:pStyle w:val="319"/>
              <w:spacing w:line="560" w:lineRule="exact"/>
              <w:ind w:firstLine="200"/>
              <w:jc w:val="center"/>
              <w:rPr>
                <w:rFonts w:ascii="仿宋" w:hAnsi="仿宋" w:eastAsia="仿宋" w:cs="仿宋"/>
                <w:color w:val="auto"/>
                <w:sz w:val="24"/>
                <w:szCs w:val="24"/>
                <w:highlight w:val="none"/>
              </w:rPr>
            </w:pPr>
          </w:p>
        </w:tc>
      </w:tr>
      <w:tr w14:paraId="2773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EB505BE">
            <w:pPr>
              <w:pStyle w:val="319"/>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71AA25A8">
            <w:pPr>
              <w:pStyle w:val="319"/>
              <w:spacing w:line="560" w:lineRule="exact"/>
              <w:ind w:firstLine="200"/>
              <w:jc w:val="center"/>
              <w:rPr>
                <w:rFonts w:ascii="仿宋" w:hAnsi="仿宋" w:eastAsia="仿宋" w:cs="仿宋"/>
                <w:color w:val="auto"/>
                <w:sz w:val="24"/>
                <w:szCs w:val="24"/>
                <w:highlight w:val="none"/>
              </w:rPr>
            </w:pPr>
          </w:p>
        </w:tc>
      </w:tr>
    </w:tbl>
    <w:p w14:paraId="1A61CBEC">
      <w:pPr>
        <w:spacing w:line="560" w:lineRule="exact"/>
        <w:ind w:firstLine="480" w:firstLineChars="200"/>
        <w:rPr>
          <w:rFonts w:ascii="仿宋" w:hAnsi="仿宋" w:eastAsia="仿宋" w:cs="仿宋"/>
          <w:color w:val="auto"/>
          <w:sz w:val="24"/>
          <w:highlight w:val="none"/>
        </w:rPr>
      </w:pPr>
      <w:bookmarkStart w:id="405" w:name="_Toc14993"/>
      <w:bookmarkStart w:id="406" w:name="_Toc26916"/>
      <w:bookmarkStart w:id="407" w:name="_Toc30506"/>
      <w:bookmarkStart w:id="408" w:name="_Toc30158"/>
      <w:bookmarkStart w:id="409" w:name="_Toc3654"/>
      <w:r>
        <w:rPr>
          <w:rFonts w:hint="eastAsia" w:ascii="仿宋" w:hAnsi="仿宋" w:eastAsia="仿宋" w:cs="仿宋"/>
          <w:bCs/>
          <w:color w:val="auto"/>
          <w:sz w:val="24"/>
          <w:highlight w:val="none"/>
        </w:rPr>
        <w:t>1.3.2单价合同</w:t>
      </w:r>
      <w:r>
        <w:rPr>
          <w:rFonts w:hint="eastAsia" w:ascii="仿宋" w:eastAsia="仿宋" w:cs="仿宋"/>
          <w:color w:val="auto"/>
          <w:sz w:val="24"/>
          <w:highlight w:val="none"/>
        </w:rPr>
        <w:t>：</w:t>
      </w:r>
      <w:r>
        <w:rPr>
          <w:rFonts w:hint="eastAsia" w:ascii="仿宋" w:eastAsia="仿宋" w:cs="仿宋"/>
          <w:color w:val="auto"/>
          <w:sz w:val="24"/>
          <w:highlight w:val="none"/>
          <w:u w:val="single"/>
        </w:rPr>
        <w:t xml:space="preserve"> </w:t>
      </w:r>
      <w:r>
        <w:rPr>
          <w:rFonts w:hint="eastAsia" w:ascii="仿宋" w:eastAsia="仿宋" w:cs="仿宋"/>
          <w:color w:val="auto"/>
          <w:sz w:val="24"/>
          <w:highlight w:val="none"/>
          <w:u w:val="single"/>
          <w:lang w:val="en-US" w:eastAsia="zh-CN"/>
        </w:rPr>
        <w:t>/</w:t>
      </w:r>
      <w:r>
        <w:rPr>
          <w:rFonts w:hint="eastAsia" w:ascii="仿宋" w:eastAsia="仿宋" w:cs="仿宋"/>
          <w:color w:val="auto"/>
          <w:sz w:val="24"/>
          <w:highlight w:val="none"/>
          <w:u w:val="single"/>
        </w:rPr>
        <w:t xml:space="preserve"> </w:t>
      </w:r>
      <w:r>
        <w:rPr>
          <w:rFonts w:hint="eastAsia" w:ascii="仿宋" w:eastAsia="仿宋" w:cs="仿宋"/>
          <w:color w:val="auto"/>
          <w:sz w:val="24"/>
          <w:highlight w:val="none"/>
        </w:rPr>
        <w:t>。</w:t>
      </w:r>
    </w:p>
    <w:p w14:paraId="34D8DB86">
      <w:pPr>
        <w:spacing w:line="560" w:lineRule="exact"/>
        <w:ind w:firstLine="480" w:firstLineChars="200"/>
        <w:rPr>
          <w:rFonts w:ascii="仿宋" w:hAnsi="仿宋" w:eastAsia="仿宋" w:cs="仿宋"/>
          <w:color w:val="auto"/>
          <w:sz w:val="24"/>
          <w:highlight w:val="none"/>
        </w:rPr>
      </w:pPr>
      <w:r>
        <w:rPr>
          <w:rFonts w:hint="eastAsia" w:ascii="仿宋" w:eastAsia="仿宋" w:cs="仿宋"/>
          <w:color w:val="auto"/>
          <w:sz w:val="24"/>
          <w:highlight w:val="none"/>
        </w:rPr>
        <w:t>1.3.3其他计价方式：</w:t>
      </w:r>
      <w:r>
        <w:rPr>
          <w:rFonts w:hint="eastAsia" w:ascii="仿宋" w:eastAsia="仿宋" w:cs="仿宋"/>
          <w:color w:val="auto"/>
          <w:sz w:val="24"/>
          <w:highlight w:val="none"/>
          <w:u w:val="single"/>
        </w:rPr>
        <w:t xml:space="preserve"> </w:t>
      </w:r>
      <w:r>
        <w:rPr>
          <w:rFonts w:hint="eastAsia" w:ascii="仿宋" w:eastAsia="仿宋" w:cs="仿宋"/>
          <w:color w:val="auto"/>
          <w:sz w:val="24"/>
          <w:highlight w:val="none"/>
          <w:u w:val="single"/>
          <w:lang w:val="en-US" w:eastAsia="zh-CN"/>
        </w:rPr>
        <w:t>/</w:t>
      </w:r>
      <w:r>
        <w:rPr>
          <w:rFonts w:hint="eastAsia" w:ascii="仿宋" w:eastAsia="仿宋" w:cs="仿宋"/>
          <w:color w:val="auto"/>
          <w:sz w:val="24"/>
          <w:highlight w:val="none"/>
          <w:u w:val="single"/>
        </w:rPr>
        <w:t xml:space="preserve"> </w:t>
      </w:r>
      <w:r>
        <w:rPr>
          <w:rFonts w:hint="eastAsia" w:ascii="仿宋" w:eastAsia="仿宋" w:cs="仿宋"/>
          <w:color w:val="auto"/>
          <w:sz w:val="24"/>
          <w:highlight w:val="none"/>
        </w:rPr>
        <w:t>。</w:t>
      </w:r>
    </w:p>
    <w:bookmarkEnd w:id="405"/>
    <w:bookmarkEnd w:id="406"/>
    <w:bookmarkEnd w:id="407"/>
    <w:bookmarkEnd w:id="408"/>
    <w:bookmarkEnd w:id="409"/>
    <w:p w14:paraId="7E6A85C2">
      <w:pPr>
        <w:pStyle w:val="959"/>
        <w:spacing w:before="0" w:beforeAutospacing="0" w:after="0" w:afterAutospacing="0" w:line="360" w:lineRule="auto"/>
        <w:ind w:firstLine="480"/>
        <w:rPr>
          <w:rFonts w:ascii="仿宋" w:hAnsi="仿宋" w:eastAsia="仿宋" w:cs="仿宋"/>
          <w:b/>
          <w:color w:val="auto"/>
          <w:highlight w:val="none"/>
        </w:rPr>
      </w:pPr>
      <w:bookmarkStart w:id="410" w:name="_Toc10340"/>
      <w:bookmarkStart w:id="411" w:name="_Toc22618"/>
      <w:bookmarkStart w:id="412" w:name="_Toc1814"/>
      <w:bookmarkStart w:id="413" w:name="_Toc8772"/>
      <w:bookmarkStart w:id="414" w:name="_Toc31421"/>
      <w:bookmarkStart w:id="415" w:name="_Toc3625"/>
      <w:bookmarkStart w:id="416" w:name="_Toc11108"/>
      <w:bookmarkStart w:id="417" w:name="_Toc4760"/>
      <w:r>
        <w:rPr>
          <w:rFonts w:hint="eastAsia" w:ascii="仿宋" w:hAnsi="仿宋" w:eastAsia="仿宋" w:cs="仿宋"/>
          <w:b/>
          <w:color w:val="auto"/>
          <w:highlight w:val="none"/>
        </w:rPr>
        <w:t>1.4履约保证金</w:t>
      </w:r>
    </w:p>
    <w:p w14:paraId="579A5AC3">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是</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5798CB45">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1.4.1履约保证金的比例为合同金额的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1</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BBB0D81">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1.4.2履约保证金支付方式详见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7F34743">
      <w:pPr>
        <w:pStyle w:val="959"/>
        <w:spacing w:before="0" w:beforeAutospacing="0" w:after="0" w:afterAutospacing="0" w:line="360" w:lineRule="auto"/>
        <w:ind w:firstLine="480"/>
        <w:rPr>
          <w:rFonts w:hint="eastAsia" w:ascii="仿宋" w:eastAsia="仿宋" w:cs="仿宋"/>
          <w:color w:val="auto"/>
          <w:highlight w:val="none"/>
        </w:rPr>
      </w:pPr>
      <w:r>
        <w:rPr>
          <w:rFonts w:hint="eastAsia" w:ascii="仿宋" w:eastAsia="仿宋" w:cs="仿宋"/>
          <w:color w:val="auto"/>
          <w:highlight w:val="none"/>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201D5DE">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1.4.4甲方在项目验收结束后及时退还履约保证金。甲方在项目通过验收之日起</w:t>
      </w:r>
      <w:r>
        <w:rPr>
          <w:rFonts w:hint="eastAsia" w:ascii="仿宋" w:hAnsi="仿宋" w:eastAsia="仿宋" w:cs="仿宋"/>
          <w:color w:val="auto"/>
          <w:highlight w:val="none"/>
          <w:u w:val="single"/>
          <w:lang w:val="en-US" w:eastAsia="zh-CN"/>
        </w:rPr>
        <w:t>7</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highlight w:val="none"/>
          <w:u w:val="single"/>
        </w:rPr>
        <w:t>0.05</w:t>
      </w:r>
      <w:r>
        <w:rPr>
          <w:rFonts w:hint="eastAsia" w:ascii="仿宋" w:hAnsi="仿宋" w:eastAsia="仿宋" w:cs="仿宋"/>
          <w:color w:val="auto"/>
          <w:highlight w:val="none"/>
        </w:rPr>
        <w:t>%计算，最高限额为本合同履约保证金的</w:t>
      </w:r>
      <w:r>
        <w:rPr>
          <w:rFonts w:hint="eastAsia" w:ascii="仿宋" w:hAnsi="仿宋" w:eastAsia="仿宋" w:cs="仿宋"/>
          <w:color w:val="auto"/>
          <w:highlight w:val="none"/>
          <w:u w:val="single"/>
        </w:rPr>
        <w:t xml:space="preserve"> 20 </w:t>
      </w:r>
      <w:r>
        <w:rPr>
          <w:rFonts w:hint="eastAsia" w:ascii="仿宋" w:hAnsi="仿宋" w:eastAsia="仿宋" w:cs="仿宋"/>
          <w:color w:val="auto"/>
          <w:highlight w:val="none"/>
        </w:rPr>
        <w:t>%。</w:t>
      </w:r>
    </w:p>
    <w:p w14:paraId="4B7694D7">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w:t>
      </w:r>
      <w:bookmarkEnd w:id="410"/>
      <w:bookmarkEnd w:id="411"/>
      <w:bookmarkEnd w:id="412"/>
      <w:r>
        <w:rPr>
          <w:rFonts w:hint="eastAsia" w:ascii="仿宋" w:hAnsi="仿宋" w:eastAsia="仿宋" w:cs="仿宋"/>
          <w:b/>
          <w:color w:val="auto"/>
          <w:sz w:val="24"/>
          <w:highlight w:val="none"/>
        </w:rPr>
        <w:t>预付款</w:t>
      </w:r>
    </w:p>
    <w:p w14:paraId="1F38EB3A">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按照中标供应商实际情况填写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65A4D1DB">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1.5.1预付款比例、支付方式、时间详见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F13AAD4">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08D72EA">
      <w:pPr>
        <w:pStyle w:val="959"/>
        <w:spacing w:before="0" w:beforeAutospacing="0" w:after="0" w:afterAutospacing="0" w:line="360" w:lineRule="auto"/>
        <w:ind w:firstLine="480"/>
        <w:rPr>
          <w:rFonts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D7E4410">
      <w:pPr>
        <w:pStyle w:val="959"/>
        <w:spacing w:before="0" w:beforeAutospacing="0" w:after="0" w:afterAutospacing="0" w:line="360" w:lineRule="auto"/>
        <w:ind w:firstLine="480"/>
        <w:rPr>
          <w:rFonts w:ascii="仿宋" w:hAnsi="仿宋" w:eastAsia="仿宋" w:cs="仿宋"/>
          <w:b/>
          <w:bCs/>
          <w:color w:val="auto"/>
          <w:highlight w:val="none"/>
        </w:rPr>
      </w:pPr>
      <w:r>
        <w:rPr>
          <w:rFonts w:hint="eastAsia" w:ascii="仿宋" w:hAnsi="仿宋" w:eastAsia="仿宋" w:cs="仿宋"/>
          <w:b/>
          <w:bCs/>
          <w:color w:val="auto"/>
          <w:highlight w:val="none"/>
        </w:rPr>
        <w:t>1.6资金支付</w:t>
      </w:r>
    </w:p>
    <w:p w14:paraId="3005F779">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FF3B8BE">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1.6.2资金支付的方式、时间和条件详见</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14:paraId="74033E6A">
      <w:pPr>
        <w:pStyle w:val="959"/>
        <w:spacing w:before="0" w:beforeAutospacing="0" w:after="0" w:afterAutospacing="0" w:line="360" w:lineRule="auto"/>
        <w:ind w:firstLine="480"/>
        <w:rPr>
          <w:rFonts w:ascii="仿宋" w:hAnsi="仿宋" w:eastAsia="仿宋" w:cs="仿宋"/>
          <w:b/>
          <w:color w:val="auto"/>
          <w:highlight w:val="none"/>
        </w:rPr>
      </w:pPr>
      <w:r>
        <w:rPr>
          <w:rFonts w:hint="eastAsia" w:ascii="仿宋" w:hAnsi="仿宋" w:eastAsia="仿宋" w:cs="仿宋"/>
          <w:b/>
          <w:color w:val="auto"/>
          <w:highlight w:val="none"/>
        </w:rPr>
        <w:t>1.7履行期限、地点和方式</w:t>
      </w:r>
      <w:bookmarkEnd w:id="413"/>
      <w:bookmarkEnd w:id="414"/>
      <w:bookmarkEnd w:id="415"/>
      <w:bookmarkEnd w:id="416"/>
      <w:bookmarkEnd w:id="417"/>
    </w:p>
    <w:p w14:paraId="3B7E7034">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1.7.1服务交付（实施）的时间（期限）：</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14:paraId="7CA352EE">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1.7.2服务交付（实施）的地点（地域范围）：</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14:paraId="20B15EB6">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1.7.3服务交付（实施）的方式：</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bookmarkStart w:id="418" w:name="_Toc2375"/>
      <w:bookmarkStart w:id="419" w:name="_Toc24662"/>
      <w:bookmarkStart w:id="420" w:name="_Toc3079"/>
      <w:bookmarkStart w:id="421" w:name="_Toc8586"/>
      <w:bookmarkStart w:id="422" w:name="_Toc5698"/>
    </w:p>
    <w:p w14:paraId="4F8B3579">
      <w:pPr>
        <w:pStyle w:val="959"/>
        <w:spacing w:before="0" w:beforeAutospacing="0" w:after="0" w:afterAutospacing="0" w:line="360" w:lineRule="auto"/>
        <w:ind w:firstLine="480"/>
        <w:rPr>
          <w:rFonts w:ascii="仿宋" w:hAnsi="仿宋" w:eastAsia="仿宋" w:cs="仿宋"/>
          <w:bCs/>
          <w:color w:val="auto"/>
          <w:highlight w:val="none"/>
        </w:rPr>
      </w:pPr>
      <w:r>
        <w:rPr>
          <w:rFonts w:hint="eastAsia" w:ascii="仿宋" w:hAnsi="仿宋" w:eastAsia="仿宋" w:cs="仿宋"/>
          <w:bCs/>
          <w:color w:val="auto"/>
          <w:highlight w:val="none"/>
        </w:rPr>
        <w:t>1.7.4若服务涉及货物的，则货物的：</w:t>
      </w:r>
    </w:p>
    <w:p w14:paraId="2A8F3621">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1.7.4.1交付期限：详见</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14:paraId="531C5B4A">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1.7.4.2交付地点：</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14:paraId="01E714C8">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1.7.4.3交付方式：</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14:paraId="1914E98A">
      <w:pPr>
        <w:pStyle w:val="959"/>
        <w:spacing w:before="0" w:beforeAutospacing="0" w:after="0" w:afterAutospacing="0" w:line="360" w:lineRule="auto"/>
        <w:ind w:firstLine="480"/>
        <w:rPr>
          <w:rFonts w:ascii="仿宋" w:hAnsi="仿宋" w:eastAsia="仿宋" w:cs="仿宋"/>
          <w:b/>
          <w:color w:val="auto"/>
          <w:highlight w:val="none"/>
        </w:rPr>
      </w:pPr>
      <w:r>
        <w:rPr>
          <w:rFonts w:hint="eastAsia" w:ascii="仿宋" w:hAnsi="仿宋" w:eastAsia="仿宋" w:cs="仿宋"/>
          <w:b/>
          <w:color w:val="auto"/>
          <w:highlight w:val="none"/>
        </w:rPr>
        <w:t>1.8违约责任</w:t>
      </w:r>
      <w:bookmarkEnd w:id="418"/>
      <w:bookmarkEnd w:id="419"/>
      <w:bookmarkEnd w:id="420"/>
      <w:bookmarkEnd w:id="421"/>
      <w:bookmarkEnd w:id="422"/>
    </w:p>
    <w:p w14:paraId="52502568">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1.8.1除不可抗力外，如果乙方没有按照本合同约定的期限、地点和方式交付服务成果或者实施服务，那么甲方可要求乙方支付违约金，迟延履行违约金按每迟延履行一日的应提供而未提供服务价格的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highlight w:val="none"/>
          <w:u w:val="single"/>
        </w:rPr>
        <w:t>0.05</w:t>
      </w:r>
      <w:r>
        <w:rPr>
          <w:rFonts w:hint="eastAsia" w:ascii="仿宋" w:hAnsi="仿宋" w:eastAsia="仿宋" w:cs="仿宋"/>
          <w:color w:val="auto"/>
          <w:highlight w:val="none"/>
        </w:rPr>
        <w:t>%计算，最高限额为本合同总价的</w:t>
      </w:r>
      <w:r>
        <w:rPr>
          <w:rFonts w:hint="eastAsia" w:ascii="仿宋" w:hAnsi="仿宋" w:eastAsia="仿宋" w:cs="仿宋"/>
          <w:color w:val="auto"/>
          <w:highlight w:val="none"/>
          <w:u w:val="single"/>
        </w:rPr>
        <w:t xml:space="preserve"> 20 </w:t>
      </w:r>
      <w:r>
        <w:rPr>
          <w:rFonts w:hint="eastAsia" w:ascii="仿宋" w:hAnsi="仿宋" w:eastAsia="仿宋" w:cs="仿宋"/>
          <w:color w:val="auto"/>
          <w:highlight w:val="none"/>
        </w:rPr>
        <w:t>%；迟延履行的违约金计算数额达到前述最高限额之日起，甲方有权在要求乙方支付违约金的同时，书面通知乙方解除本合同</w:t>
      </w:r>
      <w:r>
        <w:rPr>
          <w:rFonts w:hint="eastAsia" w:ascii="仿宋" w:eastAsia="仿宋" w:cs="仿宋"/>
          <w:color w:val="auto"/>
          <w:highlight w:val="none"/>
          <w:lang w:eastAsia="zh-CN"/>
        </w:rPr>
        <w:t>，</w:t>
      </w:r>
      <w:r>
        <w:rPr>
          <w:rFonts w:hint="eastAsia" w:ascii="仿宋" w:eastAsia="仿宋" w:cs="仿宋"/>
          <w:color w:val="auto"/>
          <w:highlight w:val="none"/>
        </w:rPr>
        <w:t>合同效力自通知到达乙方之日解除，合同解除不影响违约条款效力</w:t>
      </w:r>
      <w:r>
        <w:rPr>
          <w:rFonts w:hint="eastAsia" w:ascii="仿宋" w:hAnsi="仿宋" w:eastAsia="仿宋" w:cs="仿宋"/>
          <w:color w:val="auto"/>
          <w:highlight w:val="none"/>
        </w:rPr>
        <w:t>；</w:t>
      </w:r>
    </w:p>
    <w:p w14:paraId="67B7E231">
      <w:pPr>
        <w:pStyle w:val="959"/>
        <w:spacing w:before="0" w:beforeAutospacing="0" w:after="0" w:afterAutospacing="0" w:line="360" w:lineRule="auto"/>
        <w:ind w:firstLine="480"/>
        <w:rPr>
          <w:rFonts w:ascii="仿宋" w:eastAsia="仿宋" w:cs="仿宋"/>
          <w:color w:val="auto"/>
          <w:highlight w:val="none"/>
        </w:rPr>
      </w:pPr>
      <w:r>
        <w:rPr>
          <w:rFonts w:hint="eastAsia" w:ascii="仿宋" w:eastAsia="仿宋" w:cs="仿宋"/>
          <w:color w:val="auto"/>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color w:val="auto"/>
          <w:highlight w:val="none"/>
          <w:u w:val="single"/>
        </w:rPr>
        <w:t xml:space="preserve"> 0.05 </w:t>
      </w:r>
      <w:r>
        <w:rPr>
          <w:rFonts w:hint="eastAsia" w:ascii="仿宋" w:eastAsia="仿宋" w:cs="仿宋"/>
          <w:color w:val="auto"/>
          <w:highlight w:val="none"/>
        </w:rPr>
        <w:t>%计算，最高限额为本合同总价的</w:t>
      </w:r>
      <w:r>
        <w:rPr>
          <w:rFonts w:hint="eastAsia" w:ascii="仿宋" w:eastAsia="仿宋" w:cs="仿宋"/>
          <w:color w:val="auto"/>
          <w:highlight w:val="none"/>
          <w:u w:val="single"/>
        </w:rPr>
        <w:t xml:space="preserve"> 20 </w:t>
      </w:r>
      <w:r>
        <w:rPr>
          <w:rFonts w:hint="eastAsia" w:ascii="仿宋" w:eastAsia="仿宋" w:cs="仿宋"/>
          <w:color w:val="auto"/>
          <w:highlight w:val="none"/>
        </w:rPr>
        <w:t>%；迟延交付货物的违约金计算数额达到前述最高限额之日起，甲方有权在要求乙方支付违约金的同时，书面通知乙方解除本合同</w:t>
      </w:r>
      <w:r>
        <w:rPr>
          <w:rFonts w:hint="eastAsia" w:ascii="仿宋" w:eastAsia="仿宋" w:cs="仿宋"/>
          <w:color w:val="auto"/>
          <w:highlight w:val="none"/>
          <w:lang w:eastAsia="zh-CN"/>
        </w:rPr>
        <w:t>，</w:t>
      </w:r>
      <w:r>
        <w:rPr>
          <w:rFonts w:hint="eastAsia" w:ascii="仿宋" w:eastAsia="仿宋" w:cs="仿宋"/>
          <w:color w:val="auto"/>
          <w:highlight w:val="none"/>
        </w:rPr>
        <w:t>合同效力自通知到达乙方之日解除，合同解除不影响违约条款效力；</w:t>
      </w:r>
    </w:p>
    <w:p w14:paraId="146D62B8">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highlight w:val="none"/>
          <w:u w:val="single"/>
        </w:rPr>
        <w:t xml:space="preserve"> 0.05 </w:t>
      </w:r>
      <w:r>
        <w:rPr>
          <w:rFonts w:hint="eastAsia" w:ascii="仿宋" w:hAnsi="仿宋" w:eastAsia="仿宋" w:cs="仿宋"/>
          <w:color w:val="auto"/>
          <w:highlight w:val="none"/>
        </w:rPr>
        <w:t>%计算，最高限额为本合同总价的</w:t>
      </w:r>
      <w:r>
        <w:rPr>
          <w:rFonts w:hint="eastAsia" w:ascii="仿宋" w:hAnsi="仿宋" w:eastAsia="仿宋" w:cs="仿宋"/>
          <w:color w:val="auto"/>
          <w:highlight w:val="none"/>
          <w:u w:val="single"/>
        </w:rPr>
        <w:t xml:space="preserve"> 20 </w:t>
      </w:r>
      <w:r>
        <w:rPr>
          <w:rFonts w:hint="eastAsia" w:ascii="仿宋" w:hAnsi="仿宋" w:eastAsia="仿宋" w:cs="仿宋"/>
          <w:color w:val="auto"/>
          <w:highlight w:val="none"/>
        </w:rPr>
        <w:t>%；迟延付款的违约金计算数额达到前述最高限额之日起，乙方有权在要求甲方支付违约金的同时，书面通知甲方解除本合同；</w:t>
      </w:r>
      <w:bookmarkStart w:id="423" w:name="_Toc32454"/>
      <w:bookmarkStart w:id="424" w:name="_Toc30329"/>
      <w:bookmarkStart w:id="425" w:name="_Toc18683"/>
      <w:bookmarkStart w:id="426" w:name="_Toc26807"/>
      <w:bookmarkStart w:id="427" w:name="_Toc9497"/>
    </w:p>
    <w:p w14:paraId="4370FC6B">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1.8.4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0906AF6">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1.8.5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F645442">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701293D">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1.8.7当出现故障时，乙方应在接到甲方申告故障后应在1小时内响应，在4小时内赶到现场，36小时内解决问题并到现场修复，设备故障或离线超过36小时的，扣除当月受该故障影响甲方无法正常使用的点位月服务费(受合同范围内的后台系统故障影响，造成前端点位大面积无法正常使用的，应按照受影响的点位数量扣除服务费)，违约责任</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另有约定的，从其约定。</w:t>
      </w:r>
      <w:bookmarkEnd w:id="423"/>
      <w:bookmarkEnd w:id="424"/>
      <w:bookmarkEnd w:id="425"/>
      <w:bookmarkEnd w:id="426"/>
      <w:bookmarkEnd w:id="427"/>
      <w:bookmarkStart w:id="428" w:name="_Toc16021"/>
      <w:bookmarkStart w:id="429" w:name="_Toc28375"/>
      <w:bookmarkStart w:id="430" w:name="_Toc15583"/>
    </w:p>
    <w:p w14:paraId="3297EB05">
      <w:pPr>
        <w:pStyle w:val="959"/>
        <w:spacing w:before="0" w:beforeAutospacing="0" w:after="0" w:afterAutospacing="0" w:line="360" w:lineRule="auto"/>
        <w:ind w:firstLine="480"/>
        <w:rPr>
          <w:rFonts w:ascii="仿宋" w:hAnsi="仿宋" w:eastAsia="仿宋" w:cs="仿宋"/>
          <w:b/>
          <w:color w:val="auto"/>
          <w:highlight w:val="none"/>
        </w:rPr>
      </w:pPr>
      <w:r>
        <w:rPr>
          <w:rFonts w:hint="eastAsia" w:ascii="仿宋" w:hAnsi="仿宋" w:eastAsia="仿宋" w:cs="仿宋"/>
          <w:b/>
          <w:color w:val="auto"/>
          <w:highlight w:val="none"/>
        </w:rPr>
        <w:t>1.9合同争议的解决</w:t>
      </w:r>
      <w:bookmarkEnd w:id="428"/>
      <w:bookmarkEnd w:id="429"/>
      <w:bookmarkEnd w:id="430"/>
    </w:p>
    <w:p w14:paraId="091FDAD6">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highlight w:val="none"/>
          <w:u w:val="single"/>
        </w:rPr>
        <w:t xml:space="preserve"> </w:t>
      </w:r>
      <w:r>
        <w:rPr>
          <w:rFonts w:hint="eastAsia" w:ascii="仿宋" w:hAnsi="仿宋" w:eastAsia="仿宋" w:cs="仿宋"/>
          <w:b/>
          <w:i/>
          <w:color w:val="auto"/>
          <w:highlight w:val="none"/>
          <w:u w:val="single"/>
          <w:lang w:val="en-US" w:eastAsia="zh-CN"/>
        </w:rPr>
        <w:t>1.9.2</w:t>
      </w:r>
      <w:r>
        <w:rPr>
          <w:rFonts w:hint="eastAsia" w:ascii="仿宋" w:hAnsi="仿宋" w:eastAsia="仿宋" w:cs="仿宋"/>
          <w:b/>
          <w:i/>
          <w:color w:val="auto"/>
          <w:highlight w:val="none"/>
          <w:u w:val="single"/>
        </w:rPr>
        <w:t xml:space="preserve"> </w:t>
      </w:r>
      <w:r>
        <w:rPr>
          <w:rFonts w:hint="eastAsia" w:ascii="仿宋" w:hAnsi="仿宋" w:eastAsia="仿宋" w:cs="仿宋"/>
          <w:color w:val="auto"/>
          <w:highlight w:val="none"/>
        </w:rPr>
        <w:t>条款规定的方式解决：</w:t>
      </w:r>
    </w:p>
    <w:p w14:paraId="261B0A2D">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1.9.1将争议提交</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仲裁委员会依申请仲裁时其现行有效的仲裁规则裁决；</w:t>
      </w:r>
    </w:p>
    <w:p w14:paraId="7662304B">
      <w:pPr>
        <w:pStyle w:val="959"/>
        <w:spacing w:before="0" w:beforeAutospacing="0" w:after="0" w:afterAutospacing="0" w:line="360" w:lineRule="auto"/>
        <w:ind w:firstLine="480"/>
        <w:rPr>
          <w:rFonts w:ascii="仿宋" w:hAnsi="仿宋" w:eastAsia="仿宋" w:cs="仿宋"/>
          <w:b/>
          <w:color w:val="auto"/>
          <w:highlight w:val="none"/>
        </w:rPr>
      </w:pPr>
      <w:r>
        <w:rPr>
          <w:rFonts w:hint="eastAsia" w:ascii="仿宋" w:hAnsi="仿宋" w:eastAsia="仿宋" w:cs="仿宋"/>
          <w:color w:val="auto"/>
          <w:highlight w:val="none"/>
        </w:rPr>
        <w:t>1.9.2向</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人民法院起诉。</w:t>
      </w:r>
    </w:p>
    <w:p w14:paraId="2BD5BB85">
      <w:pPr>
        <w:spacing w:line="560" w:lineRule="exact"/>
        <w:ind w:firstLine="482" w:firstLineChars="200"/>
        <w:outlineLvl w:val="0"/>
        <w:rPr>
          <w:rFonts w:hint="eastAsia" w:ascii="仿宋" w:hAnsi="仿宋" w:eastAsia="仿宋" w:cs="仿宋"/>
          <w:b/>
          <w:color w:val="auto"/>
          <w:sz w:val="24"/>
          <w:highlight w:val="none"/>
        </w:rPr>
      </w:pPr>
      <w:bookmarkStart w:id="431" w:name="_Toc15322"/>
      <w:bookmarkStart w:id="432" w:name="_Toc11173"/>
      <w:bookmarkStart w:id="433" w:name="_Toc7245"/>
      <w:r>
        <w:rPr>
          <w:rFonts w:hint="eastAsia" w:ascii="仿宋" w:hAnsi="仿宋" w:eastAsia="仿宋" w:cs="仿宋"/>
          <w:b/>
          <w:color w:val="auto"/>
          <w:sz w:val="24"/>
          <w:highlight w:val="none"/>
        </w:rPr>
        <w:t>2.0网络数据安全责任及安全责任条款</w:t>
      </w:r>
    </w:p>
    <w:p w14:paraId="6145840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乙方需按甲方要求开展施工运维保障，由于乙方问题导致严重后果的，乙方应承担相应法律责任，具体要求详见安全保密承诺书，</w:t>
      </w:r>
    </w:p>
    <w:p w14:paraId="2FE3A62F">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合同生效</w:t>
      </w:r>
      <w:bookmarkEnd w:id="431"/>
      <w:bookmarkEnd w:id="432"/>
      <w:bookmarkEnd w:id="433"/>
    </w:p>
    <w:p w14:paraId="4B6B1325">
      <w:pPr>
        <w:spacing w:line="56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65CA4383">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1B8CE6F6">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07853434">
      <w:pPr>
        <w:autoSpaceDE w:val="0"/>
        <w:autoSpaceDN w:val="0"/>
        <w:spacing w:line="560" w:lineRule="exact"/>
        <w:rPr>
          <w:rFonts w:ascii="仿宋" w:hAnsi="仿宋" w:eastAsia="仿宋" w:cs="仿宋"/>
          <w:color w:val="auto"/>
          <w:sz w:val="24"/>
          <w:highlight w:val="none"/>
          <w:lang w:val="zh-CN"/>
        </w:rPr>
      </w:pPr>
    </w:p>
    <w:p w14:paraId="1C305149">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04AB1F4F">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33DCDF9C">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3B7B2935">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7EE89F4E">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3D34775C">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20D3E05C">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7B52FE63">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39F61B6B">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3186B0AA">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1734269A">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46B9A84E">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73FE92CE">
      <w:pPr>
        <w:pStyle w:val="701"/>
        <w:spacing w:line="560" w:lineRule="exact"/>
        <w:ind w:left="0" w:leftChars="0" w:firstLine="0" w:firstLineChars="0"/>
        <w:jc w:val="center"/>
        <w:rPr>
          <w:rFonts w:hint="eastAsia" w:ascii="仿宋" w:hAnsi="仿宋" w:eastAsia="仿宋" w:cs="仿宋"/>
          <w:b/>
          <w:color w:val="auto"/>
          <w:szCs w:val="24"/>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B7A8151">
      <w:pPr>
        <w:pStyle w:val="701"/>
        <w:spacing w:line="560" w:lineRule="exact"/>
        <w:ind w:left="0" w:leftChars="0" w:firstLine="0" w:firstLineChars="0"/>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第二部</w:t>
      </w:r>
      <w:r>
        <w:rPr>
          <w:rFonts w:hint="eastAsia" w:ascii="仿宋" w:hAnsi="仿宋" w:eastAsia="仿宋" w:cs="仿宋"/>
          <w:b/>
          <w:color w:val="auto"/>
          <w:spacing w:val="242"/>
          <w:kern w:val="0"/>
          <w:szCs w:val="24"/>
          <w:highlight w:val="none"/>
          <w:fitText w:val="964" w:id="-982737152"/>
        </w:rPr>
        <w:t>分</w:t>
      </w:r>
      <w:r>
        <w:rPr>
          <w:rFonts w:hint="eastAsia" w:ascii="仿宋" w:hAnsi="仿宋" w:eastAsia="仿宋" w:cs="仿宋"/>
          <w:b/>
          <w:color w:val="auto"/>
          <w:spacing w:val="0"/>
          <w:kern w:val="0"/>
          <w:szCs w:val="24"/>
          <w:highlight w:val="none"/>
          <w:fitText w:val="964" w:id="-982737152"/>
        </w:rPr>
        <w:t>合</w:t>
      </w:r>
      <w:r>
        <w:rPr>
          <w:rFonts w:hint="eastAsia" w:ascii="仿宋" w:hAnsi="仿宋" w:eastAsia="仿宋" w:cs="仿宋"/>
          <w:b/>
          <w:color w:val="auto"/>
          <w:szCs w:val="24"/>
          <w:highlight w:val="none"/>
        </w:rPr>
        <w:t>同一般条款</w:t>
      </w:r>
    </w:p>
    <w:p w14:paraId="05BFD71F">
      <w:pPr>
        <w:spacing w:line="560" w:lineRule="exact"/>
        <w:ind w:firstLine="482" w:firstLineChars="200"/>
        <w:outlineLvl w:val="0"/>
        <w:rPr>
          <w:rFonts w:ascii="仿宋" w:hAnsi="仿宋" w:eastAsia="仿宋" w:cs="仿宋"/>
          <w:b/>
          <w:color w:val="auto"/>
          <w:sz w:val="24"/>
          <w:highlight w:val="none"/>
        </w:rPr>
      </w:pPr>
      <w:bookmarkStart w:id="434" w:name="_Toc25079"/>
      <w:bookmarkStart w:id="435" w:name="_Toc14021"/>
      <w:bookmarkStart w:id="436" w:name="_Toc5228"/>
      <w:bookmarkStart w:id="437" w:name="_Toc19680"/>
      <w:bookmarkStart w:id="438" w:name="_Toc31297"/>
      <w:r>
        <w:rPr>
          <w:rFonts w:hint="eastAsia" w:ascii="仿宋" w:hAnsi="仿宋" w:eastAsia="仿宋" w:cs="仿宋"/>
          <w:b/>
          <w:color w:val="auto"/>
          <w:sz w:val="24"/>
          <w:highlight w:val="none"/>
        </w:rPr>
        <w:t>2.1定义</w:t>
      </w:r>
      <w:bookmarkEnd w:id="434"/>
      <w:bookmarkEnd w:id="435"/>
      <w:bookmarkEnd w:id="436"/>
      <w:bookmarkEnd w:id="437"/>
      <w:bookmarkEnd w:id="438"/>
    </w:p>
    <w:p w14:paraId="2BAC79C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12C9C0D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2.1.1“合同”系指采购人和中标或成交供应商签订的载明双方当事人所达成的协议，并包括所有的附件、附录和构成合同的其他文件。</w:t>
      </w:r>
    </w:p>
    <w:p w14:paraId="60F8766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2.1.2“合同价”系指根据合同约定，中标或成交供应商在完全履行合同义务后，采购人应支付给中标或成交供应商的价格。</w:t>
      </w:r>
    </w:p>
    <w:p w14:paraId="36E386B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2.1.3“服务”系指中标或成交供应商根据合同约定应向采购人履行的除货物和工程以外的其他政府采购对象，包括采购人自身需要的服务和向社会公众提供的公共服务。</w:t>
      </w:r>
    </w:p>
    <w:p w14:paraId="51B3FBE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2.1.4“甲方”系指与中标或成交供应商签署合同的采购人；采购人委托采购代理机构代表其与乙方签订合同的，采购人的授权委托书作为合同附件。</w:t>
      </w:r>
    </w:p>
    <w:p w14:paraId="00D3126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C75B23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2.1.6“现场”系指合同约定提供服务的地点。</w:t>
      </w:r>
    </w:p>
    <w:p w14:paraId="0A42B5B0">
      <w:pPr>
        <w:spacing w:line="560" w:lineRule="exact"/>
        <w:ind w:firstLine="482" w:firstLineChars="200"/>
        <w:outlineLvl w:val="0"/>
        <w:rPr>
          <w:rFonts w:ascii="仿宋" w:hAnsi="仿宋" w:eastAsia="仿宋" w:cs="仿宋"/>
          <w:b/>
          <w:color w:val="auto"/>
          <w:sz w:val="24"/>
          <w:highlight w:val="none"/>
        </w:rPr>
      </w:pPr>
      <w:bookmarkStart w:id="439" w:name="_Toc31402"/>
      <w:bookmarkStart w:id="440" w:name="_Toc19539"/>
      <w:bookmarkStart w:id="441" w:name="_Toc3769"/>
      <w:bookmarkStart w:id="442" w:name="_Toc16752"/>
      <w:bookmarkStart w:id="443" w:name="_Toc23289"/>
      <w:r>
        <w:rPr>
          <w:rFonts w:hint="eastAsia" w:ascii="仿宋" w:hAnsi="仿宋" w:eastAsia="仿宋" w:cs="仿宋"/>
          <w:b/>
          <w:color w:val="auto"/>
          <w:sz w:val="24"/>
          <w:highlight w:val="none"/>
        </w:rPr>
        <w:t>2.2技术规范</w:t>
      </w:r>
      <w:bookmarkEnd w:id="439"/>
      <w:bookmarkEnd w:id="440"/>
      <w:bookmarkEnd w:id="441"/>
      <w:bookmarkEnd w:id="442"/>
      <w:bookmarkEnd w:id="443"/>
    </w:p>
    <w:p w14:paraId="3C40C76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C2D8EAF">
      <w:pPr>
        <w:spacing w:line="560" w:lineRule="exact"/>
        <w:ind w:firstLine="482" w:firstLineChars="200"/>
        <w:outlineLvl w:val="0"/>
        <w:rPr>
          <w:rFonts w:ascii="仿宋" w:hAnsi="仿宋" w:eastAsia="仿宋" w:cs="仿宋"/>
          <w:b/>
          <w:color w:val="auto"/>
          <w:sz w:val="24"/>
          <w:highlight w:val="none"/>
        </w:rPr>
      </w:pPr>
      <w:bookmarkStart w:id="444" w:name="_Toc9161"/>
      <w:bookmarkStart w:id="445" w:name="_Toc27945"/>
      <w:bookmarkStart w:id="446" w:name="_Toc13673"/>
      <w:bookmarkStart w:id="447" w:name="_Toc4133"/>
      <w:bookmarkStart w:id="448" w:name="_Toc12412"/>
      <w:r>
        <w:rPr>
          <w:rFonts w:hint="eastAsia" w:ascii="仿宋" w:hAnsi="仿宋" w:eastAsia="仿宋" w:cs="仿宋"/>
          <w:b/>
          <w:color w:val="auto"/>
          <w:sz w:val="24"/>
          <w:highlight w:val="none"/>
        </w:rPr>
        <w:t>2.3知识产权</w:t>
      </w:r>
      <w:bookmarkEnd w:id="444"/>
      <w:bookmarkEnd w:id="445"/>
      <w:bookmarkEnd w:id="446"/>
      <w:bookmarkEnd w:id="447"/>
      <w:bookmarkEnd w:id="448"/>
    </w:p>
    <w:p w14:paraId="1AC79D2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6E3AE6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7A5FD09">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2.4履约检查和问题反馈</w:t>
      </w:r>
    </w:p>
    <w:p w14:paraId="55E8F97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5B82B9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2.4.2合同履行期间，甲方有权将履行过程中出现的问题反馈给乙方，双方当事人应以书面形式约定需要完善和改进的内容。</w:t>
      </w:r>
    </w:p>
    <w:p w14:paraId="656D315F">
      <w:pPr>
        <w:spacing w:line="560" w:lineRule="exact"/>
        <w:ind w:firstLine="482" w:firstLineChars="200"/>
        <w:outlineLvl w:val="0"/>
        <w:rPr>
          <w:rFonts w:ascii="仿宋" w:hAnsi="仿宋" w:eastAsia="仿宋" w:cs="仿宋"/>
          <w:b/>
          <w:color w:val="auto"/>
          <w:sz w:val="24"/>
          <w:highlight w:val="none"/>
        </w:rPr>
      </w:pPr>
      <w:bookmarkStart w:id="449" w:name="_Toc22011"/>
      <w:bookmarkStart w:id="450" w:name="_Toc32670"/>
      <w:bookmarkStart w:id="451" w:name="_Toc15447"/>
      <w:bookmarkStart w:id="452" w:name="_Toc26555"/>
      <w:bookmarkStart w:id="453" w:name="_Toc31233"/>
      <w:r>
        <w:rPr>
          <w:rFonts w:hint="eastAsia" w:ascii="仿宋" w:hAnsi="仿宋" w:eastAsia="仿宋" w:cs="仿宋"/>
          <w:b/>
          <w:color w:val="auto"/>
          <w:sz w:val="24"/>
          <w:highlight w:val="none"/>
        </w:rPr>
        <w:t>2.5结算方式和付款条件</w:t>
      </w:r>
      <w:bookmarkEnd w:id="449"/>
      <w:bookmarkEnd w:id="450"/>
      <w:bookmarkEnd w:id="451"/>
      <w:bookmarkEnd w:id="452"/>
      <w:bookmarkEnd w:id="453"/>
    </w:p>
    <w:p w14:paraId="290BEA7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92ED915">
      <w:pPr>
        <w:spacing w:line="560" w:lineRule="exact"/>
        <w:ind w:firstLine="482" w:firstLineChars="200"/>
        <w:outlineLvl w:val="0"/>
        <w:rPr>
          <w:rFonts w:ascii="仿宋" w:hAnsi="仿宋" w:eastAsia="仿宋" w:cs="仿宋"/>
          <w:b/>
          <w:color w:val="auto"/>
          <w:sz w:val="24"/>
          <w:highlight w:val="none"/>
        </w:rPr>
      </w:pPr>
      <w:bookmarkStart w:id="454" w:name="_Toc30507"/>
      <w:bookmarkStart w:id="455" w:name="_Toc16163"/>
      <w:bookmarkStart w:id="456" w:name="_Toc13154"/>
      <w:bookmarkStart w:id="457" w:name="_Toc18990"/>
      <w:bookmarkStart w:id="458" w:name="_Toc13467"/>
      <w:r>
        <w:rPr>
          <w:rFonts w:hint="eastAsia" w:ascii="仿宋" w:hAnsi="仿宋" w:eastAsia="仿宋" w:cs="仿宋"/>
          <w:b/>
          <w:color w:val="auto"/>
          <w:sz w:val="24"/>
          <w:highlight w:val="none"/>
        </w:rPr>
        <w:t>2.6技术资料和保密义务</w:t>
      </w:r>
      <w:bookmarkEnd w:id="454"/>
      <w:bookmarkEnd w:id="455"/>
      <w:bookmarkEnd w:id="456"/>
      <w:bookmarkEnd w:id="457"/>
      <w:bookmarkEnd w:id="458"/>
    </w:p>
    <w:p w14:paraId="254ACC2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2.6.1乙方有权依据合同约定和项目需要，向甲方了解有关情况，调阅有关资料等，甲方应予积极配合；</w:t>
      </w:r>
    </w:p>
    <w:p w14:paraId="4186BF9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2.6.2乙方有义务妥善保管和保护由甲方提供的前款信息和资料等；</w:t>
      </w:r>
    </w:p>
    <w:p w14:paraId="69720D3A">
      <w:pPr>
        <w:spacing w:line="56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r>
        <w:rPr>
          <w:rFonts w:hint="eastAsia" w:ascii="仿宋" w:hAnsi="仿宋" w:eastAsia="仿宋" w:cs="仿宋"/>
          <w:color w:val="auto"/>
          <w:sz w:val="24"/>
          <w:highlight w:val="none"/>
          <w:lang w:val="en-US" w:eastAsia="zh-CN"/>
        </w:rPr>
        <w:t>保密期限为永久。</w:t>
      </w:r>
    </w:p>
    <w:p w14:paraId="57725B70">
      <w:pPr>
        <w:spacing w:line="560" w:lineRule="exact"/>
        <w:ind w:firstLine="482" w:firstLineChars="200"/>
        <w:outlineLvl w:val="0"/>
        <w:rPr>
          <w:rFonts w:ascii="仿宋" w:hAnsi="仿宋" w:eastAsia="仿宋" w:cs="仿宋"/>
          <w:b/>
          <w:color w:val="auto"/>
          <w:sz w:val="24"/>
          <w:highlight w:val="none"/>
        </w:rPr>
      </w:pPr>
      <w:bookmarkStart w:id="459" w:name="_Toc19069"/>
      <w:r>
        <w:rPr>
          <w:rFonts w:hint="eastAsia" w:ascii="仿宋" w:hAnsi="仿宋" w:eastAsia="仿宋" w:cs="仿宋"/>
          <w:b/>
          <w:color w:val="auto"/>
          <w:sz w:val="24"/>
          <w:highlight w:val="none"/>
        </w:rPr>
        <w:t>2.7质量保证</w:t>
      </w:r>
      <w:bookmarkEnd w:id="459"/>
    </w:p>
    <w:p w14:paraId="592AAAB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2.7.1乙方应建立和完善履行合同的内部质量保证体系，并提供相关内部规章制度给甲方，以便甲方进行监督检查；</w:t>
      </w:r>
    </w:p>
    <w:p w14:paraId="54E3C57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2.7.2乙方应保证履行合同的人员数量和素质、软件和硬件设备的配置、场地、环境和设施等满足全面履行合同的要求，并应接受甲方的监督检查。</w:t>
      </w:r>
    </w:p>
    <w:p w14:paraId="411BF6D2">
      <w:pPr>
        <w:spacing w:line="560" w:lineRule="exact"/>
        <w:ind w:firstLine="482" w:firstLineChars="200"/>
        <w:outlineLvl w:val="0"/>
        <w:rPr>
          <w:rFonts w:ascii="仿宋" w:hAnsi="仿宋" w:eastAsia="仿宋" w:cs="仿宋"/>
          <w:b/>
          <w:color w:val="auto"/>
          <w:sz w:val="24"/>
          <w:highlight w:val="none"/>
        </w:rPr>
      </w:pPr>
      <w:bookmarkStart w:id="460" w:name="_Toc22267"/>
      <w:r>
        <w:rPr>
          <w:rFonts w:hint="eastAsia" w:ascii="仿宋" w:hAnsi="仿宋" w:eastAsia="仿宋" w:cs="仿宋"/>
          <w:b/>
          <w:color w:val="auto"/>
          <w:sz w:val="24"/>
          <w:highlight w:val="none"/>
        </w:rPr>
        <w:t>2.8延迟履行</w:t>
      </w:r>
      <w:bookmarkEnd w:id="460"/>
    </w:p>
    <w:p w14:paraId="68D8A8C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AD00055">
      <w:pPr>
        <w:spacing w:line="560" w:lineRule="exact"/>
        <w:ind w:firstLine="482" w:firstLineChars="200"/>
        <w:outlineLvl w:val="0"/>
        <w:rPr>
          <w:rFonts w:ascii="仿宋" w:hAnsi="仿宋" w:eastAsia="仿宋" w:cs="仿宋"/>
          <w:b/>
          <w:color w:val="auto"/>
          <w:sz w:val="24"/>
          <w:highlight w:val="none"/>
        </w:rPr>
      </w:pPr>
      <w:bookmarkStart w:id="461" w:name="_Toc10611"/>
      <w:r>
        <w:rPr>
          <w:rFonts w:hint="eastAsia" w:ascii="仿宋" w:hAnsi="仿宋" w:eastAsia="仿宋" w:cs="仿宋"/>
          <w:b/>
          <w:color w:val="auto"/>
          <w:sz w:val="24"/>
          <w:highlight w:val="none"/>
        </w:rPr>
        <w:t>2.9合同变更</w:t>
      </w:r>
      <w:bookmarkEnd w:id="461"/>
    </w:p>
    <w:p w14:paraId="78A9AA7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FFEC060">
      <w:pPr>
        <w:spacing w:line="560" w:lineRule="exact"/>
        <w:ind w:firstLine="482" w:firstLineChars="200"/>
        <w:outlineLvl w:val="0"/>
        <w:rPr>
          <w:rFonts w:ascii="仿宋" w:hAnsi="仿宋" w:eastAsia="仿宋" w:cs="仿宋"/>
          <w:b/>
          <w:color w:val="auto"/>
          <w:sz w:val="24"/>
          <w:highlight w:val="none"/>
        </w:rPr>
      </w:pPr>
      <w:bookmarkStart w:id="462" w:name="_Toc26689"/>
      <w:bookmarkStart w:id="463" w:name="_Toc10663"/>
      <w:bookmarkStart w:id="464" w:name="_Toc21830"/>
      <w:bookmarkStart w:id="465" w:name="_Toc42"/>
      <w:bookmarkStart w:id="466" w:name="_Toc23368"/>
      <w:r>
        <w:rPr>
          <w:rFonts w:hint="eastAsia" w:ascii="仿宋" w:hAnsi="仿宋" w:eastAsia="仿宋" w:cs="仿宋"/>
          <w:b/>
          <w:color w:val="auto"/>
          <w:sz w:val="24"/>
          <w:highlight w:val="none"/>
        </w:rPr>
        <w:t>2.10合同转让和分包</w:t>
      </w:r>
      <w:bookmarkEnd w:id="462"/>
      <w:bookmarkEnd w:id="463"/>
      <w:bookmarkEnd w:id="464"/>
      <w:bookmarkEnd w:id="465"/>
      <w:bookmarkEnd w:id="466"/>
    </w:p>
    <w:p w14:paraId="0B26EEA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w:t>
      </w:r>
      <w:r>
        <w:rPr>
          <w:rFonts w:hint="eastAsia" w:ascii="仿宋" w:hAnsi="仿宋" w:eastAsia="仿宋" w:cs="仿宋"/>
          <w:color w:val="auto"/>
          <w:sz w:val="24"/>
          <w:highlight w:val="none"/>
          <w:lang w:val="en-US" w:eastAsia="zh-CN"/>
        </w:rPr>
        <w:t>书面</w:t>
      </w:r>
      <w:r>
        <w:rPr>
          <w:rFonts w:hint="eastAsia" w:ascii="仿宋" w:hAnsi="仿宋" w:eastAsia="仿宋" w:cs="仿宋"/>
          <w:color w:val="auto"/>
          <w:sz w:val="24"/>
          <w:highlight w:val="none"/>
        </w:rPr>
        <w:t>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w:t>
      </w:r>
      <w:r>
        <w:rPr>
          <w:rFonts w:hint="eastAsia" w:ascii="仿宋" w:hAnsi="仿宋" w:eastAsia="仿宋" w:cs="仿宋"/>
          <w:color w:val="auto"/>
          <w:sz w:val="24"/>
          <w:highlight w:val="none"/>
          <w:lang w:val="en-US" w:eastAsia="zh-CN"/>
        </w:rPr>
        <w:t>无限</w:t>
      </w:r>
      <w:r>
        <w:rPr>
          <w:rFonts w:hint="eastAsia" w:ascii="仿宋" w:hAnsi="仿宋" w:eastAsia="仿宋" w:cs="仿宋"/>
          <w:color w:val="auto"/>
          <w:sz w:val="24"/>
          <w:highlight w:val="none"/>
        </w:rPr>
        <w:t>连带责任。</w:t>
      </w:r>
    </w:p>
    <w:p w14:paraId="6F9D6277">
      <w:pPr>
        <w:spacing w:line="560" w:lineRule="exact"/>
        <w:ind w:firstLine="482" w:firstLineChars="200"/>
        <w:outlineLvl w:val="0"/>
        <w:rPr>
          <w:rFonts w:ascii="仿宋" w:hAnsi="仿宋" w:eastAsia="仿宋" w:cs="仿宋"/>
          <w:b/>
          <w:color w:val="auto"/>
          <w:sz w:val="24"/>
          <w:highlight w:val="none"/>
        </w:rPr>
      </w:pPr>
      <w:bookmarkStart w:id="467" w:name="_Toc14371"/>
      <w:bookmarkStart w:id="468" w:name="_Toc4720"/>
      <w:bookmarkStart w:id="469" w:name="_Toc32494"/>
      <w:bookmarkStart w:id="470" w:name="_Toc25571"/>
      <w:bookmarkStart w:id="471" w:name="_Toc26633"/>
      <w:r>
        <w:rPr>
          <w:rFonts w:hint="eastAsia" w:ascii="仿宋" w:hAnsi="仿宋" w:eastAsia="仿宋" w:cs="仿宋"/>
          <w:b/>
          <w:color w:val="auto"/>
          <w:sz w:val="24"/>
          <w:highlight w:val="none"/>
        </w:rPr>
        <w:t>2.11不可抗力</w:t>
      </w:r>
      <w:bookmarkEnd w:id="467"/>
      <w:bookmarkEnd w:id="468"/>
      <w:bookmarkEnd w:id="469"/>
      <w:bookmarkEnd w:id="470"/>
      <w:bookmarkEnd w:id="471"/>
    </w:p>
    <w:p w14:paraId="03D7501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76293D2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2.11.2因不可抗力致使不能实现合同目的的，当事人可以解除合同；</w:t>
      </w:r>
    </w:p>
    <w:p w14:paraId="271AF79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2.11.3因不可抗力致使合同有变更必要的，双方当事人应在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509995E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2F189948">
      <w:pPr>
        <w:spacing w:line="560" w:lineRule="exact"/>
        <w:ind w:firstLine="482" w:firstLineChars="200"/>
        <w:outlineLvl w:val="0"/>
        <w:rPr>
          <w:rFonts w:ascii="仿宋" w:hAnsi="仿宋" w:eastAsia="仿宋" w:cs="仿宋"/>
          <w:b/>
          <w:color w:val="auto"/>
          <w:sz w:val="24"/>
          <w:highlight w:val="none"/>
        </w:rPr>
      </w:pPr>
      <w:bookmarkStart w:id="472" w:name="_Toc23854"/>
      <w:bookmarkStart w:id="473" w:name="_Toc25783"/>
      <w:bookmarkStart w:id="474" w:name="_Toc14115"/>
      <w:bookmarkStart w:id="475" w:name="_Toc3638"/>
      <w:bookmarkStart w:id="476" w:name="_Toc24465"/>
      <w:r>
        <w:rPr>
          <w:rFonts w:hint="eastAsia" w:ascii="仿宋" w:hAnsi="仿宋" w:eastAsia="仿宋" w:cs="仿宋"/>
          <w:b/>
          <w:color w:val="auto"/>
          <w:sz w:val="24"/>
          <w:highlight w:val="none"/>
        </w:rPr>
        <w:t>2.12税费</w:t>
      </w:r>
      <w:bookmarkEnd w:id="472"/>
      <w:bookmarkEnd w:id="473"/>
      <w:bookmarkEnd w:id="474"/>
      <w:bookmarkEnd w:id="475"/>
      <w:bookmarkEnd w:id="476"/>
    </w:p>
    <w:p w14:paraId="5DBD3B3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3F969C6E">
      <w:pPr>
        <w:spacing w:line="560" w:lineRule="exact"/>
        <w:ind w:firstLine="482" w:firstLineChars="200"/>
        <w:outlineLvl w:val="0"/>
        <w:rPr>
          <w:rFonts w:ascii="仿宋" w:hAnsi="仿宋" w:eastAsia="仿宋" w:cs="仿宋"/>
          <w:b/>
          <w:color w:val="auto"/>
          <w:sz w:val="24"/>
          <w:highlight w:val="none"/>
        </w:rPr>
      </w:pPr>
      <w:bookmarkStart w:id="477" w:name="_Toc26883"/>
      <w:bookmarkStart w:id="478" w:name="_Toc30105"/>
      <w:bookmarkStart w:id="479" w:name="_Toc7315"/>
      <w:bookmarkStart w:id="480" w:name="_Toc25525"/>
      <w:bookmarkStart w:id="481" w:name="_Toc14814"/>
      <w:r>
        <w:rPr>
          <w:rFonts w:hint="eastAsia" w:ascii="仿宋" w:hAnsi="仿宋" w:eastAsia="仿宋" w:cs="仿宋"/>
          <w:b/>
          <w:color w:val="auto"/>
          <w:sz w:val="24"/>
          <w:highlight w:val="none"/>
        </w:rPr>
        <w:t>2.13乙方破产</w:t>
      </w:r>
      <w:bookmarkEnd w:id="477"/>
      <w:bookmarkEnd w:id="478"/>
      <w:bookmarkEnd w:id="479"/>
      <w:bookmarkEnd w:id="480"/>
      <w:bookmarkEnd w:id="481"/>
    </w:p>
    <w:p w14:paraId="0FFBF8D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084F6AA">
      <w:pPr>
        <w:spacing w:line="560" w:lineRule="exact"/>
        <w:ind w:firstLine="482" w:firstLineChars="200"/>
        <w:outlineLvl w:val="0"/>
        <w:rPr>
          <w:rFonts w:ascii="仿宋" w:hAnsi="仿宋" w:eastAsia="仿宋" w:cs="仿宋"/>
          <w:b/>
          <w:color w:val="auto"/>
          <w:sz w:val="24"/>
          <w:highlight w:val="none"/>
        </w:rPr>
      </w:pPr>
      <w:bookmarkStart w:id="482" w:name="_Toc2016"/>
      <w:bookmarkStart w:id="483" w:name="_Toc1123"/>
      <w:bookmarkStart w:id="484" w:name="_Toc23323"/>
      <w:r>
        <w:rPr>
          <w:rFonts w:hint="eastAsia" w:ascii="仿宋" w:hAnsi="仿宋" w:eastAsia="仿宋" w:cs="仿宋"/>
          <w:b/>
          <w:color w:val="auto"/>
          <w:sz w:val="24"/>
          <w:highlight w:val="none"/>
        </w:rPr>
        <w:t>2.14合同中止、终止</w:t>
      </w:r>
      <w:bookmarkEnd w:id="482"/>
      <w:bookmarkEnd w:id="483"/>
      <w:bookmarkEnd w:id="484"/>
    </w:p>
    <w:p w14:paraId="17F7ACF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2.14.1双方当事人不得擅自中止或者终止合同；</w:t>
      </w:r>
    </w:p>
    <w:p w14:paraId="13B2D44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E864DC8">
      <w:pPr>
        <w:spacing w:line="560" w:lineRule="exact"/>
        <w:ind w:firstLine="482" w:firstLineChars="200"/>
        <w:outlineLvl w:val="0"/>
        <w:rPr>
          <w:rFonts w:ascii="仿宋" w:hAnsi="仿宋" w:eastAsia="仿宋" w:cs="仿宋"/>
          <w:b/>
          <w:color w:val="auto"/>
          <w:sz w:val="24"/>
          <w:highlight w:val="none"/>
        </w:rPr>
      </w:pPr>
      <w:bookmarkStart w:id="485" w:name="_Toc14525"/>
      <w:bookmarkStart w:id="486" w:name="_Toc1969"/>
      <w:bookmarkStart w:id="487" w:name="_Toc17363"/>
      <w:r>
        <w:rPr>
          <w:rFonts w:hint="eastAsia" w:ascii="仿宋" w:hAnsi="仿宋" w:eastAsia="仿宋" w:cs="仿宋"/>
          <w:b/>
          <w:color w:val="auto"/>
          <w:sz w:val="24"/>
          <w:highlight w:val="none"/>
        </w:rPr>
        <w:t>2.15检验和验收</w:t>
      </w:r>
      <w:bookmarkEnd w:id="485"/>
      <w:bookmarkEnd w:id="486"/>
      <w:bookmarkEnd w:id="487"/>
    </w:p>
    <w:p w14:paraId="1162CF05">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2.15.1乙方按照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16ACB2BC">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A518772">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2.15.3检验和验收标准、程序等具体内容以及前述验收书的效力详见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24C6269D">
      <w:pPr>
        <w:spacing w:line="560" w:lineRule="exact"/>
        <w:ind w:firstLine="482" w:firstLineChars="200"/>
        <w:outlineLvl w:val="0"/>
        <w:rPr>
          <w:rFonts w:ascii="仿宋" w:hAnsi="仿宋" w:eastAsia="仿宋" w:cs="仿宋"/>
          <w:b/>
          <w:color w:val="auto"/>
          <w:sz w:val="24"/>
          <w:highlight w:val="none"/>
        </w:rPr>
      </w:pPr>
      <w:bookmarkStart w:id="488" w:name="_Toc31892"/>
      <w:bookmarkStart w:id="489" w:name="_Toc9808"/>
      <w:bookmarkStart w:id="490" w:name="_Toc12666"/>
      <w:bookmarkStart w:id="491" w:name="_Toc2308"/>
      <w:bookmarkStart w:id="492" w:name="_Toc25198"/>
      <w:r>
        <w:rPr>
          <w:rFonts w:hint="eastAsia" w:ascii="仿宋" w:hAnsi="仿宋" w:eastAsia="仿宋" w:cs="仿宋"/>
          <w:b/>
          <w:color w:val="auto"/>
          <w:sz w:val="24"/>
          <w:highlight w:val="none"/>
        </w:rPr>
        <w:t>2.16通知和送达</w:t>
      </w:r>
      <w:bookmarkEnd w:id="488"/>
      <w:bookmarkEnd w:id="489"/>
      <w:bookmarkEnd w:id="490"/>
      <w:bookmarkEnd w:id="491"/>
      <w:bookmarkEnd w:id="492"/>
    </w:p>
    <w:p w14:paraId="60C414CC">
      <w:pPr>
        <w:spacing w:line="560" w:lineRule="exact"/>
        <w:ind w:firstLine="480" w:firstLineChars="200"/>
        <w:rPr>
          <w:rFonts w:ascii="仿宋" w:hAnsi="仿宋" w:eastAsia="仿宋" w:cs="仿宋"/>
          <w:color w:val="auto"/>
          <w:sz w:val="24"/>
          <w:highlight w:val="none"/>
        </w:rPr>
      </w:pPr>
      <w:bookmarkStart w:id="493" w:name="_Toc27674"/>
      <w:bookmarkStart w:id="494" w:name="_Toc18401"/>
      <w:r>
        <w:rPr>
          <w:rFonts w:hint="eastAsia" w:ascii="仿宋" w:hAnsi="仿宋" w:eastAsia="仿宋" w:cs="仿宋"/>
          <w:color w:val="auto"/>
          <w:sz w:val="24"/>
          <w:highlight w:val="none"/>
        </w:rPr>
        <w:t>2.16.1任何一方因履行合同而以合同第一部分尾部所列明的传真或电子邮件发出的所有通知、文件、材料，均视为已向对方当事人送达；任何一方变更上述送达方式或者地址的，应于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5D5EC60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2.16.2以当面交付方式送达的，交付之时视为送达；以电子邮件方式送达的，</w:t>
      </w:r>
      <w:r>
        <w:rPr>
          <w:rFonts w:hint="eastAsia" w:ascii="仿宋" w:hAnsi="仿宋" w:eastAsia="仿宋" w:cs="仿宋"/>
          <w:color w:val="auto"/>
          <w:sz w:val="24"/>
          <w:highlight w:val="none"/>
          <w:lang w:val="en-US" w:eastAsia="zh-CN"/>
        </w:rPr>
        <w:t>接收方收到</w:t>
      </w:r>
      <w:r>
        <w:rPr>
          <w:rFonts w:hint="eastAsia" w:ascii="仿宋" w:hAnsi="仿宋" w:eastAsia="仿宋" w:cs="仿宋"/>
          <w:color w:val="auto"/>
          <w:sz w:val="24"/>
          <w:highlight w:val="none"/>
        </w:rPr>
        <w:t>电子邮件之时视为送达；以传真方式送达的，</w:t>
      </w:r>
      <w:r>
        <w:rPr>
          <w:rFonts w:hint="eastAsia" w:ascii="仿宋" w:hAnsi="仿宋" w:eastAsia="仿宋" w:cs="仿宋"/>
          <w:color w:val="auto"/>
          <w:sz w:val="24"/>
          <w:highlight w:val="none"/>
          <w:lang w:val="en-US" w:eastAsia="zh-CN"/>
        </w:rPr>
        <w:t>接收方收到</w:t>
      </w:r>
      <w:r>
        <w:rPr>
          <w:rFonts w:hint="eastAsia" w:ascii="仿宋" w:hAnsi="仿宋" w:eastAsia="仿宋" w:cs="仿宋"/>
          <w:color w:val="auto"/>
          <w:sz w:val="24"/>
          <w:highlight w:val="none"/>
        </w:rPr>
        <w:t>传真之时视为送达；以邮寄方式送达的，</w:t>
      </w:r>
      <w:r>
        <w:rPr>
          <w:rFonts w:hint="eastAsia" w:ascii="仿宋" w:hAnsi="仿宋" w:eastAsia="仿宋" w:cs="仿宋"/>
          <w:color w:val="auto"/>
          <w:sz w:val="24"/>
          <w:highlight w:val="none"/>
          <w:lang w:val="en-US" w:eastAsia="zh-CN"/>
        </w:rPr>
        <w:t>接收方收到邮件之日</w:t>
      </w:r>
      <w:r>
        <w:rPr>
          <w:rFonts w:hint="eastAsia" w:ascii="仿宋" w:hAnsi="仿宋" w:eastAsia="仿宋" w:cs="仿宋"/>
          <w:color w:val="auto"/>
          <w:sz w:val="24"/>
          <w:highlight w:val="none"/>
        </w:rPr>
        <w:t>视为送达。</w:t>
      </w:r>
      <w:bookmarkEnd w:id="493"/>
      <w:bookmarkEnd w:id="494"/>
    </w:p>
    <w:p w14:paraId="17E0C8CD">
      <w:pPr>
        <w:spacing w:line="560" w:lineRule="exact"/>
        <w:ind w:firstLine="482" w:firstLineChars="200"/>
        <w:outlineLvl w:val="0"/>
        <w:rPr>
          <w:rFonts w:ascii="仿宋" w:hAnsi="仿宋" w:eastAsia="仿宋" w:cs="仿宋"/>
          <w:b/>
          <w:color w:val="auto"/>
          <w:sz w:val="24"/>
          <w:highlight w:val="none"/>
        </w:rPr>
      </w:pPr>
      <w:bookmarkStart w:id="495" w:name="_Toc5063"/>
      <w:bookmarkStart w:id="496" w:name="_Toc20808"/>
      <w:bookmarkStart w:id="497" w:name="_Toc28906"/>
      <w:bookmarkStart w:id="498" w:name="_Toc27644"/>
      <w:bookmarkStart w:id="499" w:name="_Toc12254"/>
      <w:r>
        <w:rPr>
          <w:rFonts w:hint="eastAsia" w:ascii="仿宋" w:hAnsi="仿宋" w:eastAsia="仿宋" w:cs="仿宋"/>
          <w:b/>
          <w:color w:val="auto"/>
          <w:sz w:val="24"/>
          <w:highlight w:val="none"/>
        </w:rPr>
        <w:t>2.17合同使用的文字和适用的法律</w:t>
      </w:r>
      <w:bookmarkEnd w:id="495"/>
      <w:bookmarkEnd w:id="496"/>
      <w:bookmarkEnd w:id="497"/>
      <w:bookmarkEnd w:id="498"/>
      <w:bookmarkEnd w:id="499"/>
    </w:p>
    <w:p w14:paraId="25841F6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2.17.1合同使用汉语书就、变更和解释；</w:t>
      </w:r>
    </w:p>
    <w:p w14:paraId="58B5EF2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2.17.2合同适用中华人民共和国法律。</w:t>
      </w:r>
    </w:p>
    <w:p w14:paraId="56A4E6F0">
      <w:pPr>
        <w:spacing w:line="560" w:lineRule="exact"/>
        <w:ind w:firstLine="482" w:firstLineChars="200"/>
        <w:outlineLvl w:val="0"/>
        <w:rPr>
          <w:rFonts w:ascii="仿宋" w:hAnsi="仿宋" w:eastAsia="仿宋" w:cs="仿宋"/>
          <w:b/>
          <w:color w:val="auto"/>
          <w:sz w:val="24"/>
          <w:highlight w:val="none"/>
        </w:rPr>
      </w:pPr>
      <w:bookmarkStart w:id="500" w:name="_Toc4355"/>
      <w:bookmarkStart w:id="501" w:name="_Toc18540"/>
      <w:bookmarkStart w:id="502" w:name="_Toc30599"/>
      <w:r>
        <w:rPr>
          <w:rFonts w:hint="eastAsia" w:ascii="仿宋" w:hAnsi="仿宋" w:eastAsia="仿宋" w:cs="仿宋"/>
          <w:b/>
          <w:color w:val="auto"/>
          <w:sz w:val="24"/>
          <w:highlight w:val="none"/>
        </w:rPr>
        <w:t>2.18计量单位</w:t>
      </w:r>
      <w:bookmarkEnd w:id="500"/>
      <w:bookmarkEnd w:id="501"/>
      <w:bookmarkEnd w:id="502"/>
    </w:p>
    <w:p w14:paraId="0F3C665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1B30148B">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1E90DDA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3694429C">
      <w:pPr>
        <w:spacing w:line="360" w:lineRule="auto"/>
        <w:jc w:val="center"/>
        <w:outlineLvl w:val="0"/>
        <w:rPr>
          <w:rFonts w:ascii="仿宋" w:hAnsi="仿宋" w:eastAsia="仿宋" w:cs="仿宋"/>
          <w:b/>
          <w:color w:val="auto"/>
          <w:sz w:val="24"/>
          <w:highlight w:val="none"/>
        </w:rPr>
      </w:pPr>
      <w:r>
        <w:rPr>
          <w:rFonts w:hint="eastAsia" w:ascii="仿宋" w:hAnsi="仿宋" w:eastAsia="仿宋" w:cs="仿宋"/>
          <w:color w:val="auto"/>
          <w:kern w:val="0"/>
          <w:highlight w:val="none"/>
        </w:rPr>
        <w:br w:type="page"/>
      </w:r>
      <w:r>
        <w:rPr>
          <w:rFonts w:hint="eastAsia" w:ascii="仿宋" w:hAnsi="仿宋" w:eastAsia="仿宋" w:cs="仿宋"/>
          <w:b/>
          <w:color w:val="auto"/>
          <w:sz w:val="24"/>
          <w:highlight w:val="none"/>
        </w:rPr>
        <w:t>第三部</w:t>
      </w:r>
      <w:r>
        <w:rPr>
          <w:rFonts w:hint="eastAsia" w:ascii="仿宋" w:hAnsi="仿宋" w:eastAsia="仿宋" w:cs="仿宋"/>
          <w:b/>
          <w:color w:val="auto"/>
          <w:spacing w:val="242"/>
          <w:kern w:val="0"/>
          <w:sz w:val="24"/>
          <w:highlight w:val="none"/>
          <w:fitText w:val="964" w:id="-982736896"/>
        </w:rPr>
        <w:t>分</w:t>
      </w:r>
      <w:r>
        <w:rPr>
          <w:rFonts w:hint="eastAsia" w:ascii="仿宋" w:hAnsi="仿宋" w:eastAsia="仿宋" w:cs="仿宋"/>
          <w:b/>
          <w:color w:val="auto"/>
          <w:spacing w:val="0"/>
          <w:kern w:val="0"/>
          <w:sz w:val="24"/>
          <w:highlight w:val="none"/>
          <w:fitText w:val="964" w:id="-982736896"/>
        </w:rPr>
        <w:t>合</w:t>
      </w:r>
      <w:r>
        <w:rPr>
          <w:rFonts w:hint="eastAsia" w:ascii="仿宋" w:hAnsi="仿宋" w:eastAsia="仿宋" w:cs="仿宋"/>
          <w:b/>
          <w:color w:val="auto"/>
          <w:sz w:val="24"/>
          <w:highlight w:val="none"/>
        </w:rPr>
        <w:t>同专用条款</w:t>
      </w:r>
    </w:p>
    <w:p w14:paraId="70CC2692">
      <w:pPr>
        <w:spacing w:line="560" w:lineRule="exact"/>
        <w:ind w:left="-420" w:leftChars="-200"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7CB2A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0E79610C">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4" w:type="pct"/>
            <w:vAlign w:val="center"/>
          </w:tcPr>
          <w:p w14:paraId="72266277">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2F12B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1CBF66">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4" w:type="pct"/>
            <w:vAlign w:val="center"/>
          </w:tcPr>
          <w:p w14:paraId="6567D49E">
            <w:pPr>
              <w:spacing w:line="360" w:lineRule="auto"/>
              <w:rPr>
                <w:rFonts w:hint="eastAsia" w:ascii="仿宋" w:hAnsi="仿宋" w:eastAsia="仿宋" w:cs="Arial"/>
                <w:bCs/>
                <w:color w:val="auto"/>
                <w:sz w:val="24"/>
                <w:highlight w:val="none"/>
              </w:rPr>
            </w:pPr>
            <w:r>
              <w:rPr>
                <w:rFonts w:hint="eastAsia" w:ascii="仿宋" w:hAnsi="仿宋" w:eastAsia="仿宋" w:cs="Arial"/>
                <w:bCs/>
                <w:color w:val="auto"/>
                <w:sz w:val="24"/>
                <w:highlight w:val="none"/>
              </w:rPr>
              <w:t>合同签订后7个工作日内，乙方须向甲方支付中标金额的1%作为履约保证金，以支票、汇票、本票或者金融机构、担保机构出具的保函等非现金形式提交。</w:t>
            </w:r>
          </w:p>
        </w:tc>
      </w:tr>
      <w:tr w14:paraId="3C1D9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6531623">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1.5.1</w:t>
            </w:r>
          </w:p>
        </w:tc>
        <w:tc>
          <w:tcPr>
            <w:tcW w:w="4464" w:type="pct"/>
            <w:vAlign w:val="center"/>
          </w:tcPr>
          <w:p w14:paraId="199644B5">
            <w:pPr>
              <w:spacing w:line="360" w:lineRule="auto"/>
              <w:rPr>
                <w:rFonts w:hint="eastAsia" w:ascii="仿宋" w:hAnsi="仿宋" w:eastAsia="仿宋" w:cs="Arial"/>
                <w:bCs/>
                <w:color w:val="auto"/>
                <w:sz w:val="24"/>
                <w:highlight w:val="none"/>
                <w:lang w:val="en-US" w:eastAsia="zh-CN"/>
              </w:rPr>
            </w:pPr>
            <w:r>
              <w:rPr>
                <w:rFonts w:hint="eastAsia" w:ascii="仿宋" w:hAnsi="仿宋" w:eastAsia="仿宋" w:cs="Arial"/>
                <w:bCs/>
                <w:color w:val="auto"/>
                <w:sz w:val="24"/>
                <w:highlight w:val="none"/>
              </w:rPr>
              <w:t>合同生效以及具备实施条件后5个工作日内采购人向中标人支付第一年合同金额的40%作为预付款，预付款不扣回，在后续每季度的结算中用于冲抵当期应付金额，预付款冲抵完后，再行支付相应款项。剩余部分（如有）将结转至下一季度继续使用。（在签订合同时，中标人明确表示无需预付款或者主动要求降低预付款比例的，采购人可不适用前述规定。）</w:t>
            </w:r>
          </w:p>
        </w:tc>
      </w:tr>
      <w:tr w14:paraId="28D3E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9F2CEA">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4" w:type="pct"/>
            <w:vAlign w:val="center"/>
          </w:tcPr>
          <w:p w14:paraId="522604B5">
            <w:pPr>
              <w:spacing w:line="360" w:lineRule="auto"/>
              <w:rPr>
                <w:rFonts w:hint="eastAsia" w:ascii="仿宋" w:hAnsi="仿宋" w:eastAsia="仿宋" w:cs="Arial"/>
                <w:bCs/>
                <w:color w:val="auto"/>
                <w:sz w:val="24"/>
                <w:highlight w:val="none"/>
              </w:rPr>
            </w:pPr>
            <w:r>
              <w:rPr>
                <w:rFonts w:hint="eastAsia" w:ascii="仿宋" w:hAnsi="仿宋" w:eastAsia="仿宋" w:cs="Arial"/>
                <w:bCs/>
                <w:color w:val="auto"/>
                <w:sz w:val="24"/>
                <w:highlight w:val="none"/>
              </w:rPr>
              <w:t>预付款不扣回，在每季度的结算中直接用于冲抵当期应付金额。剩余部分（如有）将结转至下一季度继续使用。（在签订合同时，中标人明确表示无需预付款或者主动要求降低预付款比例的，采购人可不适用前述规定。）</w:t>
            </w:r>
          </w:p>
        </w:tc>
      </w:tr>
      <w:tr w14:paraId="39EFE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AEC267">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1.5.3</w:t>
            </w:r>
          </w:p>
        </w:tc>
        <w:tc>
          <w:tcPr>
            <w:tcW w:w="4464" w:type="pct"/>
            <w:vAlign w:val="center"/>
          </w:tcPr>
          <w:p w14:paraId="7835D23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tc>
      </w:tr>
      <w:tr w14:paraId="5599E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6A11C07">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64" w:type="pct"/>
            <w:vAlign w:val="center"/>
          </w:tcPr>
          <w:p w14:paraId="290101F3">
            <w:pPr>
              <w:spacing w:line="400" w:lineRule="exact"/>
              <w:jc w:val="left"/>
              <w:rPr>
                <w:rFonts w:hint="eastAsia" w:ascii="仿宋" w:hAnsi="仿宋" w:eastAsia="仿宋"/>
                <w:color w:val="auto"/>
                <w:sz w:val="24"/>
                <w:highlight w:val="none"/>
                <w:lang w:val="en-US" w:eastAsia="zh-CN"/>
              </w:rPr>
            </w:pPr>
            <w:r>
              <w:rPr>
                <w:rFonts w:hint="eastAsia" w:ascii="仿宋" w:hAnsi="仿宋" w:eastAsia="仿宋"/>
                <w:bCs/>
                <w:color w:val="auto"/>
                <w:sz w:val="24"/>
                <w:highlight w:val="none"/>
              </w:rPr>
              <w:t>（1）</w:t>
            </w:r>
            <w:r>
              <w:rPr>
                <w:rFonts w:hint="eastAsia" w:ascii="仿宋" w:hAnsi="仿宋" w:eastAsia="仿宋"/>
                <w:color w:val="auto"/>
                <w:sz w:val="24"/>
                <w:highlight w:val="none"/>
                <w:lang w:val="en-US" w:eastAsia="zh-CN"/>
              </w:rPr>
              <w:t>履约保证金：合同签订后7个工作日内，乙方须向甲方支付中标金额的1%作为履约保证金，以支票、汇票、本票或者金融机构、担保机构出具的保函等非现金形式提交。</w:t>
            </w:r>
          </w:p>
          <w:p w14:paraId="28D1ADF8">
            <w:pPr>
              <w:spacing w:line="400" w:lineRule="exact"/>
              <w:jc w:val="left"/>
              <w:rPr>
                <w:rFonts w:hint="eastAsia" w:ascii="仿宋" w:hAnsi="仿宋" w:eastAsia="仿宋"/>
                <w:bCs/>
                <w:color w:val="auto"/>
                <w:sz w:val="24"/>
                <w:highlight w:val="none"/>
              </w:rPr>
            </w:pPr>
            <w:r>
              <w:rPr>
                <w:rFonts w:hint="eastAsia" w:ascii="仿宋" w:hAnsi="仿宋" w:eastAsia="仿宋"/>
                <w:bCs/>
                <w:color w:val="auto"/>
                <w:sz w:val="24"/>
                <w:highlight w:val="none"/>
              </w:rPr>
              <w:t>（</w:t>
            </w:r>
            <w:r>
              <w:rPr>
                <w:rFonts w:hint="eastAsia" w:ascii="仿宋" w:hAnsi="仿宋" w:eastAsia="仿宋"/>
                <w:bCs/>
                <w:color w:val="auto"/>
                <w:sz w:val="24"/>
                <w:highlight w:val="none"/>
                <w:lang w:val="en-US" w:eastAsia="zh-CN"/>
              </w:rPr>
              <w:t>2</w:t>
            </w:r>
            <w:r>
              <w:rPr>
                <w:rFonts w:hint="eastAsia" w:ascii="仿宋" w:hAnsi="仿宋" w:eastAsia="仿宋"/>
                <w:bCs/>
                <w:color w:val="auto"/>
                <w:sz w:val="24"/>
                <w:highlight w:val="none"/>
              </w:rPr>
              <w:t>）预付款：合同生效以及具备实施条件后5个工作日内采购人向中标人支付第一年合同金额的40%作为预付款，预付款不扣回，在后续每季度的结算中用于冲抵当期应付金额，预付款冲抵完后，再行支付相应款项。剩余部分（如有）将结转至下一季度继续使用。（在签订合同时，中标人明确表示无需预付款或者主动要求降低预付款比例的，采购人可不适用前述规定。）</w:t>
            </w:r>
          </w:p>
          <w:p w14:paraId="19D27771">
            <w:pPr>
              <w:spacing w:line="400" w:lineRule="exact"/>
              <w:jc w:val="left"/>
              <w:rPr>
                <w:rFonts w:hint="eastAsia" w:ascii="仿宋" w:hAnsi="仿宋" w:eastAsia="仿宋" w:cs="Times New Roman"/>
                <w:color w:val="auto"/>
                <w:sz w:val="24"/>
                <w:highlight w:val="none"/>
                <w:lang w:val="en-US" w:eastAsia="zh-CN"/>
              </w:rPr>
            </w:pPr>
            <w:r>
              <w:rPr>
                <w:rFonts w:hint="eastAsia" w:ascii="仿宋" w:hAnsi="仿宋" w:eastAsia="仿宋"/>
                <w:bCs/>
                <w:color w:val="auto"/>
                <w:sz w:val="24"/>
                <w:highlight w:val="none"/>
                <w:lang w:eastAsia="zh-CN"/>
              </w:rPr>
              <w:t>（</w:t>
            </w:r>
            <w:r>
              <w:rPr>
                <w:rFonts w:hint="eastAsia" w:ascii="仿宋" w:hAnsi="仿宋" w:eastAsia="仿宋"/>
                <w:bCs/>
                <w:color w:val="auto"/>
                <w:sz w:val="24"/>
                <w:highlight w:val="none"/>
                <w:lang w:val="en-US" w:eastAsia="zh-CN"/>
              </w:rPr>
              <w:t>3）服务费用结算：按季度结算</w:t>
            </w:r>
            <w:r>
              <w:rPr>
                <w:rFonts w:hint="eastAsia" w:ascii="仿宋" w:hAnsi="仿宋" w:eastAsia="仿宋" w:cs="Times New Roman"/>
                <w:color w:val="auto"/>
                <w:sz w:val="24"/>
                <w:highlight w:val="none"/>
                <w:lang w:val="en-US" w:eastAsia="zh-CN"/>
              </w:rPr>
              <w:t>（在下季度的首月支付上一季度服务费用），服务期结束且权利义务清算完毕后，甲方无息退还剩余履约保证金。</w:t>
            </w:r>
          </w:p>
          <w:p w14:paraId="4AB50A9D">
            <w:pPr>
              <w:spacing w:line="400" w:lineRule="exact"/>
              <w:jc w:val="left"/>
              <w:rPr>
                <w:rFonts w:hint="eastAsia" w:ascii="仿宋" w:hAnsi="仿宋" w:eastAsia="仿宋" w:cs="Arial"/>
                <w:b/>
                <w:bCs/>
                <w:color w:val="auto"/>
                <w:sz w:val="24"/>
                <w:highlight w:val="none"/>
              </w:rPr>
            </w:pPr>
            <w:r>
              <w:rPr>
                <w:rFonts w:hint="eastAsia" w:ascii="仿宋" w:hAnsi="仿宋" w:eastAsia="仿宋" w:cs="Arial"/>
                <w:b/>
                <w:bCs/>
                <w:color w:val="auto"/>
                <w:sz w:val="24"/>
                <w:highlight w:val="none"/>
                <w:lang w:val="en-US" w:eastAsia="zh-CN"/>
              </w:rPr>
              <w:t>注1：</w:t>
            </w:r>
            <w:r>
              <w:rPr>
                <w:rFonts w:hint="eastAsia" w:ascii="仿宋" w:hAnsi="仿宋" w:eastAsia="仿宋" w:cs="Arial"/>
                <w:b/>
                <w:bCs/>
                <w:color w:val="auto"/>
                <w:sz w:val="24"/>
                <w:highlight w:val="none"/>
              </w:rPr>
              <w:t>以上进度款的实际支付金额和付款时间以财政下拨资金为准，因财政审批延迟导致付款时间相应顺延，不视为逾期付款。</w:t>
            </w:r>
          </w:p>
          <w:p w14:paraId="4B33C504">
            <w:pPr>
              <w:spacing w:line="400" w:lineRule="exact"/>
              <w:jc w:val="left"/>
              <w:rPr>
                <w:rFonts w:ascii="仿宋" w:hAnsi="仿宋" w:eastAsia="仿宋" w:cs="仿宋"/>
                <w:color w:val="auto"/>
                <w:sz w:val="24"/>
                <w:highlight w:val="none"/>
              </w:rPr>
            </w:pPr>
            <w:r>
              <w:rPr>
                <w:rFonts w:hint="eastAsia" w:ascii="仿宋" w:hAnsi="仿宋" w:eastAsia="仿宋" w:cs="Arial"/>
                <w:b/>
                <w:bCs/>
                <w:color w:val="auto"/>
                <w:sz w:val="24"/>
                <w:highlight w:val="none"/>
              </w:rPr>
              <w:t>注</w:t>
            </w:r>
            <w:r>
              <w:rPr>
                <w:rFonts w:hint="eastAsia" w:ascii="仿宋" w:hAnsi="仿宋" w:eastAsia="仿宋" w:cs="Arial"/>
                <w:b/>
                <w:bCs/>
                <w:color w:val="auto"/>
                <w:sz w:val="24"/>
                <w:highlight w:val="none"/>
                <w:lang w:val="en-US" w:eastAsia="zh-CN"/>
              </w:rPr>
              <w:t>2</w:t>
            </w:r>
            <w:r>
              <w:rPr>
                <w:rFonts w:hint="eastAsia" w:ascii="仿宋" w:hAnsi="仿宋" w:eastAsia="仿宋" w:cs="Arial"/>
                <w:b/>
                <w:bCs/>
                <w:color w:val="auto"/>
                <w:sz w:val="24"/>
                <w:highlight w:val="none"/>
              </w:rPr>
              <w:t>：付款前，中标人须提供符合要求的财务发票，否则采购人有权不予支付，且不承担违约责任，但中标人仍须履行本合同。</w:t>
            </w:r>
          </w:p>
        </w:tc>
      </w:tr>
      <w:tr w14:paraId="65212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7AC752">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64" w:type="pct"/>
            <w:vAlign w:val="center"/>
          </w:tcPr>
          <w:p w14:paraId="1349A169">
            <w:pPr>
              <w:spacing w:line="360" w:lineRule="auto"/>
              <w:ind w:firstLine="482" w:firstLineChars="200"/>
              <w:rPr>
                <w:rFonts w:hint="eastAsia" w:ascii="仿宋" w:hAnsi="仿宋" w:eastAsia="仿宋" w:cs="Arial"/>
                <w:b/>
                <w:color w:val="auto"/>
                <w:sz w:val="24"/>
                <w:highlight w:val="none"/>
              </w:rPr>
            </w:pPr>
            <w:r>
              <w:rPr>
                <w:rFonts w:hint="eastAsia" w:ascii="仿宋" w:hAnsi="仿宋" w:eastAsia="仿宋" w:cs="Arial"/>
                <w:b/>
                <w:color w:val="auto"/>
                <w:sz w:val="24"/>
                <w:highlight w:val="none"/>
              </w:rPr>
              <w:t>整个项目分为建设期、租赁服务期。在建设期内，要求乙方为甲方提供从方案设计、设备采购、工程设计、设备安装、系统集成、联动测试的全套工程服务;在服务期内，乙方为甲方提供系统运维服务，系统管理、系统运行和培训等专业化服务。甲方则以租金形式支付以上服务的费用。</w:t>
            </w:r>
          </w:p>
          <w:p w14:paraId="37587BB6">
            <w:pPr>
              <w:spacing w:line="360" w:lineRule="auto"/>
              <w:ind w:firstLine="482" w:firstLineChars="200"/>
              <w:rPr>
                <w:rFonts w:hint="eastAsia" w:ascii="仿宋" w:hAnsi="仿宋" w:eastAsia="仿宋" w:cs="Arial"/>
                <w:b/>
                <w:color w:val="auto"/>
                <w:sz w:val="24"/>
                <w:highlight w:val="none"/>
              </w:rPr>
            </w:pPr>
            <w:r>
              <w:rPr>
                <w:rFonts w:hint="eastAsia" w:ascii="仿宋" w:hAnsi="仿宋" w:eastAsia="仿宋" w:cs="Arial"/>
                <w:b/>
                <w:color w:val="auto"/>
                <w:sz w:val="24"/>
                <w:highlight w:val="none"/>
              </w:rPr>
              <w:t>项目采用租赁模式，3年租赁期内的租用和使用以合同为准。租赁费用包含整个系统工程设备和线路的建设、所有设备电费、维护费用等甲方除租赁费用外不再支付任何其它费用。</w:t>
            </w:r>
          </w:p>
          <w:p w14:paraId="33BDCDBB">
            <w:pPr>
              <w:spacing w:line="360" w:lineRule="auto"/>
              <w:rPr>
                <w:rFonts w:hint="eastAsia" w:ascii="仿宋" w:hAnsi="仿宋" w:eastAsia="仿宋" w:cs="Arial"/>
                <w:b/>
                <w:color w:val="auto"/>
                <w:sz w:val="24"/>
                <w:highlight w:val="none"/>
              </w:rPr>
            </w:pPr>
            <w:r>
              <w:rPr>
                <w:rFonts w:hint="eastAsia" w:ascii="仿宋" w:hAnsi="仿宋" w:eastAsia="仿宋" w:cs="Arial"/>
                <w:b/>
                <w:color w:val="auto"/>
                <w:sz w:val="24"/>
                <w:highlight w:val="none"/>
              </w:rPr>
              <w:t>(一)建设期</w:t>
            </w:r>
          </w:p>
          <w:p w14:paraId="23853D29">
            <w:pPr>
              <w:spacing w:line="360" w:lineRule="auto"/>
              <w:ind w:firstLine="482" w:firstLineChars="200"/>
              <w:rPr>
                <w:rFonts w:hint="eastAsia" w:ascii="仿宋" w:hAnsi="仿宋" w:eastAsia="仿宋" w:cs="Arial"/>
                <w:b/>
                <w:color w:val="auto"/>
                <w:sz w:val="24"/>
                <w:highlight w:val="none"/>
              </w:rPr>
            </w:pPr>
            <w:r>
              <w:rPr>
                <w:rFonts w:hint="eastAsia" w:ascii="仿宋" w:hAnsi="仿宋" w:eastAsia="仿宋" w:cs="Arial"/>
                <w:b/>
                <w:color w:val="auto"/>
                <w:sz w:val="24"/>
                <w:highlight w:val="none"/>
              </w:rPr>
              <w:t>涉及所有平台扩容、网络升级，在合同签订后</w:t>
            </w:r>
            <w:r>
              <w:rPr>
                <w:rFonts w:hint="eastAsia" w:ascii="仿宋" w:hAnsi="仿宋" w:eastAsia="仿宋" w:cs="Arial"/>
                <w:b/>
                <w:color w:val="auto"/>
                <w:sz w:val="24"/>
                <w:highlight w:val="none"/>
                <w:lang w:val="en-US" w:eastAsia="zh-CN"/>
              </w:rPr>
              <w:t>180</w:t>
            </w:r>
            <w:r>
              <w:rPr>
                <w:rFonts w:hint="eastAsia" w:ascii="仿宋" w:hAnsi="仿宋" w:eastAsia="仿宋" w:cs="Arial"/>
                <w:b/>
                <w:color w:val="auto"/>
                <w:sz w:val="24"/>
                <w:highlight w:val="none"/>
              </w:rPr>
              <w:t>日历天内按甲方要求完成建设（即2025年  月  日至202</w:t>
            </w:r>
            <w:r>
              <w:rPr>
                <w:rFonts w:hint="eastAsia" w:ascii="仿宋" w:hAnsi="仿宋" w:eastAsia="仿宋" w:cs="Arial"/>
                <w:b/>
                <w:color w:val="auto"/>
                <w:sz w:val="24"/>
                <w:highlight w:val="none"/>
                <w:lang w:val="en-US" w:eastAsia="zh-CN"/>
              </w:rPr>
              <w:t>5</w:t>
            </w:r>
            <w:r>
              <w:rPr>
                <w:rFonts w:hint="eastAsia" w:ascii="仿宋" w:hAnsi="仿宋" w:eastAsia="仿宋" w:cs="Arial"/>
                <w:b/>
                <w:color w:val="auto"/>
                <w:sz w:val="24"/>
                <w:highlight w:val="none"/>
              </w:rPr>
              <w:t>年  月  日）。</w:t>
            </w:r>
          </w:p>
          <w:p w14:paraId="52D72CE2">
            <w:pPr>
              <w:spacing w:line="360" w:lineRule="auto"/>
              <w:rPr>
                <w:rFonts w:hint="eastAsia" w:ascii="仿宋" w:hAnsi="仿宋" w:eastAsia="仿宋" w:cs="Arial"/>
                <w:b/>
                <w:color w:val="auto"/>
                <w:sz w:val="24"/>
                <w:highlight w:val="none"/>
              </w:rPr>
            </w:pPr>
            <w:r>
              <w:rPr>
                <w:rFonts w:hint="eastAsia" w:ascii="仿宋" w:hAnsi="仿宋" w:eastAsia="仿宋" w:cs="Arial"/>
                <w:b/>
                <w:color w:val="auto"/>
                <w:sz w:val="24"/>
                <w:highlight w:val="none"/>
              </w:rPr>
              <w:t>(二)租赁服务期</w:t>
            </w:r>
          </w:p>
          <w:p w14:paraId="6C7235FF">
            <w:pPr>
              <w:spacing w:line="360" w:lineRule="auto"/>
              <w:rPr>
                <w:rFonts w:hint="eastAsia" w:ascii="仿宋" w:hAnsi="仿宋" w:eastAsia="仿宋" w:cs="Arial"/>
                <w:b/>
                <w:color w:val="auto"/>
                <w:sz w:val="24"/>
                <w:highlight w:val="none"/>
              </w:rPr>
            </w:pPr>
            <w:r>
              <w:rPr>
                <w:rFonts w:hint="eastAsia" w:ascii="仿宋" w:hAnsi="仿宋" w:eastAsia="仿宋" w:cs="Arial"/>
                <w:b/>
                <w:color w:val="auto"/>
                <w:sz w:val="24"/>
                <w:highlight w:val="none"/>
              </w:rPr>
              <w:t>1.租赁服务期为项目验收通过、甲方确认开通之日起3年。</w:t>
            </w:r>
          </w:p>
          <w:p w14:paraId="30E39AFA">
            <w:pPr>
              <w:spacing w:line="360" w:lineRule="auto"/>
              <w:rPr>
                <w:rFonts w:ascii="仿宋" w:hAnsi="仿宋" w:eastAsia="仿宋" w:cs="仿宋"/>
                <w:color w:val="auto"/>
                <w:sz w:val="24"/>
                <w:highlight w:val="none"/>
              </w:rPr>
            </w:pPr>
            <w:r>
              <w:rPr>
                <w:rFonts w:hint="eastAsia" w:ascii="仿宋" w:hAnsi="仿宋" w:eastAsia="仿宋" w:cs="Arial"/>
                <w:b/>
                <w:color w:val="auto"/>
                <w:sz w:val="24"/>
                <w:highlight w:val="none"/>
              </w:rPr>
              <w:t>2.在3年租赁服务期内,若因乙方自身原因导致乙方中途无法继续提供服务的，甲方有权中止服务。</w:t>
            </w:r>
          </w:p>
        </w:tc>
      </w:tr>
      <w:tr w14:paraId="2238C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59F9531">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64" w:type="pct"/>
            <w:vAlign w:val="center"/>
          </w:tcPr>
          <w:p w14:paraId="54A21D4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杭州市上城区</w:t>
            </w:r>
          </w:p>
        </w:tc>
      </w:tr>
      <w:tr w14:paraId="608AB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7CBE91">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4" w:type="pct"/>
            <w:vAlign w:val="center"/>
          </w:tcPr>
          <w:p w14:paraId="69AF494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按甲方要求</w:t>
            </w:r>
          </w:p>
        </w:tc>
      </w:tr>
      <w:tr w14:paraId="2E333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BE600B9">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4464" w:type="pct"/>
            <w:vAlign w:val="center"/>
          </w:tcPr>
          <w:p w14:paraId="28B1CFC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tc>
      </w:tr>
      <w:tr w14:paraId="3E4D5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9B4241D">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4464" w:type="pct"/>
            <w:vAlign w:val="center"/>
          </w:tcPr>
          <w:p w14:paraId="0B64604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tc>
      </w:tr>
      <w:tr w14:paraId="3940D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CBE69CC">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4464" w:type="pct"/>
            <w:vAlign w:val="center"/>
          </w:tcPr>
          <w:p w14:paraId="2984DA4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tc>
      </w:tr>
      <w:tr w14:paraId="545F5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1E54121">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4" w:type="pct"/>
            <w:vAlign w:val="center"/>
          </w:tcPr>
          <w:p w14:paraId="3C0104C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乙方未能如期提供服务的，对甲方的通知逾期未响应，甲方自行安排人员完成工作，产生的相关费用由乙方承担。乙方超过约定日期10个工作日仍不能提供服务的，甲方可</w:t>
            </w:r>
            <w:r>
              <w:rPr>
                <w:rFonts w:hint="eastAsia" w:ascii="仿宋" w:hAnsi="仿宋" w:eastAsia="仿宋" w:cs="仿宋"/>
                <w:color w:val="auto"/>
                <w:sz w:val="24"/>
                <w:highlight w:val="none"/>
                <w:lang w:val="en-US" w:eastAsia="zh-CN"/>
              </w:rPr>
              <w:t>单方面</w:t>
            </w:r>
            <w:r>
              <w:rPr>
                <w:rFonts w:hint="eastAsia" w:ascii="仿宋" w:hAnsi="仿宋" w:eastAsia="仿宋" w:cs="仿宋"/>
                <w:color w:val="auto"/>
                <w:sz w:val="24"/>
                <w:highlight w:val="none"/>
              </w:rPr>
              <w:t>解除本合同。</w:t>
            </w:r>
          </w:p>
        </w:tc>
      </w:tr>
      <w:tr w14:paraId="476E3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D40B05">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64" w:type="pct"/>
            <w:vAlign w:val="center"/>
          </w:tcPr>
          <w:p w14:paraId="126CE66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将争议提交杭州市仲裁委员会依申请仲裁时其现行有效的仲裁规则裁决。</w:t>
            </w:r>
          </w:p>
        </w:tc>
      </w:tr>
      <w:tr w14:paraId="3F71A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7E81595">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64" w:type="pct"/>
            <w:vAlign w:val="center"/>
          </w:tcPr>
          <w:p w14:paraId="11CB1FF4">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杭州市上城区</w:t>
            </w:r>
            <w:r>
              <w:rPr>
                <w:rFonts w:hint="eastAsia" w:ascii="仿宋" w:hAnsi="仿宋" w:eastAsia="仿宋" w:cs="仿宋"/>
                <w:color w:val="auto"/>
                <w:sz w:val="24"/>
                <w:highlight w:val="none"/>
                <w:lang w:val="en-US" w:eastAsia="zh-CN"/>
              </w:rPr>
              <w:t>人民法院</w:t>
            </w:r>
          </w:p>
        </w:tc>
      </w:tr>
      <w:tr w14:paraId="3D4B0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E1ADB5D">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4" w:type="pct"/>
            <w:vAlign w:val="center"/>
          </w:tcPr>
          <w:p w14:paraId="7F58335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在3年租赁服务期内，乙方若因各方面原因中途无法继续提供服务的，</w:t>
            </w:r>
            <w:r>
              <w:rPr>
                <w:rFonts w:hint="eastAsia" w:ascii="仿宋" w:hAnsi="仿宋" w:eastAsia="仿宋" w:cs="仿宋"/>
                <w:color w:val="auto"/>
                <w:sz w:val="24"/>
                <w:highlight w:val="none"/>
                <w:lang w:val="en-US" w:eastAsia="zh-CN"/>
              </w:rPr>
              <w:t>甲方有权中止服务，</w:t>
            </w:r>
            <w:r>
              <w:rPr>
                <w:rFonts w:hint="eastAsia" w:ascii="仿宋" w:hAnsi="仿宋" w:eastAsia="仿宋" w:cs="仿宋"/>
                <w:color w:val="auto"/>
                <w:sz w:val="24"/>
                <w:highlight w:val="none"/>
              </w:rPr>
              <w:t>该系统的所有权</w:t>
            </w:r>
            <w:r>
              <w:rPr>
                <w:rFonts w:hint="eastAsia" w:ascii="仿宋" w:hAnsi="仿宋" w:eastAsia="仿宋" w:cs="仿宋"/>
                <w:color w:val="auto"/>
                <w:sz w:val="24"/>
                <w:highlight w:val="none"/>
                <w:lang w:val="en-US" w:eastAsia="zh-CN"/>
              </w:rPr>
              <w:t>无偿</w:t>
            </w:r>
            <w:r>
              <w:rPr>
                <w:rFonts w:hint="eastAsia" w:ascii="仿宋" w:hAnsi="仿宋" w:eastAsia="仿宋" w:cs="仿宋"/>
                <w:color w:val="auto"/>
                <w:sz w:val="24"/>
                <w:highlight w:val="none"/>
              </w:rPr>
              <w:t>移交给甲方。</w:t>
            </w:r>
          </w:p>
        </w:tc>
      </w:tr>
      <w:tr w14:paraId="08AE7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556E331">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4464" w:type="pct"/>
            <w:vAlign w:val="center"/>
          </w:tcPr>
          <w:p w14:paraId="258D78B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同1.6.2</w:t>
            </w:r>
          </w:p>
        </w:tc>
      </w:tr>
      <w:tr w14:paraId="18208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8CB996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2.7.3</w:t>
            </w:r>
          </w:p>
        </w:tc>
        <w:tc>
          <w:tcPr>
            <w:tcW w:w="8149" w:type="dxa"/>
            <w:vAlign w:val="center"/>
          </w:tcPr>
          <w:p w14:paraId="33A8990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1.乙方向甲方提供线路及提供视频监控服务所配套的平台、设备（线路、杆件、平台及设备）产权归乙方所有，并负责对网络视频监控平台以上设备及相关软件的建设和维护。</w:t>
            </w:r>
          </w:p>
          <w:p w14:paraId="45F3F56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2.乙方保证做到所提供服务达到整套系统运行质量要求，并符合甲方技术方案要求，保证满足甲方正常工作需求。</w:t>
            </w:r>
          </w:p>
          <w:p w14:paraId="08528C7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3.乙方所提供的通讯线路和提供视频监控服务配套的设备质量应符合国家电信主管部门的质量标准和技术要求，满足甲方通讯需求。</w:t>
            </w:r>
          </w:p>
          <w:p w14:paraId="5CFCB5B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4.乙方负责提供网络视频监控服务，并全程调通，负责网络视频监控系统和客户端系统的日常维护。</w:t>
            </w:r>
          </w:p>
          <w:p w14:paraId="66154D7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5.乙方为甲方提供及时优质的服务，负责故障的全程处理。</w:t>
            </w:r>
          </w:p>
          <w:p w14:paraId="01392CE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5.1双方一致同意建立协商制度，加强日常情况沟通，及时处理影响通信质量的问题；</w:t>
            </w:r>
          </w:p>
          <w:p w14:paraId="79F6ED5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5.2存储方式：服务由乙方提供，并提供光纤线路与乙方网络视频监控系统平台的联接。根据甲方要求提供视频存储不少于30天（多通道监控按多通道存储计算）；</w:t>
            </w:r>
          </w:p>
          <w:p w14:paraId="2D7F5BA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5.3乙方在服务期内必须为最终用户提供技术服务热线（7*24小时），负责解答用户在设备使用中遇到的问题，并及时提出解决问题的建议和操作方法。技术服务热线支持应是中文服务；</w:t>
            </w:r>
          </w:p>
          <w:p w14:paraId="7A28745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5.4对总体在线率的考核要求：在服务期内要求已建设监控点位每月平均在线率达到98%以上（含），达不到要求的每降低一个百分点（不足一个百分点的，按一个百分点计算），扣除每月合同费用1%；遇部分点位因自然原因或其他不可抗拒力或征得甲方同意的及甲方要求暂停、移机、变动等情况出现不在线的，经甲方确认后不计入考核范围；</w:t>
            </w:r>
          </w:p>
          <w:p w14:paraId="59717E3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5.5对单点故障运维情况的考核要求：在服务期内单点故障（包括但不限于离线、漏拍、水印错漏、花屏、黑屏、跳帧等）4小时内无法排除故障，造成累计离线240分钟以上的，扣除该点点位的当日服务费。遇部分点位因自然原因或其他不可抗拒力或征得甲方同意的及甲方要求暂停、移机、变动等情况出现不在线的，由乙方负责梳理报送甲方，由甲方确认后不计入故障考核中；</w:t>
            </w:r>
          </w:p>
          <w:p w14:paraId="0A5B7FF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5.6录像存储的考核要求：确保不少于30天的24小时连续录像存储，在监控在线情况下要求满足24小时不间断的录像存储，单日内录像出现累计缺失240分钟以上的，扣除该点位的当日服务费；</w:t>
            </w:r>
          </w:p>
          <w:p w14:paraId="323ED7D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5.7乙方应按照杭州市公安局上城区分局发布的有关视频监控系统相关运维规定要求提供服务，同时乙方应提供不低于7*24小时的质保和技术支持服务；</w:t>
            </w:r>
          </w:p>
          <w:p w14:paraId="2AB4FFB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5.8乙方在服务期内必须确保提供优质的服务，满足本项目方案的设计要求，并在出现问题的情况下提出解决方案及时解决；</w:t>
            </w:r>
          </w:p>
          <w:p w14:paraId="01E9019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5.9乙方在本项目服务期内，专门开通大客户服务热线：96599；也可直接和乙方项目经理或相关人员联系进行故障申告；</w:t>
            </w:r>
          </w:p>
          <w:p w14:paraId="3699EBA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6.根据监控计费系统运行情况，在每月运维系统检测形成报表后，采用人工抽查的方式进行抽查（每月按合同监控点位数量的5%算，向上取整）。如发现人工复核与系统生产的报表有差异＞10%，则要求乙方安排人员对当月的监控情况进行全面整体复查，生成相应复查报表后提交给甲方审核。</w:t>
            </w:r>
          </w:p>
          <w:p w14:paraId="62B62F5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7.对前端点位移位的要求：在合同约定的服务期内，如因甲方原因导致点位需要移位的，根据甲方要求，对本次项目建设的固定点位数量的5%以内的点位（数字向上取整）提供免费移位服务，三年总计15%，若个别年份移位数量不足或超过5%，可以用三年总计15%予以调整，超出部分，按照每个点位10000元的标准进行收费，如因第三方原因导致点位需要移位的，由乙方参照合同标准与第三方协商。</w:t>
            </w:r>
          </w:p>
          <w:p w14:paraId="6E0D95B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8.乙方在服务期内的运维工作必须严格按照杭州市公安局发布的视频监控考核要求执行，相关涉及的考核扣款在服务费中予以体现，本条款最终解释权归杭州市公安局上城区分局所有。</w:t>
            </w:r>
          </w:p>
        </w:tc>
      </w:tr>
      <w:tr w14:paraId="4AFCC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E1DE88">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4464" w:type="pct"/>
            <w:vAlign w:val="center"/>
          </w:tcPr>
          <w:p w14:paraId="6A96A94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由于不可抗力的原因不能履行合同时，应当及时向双方通报不能履行或不能完全履行的理由，并提供相关证明，允许延期履行或解除合同，双方免于承担违约责任。如发生不可抗力事件或政府行为导致一方无法履行或无法按时履行本合同的,遭受不可抗力一方无需就此承担违约责任，但应及时通知对方，并在不可抗力事由消除后5个工作日内提供遭受不可抗力的书面证明。</w:t>
            </w:r>
          </w:p>
        </w:tc>
      </w:tr>
      <w:tr w14:paraId="4EAE4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0ABBFB0">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2.11.4</w:t>
            </w:r>
          </w:p>
        </w:tc>
        <w:tc>
          <w:tcPr>
            <w:tcW w:w="4464" w:type="pct"/>
            <w:vAlign w:val="center"/>
          </w:tcPr>
          <w:p w14:paraId="77659EC6">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同2.11.3</w:t>
            </w:r>
          </w:p>
        </w:tc>
      </w:tr>
      <w:tr w14:paraId="46EC6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76A41B">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4464" w:type="pct"/>
            <w:vAlign w:val="center"/>
          </w:tcPr>
          <w:p w14:paraId="24710F0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项目验收需根据招标文件以及合同，按照《杭州市政府采购履约验收暂行办法》（杭财采监[2019]10号）规定</w:t>
            </w:r>
            <w:r>
              <w:rPr>
                <w:rFonts w:hint="eastAsia" w:ascii="仿宋" w:hAnsi="仿宋" w:eastAsia="仿宋" w:cs="仿宋"/>
                <w:color w:val="auto"/>
                <w:sz w:val="24"/>
                <w:highlight w:val="none"/>
                <w:lang w:val="en-US" w:eastAsia="zh-CN"/>
              </w:rPr>
              <w:t>每年</w:t>
            </w:r>
            <w:r>
              <w:rPr>
                <w:rFonts w:hint="eastAsia" w:ascii="仿宋" w:hAnsi="仿宋" w:eastAsia="仿宋" w:cs="仿宋"/>
                <w:color w:val="auto"/>
                <w:sz w:val="24"/>
                <w:highlight w:val="none"/>
              </w:rPr>
              <w:t>组织对中标人履约的验收。验收时需提供相应的文档。</w:t>
            </w:r>
          </w:p>
          <w:p w14:paraId="21E6F5E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本项目合同验收分为“系统交付使用前验收”和“</w:t>
            </w:r>
            <w:r>
              <w:rPr>
                <w:rFonts w:hint="eastAsia" w:ascii="仿宋" w:hAnsi="仿宋" w:eastAsia="仿宋" w:cs="仿宋"/>
                <w:color w:val="auto"/>
                <w:sz w:val="24"/>
                <w:highlight w:val="none"/>
                <w:lang w:val="en-US" w:eastAsia="zh-CN"/>
              </w:rPr>
              <w:t>分期</w:t>
            </w:r>
            <w:r>
              <w:rPr>
                <w:rFonts w:hint="eastAsia" w:ascii="仿宋" w:hAnsi="仿宋" w:eastAsia="仿宋" w:cs="仿宋"/>
                <w:color w:val="auto"/>
                <w:sz w:val="24"/>
                <w:highlight w:val="none"/>
              </w:rPr>
              <w:t>验收”两个</w:t>
            </w:r>
            <w:r>
              <w:rPr>
                <w:rFonts w:hint="eastAsia" w:ascii="仿宋" w:hAnsi="仿宋" w:eastAsia="仿宋" w:cs="仿宋"/>
                <w:color w:val="auto"/>
                <w:sz w:val="24"/>
                <w:highlight w:val="none"/>
                <w:lang w:val="en-US" w:eastAsia="zh-CN"/>
              </w:rPr>
              <w:t>部分</w:t>
            </w:r>
            <w:r>
              <w:rPr>
                <w:rFonts w:hint="eastAsia" w:ascii="仿宋" w:hAnsi="仿宋" w:eastAsia="仿宋" w:cs="仿宋"/>
                <w:color w:val="auto"/>
                <w:sz w:val="24"/>
                <w:highlight w:val="none"/>
              </w:rPr>
              <w:t>，由采购人组织实施，各阶段验收过程中，中标供应商应派专业的技术人员协助采购人进行验收，说明如下（具体安排以合同为准）：</w:t>
            </w:r>
          </w:p>
          <w:p w14:paraId="6D97776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系统交付使用前验收：中标供应商按采购文件要求、投标承诺以及国家、行业有关技术规范和标准自行完成系统建设后向采购人提出“系统交付使用前验收”申请，采购人在收到验收申请后7个工作日内完成该阶段验收。“系统交付使用前验收”合格的，系统正式交付采购人使用，开始提供服务；“系统交付使用前验收”不合格的，中标供应商应当在承诺的系统交付及服务开始时间前完成整改并通过二次验收后，正式交付采购人使用，开始提供服务。整改后二次验收仍不合格的，采购人可以解除合同，已收缴的履约保证金不予退还，并按合同约定追究中标供应商的违约责任。</w:t>
            </w:r>
          </w:p>
          <w:p w14:paraId="2DD02EA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（2）项目</w:t>
            </w:r>
            <w:r>
              <w:rPr>
                <w:rFonts w:hint="eastAsia" w:ascii="仿宋" w:hAnsi="仿宋" w:eastAsia="仿宋" w:cs="仿宋"/>
                <w:color w:val="auto"/>
                <w:sz w:val="24"/>
                <w:highlight w:val="none"/>
                <w:lang w:val="en-US" w:eastAsia="zh-CN"/>
              </w:rPr>
              <w:t>分期</w:t>
            </w:r>
            <w:r>
              <w:rPr>
                <w:rFonts w:hint="eastAsia" w:ascii="仿宋" w:hAnsi="仿宋" w:eastAsia="仿宋" w:cs="仿宋"/>
                <w:color w:val="auto"/>
                <w:sz w:val="24"/>
                <w:highlight w:val="none"/>
              </w:rPr>
              <w:t>验收：采购人根据中标供应商合同期内服务情况（服务质量评价情况）组织项目</w:t>
            </w:r>
            <w:r>
              <w:rPr>
                <w:rFonts w:hint="eastAsia" w:ascii="仿宋" w:hAnsi="仿宋" w:eastAsia="仿宋" w:cs="仿宋"/>
                <w:color w:val="auto"/>
                <w:sz w:val="24"/>
                <w:highlight w:val="none"/>
                <w:lang w:val="en-US" w:eastAsia="zh-CN"/>
              </w:rPr>
              <w:t>每满一年进行一次验收</w:t>
            </w:r>
            <w:r>
              <w:rPr>
                <w:rFonts w:hint="eastAsia" w:ascii="仿宋" w:hAnsi="仿宋" w:eastAsia="仿宋" w:cs="仿宋"/>
                <w:color w:val="auto"/>
                <w:sz w:val="24"/>
                <w:highlight w:val="none"/>
              </w:rPr>
              <w:t>。</w:t>
            </w:r>
          </w:p>
        </w:tc>
      </w:tr>
      <w:tr w14:paraId="127B8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35" w:type="pct"/>
            <w:tcBorders>
              <w:left w:val="single" w:color="auto" w:sz="4" w:space="0"/>
            </w:tcBorders>
            <w:vAlign w:val="center"/>
          </w:tcPr>
          <w:p w14:paraId="5DCF7B3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4464" w:type="pct"/>
            <w:vAlign w:val="center"/>
          </w:tcPr>
          <w:p w14:paraId="6D620AB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的物交付前，甲方有权组织(包括由国家认可的质量检测机构出具的检测报告)对乙方交付内容进行交付核对，包括但不限于对后端产品(设备)进行抽查，即:按照合同约定的技术、服务、安全标准，对每一项技术、服务、安全标准的履约情况的核对。</w:t>
            </w:r>
          </w:p>
        </w:tc>
      </w:tr>
      <w:tr w14:paraId="1C1EE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vAlign w:val="center"/>
          </w:tcPr>
          <w:p w14:paraId="560C0524">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2.19</w:t>
            </w:r>
          </w:p>
        </w:tc>
        <w:tc>
          <w:tcPr>
            <w:tcW w:w="4464" w:type="pct"/>
            <w:vAlign w:val="center"/>
          </w:tcPr>
          <w:p w14:paraId="57CC511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本合同一式【陆】份，甲方执【叁】份，乙方执【叁】份</w:t>
            </w:r>
          </w:p>
        </w:tc>
      </w:tr>
    </w:tbl>
    <w:p w14:paraId="307EC6BA">
      <w:pPr>
        <w:widowControl/>
        <w:adjustRightInd/>
        <w:jc w:val="center"/>
        <w:rPr>
          <w:rFonts w:ascii="仿宋" w:hAnsi="仿宋" w:eastAsia="仿宋" w:cs="仿宋"/>
          <w:b/>
          <w:color w:val="auto"/>
          <w:sz w:val="36"/>
          <w:szCs w:val="20"/>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E2F6D87">
      <w:pPr>
        <w:widowControl/>
        <w:adjustRightInd/>
        <w:jc w:val="cente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w:t>
      </w:r>
      <w:r>
        <w:rPr>
          <w:rFonts w:hint="eastAsia" w:ascii="仿宋" w:hAnsi="仿宋" w:eastAsia="仿宋" w:cs="仿宋"/>
          <w:b/>
          <w:color w:val="auto"/>
          <w:spacing w:val="362"/>
          <w:kern w:val="0"/>
          <w:sz w:val="36"/>
          <w:szCs w:val="20"/>
          <w:highlight w:val="none"/>
          <w:fitText w:val="1444" w:id="-982736895"/>
        </w:rPr>
        <w:t>分</w:t>
      </w:r>
      <w:bookmarkEnd w:id="389"/>
      <w:r>
        <w:rPr>
          <w:rFonts w:hint="eastAsia" w:ascii="仿宋" w:hAnsi="仿宋" w:eastAsia="仿宋" w:cs="仿宋"/>
          <w:b/>
          <w:color w:val="auto"/>
          <w:spacing w:val="0"/>
          <w:kern w:val="0"/>
          <w:sz w:val="36"/>
          <w:szCs w:val="20"/>
          <w:highlight w:val="none"/>
          <w:fitText w:val="1444" w:id="-982736895"/>
        </w:rPr>
        <w:t>应</w:t>
      </w:r>
      <w:r>
        <w:rPr>
          <w:rFonts w:hint="eastAsia" w:ascii="仿宋" w:hAnsi="仿宋" w:eastAsia="仿宋" w:cs="仿宋"/>
          <w:b/>
          <w:color w:val="auto"/>
          <w:sz w:val="36"/>
          <w:szCs w:val="20"/>
          <w:highlight w:val="none"/>
        </w:rPr>
        <w:t>提交的有关格式范例</w:t>
      </w:r>
    </w:p>
    <w:p w14:paraId="0C89A6EB">
      <w:pPr>
        <w:spacing w:line="360" w:lineRule="auto"/>
        <w:jc w:val="center"/>
        <w:outlineLvl w:val="0"/>
        <w:rPr>
          <w:rFonts w:ascii="仿宋" w:hAnsi="仿宋" w:eastAsia="仿宋" w:cs="仿宋"/>
          <w:b/>
          <w:color w:val="auto"/>
          <w:kern w:val="0"/>
          <w:sz w:val="36"/>
          <w:szCs w:val="36"/>
          <w:highlight w:val="none"/>
        </w:rPr>
      </w:pPr>
    </w:p>
    <w:p w14:paraId="17D534CE">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6957757C">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B430E28">
      <w:pPr>
        <w:spacing w:line="360" w:lineRule="auto"/>
        <w:jc w:val="center"/>
        <w:outlineLvl w:val="0"/>
        <w:rPr>
          <w:rFonts w:ascii="仿宋" w:hAnsi="仿宋" w:eastAsia="仿宋" w:cs="仿宋"/>
          <w:b/>
          <w:color w:val="auto"/>
          <w:kern w:val="0"/>
          <w:sz w:val="36"/>
          <w:szCs w:val="36"/>
          <w:highlight w:val="none"/>
        </w:rPr>
      </w:pPr>
    </w:p>
    <w:p w14:paraId="3682F4E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58F998EE">
      <w:pPr>
        <w:snapToGrid w:val="0"/>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7A6CD4F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3C325D1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732A546E">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一、符合参加政府采购活动应当具备的一般条件的承诺函</w:t>
      </w:r>
    </w:p>
    <w:p w14:paraId="39F603B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DF8370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2662E074">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3A4999B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349B81B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4CCCEB3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6C68F96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235668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25ABD94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4CBA8EF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2C0C943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799E078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3E94675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5E4D5A95">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5898E822">
      <w:pPr>
        <w:snapToGrid w:val="0"/>
        <w:spacing w:line="360" w:lineRule="auto"/>
        <w:ind w:firstLine="5520" w:firstLineChars="23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17D3AA56">
      <w:pPr>
        <w:widowControl/>
        <w:spacing w:line="360" w:lineRule="auto"/>
        <w:ind w:firstLine="643" w:firstLineChars="200"/>
        <w:jc w:val="center"/>
        <w:rPr>
          <w:rFonts w:ascii="仿宋" w:hAnsi="仿宋" w:eastAsia="仿宋" w:cs="仿宋"/>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93994AD">
      <w:pPr>
        <w:widowControl/>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210981B3">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04C16322">
      <w:pPr>
        <w:snapToGrid w:val="0"/>
        <w:spacing w:line="360" w:lineRule="auto"/>
        <w:ind w:right="480"/>
        <w:jc w:val="center"/>
        <w:rPr>
          <w:rFonts w:ascii="仿宋" w:hAnsi="仿宋" w:eastAsia="仿宋" w:cs="仿宋"/>
          <w:b/>
          <w:color w:val="auto"/>
          <w:kern w:val="0"/>
          <w:sz w:val="32"/>
          <w:szCs w:val="32"/>
          <w:highlight w:val="none"/>
        </w:rPr>
      </w:pPr>
    </w:p>
    <w:p w14:paraId="0A04BE2F">
      <w:pPr>
        <w:snapToGrid w:val="0"/>
        <w:spacing w:line="360" w:lineRule="auto"/>
        <w:ind w:right="480"/>
        <w:jc w:val="center"/>
        <w:rPr>
          <w:rFonts w:ascii="仿宋" w:hAnsi="仿宋" w:eastAsia="仿宋" w:cs="仿宋"/>
          <w:b/>
          <w:color w:val="auto"/>
          <w:kern w:val="0"/>
          <w:sz w:val="32"/>
          <w:szCs w:val="32"/>
          <w:highlight w:val="none"/>
        </w:rPr>
      </w:pPr>
    </w:p>
    <w:p w14:paraId="7300D8B4">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286641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78BB3D3E">
      <w:pP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.专门面向中小企业，服务全部由符合政策要求的中小企业（或小微企业）承接的，提供相应的中小企业声明函（附件7）。</w:t>
      </w:r>
    </w:p>
    <w:p w14:paraId="422960C5">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4872500A">
      <w:pPr>
        <w:snapToGrid w:val="0"/>
        <w:spacing w:before="50" w:after="50" w:line="360" w:lineRule="auto"/>
        <w:jc w:val="center"/>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64756DBE">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07FFF143">
      <w:pPr>
        <w:widowControl/>
        <w:spacing w:line="360" w:lineRule="auto"/>
        <w:ind w:left="150"/>
        <w:jc w:val="center"/>
        <w:rPr>
          <w:rFonts w:ascii="仿宋" w:hAnsi="仿宋" w:eastAsia="仿宋" w:cs="仿宋"/>
          <w:b/>
          <w:color w:val="auto"/>
          <w:kern w:val="0"/>
          <w:sz w:val="32"/>
          <w:szCs w:val="32"/>
          <w:highlight w:val="none"/>
        </w:rPr>
      </w:pPr>
    </w:p>
    <w:p w14:paraId="00D745A6">
      <w:pPr>
        <w:widowControl/>
        <w:spacing w:line="360" w:lineRule="auto"/>
        <w:ind w:left="15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5B43ED06">
      <w:pPr>
        <w:spacing w:line="360" w:lineRule="auto"/>
        <w:jc w:val="center"/>
        <w:rPr>
          <w:rFonts w:ascii="仿宋" w:hAnsi="仿宋" w:eastAsia="仿宋" w:cs="仿宋"/>
          <w:color w:val="auto"/>
          <w:sz w:val="24"/>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color w:val="auto"/>
          <w:sz w:val="24"/>
          <w:highlight w:val="none"/>
        </w:rPr>
        <w:t>（根据招标公告本项目的特定资格要求提供相应的材料；未要求的，无需提供）</w:t>
      </w:r>
    </w:p>
    <w:p w14:paraId="1F0F0D85">
      <w:pPr>
        <w:spacing w:line="360" w:lineRule="auto"/>
        <w:ind w:right="420"/>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1F866728">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02303A15">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0F30F539">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643C4B06">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78170250">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25C0AECD">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4697D261">
      <w:pPr>
        <w:snapToGrid w:val="0"/>
        <w:spacing w:line="360" w:lineRule="auto"/>
        <w:jc w:val="center"/>
        <w:outlineLvl w:val="0"/>
        <w:rPr>
          <w:rFonts w:ascii="仿宋" w:hAnsi="仿宋" w:eastAsia="仿宋" w:cs="仿宋"/>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41EA75D">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47075CF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08598AB">
      <w:pPr>
        <w:snapToGrid w:val="0"/>
        <w:spacing w:line="3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203E890D">
      <w:pPr>
        <w:snapToGrid w:val="0"/>
        <w:spacing w:line="3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1A1C82A8">
      <w:pPr>
        <w:snapToGrid w:val="0"/>
        <w:spacing w:line="3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52CD1839">
      <w:pPr>
        <w:snapToGrid w:val="0"/>
        <w:spacing w:line="38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212712D8">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14:paraId="730AB93D">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03" w:name="_Hlk101257010"/>
      <w:r>
        <w:rPr>
          <w:rFonts w:hint="eastAsia" w:ascii="仿宋" w:hAnsi="仿宋" w:eastAsia="仿宋" w:cs="仿宋"/>
          <w:color w:val="auto"/>
          <w:sz w:val="24"/>
          <w:highlight w:val="none"/>
        </w:rPr>
        <w:t>（如果有)</w:t>
      </w:r>
      <w:bookmarkEnd w:id="503"/>
      <w:r>
        <w:rPr>
          <w:rFonts w:hint="eastAsia" w:ascii="仿宋" w:hAnsi="仿宋" w:eastAsia="仿宋" w:cs="仿宋"/>
          <w:snapToGrid w:val="0"/>
          <w:color w:val="auto"/>
          <w:kern w:val="28"/>
          <w:sz w:val="24"/>
          <w:szCs w:val="20"/>
          <w:highlight w:val="none"/>
        </w:rPr>
        <w:t>；</w:t>
      </w:r>
    </w:p>
    <w:p w14:paraId="7D715204">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7F646334">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493EB68E">
      <w:pPr>
        <w:snapToGrid w:val="0"/>
        <w:spacing w:line="380" w:lineRule="exact"/>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05EE3863">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1EF5D66E">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582FF0BB">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42332DAB">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406BDD00">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050A27B7">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71A23B5E">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77CC8593">
      <w:pPr>
        <w:snapToGrid w:val="0"/>
        <w:spacing w:line="380" w:lineRule="exact"/>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C2D3F20">
      <w:pPr>
        <w:snapToGrid w:val="0"/>
        <w:spacing w:line="38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6EDBB006">
      <w:pPr>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7CFCCAB1">
      <w:pPr>
        <w:spacing w:line="380" w:lineRule="exact"/>
        <w:ind w:left="420" w:lef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2.3.2 报价情况说明（如果有）</w:t>
      </w:r>
    </w:p>
    <w:p w14:paraId="08F8D387">
      <w:pPr>
        <w:snapToGrid w:val="0"/>
        <w:spacing w:line="38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4CD792D2">
      <w:pPr>
        <w:pStyle w:val="79"/>
        <w:spacing w:line="380" w:lineRule="exact"/>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052865A6">
      <w:pPr>
        <w:snapToGrid w:val="0"/>
        <w:spacing w:line="3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79D03F3C">
      <w:pPr>
        <w:snapToGrid w:val="0"/>
        <w:spacing w:line="38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4516C7E6">
      <w:pPr>
        <w:snapToGrid w:val="0"/>
        <w:spacing w:line="38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15FF9A00">
      <w:pPr>
        <w:snapToGrid w:val="0"/>
        <w:spacing w:line="38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4.3按照招标文件要求提交履约保证金；</w:t>
      </w:r>
    </w:p>
    <w:p w14:paraId="09C3A481">
      <w:pPr>
        <w:snapToGrid w:val="0"/>
        <w:spacing w:line="38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4.4在合同约定的期限内完成合同规定的全部义务。</w:t>
      </w:r>
    </w:p>
    <w:p w14:paraId="45225A5D">
      <w:pPr>
        <w:snapToGrid w:val="0"/>
        <w:spacing w:line="38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318AACAD">
      <w:pPr>
        <w:snapToGrid w:val="0"/>
        <w:spacing w:line="38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00F2B16">
      <w:pPr>
        <w:spacing w:line="380" w:lineRule="exact"/>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50F4B459">
      <w:pPr>
        <w:spacing w:line="380" w:lineRule="exact"/>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03712BEC">
      <w:pPr>
        <w:spacing w:line="380" w:lineRule="exact"/>
        <w:ind w:right="420"/>
        <w:rPr>
          <w:rFonts w:ascii="仿宋" w:hAnsi="仿宋" w:eastAsia="仿宋" w:cs="仿宋"/>
          <w:color w:val="auto"/>
          <w:sz w:val="24"/>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color w:val="auto"/>
          <w:sz w:val="24"/>
          <w:highlight w:val="none"/>
        </w:rPr>
        <w:t>注：按本格式和要求提供。</w:t>
      </w:r>
    </w:p>
    <w:p w14:paraId="5ABC592A">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06B58F28">
      <w:pPr>
        <w:snapToGrid w:val="0"/>
        <w:spacing w:line="360" w:lineRule="auto"/>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7E419E69">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6671AC8">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2C7B2F38">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委托期限：自   年 月  日起至  年  月  日止。</w:t>
      </w:r>
    </w:p>
    <w:p w14:paraId="0CCF328A">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特此告知。</w:t>
      </w:r>
    </w:p>
    <w:p w14:paraId="03D29EA5">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421CD07F">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签发</w:t>
      </w:r>
      <w:r>
        <w:rPr>
          <w:rFonts w:hint="eastAsia" w:ascii="仿宋" w:hAnsi="仿宋" w:eastAsia="仿宋" w:cs="仿宋"/>
          <w:color w:val="auto"/>
          <w:sz w:val="24"/>
          <w:highlight w:val="none"/>
        </w:rPr>
        <w:t>日期：  年   月   日</w:t>
      </w:r>
    </w:p>
    <w:p w14:paraId="66776696">
      <w:pPr>
        <w:pStyle w:val="79"/>
        <w:ind w:firstLine="0" w:firstLineChars="0"/>
        <w:jc w:val="center"/>
        <w:rPr>
          <w:color w:val="auto"/>
          <w:highlight w:val="none"/>
          <w:lang w:val="en-US"/>
        </w:rPr>
      </w:pPr>
    </w:p>
    <w:p w14:paraId="0DA76927">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6A79BCC8">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B4C26A9">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137411B7">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委托期限：自   年 月  日起至  年  月  日止。</w:t>
      </w:r>
    </w:p>
    <w:p w14:paraId="66D857AB">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特此告知。</w:t>
      </w:r>
    </w:p>
    <w:p w14:paraId="14A8322F">
      <w:pPr>
        <w:pStyle w:val="79"/>
        <w:ind w:firstLine="0" w:firstLineChars="0"/>
        <w:jc w:val="center"/>
        <w:rPr>
          <w:color w:val="auto"/>
          <w:highlight w:val="none"/>
          <w:lang w:val="en-US"/>
        </w:rPr>
      </w:pPr>
    </w:p>
    <w:p w14:paraId="139A009B">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615F162">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2DA037B">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C61D656">
      <w:pPr>
        <w:snapToGrid w:val="0"/>
        <w:spacing w:line="360" w:lineRule="auto"/>
        <w:ind w:firstLine="5040" w:firstLineChars="2100"/>
        <w:rPr>
          <w:rFonts w:ascii="仿宋" w:hAnsi="仿宋" w:eastAsia="仿宋" w:cs="仿宋"/>
          <w:color w:val="auto"/>
          <w:kern w:val="0"/>
          <w:sz w:val="24"/>
          <w:highlight w:val="none"/>
          <w:lang w:val="zh-CN"/>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color w:val="auto"/>
          <w:kern w:val="0"/>
          <w:sz w:val="24"/>
          <w:highlight w:val="none"/>
          <w:lang w:val="zh-CN"/>
        </w:rPr>
        <w:t>日期：  年  月   日</w:t>
      </w:r>
    </w:p>
    <w:p w14:paraId="6D59F242">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2EAFB082">
      <w:pPr>
        <w:pStyle w:val="148"/>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E7E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5133FAC">
            <w:pPr>
              <w:pStyle w:val="148"/>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tc>
      </w:tr>
    </w:tbl>
    <w:p w14:paraId="04D48C19">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690F4E68">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0B3FD5E2">
      <w:pPr>
        <w:snapToGrid w:val="0"/>
        <w:spacing w:line="360" w:lineRule="auto"/>
        <w:jc w:val="center"/>
        <w:rPr>
          <w:rFonts w:ascii="仿宋" w:hAnsi="仿宋" w:eastAsia="仿宋" w:cs="仿宋"/>
          <w:b/>
          <w:color w:val="auto"/>
          <w:kern w:val="0"/>
          <w:sz w:val="32"/>
          <w:szCs w:val="32"/>
          <w:highlight w:val="none"/>
        </w:rPr>
      </w:pPr>
    </w:p>
    <w:p w14:paraId="2AFCFA5F">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461DDBFD">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1C3A4A44">
      <w:pPr>
        <w:jc w:val="center"/>
        <w:rPr>
          <w:rFonts w:ascii="仿宋" w:hAnsi="仿宋" w:eastAsia="仿宋" w:cs="仿宋"/>
          <w:b/>
          <w:color w:val="auto"/>
          <w:kern w:val="0"/>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3295374F">
      <w:pPr>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022759A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54D84488">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6F59D13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3DCCB3A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0F93422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23DD204C">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6473C495">
            <w:pPr>
              <w:rPr>
                <w:rFonts w:hint="eastAsia" w:ascii="仿宋" w:hAnsi="仿宋" w:eastAsia="仿宋" w:cs="仿宋"/>
                <w:color w:val="auto"/>
                <w:sz w:val="24"/>
                <w:highlight w:val="none"/>
              </w:rPr>
            </w:pPr>
          </w:p>
          <w:p w14:paraId="2EFD984F">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D40010C">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69497FC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54FEB1B3">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418A3ED7">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lang w:val="en-US" w:eastAsia="zh-CN"/>
              </w:rPr>
              <w:t>3</w:t>
            </w:r>
          </w:p>
        </w:tc>
        <w:tc>
          <w:tcPr>
            <w:tcW w:w="4991" w:type="dxa"/>
            <w:vAlign w:val="top"/>
          </w:tcPr>
          <w:p w14:paraId="0816E62A">
            <w:pPr>
              <w:spacing w:line="360" w:lineRule="auto"/>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其他实质性要求1：</w:t>
            </w:r>
          </w:p>
        </w:tc>
        <w:tc>
          <w:tcPr>
            <w:tcW w:w="2551" w:type="dxa"/>
            <w:vMerge w:val="restart"/>
            <w:vAlign w:val="center"/>
          </w:tcPr>
          <w:p w14:paraId="5563D5BE">
            <w:pPr>
              <w:rPr>
                <w:rFonts w:hint="eastAsia" w:ascii="仿宋" w:hAnsi="仿宋" w:eastAsia="仿宋" w:cs="仿宋"/>
                <w:color w:val="auto"/>
                <w:sz w:val="24"/>
                <w:highlight w:val="none"/>
              </w:rPr>
            </w:pPr>
            <w:r>
              <w:rPr>
                <w:rFonts w:hint="eastAsia" w:ascii="仿宋" w:hAnsi="仿宋" w:eastAsia="仿宋" w:cs="仿宋"/>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hint="eastAsia" w:ascii="仿宋" w:hAnsi="仿宋" w:eastAsia="仿宋" w:cs="仿宋"/>
                <w:color w:val="auto"/>
                <w:highlight w:val="none"/>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4991" w:type="dxa"/>
            <w:vAlign w:val="top"/>
          </w:tcPr>
          <w:p w14:paraId="1BD3FA50">
            <w:pPr>
              <w:spacing w:line="360" w:lineRule="auto"/>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仿宋" w:hAnsi="仿宋" w:eastAsia="仿宋" w:cs="仿宋"/>
                <w:b w:val="0"/>
                <w:bCs w:val="0"/>
                <w:color w:val="auto"/>
                <w:sz w:val="24"/>
                <w:highlight w:val="none"/>
                <w:lang w:val="en-US" w:eastAsia="zh-CN"/>
              </w:rPr>
            </w:pPr>
          </w:p>
        </w:tc>
        <w:tc>
          <w:tcPr>
            <w:tcW w:w="1418" w:type="dxa"/>
            <w:vAlign w:val="top"/>
          </w:tcPr>
          <w:p w14:paraId="05C42D45">
            <w:pP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kern w:val="0"/>
                <w:sz w:val="24"/>
                <w:highlight w:val="none"/>
              </w:rPr>
              <w:t>……</w:t>
            </w:r>
          </w:p>
        </w:tc>
        <w:tc>
          <w:tcPr>
            <w:tcW w:w="4991" w:type="dxa"/>
            <w:vAlign w:val="top"/>
          </w:tcPr>
          <w:p w14:paraId="1460D33A">
            <w:pPr>
              <w:spacing w:line="360" w:lineRule="auto"/>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w:t>
            </w:r>
            <w:r>
              <w:rPr>
                <w:rFonts w:hint="eastAsia" w:ascii="仿宋" w:hAnsi="仿宋" w:eastAsia="仿宋" w:cs="仿宋"/>
                <w:color w:val="auto"/>
                <w:kern w:val="0"/>
                <w:sz w:val="24"/>
                <w:highlight w:val="none"/>
              </w:rPr>
              <w:t>……</w:t>
            </w:r>
            <w:r>
              <w:rPr>
                <w:rFonts w:hint="eastAsia" w:ascii="仿宋" w:hAnsi="仿宋" w:eastAsia="仿宋" w:cs="仿宋"/>
                <w:b w:val="0"/>
                <w:bCs w:val="0"/>
                <w:snapToGrid w:val="0"/>
                <w:color w:val="auto"/>
                <w:sz w:val="24"/>
                <w:highlight w:val="none"/>
                <w:lang w:val="en-US" w:eastAsia="zh-CN"/>
              </w:rPr>
              <w:t>：</w:t>
            </w:r>
          </w:p>
        </w:tc>
        <w:tc>
          <w:tcPr>
            <w:tcW w:w="2551" w:type="dxa"/>
            <w:vMerge w:val="continue"/>
            <w:vAlign w:val="center"/>
          </w:tcPr>
          <w:p w14:paraId="5A7E1580">
            <w:pPr>
              <w:rPr>
                <w:rFonts w:hint="eastAsia" w:ascii="仿宋" w:hAnsi="仿宋" w:eastAsia="仿宋" w:cs="仿宋"/>
                <w:b w:val="0"/>
                <w:bCs w:val="0"/>
                <w:color w:val="auto"/>
                <w:sz w:val="24"/>
                <w:highlight w:val="none"/>
                <w:lang w:val="en-US" w:eastAsia="zh-CN"/>
              </w:rPr>
            </w:pPr>
          </w:p>
        </w:tc>
        <w:tc>
          <w:tcPr>
            <w:tcW w:w="1418" w:type="dxa"/>
            <w:vAlign w:val="top"/>
          </w:tcPr>
          <w:p w14:paraId="3228697A">
            <w:pP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bl>
    <w:p w14:paraId="1D93245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注：1.按本格式和要求提供。</w:t>
      </w:r>
    </w:p>
    <w:p w14:paraId="1E0A0850">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2、招标文件中实质性要求必须明确响应。</w:t>
      </w:r>
    </w:p>
    <w:p w14:paraId="01EDB192">
      <w:pPr>
        <w:jc w:val="center"/>
        <w:rPr>
          <w:rFonts w:ascii="仿宋" w:hAnsi="仿宋" w:eastAsia="仿宋" w:cs="仿宋"/>
          <w:b/>
          <w:color w:val="auto"/>
          <w:kern w:val="0"/>
          <w:sz w:val="32"/>
          <w:szCs w:val="32"/>
          <w:highlight w:val="none"/>
        </w:rPr>
      </w:pPr>
    </w:p>
    <w:p w14:paraId="16C1CC9D">
      <w:pPr>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23D35AB6">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7E4BC105">
      <w:pPr>
        <w:jc w:val="center"/>
        <w:rPr>
          <w:rFonts w:ascii="仿宋" w:hAnsi="仿宋" w:eastAsia="仿宋" w:cs="仿宋"/>
          <w:b/>
          <w:color w:val="auto"/>
          <w:kern w:val="0"/>
          <w:sz w:val="32"/>
          <w:szCs w:val="32"/>
          <w:highlight w:val="none"/>
        </w:rPr>
      </w:pPr>
    </w:p>
    <w:p w14:paraId="3B38D2E7">
      <w:pPr>
        <w:ind w:firstLine="2891" w:firstLineChars="9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298D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DFFCBF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93FEF90">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4D62954">
            <w:pPr>
              <w:spacing w:line="360" w:lineRule="auto"/>
              <w:jc w:val="center"/>
              <w:rPr>
                <w:rFonts w:ascii="仿宋" w:hAnsi="仿宋" w:eastAsia="仿宋" w:cs="仿宋"/>
                <w:b/>
                <w:color w:val="auto"/>
                <w:sz w:val="24"/>
                <w:highlight w:val="none"/>
              </w:rPr>
            </w:pPr>
          </w:p>
          <w:p w14:paraId="76FC2FF6">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3C8F644">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F9C58F6">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C0D8910">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E5037C1">
            <w:pPr>
              <w:spacing w:line="360" w:lineRule="auto"/>
              <w:jc w:val="center"/>
              <w:rPr>
                <w:rFonts w:ascii="仿宋" w:hAnsi="仿宋" w:eastAsia="仿宋" w:cs="仿宋"/>
                <w:b/>
                <w:color w:val="auto"/>
                <w:sz w:val="24"/>
                <w:highlight w:val="none"/>
              </w:rPr>
            </w:pPr>
          </w:p>
          <w:p w14:paraId="5677B437">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4949784C">
            <w:pPr>
              <w:spacing w:line="360" w:lineRule="auto"/>
              <w:jc w:val="center"/>
              <w:rPr>
                <w:rFonts w:ascii="仿宋" w:hAnsi="仿宋" w:eastAsia="仿宋" w:cs="仿宋"/>
                <w:b/>
                <w:color w:val="auto"/>
                <w:sz w:val="24"/>
                <w:highlight w:val="none"/>
              </w:rPr>
            </w:pPr>
          </w:p>
        </w:tc>
      </w:tr>
      <w:tr w14:paraId="74AF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DB15DE5">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86BFD2B">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1DC58CC">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D4785D1">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BE5787F">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D4C643F">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6AEA300">
            <w:pPr>
              <w:spacing w:line="360" w:lineRule="auto"/>
              <w:jc w:val="center"/>
              <w:rPr>
                <w:rFonts w:ascii="仿宋" w:hAnsi="仿宋" w:eastAsia="仿宋" w:cs="仿宋"/>
                <w:color w:val="auto"/>
                <w:sz w:val="24"/>
                <w:highlight w:val="none"/>
              </w:rPr>
            </w:pPr>
          </w:p>
        </w:tc>
      </w:tr>
      <w:tr w14:paraId="5C849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9212AF">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AE380F1">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4D66E52">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15338A6">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0B111B2">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400A7E4">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835A195">
            <w:pPr>
              <w:spacing w:line="360" w:lineRule="auto"/>
              <w:jc w:val="center"/>
              <w:rPr>
                <w:rFonts w:ascii="仿宋" w:hAnsi="仿宋" w:eastAsia="仿宋" w:cs="仿宋"/>
                <w:color w:val="auto"/>
                <w:sz w:val="24"/>
                <w:highlight w:val="none"/>
              </w:rPr>
            </w:pPr>
          </w:p>
        </w:tc>
      </w:tr>
      <w:tr w14:paraId="716A1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8BF5B0">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25D5BD2">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2985CEE">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A3207E7">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C66030E">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0901DA3">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3CD98C2">
            <w:pPr>
              <w:spacing w:line="360" w:lineRule="auto"/>
              <w:jc w:val="center"/>
              <w:rPr>
                <w:rFonts w:ascii="仿宋" w:hAnsi="仿宋" w:eastAsia="仿宋" w:cs="仿宋"/>
                <w:color w:val="auto"/>
                <w:sz w:val="24"/>
                <w:highlight w:val="none"/>
              </w:rPr>
            </w:pPr>
          </w:p>
        </w:tc>
      </w:tr>
    </w:tbl>
    <w:p w14:paraId="0E7C0610">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A717DA6">
      <w:pPr>
        <w:jc w:val="center"/>
        <w:rPr>
          <w:rFonts w:ascii="仿宋" w:hAnsi="仿宋" w:eastAsia="仿宋" w:cs="仿宋"/>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660BBD6">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121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1812AEFA">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1FCF6312">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7218707E">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2EA09280">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2D5C3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256123">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2E0C6AAF">
            <w:pPr>
              <w:jc w:val="center"/>
              <w:rPr>
                <w:rFonts w:ascii="仿宋" w:hAnsi="仿宋" w:eastAsia="仿宋" w:cs="仿宋"/>
                <w:b/>
                <w:color w:val="auto"/>
                <w:kern w:val="0"/>
                <w:sz w:val="32"/>
                <w:szCs w:val="32"/>
                <w:highlight w:val="none"/>
              </w:rPr>
            </w:pPr>
          </w:p>
        </w:tc>
        <w:tc>
          <w:tcPr>
            <w:tcW w:w="3546" w:type="dxa"/>
          </w:tcPr>
          <w:p w14:paraId="2D6595CA">
            <w:pPr>
              <w:jc w:val="center"/>
              <w:rPr>
                <w:rFonts w:ascii="仿宋" w:hAnsi="仿宋" w:eastAsia="仿宋" w:cs="仿宋"/>
                <w:b/>
                <w:color w:val="auto"/>
                <w:kern w:val="0"/>
                <w:sz w:val="32"/>
                <w:szCs w:val="32"/>
                <w:highlight w:val="none"/>
              </w:rPr>
            </w:pPr>
          </w:p>
        </w:tc>
        <w:tc>
          <w:tcPr>
            <w:tcW w:w="1276" w:type="dxa"/>
          </w:tcPr>
          <w:p w14:paraId="2D303489">
            <w:pPr>
              <w:jc w:val="center"/>
              <w:rPr>
                <w:rFonts w:ascii="仿宋" w:hAnsi="仿宋" w:eastAsia="仿宋" w:cs="仿宋"/>
                <w:b/>
                <w:color w:val="auto"/>
                <w:kern w:val="0"/>
                <w:sz w:val="32"/>
                <w:szCs w:val="32"/>
                <w:highlight w:val="none"/>
              </w:rPr>
            </w:pPr>
          </w:p>
        </w:tc>
      </w:tr>
      <w:tr w14:paraId="12AF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BF87AF">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02C52516">
            <w:pPr>
              <w:jc w:val="center"/>
              <w:rPr>
                <w:rFonts w:ascii="仿宋" w:hAnsi="仿宋" w:eastAsia="仿宋" w:cs="仿宋"/>
                <w:b/>
                <w:color w:val="auto"/>
                <w:kern w:val="0"/>
                <w:sz w:val="32"/>
                <w:szCs w:val="32"/>
                <w:highlight w:val="none"/>
              </w:rPr>
            </w:pPr>
          </w:p>
        </w:tc>
        <w:tc>
          <w:tcPr>
            <w:tcW w:w="3546" w:type="dxa"/>
          </w:tcPr>
          <w:p w14:paraId="602C6EAB">
            <w:pPr>
              <w:jc w:val="center"/>
              <w:rPr>
                <w:rFonts w:ascii="仿宋" w:hAnsi="仿宋" w:eastAsia="仿宋" w:cs="仿宋"/>
                <w:b/>
                <w:color w:val="auto"/>
                <w:kern w:val="0"/>
                <w:sz w:val="32"/>
                <w:szCs w:val="32"/>
                <w:highlight w:val="none"/>
              </w:rPr>
            </w:pPr>
          </w:p>
        </w:tc>
        <w:tc>
          <w:tcPr>
            <w:tcW w:w="1276" w:type="dxa"/>
          </w:tcPr>
          <w:p w14:paraId="239E8060">
            <w:pPr>
              <w:jc w:val="center"/>
              <w:rPr>
                <w:rFonts w:ascii="仿宋" w:hAnsi="仿宋" w:eastAsia="仿宋" w:cs="仿宋"/>
                <w:b/>
                <w:color w:val="auto"/>
                <w:kern w:val="0"/>
                <w:sz w:val="32"/>
                <w:szCs w:val="32"/>
                <w:highlight w:val="none"/>
              </w:rPr>
            </w:pPr>
          </w:p>
        </w:tc>
      </w:tr>
      <w:tr w14:paraId="0E01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1C215F">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3039343F">
            <w:pPr>
              <w:jc w:val="center"/>
              <w:rPr>
                <w:rFonts w:ascii="仿宋" w:hAnsi="仿宋" w:eastAsia="仿宋" w:cs="仿宋"/>
                <w:b/>
                <w:color w:val="auto"/>
                <w:kern w:val="0"/>
                <w:sz w:val="32"/>
                <w:szCs w:val="32"/>
                <w:highlight w:val="none"/>
              </w:rPr>
            </w:pPr>
          </w:p>
        </w:tc>
        <w:tc>
          <w:tcPr>
            <w:tcW w:w="3546" w:type="dxa"/>
          </w:tcPr>
          <w:p w14:paraId="1D961CBF">
            <w:pPr>
              <w:jc w:val="center"/>
              <w:rPr>
                <w:rFonts w:ascii="仿宋" w:hAnsi="仿宋" w:eastAsia="仿宋" w:cs="仿宋"/>
                <w:b/>
                <w:color w:val="auto"/>
                <w:kern w:val="0"/>
                <w:sz w:val="32"/>
                <w:szCs w:val="32"/>
                <w:highlight w:val="none"/>
              </w:rPr>
            </w:pPr>
          </w:p>
        </w:tc>
        <w:tc>
          <w:tcPr>
            <w:tcW w:w="1276" w:type="dxa"/>
          </w:tcPr>
          <w:p w14:paraId="22D98648">
            <w:pPr>
              <w:jc w:val="center"/>
              <w:rPr>
                <w:rFonts w:ascii="仿宋" w:hAnsi="仿宋" w:eastAsia="仿宋" w:cs="仿宋"/>
                <w:b/>
                <w:color w:val="auto"/>
                <w:kern w:val="0"/>
                <w:sz w:val="32"/>
                <w:szCs w:val="32"/>
                <w:highlight w:val="none"/>
              </w:rPr>
            </w:pPr>
          </w:p>
        </w:tc>
      </w:tr>
    </w:tbl>
    <w:p w14:paraId="5A9170BF">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7B40B9F4">
      <w:pPr>
        <w:ind w:firstLine="1428" w:firstLineChars="595"/>
        <w:rPr>
          <w:rFonts w:hint="eastAsia" w:ascii="仿宋" w:hAnsi="仿宋" w:eastAsia="仿宋" w:cs="仿宋"/>
          <w:color w:val="auto"/>
          <w:kern w:val="0"/>
          <w:sz w:val="24"/>
          <w:highlight w:val="none"/>
        </w:rPr>
      </w:pPr>
    </w:p>
    <w:p w14:paraId="6F34063E">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注：1.按本格式和要求提供。</w:t>
      </w:r>
    </w:p>
    <w:p w14:paraId="1036EAE5">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2.本表格所反映的偏离情况与“符合性审查资料”、“评标标准相应的商务技术资料”不一致的，以“符合性审查资料”、“评标标准相应的商务技术资料”为准。</w:t>
      </w:r>
    </w:p>
    <w:p w14:paraId="38DFEE5D">
      <w:pPr>
        <w:rPr>
          <w:rFonts w:ascii="仿宋" w:hAnsi="仿宋" w:eastAsia="仿宋" w:cs="仿宋"/>
          <w:b/>
          <w:bCs/>
          <w:color w:val="auto"/>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color w:val="auto"/>
          <w:kern w:val="0"/>
          <w:sz w:val="24"/>
          <w:highlight w:val="none"/>
        </w:rPr>
        <w:t>3.投标人须保证：除商务技术偏离表列出的偏离外，投标人响应招标文件的全部非实质性要求。</w:t>
      </w:r>
    </w:p>
    <w:p w14:paraId="30A29357">
      <w:pPr>
        <w:ind w:firstLine="1911" w:firstLineChars="595"/>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67FB4B1E">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E7DA7EC">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259FE366">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01E391A8">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12578618">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42BFF2B4">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58CEC5C5">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0F86035E">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233BD6BC">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49A9BCDE">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0FBF70EF">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3E5C43F6">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p>
    <w:p w14:paraId="74A8049D">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6CC5E97A">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9741803">
      <w:pPr>
        <w:spacing w:line="360" w:lineRule="auto"/>
        <w:jc w:val="center"/>
        <w:rPr>
          <w:rFonts w:ascii="仿宋" w:hAnsi="仿宋" w:eastAsia="仿宋" w:cs="仿宋"/>
          <w:b/>
          <w:bCs/>
          <w:color w:val="auto"/>
          <w:sz w:val="24"/>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41B907F">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60833F76">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6267E4A">
      <w:pPr>
        <w:spacing w:line="360" w:lineRule="auto"/>
        <w:jc w:val="center"/>
        <w:outlineLvl w:val="0"/>
        <w:rPr>
          <w:rFonts w:ascii="仿宋" w:hAnsi="仿宋" w:eastAsia="仿宋" w:cs="仿宋"/>
          <w:b/>
          <w:color w:val="auto"/>
          <w:kern w:val="0"/>
          <w:sz w:val="36"/>
          <w:szCs w:val="36"/>
          <w:highlight w:val="none"/>
        </w:rPr>
      </w:pPr>
    </w:p>
    <w:p w14:paraId="2DC7B05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60C553D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bCs/>
          <w:snapToGrid w:val="0"/>
          <w:color w:val="auto"/>
          <w:sz w:val="24"/>
          <w:highlight w:val="none"/>
        </w:rPr>
        <w:t>报价情况说明</w:t>
      </w:r>
      <w:r>
        <w:rPr>
          <w:rFonts w:hint="eastAsia" w:ascii="仿宋" w:hAnsi="仿宋" w:eastAsia="仿宋" w:cs="仿宋"/>
          <w:color w:val="auto"/>
          <w:sz w:val="24"/>
          <w:highlight w:val="none"/>
        </w:rPr>
        <w:t>…………………………………………………………………（页码）</w:t>
      </w:r>
    </w:p>
    <w:p w14:paraId="0D2F706D">
      <w:pPr>
        <w:spacing w:line="360" w:lineRule="auto"/>
        <w:rPr>
          <w:rFonts w:ascii="仿宋" w:hAnsi="仿宋" w:eastAsia="仿宋" w:cs="仿宋"/>
          <w:color w:val="auto"/>
          <w:highlight w:val="none"/>
        </w:rPr>
      </w:pPr>
      <w:r>
        <w:rPr>
          <w:rFonts w:hint="eastAsia" w:ascii="仿宋" w:hAnsi="仿宋" w:eastAsia="仿宋" w:cs="仿宋"/>
          <w:color w:val="auto"/>
          <w:sz w:val="24"/>
          <w:highlight w:val="none"/>
        </w:rPr>
        <w:t>（3）中小企业声明函………………………………………………………………（页码）</w:t>
      </w:r>
    </w:p>
    <w:p w14:paraId="07AF14BE">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20" w:type="first"/>
          <w:footerReference r:id="rId22" w:type="first"/>
          <w:headerReference r:id="rId19" w:type="default"/>
          <w:footerReference r:id="rId21"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0B543AE">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64F2355D">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AF611BE">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0D138184">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2B18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17" w:type="dxa"/>
            <w:vAlign w:val="center"/>
          </w:tcPr>
          <w:p w14:paraId="405C501D">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307A33FD">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vAlign w:val="center"/>
          </w:tcPr>
          <w:p w14:paraId="5B294760">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59A41F3E">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084F608C">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68379839">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vAlign w:val="center"/>
          </w:tcPr>
          <w:p w14:paraId="37D7B9D8">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6A0165F6">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tc>
      </w:tr>
      <w:tr w14:paraId="7CDC9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0A3299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0E806246">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6E46E308">
            <w:pPr>
              <w:snapToGrid w:val="0"/>
              <w:jc w:val="center"/>
              <w:rPr>
                <w:rFonts w:ascii="仿宋" w:hAnsi="仿宋" w:eastAsia="仿宋" w:cs="仿宋"/>
                <w:color w:val="auto"/>
                <w:sz w:val="24"/>
                <w:highlight w:val="none"/>
              </w:rPr>
            </w:pPr>
          </w:p>
        </w:tc>
        <w:tc>
          <w:tcPr>
            <w:tcW w:w="2410" w:type="dxa"/>
            <w:vAlign w:val="center"/>
          </w:tcPr>
          <w:p w14:paraId="308099D0">
            <w:pPr>
              <w:snapToGrid w:val="0"/>
              <w:jc w:val="center"/>
              <w:rPr>
                <w:rFonts w:ascii="仿宋" w:hAnsi="仿宋" w:eastAsia="仿宋" w:cs="仿宋"/>
                <w:color w:val="auto"/>
                <w:sz w:val="24"/>
                <w:highlight w:val="none"/>
              </w:rPr>
            </w:pPr>
          </w:p>
        </w:tc>
        <w:tc>
          <w:tcPr>
            <w:tcW w:w="2268" w:type="dxa"/>
            <w:vAlign w:val="center"/>
          </w:tcPr>
          <w:p w14:paraId="50999202">
            <w:pPr>
              <w:snapToGrid w:val="0"/>
              <w:jc w:val="center"/>
              <w:rPr>
                <w:rFonts w:ascii="仿宋" w:hAnsi="仿宋" w:eastAsia="仿宋" w:cs="仿宋"/>
                <w:color w:val="auto"/>
                <w:sz w:val="24"/>
                <w:highlight w:val="none"/>
              </w:rPr>
            </w:pPr>
          </w:p>
        </w:tc>
        <w:tc>
          <w:tcPr>
            <w:tcW w:w="2126" w:type="dxa"/>
            <w:vAlign w:val="center"/>
          </w:tcPr>
          <w:p w14:paraId="2E834193">
            <w:pPr>
              <w:jc w:val="center"/>
              <w:rPr>
                <w:rFonts w:ascii="仿宋" w:hAnsi="仿宋" w:eastAsia="仿宋" w:cs="仿宋"/>
                <w:color w:val="auto"/>
                <w:sz w:val="24"/>
                <w:highlight w:val="none"/>
              </w:rPr>
            </w:pPr>
          </w:p>
        </w:tc>
        <w:tc>
          <w:tcPr>
            <w:tcW w:w="2127" w:type="dxa"/>
          </w:tcPr>
          <w:p w14:paraId="7C777EFD">
            <w:pPr>
              <w:jc w:val="center"/>
              <w:rPr>
                <w:rFonts w:ascii="仿宋" w:hAnsi="仿宋" w:eastAsia="仿宋" w:cs="仿宋"/>
                <w:color w:val="auto"/>
                <w:sz w:val="24"/>
                <w:highlight w:val="none"/>
              </w:rPr>
            </w:pPr>
          </w:p>
        </w:tc>
        <w:tc>
          <w:tcPr>
            <w:tcW w:w="2126" w:type="dxa"/>
            <w:vAlign w:val="center"/>
          </w:tcPr>
          <w:p w14:paraId="0F4FA0E8">
            <w:pPr>
              <w:jc w:val="center"/>
              <w:rPr>
                <w:rFonts w:ascii="仿宋" w:hAnsi="仿宋" w:eastAsia="仿宋" w:cs="仿宋"/>
                <w:color w:val="auto"/>
                <w:sz w:val="24"/>
                <w:highlight w:val="none"/>
              </w:rPr>
            </w:pPr>
          </w:p>
        </w:tc>
      </w:tr>
      <w:tr w14:paraId="03671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53844D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4AB5BB28">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38D9B936">
            <w:pPr>
              <w:snapToGrid w:val="0"/>
              <w:jc w:val="center"/>
              <w:rPr>
                <w:rFonts w:ascii="仿宋" w:hAnsi="仿宋" w:eastAsia="仿宋" w:cs="仿宋"/>
                <w:color w:val="auto"/>
                <w:sz w:val="24"/>
                <w:highlight w:val="none"/>
              </w:rPr>
            </w:pPr>
          </w:p>
        </w:tc>
        <w:tc>
          <w:tcPr>
            <w:tcW w:w="2410" w:type="dxa"/>
            <w:vAlign w:val="center"/>
          </w:tcPr>
          <w:p w14:paraId="13A311A1">
            <w:pPr>
              <w:snapToGrid w:val="0"/>
              <w:jc w:val="center"/>
              <w:rPr>
                <w:rFonts w:ascii="仿宋" w:hAnsi="仿宋" w:eastAsia="仿宋" w:cs="仿宋"/>
                <w:color w:val="auto"/>
                <w:sz w:val="24"/>
                <w:highlight w:val="none"/>
              </w:rPr>
            </w:pPr>
          </w:p>
        </w:tc>
        <w:tc>
          <w:tcPr>
            <w:tcW w:w="2268" w:type="dxa"/>
            <w:vAlign w:val="center"/>
          </w:tcPr>
          <w:p w14:paraId="71E80C20">
            <w:pPr>
              <w:snapToGrid w:val="0"/>
              <w:jc w:val="center"/>
              <w:rPr>
                <w:rFonts w:ascii="仿宋" w:hAnsi="仿宋" w:eastAsia="仿宋" w:cs="仿宋"/>
                <w:color w:val="auto"/>
                <w:sz w:val="24"/>
                <w:highlight w:val="none"/>
              </w:rPr>
            </w:pPr>
          </w:p>
        </w:tc>
        <w:tc>
          <w:tcPr>
            <w:tcW w:w="2126" w:type="dxa"/>
            <w:vAlign w:val="center"/>
          </w:tcPr>
          <w:p w14:paraId="6E262221">
            <w:pPr>
              <w:jc w:val="center"/>
              <w:rPr>
                <w:rFonts w:ascii="仿宋" w:hAnsi="仿宋" w:eastAsia="仿宋" w:cs="仿宋"/>
                <w:color w:val="auto"/>
                <w:sz w:val="24"/>
                <w:highlight w:val="none"/>
              </w:rPr>
            </w:pPr>
          </w:p>
        </w:tc>
        <w:tc>
          <w:tcPr>
            <w:tcW w:w="2127" w:type="dxa"/>
          </w:tcPr>
          <w:p w14:paraId="47F84B97">
            <w:pPr>
              <w:jc w:val="center"/>
              <w:rPr>
                <w:rFonts w:ascii="仿宋" w:hAnsi="仿宋" w:eastAsia="仿宋" w:cs="仿宋"/>
                <w:color w:val="auto"/>
                <w:sz w:val="24"/>
                <w:highlight w:val="none"/>
              </w:rPr>
            </w:pPr>
          </w:p>
        </w:tc>
        <w:tc>
          <w:tcPr>
            <w:tcW w:w="2126" w:type="dxa"/>
            <w:vAlign w:val="center"/>
          </w:tcPr>
          <w:p w14:paraId="1B78C696">
            <w:pPr>
              <w:jc w:val="center"/>
              <w:rPr>
                <w:rFonts w:ascii="仿宋" w:hAnsi="仿宋" w:eastAsia="仿宋" w:cs="仿宋"/>
                <w:color w:val="auto"/>
                <w:sz w:val="24"/>
                <w:highlight w:val="none"/>
              </w:rPr>
            </w:pPr>
          </w:p>
        </w:tc>
      </w:tr>
      <w:tr w14:paraId="3C529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5D3E8D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4D97CEF4">
            <w:pPr>
              <w:snapToGrid w:val="0"/>
              <w:jc w:val="center"/>
              <w:rPr>
                <w:rFonts w:ascii="仿宋" w:hAnsi="仿宋" w:eastAsia="仿宋" w:cs="仿宋"/>
                <w:color w:val="auto"/>
                <w:sz w:val="24"/>
                <w:highlight w:val="none"/>
              </w:rPr>
            </w:pPr>
          </w:p>
        </w:tc>
        <w:tc>
          <w:tcPr>
            <w:tcW w:w="2268" w:type="dxa"/>
            <w:vAlign w:val="center"/>
          </w:tcPr>
          <w:p w14:paraId="53EB3A7C">
            <w:pPr>
              <w:snapToGrid w:val="0"/>
              <w:jc w:val="center"/>
              <w:rPr>
                <w:rFonts w:ascii="仿宋" w:hAnsi="仿宋" w:eastAsia="仿宋" w:cs="仿宋"/>
                <w:color w:val="auto"/>
                <w:sz w:val="24"/>
                <w:highlight w:val="none"/>
              </w:rPr>
            </w:pPr>
          </w:p>
        </w:tc>
        <w:tc>
          <w:tcPr>
            <w:tcW w:w="2410" w:type="dxa"/>
            <w:vAlign w:val="center"/>
          </w:tcPr>
          <w:p w14:paraId="022F8AB5">
            <w:pPr>
              <w:snapToGrid w:val="0"/>
              <w:jc w:val="center"/>
              <w:rPr>
                <w:rFonts w:ascii="仿宋" w:hAnsi="仿宋" w:eastAsia="仿宋" w:cs="仿宋"/>
                <w:color w:val="auto"/>
                <w:sz w:val="24"/>
                <w:highlight w:val="none"/>
              </w:rPr>
            </w:pPr>
          </w:p>
        </w:tc>
        <w:tc>
          <w:tcPr>
            <w:tcW w:w="2268" w:type="dxa"/>
            <w:vAlign w:val="center"/>
          </w:tcPr>
          <w:p w14:paraId="74E8E531">
            <w:pPr>
              <w:snapToGrid w:val="0"/>
              <w:jc w:val="center"/>
              <w:rPr>
                <w:rFonts w:ascii="仿宋" w:hAnsi="仿宋" w:eastAsia="仿宋" w:cs="仿宋"/>
                <w:color w:val="auto"/>
                <w:sz w:val="24"/>
                <w:highlight w:val="none"/>
              </w:rPr>
            </w:pPr>
          </w:p>
        </w:tc>
        <w:tc>
          <w:tcPr>
            <w:tcW w:w="2126" w:type="dxa"/>
            <w:vAlign w:val="center"/>
          </w:tcPr>
          <w:p w14:paraId="25AD85C9">
            <w:pPr>
              <w:jc w:val="center"/>
              <w:rPr>
                <w:rFonts w:ascii="仿宋" w:hAnsi="仿宋" w:eastAsia="仿宋" w:cs="仿宋"/>
                <w:color w:val="auto"/>
                <w:sz w:val="24"/>
                <w:highlight w:val="none"/>
              </w:rPr>
            </w:pPr>
          </w:p>
        </w:tc>
        <w:tc>
          <w:tcPr>
            <w:tcW w:w="2127" w:type="dxa"/>
          </w:tcPr>
          <w:p w14:paraId="0CF239AD">
            <w:pPr>
              <w:jc w:val="center"/>
              <w:rPr>
                <w:rFonts w:ascii="仿宋" w:hAnsi="仿宋" w:eastAsia="仿宋" w:cs="仿宋"/>
                <w:color w:val="auto"/>
                <w:sz w:val="24"/>
                <w:highlight w:val="none"/>
              </w:rPr>
            </w:pPr>
          </w:p>
        </w:tc>
        <w:tc>
          <w:tcPr>
            <w:tcW w:w="2126" w:type="dxa"/>
            <w:vAlign w:val="center"/>
          </w:tcPr>
          <w:p w14:paraId="439B6A87">
            <w:pPr>
              <w:jc w:val="center"/>
              <w:rPr>
                <w:rFonts w:ascii="仿宋" w:hAnsi="仿宋" w:eastAsia="仿宋" w:cs="仿宋"/>
                <w:color w:val="auto"/>
                <w:sz w:val="24"/>
                <w:highlight w:val="none"/>
              </w:rPr>
            </w:pPr>
          </w:p>
        </w:tc>
      </w:tr>
      <w:tr w14:paraId="41277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487" w:type="dxa"/>
            <w:gridSpan w:val="4"/>
            <w:vAlign w:val="center"/>
          </w:tcPr>
          <w:p w14:paraId="488CE119">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647" w:type="dxa"/>
            <w:gridSpan w:val="4"/>
          </w:tcPr>
          <w:p w14:paraId="5FA4679A">
            <w:pPr>
              <w:jc w:val="center"/>
              <w:rPr>
                <w:rFonts w:ascii="仿宋" w:hAnsi="仿宋" w:eastAsia="仿宋" w:cs="仿宋"/>
                <w:color w:val="auto"/>
                <w:sz w:val="24"/>
                <w:highlight w:val="none"/>
              </w:rPr>
            </w:pPr>
          </w:p>
        </w:tc>
      </w:tr>
      <w:tr w14:paraId="43D6F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148DD5F">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47" w:type="dxa"/>
            <w:gridSpan w:val="4"/>
          </w:tcPr>
          <w:p w14:paraId="03613911">
            <w:pPr>
              <w:jc w:val="center"/>
              <w:rPr>
                <w:rFonts w:ascii="仿宋" w:hAnsi="仿宋" w:eastAsia="仿宋" w:cs="仿宋"/>
                <w:color w:val="auto"/>
                <w:sz w:val="24"/>
                <w:highlight w:val="none"/>
              </w:rPr>
            </w:pPr>
          </w:p>
        </w:tc>
      </w:tr>
    </w:tbl>
    <w:p w14:paraId="28467E69">
      <w:pPr>
        <w:snapToGrid w:val="0"/>
        <w:spacing w:line="240" w:lineRule="exact"/>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336C50BF">
      <w:pPr>
        <w:spacing w:line="240" w:lineRule="exact"/>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5D62779E">
      <w:pPr>
        <w:spacing w:line="2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2593C623">
      <w:pPr>
        <w:snapToGrid w:val="0"/>
        <w:spacing w:line="240" w:lineRule="exact"/>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3124E91C">
      <w:pPr>
        <w:snapToGrid w:val="0"/>
        <w:spacing w:line="240" w:lineRule="exact"/>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258E626">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196F956">
      <w:pPr>
        <w:pStyle w:val="692"/>
        <w:keepNext w:val="0"/>
        <w:numPr>
          <w:ilvl w:val="0"/>
          <w:numId w:val="2"/>
        </w:numPr>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报价情况说明（如果有）</w:t>
      </w:r>
    </w:p>
    <w:p w14:paraId="37E82CB0">
      <w:pPr>
        <w:pStyle w:val="3"/>
        <w:keepNext w:val="0"/>
        <w:numPr>
          <w:ilvl w:val="255"/>
          <w:numId w:val="0"/>
        </w:numPr>
        <w:snapToGrid w:val="0"/>
        <w:spacing w:before="120" w:after="120"/>
        <w:rPr>
          <w:rFonts w:ascii="仿宋" w:eastAsia="仿宋" w:cs="仿宋"/>
          <w:color w:val="auto"/>
          <w:highlight w:val="none"/>
          <w:lang w:val="en-US"/>
        </w:rPr>
      </w:pPr>
      <w:r>
        <w:rPr>
          <w:rFonts w:hint="eastAsia" w:ascii="仿宋" w:eastAsia="仿宋" w:cs="仿宋"/>
          <w:b w:val="0"/>
          <w:bCs w:val="0"/>
          <w:color w:val="auto"/>
          <w:sz w:val="24"/>
          <w:szCs w:val="24"/>
          <w:highlight w:val="none"/>
          <w:lang w:val="en-US"/>
        </w:rPr>
        <w:t>（如供应商报价低于项目预算50%的，应当提交本文档，详细阐述不影响产品质量或者诚信履约的具体原因。）</w:t>
      </w:r>
    </w:p>
    <w:p w14:paraId="61072A9C">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14:paraId="6AFA983B">
      <w:pPr>
        <w:pStyle w:val="692"/>
        <w:keepNext w:val="0"/>
        <w:pageBreakBefore w:val="0"/>
        <w:tabs>
          <w:tab w:val="clear" w:pos="720"/>
        </w:tabs>
        <w:snapToGrid w:val="0"/>
        <w:spacing w:before="120" w:after="120"/>
        <w:ind w:firstLine="643"/>
        <w:outlineLvl w:val="9"/>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三、</w:t>
      </w:r>
      <w:r>
        <w:rPr>
          <w:rFonts w:hint="eastAsia" w:ascii="仿宋" w:hAnsi="仿宋" w:eastAsia="仿宋" w:cs="仿宋"/>
          <w:color w:val="auto"/>
          <w:sz w:val="32"/>
          <w:szCs w:val="32"/>
          <w:highlight w:val="none"/>
        </w:rPr>
        <w:t>中小企业声明函（如果有）</w:t>
      </w:r>
    </w:p>
    <w:p w14:paraId="2AAF0F6A">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8EF1247">
      <w:pPr>
        <w:pStyle w:val="2"/>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highlight w:val="none"/>
        </w:rPr>
      </w:pPr>
      <w:r>
        <w:rPr>
          <w:rFonts w:hint="eastAsia" w:ascii="仿宋" w:hAnsi="仿宋" w:eastAsia="仿宋" w:cs="仿宋"/>
          <w:color w:val="auto"/>
          <w:highlight w:val="none"/>
        </w:rPr>
        <w:t>附件</w:t>
      </w:r>
    </w:p>
    <w:p w14:paraId="269CED2F">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6D43F12C">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残疾人福利性单位声明函</w:t>
      </w:r>
    </w:p>
    <w:p w14:paraId="628821A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1B805A3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2610BEB4">
      <w:pPr>
        <w:spacing w:line="360" w:lineRule="auto"/>
        <w:ind w:firstLine="480" w:firstLineChars="200"/>
        <w:rPr>
          <w:rFonts w:ascii="仿宋" w:hAnsi="仿宋" w:eastAsia="仿宋" w:cs="仿宋"/>
          <w:color w:val="auto"/>
          <w:sz w:val="24"/>
          <w:highlight w:val="none"/>
        </w:rPr>
      </w:pPr>
    </w:p>
    <w:p w14:paraId="6B70BC01">
      <w:pPr>
        <w:spacing w:line="360" w:lineRule="auto"/>
        <w:ind w:firstLine="480" w:firstLineChars="200"/>
        <w:rPr>
          <w:rFonts w:ascii="仿宋" w:hAnsi="仿宋" w:eastAsia="仿宋" w:cs="仿宋"/>
          <w:color w:val="auto"/>
          <w:sz w:val="24"/>
          <w:highlight w:val="none"/>
        </w:rPr>
      </w:pPr>
    </w:p>
    <w:p w14:paraId="5EE9708A">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3C8F59D7">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34C5B280">
      <w:pPr>
        <w:spacing w:line="360" w:lineRule="auto"/>
        <w:jc w:val="left"/>
        <w:rPr>
          <w:rFonts w:ascii="仿宋" w:hAnsi="仿宋" w:eastAsia="仿宋" w:cs="仿宋"/>
          <w:b/>
          <w:color w:val="auto"/>
          <w:spacing w:val="6"/>
          <w:sz w:val="32"/>
          <w:szCs w:val="32"/>
          <w:highlight w:val="none"/>
        </w:rPr>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CEF4913">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12D34E99">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4F7AFE40">
      <w:pPr>
        <w:snapToGrid w:val="0"/>
        <w:spacing w:before="240" w:beforeLines="100"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3C78BFB5">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7F5F5027">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692DA5D">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ACFCE5E">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212CC8E9">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E24678A">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5A4EB41">
      <w:pPr>
        <w:snapToGrid w:val="0"/>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02E1F974">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322B8CA4">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BBF3D95">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02AA4AFC">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5A0B4E75">
      <w:pPr>
        <w:snapToGrid w:val="0"/>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7ECDBF16">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3628A501">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04EF480">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0006A3E0">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9C985E5">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3225A89">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37F8380B">
      <w:pPr>
        <w:snapToGrid w:val="0"/>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488AD271">
      <w:pPr>
        <w:snapToGrid w:val="0"/>
        <w:spacing w:line="276"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10B807BB">
      <w:pPr>
        <w:snapToGrid w:val="0"/>
        <w:spacing w:line="276"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7F0D39C4">
      <w:pPr>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96E142E">
      <w:pPr>
        <w:spacing w:line="276"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F090BD7">
      <w:pPr>
        <w:spacing w:line="276"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29181CDC">
      <w:pPr>
        <w:widowControl/>
        <w:spacing w:line="27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1D17F107">
      <w:pPr>
        <w:widowControl/>
        <w:spacing w:line="27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A86497F">
      <w:pPr>
        <w:widowControl/>
        <w:spacing w:line="27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4CBE7091">
      <w:pPr>
        <w:widowControl/>
        <w:spacing w:line="27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40F145F0">
      <w:pPr>
        <w:widowControl/>
        <w:spacing w:line="27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314EB2C">
      <w:pPr>
        <w:widowControl/>
        <w:spacing w:line="27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0414645F">
      <w:pPr>
        <w:spacing w:line="360" w:lineRule="auto"/>
        <w:jc w:val="left"/>
        <w:rPr>
          <w:rFonts w:ascii="仿宋" w:hAnsi="仿宋" w:eastAsia="仿宋" w:cs="仿宋"/>
          <w:b/>
          <w:color w:val="auto"/>
          <w:spacing w:val="6"/>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FE0A608">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684E6D7A">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3CAC2C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34A01860">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7CD3F5E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rPr>
        <w:t xml:space="preserve">  </w:t>
      </w:r>
    </w:p>
    <w:p w14:paraId="6A8DE015">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p>
    <w:p w14:paraId="5FDA69F5">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91FBE29">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1CF02C9">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DAAB554">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p>
    <w:p w14:paraId="48FB4F53">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C1F0E13">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E6BD07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09290587">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5C5CA9D">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p>
    <w:p w14:paraId="0FFA8FD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A6D551F">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F673F3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66F0AFE4">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3A989D5D">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BD9C2F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C1950D4">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323E995A">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68DDE5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B97CF3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79F4D3AE">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4069B997">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301A79A">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61879F4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2AF73D71">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69FCE42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5CA812B">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4CA1AE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876BFF3">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EAE915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4A098134">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9AE8B3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6820C42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C12FFD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FECA60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4A94D3B">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6E04943E">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40B7F720">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6C904FFA">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7759235A">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31AE2583">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00E1E923">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75B98F52">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2947BC39">
      <w:pPr>
        <w:autoSpaceDE w:val="0"/>
        <w:autoSpaceDN w:val="0"/>
        <w:jc w:val="center"/>
        <w:rPr>
          <w:rFonts w:ascii="仿宋" w:hAnsi="仿宋" w:eastAsia="仿宋" w:cs="仿宋"/>
          <w:b/>
          <w:color w:val="auto"/>
          <w:spacing w:val="6"/>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0D90C71">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31BF1E3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0BF73C0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26C6079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161F3203">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45CE48FF">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5D3496A">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65B414C3">
      <w:pPr>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488D71F4">
      <w:pPr>
        <w:autoSpaceDE w:val="0"/>
        <w:autoSpaceDN w:val="0"/>
        <w:jc w:val="center"/>
        <w:rPr>
          <w:rFonts w:ascii="仿宋" w:hAnsi="仿宋" w:eastAsia="仿宋" w:cs="仿宋"/>
          <w:b/>
          <w:color w:val="auto"/>
          <w:spacing w:val="6"/>
          <w:sz w:val="32"/>
          <w:szCs w:val="32"/>
          <w:highlight w:val="none"/>
        </w:rPr>
      </w:pPr>
    </w:p>
    <w:p w14:paraId="755973CE">
      <w:pPr>
        <w:autoSpaceDE w:val="0"/>
        <w:autoSpaceDN w:val="0"/>
        <w:jc w:val="center"/>
        <w:rPr>
          <w:rFonts w:ascii="仿宋" w:hAnsi="仿宋" w:eastAsia="仿宋" w:cs="仿宋"/>
          <w:b/>
          <w:color w:val="auto"/>
          <w:spacing w:val="6"/>
          <w:sz w:val="32"/>
          <w:szCs w:val="32"/>
          <w:highlight w:val="none"/>
        </w:rPr>
      </w:pPr>
    </w:p>
    <w:p w14:paraId="03BCA1B2">
      <w:pPr>
        <w:autoSpaceDE w:val="0"/>
        <w:autoSpaceDN w:val="0"/>
        <w:jc w:val="center"/>
        <w:rPr>
          <w:rFonts w:ascii="仿宋" w:hAnsi="仿宋" w:eastAsia="仿宋" w:cs="仿宋"/>
          <w:b/>
          <w:color w:val="auto"/>
          <w:spacing w:val="6"/>
          <w:sz w:val="32"/>
          <w:szCs w:val="32"/>
          <w:highlight w:val="none"/>
        </w:rPr>
      </w:pPr>
    </w:p>
    <w:p w14:paraId="7693E6E1">
      <w:pPr>
        <w:autoSpaceDE w:val="0"/>
        <w:autoSpaceDN w:val="0"/>
        <w:jc w:val="center"/>
        <w:rPr>
          <w:rFonts w:ascii="仿宋" w:hAnsi="仿宋" w:eastAsia="仿宋" w:cs="仿宋"/>
          <w:b/>
          <w:color w:val="auto"/>
          <w:spacing w:val="6"/>
          <w:sz w:val="32"/>
          <w:szCs w:val="32"/>
          <w:highlight w:val="none"/>
        </w:rPr>
      </w:pPr>
    </w:p>
    <w:p w14:paraId="230D2EF1">
      <w:pPr>
        <w:autoSpaceDE w:val="0"/>
        <w:autoSpaceDN w:val="0"/>
        <w:jc w:val="center"/>
        <w:rPr>
          <w:rFonts w:ascii="仿宋" w:hAnsi="仿宋" w:eastAsia="仿宋" w:cs="仿宋"/>
          <w:b/>
          <w:color w:val="auto"/>
          <w:spacing w:val="6"/>
          <w:sz w:val="32"/>
          <w:szCs w:val="32"/>
          <w:highlight w:val="none"/>
        </w:rPr>
      </w:pPr>
    </w:p>
    <w:p w14:paraId="4BCE87ED">
      <w:pPr>
        <w:autoSpaceDE w:val="0"/>
        <w:autoSpaceDN w:val="0"/>
        <w:jc w:val="center"/>
        <w:rPr>
          <w:rFonts w:ascii="仿宋" w:hAnsi="仿宋" w:eastAsia="仿宋" w:cs="仿宋"/>
          <w:b/>
          <w:color w:val="auto"/>
          <w:spacing w:val="6"/>
          <w:sz w:val="32"/>
          <w:szCs w:val="32"/>
          <w:highlight w:val="none"/>
        </w:rPr>
      </w:pPr>
    </w:p>
    <w:p w14:paraId="4D4167AA">
      <w:pPr>
        <w:autoSpaceDE w:val="0"/>
        <w:autoSpaceDN w:val="0"/>
        <w:jc w:val="center"/>
        <w:rPr>
          <w:rFonts w:ascii="仿宋" w:hAnsi="仿宋" w:eastAsia="仿宋" w:cs="仿宋"/>
          <w:b/>
          <w:color w:val="auto"/>
          <w:spacing w:val="6"/>
          <w:sz w:val="32"/>
          <w:szCs w:val="32"/>
          <w:highlight w:val="none"/>
        </w:rPr>
      </w:pPr>
    </w:p>
    <w:p w14:paraId="6132B30E">
      <w:pPr>
        <w:autoSpaceDE w:val="0"/>
        <w:autoSpaceDN w:val="0"/>
        <w:jc w:val="center"/>
        <w:rPr>
          <w:rFonts w:ascii="仿宋" w:hAnsi="仿宋" w:eastAsia="仿宋" w:cs="仿宋"/>
          <w:b/>
          <w:color w:val="auto"/>
          <w:spacing w:val="6"/>
          <w:sz w:val="32"/>
          <w:szCs w:val="32"/>
          <w:highlight w:val="none"/>
        </w:rPr>
      </w:pPr>
    </w:p>
    <w:p w14:paraId="710C192B">
      <w:pPr>
        <w:autoSpaceDE w:val="0"/>
        <w:autoSpaceDN w:val="0"/>
        <w:jc w:val="center"/>
        <w:rPr>
          <w:rFonts w:ascii="仿宋" w:hAnsi="仿宋" w:eastAsia="仿宋" w:cs="仿宋"/>
          <w:b/>
          <w:color w:val="auto"/>
          <w:spacing w:val="6"/>
          <w:sz w:val="32"/>
          <w:szCs w:val="32"/>
          <w:highlight w:val="none"/>
        </w:rPr>
      </w:pPr>
    </w:p>
    <w:p w14:paraId="20CD148B">
      <w:pPr>
        <w:autoSpaceDE w:val="0"/>
        <w:autoSpaceDN w:val="0"/>
        <w:jc w:val="center"/>
        <w:rPr>
          <w:rFonts w:ascii="仿宋" w:hAnsi="仿宋" w:eastAsia="仿宋" w:cs="仿宋"/>
          <w:b/>
          <w:color w:val="auto"/>
          <w:spacing w:val="6"/>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9453D70">
      <w:pPr>
        <w:autoSpaceDE w:val="0"/>
        <w:autoSpaceDN w:val="0"/>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6052C9BA">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6311CED1">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3D38177F">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2BEA285F">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11B980E">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2AA53F3B">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207794B9">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26915254">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3010212E">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75D5B22E">
      <w:pPr>
        <w:snapToGrid w:val="0"/>
        <w:spacing w:line="360" w:lineRule="exact"/>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04" w:name="_Hlk101131882"/>
      <w:r>
        <w:rPr>
          <w:rFonts w:hint="eastAsia" w:ascii="仿宋" w:hAnsi="仿宋" w:eastAsia="仿宋" w:cs="仿宋"/>
          <w:color w:val="auto"/>
          <w:kern w:val="0"/>
          <w:sz w:val="24"/>
          <w:highlight w:val="none"/>
          <w:u w:val="single"/>
        </w:rPr>
        <w:t>联合体成员X,……</w:t>
      </w:r>
      <w:bookmarkEnd w:id="504"/>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05"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05"/>
      <w:r>
        <w:rPr>
          <w:rFonts w:hint="eastAsia" w:ascii="仿宋" w:hAnsi="仿宋" w:eastAsia="仿宋" w:cs="仿宋"/>
          <w:b/>
          <w:color w:val="auto"/>
          <w:kern w:val="0"/>
          <w:sz w:val="24"/>
          <w:highlight w:val="none"/>
          <w:lang w:val="zh-CN"/>
        </w:rPr>
        <w:t>）</w:t>
      </w:r>
    </w:p>
    <w:p w14:paraId="22219210">
      <w:pPr>
        <w:spacing w:line="360" w:lineRule="exact"/>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06"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06"/>
    </w:p>
    <w:p w14:paraId="7CED3352">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32D6C3E1">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74256893">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5A29C770">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0FD4ED3B">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769DA63B">
      <w:pPr>
        <w:snapToGrid w:val="0"/>
        <w:spacing w:line="360" w:lineRule="exact"/>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8FF0F4F">
      <w:pPr>
        <w:snapToGrid w:val="0"/>
        <w:spacing w:line="360" w:lineRule="exact"/>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BFB1681">
      <w:pPr>
        <w:snapToGrid w:val="0"/>
        <w:spacing w:line="360" w:lineRule="exact"/>
        <w:ind w:right="960"/>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A9B0D4F">
      <w:pPr>
        <w:snapToGrid w:val="0"/>
        <w:spacing w:line="360" w:lineRule="exact"/>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695A5D3F">
      <w:pPr>
        <w:spacing w:line="360" w:lineRule="exact"/>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FD0E0C4">
      <w:pPr>
        <w:widowControl/>
        <w:adjustRightInd/>
        <w:jc w:val="center"/>
        <w:rPr>
          <w:rFonts w:ascii="仿宋" w:hAnsi="仿宋" w:eastAsia="仿宋" w:cs="仿宋"/>
          <w:b/>
          <w:color w:val="auto"/>
          <w:spacing w:val="6"/>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8967629">
      <w:pPr>
        <w:widowControl/>
        <w:adjustRightInd/>
        <w:jc w:val="center"/>
        <w:rPr>
          <w:rFonts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5F3FBA0A">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2AD105D9">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FDA251C">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5ECE5D64">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2DE1A457">
      <w:pPr>
        <w:pStyle w:val="3"/>
        <w:spacing w:line="360" w:lineRule="exact"/>
        <w:ind w:left="664" w:leftChars="316" w:firstLine="229" w:firstLineChars="95"/>
        <w:rPr>
          <w:rFonts w:ascii="仿宋" w:eastAsia="仿宋" w:cs="仿宋"/>
          <w:color w:val="auto"/>
          <w:kern w:val="0"/>
          <w:sz w:val="24"/>
          <w:szCs w:val="24"/>
          <w:highlight w:val="none"/>
        </w:rPr>
      </w:pPr>
      <w:r>
        <w:rPr>
          <w:rFonts w:hint="eastAsia" w:ascii="仿宋" w:eastAsia="仿宋" w:cs="仿宋"/>
          <w:color w:val="auto"/>
          <w:kern w:val="0"/>
          <w:sz w:val="24"/>
          <w:szCs w:val="24"/>
          <w:highlight w:val="none"/>
        </w:rPr>
        <w:t>……</w:t>
      </w:r>
    </w:p>
    <w:p w14:paraId="446A5D5F">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3F8CCF17">
      <w:pPr>
        <w:snapToGrid w:val="0"/>
        <w:spacing w:line="360" w:lineRule="exact"/>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17F18D6F">
      <w:pPr>
        <w:spacing w:line="360" w:lineRule="exact"/>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28CB9A44">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25E9EC5C">
      <w:pPr>
        <w:snapToGrid w:val="0"/>
        <w:spacing w:line="360" w:lineRule="exact"/>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1A1D4E1B">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714A1CA0">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3391684">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0021B17B">
      <w:pPr>
        <w:snapToGrid w:val="0"/>
        <w:spacing w:line="360" w:lineRule="exact"/>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7A261E6">
      <w:pPr>
        <w:snapToGrid w:val="0"/>
        <w:spacing w:line="360" w:lineRule="exact"/>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1B928076">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E56F0CD">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4860E2AE">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7E510DE">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39C4DE74">
      <w:pPr>
        <w:snapToGrid w:val="0"/>
        <w:spacing w:line="360" w:lineRule="exact"/>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w:t>
      </w:r>
    </w:p>
    <w:p w14:paraId="5096DEC2">
      <w:pPr>
        <w:snapToGrid w:val="0"/>
        <w:spacing w:line="360" w:lineRule="exact"/>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46EC916B">
      <w:pPr>
        <w:snapToGrid w:val="0"/>
        <w:spacing w:line="360" w:lineRule="exact"/>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7C9380A5">
      <w:pPr>
        <w:snapToGrid w:val="0"/>
        <w:spacing w:line="360" w:lineRule="exact"/>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1BB44C9">
      <w:pPr>
        <w:snapToGrid w:val="0"/>
        <w:spacing w:line="360" w:lineRule="exact"/>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484A9CD3">
      <w:pPr>
        <w:spacing w:line="360" w:lineRule="exact"/>
        <w:ind w:right="420"/>
        <w:rPr>
          <w:rFonts w:ascii="仿宋" w:hAnsi="仿宋" w:eastAsia="仿宋" w:cs="仿宋"/>
          <w:b/>
          <w:color w:val="auto"/>
          <w:spacing w:val="6"/>
          <w:sz w:val="32"/>
          <w:szCs w:val="32"/>
          <w:highlight w:val="none"/>
        </w:rPr>
      </w:pPr>
      <w:r>
        <w:rPr>
          <w:rFonts w:hint="eastAsia" w:ascii="仿宋" w:hAnsi="仿宋" w:eastAsia="仿宋" w:cs="仿宋"/>
          <w:color w:val="auto"/>
          <w:sz w:val="24"/>
          <w:highlight w:val="none"/>
        </w:rPr>
        <w:t>注：按本格式和要求提供。</w:t>
      </w:r>
    </w:p>
    <w:p w14:paraId="2F1BD739">
      <w:pPr>
        <w:spacing w:line="360" w:lineRule="auto"/>
        <w:jc w:val="left"/>
        <w:outlineLvl w:val="0"/>
        <w:rPr>
          <w:rFonts w:ascii="仿宋" w:hAnsi="仿宋" w:eastAsia="仿宋" w:cs="仿宋"/>
          <w:b/>
          <w:color w:val="auto"/>
          <w:sz w:val="36"/>
          <w:szCs w:val="20"/>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F5C2D01">
      <w:pPr>
        <w:spacing w:line="360" w:lineRule="auto"/>
        <w:jc w:val="left"/>
        <w:outlineLvl w:val="0"/>
        <w:rPr>
          <w:rFonts w:ascii="仿宋" w:hAnsi="仿宋" w:eastAsia="仿宋" w:cs="仿宋"/>
          <w:color w:val="auto"/>
          <w:sz w:val="24"/>
          <w:highlight w:val="none"/>
          <w:u w:val="single"/>
        </w:rPr>
      </w:pPr>
      <w:r>
        <w:rPr>
          <w:rFonts w:hint="eastAsia" w:ascii="仿宋" w:hAnsi="仿宋" w:eastAsia="仿宋" w:cs="仿宋"/>
          <w:b/>
          <w:color w:val="auto"/>
          <w:sz w:val="36"/>
          <w:szCs w:val="20"/>
          <w:highlight w:val="none"/>
        </w:rPr>
        <w:t>附件7：中小企业声明函</w:t>
      </w:r>
    </w:p>
    <w:p w14:paraId="1E377095">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4FE6C936">
      <w:pPr>
        <w:spacing w:line="360"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3C20896">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25D058E1">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44EE8947">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0E1544F5">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61032E83">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521C4AAE">
      <w:pPr>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2269CF0D">
      <w:pPr>
        <w:spacing w:line="360" w:lineRule="auto"/>
        <w:ind w:right="1120"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5038F765">
      <w:pPr>
        <w:spacing w:line="360" w:lineRule="auto"/>
        <w:ind w:firstLine="310" w:firstLineChars="147"/>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3477B715">
      <w:pPr>
        <w:ind w:right="42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70E5E825">
      <w:pPr>
        <w:pStyle w:val="319"/>
        <w:snapToGrid w:val="0"/>
        <w:spacing w:after="120" w:line="500" w:lineRule="exact"/>
        <w:jc w:val="center"/>
        <w:rPr>
          <w:rFonts w:ascii="仿宋" w:hAnsi="仿宋" w:eastAsia="仿宋" w:cs="方正小标宋简体"/>
          <w:b/>
          <w:color w:val="auto"/>
          <w:sz w:val="28"/>
          <w:szCs w:val="28"/>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534301D">
      <w:pPr>
        <w:pStyle w:val="319"/>
        <w:snapToGrid w:val="0"/>
        <w:spacing w:after="120" w:line="500" w:lineRule="exact"/>
        <w:jc w:val="center"/>
        <w:rPr>
          <w:rFonts w:ascii="仿宋" w:hAnsi="仿宋" w:eastAsia="仿宋"/>
          <w:color w:val="auto"/>
          <w:szCs w:val="21"/>
          <w:highlight w:val="none"/>
          <w:u w:val="single"/>
        </w:rPr>
      </w:pPr>
      <w:r>
        <w:rPr>
          <w:rFonts w:ascii="仿宋" w:hAnsi="仿宋" w:eastAsia="仿宋" w:cs="方正小标宋简体"/>
          <w:b/>
          <w:color w:val="auto"/>
          <w:sz w:val="28"/>
          <w:szCs w:val="28"/>
          <w:highlight w:val="none"/>
        </w:rPr>
        <w:t>政府采购活动现场确认声明书</w:t>
      </w:r>
    </w:p>
    <w:p w14:paraId="6E26B075">
      <w:pPr>
        <w:pStyle w:val="319"/>
        <w:adjustRightInd w:val="0"/>
        <w:snapToGrid w:val="0"/>
        <w:spacing w:after="120" w:line="360" w:lineRule="auto"/>
        <w:rPr>
          <w:rFonts w:ascii="仿宋" w:hAnsi="仿宋" w:eastAsia="仿宋"/>
          <w:b/>
          <w:color w:val="auto"/>
          <w:szCs w:val="21"/>
          <w:highlight w:val="none"/>
        </w:rPr>
      </w:pPr>
      <w:r>
        <w:rPr>
          <w:rFonts w:ascii="仿宋" w:hAnsi="仿宋" w:eastAsia="仿宋"/>
          <w:color w:val="auto"/>
          <w:spacing w:val="6"/>
          <w:szCs w:val="21"/>
          <w:highlight w:val="none"/>
          <w:u w:val="single"/>
        </w:rPr>
        <w:t xml:space="preserve">                 </w:t>
      </w:r>
      <w:r>
        <w:rPr>
          <w:rFonts w:ascii="仿宋" w:hAnsi="仿宋" w:eastAsia="仿宋"/>
          <w:color w:val="auto"/>
          <w:szCs w:val="21"/>
          <w:highlight w:val="none"/>
        </w:rPr>
        <w:t>：</w:t>
      </w:r>
    </w:p>
    <w:p w14:paraId="5D4C764F">
      <w:pPr>
        <w:pStyle w:val="319"/>
        <w:adjustRightInd w:val="0"/>
        <w:snapToGrid w:val="0"/>
        <w:spacing w:before="120" w:beforeLines="50" w:after="120" w:line="320" w:lineRule="exact"/>
        <w:ind w:firstLine="424" w:firstLineChars="200"/>
        <w:rPr>
          <w:rFonts w:ascii="仿宋" w:hAnsi="仿宋" w:eastAsia="仿宋"/>
          <w:color w:val="auto"/>
          <w:spacing w:val="6"/>
          <w:szCs w:val="21"/>
          <w:highlight w:val="none"/>
        </w:rPr>
      </w:pPr>
      <w:r>
        <w:rPr>
          <w:rFonts w:ascii="仿宋" w:hAnsi="仿宋" w:eastAsia="仿宋"/>
          <w:color w:val="auto"/>
          <w:spacing w:val="6"/>
          <w:szCs w:val="21"/>
          <w:highlight w:val="none"/>
        </w:rPr>
        <w:t>本人经由</w:t>
      </w:r>
      <w:r>
        <w:rPr>
          <w:rFonts w:ascii="仿宋" w:hAnsi="仿宋" w:eastAsia="仿宋"/>
          <w:color w:val="auto"/>
          <w:spacing w:val="6"/>
          <w:szCs w:val="21"/>
          <w:highlight w:val="none"/>
          <w:u w:val="single"/>
        </w:rPr>
        <w:t xml:space="preserve">                    （单位全称）</w:t>
      </w:r>
      <w:r>
        <w:rPr>
          <w:rFonts w:ascii="仿宋" w:hAnsi="仿宋" w:eastAsia="仿宋"/>
          <w:color w:val="auto"/>
          <w:spacing w:val="6"/>
          <w:szCs w:val="21"/>
          <w:highlight w:val="none"/>
        </w:rPr>
        <w:t>负责人</w:t>
      </w:r>
      <w:r>
        <w:rPr>
          <w:rFonts w:ascii="仿宋" w:hAnsi="仿宋" w:eastAsia="仿宋"/>
          <w:color w:val="auto"/>
          <w:spacing w:val="6"/>
          <w:szCs w:val="21"/>
          <w:highlight w:val="none"/>
          <w:u w:val="single"/>
        </w:rPr>
        <w:t xml:space="preserve">        （法人姓名）</w:t>
      </w:r>
      <w:r>
        <w:rPr>
          <w:rFonts w:ascii="仿宋" w:hAnsi="仿宋" w:eastAsia="仿宋"/>
          <w:color w:val="auto"/>
          <w:spacing w:val="6"/>
          <w:szCs w:val="21"/>
          <w:highlight w:val="none"/>
        </w:rPr>
        <w:t>合法授权参加</w:t>
      </w:r>
      <w:r>
        <w:rPr>
          <w:rFonts w:ascii="仿宋" w:hAnsi="仿宋" w:eastAsia="仿宋"/>
          <w:color w:val="auto"/>
          <w:spacing w:val="6"/>
          <w:szCs w:val="21"/>
          <w:highlight w:val="none"/>
          <w:u w:val="single"/>
        </w:rPr>
        <w:t xml:space="preserve">     </w:t>
      </w:r>
      <w:r>
        <w:rPr>
          <w:rFonts w:ascii="仿宋" w:hAnsi="仿宋" w:eastAsia="仿宋"/>
          <w:color w:val="auto"/>
          <w:spacing w:val="6"/>
          <w:szCs w:val="21"/>
          <w:highlight w:val="none"/>
        </w:rPr>
        <w:t>项目</w:t>
      </w:r>
      <w:r>
        <w:rPr>
          <w:rFonts w:ascii="仿宋" w:hAnsi="仿宋" w:eastAsia="仿宋"/>
          <w:color w:val="auto"/>
          <w:spacing w:val="6"/>
          <w:szCs w:val="21"/>
          <w:highlight w:val="none"/>
          <w:u w:val="single"/>
        </w:rPr>
        <w:t>（编号：        ）</w:t>
      </w:r>
      <w:r>
        <w:rPr>
          <w:rFonts w:ascii="仿宋" w:hAnsi="仿宋" w:eastAsia="仿宋"/>
          <w:color w:val="auto"/>
          <w:spacing w:val="6"/>
          <w:szCs w:val="21"/>
          <w:highlight w:val="none"/>
        </w:rPr>
        <w:t xml:space="preserve">政府采购活动，经与本单位法人代表（负责人）联系确认，现就有关公平竞争事项郑重声明如下： </w:t>
      </w:r>
    </w:p>
    <w:p w14:paraId="59638DA3">
      <w:pPr>
        <w:pStyle w:val="839"/>
        <w:widowControl/>
        <w:numPr>
          <w:ilvl w:val="0"/>
          <w:numId w:val="3"/>
        </w:numPr>
        <w:tabs>
          <w:tab w:val="clear" w:pos="8268"/>
        </w:tabs>
        <w:snapToGrid w:val="0"/>
        <w:spacing w:before="120" w:beforeLines="50" w:line="320" w:lineRule="exact"/>
        <w:ind w:firstLine="424" w:firstLineChars="202"/>
        <w:rPr>
          <w:rFonts w:ascii="仿宋" w:hAnsi="仿宋" w:eastAsia="仿宋"/>
          <w:color w:val="auto"/>
          <w:kern w:val="0"/>
          <w:sz w:val="21"/>
          <w:szCs w:val="21"/>
          <w:highlight w:val="none"/>
        </w:rPr>
      </w:pPr>
      <w:r>
        <w:rPr>
          <w:rFonts w:ascii="仿宋" w:hAnsi="仿宋" w:eastAsia="仿宋"/>
          <w:color w:val="auto"/>
          <w:kern w:val="0"/>
          <w:sz w:val="21"/>
          <w:szCs w:val="21"/>
          <w:highlight w:val="none"/>
        </w:rPr>
        <w:t xml:space="preserve">本单位与采购人之间 </w:t>
      </w:r>
      <w:r>
        <w:rPr>
          <w:rFonts w:ascii="仿宋" w:hAnsi="仿宋" w:eastAsia="仿宋" w:cs="宋体"/>
          <w:color w:val="auto"/>
          <w:kern w:val="0"/>
          <w:sz w:val="21"/>
          <w:szCs w:val="21"/>
          <w:highlight w:val="none"/>
        </w:rPr>
        <w:t>□</w:t>
      </w:r>
      <w:r>
        <w:rPr>
          <w:rFonts w:ascii="仿宋" w:hAnsi="仿宋" w:eastAsia="仿宋"/>
          <w:color w:val="auto"/>
          <w:kern w:val="0"/>
          <w:sz w:val="21"/>
          <w:szCs w:val="21"/>
          <w:highlight w:val="none"/>
        </w:rPr>
        <w:t xml:space="preserve">不存在利害关系 </w:t>
      </w:r>
      <w:r>
        <w:rPr>
          <w:rFonts w:ascii="仿宋" w:hAnsi="仿宋" w:eastAsia="仿宋" w:cs="宋体"/>
          <w:color w:val="auto"/>
          <w:kern w:val="0"/>
          <w:sz w:val="21"/>
          <w:szCs w:val="21"/>
          <w:highlight w:val="none"/>
        </w:rPr>
        <w:t>□</w:t>
      </w:r>
      <w:r>
        <w:rPr>
          <w:rFonts w:ascii="仿宋" w:hAnsi="仿宋" w:eastAsia="仿宋"/>
          <w:color w:val="auto"/>
          <w:kern w:val="0"/>
          <w:sz w:val="21"/>
          <w:szCs w:val="21"/>
          <w:highlight w:val="none"/>
        </w:rPr>
        <w:t>存在下列利害关系</w:t>
      </w:r>
      <w:r>
        <w:rPr>
          <w:rFonts w:ascii="仿宋" w:hAnsi="仿宋" w:eastAsia="仿宋"/>
          <w:color w:val="auto"/>
          <w:kern w:val="0"/>
          <w:sz w:val="21"/>
          <w:szCs w:val="21"/>
          <w:highlight w:val="none"/>
          <w:u w:val="single"/>
        </w:rPr>
        <w:t xml:space="preserve">           </w:t>
      </w:r>
      <w:r>
        <w:rPr>
          <w:rFonts w:ascii="仿宋" w:hAnsi="仿宋" w:eastAsia="仿宋"/>
          <w:color w:val="auto"/>
          <w:kern w:val="0"/>
          <w:sz w:val="21"/>
          <w:szCs w:val="21"/>
          <w:highlight w:val="none"/>
        </w:rPr>
        <w:t>：</w:t>
      </w:r>
    </w:p>
    <w:p w14:paraId="5B3D975B">
      <w:pPr>
        <w:pStyle w:val="839"/>
        <w:widowControl/>
        <w:snapToGrid w:val="0"/>
        <w:spacing w:before="120" w:beforeLines="50" w:line="320" w:lineRule="exact"/>
        <w:ind w:firstLine="424" w:firstLineChars="202"/>
        <w:rPr>
          <w:rFonts w:ascii="仿宋" w:hAnsi="仿宋" w:eastAsia="仿宋"/>
          <w:color w:val="auto"/>
          <w:kern w:val="0"/>
          <w:sz w:val="21"/>
          <w:szCs w:val="21"/>
          <w:highlight w:val="none"/>
        </w:rPr>
      </w:pPr>
      <w:r>
        <w:rPr>
          <w:rFonts w:ascii="仿宋" w:hAnsi="仿宋" w:eastAsia="仿宋"/>
          <w:color w:val="auto"/>
          <w:kern w:val="0"/>
          <w:sz w:val="21"/>
          <w:szCs w:val="21"/>
          <w:highlight w:val="none"/>
        </w:rPr>
        <w:t>A.投资关系    B.行政隶属关系    C.业务指导关系</w:t>
      </w:r>
    </w:p>
    <w:p w14:paraId="64E46289">
      <w:pPr>
        <w:pStyle w:val="839"/>
        <w:widowControl/>
        <w:snapToGrid w:val="0"/>
        <w:spacing w:before="120" w:beforeLines="50" w:line="320" w:lineRule="exact"/>
        <w:ind w:firstLine="424" w:firstLineChars="202"/>
        <w:rPr>
          <w:rFonts w:ascii="仿宋" w:hAnsi="仿宋" w:eastAsia="仿宋"/>
          <w:color w:val="auto"/>
          <w:kern w:val="0"/>
          <w:sz w:val="21"/>
          <w:szCs w:val="21"/>
          <w:highlight w:val="none"/>
        </w:rPr>
      </w:pPr>
      <w:r>
        <w:rPr>
          <w:rFonts w:ascii="仿宋" w:hAnsi="仿宋" w:eastAsia="仿宋"/>
          <w:color w:val="auto"/>
          <w:kern w:val="0"/>
          <w:sz w:val="21"/>
          <w:szCs w:val="21"/>
          <w:highlight w:val="none"/>
        </w:rPr>
        <w:t>D.其他可能</w:t>
      </w:r>
      <w:r>
        <w:rPr>
          <w:rFonts w:ascii="仿宋" w:hAnsi="仿宋" w:eastAsia="仿宋"/>
          <w:color w:val="auto"/>
          <w:sz w:val="21"/>
          <w:szCs w:val="21"/>
          <w:highlight w:val="none"/>
        </w:rPr>
        <w:t>影响采购公正的</w:t>
      </w:r>
      <w:r>
        <w:rPr>
          <w:rFonts w:ascii="仿宋" w:hAnsi="仿宋" w:eastAsia="仿宋"/>
          <w:color w:val="auto"/>
          <w:kern w:val="0"/>
          <w:sz w:val="21"/>
          <w:szCs w:val="21"/>
          <w:highlight w:val="none"/>
        </w:rPr>
        <w:t>利害关系</w:t>
      </w:r>
      <w:r>
        <w:rPr>
          <w:rFonts w:ascii="仿宋" w:hAnsi="仿宋" w:eastAsia="仿宋"/>
          <w:color w:val="auto"/>
          <w:kern w:val="0"/>
          <w:sz w:val="21"/>
          <w:szCs w:val="21"/>
          <w:highlight w:val="none"/>
          <w:u w:val="single"/>
        </w:rPr>
        <w:t xml:space="preserve">（如有，请如实说明）                 </w:t>
      </w:r>
      <w:r>
        <w:rPr>
          <w:rFonts w:ascii="仿宋" w:hAnsi="仿宋" w:eastAsia="仿宋"/>
          <w:color w:val="auto"/>
          <w:kern w:val="0"/>
          <w:sz w:val="21"/>
          <w:szCs w:val="21"/>
          <w:highlight w:val="none"/>
        </w:rPr>
        <w:t>。</w:t>
      </w:r>
    </w:p>
    <w:p w14:paraId="28A511DD">
      <w:pPr>
        <w:pStyle w:val="839"/>
        <w:widowControl/>
        <w:snapToGrid w:val="0"/>
        <w:spacing w:before="120" w:beforeLines="50" w:line="320" w:lineRule="exact"/>
        <w:ind w:firstLine="448" w:firstLineChars="202"/>
        <w:rPr>
          <w:rFonts w:ascii="仿宋" w:hAnsi="仿宋" w:eastAsia="仿宋"/>
          <w:color w:val="auto"/>
          <w:kern w:val="0"/>
          <w:sz w:val="21"/>
          <w:szCs w:val="21"/>
          <w:highlight w:val="none"/>
        </w:rPr>
      </w:pPr>
      <w:r>
        <w:rPr>
          <w:rFonts w:ascii="仿宋" w:hAnsi="仿宋" w:eastAsia="仿宋"/>
          <w:color w:val="auto"/>
          <w:spacing w:val="6"/>
          <w:sz w:val="21"/>
          <w:szCs w:val="21"/>
          <w:highlight w:val="none"/>
        </w:rPr>
        <w:t>二、</w:t>
      </w:r>
      <w:r>
        <w:rPr>
          <w:rFonts w:ascii="仿宋" w:hAnsi="仿宋" w:eastAsia="仿宋"/>
          <w:color w:val="auto"/>
          <w:kern w:val="0"/>
          <w:sz w:val="21"/>
          <w:szCs w:val="21"/>
          <w:highlight w:val="none"/>
        </w:rPr>
        <w:t xml:space="preserve">现已清楚知道参加本项目采购活动的其他所有供应商名称，本单位 </w:t>
      </w:r>
      <w:r>
        <w:rPr>
          <w:rFonts w:ascii="仿宋" w:hAnsi="仿宋" w:eastAsia="仿宋" w:cs="宋体"/>
          <w:color w:val="auto"/>
          <w:kern w:val="0"/>
          <w:sz w:val="21"/>
          <w:szCs w:val="21"/>
          <w:highlight w:val="none"/>
        </w:rPr>
        <w:t>□与其他所有供应商之间均</w:t>
      </w:r>
      <w:r>
        <w:rPr>
          <w:rFonts w:ascii="仿宋" w:hAnsi="仿宋" w:eastAsia="仿宋"/>
          <w:color w:val="auto"/>
          <w:kern w:val="0"/>
          <w:sz w:val="21"/>
          <w:szCs w:val="21"/>
          <w:highlight w:val="none"/>
        </w:rPr>
        <w:t>不存在利害关系</w:t>
      </w:r>
      <w:r>
        <w:rPr>
          <w:rFonts w:ascii="仿宋" w:hAnsi="仿宋" w:eastAsia="仿宋" w:cs="宋体"/>
          <w:color w:val="auto"/>
          <w:kern w:val="0"/>
          <w:sz w:val="21"/>
          <w:szCs w:val="21"/>
          <w:highlight w:val="none"/>
        </w:rPr>
        <w:t>□与</w:t>
      </w:r>
      <w:r>
        <w:rPr>
          <w:rFonts w:ascii="仿宋" w:hAnsi="仿宋" w:eastAsia="仿宋" w:cs="宋体"/>
          <w:color w:val="auto"/>
          <w:kern w:val="0"/>
          <w:sz w:val="21"/>
          <w:szCs w:val="21"/>
          <w:highlight w:val="none"/>
          <w:u w:val="single"/>
        </w:rPr>
        <w:t xml:space="preserve">           （供应商名称）</w:t>
      </w:r>
      <w:r>
        <w:rPr>
          <w:rFonts w:ascii="仿宋" w:hAnsi="仿宋" w:eastAsia="仿宋" w:cs="宋体"/>
          <w:color w:val="auto"/>
          <w:kern w:val="0"/>
          <w:sz w:val="21"/>
          <w:szCs w:val="21"/>
          <w:highlight w:val="none"/>
        </w:rPr>
        <w:t>之间</w:t>
      </w:r>
      <w:r>
        <w:rPr>
          <w:rFonts w:ascii="仿宋" w:hAnsi="仿宋" w:eastAsia="仿宋"/>
          <w:color w:val="auto"/>
          <w:kern w:val="0"/>
          <w:sz w:val="21"/>
          <w:szCs w:val="21"/>
          <w:highlight w:val="none"/>
        </w:rPr>
        <w:t>存在下列利害关系</w:t>
      </w:r>
      <w:r>
        <w:rPr>
          <w:rFonts w:ascii="仿宋" w:hAnsi="仿宋" w:eastAsia="仿宋"/>
          <w:color w:val="auto"/>
          <w:kern w:val="0"/>
          <w:sz w:val="21"/>
          <w:szCs w:val="21"/>
          <w:highlight w:val="none"/>
          <w:u w:val="single"/>
        </w:rPr>
        <w:t xml:space="preserve">          </w:t>
      </w:r>
      <w:r>
        <w:rPr>
          <w:rFonts w:ascii="仿宋" w:hAnsi="仿宋" w:eastAsia="仿宋"/>
          <w:color w:val="auto"/>
          <w:kern w:val="0"/>
          <w:sz w:val="21"/>
          <w:szCs w:val="21"/>
          <w:highlight w:val="none"/>
        </w:rPr>
        <w:t>：</w:t>
      </w:r>
    </w:p>
    <w:p w14:paraId="5FAB1AEF">
      <w:pPr>
        <w:pStyle w:val="319"/>
        <w:adjustRightInd w:val="0"/>
        <w:snapToGrid w:val="0"/>
        <w:spacing w:after="120" w:line="360" w:lineRule="auto"/>
        <w:ind w:firstLine="400" w:firstLineChars="200"/>
        <w:rPr>
          <w:rFonts w:ascii="仿宋" w:hAnsi="仿宋" w:eastAsia="仿宋"/>
          <w:color w:val="auto"/>
          <w:szCs w:val="21"/>
          <w:highlight w:val="none"/>
        </w:rPr>
      </w:pPr>
      <w:r>
        <w:rPr>
          <w:rFonts w:ascii="仿宋" w:hAnsi="仿宋" w:eastAsia="仿宋"/>
          <w:color w:val="auto"/>
          <w:szCs w:val="21"/>
          <w:highlight w:val="none"/>
        </w:rPr>
        <w:t>A.法定代表人或负责人或实际控制人是同一人</w:t>
      </w:r>
    </w:p>
    <w:p w14:paraId="42351FE3">
      <w:pPr>
        <w:pStyle w:val="319"/>
        <w:adjustRightInd w:val="0"/>
        <w:snapToGrid w:val="0"/>
        <w:spacing w:after="120" w:line="360" w:lineRule="auto"/>
        <w:ind w:firstLine="400" w:firstLineChars="200"/>
        <w:rPr>
          <w:rFonts w:ascii="仿宋" w:hAnsi="仿宋" w:eastAsia="仿宋"/>
          <w:color w:val="auto"/>
          <w:spacing w:val="6"/>
          <w:szCs w:val="21"/>
          <w:highlight w:val="none"/>
        </w:rPr>
      </w:pPr>
      <w:r>
        <w:rPr>
          <w:rFonts w:ascii="仿宋" w:hAnsi="仿宋" w:eastAsia="仿宋"/>
          <w:color w:val="auto"/>
          <w:szCs w:val="21"/>
          <w:highlight w:val="none"/>
        </w:rPr>
        <w:t>B.法定代表人或负责人或实际控制人是夫妻关系</w:t>
      </w:r>
    </w:p>
    <w:p w14:paraId="0B1511DF">
      <w:pPr>
        <w:pStyle w:val="319"/>
        <w:adjustRightInd w:val="0"/>
        <w:snapToGrid w:val="0"/>
        <w:spacing w:after="120" w:line="360" w:lineRule="auto"/>
        <w:ind w:firstLine="400" w:firstLineChars="200"/>
        <w:rPr>
          <w:rFonts w:ascii="仿宋" w:hAnsi="仿宋" w:eastAsia="仿宋"/>
          <w:color w:val="auto"/>
          <w:spacing w:val="6"/>
          <w:szCs w:val="21"/>
          <w:highlight w:val="none"/>
        </w:rPr>
      </w:pPr>
      <w:r>
        <w:rPr>
          <w:rFonts w:ascii="仿宋" w:hAnsi="仿宋" w:eastAsia="仿宋"/>
          <w:color w:val="auto"/>
          <w:szCs w:val="21"/>
          <w:highlight w:val="none"/>
        </w:rPr>
        <w:t>C.法定代表人或负责人或实际控制人是直系血亲关系</w:t>
      </w:r>
    </w:p>
    <w:p w14:paraId="425B59A6">
      <w:pPr>
        <w:pStyle w:val="319"/>
        <w:adjustRightInd w:val="0"/>
        <w:snapToGrid w:val="0"/>
        <w:spacing w:after="120" w:line="360" w:lineRule="auto"/>
        <w:ind w:firstLine="400" w:firstLineChars="200"/>
        <w:rPr>
          <w:rFonts w:ascii="仿宋" w:hAnsi="仿宋" w:eastAsia="仿宋"/>
          <w:color w:val="auto"/>
          <w:spacing w:val="6"/>
          <w:szCs w:val="21"/>
          <w:highlight w:val="none"/>
        </w:rPr>
      </w:pPr>
      <w:r>
        <w:rPr>
          <w:rFonts w:ascii="仿宋" w:hAnsi="仿宋" w:eastAsia="仿宋"/>
          <w:color w:val="auto"/>
          <w:szCs w:val="21"/>
          <w:highlight w:val="none"/>
        </w:rPr>
        <w:t>D.法定代表人或负责人或实际控制人存在三代以内旁系血亲关系</w:t>
      </w:r>
    </w:p>
    <w:p w14:paraId="458B13A4">
      <w:pPr>
        <w:pStyle w:val="319"/>
        <w:adjustRightInd w:val="0"/>
        <w:snapToGrid w:val="0"/>
        <w:spacing w:after="120" w:line="360" w:lineRule="auto"/>
        <w:ind w:firstLine="400" w:firstLineChars="200"/>
        <w:rPr>
          <w:rFonts w:ascii="仿宋" w:hAnsi="仿宋" w:eastAsia="仿宋"/>
          <w:color w:val="auto"/>
          <w:szCs w:val="21"/>
          <w:highlight w:val="none"/>
        </w:rPr>
      </w:pPr>
      <w:r>
        <w:rPr>
          <w:rFonts w:ascii="仿宋" w:hAnsi="仿宋" w:eastAsia="仿宋"/>
          <w:color w:val="auto"/>
          <w:szCs w:val="21"/>
          <w:highlight w:val="none"/>
        </w:rPr>
        <w:t>E.法定代表人或负责人或实际控制人存在近姻亲关系</w:t>
      </w:r>
    </w:p>
    <w:p w14:paraId="037D485C">
      <w:pPr>
        <w:pStyle w:val="319"/>
        <w:adjustRightInd w:val="0"/>
        <w:snapToGrid w:val="0"/>
        <w:spacing w:after="120" w:line="360" w:lineRule="auto"/>
        <w:ind w:firstLine="400" w:firstLineChars="200"/>
        <w:rPr>
          <w:rFonts w:ascii="仿宋" w:hAnsi="仿宋" w:eastAsia="仿宋"/>
          <w:color w:val="auto"/>
          <w:szCs w:val="21"/>
          <w:highlight w:val="none"/>
        </w:rPr>
      </w:pPr>
      <w:r>
        <w:rPr>
          <w:rFonts w:ascii="仿宋" w:hAnsi="仿宋" w:eastAsia="仿宋"/>
          <w:color w:val="auto"/>
          <w:szCs w:val="21"/>
          <w:highlight w:val="none"/>
        </w:rPr>
        <w:t>F.法定代表人或负责人或实际控制人存在股份控制或实际控制关系</w:t>
      </w:r>
    </w:p>
    <w:p w14:paraId="784D935C">
      <w:pPr>
        <w:pStyle w:val="319"/>
        <w:adjustRightInd w:val="0"/>
        <w:snapToGrid w:val="0"/>
        <w:spacing w:after="120" w:line="360" w:lineRule="auto"/>
        <w:ind w:firstLine="400" w:firstLineChars="200"/>
        <w:rPr>
          <w:rFonts w:ascii="仿宋" w:hAnsi="仿宋" w:eastAsia="仿宋"/>
          <w:color w:val="auto"/>
          <w:szCs w:val="21"/>
          <w:highlight w:val="none"/>
        </w:rPr>
      </w:pPr>
      <w:r>
        <w:rPr>
          <w:rFonts w:ascii="仿宋" w:hAnsi="仿宋" w:eastAsia="仿宋"/>
          <w:color w:val="auto"/>
          <w:szCs w:val="21"/>
          <w:highlight w:val="none"/>
        </w:rPr>
        <w:t>G.存在共同直接或间接投资设立子公司、联营企业和合营企业情况</w:t>
      </w:r>
    </w:p>
    <w:p w14:paraId="531B3B7D">
      <w:pPr>
        <w:pStyle w:val="319"/>
        <w:adjustRightInd w:val="0"/>
        <w:snapToGrid w:val="0"/>
        <w:spacing w:after="120" w:line="360" w:lineRule="auto"/>
        <w:ind w:firstLine="400" w:firstLineChars="200"/>
        <w:rPr>
          <w:rFonts w:ascii="仿宋" w:hAnsi="仿宋" w:eastAsia="仿宋"/>
          <w:color w:val="auto"/>
          <w:szCs w:val="21"/>
          <w:highlight w:val="none"/>
        </w:rPr>
      </w:pPr>
      <w:r>
        <w:rPr>
          <w:rFonts w:ascii="仿宋" w:hAnsi="仿宋" w:eastAsia="仿宋"/>
          <w:color w:val="auto"/>
          <w:szCs w:val="21"/>
          <w:highlight w:val="none"/>
        </w:rPr>
        <w:t>H.存在分级代理或代销关系、同一生产制造商关系、管理关系、重要业务（占主营业务收入50%以上）或重要财务往来关系（如融资）等其他实质性控制关系</w:t>
      </w:r>
    </w:p>
    <w:p w14:paraId="56C6090B">
      <w:pPr>
        <w:pStyle w:val="319"/>
        <w:adjustRightInd w:val="0"/>
        <w:snapToGrid w:val="0"/>
        <w:spacing w:after="120" w:line="360" w:lineRule="auto"/>
        <w:ind w:firstLine="400" w:firstLineChars="200"/>
        <w:rPr>
          <w:rFonts w:ascii="仿宋" w:hAnsi="仿宋" w:eastAsia="仿宋"/>
          <w:color w:val="auto"/>
          <w:spacing w:val="6"/>
          <w:szCs w:val="21"/>
          <w:highlight w:val="none"/>
        </w:rPr>
      </w:pPr>
      <w:r>
        <w:rPr>
          <w:rFonts w:ascii="仿宋" w:hAnsi="仿宋" w:eastAsia="仿宋"/>
          <w:color w:val="auto"/>
          <w:szCs w:val="21"/>
          <w:highlight w:val="none"/>
        </w:rPr>
        <w:t>I.其他利害关系情况</w:t>
      </w:r>
      <w:r>
        <w:rPr>
          <w:rFonts w:ascii="仿宋" w:hAnsi="仿宋" w:eastAsia="仿宋"/>
          <w:color w:val="auto"/>
          <w:szCs w:val="21"/>
          <w:highlight w:val="none"/>
          <w:u w:val="single"/>
        </w:rPr>
        <w:t xml:space="preserve">                              </w:t>
      </w:r>
      <w:r>
        <w:rPr>
          <w:rFonts w:ascii="仿宋" w:hAnsi="仿宋" w:eastAsia="仿宋"/>
          <w:color w:val="auto"/>
          <w:szCs w:val="21"/>
          <w:highlight w:val="none"/>
        </w:rPr>
        <w:t>。</w:t>
      </w:r>
    </w:p>
    <w:p w14:paraId="0655D4A6">
      <w:pPr>
        <w:pStyle w:val="839"/>
        <w:widowControl/>
        <w:numPr>
          <w:ilvl w:val="0"/>
          <w:numId w:val="4"/>
        </w:numPr>
        <w:tabs>
          <w:tab w:val="clear" w:pos="8268"/>
        </w:tabs>
        <w:snapToGrid w:val="0"/>
        <w:spacing w:after="120" w:line="360" w:lineRule="auto"/>
        <w:ind w:firstLine="396" w:firstLineChars="189"/>
        <w:rPr>
          <w:rFonts w:ascii="仿宋" w:hAnsi="仿宋" w:eastAsia="仿宋"/>
          <w:color w:val="auto"/>
          <w:kern w:val="0"/>
          <w:sz w:val="21"/>
          <w:szCs w:val="21"/>
          <w:highlight w:val="none"/>
        </w:rPr>
      </w:pPr>
      <w:r>
        <w:rPr>
          <w:rFonts w:ascii="仿宋" w:hAnsi="仿宋" w:eastAsia="仿宋"/>
          <w:color w:val="auto"/>
          <w:sz w:val="21"/>
          <w:szCs w:val="21"/>
          <w:highlight w:val="none"/>
        </w:rPr>
        <w:t>现已清楚知道并</w:t>
      </w:r>
      <w:r>
        <w:rPr>
          <w:rFonts w:ascii="仿宋" w:hAnsi="仿宋" w:eastAsia="仿宋"/>
          <w:color w:val="auto"/>
          <w:kern w:val="0"/>
          <w:sz w:val="21"/>
          <w:szCs w:val="21"/>
          <w:highlight w:val="none"/>
        </w:rPr>
        <w:t>严格遵守政府采购法律法规和现场纪律。</w:t>
      </w:r>
    </w:p>
    <w:p w14:paraId="25CB9C21">
      <w:pPr>
        <w:pStyle w:val="839"/>
        <w:widowControl/>
        <w:numPr>
          <w:ilvl w:val="0"/>
          <w:numId w:val="4"/>
        </w:numPr>
        <w:tabs>
          <w:tab w:val="clear" w:pos="8268"/>
        </w:tabs>
        <w:snapToGrid w:val="0"/>
        <w:spacing w:after="120" w:line="360" w:lineRule="auto"/>
        <w:ind w:firstLine="396" w:firstLineChars="189"/>
        <w:rPr>
          <w:rFonts w:ascii="仿宋" w:hAnsi="仿宋" w:eastAsia="仿宋"/>
          <w:color w:val="auto"/>
          <w:kern w:val="0"/>
          <w:sz w:val="21"/>
          <w:szCs w:val="21"/>
          <w:highlight w:val="none"/>
        </w:rPr>
      </w:pPr>
      <w:r>
        <w:rPr>
          <w:rFonts w:ascii="仿宋" w:hAnsi="仿宋" w:eastAsia="仿宋"/>
          <w:color w:val="auto"/>
          <w:kern w:val="0"/>
          <w:sz w:val="21"/>
          <w:szCs w:val="21"/>
          <w:highlight w:val="none"/>
        </w:rPr>
        <w:t>我发现</w:t>
      </w:r>
      <w:r>
        <w:rPr>
          <w:rFonts w:ascii="仿宋" w:hAnsi="仿宋" w:eastAsia="仿宋"/>
          <w:color w:val="auto"/>
          <w:kern w:val="0"/>
          <w:sz w:val="21"/>
          <w:szCs w:val="21"/>
          <w:highlight w:val="none"/>
          <w:u w:val="single"/>
        </w:rPr>
        <w:t xml:space="preserve">                    </w:t>
      </w:r>
      <w:r>
        <w:rPr>
          <w:rFonts w:ascii="仿宋" w:hAnsi="仿宋" w:eastAsia="仿宋"/>
          <w:color w:val="auto"/>
          <w:kern w:val="0"/>
          <w:sz w:val="21"/>
          <w:szCs w:val="21"/>
          <w:highlight w:val="none"/>
        </w:rPr>
        <w:t>供应商之间存在或可能存在上述第二条第</w:t>
      </w:r>
      <w:r>
        <w:rPr>
          <w:rFonts w:ascii="仿宋" w:hAnsi="仿宋" w:eastAsia="仿宋"/>
          <w:color w:val="auto"/>
          <w:kern w:val="0"/>
          <w:sz w:val="21"/>
          <w:szCs w:val="21"/>
          <w:highlight w:val="none"/>
          <w:u w:val="single"/>
        </w:rPr>
        <w:t xml:space="preserve">        </w:t>
      </w:r>
      <w:r>
        <w:rPr>
          <w:rFonts w:ascii="仿宋" w:hAnsi="仿宋" w:eastAsia="仿宋"/>
          <w:color w:val="auto"/>
          <w:kern w:val="0"/>
          <w:sz w:val="21"/>
          <w:szCs w:val="21"/>
          <w:highlight w:val="none"/>
        </w:rPr>
        <w:t>项利害关系。</w:t>
      </w:r>
    </w:p>
    <w:p w14:paraId="0F315DD5">
      <w:pPr>
        <w:pStyle w:val="839"/>
        <w:widowControl/>
        <w:numPr>
          <w:ilvl w:val="0"/>
          <w:numId w:val="4"/>
        </w:numPr>
        <w:tabs>
          <w:tab w:val="clear" w:pos="8268"/>
        </w:tabs>
        <w:snapToGrid w:val="0"/>
        <w:spacing w:after="120" w:line="360" w:lineRule="auto"/>
        <w:ind w:firstLine="396" w:firstLineChars="189"/>
        <w:rPr>
          <w:rFonts w:ascii="仿宋" w:hAnsi="仿宋" w:eastAsia="仿宋"/>
          <w:color w:val="auto"/>
          <w:kern w:val="0"/>
          <w:sz w:val="21"/>
          <w:szCs w:val="21"/>
          <w:highlight w:val="none"/>
        </w:rPr>
      </w:pPr>
      <w:r>
        <w:rPr>
          <w:rFonts w:ascii="仿宋" w:hAnsi="仿宋" w:eastAsia="仿宋"/>
          <w:color w:val="auto"/>
          <w:kern w:val="0"/>
          <w:sz w:val="21"/>
          <w:szCs w:val="21"/>
          <w:highlight w:val="none"/>
        </w:rPr>
        <w:t>经检查确认所有供应商投标文件</w:t>
      </w:r>
      <w:r>
        <w:rPr>
          <w:rFonts w:ascii="仿宋" w:hAnsi="仿宋" w:eastAsia="仿宋" w:cs="宋体"/>
          <w:color w:val="auto"/>
          <w:kern w:val="0"/>
          <w:sz w:val="21"/>
          <w:szCs w:val="21"/>
          <w:highlight w:val="none"/>
        </w:rPr>
        <w:t>□</w:t>
      </w:r>
      <w:r>
        <w:rPr>
          <w:rFonts w:ascii="仿宋" w:hAnsi="仿宋" w:eastAsia="仿宋"/>
          <w:color w:val="auto"/>
          <w:kern w:val="0"/>
          <w:sz w:val="21"/>
          <w:szCs w:val="21"/>
          <w:highlight w:val="none"/>
        </w:rPr>
        <w:t xml:space="preserve">不存在密封包装问题  </w:t>
      </w:r>
      <w:r>
        <w:rPr>
          <w:rFonts w:ascii="仿宋" w:hAnsi="仿宋" w:eastAsia="仿宋" w:cs="宋体"/>
          <w:color w:val="auto"/>
          <w:kern w:val="0"/>
          <w:sz w:val="21"/>
          <w:szCs w:val="21"/>
          <w:highlight w:val="none"/>
        </w:rPr>
        <w:t>□</w:t>
      </w:r>
      <w:r>
        <w:rPr>
          <w:rFonts w:ascii="仿宋" w:hAnsi="仿宋" w:eastAsia="仿宋"/>
          <w:color w:val="auto"/>
          <w:kern w:val="0"/>
          <w:sz w:val="21"/>
          <w:szCs w:val="21"/>
          <w:highlight w:val="none"/>
        </w:rPr>
        <w:t>存在密封包装问题（具体指出）</w:t>
      </w:r>
      <w:r>
        <w:rPr>
          <w:rFonts w:ascii="仿宋" w:hAnsi="仿宋" w:eastAsia="仿宋"/>
          <w:color w:val="auto"/>
          <w:kern w:val="0"/>
          <w:sz w:val="21"/>
          <w:szCs w:val="21"/>
          <w:highlight w:val="none"/>
          <w:u w:val="single"/>
        </w:rPr>
        <w:t xml:space="preserve">                            </w:t>
      </w:r>
      <w:r>
        <w:rPr>
          <w:rFonts w:ascii="仿宋" w:hAnsi="仿宋" w:eastAsia="仿宋"/>
          <w:color w:val="auto"/>
          <w:kern w:val="0"/>
          <w:sz w:val="21"/>
          <w:szCs w:val="21"/>
          <w:highlight w:val="none"/>
        </w:rPr>
        <w:t>。</w:t>
      </w:r>
    </w:p>
    <w:p w14:paraId="73E95E90">
      <w:pPr>
        <w:pStyle w:val="319"/>
        <w:adjustRightInd w:val="0"/>
        <w:snapToGrid w:val="0"/>
        <w:spacing w:after="120" w:line="360" w:lineRule="auto"/>
        <w:ind w:firstLine="4200" w:firstLineChars="2100"/>
        <w:rPr>
          <w:rFonts w:ascii="仿宋" w:hAnsi="仿宋" w:eastAsia="仿宋"/>
          <w:color w:val="auto"/>
          <w:szCs w:val="21"/>
          <w:highlight w:val="none"/>
        </w:rPr>
      </w:pPr>
      <w:r>
        <w:rPr>
          <w:rFonts w:ascii="仿宋" w:hAnsi="仿宋" w:eastAsia="仿宋"/>
          <w:color w:val="auto"/>
          <w:szCs w:val="21"/>
          <w:highlight w:val="none"/>
        </w:rPr>
        <w:t>（供应商代表签名）</w:t>
      </w:r>
    </w:p>
    <w:p w14:paraId="5ADD9E44">
      <w:pPr>
        <w:ind w:right="840" w:firstLine="480"/>
        <w:jc w:val="right"/>
        <w:rPr>
          <w:rFonts w:ascii="仿宋" w:hAnsi="仿宋" w:eastAsia="仿宋"/>
          <w:color w:val="auto"/>
          <w:szCs w:val="21"/>
          <w:highlight w:val="none"/>
        </w:rPr>
      </w:pPr>
      <w:r>
        <w:rPr>
          <w:rFonts w:ascii="仿宋" w:hAnsi="仿宋" w:eastAsia="仿宋"/>
          <w:color w:val="auto"/>
          <w:szCs w:val="21"/>
          <w:highlight w:val="none"/>
        </w:rPr>
        <w:t>年</w:t>
      </w:r>
      <w:r>
        <w:rPr>
          <w:rFonts w:hint="eastAsia" w:ascii="仿宋" w:hAnsi="仿宋" w:eastAsia="仿宋"/>
          <w:color w:val="auto"/>
          <w:szCs w:val="21"/>
          <w:highlight w:val="none"/>
        </w:rPr>
        <w:t xml:space="preserve">  </w:t>
      </w:r>
      <w:r>
        <w:rPr>
          <w:rFonts w:ascii="仿宋" w:hAnsi="仿宋" w:eastAsia="仿宋"/>
          <w:color w:val="auto"/>
          <w:szCs w:val="21"/>
          <w:highlight w:val="none"/>
        </w:rPr>
        <w:t>月</w:t>
      </w:r>
      <w:r>
        <w:rPr>
          <w:rFonts w:hint="eastAsia" w:ascii="仿宋" w:hAnsi="仿宋" w:eastAsia="仿宋"/>
          <w:color w:val="auto"/>
          <w:szCs w:val="21"/>
          <w:highlight w:val="none"/>
        </w:rPr>
        <w:t xml:space="preserve">  </w:t>
      </w:r>
      <w:r>
        <w:rPr>
          <w:rFonts w:ascii="仿宋" w:hAnsi="仿宋" w:eastAsia="仿宋"/>
          <w:color w:val="auto"/>
          <w:szCs w:val="21"/>
          <w:highlight w:val="none"/>
        </w:rPr>
        <w:t>日</w:t>
      </w:r>
    </w:p>
    <w:p w14:paraId="7B8E6155">
      <w:pPr>
        <w:snapToGrid w:val="0"/>
        <w:spacing w:line="360" w:lineRule="auto"/>
        <w:rPr>
          <w:rFonts w:hint="eastAsia" w:ascii="仿宋" w:hAnsi="仿宋" w:eastAsia="仿宋"/>
          <w:b/>
          <w:color w:val="auto"/>
          <w:szCs w:val="21"/>
          <w:highlight w:val="none"/>
        </w:rPr>
      </w:pPr>
    </w:p>
    <w:p w14:paraId="030D7C89">
      <w:pPr>
        <w:snapToGrid w:val="0"/>
        <w:spacing w:line="360" w:lineRule="auto"/>
        <w:rPr>
          <w:rFonts w:hint="eastAsia" w:ascii="仿宋" w:hAnsi="仿宋" w:eastAsia="仿宋"/>
          <w:b/>
          <w:color w:val="auto"/>
          <w:szCs w:val="21"/>
          <w:highlight w:val="none"/>
          <w:lang w:val="en-US" w:eastAsia="zh-CN"/>
        </w:rPr>
      </w:pPr>
      <w:r>
        <w:rPr>
          <w:rFonts w:hint="eastAsia" w:ascii="仿宋" w:hAnsi="仿宋" w:eastAsia="仿宋"/>
          <w:b/>
          <w:color w:val="auto"/>
          <w:szCs w:val="21"/>
          <w:highlight w:val="none"/>
        </w:rPr>
        <w:t>注：结束解密后，供应商通过邮件形式将经授权代表签署的《政府采购活动现场确认声明书》扫描件发至代理机构经办人邮箱</w:t>
      </w:r>
      <w:r>
        <w:rPr>
          <w:rFonts w:hint="eastAsia" w:ascii="仿宋" w:hAnsi="仿宋" w:eastAsia="仿宋"/>
          <w:b/>
          <w:color w:val="auto"/>
          <w:szCs w:val="21"/>
          <w:highlight w:val="none"/>
          <w:lang w:eastAsia="zh-CN"/>
        </w:rPr>
        <w:t>。</w:t>
      </w:r>
    </w:p>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8000012" w:usb3="00000000" w:csb0="4002009F" w:csb1="DFD7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77F22">
    <w:pPr>
      <w:pStyle w:val="39"/>
      <w:framePr w:wrap="around" w:vAnchor="text" w:hAnchor="margin" w:xAlign="right" w:y="1"/>
      <w:rPr>
        <w:rStyle w:val="72"/>
      </w:rPr>
    </w:pPr>
    <w:r>
      <w:fldChar w:fldCharType="begin"/>
    </w:r>
    <w:r>
      <w:rPr>
        <w:rStyle w:val="72"/>
      </w:rPr>
      <w:instrText xml:space="preserve">PAGE  </w:instrText>
    </w:r>
    <w:r>
      <w:fldChar w:fldCharType="end"/>
    </w:r>
  </w:p>
  <w:p w14:paraId="29A5180A">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07D49">
    <w:pPr>
      <w:pStyle w:val="39"/>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C01AED">
                          <w:pPr>
                            <w:pStyle w:val="39"/>
                          </w:pPr>
                          <w:r>
                            <w:t xml:space="preserve">第 </w:t>
                          </w:r>
                          <w:r>
                            <w:fldChar w:fldCharType="begin"/>
                          </w:r>
                          <w:r>
                            <w:instrText xml:space="preserve"> PAGE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4C01AED">
                    <w:pPr>
                      <w:pStyle w:val="39"/>
                    </w:pPr>
                    <w:r>
                      <w:t xml:space="preserve">第 </w:t>
                    </w:r>
                    <w:r>
                      <w:fldChar w:fldCharType="begin"/>
                    </w:r>
                    <w:r>
                      <w:instrText xml:space="preserve"> PAGE  \* MERGEFORMAT </w:instrText>
                    </w:r>
                    <w:r>
                      <w:fldChar w:fldCharType="separate"/>
                    </w:r>
                    <w:r>
                      <w:t>45</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A76E">
    <w:pPr>
      <w:pStyle w:val="39"/>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EA490B">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2EA490B">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922EC">
    <w:pPr>
      <w:pStyle w:val="39"/>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9F438D">
                          <w:pPr>
                            <w:pStyle w:val="39"/>
                          </w:pPr>
                          <w:r>
                            <w:t xml:space="preserve">第 </w:t>
                          </w:r>
                          <w:r>
                            <w:fldChar w:fldCharType="begin"/>
                          </w:r>
                          <w:r>
                            <w:instrText xml:space="preserve"> PAGE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39F438D">
                    <w:pPr>
                      <w:pStyle w:val="39"/>
                    </w:pPr>
                    <w:r>
                      <w:t xml:space="preserve">第 </w:t>
                    </w:r>
                    <w:r>
                      <w:fldChar w:fldCharType="begin"/>
                    </w:r>
                    <w:r>
                      <w:instrText xml:space="preserve"> PAGE  \* MERGEFORMAT </w:instrText>
                    </w:r>
                    <w:r>
                      <w:fldChar w:fldCharType="separate"/>
                    </w:r>
                    <w:r>
                      <w:t>49</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DCCA3">
    <w:pPr>
      <w:pStyle w:val="39"/>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2FE91A">
                          <w:pPr>
                            <w:pStyle w:val="39"/>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D2FE91A">
                    <w:pPr>
                      <w:pStyle w:val="39"/>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3C1E5">
    <w:pPr>
      <w:pStyle w:val="39"/>
      <w:framePr w:wrap="around" w:vAnchor="text" w:hAnchor="margin" w:xAlign="right" w:y="1"/>
      <w:rPr>
        <w:rStyle w:val="72"/>
      </w:rPr>
    </w:pPr>
    <w:r>
      <w:fldChar w:fldCharType="begin"/>
    </w:r>
    <w:r>
      <w:rPr>
        <w:rStyle w:val="72"/>
      </w:rPr>
      <w:instrText xml:space="preserve">PAGE  </w:instrText>
    </w:r>
    <w:r>
      <w:fldChar w:fldCharType="end"/>
    </w:r>
  </w:p>
  <w:p w14:paraId="06322890">
    <w:pPr>
      <w:pStyle w:val="39"/>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272C5">
    <w:pPr>
      <w:pStyle w:val="39"/>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142862">
                          <w:pPr>
                            <w:pStyle w:val="39"/>
                          </w:pPr>
                          <w:r>
                            <w:t xml:space="preserve">第 </w:t>
                          </w:r>
                          <w:r>
                            <w:fldChar w:fldCharType="begin"/>
                          </w:r>
                          <w:r>
                            <w:instrText xml:space="preserve"> PAGE  \* MERGEFORMAT </w:instrText>
                          </w:r>
                          <w:r>
                            <w:fldChar w:fldCharType="separate"/>
                          </w:r>
                          <w:r>
                            <w:t>51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E142862">
                    <w:pPr>
                      <w:pStyle w:val="39"/>
                    </w:pPr>
                    <w:r>
                      <w:t xml:space="preserve">第 </w:t>
                    </w:r>
                    <w:r>
                      <w:fldChar w:fldCharType="begin"/>
                    </w:r>
                    <w:r>
                      <w:instrText xml:space="preserve"> PAGE  \* MERGEFORMAT </w:instrText>
                    </w:r>
                    <w:r>
                      <w:fldChar w:fldCharType="separate"/>
                    </w:r>
                    <w:r>
                      <w:t>51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5948A">
    <w:pPr>
      <w:pStyle w:val="39"/>
      <w:jc w:val="cente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35198">
    <w:pPr>
      <w:pStyle w:val="39"/>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D25EB9">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DD25EB9">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73BDF">
    <w:pPr>
      <w:pStyle w:val="39"/>
      <w:jc w:val="cente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24F38">
    <w:pPr>
      <w:pStyle w:val="39"/>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0FE43">
                          <w:pPr>
                            <w:pStyle w:val="39"/>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900FE43">
                    <w:pPr>
                      <w:pStyle w:val="39"/>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FEE25">
    <w:pPr>
      <w:pStyle w:val="39"/>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231B10">
                          <w:pPr>
                            <w:pStyle w:val="39"/>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3231B10">
                    <w:pPr>
                      <w:pStyle w:val="39"/>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C83B3">
    <w:pPr>
      <w:pStyle w:val="39"/>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8A9AFC">
                          <w:pPr>
                            <w:pStyle w:val="39"/>
                          </w:pPr>
                          <w:r>
                            <w:t xml:space="preserve">第 </w:t>
                          </w:r>
                          <w:r>
                            <w:fldChar w:fldCharType="begin"/>
                          </w:r>
                          <w:r>
                            <w:instrText xml:space="preserve"> PAGE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C8A9AFC">
                    <w:pPr>
                      <w:pStyle w:val="39"/>
                    </w:pPr>
                    <w:r>
                      <w:t xml:space="preserve">第 </w:t>
                    </w:r>
                    <w:r>
                      <w:fldChar w:fldCharType="begin"/>
                    </w:r>
                    <w:r>
                      <w:instrText xml:space="preserve"> PAGE  \* MERGEFORMAT </w:instrText>
                    </w:r>
                    <w:r>
                      <w:fldChar w:fldCharType="separate"/>
                    </w:r>
                    <w:r>
                      <w:t>30</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80091">
    <w:pPr>
      <w:pStyle w:val="39"/>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58C9C3">
                          <w:pPr>
                            <w:pStyle w:val="39"/>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758C9C3">
                    <w:pPr>
                      <w:pStyle w:val="39"/>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422DB">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0FBD28">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D0FBD28">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9C8A6">
    <w:pPr>
      <w:pStyle w:val="40"/>
      <w:pBdr>
        <w:bottom w:val="none" w:color="auto" w:sz="0" w:space="0"/>
      </w:pBdr>
      <w:tabs>
        <w:tab w:val="center" w:pos="4535"/>
        <w:tab w:val="right" w:pos="9070"/>
        <w:tab w:val="clear" w:pos="4153"/>
        <w:tab w:val="clear" w:pos="8306"/>
      </w:tabs>
      <w:jc w:val="right"/>
      <w:rPr>
        <w:rFonts w:ascii="仿宋_GB2312" w:eastAsia="仿宋_GB2312"/>
        <w:i/>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44AF4">
    <w:pPr>
      <w:pStyle w:val="40"/>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B6987">
    <w:pPr>
      <w:pStyle w:val="40"/>
      <w:pBdr>
        <w:bottom w:val="single" w:color="auto" w:sz="6" w:space="0"/>
      </w:pBdr>
      <w:tabs>
        <w:tab w:val="center" w:pos="4535"/>
        <w:tab w:val="right" w:pos="9070"/>
        <w:tab w:val="clear" w:pos="4153"/>
        <w:tab w:val="clear" w:pos="8306"/>
      </w:tabs>
      <w:jc w:val="right"/>
    </w:pPr>
    <w:r>
      <w:rPr>
        <w:rFonts w:hint="eastAsia" w:ascii="仿宋" w:hAnsi="仿宋" w:eastAsia="仿宋" w:cs="仿宋"/>
        <w:b/>
        <w:bCs/>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05166">
    <w:pPr>
      <w:pStyle w:val="40"/>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987C0">
    <w:pPr>
      <w:pStyle w:val="40"/>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CCF48">
    <w:pPr>
      <w:pStyle w:val="40"/>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E2D95">
    <w:pPr>
      <w:pStyle w:val="40"/>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21A5D">
    <w:pPr>
      <w:pStyle w:val="40"/>
      <w:jc w:val="right"/>
      <w:rPr>
        <w:rFonts w:ascii="仿宋_GB2312" w:eastAsia="仿宋_GB2312"/>
        <w:b/>
        <w:i/>
        <w:u w:val="single"/>
      </w:rPr>
    </w:pPr>
    <w:r>
      <w:rPr>
        <w:rFonts w:hint="eastAsia"/>
      </w:rPr>
      <w:t xml:space="preserve">                                  </w:t>
    </w:r>
    <w:r>
      <w:t>杭州市政府采购公开招标文件</w:t>
    </w:r>
  </w:p>
  <w:p w14:paraId="581A2F5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D685F">
    <w:pPr>
      <w:pStyle w:val="40"/>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A1560">
    <w:pPr>
      <w:pStyle w:val="40"/>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CCC725"/>
    <w:multiLevelType w:val="singleLevel"/>
    <w:tmpl w:val="C9CCC725"/>
    <w:lvl w:ilvl="0" w:tentative="0">
      <w:start w:val="1"/>
      <w:numFmt w:val="decimal"/>
      <w:suff w:val="nothing"/>
      <w:lvlText w:val="（%1）"/>
      <w:lvlJc w:val="left"/>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0000451"/>
    <w:rsid w:val="00000E76"/>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86C"/>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44"/>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331"/>
    <w:rsid w:val="0029159A"/>
    <w:rsid w:val="00291CF1"/>
    <w:rsid w:val="00292AA1"/>
    <w:rsid w:val="00294012"/>
    <w:rsid w:val="002945B0"/>
    <w:rsid w:val="0029499D"/>
    <w:rsid w:val="00294A13"/>
    <w:rsid w:val="00294B10"/>
    <w:rsid w:val="00294DF9"/>
    <w:rsid w:val="00295073"/>
    <w:rsid w:val="00295468"/>
    <w:rsid w:val="002963CD"/>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7FD"/>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B9F"/>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A06"/>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5F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46D"/>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40F"/>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467"/>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697"/>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311"/>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1B14"/>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F10"/>
    <w:rsid w:val="00594437"/>
    <w:rsid w:val="00594B70"/>
    <w:rsid w:val="005957F5"/>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6FF2"/>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01D"/>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9AA"/>
    <w:rsid w:val="006D0A80"/>
    <w:rsid w:val="006D0AE8"/>
    <w:rsid w:val="006D0B8C"/>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47C"/>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21F"/>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3F82"/>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1F3"/>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1FAB"/>
    <w:rsid w:val="0094215C"/>
    <w:rsid w:val="009425D9"/>
    <w:rsid w:val="00942A27"/>
    <w:rsid w:val="00942F8E"/>
    <w:rsid w:val="00943543"/>
    <w:rsid w:val="00943554"/>
    <w:rsid w:val="009441DB"/>
    <w:rsid w:val="00944834"/>
    <w:rsid w:val="00946128"/>
    <w:rsid w:val="0094633F"/>
    <w:rsid w:val="00947BA5"/>
    <w:rsid w:val="00950805"/>
    <w:rsid w:val="009510B2"/>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8B0"/>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6DDB"/>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215"/>
    <w:rsid w:val="00A526CE"/>
    <w:rsid w:val="00A53D28"/>
    <w:rsid w:val="00A5468F"/>
    <w:rsid w:val="00A54909"/>
    <w:rsid w:val="00A54DC0"/>
    <w:rsid w:val="00A550C9"/>
    <w:rsid w:val="00A55228"/>
    <w:rsid w:val="00A55410"/>
    <w:rsid w:val="00A55A04"/>
    <w:rsid w:val="00A564DE"/>
    <w:rsid w:val="00A56807"/>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68B"/>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7DD"/>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662"/>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87"/>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0BD"/>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160"/>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1FDB"/>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134"/>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A1A"/>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7C6"/>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B3"/>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17011A"/>
    <w:rsid w:val="0326446A"/>
    <w:rsid w:val="032D5555"/>
    <w:rsid w:val="036634D2"/>
    <w:rsid w:val="03DD35E4"/>
    <w:rsid w:val="04076900"/>
    <w:rsid w:val="04164206"/>
    <w:rsid w:val="041A5A3B"/>
    <w:rsid w:val="042311BA"/>
    <w:rsid w:val="042B157A"/>
    <w:rsid w:val="048F763B"/>
    <w:rsid w:val="049F330E"/>
    <w:rsid w:val="04AA775C"/>
    <w:rsid w:val="04AF1889"/>
    <w:rsid w:val="04E0765E"/>
    <w:rsid w:val="04F66F48"/>
    <w:rsid w:val="05251E14"/>
    <w:rsid w:val="05A143E7"/>
    <w:rsid w:val="05A16594"/>
    <w:rsid w:val="05A7762D"/>
    <w:rsid w:val="060E5941"/>
    <w:rsid w:val="06110FAF"/>
    <w:rsid w:val="06493CA7"/>
    <w:rsid w:val="065A6178"/>
    <w:rsid w:val="066F1CF3"/>
    <w:rsid w:val="06930BB8"/>
    <w:rsid w:val="07245D42"/>
    <w:rsid w:val="07264C62"/>
    <w:rsid w:val="073060FD"/>
    <w:rsid w:val="0779354C"/>
    <w:rsid w:val="08061376"/>
    <w:rsid w:val="0824300F"/>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D18AD"/>
    <w:rsid w:val="0A3E7710"/>
    <w:rsid w:val="0A3F7617"/>
    <w:rsid w:val="0A4E70E3"/>
    <w:rsid w:val="0A5B7E63"/>
    <w:rsid w:val="0A7F45CA"/>
    <w:rsid w:val="0AA374A5"/>
    <w:rsid w:val="0AAB7649"/>
    <w:rsid w:val="0AB1020F"/>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5C77FF"/>
    <w:rsid w:val="0D827401"/>
    <w:rsid w:val="0D84094E"/>
    <w:rsid w:val="0D8A00E9"/>
    <w:rsid w:val="0D8D589E"/>
    <w:rsid w:val="0DA01C73"/>
    <w:rsid w:val="0DD63300"/>
    <w:rsid w:val="0DF50604"/>
    <w:rsid w:val="0DF702FE"/>
    <w:rsid w:val="0DF866F2"/>
    <w:rsid w:val="0E0101AD"/>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D81F8B"/>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00FF3"/>
    <w:rsid w:val="14982588"/>
    <w:rsid w:val="149A5AD9"/>
    <w:rsid w:val="14A7619D"/>
    <w:rsid w:val="14FC3F92"/>
    <w:rsid w:val="150536C3"/>
    <w:rsid w:val="150C1963"/>
    <w:rsid w:val="151447A0"/>
    <w:rsid w:val="154A6454"/>
    <w:rsid w:val="15762120"/>
    <w:rsid w:val="16027CCE"/>
    <w:rsid w:val="16A8729C"/>
    <w:rsid w:val="16B33777"/>
    <w:rsid w:val="16BC70A7"/>
    <w:rsid w:val="16C6339E"/>
    <w:rsid w:val="17253C74"/>
    <w:rsid w:val="172F2D79"/>
    <w:rsid w:val="17522C55"/>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D75285"/>
    <w:rsid w:val="1AE4166C"/>
    <w:rsid w:val="1AF06CFB"/>
    <w:rsid w:val="1AF11B8D"/>
    <w:rsid w:val="1B11359C"/>
    <w:rsid w:val="1B2A271F"/>
    <w:rsid w:val="1B2D30F7"/>
    <w:rsid w:val="1B530544"/>
    <w:rsid w:val="1B713184"/>
    <w:rsid w:val="1B8013F7"/>
    <w:rsid w:val="1BA209CF"/>
    <w:rsid w:val="1BB4777D"/>
    <w:rsid w:val="1BD75AB8"/>
    <w:rsid w:val="1C0459C2"/>
    <w:rsid w:val="1C1B3B4A"/>
    <w:rsid w:val="1C36134D"/>
    <w:rsid w:val="1C7B7E93"/>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734F24"/>
    <w:rsid w:val="1FD52DD5"/>
    <w:rsid w:val="1FE868A9"/>
    <w:rsid w:val="1FEB5538"/>
    <w:rsid w:val="20034907"/>
    <w:rsid w:val="20173E4B"/>
    <w:rsid w:val="20174376"/>
    <w:rsid w:val="204E48BC"/>
    <w:rsid w:val="208921B3"/>
    <w:rsid w:val="20973DEB"/>
    <w:rsid w:val="20B26522"/>
    <w:rsid w:val="20B44310"/>
    <w:rsid w:val="20BE3578"/>
    <w:rsid w:val="211116EB"/>
    <w:rsid w:val="216133FC"/>
    <w:rsid w:val="218B1F59"/>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AA5FC5"/>
    <w:rsid w:val="25BE27CC"/>
    <w:rsid w:val="25F74A5C"/>
    <w:rsid w:val="2628662C"/>
    <w:rsid w:val="262D45DE"/>
    <w:rsid w:val="26871DC8"/>
    <w:rsid w:val="26A53EF9"/>
    <w:rsid w:val="26A94201"/>
    <w:rsid w:val="26AC274F"/>
    <w:rsid w:val="27044A29"/>
    <w:rsid w:val="271D34C8"/>
    <w:rsid w:val="27427F2B"/>
    <w:rsid w:val="2752388E"/>
    <w:rsid w:val="275E3E5D"/>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EB1D89"/>
    <w:rsid w:val="29F26D24"/>
    <w:rsid w:val="2A15033F"/>
    <w:rsid w:val="2A1662C1"/>
    <w:rsid w:val="2A1C7367"/>
    <w:rsid w:val="2A2815FA"/>
    <w:rsid w:val="2A6D6092"/>
    <w:rsid w:val="2A7D76B4"/>
    <w:rsid w:val="2B437463"/>
    <w:rsid w:val="2B7807EE"/>
    <w:rsid w:val="2BA50BF7"/>
    <w:rsid w:val="2BAA0672"/>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81758A"/>
    <w:rsid w:val="2E9A3C18"/>
    <w:rsid w:val="2EBB0FEE"/>
    <w:rsid w:val="2EC63002"/>
    <w:rsid w:val="2EFA10EB"/>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8206C"/>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432906"/>
    <w:rsid w:val="38586797"/>
    <w:rsid w:val="385C6972"/>
    <w:rsid w:val="38BC0149"/>
    <w:rsid w:val="38D87D1C"/>
    <w:rsid w:val="394E09B1"/>
    <w:rsid w:val="39636459"/>
    <w:rsid w:val="396B7F6C"/>
    <w:rsid w:val="39B417A9"/>
    <w:rsid w:val="39CB2002"/>
    <w:rsid w:val="39FC5695"/>
    <w:rsid w:val="3A006D8E"/>
    <w:rsid w:val="3A3651E5"/>
    <w:rsid w:val="3A744481"/>
    <w:rsid w:val="3A8C7BEF"/>
    <w:rsid w:val="3A906246"/>
    <w:rsid w:val="3B2349B7"/>
    <w:rsid w:val="3B497682"/>
    <w:rsid w:val="3B616CFF"/>
    <w:rsid w:val="3B6259F6"/>
    <w:rsid w:val="3B6E70E8"/>
    <w:rsid w:val="3B976654"/>
    <w:rsid w:val="3BA26796"/>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6D3F5C"/>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6F7D44"/>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A86C99"/>
    <w:rsid w:val="45C63B94"/>
    <w:rsid w:val="45FA5C01"/>
    <w:rsid w:val="460E7DA5"/>
    <w:rsid w:val="46422483"/>
    <w:rsid w:val="4659254A"/>
    <w:rsid w:val="465B0637"/>
    <w:rsid w:val="465E3F0D"/>
    <w:rsid w:val="466A16E6"/>
    <w:rsid w:val="46893F2B"/>
    <w:rsid w:val="46C4686E"/>
    <w:rsid w:val="477B778F"/>
    <w:rsid w:val="478203EC"/>
    <w:rsid w:val="47B025FA"/>
    <w:rsid w:val="47F34C66"/>
    <w:rsid w:val="4809698F"/>
    <w:rsid w:val="4811697D"/>
    <w:rsid w:val="487A3E25"/>
    <w:rsid w:val="488B3A9D"/>
    <w:rsid w:val="488B5503"/>
    <w:rsid w:val="48937E21"/>
    <w:rsid w:val="489A0361"/>
    <w:rsid w:val="48B94FF3"/>
    <w:rsid w:val="48D04F3E"/>
    <w:rsid w:val="48D12A65"/>
    <w:rsid w:val="48E37AAB"/>
    <w:rsid w:val="48FD4B4C"/>
    <w:rsid w:val="490A68E0"/>
    <w:rsid w:val="491055FE"/>
    <w:rsid w:val="49282FCC"/>
    <w:rsid w:val="495F5B3E"/>
    <w:rsid w:val="496F77D7"/>
    <w:rsid w:val="497654FD"/>
    <w:rsid w:val="49B64211"/>
    <w:rsid w:val="49DE098E"/>
    <w:rsid w:val="49E56AF9"/>
    <w:rsid w:val="49F6167F"/>
    <w:rsid w:val="4A064FA0"/>
    <w:rsid w:val="4A16615C"/>
    <w:rsid w:val="4A407EA2"/>
    <w:rsid w:val="4A4424D7"/>
    <w:rsid w:val="4A44330B"/>
    <w:rsid w:val="4AB82D0F"/>
    <w:rsid w:val="4AEB7664"/>
    <w:rsid w:val="4AFD7C19"/>
    <w:rsid w:val="4B0567D1"/>
    <w:rsid w:val="4B236AAE"/>
    <w:rsid w:val="4B65492A"/>
    <w:rsid w:val="4B707271"/>
    <w:rsid w:val="4B9739F7"/>
    <w:rsid w:val="4BEE2503"/>
    <w:rsid w:val="4C245A30"/>
    <w:rsid w:val="4C9646F1"/>
    <w:rsid w:val="4CB6685F"/>
    <w:rsid w:val="4CC367FE"/>
    <w:rsid w:val="4D077F3C"/>
    <w:rsid w:val="4D123355"/>
    <w:rsid w:val="4D2A3B31"/>
    <w:rsid w:val="4D312C52"/>
    <w:rsid w:val="4D905305"/>
    <w:rsid w:val="4D964A72"/>
    <w:rsid w:val="4D9C1254"/>
    <w:rsid w:val="4E4A13D1"/>
    <w:rsid w:val="4E793892"/>
    <w:rsid w:val="4E800872"/>
    <w:rsid w:val="4EC569ED"/>
    <w:rsid w:val="4ED50EA1"/>
    <w:rsid w:val="4EEC050C"/>
    <w:rsid w:val="4F104EC3"/>
    <w:rsid w:val="4F47354A"/>
    <w:rsid w:val="4F6D4A83"/>
    <w:rsid w:val="4F911C54"/>
    <w:rsid w:val="4FB2206C"/>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C615D4"/>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030995"/>
    <w:rsid w:val="54487265"/>
    <w:rsid w:val="544D6070"/>
    <w:rsid w:val="54605E1E"/>
    <w:rsid w:val="54B3506A"/>
    <w:rsid w:val="54CA0D16"/>
    <w:rsid w:val="54DD4057"/>
    <w:rsid w:val="54E7490F"/>
    <w:rsid w:val="54F860F5"/>
    <w:rsid w:val="550764A4"/>
    <w:rsid w:val="550B2BF6"/>
    <w:rsid w:val="55214EB5"/>
    <w:rsid w:val="55364EFD"/>
    <w:rsid w:val="553650BE"/>
    <w:rsid w:val="554D7917"/>
    <w:rsid w:val="555D4828"/>
    <w:rsid w:val="557A4C8B"/>
    <w:rsid w:val="558931E1"/>
    <w:rsid w:val="55923347"/>
    <w:rsid w:val="55925180"/>
    <w:rsid w:val="55983B1B"/>
    <w:rsid w:val="55A8376B"/>
    <w:rsid w:val="55DC29B6"/>
    <w:rsid w:val="55DD4241"/>
    <w:rsid w:val="55ED6869"/>
    <w:rsid w:val="56603EC0"/>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25174"/>
    <w:rsid w:val="5A09252F"/>
    <w:rsid w:val="5A0B2778"/>
    <w:rsid w:val="5A2A7C7B"/>
    <w:rsid w:val="5A3E2560"/>
    <w:rsid w:val="5A5D3B6E"/>
    <w:rsid w:val="5A637A76"/>
    <w:rsid w:val="5A6D33BA"/>
    <w:rsid w:val="5A792B1F"/>
    <w:rsid w:val="5A874767"/>
    <w:rsid w:val="5AA85BE2"/>
    <w:rsid w:val="5AAD6F28"/>
    <w:rsid w:val="5AD63A24"/>
    <w:rsid w:val="5B1A64ED"/>
    <w:rsid w:val="5B2E1A1D"/>
    <w:rsid w:val="5B843A1C"/>
    <w:rsid w:val="5B873E3F"/>
    <w:rsid w:val="5C02690E"/>
    <w:rsid w:val="5C196DA7"/>
    <w:rsid w:val="5C2A048C"/>
    <w:rsid w:val="5C80234E"/>
    <w:rsid w:val="5C8A680C"/>
    <w:rsid w:val="5CC9792B"/>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C47739"/>
    <w:rsid w:val="60FA2EE8"/>
    <w:rsid w:val="60FC0DF8"/>
    <w:rsid w:val="61054A27"/>
    <w:rsid w:val="610A52BC"/>
    <w:rsid w:val="611D2366"/>
    <w:rsid w:val="61421856"/>
    <w:rsid w:val="615227C4"/>
    <w:rsid w:val="61654E3F"/>
    <w:rsid w:val="6182292A"/>
    <w:rsid w:val="619F7F92"/>
    <w:rsid w:val="61C1466C"/>
    <w:rsid w:val="61F94C26"/>
    <w:rsid w:val="61FA4982"/>
    <w:rsid w:val="62000E56"/>
    <w:rsid w:val="624F3E49"/>
    <w:rsid w:val="62632286"/>
    <w:rsid w:val="62836C8F"/>
    <w:rsid w:val="62885958"/>
    <w:rsid w:val="62D11B87"/>
    <w:rsid w:val="62F40B65"/>
    <w:rsid w:val="62FC2CFE"/>
    <w:rsid w:val="63024505"/>
    <w:rsid w:val="635600A5"/>
    <w:rsid w:val="635B1DB5"/>
    <w:rsid w:val="63696E29"/>
    <w:rsid w:val="63711FED"/>
    <w:rsid w:val="63880DDC"/>
    <w:rsid w:val="638D750D"/>
    <w:rsid w:val="63AC6CC0"/>
    <w:rsid w:val="63B879C9"/>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62A27"/>
    <w:rsid w:val="668B6A45"/>
    <w:rsid w:val="66EF1BEE"/>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49691B"/>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9C351D"/>
    <w:rsid w:val="6FAE1A09"/>
    <w:rsid w:val="6FD75BF8"/>
    <w:rsid w:val="6FFE6D68"/>
    <w:rsid w:val="704B4683"/>
    <w:rsid w:val="707723D0"/>
    <w:rsid w:val="70F5661B"/>
    <w:rsid w:val="71360107"/>
    <w:rsid w:val="713A7DFA"/>
    <w:rsid w:val="713B688E"/>
    <w:rsid w:val="71D43752"/>
    <w:rsid w:val="71F1796A"/>
    <w:rsid w:val="72154626"/>
    <w:rsid w:val="72262B5D"/>
    <w:rsid w:val="72283FF7"/>
    <w:rsid w:val="722E7212"/>
    <w:rsid w:val="723A0474"/>
    <w:rsid w:val="725923E4"/>
    <w:rsid w:val="72864BF7"/>
    <w:rsid w:val="729023FC"/>
    <w:rsid w:val="73143A99"/>
    <w:rsid w:val="73C0646E"/>
    <w:rsid w:val="742222F5"/>
    <w:rsid w:val="74476126"/>
    <w:rsid w:val="74706664"/>
    <w:rsid w:val="747F3682"/>
    <w:rsid w:val="749C4185"/>
    <w:rsid w:val="75067759"/>
    <w:rsid w:val="75184066"/>
    <w:rsid w:val="752E6DCD"/>
    <w:rsid w:val="7551380D"/>
    <w:rsid w:val="75600BE5"/>
    <w:rsid w:val="7564475C"/>
    <w:rsid w:val="7583797F"/>
    <w:rsid w:val="758F1B5A"/>
    <w:rsid w:val="75D20F1D"/>
    <w:rsid w:val="75DA2C18"/>
    <w:rsid w:val="75F54412"/>
    <w:rsid w:val="76082ABE"/>
    <w:rsid w:val="761D08E0"/>
    <w:rsid w:val="765D347C"/>
    <w:rsid w:val="76826699"/>
    <w:rsid w:val="76C87133"/>
    <w:rsid w:val="76CD08D5"/>
    <w:rsid w:val="76DB4B92"/>
    <w:rsid w:val="76FD013A"/>
    <w:rsid w:val="77052AA4"/>
    <w:rsid w:val="77136511"/>
    <w:rsid w:val="77340A39"/>
    <w:rsid w:val="77351FD0"/>
    <w:rsid w:val="77472422"/>
    <w:rsid w:val="77787623"/>
    <w:rsid w:val="777F31F2"/>
    <w:rsid w:val="77D1700D"/>
    <w:rsid w:val="77EC04CC"/>
    <w:rsid w:val="780659D7"/>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C322A6"/>
    <w:rsid w:val="7AD05746"/>
    <w:rsid w:val="7B257FFD"/>
    <w:rsid w:val="7B273D20"/>
    <w:rsid w:val="7B343476"/>
    <w:rsid w:val="7B3D57AB"/>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63A70"/>
    <w:rsid w:val="7EA7723A"/>
    <w:rsid w:val="7ED21F67"/>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autoRedefine/>
    <w:qFormat/>
    <w:uiPriority w:val="99"/>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0"/>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7"/>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autoRedefine/>
    <w:qFormat/>
    <w:uiPriority w:val="0"/>
    <w:rPr>
      <w:b/>
      <w:bCs/>
    </w:rPr>
  </w:style>
  <w:style w:type="paragraph" w:styleId="60">
    <w:name w:val="Body Text First Indent"/>
    <w:basedOn w:val="23"/>
    <w:link w:val="320"/>
    <w:autoRedefine/>
    <w:qFormat/>
    <w:uiPriority w:val="0"/>
    <w:pPr>
      <w:ind w:firstLine="420"/>
    </w:pPr>
    <w:rPr>
      <w:rFonts w:hAnsi="Calibri" w:cs="Times New Roman"/>
      <w:snapToGrid/>
      <w:szCs w:val="20"/>
    </w:rPr>
  </w:style>
  <w:style w:type="paragraph" w:styleId="61">
    <w:name w:val="Body Text First Indent 2"/>
    <w:basedOn w:val="24"/>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字符"/>
    <w:link w:val="46"/>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字符"/>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5"/>
    <w:autoRedefine/>
    <w:qFormat/>
    <w:uiPriority w:val="0"/>
    <w:rPr>
      <w:rFonts w:ascii="宋体"/>
      <w:kern w:val="2"/>
      <w:sz w:val="24"/>
      <w:szCs w:val="21"/>
      <w:lang w:val="zh-CN"/>
    </w:rPr>
  </w:style>
  <w:style w:type="character" w:customStyle="1" w:styleId="181">
    <w:name w:val="标题 9 字符"/>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38"/>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99"/>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6"/>
    <w:autoRedefine/>
    <w:qFormat/>
    <w:uiPriority w:val="0"/>
    <w:rPr>
      <w:rFonts w:ascii="黑体" w:hAnsi="Courier New" w:eastAsia="黑体"/>
    </w:rPr>
  </w:style>
  <w:style w:type="character" w:customStyle="1" w:styleId="301">
    <w:name w:val="正文文本 2 字符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9"/>
    <w:autoRedefine/>
    <w:qFormat/>
    <w:uiPriority w:val="0"/>
    <w:rPr>
      <w:b/>
      <w:bCs/>
      <w:kern w:val="2"/>
      <w:sz w:val="24"/>
      <w:szCs w:val="24"/>
    </w:rPr>
  </w:style>
  <w:style w:type="character" w:customStyle="1" w:styleId="307">
    <w:name w:val="正文文本缩进 2 字符"/>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1"/>
    <w:autoRedefine/>
    <w:qFormat/>
    <w:uiPriority w:val="0"/>
    <w:rPr>
      <w:kern w:val="2"/>
      <w:sz w:val="21"/>
    </w:rPr>
  </w:style>
  <w:style w:type="character" w:customStyle="1" w:styleId="330">
    <w:name w:val="font31"/>
    <w:basedOn w:val="69"/>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autoRedefine/>
    <w:qFormat/>
    <w:uiPriority w:val="99"/>
    <w:rPr>
      <w:kern w:val="2"/>
      <w:sz w:val="21"/>
      <w:szCs w:val="24"/>
    </w:rPr>
  </w:style>
  <w:style w:type="character" w:customStyle="1" w:styleId="344">
    <w:name w:val="签名 字符"/>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字符"/>
    <w:link w:val="37"/>
    <w:autoRedefine/>
    <w:qFormat/>
    <w:uiPriority w:val="0"/>
    <w:rPr>
      <w:kern w:val="2"/>
      <w:sz w:val="21"/>
      <w:szCs w:val="24"/>
      <w:lang w:val="zh-CN"/>
    </w:rPr>
  </w:style>
  <w:style w:type="character" w:customStyle="1" w:styleId="932">
    <w:name w:val="无间隔 字符"/>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未处理的提及2"/>
    <w:basedOn w:val="69"/>
    <w:autoRedefine/>
    <w:semiHidden/>
    <w:unhideWhenUsed/>
    <w:qFormat/>
    <w:uiPriority w:val="99"/>
    <w:rPr>
      <w:color w:val="605E5C"/>
      <w:shd w:val="clear" w:color="auto" w:fill="E1DFDD"/>
    </w:rPr>
  </w:style>
  <w:style w:type="paragraph" w:customStyle="1" w:styleId="965">
    <w:name w:val="正文7"/>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966">
    <w:name w:val="正文8"/>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967">
    <w:name w:val="!正文"/>
    <w:basedOn w:val="1"/>
    <w:qFormat/>
    <w:uiPriority w:val="0"/>
    <w:pPr>
      <w:adjustRightInd/>
      <w:ind w:firstLine="480" w:firstLineChars="200"/>
    </w:pPr>
    <w:rPr>
      <w:szCs w:val="28"/>
    </w:rPr>
  </w:style>
  <w:style w:type="paragraph" w:customStyle="1" w:styleId="96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2FD75D-74F8-4891-9F14-4B57F70DB840}">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25552</Words>
  <Characters>27391</Characters>
  <Lines>290</Lines>
  <Paragraphs>81</Paragraphs>
  <TotalTime>27</TotalTime>
  <ScaleCrop>false</ScaleCrop>
  <LinksUpToDate>false</LinksUpToDate>
  <CharactersWithSpaces>27417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fr</cp:lastModifiedBy>
  <cp:lastPrinted>2025-03-05T10:02:12Z</cp:lastPrinted>
  <dcterms:modified xsi:type="dcterms:W3CDTF">2025-03-05T10:15:47Z</dcterms:modified>
  <dc:title>杭州市市民卡扩大发卡工程</dc:title>
  <cp:revision>336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17024A0131FC4BF788D69D25FD7AA0DC_13</vt:lpwstr>
  </property>
  <property fmtid="{D5CDD505-2E9C-101B-9397-08002B2CF9AE}" pid="5" name="KSOTemplateDocerSaveRecord">
    <vt:lpwstr>eyJoZGlkIjoiMzEwNTM5NzYwMDRjMzkwZTVkZjY2ODkwMGIxNGU0OTUiLCJ1c2VySWQiOiI0NDI0NjEyMzkifQ==</vt:lpwstr>
  </property>
</Properties>
</file>