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63FB5">
      <w:pPr>
        <w:adjustRightInd/>
        <w:spacing w:line="360" w:lineRule="auto"/>
        <w:jc w:val="center"/>
        <w:rPr>
          <w:rFonts w:hint="eastAsia" w:ascii="仿宋" w:hAnsi="仿宋" w:eastAsia="仿宋" w:cs="仿宋"/>
          <w:color w:val="auto"/>
          <w:sz w:val="48"/>
          <w:szCs w:val="48"/>
          <w:highlight w:val="none"/>
        </w:rPr>
      </w:pPr>
      <w:bookmarkStart w:id="515" w:name="_GoBack"/>
    </w:p>
    <w:p w14:paraId="8CA01F5B">
      <w:pPr>
        <w:adjustRightInd/>
        <w:spacing w:line="360" w:lineRule="auto"/>
        <w:jc w:val="center"/>
        <w:rPr>
          <w:rFonts w:hint="eastAsia" w:ascii="仿宋" w:hAnsi="仿宋" w:eastAsia="仿宋" w:cs="仿宋"/>
          <w:color w:val="auto"/>
          <w:sz w:val="48"/>
          <w:szCs w:val="48"/>
          <w:highlight w:val="none"/>
        </w:rPr>
      </w:pPr>
    </w:p>
    <w:p w14:paraId="6802ABFB">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浦沿街道安全生产技术服务</w:t>
      </w:r>
    </w:p>
    <w:p w14:paraId="A0A9872A">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FA8B0D60">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E0E2BB65">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编号:</w:t>
      </w:r>
      <w:r>
        <w:rPr>
          <w:rFonts w:hint="eastAsia" w:ascii="仿宋" w:hAnsi="仿宋" w:eastAsia="仿宋" w:cs="仿宋"/>
          <w:color w:val="auto"/>
          <w:sz w:val="32"/>
          <w:szCs w:val="32"/>
          <w:highlight w:val="none"/>
          <w:lang w:val="en-US" w:eastAsia="zh-CN"/>
        </w:rPr>
        <w:t xml:space="preserve">ZJCT2-PYJD2025-01 </w:t>
      </w:r>
    </w:p>
    <w:p w14:paraId="79C56BE2">
      <w:pPr>
        <w:snapToGrid w:val="0"/>
        <w:spacing w:line="360" w:lineRule="auto"/>
        <w:jc w:val="center"/>
        <w:rPr>
          <w:rFonts w:hint="eastAsia" w:ascii="仿宋" w:hAnsi="仿宋" w:eastAsia="仿宋" w:cs="仿宋"/>
          <w:color w:val="auto"/>
          <w:sz w:val="32"/>
          <w:szCs w:val="32"/>
          <w:highlight w:val="none"/>
          <w:lang w:eastAsia="zh-CN"/>
        </w:rPr>
      </w:pPr>
    </w:p>
    <w:p w14:paraId="E9856D28">
      <w:pPr>
        <w:snapToGrid w:val="0"/>
        <w:spacing w:line="360" w:lineRule="auto"/>
        <w:jc w:val="center"/>
        <w:rPr>
          <w:rFonts w:hint="eastAsia" w:ascii="仿宋" w:hAnsi="仿宋" w:eastAsia="仿宋" w:cs="仿宋"/>
          <w:color w:val="auto"/>
          <w:sz w:val="32"/>
          <w:szCs w:val="32"/>
          <w:highlight w:val="none"/>
        </w:rPr>
      </w:pPr>
    </w:p>
    <w:p w14:paraId="1CA05175">
      <w:pPr>
        <w:snapToGrid w:val="0"/>
        <w:spacing w:line="360" w:lineRule="auto"/>
        <w:jc w:val="center"/>
        <w:rPr>
          <w:rFonts w:hint="eastAsia" w:ascii="仿宋" w:hAnsi="仿宋" w:eastAsia="仿宋" w:cs="仿宋"/>
          <w:color w:val="auto"/>
          <w:sz w:val="32"/>
          <w:szCs w:val="32"/>
          <w:highlight w:val="none"/>
        </w:rPr>
      </w:pPr>
    </w:p>
    <w:p w14:paraId="63E8CF03">
      <w:pPr>
        <w:snapToGrid w:val="0"/>
        <w:spacing w:line="360" w:lineRule="auto"/>
        <w:jc w:val="center"/>
        <w:rPr>
          <w:rFonts w:hint="eastAsia" w:ascii="仿宋" w:hAnsi="仿宋" w:eastAsia="仿宋" w:cs="仿宋"/>
          <w:color w:val="auto"/>
          <w:sz w:val="32"/>
          <w:szCs w:val="32"/>
          <w:highlight w:val="none"/>
        </w:rPr>
      </w:pPr>
    </w:p>
    <w:p w14:paraId="726CB917">
      <w:pPr>
        <w:snapToGrid w:val="0"/>
        <w:spacing w:line="360" w:lineRule="auto"/>
        <w:jc w:val="center"/>
        <w:rPr>
          <w:rFonts w:hint="eastAsia" w:ascii="仿宋" w:hAnsi="仿宋" w:eastAsia="仿宋" w:cs="仿宋"/>
          <w:color w:val="auto"/>
          <w:sz w:val="32"/>
          <w:szCs w:val="32"/>
          <w:highlight w:val="none"/>
        </w:rPr>
      </w:pPr>
    </w:p>
    <w:p w14:paraId="E516EF61">
      <w:pPr>
        <w:snapToGrid w:val="0"/>
        <w:spacing w:line="360" w:lineRule="auto"/>
        <w:jc w:val="center"/>
        <w:rPr>
          <w:rFonts w:hint="eastAsia" w:ascii="仿宋" w:hAnsi="仿宋" w:eastAsia="仿宋" w:cs="仿宋"/>
          <w:color w:val="auto"/>
          <w:sz w:val="32"/>
          <w:szCs w:val="32"/>
          <w:highlight w:val="none"/>
        </w:rPr>
      </w:pPr>
    </w:p>
    <w:p w14:paraId="A35D4577">
      <w:pPr>
        <w:snapToGrid w:val="0"/>
        <w:spacing w:line="360" w:lineRule="auto"/>
        <w:jc w:val="center"/>
        <w:rPr>
          <w:rFonts w:hint="eastAsia" w:ascii="仿宋" w:hAnsi="仿宋" w:eastAsia="仿宋" w:cs="仿宋"/>
          <w:color w:val="auto"/>
          <w:sz w:val="32"/>
          <w:szCs w:val="32"/>
          <w:highlight w:val="none"/>
        </w:rPr>
      </w:pPr>
    </w:p>
    <w:p w14:paraId="9F990FB8">
      <w:pPr>
        <w:snapToGrid w:val="0"/>
        <w:spacing w:line="360" w:lineRule="auto"/>
        <w:jc w:val="center"/>
        <w:rPr>
          <w:rFonts w:hint="eastAsia" w:ascii="仿宋" w:hAnsi="仿宋" w:eastAsia="仿宋" w:cs="仿宋"/>
          <w:color w:val="auto"/>
          <w:sz w:val="32"/>
          <w:szCs w:val="32"/>
          <w:highlight w:val="none"/>
          <w:lang w:eastAsia="zh-CN"/>
        </w:rPr>
      </w:pPr>
    </w:p>
    <w:p w14:paraId="21487675">
      <w:pPr>
        <w:snapToGrid w:val="0"/>
        <w:spacing w:line="360" w:lineRule="auto"/>
        <w:jc w:val="center"/>
        <w:rPr>
          <w:rFonts w:hint="eastAsia" w:ascii="仿宋" w:hAnsi="仿宋" w:eastAsia="仿宋" w:cs="仿宋"/>
          <w:color w:val="auto"/>
          <w:sz w:val="32"/>
          <w:szCs w:val="32"/>
          <w:highlight w:val="none"/>
          <w:lang w:eastAsia="zh-CN"/>
        </w:rPr>
      </w:pPr>
    </w:p>
    <w:p w14:paraId="C4C6417A">
      <w:pPr>
        <w:snapToGrid w:val="0"/>
        <w:spacing w:line="360" w:lineRule="auto"/>
        <w:jc w:val="center"/>
        <w:rPr>
          <w:rFonts w:hint="eastAsia" w:ascii="仿宋" w:hAnsi="仿宋" w:eastAsia="仿宋" w:cs="仿宋"/>
          <w:color w:val="auto"/>
          <w:sz w:val="32"/>
          <w:szCs w:val="32"/>
          <w:highlight w:val="none"/>
          <w:lang w:eastAsia="zh-CN"/>
        </w:rPr>
      </w:pPr>
    </w:p>
    <w:p w14:paraId="FAD680D5">
      <w:pPr>
        <w:snapToGrid w:val="0"/>
        <w:spacing w:line="360" w:lineRule="auto"/>
        <w:jc w:val="center"/>
        <w:rPr>
          <w:rFonts w:hint="eastAsia" w:ascii="仿宋" w:hAnsi="仿宋" w:eastAsia="仿宋" w:cs="仿宋"/>
          <w:color w:val="auto"/>
          <w:sz w:val="32"/>
          <w:szCs w:val="32"/>
          <w:highlight w:val="none"/>
          <w:lang w:eastAsia="zh-CN"/>
        </w:rPr>
      </w:pPr>
    </w:p>
    <w:p w14:paraId="C4FB9E2B">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杭州市滨江区人民政府浦沿街道办事处</w:t>
      </w:r>
    </w:p>
    <w:p w14:paraId="E84E5798">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浙江省成套工程有限公司</w:t>
      </w:r>
    </w:p>
    <w:p w14:paraId="DC245B06">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二十四</w:t>
      </w:r>
      <w:r>
        <w:rPr>
          <w:rFonts w:hint="eastAsia" w:ascii="仿宋" w:hAnsi="仿宋" w:eastAsia="仿宋" w:cs="仿宋"/>
          <w:bCs/>
          <w:color w:val="auto"/>
          <w:sz w:val="32"/>
          <w:szCs w:val="32"/>
          <w:highlight w:val="none"/>
        </w:rPr>
        <w:t>日</w:t>
      </w:r>
      <w:bookmarkStart w:id="0" w:name="_Hlt67893495"/>
      <w:bookmarkEnd w:id="0"/>
    </w:p>
    <w:p w14:paraId="5C47D3B5">
      <w:pPr>
        <w:spacing w:line="360" w:lineRule="auto"/>
        <w:jc w:val="center"/>
        <w:rPr>
          <w:rFonts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E32F9A89">
      <w:pPr>
        <w:spacing w:line="60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484"/>
          <w:kern w:val="0"/>
          <w:sz w:val="48"/>
          <w:szCs w:val="48"/>
          <w:highlight w:val="none"/>
          <w:fitText w:val="1928" w:id="-982755328"/>
        </w:rPr>
        <w:t>目</w:t>
      </w:r>
      <w:r>
        <w:rPr>
          <w:rFonts w:hint="eastAsia" w:ascii="仿宋" w:hAnsi="仿宋" w:eastAsia="仿宋" w:cs="仿宋"/>
          <w:b/>
          <w:color w:val="auto"/>
          <w:spacing w:val="0"/>
          <w:kern w:val="0"/>
          <w:sz w:val="48"/>
          <w:szCs w:val="48"/>
          <w:highlight w:val="none"/>
          <w:fitText w:val="1928" w:id="-982755328"/>
        </w:rPr>
        <w:t>录</w:t>
      </w:r>
    </w:p>
    <w:p w14:paraId="2BFA2C7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82755067"/>
        </w:rPr>
        <w:t>分</w:t>
      </w:r>
      <w:r>
        <w:rPr>
          <w:rFonts w:hint="eastAsia" w:ascii="仿宋" w:hAnsi="仿宋" w:eastAsia="仿宋" w:cs="仿宋"/>
          <w:color w:val="auto"/>
          <w:spacing w:val="0"/>
          <w:kern w:val="0"/>
          <w:sz w:val="32"/>
          <w:szCs w:val="32"/>
          <w:highlight w:val="none"/>
          <w:fitText w:val="1280" w:id="-982755067"/>
        </w:rPr>
        <w:t>招</w:t>
      </w:r>
      <w:r>
        <w:rPr>
          <w:rFonts w:hint="eastAsia" w:ascii="仿宋" w:hAnsi="仿宋" w:eastAsia="仿宋" w:cs="仿宋"/>
          <w:color w:val="auto"/>
          <w:sz w:val="32"/>
          <w:szCs w:val="32"/>
          <w:highlight w:val="none"/>
        </w:rPr>
        <w:t>标公告</w:t>
      </w:r>
    </w:p>
    <w:p w14:paraId="6FE89A0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82755068"/>
        </w:rPr>
        <w:t>分</w:t>
      </w:r>
      <w:r>
        <w:rPr>
          <w:rFonts w:hint="eastAsia" w:ascii="仿宋" w:hAnsi="仿宋" w:eastAsia="仿宋" w:cs="仿宋"/>
          <w:color w:val="auto"/>
          <w:spacing w:val="0"/>
          <w:kern w:val="0"/>
          <w:sz w:val="32"/>
          <w:szCs w:val="32"/>
          <w:highlight w:val="none"/>
          <w:fitText w:val="1280" w:id="-982755068"/>
        </w:rPr>
        <w:t>投</w:t>
      </w:r>
      <w:r>
        <w:rPr>
          <w:rFonts w:hint="eastAsia" w:ascii="仿宋" w:hAnsi="仿宋" w:eastAsia="仿宋" w:cs="仿宋"/>
          <w:color w:val="auto"/>
          <w:sz w:val="32"/>
          <w:szCs w:val="32"/>
          <w:highlight w:val="none"/>
        </w:rPr>
        <w:t>标人须知</w:t>
      </w:r>
    </w:p>
    <w:p w14:paraId="A1F1155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82755069"/>
        </w:rPr>
        <w:t>分</w:t>
      </w:r>
      <w:r>
        <w:rPr>
          <w:rFonts w:hint="eastAsia" w:ascii="仿宋" w:hAnsi="仿宋" w:eastAsia="仿宋" w:cs="仿宋"/>
          <w:color w:val="auto"/>
          <w:spacing w:val="0"/>
          <w:kern w:val="0"/>
          <w:sz w:val="32"/>
          <w:szCs w:val="32"/>
          <w:highlight w:val="none"/>
          <w:fitText w:val="1280" w:id="-982755069"/>
        </w:rPr>
        <w:t>采</w:t>
      </w:r>
      <w:r>
        <w:rPr>
          <w:rFonts w:hint="eastAsia" w:ascii="仿宋" w:hAnsi="仿宋" w:eastAsia="仿宋" w:cs="仿宋"/>
          <w:color w:val="auto"/>
          <w:sz w:val="32"/>
          <w:szCs w:val="32"/>
          <w:highlight w:val="none"/>
        </w:rPr>
        <w:t>购需求</w:t>
      </w:r>
    </w:p>
    <w:p w14:paraId="9F2C16C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82755070"/>
        </w:rPr>
        <w:t>分</w:t>
      </w:r>
      <w:r>
        <w:rPr>
          <w:rFonts w:hint="eastAsia" w:ascii="仿宋" w:hAnsi="仿宋" w:eastAsia="仿宋" w:cs="仿宋"/>
          <w:color w:val="auto"/>
          <w:spacing w:val="0"/>
          <w:kern w:val="0"/>
          <w:sz w:val="32"/>
          <w:szCs w:val="32"/>
          <w:highlight w:val="none"/>
          <w:fitText w:val="1280" w:id="-982755070"/>
        </w:rPr>
        <w:t>评</w:t>
      </w:r>
      <w:r>
        <w:rPr>
          <w:rFonts w:hint="eastAsia" w:ascii="仿宋" w:hAnsi="仿宋" w:eastAsia="仿宋" w:cs="仿宋"/>
          <w:color w:val="auto"/>
          <w:sz w:val="32"/>
          <w:szCs w:val="32"/>
          <w:highlight w:val="none"/>
        </w:rPr>
        <w:t>标办法</w:t>
      </w:r>
    </w:p>
    <w:p w14:paraId="ADB2FC2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82755071"/>
        </w:rPr>
        <w:t>分</w:t>
      </w:r>
      <w:r>
        <w:rPr>
          <w:rFonts w:hint="eastAsia" w:ascii="仿宋" w:hAnsi="仿宋" w:eastAsia="仿宋" w:cs="仿宋"/>
          <w:color w:val="auto"/>
          <w:spacing w:val="0"/>
          <w:kern w:val="0"/>
          <w:sz w:val="32"/>
          <w:szCs w:val="32"/>
          <w:highlight w:val="none"/>
          <w:fitText w:val="1280" w:id="-982755071"/>
        </w:rPr>
        <w:t>拟</w:t>
      </w:r>
      <w:r>
        <w:rPr>
          <w:rFonts w:hint="eastAsia" w:ascii="仿宋" w:hAnsi="仿宋" w:eastAsia="仿宋" w:cs="仿宋"/>
          <w:color w:val="auto"/>
          <w:sz w:val="32"/>
          <w:szCs w:val="32"/>
          <w:highlight w:val="none"/>
        </w:rPr>
        <w:t>签订的合同文本</w:t>
      </w:r>
    </w:p>
    <w:p w14:paraId="D2D4488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82755072"/>
        </w:rPr>
        <w:t>分</w:t>
      </w:r>
      <w:r>
        <w:rPr>
          <w:rFonts w:hint="eastAsia" w:ascii="仿宋" w:hAnsi="仿宋" w:eastAsia="仿宋" w:cs="仿宋"/>
          <w:color w:val="auto"/>
          <w:spacing w:val="0"/>
          <w:kern w:val="0"/>
          <w:sz w:val="32"/>
          <w:szCs w:val="32"/>
          <w:highlight w:val="none"/>
          <w:fitText w:val="1280" w:id="-982755072"/>
        </w:rPr>
        <w:t>应</w:t>
      </w:r>
      <w:r>
        <w:rPr>
          <w:rFonts w:hint="eastAsia" w:ascii="仿宋" w:hAnsi="仿宋" w:eastAsia="仿宋" w:cs="仿宋"/>
          <w:color w:val="auto"/>
          <w:sz w:val="32"/>
          <w:szCs w:val="32"/>
          <w:highlight w:val="none"/>
        </w:rPr>
        <w:t>提交的有关格式范例</w:t>
      </w:r>
      <w:bookmarkStart w:id="1" w:name="_Hlt91233176"/>
      <w:bookmarkEnd w:id="1"/>
      <w:bookmarkStart w:id="2" w:name="_Toc91899869"/>
    </w:p>
    <w:p w14:paraId="E1DAD66B">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2"/>
      <w:bookmarkStart w:id="3" w:name="_Hlt74649545"/>
      <w:bookmarkEnd w:id="3"/>
      <w:bookmarkStart w:id="4" w:name="_Hlt74728647"/>
      <w:bookmarkEnd w:id="4"/>
      <w:bookmarkStart w:id="5" w:name="_Hlt74729822"/>
      <w:bookmarkEnd w:id="5"/>
      <w:bookmarkStart w:id="6" w:name="_Hlt74707423"/>
      <w:bookmarkEnd w:id="6"/>
      <w:bookmarkStart w:id="7" w:name="_Toc91899870"/>
      <w:bookmarkStart w:id="8" w:name="_Toc91899871"/>
      <w:r>
        <w:rPr>
          <w:rFonts w:hint="eastAsia" w:ascii="仿宋" w:hAnsi="仿宋" w:eastAsia="仿宋" w:cs="仿宋"/>
          <w:b/>
          <w:color w:val="auto"/>
          <w:sz w:val="36"/>
          <w:szCs w:val="20"/>
          <w:highlight w:val="none"/>
        </w:rPr>
        <w:t xml:space="preserve">第一部分 </w:t>
      </w:r>
      <w:r>
        <w:rPr>
          <w:rFonts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rPr>
        <w:t>招标公告</w:t>
      </w:r>
    </w:p>
    <w:p w14:paraId="3523DB5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A212634F">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浦沿街道安全生产技术服务</w:t>
      </w:r>
      <w:r>
        <w:rPr>
          <w:rFonts w:hint="eastAsia" w:ascii="仿宋" w:hAnsi="仿宋" w:eastAsia="仿宋" w:cs="仿宋"/>
          <w:color w:val="auto"/>
          <w:sz w:val="24"/>
          <w:highlight w:val="none"/>
        </w:rPr>
        <w:t>招标项目的潜在投标人应在政采云平台（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03</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92E9F90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5FEE429">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ZJCT2-PYJD2025-01</w:t>
      </w:r>
    </w:p>
    <w:p w14:paraId="B2469DCC">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浦沿街道安全生产技术服务</w:t>
      </w:r>
    </w:p>
    <w:p w14:paraId="8594040F">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4800000.00（160万元/年）</w:t>
      </w:r>
    </w:p>
    <w:p w14:paraId="05089C86">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4800000.00（160万元/年）</w:t>
      </w:r>
    </w:p>
    <w:p w14:paraId="9B6A3E67">
      <w:pPr>
        <w:pStyle w:val="16"/>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浦沿街道安全生产技术服务</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bidi="ar-SA"/>
        </w:rPr>
        <w:t>提供安全生产、消防安全相关工作的专业技术指导和支撑，协助完成安全生产、消防安全相关基本工作任务参与宣传教育、培训演练及其他临时性工作等，需满足的质量、服务、安全、时限等要求： 达到专业服务标准；达到采购人要求；不发生专业技术性差错；</w:t>
      </w:r>
      <w:r>
        <w:rPr>
          <w:rFonts w:hint="eastAsia" w:ascii="仿宋" w:hAnsi="仿宋" w:eastAsia="仿宋" w:cs="仿宋"/>
          <w:bCs/>
          <w:snapToGrid/>
          <w:color w:val="auto"/>
          <w:kern w:val="2"/>
          <w:sz w:val="24"/>
          <w:szCs w:val="24"/>
          <w:highlight w:val="none"/>
          <w:lang w:eastAsia="zh-CN"/>
        </w:rPr>
        <w:t>具体以招标文件第三部分采购需求为准。</w:t>
      </w:r>
    </w:p>
    <w:p w14:paraId="C8E6C1FA">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（合同一年一签）</w:t>
      </w:r>
      <w:r>
        <w:rPr>
          <w:rFonts w:hint="eastAsia" w:ascii="仿宋" w:hAnsi="仿宋" w:eastAsia="仿宋" w:cs="仿宋"/>
          <w:b/>
          <w:color w:val="auto"/>
          <w:sz w:val="24"/>
          <w:highlight w:val="none"/>
        </w:rPr>
        <w:t>，具体以招标文件第三部分采购需求为准。</w:t>
      </w:r>
    </w:p>
    <w:p w14:paraId="6C100D5A">
      <w:pPr>
        <w:pStyle w:val="16"/>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34C84C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60D2D8D">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850FEA50">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8ADBEFDA">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DAA0346D">
      <w:pPr>
        <w:spacing w:line="360" w:lineRule="auto"/>
        <w:ind w:firstLine="480" w:firstLineChars="200"/>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B94FE302">
      <w:pPr>
        <w:spacing w:line="360" w:lineRule="auto"/>
        <w:ind w:firstLine="897" w:firstLineChars="374"/>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服务全部由符合政策要求的中小企业承接，提供中小企业声明函；</w:t>
      </w:r>
    </w:p>
    <w:p w14:paraId="D18D34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815458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4A8CF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250A14B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B5E14E0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96476D7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A8C133B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D285C97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F6769C1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B14DDA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AB7EDF40">
      <w:pPr>
        <w:spacing w:line="360" w:lineRule="auto"/>
        <w:ind w:firstLine="482" w:firstLineChars="200"/>
        <w:rPr>
          <w:rFonts w:hint="eastAsia" w:ascii="仿宋" w:hAnsi="仿宋" w:eastAsia="仿宋" w:cs="仿宋"/>
          <w:bCs/>
          <w:color w:val="auto"/>
          <w:sz w:val="24"/>
          <w:highlight w:val="none"/>
          <w:u w:val="single"/>
          <w:lang w:val="en-US" w:eastAsia="zh-CN"/>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6B54437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val="en-US" w:eastAsia="zh-CN"/>
        </w:rPr>
        <w:t>杭州市西湖区古墩路701号紫金广场A座</w:t>
      </w:r>
      <w:r>
        <w:rPr>
          <w:rFonts w:hint="eastAsia" w:ascii="仿宋" w:hAnsi="仿宋" w:eastAsia="仿宋" w:cs="仿宋"/>
          <w:color w:val="auto"/>
          <w:sz w:val="24"/>
          <w:highlight w:val="none"/>
          <w:lang w:val="en-US" w:eastAsia="zh-CN"/>
        </w:rPr>
        <w:t>15楼1501-1室</w:t>
      </w:r>
      <w:r>
        <w:rPr>
          <w:rFonts w:hint="eastAsia" w:ascii="仿宋" w:hAnsi="仿宋" w:eastAsia="仿宋" w:cs="仿宋"/>
          <w:b/>
          <w:color w:val="auto"/>
          <w:sz w:val="24"/>
          <w:highlight w:val="none"/>
          <w:lang w:val="en-US" w:eastAsia="zh-CN"/>
        </w:rPr>
        <w:t>/</w:t>
      </w:r>
      <w:r>
        <w:rPr>
          <w:rFonts w:hint="eastAsia" w:ascii="仿宋" w:hAnsi="仿宋" w:eastAsia="仿宋" w:cs="仿宋"/>
          <w:color w:val="auto"/>
          <w:sz w:val="24"/>
          <w:highlight w:val="none"/>
        </w:rPr>
        <w:t>政采云平台（https://www.zcygov.cn/）</w:t>
      </w:r>
    </w:p>
    <w:p w14:paraId="71BF211C">
      <w:pPr>
        <w:numPr>
          <w:ilvl w:val="0"/>
          <w:numId w:val="0"/>
        </w:numPr>
        <w:spacing w:line="360" w:lineRule="auto"/>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五、</w:t>
      </w:r>
      <w:r>
        <w:rPr>
          <w:rFonts w:hint="eastAsia" w:ascii="仿宋" w:hAnsi="仿宋" w:eastAsia="仿宋" w:cs="仿宋"/>
          <w:b/>
          <w:color w:val="auto"/>
          <w:sz w:val="24"/>
          <w:highlight w:val="none"/>
        </w:rPr>
        <w:t>采购意向公开链接</w:t>
      </w:r>
    </w:p>
    <w:p w14:paraId="9DF936B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https://zfcg.czt.zj.gov.cn/luban/detail?parentId=600007&amp;articleId=cjnuAnJxN+nuITYuGTzpzA==&amp;utm=web-micro-app-back-front.6da13629.0.0.cdd23730ce5611efb0a405894cac310c</w:t>
      </w:r>
    </w:p>
    <w:p w14:paraId="A5C8DD2E">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14:paraId="AC423A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F4E3FFC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3E946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923F95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1FB5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031F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A9C65BA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32DE6B68">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1F1F0453">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982738682"/>
        </w:rPr>
        <w:t>名</w:t>
      </w:r>
      <w:r>
        <w:rPr>
          <w:rFonts w:hint="eastAsia" w:ascii="仿宋" w:hAnsi="仿宋" w:eastAsia="仿宋" w:cs="仿宋"/>
          <w:color w:val="auto"/>
          <w:spacing w:val="0"/>
          <w:kern w:val="0"/>
          <w:sz w:val="24"/>
          <w:highlight w:val="none"/>
          <w:fitText w:val="960" w:id="-982738682"/>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杭州市滨江区人民政府浦沿街道办事处</w:t>
      </w:r>
    </w:p>
    <w:p w14:paraId="AB6F95D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3"/>
        </w:rPr>
        <w:t>地</w:t>
      </w:r>
      <w:r>
        <w:rPr>
          <w:rFonts w:hint="eastAsia" w:ascii="仿宋" w:hAnsi="仿宋" w:eastAsia="仿宋" w:cs="仿宋"/>
          <w:color w:val="auto"/>
          <w:spacing w:val="0"/>
          <w:kern w:val="0"/>
          <w:sz w:val="24"/>
          <w:highlight w:val="none"/>
          <w:fitText w:val="960" w:id="-982738683"/>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杭州市</w:t>
      </w:r>
      <w:r>
        <w:rPr>
          <w:rFonts w:hint="eastAsia" w:ascii="仿宋" w:hAnsi="仿宋" w:eastAsia="仿宋" w:cs="仿宋"/>
          <w:color w:val="auto"/>
          <w:sz w:val="24"/>
          <w:highlight w:val="none"/>
        </w:rPr>
        <w:t>滨江区浦沿街道东冠路501号</w:t>
      </w:r>
    </w:p>
    <w:p w14:paraId="563E8F4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4"/>
        </w:rPr>
        <w:t>传</w:t>
      </w:r>
      <w:r>
        <w:rPr>
          <w:rFonts w:hint="eastAsia" w:ascii="仿宋" w:hAnsi="仿宋" w:eastAsia="仿宋" w:cs="仿宋"/>
          <w:color w:val="auto"/>
          <w:spacing w:val="0"/>
          <w:kern w:val="0"/>
          <w:sz w:val="24"/>
          <w:highlight w:val="none"/>
          <w:fitText w:val="960" w:id="-982738684"/>
        </w:rPr>
        <w:t>真</w:t>
      </w:r>
      <w:r>
        <w:rPr>
          <w:rFonts w:hint="eastAsia" w:ascii="仿宋" w:hAnsi="仿宋" w:eastAsia="仿宋" w:cs="仿宋"/>
          <w:color w:val="auto"/>
          <w:sz w:val="24"/>
          <w:highlight w:val="none"/>
        </w:rPr>
        <w:t>：/</w:t>
      </w:r>
    </w:p>
    <w:p w14:paraId="41DA9B7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宋体"/>
          <w:color w:val="auto"/>
          <w:sz w:val="24"/>
          <w:highlight w:val="none"/>
        </w:rPr>
        <w:t>张</w:t>
      </w:r>
      <w:r>
        <w:rPr>
          <w:rFonts w:hint="eastAsia" w:ascii="仿宋" w:hAnsi="仿宋" w:eastAsia="仿宋" w:cs="宋体"/>
          <w:color w:val="auto"/>
          <w:sz w:val="24"/>
          <w:highlight w:val="none"/>
          <w:lang w:val="en-US" w:eastAsia="zh-CN"/>
        </w:rPr>
        <w:t>科</w:t>
      </w:r>
    </w:p>
    <w:p w14:paraId="02B2B04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宋体"/>
          <w:color w:val="auto"/>
          <w:sz w:val="24"/>
          <w:highlight w:val="none"/>
        </w:rPr>
        <w:t>13957139702</w:t>
      </w:r>
    </w:p>
    <w:p w14:paraId="9151221E">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宋体"/>
          <w:color w:val="auto"/>
          <w:sz w:val="24"/>
          <w:highlight w:val="none"/>
          <w:lang w:val="en-US" w:eastAsia="zh-CN"/>
        </w:rPr>
        <w:t>徐</w:t>
      </w:r>
      <w:r>
        <w:rPr>
          <w:rFonts w:hint="eastAsia" w:ascii="仿宋" w:hAnsi="仿宋" w:eastAsia="仿宋" w:cs="宋体"/>
          <w:color w:val="auto"/>
          <w:sz w:val="24"/>
          <w:highlight w:val="none"/>
        </w:rPr>
        <w:t>主任</w:t>
      </w:r>
    </w:p>
    <w:p w14:paraId="E576EE67">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宋体" w:hAnsi="宋体" w:eastAsia="仿宋" w:cs="宋体"/>
          <w:color w:val="auto"/>
          <w:sz w:val="24"/>
          <w:highlight w:val="none"/>
          <w:lang w:val="en-US" w:eastAsia="zh-CN"/>
        </w:rPr>
        <w:t>0571-89522031</w:t>
      </w:r>
      <w:r>
        <w:rPr>
          <w:rFonts w:hint="eastAsia" w:ascii="仿宋" w:hAnsi="仿宋" w:eastAsia="仿宋" w:cs="仿宋"/>
          <w:color w:val="auto"/>
          <w:sz w:val="24"/>
          <w:highlight w:val="none"/>
        </w:rPr>
        <w:t>（请通过以下路径在线提起质疑：政采云-项目采购-询问质疑投诉-质疑列表）</w:t>
      </w:r>
    </w:p>
    <w:p w14:paraId="0FB5EDB3">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8436AECD">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982738681"/>
        </w:rPr>
        <w:t>名</w:t>
      </w:r>
      <w:r>
        <w:rPr>
          <w:rFonts w:hint="eastAsia" w:ascii="仿宋" w:hAnsi="仿宋" w:eastAsia="仿宋" w:cs="仿宋"/>
          <w:color w:val="auto"/>
          <w:spacing w:val="0"/>
          <w:kern w:val="0"/>
          <w:sz w:val="24"/>
          <w:highlight w:val="none"/>
          <w:fitText w:val="960" w:id="-982738681"/>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p>
    <w:p w14:paraId="253524C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7"/>
        </w:rPr>
        <w:t>地</w:t>
      </w:r>
      <w:r>
        <w:rPr>
          <w:rFonts w:hint="eastAsia" w:ascii="仿宋" w:hAnsi="仿宋" w:eastAsia="仿宋" w:cs="仿宋"/>
          <w:color w:val="auto"/>
          <w:spacing w:val="0"/>
          <w:kern w:val="0"/>
          <w:sz w:val="24"/>
          <w:highlight w:val="none"/>
          <w:fitText w:val="960" w:id="-982738687"/>
        </w:rPr>
        <w:t>址</w:t>
      </w:r>
      <w:r>
        <w:rPr>
          <w:rFonts w:hint="eastAsia" w:ascii="仿宋" w:hAnsi="仿宋" w:eastAsia="仿宋" w:cs="仿宋"/>
          <w:color w:val="auto"/>
          <w:sz w:val="24"/>
          <w:highlight w:val="none"/>
        </w:rPr>
        <w:t>：</w:t>
      </w:r>
      <w:r>
        <w:rPr>
          <w:rFonts w:hint="eastAsia" w:ascii="仿宋" w:hAnsi="仿宋" w:eastAsia="仿宋" w:cs="宋体"/>
          <w:color w:val="auto"/>
          <w:sz w:val="24"/>
          <w:highlight w:val="none"/>
        </w:rPr>
        <w:t>杭州市西湖区古墩路701号紫金广场A座</w:t>
      </w:r>
      <w:r>
        <w:rPr>
          <w:rFonts w:hint="eastAsia" w:ascii="仿宋" w:hAnsi="仿宋" w:eastAsia="仿宋" w:cs="宋体"/>
          <w:color w:val="auto"/>
          <w:sz w:val="24"/>
          <w:highlight w:val="none"/>
          <w:lang w:val="en-US" w:eastAsia="zh-CN"/>
        </w:rPr>
        <w:t>15</w:t>
      </w:r>
      <w:r>
        <w:rPr>
          <w:rFonts w:hint="eastAsia" w:ascii="仿宋" w:hAnsi="仿宋" w:eastAsia="仿宋" w:cs="宋体"/>
          <w:color w:val="auto"/>
          <w:sz w:val="24"/>
          <w:highlight w:val="none"/>
        </w:rPr>
        <w:t>楼</w:t>
      </w:r>
      <w:r>
        <w:rPr>
          <w:rFonts w:hint="eastAsia" w:ascii="仿宋" w:hAnsi="仿宋" w:eastAsia="仿宋" w:cs="宋体"/>
          <w:color w:val="auto"/>
          <w:sz w:val="24"/>
          <w:highlight w:val="none"/>
          <w:lang w:val="en-US" w:eastAsia="zh-CN"/>
        </w:rPr>
        <w:t>1509</w:t>
      </w:r>
      <w:r>
        <w:rPr>
          <w:rFonts w:hint="eastAsia" w:ascii="仿宋" w:hAnsi="仿宋" w:eastAsia="仿宋" w:cs="宋体"/>
          <w:color w:val="auto"/>
          <w:sz w:val="24"/>
          <w:highlight w:val="none"/>
        </w:rPr>
        <w:t>室</w:t>
      </w:r>
    </w:p>
    <w:p w14:paraId="C3006B9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8"/>
        </w:rPr>
        <w:t>传</w:t>
      </w:r>
      <w:r>
        <w:rPr>
          <w:rFonts w:hint="eastAsia" w:ascii="仿宋" w:hAnsi="仿宋" w:eastAsia="仿宋" w:cs="仿宋"/>
          <w:color w:val="auto"/>
          <w:spacing w:val="0"/>
          <w:kern w:val="0"/>
          <w:sz w:val="24"/>
          <w:highlight w:val="none"/>
          <w:fitText w:val="960" w:id="-982738688"/>
        </w:rPr>
        <w:t>真</w:t>
      </w:r>
      <w:r>
        <w:rPr>
          <w:rFonts w:hint="eastAsia" w:ascii="仿宋" w:hAnsi="仿宋" w:eastAsia="仿宋" w:cs="仿宋"/>
          <w:color w:val="auto"/>
          <w:sz w:val="24"/>
          <w:highlight w:val="none"/>
        </w:rPr>
        <w:t>：/</w:t>
      </w:r>
    </w:p>
    <w:p w14:paraId="A3124862">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何磊</w:t>
      </w:r>
    </w:p>
    <w:p w14:paraId="DEA1BED4">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15868121513</w:t>
      </w:r>
    </w:p>
    <w:p w14:paraId="7CE204AD">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叶臣</w:t>
      </w:r>
    </w:p>
    <w:p w14:paraId="7D81626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13666659131</w:t>
      </w:r>
      <w:r>
        <w:rPr>
          <w:rFonts w:hint="eastAsia" w:ascii="仿宋" w:hAnsi="仿宋" w:eastAsia="仿宋" w:cs="仿宋"/>
          <w:color w:val="auto"/>
          <w:sz w:val="24"/>
          <w:highlight w:val="none"/>
        </w:rPr>
        <w:t>（请通过以下路径在线提起质疑：政采云-项目采购-询问质疑投诉-质疑列表）</w:t>
      </w:r>
    </w:p>
    <w:p w14:paraId="02AA6A95">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805B5CC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8"/>
        </w:rPr>
        <w:t>名</w:t>
      </w:r>
      <w:r>
        <w:rPr>
          <w:rFonts w:hint="eastAsia" w:ascii="仿宋" w:hAnsi="仿宋" w:eastAsia="仿宋" w:cs="仿宋"/>
          <w:color w:val="auto"/>
          <w:spacing w:val="0"/>
          <w:kern w:val="0"/>
          <w:sz w:val="24"/>
          <w:highlight w:val="none"/>
          <w:fitText w:val="960" w:id="-982738678"/>
        </w:rPr>
        <w:t>称</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w:t>
      </w:r>
      <w:r>
        <w:rPr>
          <w:rFonts w:hint="eastAsia" w:ascii="仿宋" w:hAnsi="仿宋" w:eastAsia="仿宋" w:cs="仿宋"/>
          <w:color w:val="auto"/>
          <w:sz w:val="24"/>
          <w:highlight w:val="none"/>
        </w:rPr>
        <w:t>区财政局/浙江省政府采购行政裁决服务中心（杭州）</w:t>
      </w:r>
    </w:p>
    <w:p w14:paraId="FB7C282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9"/>
        </w:rPr>
        <w:t>地</w:t>
      </w:r>
      <w:r>
        <w:rPr>
          <w:rFonts w:hint="eastAsia" w:ascii="仿宋" w:hAnsi="仿宋" w:eastAsia="仿宋" w:cs="仿宋"/>
          <w:color w:val="auto"/>
          <w:spacing w:val="0"/>
          <w:kern w:val="0"/>
          <w:sz w:val="24"/>
          <w:highlight w:val="none"/>
          <w:fitText w:val="960" w:id="-982738679"/>
        </w:rPr>
        <w:t>址</w:t>
      </w:r>
      <w:r>
        <w:rPr>
          <w:rFonts w:hint="eastAsia" w:ascii="仿宋" w:hAnsi="仿宋" w:eastAsia="仿宋" w:cs="仿宋"/>
          <w:color w:val="auto"/>
          <w:sz w:val="24"/>
          <w:highlight w:val="none"/>
        </w:rPr>
        <w:t>：杭州市上城区四季青街道新业路市民之家G03办公室（快递仅限ems或顺丰）</w:t>
      </w:r>
    </w:p>
    <w:p w14:paraId="83419ABF">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0"/>
        </w:rPr>
        <w:t>传</w:t>
      </w:r>
      <w:r>
        <w:rPr>
          <w:rFonts w:hint="eastAsia" w:ascii="仿宋" w:hAnsi="仿宋" w:eastAsia="仿宋" w:cs="仿宋"/>
          <w:color w:val="auto"/>
          <w:spacing w:val="0"/>
          <w:kern w:val="0"/>
          <w:sz w:val="24"/>
          <w:highlight w:val="none"/>
          <w:fitText w:val="960" w:id="-982738680"/>
        </w:rPr>
        <w:t>真</w:t>
      </w:r>
      <w:r>
        <w:rPr>
          <w:rFonts w:hint="eastAsia" w:ascii="仿宋" w:hAnsi="仿宋" w:eastAsia="仿宋" w:cs="仿宋"/>
          <w:color w:val="auto"/>
          <w:sz w:val="24"/>
          <w:highlight w:val="none"/>
        </w:rPr>
        <w:t>：/</w:t>
      </w:r>
    </w:p>
    <w:p w14:paraId="99D7FEC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63CB3CE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监督投诉电话：0571-85252453（仅限投诉事项）</w:t>
      </w:r>
    </w:p>
    <w:p w14:paraId="AAF32D6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F95DA9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240"/>
          <w:kern w:val="0"/>
          <w:sz w:val="24"/>
          <w:highlight w:val="none"/>
          <w:fitText w:val="480" w:id="-982738431"/>
        </w:rPr>
        <w:t>A</w:t>
      </w:r>
      <w:r>
        <w:rPr>
          <w:rFonts w:hint="eastAsia" w:ascii="仿宋" w:hAnsi="仿宋" w:eastAsia="仿宋" w:cs="仿宋"/>
          <w:color w:val="auto"/>
          <w:spacing w:val="0"/>
          <w:kern w:val="0"/>
          <w:sz w:val="24"/>
          <w:highlight w:val="none"/>
          <w:fitText w:val="480" w:id="-982738431"/>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240"/>
          <w:kern w:val="0"/>
          <w:sz w:val="24"/>
          <w:highlight w:val="none"/>
          <w:fitText w:val="480" w:id="-982738432"/>
        </w:rPr>
        <w:t>A</w:t>
      </w:r>
      <w:r>
        <w:rPr>
          <w:rFonts w:hint="eastAsia" w:ascii="仿宋" w:hAnsi="仿宋" w:eastAsia="仿宋" w:cs="仿宋"/>
          <w:color w:val="auto"/>
          <w:spacing w:val="0"/>
          <w:kern w:val="0"/>
          <w:sz w:val="24"/>
          <w:highlight w:val="none"/>
          <w:fitText w:val="480" w:id="-982738432"/>
        </w:rPr>
        <w:t>4</w:t>
      </w:r>
      <w:r>
        <w:rPr>
          <w:rFonts w:hint="eastAsia" w:ascii="仿宋" w:hAnsi="仿宋" w:eastAsia="仿宋" w:cs="仿宋"/>
          <w:color w:val="auto"/>
          <w:sz w:val="24"/>
          <w:highlight w:val="none"/>
        </w:rPr>
        <w:t>00-087-8198。</w:t>
      </w:r>
    </w:p>
    <w:p w14:paraId="465748DA">
      <w:pPr>
        <w:adjustRightInd/>
        <w:spacing w:line="360" w:lineRule="auto"/>
        <w:jc w:val="center"/>
        <w:outlineLvl w:val="0"/>
        <w:rPr>
          <w:rFonts w:ascii="仿宋" w:hAnsi="仿宋" w:eastAsia="仿宋" w:cs="仿宋"/>
          <w:b/>
          <w:color w:val="auto"/>
          <w:sz w:val="36"/>
          <w:szCs w:val="20"/>
          <w:highlight w:val="none"/>
        </w:rPr>
        <w:sectPr>
          <w:pgSz w:w="11906" w:h="16838"/>
          <w:pgMar w:top="680" w:right="1418" w:bottom="468" w:left="1418" w:header="851" w:footer="992" w:gutter="0"/>
          <w:cols w:space="720" w:num="1"/>
          <w:titlePg/>
          <w:docGrid w:linePitch="312" w:charSpace="0"/>
        </w:sectPr>
      </w:pPr>
    </w:p>
    <w:p w14:paraId="E554B19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362"/>
          <w:kern w:val="0"/>
          <w:sz w:val="36"/>
          <w:szCs w:val="20"/>
          <w:highlight w:val="none"/>
          <w:fitText w:val="1444" w:id="-982738176"/>
        </w:rPr>
        <w:t>分</w:t>
      </w:r>
      <w:r>
        <w:rPr>
          <w:rFonts w:hint="eastAsia" w:ascii="仿宋" w:hAnsi="仿宋" w:eastAsia="仿宋" w:cs="仿宋"/>
          <w:b/>
          <w:color w:val="auto"/>
          <w:spacing w:val="0"/>
          <w:kern w:val="0"/>
          <w:sz w:val="36"/>
          <w:szCs w:val="20"/>
          <w:highlight w:val="none"/>
          <w:fitText w:val="1444" w:id="-982738176"/>
        </w:rPr>
        <w:t>投</w:t>
      </w:r>
      <w:r>
        <w:rPr>
          <w:rFonts w:hint="eastAsia" w:ascii="仿宋" w:hAnsi="仿宋" w:eastAsia="仿宋" w:cs="仿宋"/>
          <w:b/>
          <w:color w:val="auto"/>
          <w:sz w:val="36"/>
          <w:szCs w:val="20"/>
          <w:highlight w:val="none"/>
        </w:rPr>
        <w:t>标人须知</w:t>
      </w:r>
      <w:bookmarkEnd w:id="7"/>
    </w:p>
    <w:p w14:paraId="05394D15">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BB51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CD92FCE1">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0F144572">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3B9166F4">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C7A6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629" w:type="dxa"/>
            <w:vAlign w:val="center"/>
          </w:tcPr>
          <w:p w14:paraId="C01E8DCB">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9D795C70">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0093B644">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23A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9" w:hRule="atLeast"/>
          <w:tblHeader/>
          <w:jc w:val="center"/>
        </w:trPr>
        <w:tc>
          <w:tcPr>
            <w:tcW w:w="629" w:type="dxa"/>
            <w:vAlign w:val="center"/>
          </w:tcPr>
          <w:p w14:paraId="3384B2C9">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DCE77295">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C9B37465">
            <w:pPr>
              <w:keepLines w:val="0"/>
              <w:pageBreakBefore w:val="0"/>
              <w:widowControl w:val="0"/>
              <w:numPr>
                <w:ilvl w:val="0"/>
                <w:numId w:val="1"/>
              </w:numPr>
              <w:kinsoku/>
              <w:wordWrap/>
              <w:overflowPunct/>
              <w:topLinePunct w:val="0"/>
              <w:autoSpaceDE/>
              <w:autoSpaceDN/>
              <w:bidi w:val="0"/>
              <w:adjustRightInd w:val="0"/>
              <w:snapToGrid w:val="0"/>
              <w:spacing w:line="360" w:lineRule="exac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标的：</w:t>
            </w:r>
            <w:r>
              <w:rPr>
                <w:rFonts w:hint="eastAsia" w:ascii="仿宋" w:hAnsi="仿宋" w:eastAsia="仿宋" w:cs="宋体"/>
                <w:b/>
                <w:bCs/>
                <w:color w:val="auto"/>
                <w:kern w:val="0"/>
                <w:sz w:val="24"/>
                <w:highlight w:val="none"/>
                <w:u w:val="single"/>
                <w:lang w:eastAsia="zh-CN"/>
              </w:rPr>
              <w:t>浦沿街道安全生产技术服务</w:t>
            </w:r>
            <w:r>
              <w:rPr>
                <w:rFonts w:hint="eastAsia" w:ascii="仿宋" w:hAnsi="仿宋" w:eastAsia="仿宋" w:cs="宋体"/>
                <w:color w:val="auto"/>
                <w:kern w:val="0"/>
                <w:sz w:val="24"/>
                <w:highlight w:val="none"/>
              </w:rPr>
              <w:t>，属于</w:t>
            </w:r>
            <w:r>
              <w:rPr>
                <w:rFonts w:hint="eastAsia" w:ascii="仿宋" w:hAnsi="仿宋" w:eastAsia="仿宋" w:cs="宋体"/>
                <w:b/>
                <w:bCs/>
                <w:color w:val="auto"/>
                <w:kern w:val="0"/>
                <w:sz w:val="24"/>
                <w:highlight w:val="none"/>
                <w:u w:val="single"/>
                <w:lang w:val="en-US" w:eastAsia="zh-CN"/>
              </w:rPr>
              <w:t>其他未列明</w:t>
            </w:r>
            <w:r>
              <w:rPr>
                <w:rFonts w:hint="eastAsia" w:ascii="仿宋" w:hAnsi="仿宋" w:eastAsia="仿宋" w:cs="宋体"/>
                <w:color w:val="auto"/>
                <w:kern w:val="0"/>
                <w:sz w:val="24"/>
                <w:highlight w:val="none"/>
              </w:rPr>
              <w:t>行业；</w:t>
            </w:r>
          </w:p>
          <w:p w14:paraId="1D6E7FD1">
            <w:pPr>
              <w:keepNext/>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color w:val="auto"/>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b/>
                <w:bCs/>
                <w:color w:val="auto"/>
                <w:kern w:val="0"/>
                <w:sz w:val="24"/>
                <w:highlight w:val="none"/>
                <w:u w:val="single"/>
              </w:rPr>
              <w:t>其他未列明行业</w:t>
            </w:r>
            <w:r>
              <w:rPr>
                <w:rFonts w:hint="eastAsia" w:ascii="仿宋" w:hAnsi="仿宋" w:eastAsia="仿宋" w:cs="宋体"/>
                <w:b/>
                <w:bCs/>
                <w:color w:val="auto"/>
                <w:kern w:val="0"/>
                <w:sz w:val="24"/>
                <w:highlight w:val="none"/>
                <w:u w:val="single"/>
                <w:lang w:eastAsia="zh-CN"/>
              </w:rPr>
              <w:t>：</w:t>
            </w:r>
            <w:r>
              <w:rPr>
                <w:rFonts w:hint="eastAsia" w:ascii="仿宋" w:hAnsi="仿宋" w:eastAsia="仿宋" w:cs="宋体"/>
                <w:color w:val="auto"/>
                <w:kern w:val="0"/>
                <w:sz w:val="24"/>
                <w:highlight w:val="none"/>
                <w:u w:val="single"/>
              </w:rPr>
              <w:t>从业人员300人以下的为中小微型企业。其中，从业人员100人及以上的为中型企业；从业人员10人及以上的为小型企业；从业人员10人以下的为微型企业</w:t>
            </w:r>
            <w:r>
              <w:rPr>
                <w:rFonts w:hint="eastAsia" w:ascii="仿宋" w:hAnsi="仿宋" w:eastAsia="仿宋" w:cs="宋体"/>
                <w:color w:val="auto"/>
                <w:kern w:val="0"/>
                <w:sz w:val="24"/>
                <w:highlight w:val="none"/>
                <w:u w:val="none"/>
              </w:rPr>
              <w:t>。</w:t>
            </w:r>
          </w:p>
        </w:tc>
      </w:tr>
      <w:tr w14:paraId="7C6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FC2226D9">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01B347C8">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22E46048">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E10769BF">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A5D8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7" w:hRule="atLeast"/>
          <w:tblHeader/>
          <w:jc w:val="center"/>
        </w:trPr>
        <w:tc>
          <w:tcPr>
            <w:tcW w:w="629" w:type="dxa"/>
            <w:vAlign w:val="center"/>
          </w:tcPr>
          <w:p w14:paraId="02E35D97">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411B4229">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5EDC58A7">
            <w:pPr>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C0D4CC16">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31F8B6C2">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注：不得限制大中型企业向小微企业合理分包。分包份额不得超过总包单位。投标人中标后以分包方式履行合同的，提供分包意向协议（附件7）；不以分包方式履行合同的，则无需提供。</w:t>
            </w:r>
          </w:p>
        </w:tc>
      </w:tr>
      <w:tr w14:paraId="EFC8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2" w:hRule="atLeast"/>
          <w:tblHeader/>
          <w:jc w:val="center"/>
        </w:trPr>
        <w:tc>
          <w:tcPr>
            <w:tcW w:w="629" w:type="dxa"/>
            <w:vAlign w:val="center"/>
          </w:tcPr>
          <w:p w14:paraId="CA68B9EF">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6D4840CA">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76D71874">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BD5AE344">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A970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jc w:val="center"/>
        </w:trPr>
        <w:tc>
          <w:tcPr>
            <w:tcW w:w="629" w:type="dxa"/>
            <w:vAlign w:val="center"/>
          </w:tcPr>
          <w:p w14:paraId="C2F54D00">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723E7CF3">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CDA7559E">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8638E7C">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B59E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jc w:val="center"/>
        </w:trPr>
        <w:tc>
          <w:tcPr>
            <w:tcW w:w="629" w:type="dxa"/>
            <w:vAlign w:val="center"/>
          </w:tcPr>
          <w:p w14:paraId="43AAE2B9">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A20B7B50">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9D388148">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E45971DA">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☐B组织。</w:t>
            </w:r>
          </w:p>
        </w:tc>
      </w:tr>
      <w:tr w14:paraId="798A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14:paraId="D5932A2F">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6B1D540C">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CEC5A608">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05F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14:paraId="45C406D4">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843" w:type="dxa"/>
            <w:vMerge w:val="continue"/>
            <w:vAlign w:val="center"/>
          </w:tcPr>
          <w:p w14:paraId="1613DFFC">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095" w:type="dxa"/>
            <w:vAlign w:val="center"/>
          </w:tcPr>
          <w:p w14:paraId="46703954">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893C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FC6743A3">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6A8C9006">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D63E392E">
            <w:pPr>
              <w:keepLines w:val="0"/>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43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9A98D2E5">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B15A41C0">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91C3721D">
            <w:pPr>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BBADA8C">
            <w:pPr>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F74E6A0C">
            <w:pPr>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9C8A9B0B">
            <w:pPr>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A2984076">
            <w:pPr>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52F71DE">
            <w:pPr>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A334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9" w:hRule="atLeast"/>
          <w:tblHeader/>
          <w:jc w:val="center"/>
        </w:trPr>
        <w:tc>
          <w:tcPr>
            <w:tcW w:w="629" w:type="dxa"/>
            <w:vMerge w:val="restart"/>
            <w:vAlign w:val="center"/>
          </w:tcPr>
          <w:p w14:paraId="787B5015">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vAlign w:val="center"/>
          </w:tcPr>
          <w:p w14:paraId="2C7DFCC3">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5F6715B6">
            <w:pPr>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788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0" w:hRule="atLeast"/>
          <w:tblHeader/>
          <w:jc w:val="center"/>
        </w:trPr>
        <w:tc>
          <w:tcPr>
            <w:tcW w:w="629" w:type="dxa"/>
            <w:vMerge w:val="continue"/>
            <w:vAlign w:val="center"/>
          </w:tcPr>
          <w:p w14:paraId="50606CD6">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vAlign w:val="center"/>
          </w:tcPr>
          <w:p w14:paraId="EFD4DE41">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p>
        </w:tc>
        <w:tc>
          <w:tcPr>
            <w:tcW w:w="6095" w:type="dxa"/>
            <w:vAlign w:val="center"/>
          </w:tcPr>
          <w:p w14:paraId="C977EE32">
            <w:pPr>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w:t>
            </w:r>
            <w:r>
              <w:rPr>
                <w:rFonts w:ascii="仿宋_GB2312" w:hAnsi="仿宋" w:eastAsia="仿宋_GB2312"/>
                <w:color w:val="auto"/>
                <w:sz w:val="24"/>
                <w:highlight w:val="none"/>
              </w:rPr>
              <w:t>杭州市滨江区财政局出台了</w:t>
            </w:r>
            <w:r>
              <w:rPr>
                <w:rFonts w:hint="eastAsia" w:ascii="仿宋_GB2312" w:hAnsi="仿宋" w:eastAsia="仿宋_GB2312"/>
                <w:color w:val="auto"/>
                <w:sz w:val="24"/>
                <w:highlight w:val="none"/>
              </w:rPr>
              <w:t>《杭州高新开发区（滨江）政府采购支持中小企业信用融资暂行办法》。供应商中标后根据杭州市滨江区门户网站公示的滨江区政采贷合作银行及联系人信息表</w:t>
            </w:r>
          </w:p>
          <w:p w14:paraId="D8EA305D">
            <w:pPr>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_GB2312" w:hAnsi="仿宋" w:eastAsia="仿宋_GB2312" w:cs="Times New Roman"/>
                <w:snapToGrid w:val="0"/>
                <w:color w:val="auto"/>
                <w:kern w:val="28"/>
                <w:sz w:val="24"/>
                <w:highlight w:val="none"/>
              </w:rPr>
              <w:t>（</w:t>
            </w:r>
            <w:r>
              <w:rPr>
                <w:rFonts w:hint="eastAsia" w:ascii="仿宋_GB2312" w:hAnsi="仿宋" w:eastAsia="仿宋_GB2312" w:cs="Times New Roman"/>
                <w:snapToGrid w:val="0"/>
                <w:color w:val="auto"/>
                <w:kern w:val="28"/>
                <w:sz w:val="24"/>
                <w:highlight w:val="none"/>
              </w:rPr>
              <w:fldChar w:fldCharType="begin"/>
            </w:r>
            <w:r>
              <w:rPr>
                <w:rFonts w:hint="eastAsia" w:ascii="仿宋_GB2312" w:hAnsi="仿宋" w:eastAsia="仿宋_GB2312" w:cs="Times New Roman"/>
                <w:snapToGrid w:val="0"/>
                <w:color w:val="auto"/>
                <w:kern w:val="28"/>
                <w:sz w:val="24"/>
                <w:highlight w:val="none"/>
              </w:rPr>
              <w:instrText xml:space="preserve"> HYPERLINK "http://www.hhtz.gov.cn/art/2022/1/11/art_1487037_59039349.html" </w:instrText>
            </w:r>
            <w:r>
              <w:rPr>
                <w:rFonts w:hint="eastAsia" w:ascii="仿宋_GB2312" w:hAnsi="仿宋" w:eastAsia="仿宋_GB2312" w:cs="Times New Roman"/>
                <w:snapToGrid w:val="0"/>
                <w:color w:val="auto"/>
                <w:kern w:val="28"/>
                <w:sz w:val="24"/>
                <w:highlight w:val="none"/>
              </w:rPr>
              <w:fldChar w:fldCharType="separate"/>
            </w:r>
            <w:r>
              <w:rPr>
                <w:rFonts w:hint="eastAsia" w:ascii="仿宋_GB2312" w:hAnsi="仿宋" w:eastAsia="仿宋_GB2312" w:cs="Times New Roman"/>
                <w:snapToGrid w:val="0"/>
                <w:color w:val="auto"/>
                <w:kern w:val="28"/>
                <w:sz w:val="24"/>
                <w:highlight w:val="none"/>
              </w:rPr>
              <w:t>http://www.hhtz.gov.cn/art/2023/1/11/art_1487037_59039349.html</w:t>
            </w:r>
            <w:r>
              <w:rPr>
                <w:rFonts w:hint="eastAsia" w:ascii="仿宋_GB2312" w:hAnsi="仿宋" w:eastAsia="仿宋_GB2312" w:cs="Times New Roman"/>
                <w:snapToGrid w:val="0"/>
                <w:color w:val="auto"/>
                <w:kern w:val="28"/>
                <w:sz w:val="24"/>
                <w:highlight w:val="none"/>
              </w:rPr>
              <w:fldChar w:fldCharType="end"/>
            </w:r>
            <w:r>
              <w:rPr>
                <w:rFonts w:hint="eastAsia" w:ascii="仿宋_GB2312" w:hAnsi="仿宋" w:eastAsia="仿宋_GB2312" w:cs="Times New Roman"/>
                <w:snapToGrid w:val="0"/>
                <w:color w:val="auto"/>
                <w:kern w:val="28"/>
                <w:sz w:val="24"/>
                <w:highlight w:val="none"/>
              </w:rPr>
              <w:t>）获取联系方式选择银行进行对接申请。</w:t>
            </w:r>
          </w:p>
        </w:tc>
      </w:tr>
      <w:tr w14:paraId="38A0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7EAFBDBE">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56A3FFD0">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C1E3ACEB">
            <w:pPr>
              <w:pStyle w:val="33"/>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宋体"/>
                <w:color w:val="auto"/>
                <w:sz w:val="24"/>
                <w:szCs w:val="24"/>
                <w:highlight w:val="none"/>
                <w:u w:val="single"/>
                <w:lang w:eastAsia="zh-CN"/>
              </w:rPr>
              <w:t>杭州市西湖区古墩路701号紫金广场A座</w:t>
            </w:r>
            <w:r>
              <w:rPr>
                <w:rFonts w:hint="eastAsia" w:ascii="仿宋" w:hAnsi="仿宋" w:eastAsia="仿宋" w:cs="宋体"/>
                <w:color w:val="auto"/>
                <w:sz w:val="24"/>
                <w:szCs w:val="24"/>
                <w:highlight w:val="none"/>
                <w:u w:val="single"/>
                <w:lang w:val="en-US" w:eastAsia="zh-CN"/>
              </w:rPr>
              <w:t>15</w:t>
            </w:r>
            <w:r>
              <w:rPr>
                <w:rFonts w:hint="eastAsia" w:ascii="仿宋" w:hAnsi="仿宋" w:eastAsia="仿宋" w:cs="宋体"/>
                <w:color w:val="auto"/>
                <w:sz w:val="24"/>
                <w:szCs w:val="24"/>
                <w:highlight w:val="none"/>
                <w:u w:val="single"/>
                <w:lang w:eastAsia="zh-CN"/>
              </w:rPr>
              <w:t>楼</w:t>
            </w:r>
            <w:r>
              <w:rPr>
                <w:rFonts w:hint="eastAsia" w:ascii="仿宋" w:hAnsi="仿宋" w:eastAsia="仿宋" w:cs="宋体"/>
                <w:color w:val="auto"/>
                <w:sz w:val="24"/>
                <w:szCs w:val="24"/>
                <w:highlight w:val="none"/>
                <w:u w:val="single"/>
                <w:lang w:val="en-US" w:eastAsia="zh-CN"/>
              </w:rPr>
              <w:t>1509</w:t>
            </w:r>
            <w:r>
              <w:rPr>
                <w:rFonts w:hint="eastAsia" w:ascii="仿宋" w:hAnsi="仿宋" w:eastAsia="仿宋" w:cs="宋体"/>
                <w:color w:val="auto"/>
                <w:sz w:val="24"/>
                <w:szCs w:val="24"/>
                <w:highlight w:val="none"/>
                <w:u w:val="single"/>
                <w:lang w:eastAsia="zh-CN"/>
              </w:rPr>
              <w:t>室</w:t>
            </w:r>
            <w:r>
              <w:rPr>
                <w:rFonts w:hint="eastAsia" w:ascii="仿宋" w:hAnsi="仿宋" w:eastAsia="仿宋" w:cs="宋体"/>
                <w:color w:val="auto"/>
                <w:kern w:val="28"/>
                <w:sz w:val="24"/>
                <w:szCs w:val="24"/>
                <w:highlight w:val="none"/>
              </w:rPr>
              <w:t>；备份响应文件签收人员联系电话：</w:t>
            </w:r>
            <w:r>
              <w:rPr>
                <w:rFonts w:hint="eastAsia" w:ascii="仿宋" w:hAnsi="仿宋" w:eastAsia="仿宋" w:cs="宋体"/>
                <w:color w:val="auto"/>
                <w:sz w:val="24"/>
                <w:szCs w:val="24"/>
                <w:highlight w:val="none"/>
                <w:u w:val="single"/>
                <w:lang w:eastAsia="zh-CN"/>
              </w:rPr>
              <w:t>何磊</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lang w:eastAsia="zh-CN"/>
              </w:rPr>
              <w:t>15868121513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6D8F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14:paraId="36764CAF">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52244112">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2F6017D1">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C50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4465023C">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843" w:type="dxa"/>
            <w:vMerge w:val="continue"/>
            <w:vAlign w:val="center"/>
          </w:tcPr>
          <w:p w14:paraId="BF0D6EC7">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095" w:type="dxa"/>
            <w:vAlign w:val="center"/>
          </w:tcPr>
          <w:p w14:paraId="2D6CE3CA">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snapToGrid w:val="0"/>
                <w:color w:val="auto"/>
                <w:kern w:val="28"/>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AAAB64C">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snapToGrid w:val="0"/>
                <w:color w:val="auto"/>
                <w:kern w:val="28"/>
                <w:sz w:val="24"/>
                <w:highlight w:val="non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D904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C6D5416C">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843" w:type="dxa"/>
            <w:vMerge w:val="continue"/>
            <w:vAlign w:val="center"/>
          </w:tcPr>
          <w:p w14:paraId="FD0CCBAA">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095" w:type="dxa"/>
            <w:vAlign w:val="center"/>
          </w:tcPr>
          <w:p w14:paraId="C4055FBA">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（1）本项目代理服务费以中标金额为计算基础，参照计价格【2002】1980号文的收费标准向中标供应商收取。以上费用，中标供应商应当自中标结果公告发布之日起5个工作日内一次性向采购代理机构支付。</w:t>
            </w:r>
          </w:p>
          <w:p w14:paraId="A80DB6D1">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14:paraId="DB448996">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①代理服务费缴纳形式：汇票/支票/电汇/现金</w:t>
            </w:r>
          </w:p>
          <w:p w14:paraId="A40FAB9B">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②代理服务费汇入以下账户：</w:t>
            </w:r>
          </w:p>
          <w:p w14:paraId="22469008">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lang w:eastAsia="zh-CN"/>
              </w:rPr>
            </w:pPr>
            <w:r>
              <w:rPr>
                <w:rFonts w:hint="eastAsia" w:ascii="仿宋" w:hAnsi="仿宋" w:eastAsia="仿宋"/>
                <w:color w:val="auto"/>
                <w:kern w:val="28"/>
                <w:sz w:val="24"/>
                <w:szCs w:val="24"/>
                <w:highlight w:val="none"/>
              </w:rPr>
              <w:t>收款单位（户名）：</w:t>
            </w:r>
            <w:r>
              <w:rPr>
                <w:rFonts w:hint="eastAsia" w:ascii="仿宋" w:hAnsi="仿宋" w:eastAsia="仿宋"/>
                <w:color w:val="auto"/>
                <w:kern w:val="28"/>
                <w:sz w:val="24"/>
                <w:szCs w:val="24"/>
                <w:highlight w:val="none"/>
                <w:lang w:eastAsia="zh-CN"/>
              </w:rPr>
              <w:t>浙江省成套工程有限公司</w:t>
            </w:r>
          </w:p>
          <w:p w14:paraId="8E0CC8C6">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开户行：杭州联合农村商业银行股份有限公司三墩支行</w:t>
            </w:r>
          </w:p>
          <w:p w14:paraId="0DCF737E">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账  号：201000065548152</w:t>
            </w:r>
          </w:p>
          <w:p w14:paraId="D7F0856D">
            <w:pPr>
              <w:pStyle w:val="33"/>
              <w:keepLines w:val="0"/>
              <w:pageBreakBefore w:val="0"/>
              <w:widowControl w:val="0"/>
              <w:kinsoku/>
              <w:wordWrap/>
              <w:overflowPunct/>
              <w:topLinePunct w:val="0"/>
              <w:autoSpaceDE/>
              <w:autoSpaceDN/>
              <w:bidi w:val="0"/>
              <w:adjustRightInd w:val="0"/>
              <w:spacing w:line="360" w:lineRule="exact"/>
              <w:jc w:val="left"/>
              <w:textAlignment w:val="auto"/>
              <w:rPr>
                <w:rFonts w:ascii="仿宋" w:hAnsi="仿宋" w:eastAsia="仿宋" w:cs="仿宋"/>
                <w:color w:val="auto"/>
                <w:kern w:val="0"/>
                <w:sz w:val="24"/>
                <w:highlight w:val="none"/>
              </w:rPr>
            </w:pPr>
            <w:r>
              <w:rPr>
                <w:rFonts w:hint="eastAsia" w:ascii="仿宋" w:hAnsi="仿宋" w:eastAsia="仿宋"/>
                <w:color w:val="auto"/>
                <w:kern w:val="28"/>
                <w:sz w:val="24"/>
                <w:szCs w:val="24"/>
                <w:highlight w:val="none"/>
              </w:rPr>
              <w:t>（3）增值税发票开具资料：单位名称、税号（统一社会信用代码）、开户行名称、账号、地址及联系电话。</w:t>
            </w:r>
          </w:p>
        </w:tc>
      </w:tr>
      <w:tr w14:paraId="E16B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40CBDE97">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843" w:type="dxa"/>
            <w:vMerge w:val="continue"/>
            <w:vAlign w:val="center"/>
          </w:tcPr>
          <w:p w14:paraId="848A2496">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095" w:type="dxa"/>
            <w:vAlign w:val="center"/>
          </w:tcPr>
          <w:p w14:paraId="460F6A49">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olor w:val="auto"/>
                <w:kern w:val="28"/>
                <w:sz w:val="24"/>
                <w:highlight w:val="none"/>
              </w:rPr>
            </w:pPr>
            <w:r>
              <w:rPr>
                <w:rFonts w:hint="eastAsia" w:ascii="仿宋" w:hAnsi="仿宋" w:eastAsia="仿宋" w:cs="宋体"/>
                <w:snapToGrid w:val="0"/>
                <w:color w:val="auto"/>
                <w:kern w:val="28"/>
                <w:sz w:val="24"/>
                <w:highlight w:val="none"/>
              </w:rPr>
              <w:t>如遇“政府采购云平台”电子化开标或评审程序调整的，按调整后程序执行。</w:t>
            </w:r>
          </w:p>
        </w:tc>
      </w:tr>
      <w:tr w14:paraId="6652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566649DC">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843" w:type="dxa"/>
            <w:vMerge w:val="continue"/>
            <w:vAlign w:val="center"/>
          </w:tcPr>
          <w:p w14:paraId="866717AD">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095" w:type="dxa"/>
            <w:vAlign w:val="center"/>
          </w:tcPr>
          <w:p w14:paraId="8115CA7B">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A8C0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tblHeader/>
          <w:jc w:val="center"/>
        </w:trPr>
        <w:tc>
          <w:tcPr>
            <w:tcW w:w="629" w:type="dxa"/>
            <w:vMerge w:val="continue"/>
            <w:vAlign w:val="center"/>
          </w:tcPr>
          <w:p w14:paraId="69075D69">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color w:val="auto"/>
                <w:sz w:val="24"/>
                <w:highlight w:val="none"/>
              </w:rPr>
            </w:pPr>
          </w:p>
        </w:tc>
        <w:tc>
          <w:tcPr>
            <w:tcW w:w="1843" w:type="dxa"/>
            <w:vMerge w:val="continue"/>
            <w:vAlign w:val="center"/>
          </w:tcPr>
          <w:p w14:paraId="223BC6CB">
            <w:pPr>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p>
        </w:tc>
        <w:tc>
          <w:tcPr>
            <w:tcW w:w="6095" w:type="dxa"/>
            <w:vAlign w:val="center"/>
          </w:tcPr>
          <w:p w14:paraId="70B51FF3">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评审因素对应的要求视为采购需求的一部分。</w:t>
            </w:r>
          </w:p>
        </w:tc>
      </w:tr>
      <w:bookmarkEnd w:id="8"/>
    </w:tbl>
    <w:p w14:paraId="5570EF96">
      <w:pPr>
        <w:adjustRightInd/>
        <w:spacing w:line="360" w:lineRule="auto"/>
        <w:jc w:val="center"/>
        <w:outlineLvl w:val="0"/>
        <w:rPr>
          <w:rFonts w:hint="eastAsia" w:ascii="仿宋" w:hAnsi="仿宋" w:eastAsia="仿宋" w:cs="仿宋"/>
          <w:b/>
          <w:color w:val="auto"/>
          <w:sz w:val="32"/>
          <w:szCs w:val="20"/>
          <w:highlight w:val="none"/>
        </w:rPr>
        <w:sectPr>
          <w:pgSz w:w="11906" w:h="16838"/>
          <w:pgMar w:top="680" w:right="1418" w:bottom="468" w:left="1418" w:header="851" w:footer="992" w:gutter="0"/>
          <w:cols w:space="720" w:num="1"/>
          <w:titlePg/>
          <w:docGrid w:linePitch="312" w:charSpace="0"/>
        </w:sectPr>
      </w:pPr>
      <w:bookmarkStart w:id="9" w:name="_Toc164416483"/>
    </w:p>
    <w:p w14:paraId="914E3D4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5C974DE">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B60A460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B84E0B1">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BEA4BB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5DECCA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AD9D53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1B3B31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91F460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068B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2598E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r>
        <w:rPr>
          <w:rFonts w:hint="eastAsia" w:ascii="Wingdings" w:hAnsi="Wingdings" w:eastAsia="仿宋" w:cs="仿宋"/>
          <w:color w:val="auto"/>
          <w:kern w:val="0"/>
          <w:sz w:val="24"/>
          <w:highlight w:val="none"/>
        </w:rPr>
        <w:t>þ</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14:paraId="99852F43">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5DACDDD0">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4BA353D">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3.2支持绿色发展</w:t>
      </w:r>
    </w:p>
    <w:p w14:paraId="9EDFF49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98CB11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C93F18B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DE5014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9885AA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E57CC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679F4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16251D9">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D39C080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FC397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10%-20%（招标文件第四部分评标办法明确具体的扣除比例，未明确的，给予10%的扣除）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4%-6%（招标文件第四部分评标办法明确具体的扣除比例，未明确的，给予4%的扣除）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F5D87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BB6925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F70F0B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6AF0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FF4305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B2400B5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C3FB46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A37AFB">
      <w:pPr>
        <w:spacing w:line="360" w:lineRule="auto"/>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3.4.3采购人应当贯彻落实知识产权保护相关法律法规，应当采购使用正版软件。</w:t>
      </w:r>
    </w:p>
    <w:p w14:paraId="561BBC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B59AFCD4">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r>
        <w:rPr>
          <w:rFonts w:hint="eastAsia" w:ascii="仿宋" w:hAnsi="仿宋" w:eastAsia="仿宋" w:cs="仿宋"/>
          <w:b/>
          <w:bCs/>
          <w:color w:val="auto"/>
          <w:sz w:val="24"/>
          <w:highlight w:val="none"/>
        </w:rPr>
        <w:t>、补偿救济</w:t>
      </w:r>
    </w:p>
    <w:p w14:paraId="E16BCAF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D6306C">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CD4F9B9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F29C6D1C">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94D820B6">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EF8E10DA">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C572C1C6">
      <w:pPr>
        <w:pStyle w:val="1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8C79E24A">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B7EDABE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E34DA17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4.3.3.1供应商的姓名或者名称、地址、邮编、联系人及联系电话；</w:t>
      </w:r>
    </w:p>
    <w:p w14:paraId="67EF1299">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4.3.3.2质疑项目的名称、编号；</w:t>
      </w:r>
    </w:p>
    <w:p w14:paraId="8507EA0F">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4.3.3.3具体、明确的质疑事项和与质疑事项相关的请求；</w:t>
      </w:r>
    </w:p>
    <w:p w14:paraId="1DF7828C">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4.3.3.4事实依据；</w:t>
      </w:r>
    </w:p>
    <w:p w14:paraId="6FB33195">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4.3.3.5必要的法律依据；</w:t>
      </w:r>
    </w:p>
    <w:p w14:paraId="360AA583">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4.3.3.6提出质疑的日期。</w:t>
      </w:r>
    </w:p>
    <w:p w14:paraId="497F99C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D12540A2">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3D68FBE3">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4.3.4对同一采购程序环节的质疑，供应商须在法定质疑期内一次性提出。</w:t>
      </w:r>
    </w:p>
    <w:p w14:paraId="6D33AD5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A4FBA3FA">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21148E92">
      <w:pPr>
        <w:pStyle w:val="33"/>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FA895F5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800B30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4.4.2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02B0FB6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0009D16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A1CDD36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F5E3CA1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4.5补偿救济</w:t>
      </w:r>
    </w:p>
    <w:p w14:paraId="6DD7AFB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采购人（行政机关）因政策变化、规划调整而不履行政府采购合同的，供应商可依据《杭州市涉企补偿救济实施办法（试行）》向采购人（行政机关）提起补偿申请。</w:t>
      </w:r>
    </w:p>
    <w:p w14:paraId="65599165">
      <w:pPr>
        <w:pStyle w:val="33"/>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投诉书范本及制作说明详见附件3。</w:t>
      </w:r>
    </w:p>
    <w:p w14:paraId="E0431D88">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9DA80D5B">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83AE8829">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F9DA8391">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ADDAAD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4D15D40">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0895CE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97B62492">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33F6ED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F4F64A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448D878">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7C77357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F8CFEC9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FEB9472F">
      <w:pPr>
        <w:pStyle w:val="24"/>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97915F5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D953A896">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BF86EC0">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A8B23E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19F9484">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E9B667F">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B2EF883A">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3E8C9A25">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F188BD20">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4CD599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6717C2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BBFACBC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C3D7055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ED3DB67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884D0588">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F3B0DEB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39E4306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EB16304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E70FFB6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A3B4263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86BBE6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B7987A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D5150CB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11.2.8政府采购供应商廉洁自律承诺书；</w:t>
      </w:r>
    </w:p>
    <w:p w14:paraId="464341AD">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236373E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47826B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11.3.2报价情况说明（如供应商报价低于项目预算50%的，应当提交本文档，详细阐述不影响产品质量或者诚信履约的具体原因）；</w:t>
      </w:r>
    </w:p>
    <w:p w14:paraId="2FD39C9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A1A46FA9">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C0F22F03">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0914A3D">
      <w:pPr>
        <w:spacing w:line="360"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w:t>
      </w:r>
    </w:p>
    <w:p w14:paraId="0E7715C0">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893C33D9">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E75748C7">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ED86E5">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AE0930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E2A1D623">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E224A0A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B3963754">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B5A4D9EB">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8476B245">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5F8934">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97E8385C">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EC6A7D0E">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53EC211">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3377E4B">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E171D27F">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9E14F2FA">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6D2568">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E2940F1">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D1B571CC">
      <w:pPr>
        <w:pStyle w:val="2"/>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A2E2A84">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FEB3DCF5">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E1B4D3A6">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8874A61C">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8740DED">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8C1BB48A">
      <w:pPr>
        <w:pStyle w:val="556"/>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DD8694AA">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6296E46F">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859D98CD">
      <w:pPr>
        <w:pStyle w:val="556"/>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14:paraId="9C3848CE">
      <w:pPr>
        <w:pStyle w:val="556"/>
        <w:spacing w:before="0" w:line="360" w:lineRule="auto"/>
        <w:ind w:left="0" w:firstLine="482" w:firstLineChars="200"/>
        <w:contextualSpacing/>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bidi="ar-SA"/>
        </w:rPr>
        <w:t>18.4结束解密后30分钟内，供应商应通过邮件形式将经授权代表签署的《政府采购活动现场确认声明书》（格式见采购文件最后一页内容）扫描件发至代理机构经办人邮箱（邮箱地址：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仿宋"/>
          <w:b/>
          <w:bCs/>
          <w:color w:val="auto"/>
          <w:sz w:val="24"/>
          <w:highlight w:val="none"/>
          <w:lang w:val="en-US" w:eastAsia="zh-CN" w:bidi="ar-SA"/>
        </w:rPr>
        <w:fldChar w:fldCharType="begin"/>
      </w:r>
      <w:r>
        <w:rPr>
          <w:rFonts w:hint="eastAsia" w:ascii="仿宋" w:hAnsi="仿宋" w:eastAsia="仿宋" w:cs="仿宋"/>
          <w:b/>
          <w:bCs/>
          <w:color w:val="auto"/>
          <w:sz w:val="24"/>
          <w:highlight w:val="none"/>
          <w:lang w:val="en-US" w:eastAsia="zh-CN" w:bidi="ar-SA"/>
        </w:rPr>
        <w:instrText xml:space="preserve"> HYPERLINK "mailto:1697976919@qq.com，联系人：黄林承，电话：19858153552" </w:instrText>
      </w:r>
      <w:r>
        <w:rPr>
          <w:rFonts w:hint="eastAsia" w:ascii="仿宋" w:hAnsi="仿宋" w:eastAsia="仿宋" w:cs="仿宋"/>
          <w:b/>
          <w:bCs/>
          <w:color w:val="auto"/>
          <w:sz w:val="24"/>
          <w:highlight w:val="none"/>
          <w:lang w:val="en-US" w:eastAsia="zh-CN" w:bidi="ar-SA"/>
        </w:rPr>
        <w:fldChar w:fldCharType="separate"/>
      </w:r>
      <w:r>
        <w:rPr>
          <w:rFonts w:hint="eastAsia" w:ascii="仿宋" w:hAnsi="仿宋" w:eastAsia="仿宋" w:cs="仿宋"/>
          <w:b/>
          <w:bCs/>
          <w:color w:val="auto"/>
          <w:sz w:val="24"/>
          <w:highlight w:val="none"/>
          <w:lang w:val="en-US" w:eastAsia="zh-CN" w:bidi="ar-SA"/>
        </w:rPr>
        <w:t>1905135046@qq.com，联系人：何磊，电话：15868121513</w:t>
      </w:r>
      <w:r>
        <w:rPr>
          <w:rFonts w:hint="eastAsia" w:ascii="仿宋" w:hAnsi="仿宋" w:eastAsia="仿宋" w:cs="仿宋"/>
          <w:b/>
          <w:bCs/>
          <w:color w:val="auto"/>
          <w:sz w:val="24"/>
          <w:highlight w:val="none"/>
          <w:lang w:val="en-US" w:eastAsia="zh-CN" w:bidi="ar-SA"/>
        </w:rPr>
        <w:fldChar w:fldCharType="end"/>
      </w:r>
      <w:r>
        <w:rPr>
          <w:rFonts w:hint="eastAsia" w:ascii="仿宋" w:hAnsi="仿宋" w:eastAsia="仿宋" w:cs="仿宋"/>
          <w:b/>
          <w:bCs/>
          <w:color w:val="auto"/>
          <w:sz w:val="24"/>
          <w:highlight w:val="none"/>
          <w:lang w:val="en-US" w:eastAsia="zh-CN" w:bidi="ar-SA"/>
        </w:rPr>
        <w:t>），未发送视为对开标过程及结果无异议。</w:t>
      </w:r>
    </w:p>
    <w:p w14:paraId="3F20D9FD">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E8E2DD5E">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19.资格审查</w:t>
      </w:r>
    </w:p>
    <w:p w14:paraId="E565EF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D28C6586">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C2CFCB07">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D748D1D">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DDFCFF3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FBDB00C">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highlight w:val="none"/>
        </w:rPr>
        <w:t>.</w:t>
      </w:r>
      <w:r>
        <w:rPr>
          <w:rFonts w:hint="eastAsia" w:ascii="仿宋" w:hAnsi="仿宋" w:eastAsia="仿宋" w:cs="仿宋"/>
          <w:b/>
          <w:color w:val="auto"/>
          <w:szCs w:val="24"/>
          <w:highlight w:val="none"/>
        </w:rPr>
        <w:t>信用信息查询</w:t>
      </w:r>
    </w:p>
    <w:p w14:paraId="BA98C609">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67D7EE4">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E9EDFAB1">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15AC85">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FB91C38C">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C3C0B7C2">
      <w:pPr>
        <w:spacing w:line="360" w:lineRule="auto"/>
        <w:rPr>
          <w:rFonts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857B38EF">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917C6F71">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2C4240AD">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2BFD256">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0A2CA04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E5DCE3F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14:paraId="8E011190">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F686F560">
      <w:pPr>
        <w:pStyle w:val="130"/>
        <w:snapToGrid w:val="0"/>
        <w:spacing w:before="0"/>
        <w:ind w:firstLine="482"/>
        <w:rPr>
          <w:rFonts w:ascii="仿宋" w:hAnsi="仿宋" w:eastAsia="仿宋" w:cs="仿宋"/>
          <w:color w:val="auto"/>
          <w:sz w:val="21"/>
          <w:szCs w:val="21"/>
          <w:highlight w:val="none"/>
        </w:rPr>
      </w:pPr>
      <w:r>
        <w:rPr>
          <w:rFonts w:hint="eastAsia" w:ascii="仿宋" w:hAnsi="仿宋" w:eastAsia="仿宋" w:cs="仿宋"/>
          <w:b/>
          <w:color w:val="auto"/>
          <w:szCs w:val="24"/>
          <w:highlight w:val="none"/>
        </w:rPr>
        <w:t>23.4</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2CCD762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84AB1E0">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D62F5196">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6EE70B72">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EA108A94">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FFE8C4B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B5A5848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266A3E0">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97726A8E">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CBBDE66E">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E7715A1C">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FB477D8">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14:paraId="103DEA68">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7F45473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ABDF83EC">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4F77706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A174495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EB4880A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5437BF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28.4病毒发作导致不能进行正常操作的；</w:t>
      </w:r>
    </w:p>
    <w:p w14:paraId="BCB332C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79B3A07">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02BE651">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CAFA5EB">
      <w:pPr>
        <w:pStyle w:val="2"/>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52DA8BA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A2BCC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B4D7163">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15483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E6DF6C">
      <w:pPr>
        <w:tabs>
          <w:tab w:val="left" w:pos="0"/>
        </w:tabs>
        <w:spacing w:line="360" w:lineRule="auto"/>
        <w:ind w:firstLine="480"/>
        <w:rPr>
          <w:rFonts w:ascii="仿宋" w:hAnsi="仿宋" w:eastAsia="仿宋" w:cs="仿宋"/>
          <w:color w:val="auto"/>
          <w:kern w:val="0"/>
          <w:sz w:val="24"/>
          <w:highlight w:val="none"/>
        </w:rPr>
      </w:pPr>
      <w:r>
        <w:rPr>
          <w:rFonts w:hint="eastAsia" w:asci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14:paraId="3642CDC3">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12" w:name="_Hlt68072998"/>
      <w:bookmarkEnd w:id="12"/>
      <w:bookmarkStart w:id="13" w:name="_Hlt75236290"/>
      <w:bookmarkEnd w:id="13"/>
      <w:bookmarkStart w:id="14" w:name="_Hlt68057669"/>
      <w:bookmarkEnd w:id="14"/>
      <w:bookmarkStart w:id="15" w:name="_Hlt75236101"/>
      <w:bookmarkEnd w:id="15"/>
      <w:bookmarkStart w:id="16" w:name="_Hlt68073093"/>
      <w:bookmarkEnd w:id="16"/>
      <w:bookmarkStart w:id="17" w:name="_Hlt75236011"/>
      <w:bookmarkEnd w:id="17"/>
      <w:bookmarkStart w:id="18" w:name="_Hlt68403820"/>
      <w:bookmarkEnd w:id="18"/>
      <w:bookmarkStart w:id="19" w:name="_Hlt74714665"/>
      <w:bookmarkEnd w:id="19"/>
      <w:bookmarkStart w:id="20" w:name="_Hlt74730295"/>
      <w:bookmarkEnd w:id="20"/>
      <w:bookmarkStart w:id="21" w:name="_Hlt74729768"/>
      <w:bookmarkEnd w:id="21"/>
      <w:bookmarkStart w:id="22" w:name="_Hlt68072990"/>
      <w:bookmarkEnd w:id="22"/>
      <w:bookmarkStart w:id="23" w:name="_Hlt74707468"/>
      <w:bookmarkEnd w:id="23"/>
    </w:p>
    <w:bookmarkEnd w:id="9"/>
    <w:p w14:paraId="B9F878DC">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w:t>
      </w:r>
      <w:r>
        <w:rPr>
          <w:rFonts w:hint="eastAsia" w:ascii="仿宋" w:hAnsi="仿宋" w:eastAsia="仿宋" w:cs="仿宋"/>
          <w:b/>
          <w:color w:val="auto"/>
          <w:spacing w:val="362"/>
          <w:kern w:val="0"/>
          <w:sz w:val="36"/>
          <w:szCs w:val="36"/>
          <w:highlight w:val="none"/>
          <w:fitText w:val="1444" w:id="-982737920"/>
        </w:rPr>
        <w:t>分</w:t>
      </w:r>
      <w:r>
        <w:rPr>
          <w:rFonts w:hint="eastAsia" w:ascii="仿宋" w:hAnsi="仿宋" w:eastAsia="仿宋" w:cs="仿宋"/>
          <w:b/>
          <w:color w:val="auto"/>
          <w:spacing w:val="0"/>
          <w:kern w:val="0"/>
          <w:sz w:val="36"/>
          <w:szCs w:val="36"/>
          <w:highlight w:val="none"/>
          <w:fitText w:val="1444" w:id="-982737920"/>
        </w:rPr>
        <w:t>采</w:t>
      </w:r>
      <w:r>
        <w:rPr>
          <w:rFonts w:hint="eastAsia" w:ascii="仿宋" w:hAnsi="仿宋" w:eastAsia="仿宋" w:cs="仿宋"/>
          <w:b/>
          <w:color w:val="auto"/>
          <w:sz w:val="36"/>
          <w:szCs w:val="36"/>
          <w:highlight w:val="none"/>
        </w:rPr>
        <w:t>购需求</w:t>
      </w:r>
    </w:p>
    <w:p w14:paraId="2F689E26">
      <w:pPr>
        <w:keepNext w:val="0"/>
        <w:keepLines w:val="0"/>
        <w:pageBreakBefore w:val="0"/>
        <w:tabs>
          <w:tab w:val="left" w:pos="8280"/>
        </w:tabs>
        <w:kinsoku/>
        <w:wordWrap/>
        <w:overflowPunct/>
        <w:topLinePunct w:val="0"/>
        <w:autoSpaceDE w:val="0"/>
        <w:autoSpaceDN w:val="0"/>
        <w:bidi w:val="0"/>
        <w:adjustRightInd w:val="0"/>
        <w:spacing w:line="360" w:lineRule="exact"/>
        <w:ind w:right="25"/>
        <w:textAlignment w:val="auto"/>
        <w:rPr>
          <w:rFonts w:hint="eastAsia" w:ascii="仿宋" w:hAnsi="仿宋" w:eastAsia="仿宋" w:cs="仿宋"/>
          <w:color w:val="auto"/>
          <w:sz w:val="24"/>
          <w:highlight w:val="none"/>
        </w:rPr>
      </w:pPr>
      <w:bookmarkStart w:id="24" w:name="_Toc109654392"/>
      <w:r>
        <w:rPr>
          <w:rFonts w:hint="eastAsia" w:ascii="仿宋" w:hAnsi="仿宋" w:eastAsia="仿宋" w:cs="仿宋"/>
          <w:b/>
          <w:color w:val="auto"/>
          <w:sz w:val="24"/>
          <w:highlight w:val="none"/>
        </w:rPr>
        <w:t>一、招标项目一览表</w:t>
      </w:r>
    </w:p>
    <w:tbl>
      <w:tblPr>
        <w:tblStyle w:val="62"/>
        <w:tblpPr w:leftFromText="180" w:rightFromText="180" w:vertAnchor="text" w:horzAnchor="margin" w:tblpXSpec="center" w:tblpY="12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707"/>
        <w:gridCol w:w="1592"/>
        <w:gridCol w:w="1583"/>
        <w:gridCol w:w="2886"/>
      </w:tblGrid>
      <w:tr w14:paraId="02CD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26" w:type="pct"/>
            <w:vAlign w:val="center"/>
          </w:tcPr>
          <w:p w14:paraId="992B6A5D">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序号</w:t>
            </w:r>
          </w:p>
        </w:tc>
        <w:tc>
          <w:tcPr>
            <w:tcW w:w="1005" w:type="pct"/>
            <w:vAlign w:val="center"/>
          </w:tcPr>
          <w:p w14:paraId="483A6FD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937" w:type="pct"/>
            <w:vAlign w:val="center"/>
          </w:tcPr>
          <w:p w14:paraId="FFF850C8">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预算（万元）</w:t>
            </w:r>
          </w:p>
        </w:tc>
        <w:tc>
          <w:tcPr>
            <w:tcW w:w="932" w:type="pct"/>
            <w:vAlign w:val="center"/>
          </w:tcPr>
          <w:p w14:paraId="C318B707">
            <w:pPr>
              <w:keepNext w:val="0"/>
              <w:keepLines w:val="0"/>
              <w:pageBreakBefore w:val="0"/>
              <w:tabs>
                <w:tab w:val="left" w:pos="8280"/>
              </w:tabs>
              <w:kinsoku/>
              <w:wordWrap/>
              <w:overflowPunct/>
              <w:topLinePunct w:val="0"/>
              <w:autoSpaceDE w:val="0"/>
              <w:autoSpaceDN w:val="0"/>
              <w:bidi w:val="0"/>
              <w:adjustRightInd w:val="0"/>
              <w:spacing w:line="360" w:lineRule="exact"/>
              <w:ind w:right="25" w:hanging="22"/>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w:t>
            </w:r>
          </w:p>
          <w:p w14:paraId="88B83C04">
            <w:pPr>
              <w:keepNext w:val="0"/>
              <w:keepLines w:val="0"/>
              <w:pageBreakBefore w:val="0"/>
              <w:tabs>
                <w:tab w:val="left" w:pos="8280"/>
              </w:tabs>
              <w:kinsoku/>
              <w:wordWrap/>
              <w:overflowPunct/>
              <w:topLinePunct w:val="0"/>
              <w:autoSpaceDE w:val="0"/>
              <w:autoSpaceDN w:val="0"/>
              <w:bidi w:val="0"/>
              <w:adjustRightInd w:val="0"/>
              <w:spacing w:line="360" w:lineRule="exact"/>
              <w:ind w:right="25" w:hanging="22"/>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（万元）</w:t>
            </w:r>
          </w:p>
        </w:tc>
        <w:tc>
          <w:tcPr>
            <w:tcW w:w="1698" w:type="pct"/>
            <w:vAlign w:val="center"/>
          </w:tcPr>
          <w:p w14:paraId="749D41D7">
            <w:pPr>
              <w:keepNext w:val="0"/>
              <w:keepLines w:val="0"/>
              <w:pageBreakBefore w:val="0"/>
              <w:tabs>
                <w:tab w:val="left" w:pos="8280"/>
              </w:tabs>
              <w:kinsoku/>
              <w:wordWrap/>
              <w:overflowPunct/>
              <w:topLinePunct w:val="0"/>
              <w:autoSpaceDE w:val="0"/>
              <w:autoSpaceDN w:val="0"/>
              <w:bidi w:val="0"/>
              <w:adjustRightInd w:val="0"/>
              <w:spacing w:line="360" w:lineRule="exact"/>
              <w:ind w:right="25" w:hanging="22"/>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服务期</w:t>
            </w:r>
          </w:p>
        </w:tc>
      </w:tr>
      <w:tr w14:paraId="7F9A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26" w:type="pct"/>
            <w:vAlign w:val="center"/>
          </w:tcPr>
          <w:p w14:paraId="995D5DBB">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05" w:type="pct"/>
            <w:vAlign w:val="center"/>
          </w:tcPr>
          <w:p w14:paraId="972DADD0">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浦沿街道安全生产技术服务</w:t>
            </w:r>
          </w:p>
        </w:tc>
        <w:tc>
          <w:tcPr>
            <w:tcW w:w="937" w:type="pct"/>
            <w:vAlign w:val="center"/>
          </w:tcPr>
          <w:p w14:paraId="F5BBAF64">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480（三年，160万元/年）</w:t>
            </w:r>
          </w:p>
        </w:tc>
        <w:tc>
          <w:tcPr>
            <w:tcW w:w="932" w:type="pct"/>
            <w:vAlign w:val="center"/>
          </w:tcPr>
          <w:p w14:paraId="5A19133D">
            <w:pPr>
              <w:keepNext w:val="0"/>
              <w:keepLines w:val="0"/>
              <w:pageBreakBefore w:val="0"/>
              <w:kinsoku/>
              <w:wordWrap/>
              <w:overflowPunct/>
              <w:topLinePunct w:val="0"/>
              <w:bidi w:val="0"/>
              <w:adjustRightInd w:val="0"/>
              <w:spacing w:line="36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480（三年，160万元/年）</w:t>
            </w:r>
          </w:p>
        </w:tc>
        <w:tc>
          <w:tcPr>
            <w:tcW w:w="1698" w:type="pct"/>
            <w:vAlign w:val="center"/>
          </w:tcPr>
          <w:p w14:paraId="51E26F71">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1"/>
                <w:sz w:val="24"/>
                <w:highlight w:val="none"/>
                <w:shd w:val="clear" w:color="auto" w:fill="FEFEFE"/>
                <w:lang w:val="en-US" w:eastAsia="zh-CN"/>
              </w:rPr>
              <w:t>三</w:t>
            </w:r>
            <w:r>
              <w:rPr>
                <w:rFonts w:hint="eastAsia" w:ascii="仿宋" w:hAnsi="仿宋" w:eastAsia="仿宋" w:cs="仿宋"/>
                <w:color w:val="auto"/>
                <w:kern w:val="1"/>
                <w:sz w:val="24"/>
                <w:highlight w:val="none"/>
                <w:shd w:val="clear" w:color="auto" w:fill="FEFEFE"/>
              </w:rPr>
              <w:t>年（合同一年一签），具体起讫时间以合同签订为准。</w:t>
            </w:r>
          </w:p>
        </w:tc>
      </w:tr>
    </w:tbl>
    <w:p w14:paraId="0052BE49">
      <w:pPr>
        <w:pStyle w:val="24"/>
        <w:keepNext w:val="0"/>
        <w:keepLines w:val="0"/>
        <w:pageBreakBefore w:val="0"/>
        <w:kinsoku/>
        <w:wordWrap/>
        <w:overflowPunct/>
        <w:topLinePunct w:val="0"/>
        <w:autoSpaceDE w:val="0"/>
        <w:autoSpaceDN w:val="0"/>
        <w:bidi w:val="0"/>
        <w:adjustRightInd w:val="0"/>
        <w:spacing w:line="360" w:lineRule="exact"/>
        <w:textAlignment w:val="auto"/>
        <w:outlineLvl w:val="0"/>
        <w:rPr>
          <w:rFonts w:hint="default" w:ascii="仿宋" w:hAnsi="仿宋" w:eastAsia="仿宋" w:cs="仿宋"/>
          <w:b/>
          <w:bCs/>
          <w:color w:val="auto"/>
          <w:highlight w:val="none"/>
          <w:lang w:val="en-US" w:eastAsia="zh-CN"/>
        </w:rPr>
      </w:pPr>
      <w:bookmarkStart w:id="25" w:name="_Toc13560794"/>
      <w:r>
        <w:rPr>
          <w:rFonts w:hint="eastAsia" w:ascii="仿宋" w:hAnsi="仿宋" w:eastAsia="仿宋" w:cs="仿宋"/>
          <w:b/>
          <w:bCs/>
          <w:color w:val="auto"/>
          <w:highlight w:val="none"/>
        </w:rPr>
        <w:t>二、项目</w:t>
      </w:r>
      <w:r>
        <w:rPr>
          <w:rFonts w:hint="eastAsia" w:ascii="仿宋" w:hAnsi="仿宋" w:eastAsia="仿宋" w:cs="仿宋"/>
          <w:b/>
          <w:bCs/>
          <w:color w:val="auto"/>
          <w:highlight w:val="none"/>
          <w:lang w:val="en-US" w:eastAsia="zh-CN"/>
        </w:rPr>
        <w:t>总体情况</w:t>
      </w:r>
    </w:p>
    <w:bookmarkEnd w:id="25"/>
    <w:p w14:paraId="A5DDACEA">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val="en-US" w:eastAsia="zh-CN"/>
        </w:rPr>
      </w:pPr>
      <w:bookmarkStart w:id="26" w:name="_Toc13560798"/>
      <w:r>
        <w:rPr>
          <w:rFonts w:hint="eastAsia" w:ascii="仿宋" w:hAnsi="仿宋" w:eastAsia="仿宋" w:cs="仿宋"/>
          <w:color w:val="auto"/>
          <w:kern w:val="1"/>
          <w:sz w:val="24"/>
          <w:highlight w:val="none"/>
          <w:shd w:val="clear" w:color="auto" w:fill="FEFEFE"/>
          <w:lang w:val="en-US" w:eastAsia="zh-CN"/>
        </w:rPr>
        <w:t>为进一步统筹开展街道应急消防治理工作，提升安全生产检查中发现重点问题、重大隐患专业能力，推动隐患整改有效闭环，实施安全生产技术服务项目。本项目以采购服务的方式聘请专业的第三方公司，负责开展安全生产、消防安全等第三方技术服务，协助采购人完成安全生产、消防安全等相关工作任务。</w:t>
      </w:r>
    </w:p>
    <w:p w14:paraId="E06B2A35">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val="en-US" w:eastAsia="zh-CN"/>
        </w:rPr>
      </w:pPr>
      <w:r>
        <w:rPr>
          <w:rFonts w:hint="eastAsia" w:ascii="仿宋" w:hAnsi="仿宋" w:eastAsia="仿宋" w:cs="仿宋"/>
          <w:color w:val="auto"/>
          <w:kern w:val="1"/>
          <w:sz w:val="24"/>
          <w:highlight w:val="none"/>
          <w:shd w:val="clear" w:color="auto" w:fill="FEFEFE"/>
          <w:lang w:val="en-US" w:eastAsia="zh-CN"/>
        </w:rPr>
        <w:t>本项目要求投标人具有丰富的同类服务工作经验，具有科学合理的组织结构、严格的管理细则和岗位责任制度，能提供完善的服务和保障管理能力。需要投标人详细了解辖区内安全生产工作的具体情况。在此基础上，结合采购人的基本需求，凭借各投标人的管理服务体系和类似服务的经验，构建科学合理、组织结构精简高效、管理手段先进、适合采购人具体情况并能良好运作的服务体系。</w:t>
      </w:r>
    </w:p>
    <w:p w14:paraId="E77575D8">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val="en-US" w:eastAsia="zh-CN"/>
        </w:rPr>
      </w:pPr>
      <w:r>
        <w:rPr>
          <w:rFonts w:hint="eastAsia" w:ascii="仿宋" w:hAnsi="仿宋" w:eastAsia="仿宋" w:cs="仿宋"/>
          <w:color w:val="auto"/>
          <w:kern w:val="1"/>
          <w:sz w:val="24"/>
          <w:highlight w:val="none"/>
          <w:shd w:val="clear" w:color="auto" w:fill="FEFEFE"/>
          <w:lang w:val="en-US" w:eastAsia="zh-CN"/>
        </w:rPr>
        <w:t>服务期：本项目服务期为三年</w:t>
      </w:r>
      <w:r>
        <w:rPr>
          <w:rFonts w:hint="eastAsia" w:ascii="仿宋" w:hAnsi="仿宋" w:eastAsia="仿宋" w:cs="仿宋"/>
          <w:color w:val="auto"/>
          <w:kern w:val="1"/>
          <w:sz w:val="24"/>
          <w:highlight w:val="none"/>
          <w:shd w:val="clear" w:color="auto" w:fill="FEFEFE"/>
        </w:rPr>
        <w:t>（合同一年一签）</w:t>
      </w:r>
      <w:r>
        <w:rPr>
          <w:rFonts w:hint="eastAsia" w:ascii="仿宋" w:hAnsi="仿宋" w:eastAsia="仿宋" w:cs="仿宋"/>
          <w:color w:val="auto"/>
          <w:kern w:val="1"/>
          <w:sz w:val="24"/>
          <w:highlight w:val="none"/>
          <w:shd w:val="clear" w:color="auto" w:fill="FEFEFE"/>
          <w:lang w:val="en-US" w:eastAsia="zh-CN"/>
        </w:rPr>
        <w:t>，具体起讫日期以合同签订为准。（中标单位若未按合同规定服务，采购人有权终止合同，另行招标采购。中标单位不得将相关工作转包，一经发现有转包行为本协议自动终止，并追究中标单位相关责任。）</w:t>
      </w:r>
    </w:p>
    <w:p w14:paraId="163E0BC8">
      <w:pPr>
        <w:keepNext w:val="0"/>
        <w:keepLines w:val="0"/>
        <w:pageBreakBefore w:val="0"/>
        <w:kinsoku/>
        <w:wordWrap/>
        <w:overflowPunct/>
        <w:topLinePunct w:val="0"/>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kern w:val="1"/>
          <w:sz w:val="24"/>
          <w:highlight w:val="none"/>
          <w:shd w:val="clear" w:color="auto" w:fill="FEFEFE"/>
          <w:lang w:val="en-US" w:eastAsia="zh-CN"/>
        </w:rPr>
        <w:t>三</w:t>
      </w:r>
      <w:r>
        <w:rPr>
          <w:rFonts w:hint="eastAsia" w:ascii="仿宋" w:hAnsi="仿宋" w:eastAsia="仿宋" w:cs="仿宋"/>
          <w:b/>
          <w:bCs/>
          <w:color w:val="auto"/>
          <w:sz w:val="24"/>
          <w:highlight w:val="none"/>
        </w:rPr>
        <w:t>、</w:t>
      </w:r>
      <w:bookmarkEnd w:id="26"/>
      <w:r>
        <w:rPr>
          <w:rFonts w:hint="eastAsia" w:ascii="仿宋" w:hAnsi="仿宋" w:eastAsia="仿宋" w:cs="仿宋"/>
          <w:b/>
          <w:bCs/>
          <w:color w:val="auto"/>
          <w:sz w:val="24"/>
          <w:highlight w:val="none"/>
        </w:rPr>
        <w:t>服务内容</w:t>
      </w:r>
    </w:p>
    <w:p w14:paraId="8F1087CA">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default" w:ascii="仿宋" w:hAnsi="仿宋" w:eastAsia="仿宋" w:cs="仿宋"/>
          <w:color w:val="auto"/>
          <w:kern w:val="1"/>
          <w:sz w:val="24"/>
          <w:highlight w:val="none"/>
          <w:shd w:val="clear" w:color="auto" w:fill="FEFEFE"/>
          <w:lang w:val="en-US"/>
        </w:rPr>
      </w:pPr>
      <w:r>
        <w:rPr>
          <w:rFonts w:hint="eastAsia" w:ascii="仿宋" w:hAnsi="仿宋" w:eastAsia="仿宋" w:cs="仿宋"/>
          <w:color w:val="auto"/>
          <w:kern w:val="1"/>
          <w:sz w:val="24"/>
          <w:highlight w:val="none"/>
          <w:shd w:val="clear" w:color="auto" w:fill="FEFEFE"/>
        </w:rPr>
        <w:t>本项目主要服务内容</w:t>
      </w:r>
      <w:r>
        <w:rPr>
          <w:rFonts w:hint="eastAsia" w:ascii="仿宋" w:hAnsi="仿宋" w:eastAsia="仿宋" w:cs="仿宋"/>
          <w:color w:val="auto"/>
          <w:kern w:val="1"/>
          <w:sz w:val="24"/>
          <w:highlight w:val="none"/>
          <w:shd w:val="clear" w:color="auto" w:fill="FEFEFE"/>
          <w:lang w:val="en-US" w:eastAsia="zh-CN"/>
        </w:rPr>
        <w:t>：</w:t>
      </w:r>
      <w:r>
        <w:rPr>
          <w:rFonts w:hint="eastAsia" w:ascii="仿宋" w:hAnsi="仿宋" w:eastAsia="仿宋" w:cs="仿宋"/>
          <w:color w:val="auto"/>
          <w:kern w:val="1"/>
          <w:sz w:val="24"/>
          <w:highlight w:val="none"/>
          <w:shd w:val="clear" w:color="auto" w:fill="FEFEFE"/>
        </w:rPr>
        <w:t>提供安全生产</w:t>
      </w:r>
      <w:r>
        <w:rPr>
          <w:rFonts w:hint="eastAsia" w:ascii="仿宋" w:hAnsi="仿宋" w:eastAsia="仿宋" w:cs="仿宋"/>
          <w:color w:val="auto"/>
          <w:kern w:val="1"/>
          <w:sz w:val="24"/>
          <w:highlight w:val="none"/>
          <w:shd w:val="clear" w:color="auto" w:fill="FEFEFE"/>
          <w:lang w:eastAsia="zh-CN"/>
        </w:rPr>
        <w:t>（包含危化品、建筑施工、工业企业等领域检查）</w:t>
      </w:r>
      <w:r>
        <w:rPr>
          <w:rFonts w:hint="eastAsia" w:ascii="仿宋" w:hAnsi="仿宋" w:eastAsia="仿宋" w:cs="仿宋"/>
          <w:color w:val="auto"/>
          <w:kern w:val="1"/>
          <w:sz w:val="24"/>
          <w:highlight w:val="none"/>
          <w:shd w:val="clear" w:color="auto" w:fill="FEFEFE"/>
        </w:rPr>
        <w:t>、消防安全相关工作的专业技术指导和支撑，协助完成安全生产、消防安全相关基本工作任务，</w:t>
      </w:r>
      <w:r>
        <w:rPr>
          <w:rFonts w:hint="eastAsia" w:ascii="仿宋" w:hAnsi="仿宋" w:eastAsia="仿宋" w:cs="仿宋"/>
          <w:color w:val="auto"/>
          <w:kern w:val="1"/>
          <w:sz w:val="24"/>
          <w:highlight w:val="none"/>
          <w:shd w:val="clear" w:color="auto" w:fill="FEFEFE"/>
          <w:lang w:val="en-US" w:eastAsia="zh-CN"/>
        </w:rPr>
        <w:t>参与宣传教育、培训演练及其他临时性工作等</w:t>
      </w:r>
      <w:r>
        <w:rPr>
          <w:rFonts w:hint="eastAsia" w:ascii="仿宋" w:hAnsi="仿宋" w:eastAsia="仿宋" w:cs="仿宋"/>
          <w:color w:val="auto"/>
          <w:kern w:val="1"/>
          <w:sz w:val="24"/>
          <w:highlight w:val="none"/>
          <w:shd w:val="clear" w:color="auto" w:fill="FEFEFE"/>
        </w:rPr>
        <w:t>，有效防范安全生产和消防安全事故的发生</w:t>
      </w:r>
      <w:r>
        <w:rPr>
          <w:rFonts w:hint="eastAsia" w:ascii="仿宋" w:hAnsi="仿宋" w:eastAsia="仿宋" w:cs="仿宋"/>
          <w:color w:val="auto"/>
          <w:kern w:val="1"/>
          <w:sz w:val="24"/>
          <w:highlight w:val="none"/>
          <w:shd w:val="clear" w:color="auto" w:fill="FEFEFE"/>
          <w:lang w:eastAsia="zh-CN"/>
        </w:rPr>
        <w:t>。（</w:t>
      </w:r>
      <w:r>
        <w:rPr>
          <w:rFonts w:hint="eastAsia" w:ascii="仿宋" w:hAnsi="仿宋" w:eastAsia="仿宋" w:cs="仿宋"/>
          <w:color w:val="auto"/>
          <w:kern w:val="1"/>
          <w:sz w:val="24"/>
          <w:highlight w:val="none"/>
          <w:shd w:val="clear" w:color="auto" w:fill="FEFEFE"/>
          <w:lang w:val="en-US" w:eastAsia="zh-CN"/>
        </w:rPr>
        <w:t>包括但不限于以下内容）</w:t>
      </w:r>
    </w:p>
    <w:p w14:paraId="0F4F9BD7">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1、安全生产检查</w:t>
      </w:r>
    </w:p>
    <w:p w14:paraId="BB1058C4">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（1）配合采购人对辖区内纳管企业开展安全生产执法检查、专项检查，跟踪后续隐患闭环整改情况，全程提供安全技术支持。</w:t>
      </w:r>
    </w:p>
    <w:p w14:paraId="5D9CCB10">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（2）配合采购人开展安全生产督查、明查暗访等，并提供安全技术支持；</w:t>
      </w:r>
    </w:p>
    <w:p w14:paraId="512B5D18">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（3）配合采购人在事故调查、行政许可、处罚决定等工作中，提供政策法规、审查意见等专业技术支持。</w:t>
      </w:r>
    </w:p>
    <w:p w14:paraId="3CFE04A9">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（4）配合采购人为大型活动全过程提供安全技术支撑保障，必要时24小时驻点。</w:t>
      </w:r>
    </w:p>
    <w:p w14:paraId="011E9043">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2、应急管理保障</w:t>
      </w:r>
    </w:p>
    <w:p w14:paraId="8CBE17BB">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（1）协助采购人开展好各类应急演练，并在过程中提供技术支持。</w:t>
      </w:r>
    </w:p>
    <w:p w14:paraId="039C9F04">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（2）参与属地应急处置和救援，并服从统一指挥。</w:t>
      </w:r>
    </w:p>
    <w:p w14:paraId="AF7ADFD1">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3、宣传教育</w:t>
      </w:r>
    </w:p>
    <w:p w14:paraId="C0CF30F5">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（1）协助采购人指导企业开展安全生产、应急救援等各类预案演练、宣传培训，提供必要的培训内容、演练方案等，并建立培训台账。</w:t>
      </w:r>
    </w:p>
    <w:p w14:paraId="AD2322F1">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val="en-US" w:eastAsia="zh-CN"/>
        </w:rPr>
      </w:pPr>
      <w:r>
        <w:rPr>
          <w:rFonts w:hint="eastAsia" w:ascii="仿宋" w:hAnsi="仿宋" w:eastAsia="仿宋" w:cs="仿宋"/>
          <w:color w:val="auto"/>
          <w:kern w:val="1"/>
          <w:sz w:val="24"/>
          <w:highlight w:val="none"/>
          <w:shd w:val="clear" w:color="auto" w:fill="FEFEFE"/>
          <w:lang w:val="en-US" w:eastAsia="zh-CN"/>
        </w:rPr>
        <w:t>4</w:t>
      </w:r>
      <w:r>
        <w:rPr>
          <w:rFonts w:hint="eastAsia" w:ascii="仿宋" w:hAnsi="仿宋" w:eastAsia="仿宋" w:cs="仿宋"/>
          <w:color w:val="auto"/>
          <w:kern w:val="1"/>
          <w:sz w:val="24"/>
          <w:highlight w:val="none"/>
          <w:shd w:val="clear" w:color="auto" w:fill="FEFEFE"/>
        </w:rPr>
        <w:t>、</w:t>
      </w:r>
      <w:r>
        <w:rPr>
          <w:rFonts w:hint="eastAsia" w:ascii="仿宋" w:hAnsi="仿宋" w:eastAsia="仿宋" w:cs="仿宋"/>
          <w:color w:val="auto"/>
          <w:kern w:val="1"/>
          <w:sz w:val="24"/>
          <w:highlight w:val="none"/>
          <w:shd w:val="clear" w:color="auto" w:fill="FEFEFE"/>
          <w:lang w:val="en-US" w:eastAsia="zh-CN"/>
        </w:rPr>
        <w:t>隐患排查</w:t>
      </w:r>
    </w:p>
    <w:p w14:paraId="26A62386">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val="en-US" w:eastAsia="zh-CN"/>
        </w:rPr>
      </w:pPr>
      <w:r>
        <w:rPr>
          <w:rFonts w:hint="eastAsia" w:ascii="仿宋" w:hAnsi="仿宋" w:eastAsia="仿宋" w:cs="仿宋"/>
          <w:color w:val="auto"/>
          <w:kern w:val="1"/>
          <w:sz w:val="24"/>
          <w:highlight w:val="none"/>
          <w:shd w:val="clear" w:color="auto" w:fill="FEFEFE"/>
          <w:lang w:val="en-US" w:eastAsia="zh-CN"/>
        </w:rPr>
        <w:t>对街道辖区内所有的高层建筑、商业综合体、厂改寓、沿街商铺等场所</w:t>
      </w:r>
      <w:r>
        <w:rPr>
          <w:rFonts w:hint="eastAsia" w:ascii="仿宋" w:hAnsi="仿宋" w:eastAsia="仿宋" w:cs="仿宋"/>
          <w:color w:val="auto"/>
          <w:kern w:val="1"/>
          <w:sz w:val="24"/>
          <w:highlight w:val="none"/>
          <w:shd w:val="clear" w:color="auto" w:fill="FEFEFE"/>
        </w:rPr>
        <w:t>进行一次全面摸底，进行体检式的安全隐患排查</w:t>
      </w:r>
      <w:r>
        <w:rPr>
          <w:rFonts w:hint="eastAsia" w:ascii="仿宋" w:hAnsi="仿宋" w:eastAsia="仿宋" w:cs="仿宋"/>
          <w:color w:val="auto"/>
          <w:kern w:val="1"/>
          <w:sz w:val="24"/>
          <w:highlight w:val="none"/>
          <w:shd w:val="clear" w:color="auto" w:fill="FEFEFE"/>
          <w:lang w:eastAsia="zh-CN"/>
        </w:rPr>
        <w:t>。</w:t>
      </w:r>
    </w:p>
    <w:p w14:paraId="7E3729C1">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①</w:t>
      </w:r>
      <w:r>
        <w:rPr>
          <w:rFonts w:hint="eastAsia" w:ascii="仿宋" w:hAnsi="仿宋" w:eastAsia="仿宋" w:cs="仿宋"/>
          <w:color w:val="auto"/>
          <w:kern w:val="1"/>
          <w:sz w:val="24"/>
          <w:highlight w:val="none"/>
          <w:shd w:val="clear" w:color="auto" w:fill="FEFEFE"/>
        </w:rPr>
        <w:t>检查频次：每三个月不少于一次。</w:t>
      </w:r>
    </w:p>
    <w:p w14:paraId="4152410C">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②</w:t>
      </w:r>
      <w:r>
        <w:rPr>
          <w:rFonts w:hint="eastAsia" w:ascii="仿宋" w:hAnsi="仿宋" w:eastAsia="仿宋" w:cs="仿宋"/>
          <w:color w:val="auto"/>
          <w:kern w:val="1"/>
          <w:sz w:val="24"/>
          <w:highlight w:val="none"/>
          <w:shd w:val="clear" w:color="auto" w:fill="FEFEFE"/>
        </w:rPr>
        <w:t>检查内容：中标人应按照国家现行有关法律法规和规范标准，对被服务企业开展全面体检式隐患排查、整改指导及</w:t>
      </w:r>
      <w:r>
        <w:rPr>
          <w:rFonts w:hint="eastAsia" w:ascii="仿宋" w:hAnsi="仿宋" w:eastAsia="仿宋" w:cs="仿宋"/>
          <w:color w:val="auto"/>
          <w:kern w:val="1"/>
          <w:sz w:val="24"/>
          <w:highlight w:val="none"/>
          <w:shd w:val="clear" w:color="auto" w:fill="FEFEFE"/>
          <w:lang w:val="en-US" w:eastAsia="zh-CN"/>
        </w:rPr>
        <w:t>复查</w:t>
      </w:r>
      <w:r>
        <w:rPr>
          <w:rFonts w:hint="eastAsia" w:ascii="仿宋" w:hAnsi="仿宋" w:eastAsia="仿宋" w:cs="仿宋"/>
          <w:color w:val="auto"/>
          <w:kern w:val="1"/>
          <w:sz w:val="24"/>
          <w:highlight w:val="none"/>
          <w:shd w:val="clear" w:color="auto" w:fill="FEFEFE"/>
        </w:rPr>
        <w:t>确认。</w:t>
      </w:r>
    </w:p>
    <w:p w14:paraId="F370E4FC">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lang w:val="en-US" w:eastAsia="zh-CN"/>
        </w:rPr>
        <w:t>5</w:t>
      </w:r>
      <w:r>
        <w:rPr>
          <w:rFonts w:hint="eastAsia" w:ascii="仿宋" w:hAnsi="仿宋" w:eastAsia="仿宋" w:cs="仿宋"/>
          <w:color w:val="auto"/>
          <w:kern w:val="1"/>
          <w:sz w:val="24"/>
          <w:highlight w:val="none"/>
          <w:shd w:val="clear" w:color="auto" w:fill="FEFEFE"/>
        </w:rPr>
        <w:t>、每年对企业（单位等）开展4次安全生产</w:t>
      </w:r>
      <w:r>
        <w:rPr>
          <w:rFonts w:hint="eastAsia" w:ascii="仿宋" w:hAnsi="仿宋" w:eastAsia="仿宋" w:cs="仿宋"/>
          <w:color w:val="auto"/>
          <w:kern w:val="1"/>
          <w:sz w:val="24"/>
          <w:highlight w:val="none"/>
          <w:shd w:val="clear" w:color="auto" w:fill="FEFEFE"/>
          <w:lang w:val="en-US" w:eastAsia="zh-CN"/>
        </w:rPr>
        <w:t>管理教育</w:t>
      </w:r>
      <w:r>
        <w:rPr>
          <w:rFonts w:hint="eastAsia" w:ascii="仿宋" w:hAnsi="仿宋" w:eastAsia="仿宋" w:cs="仿宋"/>
          <w:color w:val="auto"/>
          <w:kern w:val="1"/>
          <w:sz w:val="24"/>
          <w:highlight w:val="none"/>
          <w:shd w:val="clear" w:color="auto" w:fill="FEFEFE"/>
        </w:rPr>
        <w:t>培训；</w:t>
      </w:r>
    </w:p>
    <w:p w14:paraId="17B88C13">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lang w:val="en-US" w:eastAsia="zh-CN"/>
        </w:rPr>
        <w:t>6</w:t>
      </w:r>
      <w:r>
        <w:rPr>
          <w:rFonts w:hint="eastAsia" w:ascii="仿宋" w:hAnsi="仿宋" w:eastAsia="仿宋" w:cs="仿宋"/>
          <w:color w:val="auto"/>
          <w:kern w:val="1"/>
          <w:sz w:val="24"/>
          <w:highlight w:val="none"/>
          <w:shd w:val="clear" w:color="auto" w:fill="FEFEFE"/>
        </w:rPr>
        <w:t>、每年指导</w:t>
      </w:r>
      <w:r>
        <w:rPr>
          <w:rFonts w:hint="eastAsia" w:ascii="仿宋" w:hAnsi="仿宋" w:eastAsia="仿宋" w:cs="仿宋"/>
          <w:color w:val="auto"/>
          <w:kern w:val="1"/>
          <w:sz w:val="24"/>
          <w:highlight w:val="none"/>
          <w:shd w:val="clear" w:color="auto" w:fill="FEFEFE"/>
          <w:lang w:val="en-US" w:eastAsia="zh-CN"/>
        </w:rPr>
        <w:t>街道辖区内所有</w:t>
      </w:r>
      <w:r>
        <w:rPr>
          <w:rFonts w:hint="eastAsia" w:ascii="仿宋" w:hAnsi="仿宋" w:eastAsia="仿宋" w:cs="仿宋"/>
          <w:color w:val="auto"/>
          <w:kern w:val="1"/>
          <w:sz w:val="24"/>
          <w:highlight w:val="none"/>
          <w:shd w:val="clear" w:color="auto" w:fill="FEFEFE"/>
        </w:rPr>
        <w:t>企业开展4次</w:t>
      </w:r>
      <w:r>
        <w:rPr>
          <w:rFonts w:hint="eastAsia" w:ascii="仿宋" w:hAnsi="仿宋" w:eastAsia="仿宋" w:cs="仿宋"/>
          <w:color w:val="auto"/>
          <w:kern w:val="1"/>
          <w:sz w:val="24"/>
          <w:highlight w:val="none"/>
          <w:shd w:val="clear" w:color="auto" w:fill="FEFEFE"/>
          <w:lang w:val="en-US" w:eastAsia="zh-CN"/>
        </w:rPr>
        <w:t>生产安全事故</w:t>
      </w:r>
      <w:r>
        <w:rPr>
          <w:rFonts w:hint="eastAsia" w:ascii="仿宋" w:hAnsi="仿宋" w:eastAsia="仿宋" w:cs="仿宋"/>
          <w:color w:val="auto"/>
          <w:kern w:val="1"/>
          <w:sz w:val="24"/>
          <w:highlight w:val="none"/>
          <w:shd w:val="clear" w:color="auto" w:fill="FEFEFE"/>
        </w:rPr>
        <w:t>应急演练，</w:t>
      </w:r>
      <w:r>
        <w:rPr>
          <w:rFonts w:hint="eastAsia" w:ascii="仿宋" w:hAnsi="仿宋" w:eastAsia="仿宋" w:cs="仿宋"/>
          <w:color w:val="auto"/>
          <w:kern w:val="1"/>
          <w:sz w:val="24"/>
          <w:highlight w:val="none"/>
          <w:shd w:val="clear" w:color="auto" w:fill="FEFEFE"/>
          <w:lang w:val="en-US" w:eastAsia="zh-CN"/>
        </w:rPr>
        <w:t>指导</w:t>
      </w:r>
      <w:r>
        <w:rPr>
          <w:rFonts w:hint="eastAsia" w:ascii="仿宋" w:hAnsi="仿宋" w:eastAsia="仿宋" w:cs="仿宋"/>
          <w:color w:val="auto"/>
          <w:kern w:val="1"/>
          <w:sz w:val="24"/>
          <w:highlight w:val="none"/>
          <w:shd w:val="clear" w:color="auto" w:fill="FEFEFE"/>
        </w:rPr>
        <w:t>内容包括：</w:t>
      </w:r>
    </w:p>
    <w:p w14:paraId="BB8871D5">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①编制应急演练</w:t>
      </w:r>
      <w:r>
        <w:rPr>
          <w:rFonts w:hint="eastAsia" w:ascii="仿宋" w:hAnsi="仿宋" w:eastAsia="仿宋" w:cs="仿宋"/>
          <w:color w:val="auto"/>
          <w:kern w:val="1"/>
          <w:sz w:val="24"/>
          <w:highlight w:val="none"/>
          <w:shd w:val="clear" w:color="auto" w:fill="FEFEFE"/>
          <w:lang w:val="en-US" w:eastAsia="zh-CN"/>
        </w:rPr>
        <w:t>脚本</w:t>
      </w:r>
      <w:r>
        <w:rPr>
          <w:rFonts w:hint="eastAsia" w:ascii="仿宋" w:hAnsi="仿宋" w:eastAsia="仿宋" w:cs="仿宋"/>
          <w:color w:val="auto"/>
          <w:kern w:val="1"/>
          <w:sz w:val="24"/>
          <w:highlight w:val="none"/>
          <w:shd w:val="clear" w:color="auto" w:fill="FEFEFE"/>
        </w:rPr>
        <w:t>和</w:t>
      </w:r>
      <w:r>
        <w:rPr>
          <w:rFonts w:hint="eastAsia" w:ascii="仿宋" w:hAnsi="仿宋" w:eastAsia="仿宋" w:cs="仿宋"/>
          <w:color w:val="auto"/>
          <w:kern w:val="1"/>
          <w:sz w:val="24"/>
          <w:highlight w:val="none"/>
          <w:shd w:val="clear" w:color="auto" w:fill="FEFEFE"/>
          <w:lang w:val="en-US" w:eastAsia="zh-CN"/>
        </w:rPr>
        <w:t>应急演练</w:t>
      </w:r>
      <w:r>
        <w:rPr>
          <w:rFonts w:hint="eastAsia" w:ascii="仿宋" w:hAnsi="仿宋" w:eastAsia="仿宋" w:cs="仿宋"/>
          <w:color w:val="auto"/>
          <w:kern w:val="1"/>
          <w:sz w:val="24"/>
          <w:highlight w:val="none"/>
          <w:shd w:val="clear" w:color="auto" w:fill="FEFEFE"/>
        </w:rPr>
        <w:t>总结</w:t>
      </w:r>
      <w:r>
        <w:rPr>
          <w:rFonts w:hint="eastAsia" w:ascii="仿宋" w:hAnsi="仿宋" w:eastAsia="仿宋" w:cs="仿宋"/>
          <w:color w:val="auto"/>
          <w:kern w:val="1"/>
          <w:sz w:val="24"/>
          <w:highlight w:val="none"/>
          <w:shd w:val="clear" w:color="auto" w:fill="FEFEFE"/>
          <w:lang w:val="en-US" w:eastAsia="zh-CN"/>
        </w:rPr>
        <w:t>报告</w:t>
      </w:r>
      <w:r>
        <w:rPr>
          <w:rFonts w:hint="eastAsia" w:ascii="仿宋" w:hAnsi="仿宋" w:eastAsia="仿宋" w:cs="仿宋"/>
          <w:color w:val="auto"/>
          <w:kern w:val="1"/>
          <w:sz w:val="24"/>
          <w:highlight w:val="none"/>
          <w:shd w:val="clear" w:color="auto" w:fill="FEFEFE"/>
        </w:rPr>
        <w:t>；</w:t>
      </w:r>
    </w:p>
    <w:p w14:paraId="FDACCA3F">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eastAsia="zh-CN"/>
        </w:rPr>
      </w:pPr>
      <w:r>
        <w:rPr>
          <w:rFonts w:hint="eastAsia" w:ascii="仿宋" w:hAnsi="仿宋" w:eastAsia="仿宋" w:cs="仿宋"/>
          <w:color w:val="auto"/>
          <w:kern w:val="1"/>
          <w:sz w:val="24"/>
          <w:highlight w:val="none"/>
          <w:shd w:val="clear" w:color="auto" w:fill="FEFEFE"/>
        </w:rPr>
        <w:t>②现场指导</w:t>
      </w:r>
      <w:r>
        <w:rPr>
          <w:rFonts w:hint="eastAsia" w:ascii="仿宋" w:hAnsi="仿宋" w:eastAsia="仿宋" w:cs="仿宋"/>
          <w:color w:val="auto"/>
          <w:kern w:val="1"/>
          <w:sz w:val="24"/>
          <w:highlight w:val="none"/>
          <w:shd w:val="clear" w:color="auto" w:fill="FEFEFE"/>
          <w:lang w:val="en-US" w:eastAsia="zh-CN"/>
        </w:rPr>
        <w:t>生产安全事故</w:t>
      </w:r>
      <w:r>
        <w:rPr>
          <w:rFonts w:hint="eastAsia" w:ascii="仿宋" w:hAnsi="仿宋" w:eastAsia="仿宋" w:cs="仿宋"/>
          <w:color w:val="auto"/>
          <w:kern w:val="1"/>
          <w:sz w:val="24"/>
          <w:highlight w:val="none"/>
          <w:shd w:val="clear" w:color="auto" w:fill="FEFEFE"/>
        </w:rPr>
        <w:t>应急演练</w:t>
      </w:r>
      <w:r>
        <w:rPr>
          <w:rFonts w:hint="eastAsia" w:ascii="仿宋" w:hAnsi="仿宋" w:eastAsia="仿宋" w:cs="仿宋"/>
          <w:color w:val="auto"/>
          <w:kern w:val="1"/>
          <w:sz w:val="24"/>
          <w:highlight w:val="none"/>
          <w:shd w:val="clear" w:color="auto" w:fill="FEFEFE"/>
          <w:lang w:eastAsia="zh-CN"/>
        </w:rPr>
        <w:t>。</w:t>
      </w:r>
    </w:p>
    <w:p w14:paraId="32A1BF14">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lang w:val="en-US" w:eastAsia="zh-CN"/>
        </w:rPr>
        <w:t>7</w:t>
      </w:r>
      <w:r>
        <w:rPr>
          <w:rFonts w:hint="eastAsia" w:ascii="仿宋" w:hAnsi="仿宋" w:eastAsia="仿宋" w:cs="仿宋"/>
          <w:color w:val="auto"/>
          <w:kern w:val="1"/>
          <w:sz w:val="24"/>
          <w:highlight w:val="none"/>
          <w:shd w:val="clear" w:color="auto" w:fill="FEFEFE"/>
        </w:rPr>
        <w:t>、其他事项</w:t>
      </w:r>
    </w:p>
    <w:p w14:paraId="2CDEEFB7">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lang w:val="en-US" w:eastAsia="zh-CN"/>
        </w:rPr>
        <w:t>①</w:t>
      </w:r>
      <w:r>
        <w:rPr>
          <w:rFonts w:hint="eastAsia" w:ascii="仿宋" w:hAnsi="仿宋" w:eastAsia="仿宋" w:cs="仿宋"/>
          <w:color w:val="auto"/>
          <w:kern w:val="1"/>
          <w:sz w:val="24"/>
          <w:highlight w:val="none"/>
          <w:shd w:val="clear" w:color="auto" w:fill="FEFEFE"/>
        </w:rPr>
        <w:t>配合采购方开展安全生产节点性等专项检查</w:t>
      </w:r>
      <w:r>
        <w:rPr>
          <w:rFonts w:hint="eastAsia" w:ascii="仿宋" w:hAnsi="仿宋" w:eastAsia="仿宋" w:cs="仿宋"/>
          <w:color w:val="auto"/>
          <w:kern w:val="1"/>
          <w:sz w:val="24"/>
          <w:highlight w:val="none"/>
          <w:shd w:val="clear" w:color="auto" w:fill="FEFEFE"/>
          <w:lang w:eastAsia="zh-CN"/>
        </w:rPr>
        <w:t>；</w:t>
      </w:r>
    </w:p>
    <w:p w14:paraId="1A663F86">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val="en-US" w:eastAsia="zh-CN"/>
        </w:rPr>
      </w:pPr>
      <w:r>
        <w:rPr>
          <w:rFonts w:hint="eastAsia" w:ascii="仿宋" w:hAnsi="仿宋" w:eastAsia="仿宋" w:cs="仿宋"/>
          <w:color w:val="auto"/>
          <w:kern w:val="1"/>
          <w:sz w:val="24"/>
          <w:highlight w:val="none"/>
          <w:shd w:val="clear" w:color="auto" w:fill="FEFEFE"/>
          <w:lang w:val="en-US" w:eastAsia="zh-CN"/>
        </w:rPr>
        <w:t>②</w:t>
      </w:r>
      <w:r>
        <w:rPr>
          <w:rFonts w:hint="eastAsia" w:ascii="仿宋" w:hAnsi="仿宋" w:eastAsia="仿宋" w:cs="仿宋"/>
          <w:color w:val="auto"/>
          <w:kern w:val="1"/>
          <w:sz w:val="24"/>
          <w:highlight w:val="none"/>
          <w:shd w:val="clear" w:color="auto" w:fill="FEFEFE"/>
        </w:rPr>
        <w:t>配合</w:t>
      </w:r>
      <w:r>
        <w:rPr>
          <w:rFonts w:hint="eastAsia" w:ascii="仿宋" w:hAnsi="仿宋" w:eastAsia="仿宋" w:cs="仿宋"/>
          <w:color w:val="auto"/>
          <w:kern w:val="1"/>
          <w:sz w:val="24"/>
          <w:highlight w:val="none"/>
          <w:shd w:val="clear" w:color="auto" w:fill="FEFEFE"/>
          <w:lang w:val="en-US" w:eastAsia="zh-CN"/>
        </w:rPr>
        <w:t>采购方</w:t>
      </w:r>
      <w:r>
        <w:rPr>
          <w:rFonts w:hint="eastAsia" w:ascii="仿宋" w:hAnsi="仿宋" w:eastAsia="仿宋" w:cs="仿宋"/>
          <w:color w:val="auto"/>
          <w:kern w:val="1"/>
          <w:sz w:val="24"/>
          <w:highlight w:val="none"/>
          <w:shd w:val="clear" w:color="auto" w:fill="FEFEFE"/>
        </w:rPr>
        <w:t>做好其他上级政府下达的工作和考核任务</w:t>
      </w:r>
      <w:r>
        <w:rPr>
          <w:rFonts w:hint="eastAsia" w:ascii="仿宋" w:hAnsi="仿宋" w:eastAsia="仿宋" w:cs="仿宋"/>
          <w:color w:val="auto"/>
          <w:kern w:val="1"/>
          <w:sz w:val="24"/>
          <w:highlight w:val="none"/>
          <w:shd w:val="clear" w:color="auto" w:fill="FEFEFE"/>
          <w:lang w:eastAsia="zh-CN"/>
        </w:rPr>
        <w:t>；</w:t>
      </w:r>
    </w:p>
    <w:p w14:paraId="ECFE7DB7">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lang w:val="en-US" w:eastAsia="zh-CN"/>
        </w:rPr>
        <w:t xml:space="preserve">③ </w:t>
      </w:r>
      <w:r>
        <w:rPr>
          <w:rFonts w:hint="eastAsia" w:ascii="仿宋" w:hAnsi="仿宋" w:eastAsia="仿宋" w:cs="仿宋"/>
          <w:color w:val="auto"/>
          <w:kern w:val="1"/>
          <w:sz w:val="24"/>
          <w:highlight w:val="none"/>
          <w:shd w:val="clear" w:color="auto" w:fill="FEFEFE"/>
        </w:rPr>
        <w:t>中标人需根据采购人安全生产工作的需求，协助做好以上未涉及的其他临时性工作。</w:t>
      </w:r>
    </w:p>
    <w:p w14:paraId="71A0E348">
      <w:pPr>
        <w:keepNext w:val="0"/>
        <w:keepLines w:val="0"/>
        <w:pageBreakBefore w:val="0"/>
        <w:kinsoku/>
        <w:wordWrap/>
        <w:overflowPunct/>
        <w:topLinePunct w:val="0"/>
        <w:bidi w:val="0"/>
        <w:adjustRightInd w:val="0"/>
        <w:spacing w:line="3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、服务</w:t>
      </w:r>
      <w:r>
        <w:rPr>
          <w:rFonts w:hint="eastAsia" w:ascii="仿宋" w:hAnsi="仿宋" w:eastAsia="仿宋" w:cs="仿宋"/>
          <w:b/>
          <w:bCs/>
          <w:color w:val="auto"/>
          <w:sz w:val="24"/>
          <w:highlight w:val="none"/>
          <w:lang w:val="en-US" w:eastAsia="zh-CN"/>
        </w:rPr>
        <w:t>人员要求</w:t>
      </w:r>
    </w:p>
    <w:p w14:paraId="40FB599A">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rPr>
        <w:t>投标人应为本项目提供相应数量服务人员以确保履行本项目的工作内容，且服务人员应当符合并不限于以下基本条件：</w:t>
      </w:r>
    </w:p>
    <w:p w14:paraId="825D3988">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val="en-US" w:eastAsia="zh-CN"/>
        </w:rPr>
      </w:pPr>
      <w:r>
        <w:rPr>
          <w:rFonts w:hint="eastAsia" w:ascii="仿宋" w:hAnsi="仿宋" w:eastAsia="仿宋" w:cs="仿宋"/>
          <w:color w:val="auto"/>
          <w:kern w:val="1"/>
          <w:sz w:val="24"/>
          <w:highlight w:val="none"/>
          <w:shd w:val="clear" w:color="auto" w:fill="FEFEFE"/>
        </w:rPr>
        <w:t>1、人员数量要求：不少于</w:t>
      </w:r>
      <w:r>
        <w:rPr>
          <w:rFonts w:hint="eastAsia" w:ascii="仿宋" w:hAnsi="仿宋" w:eastAsia="仿宋" w:cs="仿宋"/>
          <w:color w:val="auto"/>
          <w:kern w:val="1"/>
          <w:sz w:val="24"/>
          <w:highlight w:val="none"/>
          <w:shd w:val="clear" w:color="auto" w:fill="FEFEFE"/>
          <w:lang w:val="en-US" w:eastAsia="zh-CN"/>
        </w:rPr>
        <w:t>7</w:t>
      </w:r>
      <w:r>
        <w:rPr>
          <w:rFonts w:hint="eastAsia" w:ascii="仿宋" w:hAnsi="仿宋" w:eastAsia="仿宋" w:cs="仿宋"/>
          <w:color w:val="auto"/>
          <w:kern w:val="1"/>
          <w:sz w:val="24"/>
          <w:highlight w:val="none"/>
          <w:shd w:val="clear" w:color="auto" w:fill="FEFEFE"/>
        </w:rPr>
        <w:t>人</w:t>
      </w:r>
      <w:r>
        <w:rPr>
          <w:rFonts w:hint="eastAsia" w:ascii="仿宋" w:hAnsi="仿宋" w:eastAsia="仿宋" w:cs="仿宋"/>
          <w:color w:val="auto"/>
          <w:kern w:val="1"/>
          <w:sz w:val="24"/>
          <w:highlight w:val="none"/>
          <w:shd w:val="clear" w:color="auto" w:fill="FEFEFE"/>
          <w:lang w:eastAsia="zh-CN"/>
        </w:rPr>
        <w:t>（</w:t>
      </w:r>
      <w:r>
        <w:rPr>
          <w:rFonts w:hint="eastAsia" w:ascii="仿宋" w:hAnsi="仿宋" w:eastAsia="仿宋" w:cs="仿宋"/>
          <w:color w:val="auto"/>
          <w:kern w:val="1"/>
          <w:sz w:val="24"/>
          <w:highlight w:val="none"/>
          <w:shd w:val="clear" w:color="auto" w:fill="FEFEFE"/>
          <w:lang w:val="en-US" w:eastAsia="zh-CN"/>
        </w:rPr>
        <w:t>含项目负责人）</w:t>
      </w:r>
    </w:p>
    <w:p w14:paraId="72420E88">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lang w:eastAsia="zh-CN"/>
        </w:rPr>
      </w:pPr>
      <w:r>
        <w:rPr>
          <w:rFonts w:hint="eastAsia" w:ascii="仿宋" w:hAnsi="仿宋" w:eastAsia="仿宋" w:cs="仿宋"/>
          <w:color w:val="auto"/>
          <w:kern w:val="1"/>
          <w:sz w:val="24"/>
          <w:highlight w:val="none"/>
          <w:shd w:val="clear" w:color="auto" w:fill="FEFEFE"/>
          <w:lang w:val="en-US" w:eastAsia="zh-CN"/>
        </w:rPr>
        <w:t>2、</w:t>
      </w:r>
      <w:r>
        <w:rPr>
          <w:rFonts w:hint="eastAsia" w:ascii="仿宋" w:hAnsi="仿宋" w:eastAsia="仿宋" w:cs="仿宋"/>
          <w:color w:val="auto"/>
          <w:kern w:val="1"/>
          <w:sz w:val="24"/>
          <w:highlight w:val="none"/>
          <w:shd w:val="clear" w:color="auto" w:fill="FEFEFE"/>
        </w:rPr>
        <w:t>年龄原则上不超过45周岁（19</w:t>
      </w:r>
      <w:r>
        <w:rPr>
          <w:rFonts w:hint="eastAsia" w:ascii="仿宋" w:hAnsi="仿宋" w:eastAsia="仿宋" w:cs="仿宋"/>
          <w:color w:val="auto"/>
          <w:kern w:val="1"/>
          <w:sz w:val="24"/>
          <w:highlight w:val="none"/>
          <w:shd w:val="clear" w:color="auto" w:fill="FEFEFE"/>
          <w:lang w:val="en-US" w:eastAsia="zh-CN"/>
        </w:rPr>
        <w:t>80</w:t>
      </w:r>
      <w:r>
        <w:rPr>
          <w:rFonts w:hint="eastAsia" w:ascii="仿宋" w:hAnsi="仿宋" w:eastAsia="仿宋" w:cs="仿宋"/>
          <w:color w:val="auto"/>
          <w:kern w:val="1"/>
          <w:sz w:val="24"/>
          <w:highlight w:val="none"/>
          <w:shd w:val="clear" w:color="auto" w:fill="FEFEFE"/>
        </w:rPr>
        <w:t>年</w:t>
      </w:r>
      <w:r>
        <w:rPr>
          <w:rFonts w:hint="eastAsia" w:ascii="仿宋" w:hAnsi="仿宋" w:eastAsia="仿宋" w:cs="仿宋"/>
          <w:color w:val="auto"/>
          <w:kern w:val="1"/>
          <w:sz w:val="24"/>
          <w:highlight w:val="none"/>
          <w:shd w:val="clear" w:color="auto" w:fill="FEFEFE"/>
          <w:lang w:val="en-US" w:eastAsia="zh-CN"/>
        </w:rPr>
        <w:t>3</w:t>
      </w:r>
      <w:r>
        <w:rPr>
          <w:rFonts w:hint="eastAsia" w:ascii="仿宋" w:hAnsi="仿宋" w:eastAsia="仿宋" w:cs="仿宋"/>
          <w:color w:val="auto"/>
          <w:kern w:val="1"/>
          <w:sz w:val="24"/>
          <w:highlight w:val="none"/>
          <w:shd w:val="clear" w:color="auto" w:fill="FEFEFE"/>
        </w:rPr>
        <w:t>月1日以后出生）</w:t>
      </w:r>
      <w:r>
        <w:rPr>
          <w:rFonts w:hint="eastAsia" w:ascii="仿宋" w:hAnsi="仿宋" w:eastAsia="仿宋" w:cs="仿宋"/>
          <w:color w:val="auto"/>
          <w:kern w:val="1"/>
          <w:sz w:val="24"/>
          <w:highlight w:val="none"/>
          <w:shd w:val="clear" w:color="auto" w:fill="FEFEFE"/>
          <w:lang w:eastAsia="zh-CN"/>
        </w:rPr>
        <w:t>。</w:t>
      </w:r>
    </w:p>
    <w:p w14:paraId="33ADA5AE">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lang w:val="en-US" w:eastAsia="zh-CN"/>
        </w:rPr>
        <w:t>3、</w:t>
      </w:r>
      <w:r>
        <w:rPr>
          <w:rFonts w:hint="eastAsia" w:ascii="仿宋" w:hAnsi="仿宋" w:eastAsia="仿宋" w:cs="仿宋"/>
          <w:color w:val="auto"/>
          <w:kern w:val="1"/>
          <w:sz w:val="24"/>
          <w:highlight w:val="none"/>
          <w:shd w:val="clear" w:color="auto" w:fill="FEFEFE"/>
        </w:rPr>
        <w:t>遵守宪法和法律法规，具有良好的道德品行</w:t>
      </w:r>
      <w:r>
        <w:rPr>
          <w:rFonts w:hint="eastAsia" w:ascii="仿宋" w:hAnsi="仿宋" w:eastAsia="仿宋" w:cs="仿宋"/>
          <w:color w:val="auto"/>
          <w:kern w:val="1"/>
          <w:sz w:val="24"/>
          <w:highlight w:val="none"/>
          <w:shd w:val="clear" w:color="auto" w:fill="FEFEFE"/>
          <w:lang w:eastAsia="zh-CN"/>
        </w:rPr>
        <w:t>，无违法犯罪不良记录</w:t>
      </w:r>
      <w:r>
        <w:rPr>
          <w:rFonts w:hint="eastAsia" w:ascii="仿宋" w:hAnsi="仿宋" w:eastAsia="仿宋" w:cs="仿宋"/>
          <w:color w:val="auto"/>
          <w:kern w:val="1"/>
          <w:sz w:val="24"/>
          <w:highlight w:val="none"/>
          <w:shd w:val="clear" w:color="auto" w:fill="FEFEFE"/>
        </w:rPr>
        <w:t>；</w:t>
      </w:r>
    </w:p>
    <w:p w14:paraId="4B88CE8D">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default" w:ascii="仿宋" w:hAnsi="仿宋" w:eastAsia="仿宋" w:cs="仿宋"/>
          <w:color w:val="auto"/>
          <w:kern w:val="1"/>
          <w:sz w:val="24"/>
          <w:highlight w:val="none"/>
          <w:shd w:val="clear" w:color="auto" w:fill="FEFEFE"/>
          <w:lang w:eastAsia="zh-CN"/>
        </w:rPr>
      </w:pPr>
      <w:r>
        <w:rPr>
          <w:rFonts w:hint="eastAsia" w:ascii="仿宋" w:hAnsi="仿宋" w:eastAsia="仿宋" w:cs="仿宋"/>
          <w:color w:val="auto"/>
          <w:kern w:val="1"/>
          <w:sz w:val="24"/>
          <w:highlight w:val="none"/>
          <w:shd w:val="clear" w:color="auto" w:fill="FEFEFE"/>
          <w:lang w:val="en-US" w:eastAsia="zh-CN"/>
        </w:rPr>
        <w:t>4、不少于3人</w:t>
      </w:r>
      <w:r>
        <w:rPr>
          <w:rFonts w:hint="eastAsia" w:ascii="仿宋" w:hAnsi="仿宋" w:eastAsia="仿宋" w:cs="仿宋"/>
          <w:color w:val="auto"/>
          <w:kern w:val="1"/>
          <w:sz w:val="24"/>
          <w:highlight w:val="none"/>
          <w:shd w:val="clear" w:color="auto" w:fill="FEFEFE"/>
        </w:rPr>
        <w:t>具有</w:t>
      </w:r>
      <w:r>
        <w:rPr>
          <w:rFonts w:hint="eastAsia" w:ascii="仿宋" w:hAnsi="仿宋" w:eastAsia="仿宋" w:cs="仿宋"/>
          <w:color w:val="auto"/>
          <w:kern w:val="1"/>
          <w:sz w:val="24"/>
          <w:highlight w:val="none"/>
          <w:shd w:val="clear" w:color="auto" w:fill="FEFEFE"/>
        </w:rPr>
        <w:t>安全生产、防灾减灾救灾相关专业硕士研究生及以上学历，或者相关行业领域高级专业技术职称或资格，或者注册安全工程师从事安全生产、防灾减灾救灾等</w:t>
      </w:r>
      <w:r>
        <w:rPr>
          <w:rFonts w:hint="eastAsia" w:ascii="仿宋" w:hAnsi="仿宋" w:eastAsia="仿宋" w:cs="仿宋"/>
          <w:color w:val="auto"/>
          <w:kern w:val="1"/>
          <w:sz w:val="24"/>
          <w:highlight w:val="none"/>
          <w:shd w:val="clear" w:color="auto" w:fill="FEFEFE"/>
        </w:rPr>
        <w:t>相关行业领域工作</w:t>
      </w:r>
      <w:r>
        <w:rPr>
          <w:rFonts w:hint="eastAsia" w:ascii="仿宋" w:hAnsi="仿宋" w:eastAsia="仿宋" w:cs="仿宋"/>
          <w:color w:val="auto"/>
          <w:kern w:val="1"/>
          <w:sz w:val="24"/>
          <w:highlight w:val="none"/>
          <w:shd w:val="clear" w:color="auto" w:fill="FEFEFE"/>
          <w:lang w:val="en-US" w:eastAsia="zh-CN"/>
        </w:rPr>
        <w:t>3</w:t>
      </w:r>
      <w:r>
        <w:rPr>
          <w:rFonts w:hint="eastAsia" w:ascii="仿宋" w:hAnsi="仿宋" w:eastAsia="仿宋" w:cs="仿宋"/>
          <w:color w:val="auto"/>
          <w:kern w:val="1"/>
          <w:sz w:val="24"/>
          <w:highlight w:val="none"/>
          <w:shd w:val="clear" w:color="auto" w:fill="FEFEFE"/>
        </w:rPr>
        <w:t>年工作经历；</w:t>
      </w:r>
      <w:r>
        <w:rPr>
          <w:rFonts w:hint="eastAsia" w:ascii="仿宋" w:hAnsi="仿宋" w:eastAsia="仿宋" w:cs="仿宋"/>
          <w:color w:val="auto"/>
          <w:kern w:val="1"/>
          <w:sz w:val="24"/>
          <w:highlight w:val="none"/>
          <w:shd w:val="clear" w:color="auto" w:fill="FEFEFE"/>
          <w:lang w:val="en-US" w:eastAsia="zh-CN"/>
        </w:rPr>
        <w:t>不少于2人</w:t>
      </w:r>
      <w:r>
        <w:rPr>
          <w:rFonts w:hint="eastAsia" w:ascii="仿宋" w:hAnsi="仿宋" w:eastAsia="仿宋" w:cs="仿宋"/>
          <w:color w:val="auto"/>
          <w:kern w:val="1"/>
          <w:sz w:val="24"/>
          <w:highlight w:val="none"/>
          <w:shd w:val="clear" w:color="auto" w:fill="FEFEFE"/>
          <w:lang w:val="en-US" w:eastAsia="zh-CN"/>
        </w:rPr>
        <w:t>具有一级注册消防工程师资格证书；</w:t>
      </w:r>
      <w:r>
        <w:rPr>
          <w:rFonts w:hint="eastAsia" w:ascii="仿宋" w:hAnsi="仿宋" w:eastAsia="仿宋" w:cs="仿宋"/>
          <w:color w:val="auto"/>
          <w:kern w:val="1"/>
          <w:sz w:val="24"/>
          <w:highlight w:val="none"/>
          <w:shd w:val="clear" w:color="auto" w:fill="FEFEFE"/>
          <w:lang w:val="en-US" w:eastAsia="zh-CN"/>
        </w:rPr>
        <w:t>不少于2人</w:t>
      </w:r>
      <w:r>
        <w:rPr>
          <w:rFonts w:hint="eastAsia" w:ascii="仿宋" w:hAnsi="仿宋" w:eastAsia="仿宋" w:cs="仿宋"/>
          <w:color w:val="auto"/>
          <w:kern w:val="1"/>
          <w:sz w:val="24"/>
          <w:highlight w:val="none"/>
          <w:shd w:val="clear" w:color="auto" w:fill="FEFEFE"/>
          <w:lang w:val="en-US" w:eastAsia="zh-CN"/>
        </w:rPr>
        <w:t>具有注册安全工程师证书（专业类别需含“建筑施工安全”）</w:t>
      </w:r>
      <w:r>
        <w:rPr>
          <w:rFonts w:hint="default" w:ascii="仿宋" w:hAnsi="仿宋" w:eastAsia="仿宋" w:cs="仿宋"/>
          <w:color w:val="auto"/>
          <w:kern w:val="1"/>
          <w:sz w:val="24"/>
          <w:highlight w:val="none"/>
          <w:shd w:val="clear" w:color="auto" w:fill="FEFEFE"/>
          <w:lang w:eastAsia="zh-CN"/>
        </w:rPr>
        <w:t>。</w:t>
      </w:r>
    </w:p>
    <w:p w14:paraId="C6C9D2F6">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default" w:ascii="仿宋" w:hAnsi="仿宋" w:eastAsia="仿宋" w:cs="仿宋"/>
          <w:color w:val="auto"/>
          <w:kern w:val="1"/>
          <w:sz w:val="24"/>
          <w:highlight w:val="none"/>
          <w:shd w:val="clear" w:color="auto" w:fill="FEFEFE"/>
          <w:lang w:eastAsia="zh-CN"/>
        </w:rPr>
      </w:pPr>
      <w:r>
        <w:rPr>
          <w:rFonts w:hint="eastAsia" w:ascii="仿宋" w:hAnsi="仿宋" w:eastAsia="仿宋" w:cs="仿宋"/>
          <w:color w:val="auto"/>
          <w:kern w:val="1"/>
          <w:sz w:val="24"/>
          <w:highlight w:val="none"/>
          <w:shd w:val="clear" w:color="auto" w:fill="FEFEFE"/>
          <w:lang w:val="en-US" w:eastAsia="zh-CN"/>
        </w:rPr>
        <w:t>5、</w:t>
      </w:r>
      <w:r>
        <w:rPr>
          <w:rFonts w:hint="eastAsia" w:ascii="仿宋" w:hAnsi="仿宋" w:eastAsia="仿宋" w:cs="仿宋"/>
          <w:color w:val="auto"/>
          <w:kern w:val="1"/>
          <w:sz w:val="24"/>
          <w:highlight w:val="none"/>
          <w:shd w:val="clear" w:color="auto" w:fill="FEFEFE"/>
          <w:lang w:val="en-US" w:eastAsia="zh-CN"/>
        </w:rPr>
        <w:t>服务人员由应急消防管理站统筹管理，共同开展街道安全生产相关工作，重点辅助做好消防领域、工业企业、危化品领域、建设施工领域的</w:t>
      </w:r>
      <w:r>
        <w:rPr>
          <w:rFonts w:hint="default" w:ascii="仿宋" w:hAnsi="仿宋" w:eastAsia="仿宋" w:cs="仿宋"/>
          <w:color w:val="auto"/>
          <w:kern w:val="1"/>
          <w:sz w:val="24"/>
          <w:highlight w:val="none"/>
          <w:shd w:val="clear" w:color="auto" w:fill="FEFEFE"/>
          <w:lang w:eastAsia="zh-CN"/>
        </w:rPr>
        <w:t>安全生产</w:t>
      </w:r>
      <w:r>
        <w:rPr>
          <w:rFonts w:hint="eastAsia" w:ascii="仿宋" w:hAnsi="仿宋" w:eastAsia="仿宋" w:cs="仿宋"/>
          <w:color w:val="auto"/>
          <w:kern w:val="1"/>
          <w:sz w:val="24"/>
          <w:highlight w:val="none"/>
          <w:shd w:val="clear" w:color="auto" w:fill="FEFEFE"/>
          <w:lang w:eastAsia="zh-CN"/>
        </w:rPr>
        <w:t>方面专业检查和指导</w:t>
      </w:r>
      <w:r>
        <w:rPr>
          <w:rFonts w:hint="eastAsia" w:ascii="仿宋" w:hAnsi="仿宋" w:eastAsia="仿宋" w:cs="仿宋"/>
          <w:color w:val="auto"/>
          <w:kern w:val="1"/>
          <w:sz w:val="24"/>
          <w:highlight w:val="none"/>
          <w:shd w:val="clear" w:color="auto" w:fill="FEFEFE"/>
          <w:lang w:val="en-US" w:eastAsia="zh-CN"/>
        </w:rPr>
        <w:t>等工作</w:t>
      </w:r>
      <w:r>
        <w:rPr>
          <w:rFonts w:hint="default" w:ascii="仿宋" w:hAnsi="仿宋" w:eastAsia="仿宋" w:cs="仿宋"/>
          <w:color w:val="auto"/>
          <w:kern w:val="1"/>
          <w:sz w:val="24"/>
          <w:highlight w:val="none"/>
          <w:shd w:val="clear" w:color="auto" w:fill="FEFEFE"/>
          <w:lang w:eastAsia="zh-CN"/>
        </w:rPr>
        <w:t>。</w:t>
      </w:r>
    </w:p>
    <w:p w14:paraId="A9EA64FF">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default" w:ascii="仿宋" w:hAnsi="仿宋" w:eastAsia="仿宋" w:cs="仿宋"/>
          <w:color w:val="auto"/>
          <w:kern w:val="1"/>
          <w:sz w:val="24"/>
          <w:highlight w:val="none"/>
          <w:shd w:val="clear" w:color="auto" w:fill="FEFEFE"/>
        </w:rPr>
      </w:pPr>
      <w:r>
        <w:rPr>
          <w:rFonts w:hint="eastAsia" w:ascii="仿宋" w:hAnsi="仿宋" w:eastAsia="仿宋" w:cs="仿宋"/>
          <w:color w:val="auto"/>
          <w:kern w:val="1"/>
          <w:sz w:val="24"/>
          <w:highlight w:val="none"/>
          <w:shd w:val="clear" w:color="auto" w:fill="FEFEFE"/>
          <w:lang w:eastAsia="zh-CN"/>
        </w:rPr>
        <w:t>6、</w:t>
      </w:r>
      <w:r>
        <w:rPr>
          <w:rFonts w:hint="default" w:ascii="仿宋" w:hAnsi="仿宋" w:eastAsia="仿宋" w:cs="仿宋"/>
          <w:color w:val="auto"/>
          <w:kern w:val="1"/>
          <w:sz w:val="24"/>
          <w:highlight w:val="none"/>
          <w:shd w:val="clear" w:color="auto" w:fill="FEFEFE"/>
        </w:rPr>
        <w:t>不予录用情况</w:t>
      </w:r>
    </w:p>
    <w:p w14:paraId="7D0A62B8">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default"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1.受过刑事处罚、劳动教养、未成年管教及治安处罚的；</w:t>
      </w:r>
    </w:p>
    <w:p w14:paraId="24D326DB">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default"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2.本人或直系亲属有被判处死刑及正在服刑的,或者参与邪教组织活动的；</w:t>
      </w:r>
    </w:p>
    <w:p w14:paraId="E9A156CA">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default"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 xml:space="preserve">3.有犯罪嫌疑尚未查清的； </w:t>
      </w:r>
    </w:p>
    <w:p w14:paraId="A67701EB">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default"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4.有寻衅滋事、偷窃、吸毒等不良行为；</w:t>
      </w:r>
    </w:p>
    <w:p w14:paraId="CA07E530">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default"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 xml:space="preserve">5.道德水平低下,有不良生活行为的； </w:t>
      </w:r>
    </w:p>
    <w:p w14:paraId="7EDD4223">
      <w:pPr>
        <w:keepNext w:val="0"/>
        <w:keepLines w:val="0"/>
        <w:pageBreakBefore w:val="0"/>
        <w:kinsoku/>
        <w:wordWrap/>
        <w:overflowPunct/>
        <w:topLinePunct w:val="0"/>
        <w:autoSpaceDE w:val="0"/>
        <w:autoSpaceDN w:val="0"/>
        <w:bidi w:val="0"/>
        <w:adjustRightInd w:val="0"/>
        <w:spacing w:line="360" w:lineRule="exact"/>
        <w:ind w:firstLine="420" w:firstLineChars="0"/>
        <w:textAlignment w:val="auto"/>
        <w:rPr>
          <w:rFonts w:hint="eastAsia" w:ascii="仿宋" w:hAnsi="仿宋" w:eastAsia="仿宋" w:cs="仿宋"/>
          <w:color w:val="auto"/>
          <w:kern w:val="1"/>
          <w:sz w:val="24"/>
          <w:highlight w:val="none"/>
          <w:shd w:val="clear" w:color="auto" w:fill="FEFEFE"/>
        </w:rPr>
      </w:pPr>
      <w:r>
        <w:rPr>
          <w:rFonts w:hint="default" w:ascii="仿宋" w:hAnsi="仿宋" w:eastAsia="仿宋" w:cs="仿宋"/>
          <w:color w:val="auto"/>
          <w:kern w:val="1"/>
          <w:sz w:val="24"/>
          <w:highlight w:val="none"/>
          <w:shd w:val="clear" w:color="auto" w:fill="FEFEFE"/>
        </w:rPr>
        <w:t>6.有纹身、疤痕等明显体表特征的</w:t>
      </w:r>
      <w:r>
        <w:rPr>
          <w:rFonts w:hint="eastAsia" w:ascii="仿宋" w:hAnsi="仿宋" w:eastAsia="仿宋" w:cs="仿宋"/>
          <w:color w:val="auto"/>
          <w:kern w:val="1"/>
          <w:sz w:val="24"/>
          <w:highlight w:val="none"/>
          <w:shd w:val="clear" w:color="auto" w:fill="FEFEFE"/>
          <w:lang w:eastAsia="zh-CN"/>
        </w:rPr>
        <w:t>。</w:t>
      </w:r>
    </w:p>
    <w:p w14:paraId="90E8DB50">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、相关场地、服装、装备</w:t>
      </w:r>
      <w:r>
        <w:rPr>
          <w:rFonts w:hint="eastAsia" w:ascii="仿宋" w:hAnsi="仿宋" w:eastAsia="仿宋" w:cs="仿宋"/>
          <w:b/>
          <w:bCs/>
          <w:color w:val="auto"/>
          <w:sz w:val="24"/>
          <w:highlight w:val="none"/>
          <w:lang w:val="en-US" w:eastAsia="zh-CN"/>
        </w:rPr>
        <w:t>的配置</w:t>
      </w:r>
    </w:p>
    <w:p w14:paraId="C4C30F7B">
      <w:pPr>
        <w:keepNext w:val="0"/>
        <w:keepLines w:val="0"/>
        <w:pageBreakBefore w:val="0"/>
        <w:kinsoku/>
        <w:wordWrap/>
        <w:overflowPunct/>
        <w:topLinePunct w:val="0"/>
        <w:bidi w:val="0"/>
        <w:adjustRightInd w:val="0"/>
        <w:snapToGrid w:val="0"/>
        <w:spacing w:line="360" w:lineRule="exact"/>
        <w:ind w:left="148" w:right="-315" w:rightChars="-150" w:firstLine="480"/>
        <w:textAlignment w:val="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w:t>
      </w:r>
      <w:r>
        <w:rPr>
          <w:rFonts w:hint="eastAsia" w:ascii="仿宋" w:hAnsi="仿宋" w:eastAsia="仿宋" w:cs="仿宋"/>
          <w:color w:val="auto"/>
          <w:kern w:val="1"/>
          <w:sz w:val="24"/>
          <w:highlight w:val="none"/>
          <w:lang w:val="en-US" w:eastAsia="zh-CN"/>
        </w:rPr>
        <w:t>办公</w:t>
      </w:r>
      <w:r>
        <w:rPr>
          <w:rFonts w:hint="eastAsia" w:ascii="仿宋" w:hAnsi="仿宋" w:eastAsia="仿宋" w:cs="仿宋"/>
          <w:color w:val="auto"/>
          <w:kern w:val="1"/>
          <w:sz w:val="24"/>
          <w:highlight w:val="none"/>
        </w:rPr>
        <w:t>场地由采购人提供</w:t>
      </w:r>
    </w:p>
    <w:p w14:paraId="181757AD">
      <w:pPr>
        <w:keepNext w:val="0"/>
        <w:keepLines w:val="0"/>
        <w:pageBreakBefore w:val="0"/>
        <w:kinsoku/>
        <w:wordWrap/>
        <w:overflowPunct/>
        <w:topLinePunct w:val="0"/>
        <w:bidi w:val="0"/>
        <w:adjustRightInd w:val="0"/>
        <w:snapToGrid w:val="0"/>
        <w:spacing w:line="360" w:lineRule="exact"/>
        <w:ind w:left="148" w:right="-315" w:rightChars="-150" w:firstLine="480"/>
        <w:textAlignment w:val="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服务人员应在采购人指定的办公地点进行服务。服务人员</w:t>
      </w:r>
      <w:r>
        <w:rPr>
          <w:rFonts w:hint="eastAsia" w:ascii="仿宋" w:hAnsi="仿宋" w:eastAsia="仿宋" w:cs="仿宋"/>
          <w:color w:val="auto"/>
          <w:kern w:val="1"/>
          <w:sz w:val="24"/>
          <w:highlight w:val="none"/>
        </w:rPr>
        <w:t>的驻点场所由采购人提供，相关办公用品（办公桌、电脑、打印机、对讲机、文件柜等）由中标人按采购</w:t>
      </w:r>
      <w:r>
        <w:rPr>
          <w:rFonts w:hint="eastAsia" w:ascii="仿宋" w:hAnsi="仿宋" w:eastAsia="仿宋" w:cs="仿宋"/>
          <w:color w:val="auto"/>
          <w:kern w:val="1"/>
          <w:sz w:val="24"/>
          <w:highlight w:val="none"/>
          <w:lang w:val="en-US" w:eastAsia="zh-CN"/>
        </w:rPr>
        <w:t>人</w:t>
      </w:r>
      <w:r>
        <w:rPr>
          <w:rFonts w:hint="eastAsia" w:ascii="仿宋" w:hAnsi="仿宋" w:eastAsia="仿宋" w:cs="仿宋"/>
          <w:color w:val="auto"/>
          <w:kern w:val="1"/>
          <w:sz w:val="24"/>
          <w:highlight w:val="none"/>
        </w:rPr>
        <w:t>要求配置，确保</w:t>
      </w:r>
      <w:r>
        <w:rPr>
          <w:rFonts w:hint="eastAsia" w:ascii="仿宋" w:hAnsi="仿宋" w:eastAsia="仿宋" w:cs="仿宋"/>
          <w:color w:val="auto"/>
          <w:kern w:val="1"/>
          <w:sz w:val="24"/>
          <w:highlight w:val="none"/>
          <w:lang w:val="en-US" w:eastAsia="zh-CN"/>
        </w:rPr>
        <w:t>安全生产技术服务工作</w:t>
      </w:r>
      <w:r>
        <w:rPr>
          <w:rFonts w:hint="eastAsia" w:ascii="仿宋" w:hAnsi="仿宋" w:eastAsia="仿宋" w:cs="仿宋"/>
          <w:color w:val="auto"/>
          <w:kern w:val="1"/>
          <w:sz w:val="24"/>
          <w:highlight w:val="none"/>
        </w:rPr>
        <w:t>正常运行。</w:t>
      </w:r>
    </w:p>
    <w:p w14:paraId="C69D360D">
      <w:pPr>
        <w:keepNext w:val="0"/>
        <w:keepLines w:val="0"/>
        <w:pageBreakBefore w:val="0"/>
        <w:kinsoku/>
        <w:wordWrap/>
        <w:overflowPunct/>
        <w:topLinePunct w:val="0"/>
        <w:bidi w:val="0"/>
        <w:adjustRightInd w:val="0"/>
        <w:snapToGrid w:val="0"/>
        <w:spacing w:line="360" w:lineRule="exact"/>
        <w:ind w:left="148" w:right="-315" w:rightChars="-150" w:firstLine="480"/>
        <w:textAlignment w:val="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2.人员</w:t>
      </w:r>
      <w:r>
        <w:rPr>
          <w:rFonts w:hint="eastAsia" w:ascii="仿宋" w:hAnsi="仿宋" w:eastAsia="仿宋" w:cs="仿宋"/>
          <w:color w:val="auto"/>
          <w:kern w:val="1"/>
          <w:sz w:val="24"/>
          <w:highlight w:val="none"/>
          <w:lang w:val="en-US" w:eastAsia="zh-CN"/>
        </w:rPr>
        <w:t>标识由采购人</w:t>
      </w:r>
      <w:r>
        <w:rPr>
          <w:rFonts w:hint="eastAsia" w:ascii="仿宋" w:hAnsi="仿宋" w:eastAsia="仿宋" w:cs="仿宋"/>
          <w:color w:val="auto"/>
          <w:kern w:val="1"/>
          <w:sz w:val="24"/>
          <w:highlight w:val="none"/>
        </w:rPr>
        <w:t>提供</w:t>
      </w:r>
    </w:p>
    <w:p w14:paraId="8B4B053D">
      <w:pPr>
        <w:keepNext w:val="0"/>
        <w:keepLines w:val="0"/>
        <w:pageBreakBefore w:val="0"/>
        <w:kinsoku/>
        <w:wordWrap/>
        <w:overflowPunct/>
        <w:topLinePunct w:val="0"/>
        <w:bidi w:val="0"/>
        <w:adjustRightInd w:val="0"/>
        <w:snapToGrid w:val="0"/>
        <w:spacing w:line="360" w:lineRule="exact"/>
        <w:ind w:left="148" w:right="-315" w:rightChars="-150" w:firstLine="480"/>
        <w:textAlignment w:val="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要求如下：</w:t>
      </w:r>
    </w:p>
    <w:p w14:paraId="E7EED3D2">
      <w:pPr>
        <w:keepNext w:val="0"/>
        <w:keepLines w:val="0"/>
        <w:pageBreakBefore w:val="0"/>
        <w:kinsoku/>
        <w:wordWrap/>
        <w:overflowPunct/>
        <w:topLinePunct w:val="0"/>
        <w:bidi w:val="0"/>
        <w:adjustRightInd w:val="0"/>
        <w:snapToGrid w:val="0"/>
        <w:spacing w:line="360" w:lineRule="exact"/>
        <w:ind w:left="148" w:right="-315" w:rightChars="-150" w:firstLine="480"/>
        <w:textAlignment w:val="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中标单位应在采购人</w:t>
      </w:r>
      <w:r>
        <w:rPr>
          <w:rFonts w:hint="eastAsia" w:ascii="仿宋" w:hAnsi="仿宋" w:eastAsia="仿宋" w:cs="仿宋"/>
          <w:color w:val="auto"/>
          <w:kern w:val="1"/>
          <w:sz w:val="24"/>
          <w:highlight w:val="none"/>
          <w:lang w:val="en-US" w:eastAsia="zh-CN"/>
        </w:rPr>
        <w:t>的要求下</w:t>
      </w:r>
      <w:r>
        <w:rPr>
          <w:rFonts w:hint="eastAsia" w:ascii="仿宋" w:hAnsi="仿宋" w:eastAsia="仿宋" w:cs="仿宋"/>
          <w:color w:val="auto"/>
          <w:kern w:val="1"/>
          <w:sz w:val="24"/>
          <w:highlight w:val="none"/>
        </w:rPr>
        <w:t>，穿戴由采购人统一制作的标识（包括但不限于简装、袖标、胸牌等证件）。</w:t>
      </w:r>
    </w:p>
    <w:p w14:paraId="7DD6B32D">
      <w:pPr>
        <w:keepNext w:val="0"/>
        <w:keepLines w:val="0"/>
        <w:pageBreakBefore w:val="0"/>
        <w:kinsoku/>
        <w:wordWrap/>
        <w:overflowPunct/>
        <w:topLinePunct w:val="0"/>
        <w:bidi w:val="0"/>
        <w:adjustRightInd w:val="0"/>
        <w:snapToGrid w:val="0"/>
        <w:spacing w:line="360" w:lineRule="exact"/>
        <w:ind w:left="148" w:right="-315" w:rightChars="-150" w:firstLine="480"/>
        <w:textAlignment w:val="auto"/>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综合应急救援队队员执勤期间着统一服装，随身佩戴统一的标识。</w:t>
      </w:r>
    </w:p>
    <w:p w14:paraId="7232B50F">
      <w:pPr>
        <w:pStyle w:val="84"/>
        <w:keepNext w:val="0"/>
        <w:keepLines w:val="0"/>
        <w:pageBreakBefore w:val="0"/>
        <w:kinsoku/>
        <w:wordWrap/>
        <w:overflowPunct/>
        <w:topLinePunct w:val="0"/>
        <w:bidi w:val="0"/>
        <w:adjustRightInd w:val="0"/>
        <w:spacing w:line="360" w:lineRule="exact"/>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、其他要求：</w:t>
      </w:r>
    </w:p>
    <w:p w14:paraId="9DBC6C1F">
      <w:pPr>
        <w:pStyle w:val="84"/>
        <w:keepNext w:val="0"/>
        <w:keepLines w:val="0"/>
        <w:pageBreakBefore w:val="0"/>
        <w:kinsoku/>
        <w:wordWrap/>
        <w:overflowPunct/>
        <w:topLinePunct w:val="0"/>
        <w:bidi w:val="0"/>
        <w:adjustRightInd w:val="0"/>
        <w:spacing w:line="360" w:lineRule="exact"/>
        <w:ind w:left="0" w:leftChars="0" w:firstLine="42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、服务工作期间，中标单位必须做好人员分配和安全管理工作，若出现任何人员安全事故或工作纠纷，由中标单位自行解决，与采购人无关，并保证服务工作正常进行。</w:t>
      </w:r>
    </w:p>
    <w:p w14:paraId="999D8F44">
      <w:pPr>
        <w:keepNext w:val="0"/>
        <w:keepLines w:val="0"/>
        <w:pageBreakBefore w:val="0"/>
        <w:tabs>
          <w:tab w:val="left" w:pos="0"/>
        </w:tabs>
        <w:kinsoku/>
        <w:wordWrap/>
        <w:overflowPunct/>
        <w:topLinePunct w:val="0"/>
        <w:bidi w:val="0"/>
        <w:adjustRightInd w:val="0"/>
        <w:snapToGrid w:val="0"/>
        <w:spacing w:line="360" w:lineRule="exact"/>
        <w:ind w:firstLine="480" w:firstLineChars="200"/>
        <w:textAlignment w:val="auto"/>
        <w:rPr>
          <w:rFonts w:hint="eastAsia" w:ascii="仿宋" w:hAnsi="仿宋" w:eastAsia="仿宋" w:cs="宋体"/>
          <w:b/>
          <w:bCs/>
          <w:color w:val="auto"/>
          <w:sz w:val="24"/>
          <w:highlight w:val="none"/>
        </w:rPr>
      </w:pP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、在本合同约定期限内，如遇政策变动或调整等其他重要原因导致服务终止的，乙方须无条件服从，合同终止，甲方须提前1个月书面告知，乙方负责在规定时间内清理退场。</w:t>
      </w:r>
      <w:r>
        <w:rPr>
          <w:rFonts w:hint="eastAsia" w:ascii="仿宋" w:hAnsi="仿宋" w:eastAsia="仿宋" w:cs="仿宋"/>
          <w:color w:val="auto"/>
          <w:kern w:val="0"/>
          <w:sz w:val="24"/>
          <w:highlight w:val="none"/>
        </w:rPr>
        <w:br w:type="page"/>
      </w:r>
    </w:p>
    <w:p w14:paraId="820FD0F0">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、考评标准</w:t>
      </w:r>
    </w:p>
    <w:p w14:paraId="137616DE">
      <w:pPr>
        <w:keepNext w:val="0"/>
        <w:keepLines w:val="0"/>
        <w:pageBreakBefore w:val="0"/>
        <w:kinsoku/>
        <w:wordWrap/>
        <w:overflowPunct/>
        <w:topLinePunct w:val="0"/>
        <w:bidi w:val="0"/>
        <w:adjustRightInd w:val="0"/>
        <w:spacing w:line="360" w:lineRule="exact"/>
        <w:ind w:firstLine="470"/>
        <w:textAlignment w:val="auto"/>
        <w:rPr>
          <w:rFonts w:hint="eastAsia" w:ascii="仿宋" w:hAnsi="仿宋" w:eastAsia="仿宋" w:cs="仿宋"/>
          <w:b/>
          <w:bCs/>
          <w:color w:val="auto"/>
          <w:kern w:val="1"/>
          <w:sz w:val="24"/>
          <w:highlight w:val="none"/>
        </w:rPr>
      </w:pPr>
      <w:bookmarkStart w:id="27" w:name="_Toc13560802"/>
      <w:r>
        <w:rPr>
          <w:rFonts w:hint="eastAsia" w:ascii="仿宋" w:hAnsi="仿宋" w:eastAsia="仿宋" w:cs="仿宋"/>
          <w:b/>
          <w:bCs/>
          <w:color w:val="auto"/>
          <w:kern w:val="1"/>
          <w:sz w:val="24"/>
          <w:highlight w:val="none"/>
          <w:shd w:val="clear" w:color="auto" w:fill="FEFEFE"/>
        </w:rPr>
        <w:t>根据实际任务完成情况，每季度对</w:t>
      </w:r>
      <w:r>
        <w:rPr>
          <w:rFonts w:hint="eastAsia" w:ascii="仿宋" w:hAnsi="仿宋" w:eastAsia="仿宋" w:cs="仿宋"/>
          <w:b/>
          <w:bCs/>
          <w:color w:val="auto"/>
          <w:kern w:val="1"/>
          <w:sz w:val="24"/>
          <w:highlight w:val="none"/>
          <w:shd w:val="clear" w:color="auto" w:fill="FEFEFE"/>
          <w:lang w:val="en-US" w:eastAsia="zh-CN"/>
        </w:rPr>
        <w:t>中标人</w:t>
      </w:r>
      <w:r>
        <w:rPr>
          <w:rFonts w:hint="eastAsia" w:ascii="仿宋" w:hAnsi="仿宋" w:eastAsia="仿宋" w:cs="仿宋"/>
          <w:b/>
          <w:bCs/>
          <w:color w:val="auto"/>
          <w:kern w:val="1"/>
          <w:sz w:val="24"/>
          <w:highlight w:val="none"/>
          <w:shd w:val="clear" w:color="auto" w:fill="FEFEFE"/>
        </w:rPr>
        <w:t>开展安全技术服务</w:t>
      </w:r>
      <w:r>
        <w:rPr>
          <w:rFonts w:hint="eastAsia" w:ascii="仿宋" w:hAnsi="仿宋" w:eastAsia="仿宋" w:cs="仿宋"/>
          <w:b/>
          <w:bCs/>
          <w:color w:val="auto"/>
          <w:kern w:val="1"/>
          <w:sz w:val="24"/>
          <w:highlight w:val="none"/>
          <w:shd w:val="clear" w:color="auto" w:fill="FEFEFE"/>
          <w:lang w:val="en-US" w:eastAsia="zh-CN"/>
        </w:rPr>
        <w:t>的</w:t>
      </w:r>
      <w:r>
        <w:rPr>
          <w:rFonts w:hint="eastAsia" w:ascii="仿宋" w:hAnsi="仿宋" w:eastAsia="仿宋" w:cs="仿宋"/>
          <w:b/>
          <w:bCs/>
          <w:color w:val="auto"/>
          <w:kern w:val="1"/>
          <w:sz w:val="24"/>
          <w:highlight w:val="none"/>
          <w:shd w:val="clear" w:color="auto" w:fill="FEFEFE"/>
        </w:rPr>
        <w:t>实际情况进行监督和考评，综合被服务企业及相关部门的意见进行考核，以工作量、服务质量及实际服务效果相结合的方式进行考评。</w:t>
      </w:r>
    </w:p>
    <w:p w14:paraId="6AA18F0C">
      <w:pPr>
        <w:keepNext w:val="0"/>
        <w:keepLines w:val="0"/>
        <w:pageBreakBefore w:val="0"/>
        <w:numPr>
          <w:ilvl w:val="0"/>
          <w:numId w:val="2"/>
        </w:numPr>
        <w:kinsoku/>
        <w:wordWrap/>
        <w:overflowPunct/>
        <w:topLinePunct w:val="0"/>
        <w:bidi w:val="0"/>
        <w:adjustRightInd w:val="0"/>
        <w:spacing w:line="36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考核方式</w:t>
      </w:r>
    </w:p>
    <w:p w14:paraId="C4CBBCFF">
      <w:pPr>
        <w:keepNext w:val="0"/>
        <w:keepLines w:val="0"/>
        <w:pageBreakBefore w:val="0"/>
        <w:tabs>
          <w:tab w:val="left" w:pos="851"/>
        </w:tabs>
        <w:kinsoku/>
        <w:wordWrap/>
        <w:overflowPunct/>
        <w:topLinePunct w:val="0"/>
        <w:bidi w:val="0"/>
        <w:adjustRightInd w:val="0"/>
        <w:spacing w:line="3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1、工作考核内容：</w:t>
      </w:r>
    </w:p>
    <w:p w14:paraId="05091D36">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（1）若合同服务期间，所有常驻人员在第一季度还未全部配备完成的，一次性扣15分并责令整改；</w:t>
      </w:r>
    </w:p>
    <w:p w14:paraId="DA71526E">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（2）服务期间采购方不定期考察或抽查安全服务机构的人员到岗情况，每发现一次人员缺岗的扣6分，累计达到三次及以上的，采购方有权单方面终止合同；</w:t>
      </w:r>
    </w:p>
    <w:p w14:paraId="79B34C4B">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（3）未按规定开展相关工作或完成工作要求的，每发现1次扣2分；</w:t>
      </w:r>
    </w:p>
    <w:p w14:paraId="CEA1E372">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（4）技术服务人员资质不符或服务时间未达到规定时间的，每次扣2分；</w:t>
      </w:r>
    </w:p>
    <w:p w14:paraId="A0F8306B">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（5）服务开展前未编制并提交服务方案和计划的，每次扣2分；</w:t>
      </w:r>
    </w:p>
    <w:p w14:paraId="D7F9BE30">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（6）未按服务方案和计划开展服务的，每次扣2分；</w:t>
      </w:r>
    </w:p>
    <w:p w14:paraId="3C59FEF9">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（7）未按要求整理台账等基础资料的，每次扣2分；</w:t>
      </w:r>
    </w:p>
    <w:p w14:paraId="0CD41B8E">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（8）未经同意变更技术服务人员的，每人次扣除2万元；</w:t>
      </w:r>
    </w:p>
    <w:p w14:paraId="CFD9CD79">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（9）服务机构对隐患查找不细、不实、整改措施不具针对性、遗漏重大事故隐患的每起扣2分；</w:t>
      </w:r>
    </w:p>
    <w:p w14:paraId="F3E73A3A">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（10）上级部门组织的各类安全检查或在平安建设暗访暗查中，发现存在各类安全生产违法违规行为每项扣1分，服务机构未及时发现并落实整改的扣2分；</w:t>
      </w:r>
    </w:p>
    <w:p w14:paraId="EEC41039">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（11）存在安全管理走过场、敷衍了事的行为每发现一起扣2分；</w:t>
      </w:r>
    </w:p>
    <w:p w14:paraId="4ABB44BB">
      <w:pPr>
        <w:keepNext w:val="0"/>
        <w:keepLines w:val="0"/>
        <w:pageBreakBefore w:val="0"/>
        <w:tabs>
          <w:tab w:val="left" w:pos="851"/>
        </w:tabs>
        <w:kinsoku/>
        <w:wordWrap/>
        <w:overflowPunct/>
        <w:topLinePunct w:val="0"/>
        <w:bidi w:val="0"/>
        <w:adjustRightIn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（12）其他情形具体扣分标准由业主方视情况而定，以上考核细则最终解释权归业主方所有。</w:t>
      </w:r>
    </w:p>
    <w:p w14:paraId="CABB3312">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2、绩效考核内容：</w:t>
      </w:r>
    </w:p>
    <w:p w14:paraId="4F2ED378">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（1）企业发生因中标方未按要求履行工作职责而造成的生产安全事故的，每次扣5分；</w:t>
      </w:r>
    </w:p>
    <w:p w14:paraId="F21735DA">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（2）企业发生因中标方未按要求履行工作职责而造成的死亡事故的，每人次扣10分；</w:t>
      </w:r>
    </w:p>
    <w:p w14:paraId="5E8180DB">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（3）企业发生因中标方未按要求履行工作职责，造成较大不良社会影响的其他事故，每次扣20分，对中标单位追究责任，情节严重的，可加重处罚，具体处罚措施视情况而定；</w:t>
      </w:r>
    </w:p>
    <w:p w14:paraId="F1222746">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（4）企业发生因中标方未按要求履行工作职责而造成业主被省市检查通报，或导致业主扣分的，每次扣10分，对中标单位追究责任，情节严重的，可加重处罚，具体处罚措施视情况而定；</w:t>
      </w:r>
    </w:p>
    <w:p w14:paraId="EE4857F8">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（5）其他情形具体扣分标准由业主方视情况而定，以上考核细则最终解释权归业主方所有。</w:t>
      </w:r>
    </w:p>
    <w:p w14:paraId="63973B63">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工作人员检查时采取不正当手段获取利益、借机推销产品或服务、收受贿赂及其他经济违法行为的，经查证属实的，服务机构当季考核一次性扣15分，相关工作人员立即辞退，情节严重的，提交纪检公安部门处理；</w:t>
      </w:r>
    </w:p>
    <w:p w14:paraId="74A68F84">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4、服务机构成绩突出，全年未发生安全生产事故、有创新举措和工作亮点被市级以上部门通报表扬的每次加5分，并视情况对中标企业进行适度奖励；</w:t>
      </w:r>
    </w:p>
    <w:p w14:paraId="ABD2B9E7">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实行A、B、C、D四个等级进行划分，其中：A级（90分以上）为优秀；B级（75～89分）为良好；C级（60～74分）为一般；D级（50～59分）为差，直接列入“黑名单”，评分鉴定由应急部门选定，每季度考核评定一次。</w:t>
      </w:r>
    </w:p>
    <w:p w14:paraId="AEB2FB5C">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6、等级分级管理：</w:t>
      </w:r>
    </w:p>
    <w:p w14:paraId="167AF54D">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（1）A、B级中标机构可继续承接业务，C级为警告级，D级不得参与该项目后续年度的招投标活动；</w:t>
      </w:r>
    </w:p>
    <w:p w14:paraId="4ABAB3B5">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（2）取得A级的中标机构将在合同期满后优先推荐使用；</w:t>
      </w:r>
    </w:p>
    <w:p w14:paraId="BFC6531A">
      <w:pPr>
        <w:keepNext w:val="0"/>
        <w:keepLines w:val="0"/>
        <w:pageBreakBefore w:val="0"/>
        <w:kinsoku/>
        <w:wordWrap/>
        <w:overflowPunct/>
        <w:topLinePunct w:val="0"/>
        <w:bidi w:val="0"/>
        <w:adjustRightInd w:val="0"/>
        <w:spacing w:line="360" w:lineRule="exact"/>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（3）取得B级的中标机构由应急部门进行诫勉约谈，并责令限期整改后，在合同期满后可继续参与投标。</w:t>
      </w:r>
    </w:p>
    <w:p w14:paraId="7FB42853">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（4）取得C级的中标机构在内部进行通报批评并限期整改，未在整改期限中完成整改的纳入“黑名单”及D级，并取消再次参与该项目后续年度的投标资格。</w:t>
      </w:r>
      <w:bookmarkEnd w:id="27"/>
    </w:p>
    <w:p w14:paraId="05FB2177">
      <w:pPr>
        <w:keepNext w:val="0"/>
        <w:keepLines w:val="0"/>
        <w:pageBreakBefore w:val="0"/>
        <w:kinsoku/>
        <w:wordWrap/>
        <w:overflowPunct/>
        <w:topLinePunct w:val="0"/>
        <w:bidi w:val="0"/>
        <w:adjustRightInd w:val="0"/>
        <w:spacing w:line="360" w:lineRule="exact"/>
        <w:ind w:left="420" w:left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（二）考核结果运用</w:t>
      </w:r>
    </w:p>
    <w:p w14:paraId="5603ADE6">
      <w:pPr>
        <w:keepNext w:val="0"/>
        <w:keepLines w:val="0"/>
        <w:pageBreakBefore w:val="0"/>
        <w:kinsoku/>
        <w:wordWrap/>
        <w:overflowPunct/>
        <w:topLinePunct w:val="0"/>
        <w:bidi w:val="0"/>
        <w:adjustRightInd w:val="0"/>
        <w:spacing w:line="360" w:lineRule="exact"/>
        <w:ind w:firstLine="48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结合安全中标方服务质量及服务实际效果，</w:t>
      </w:r>
      <w:r>
        <w:rPr>
          <w:rFonts w:hint="eastAsia" w:ascii="仿宋" w:hAnsi="仿宋" w:eastAsia="仿宋" w:cs="仿宋"/>
          <w:color w:val="auto"/>
          <w:kern w:val="0"/>
          <w:sz w:val="24"/>
          <w:highlight w:val="none"/>
        </w:rPr>
        <w:t>结合每季度的中标人考核情况，服务费用按季度结算，</w:t>
      </w:r>
      <w:r>
        <w:rPr>
          <w:rFonts w:hint="eastAsia" w:ascii="仿宋" w:hAnsi="仿宋" w:eastAsia="仿宋" w:cs="仿宋"/>
          <w:color w:val="auto"/>
          <w:sz w:val="24"/>
          <w:highlight w:val="none"/>
        </w:rPr>
        <w:t>根据每季度实际考核得分，按照下表中的付款比例进行付款兑现。</w:t>
      </w:r>
      <w:r>
        <w:rPr>
          <w:rFonts w:hint="eastAsia" w:ascii="仿宋" w:hAnsi="仿宋" w:eastAsia="仿宋" w:cs="仿宋"/>
          <w:b/>
          <w:bCs/>
          <w:color w:val="auto"/>
          <w:sz w:val="24"/>
          <w:highlight w:val="none"/>
          <w:u w:val="single"/>
        </w:rPr>
        <w:t>每季度实际付款金额 = 每季度服务费 X 付款比例。</w:t>
      </w:r>
    </w:p>
    <w:p w14:paraId="30DEBE9F">
      <w:pPr>
        <w:keepNext w:val="0"/>
        <w:keepLines w:val="0"/>
        <w:pageBreakBefore w:val="0"/>
        <w:kinsoku/>
        <w:wordWrap/>
        <w:overflowPunct/>
        <w:topLinePunct w:val="0"/>
        <w:bidi w:val="0"/>
        <w:adjustRightInd w:val="0"/>
        <w:spacing w:line="360" w:lineRule="exact"/>
        <w:ind w:firstLine="482" w:firstLineChars="20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考核得分与付款比例一览表</w:t>
      </w:r>
    </w:p>
    <w:tbl>
      <w:tblPr>
        <w:tblStyle w:val="6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335"/>
        <w:gridCol w:w="1228"/>
        <w:gridCol w:w="1176"/>
        <w:gridCol w:w="1279"/>
        <w:gridCol w:w="1241"/>
      </w:tblGrid>
      <w:tr w14:paraId="1B36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56" w:type="dxa"/>
            <w:vAlign w:val="center"/>
          </w:tcPr>
          <w:p w14:paraId="F1210B34">
            <w:pPr>
              <w:keepNext w:val="0"/>
              <w:keepLines w:val="0"/>
              <w:pageBreakBefore w:val="0"/>
              <w:kinsoku/>
              <w:wordWrap/>
              <w:overflowPunct/>
              <w:topLinePunct w:val="0"/>
              <w:bidi w:val="0"/>
              <w:adjustRightIn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考核得分</w:t>
            </w:r>
          </w:p>
        </w:tc>
        <w:tc>
          <w:tcPr>
            <w:tcW w:w="1335" w:type="dxa"/>
            <w:vAlign w:val="center"/>
          </w:tcPr>
          <w:p w14:paraId="F02931F3">
            <w:pPr>
              <w:keepNext w:val="0"/>
              <w:keepLines w:val="0"/>
              <w:pageBreakBefore w:val="0"/>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90分以上（含）</w:t>
            </w:r>
          </w:p>
        </w:tc>
        <w:tc>
          <w:tcPr>
            <w:tcW w:w="1228" w:type="dxa"/>
            <w:vAlign w:val="center"/>
          </w:tcPr>
          <w:p w14:paraId="E56E0EE6">
            <w:pPr>
              <w:keepNext w:val="0"/>
              <w:keepLines w:val="0"/>
              <w:pageBreakBefore w:val="0"/>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80～89分</w:t>
            </w:r>
          </w:p>
        </w:tc>
        <w:tc>
          <w:tcPr>
            <w:tcW w:w="1176" w:type="dxa"/>
            <w:vAlign w:val="center"/>
          </w:tcPr>
          <w:p w14:paraId="DD297967">
            <w:pPr>
              <w:keepNext w:val="0"/>
              <w:keepLines w:val="0"/>
              <w:pageBreakBefore w:val="0"/>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70～79分</w:t>
            </w:r>
          </w:p>
        </w:tc>
        <w:tc>
          <w:tcPr>
            <w:tcW w:w="1279" w:type="dxa"/>
            <w:vAlign w:val="center"/>
          </w:tcPr>
          <w:p w14:paraId="2E4D32FB">
            <w:pPr>
              <w:keepNext w:val="0"/>
              <w:keepLines w:val="0"/>
              <w:pageBreakBefore w:val="0"/>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60～69分</w:t>
            </w:r>
          </w:p>
        </w:tc>
        <w:tc>
          <w:tcPr>
            <w:tcW w:w="1241" w:type="dxa"/>
            <w:vAlign w:val="center"/>
          </w:tcPr>
          <w:p w14:paraId="639F45B7">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60分以下</w:t>
            </w:r>
          </w:p>
        </w:tc>
      </w:tr>
      <w:tr w14:paraId="221A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856" w:type="dxa"/>
            <w:vAlign w:val="center"/>
          </w:tcPr>
          <w:p w14:paraId="13806587">
            <w:pPr>
              <w:keepNext w:val="0"/>
              <w:keepLines w:val="0"/>
              <w:pageBreakBefore w:val="0"/>
              <w:kinsoku/>
              <w:wordWrap/>
              <w:overflowPunct/>
              <w:topLinePunct w:val="0"/>
              <w:bidi w:val="0"/>
              <w:adjustRightIn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付款比例</w:t>
            </w:r>
          </w:p>
        </w:tc>
        <w:tc>
          <w:tcPr>
            <w:tcW w:w="1335" w:type="dxa"/>
            <w:vAlign w:val="center"/>
          </w:tcPr>
          <w:p w14:paraId="575C8ADA">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全额付款（若有罚款，须扣除当季相应罚款）</w:t>
            </w:r>
          </w:p>
        </w:tc>
        <w:tc>
          <w:tcPr>
            <w:tcW w:w="1228" w:type="dxa"/>
            <w:vAlign w:val="center"/>
          </w:tcPr>
          <w:p w14:paraId="B971A52F">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九折付款（若有罚款，须扣除当季相应罚款）</w:t>
            </w:r>
          </w:p>
        </w:tc>
        <w:tc>
          <w:tcPr>
            <w:tcW w:w="1176" w:type="dxa"/>
            <w:vAlign w:val="center"/>
          </w:tcPr>
          <w:p w14:paraId="7E446F2B">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八折付款（若有罚款，须扣除当季相应罚款）</w:t>
            </w:r>
          </w:p>
        </w:tc>
        <w:tc>
          <w:tcPr>
            <w:tcW w:w="1279" w:type="dxa"/>
            <w:vAlign w:val="center"/>
          </w:tcPr>
          <w:p w14:paraId="1BD3A988">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七折付款（若有罚款，须扣除当季相应罚款）</w:t>
            </w:r>
          </w:p>
        </w:tc>
        <w:tc>
          <w:tcPr>
            <w:tcW w:w="1241" w:type="dxa"/>
            <w:vAlign w:val="center"/>
          </w:tcPr>
          <w:p w14:paraId="509D4FD6">
            <w:pPr>
              <w:keepNext w:val="0"/>
              <w:keepLines w:val="0"/>
              <w:pageBreakBefore w:val="0"/>
              <w:widowControl/>
              <w:kinsoku/>
              <w:wordWrap/>
              <w:overflowPunct/>
              <w:topLinePunct w:val="0"/>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全额扣除且甲方有权解除合同</w:t>
            </w:r>
          </w:p>
        </w:tc>
      </w:tr>
    </w:tbl>
    <w:p w14:paraId="247ACBB4">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（三）其他情况</w:t>
      </w:r>
    </w:p>
    <w:p w14:paraId="3F01C47D">
      <w:pPr>
        <w:keepNext w:val="0"/>
        <w:keepLines w:val="0"/>
        <w:pageBreakBefore w:val="0"/>
        <w:kinsoku/>
        <w:wordWrap/>
        <w:overflowPunct/>
        <w:topLinePunct w:val="0"/>
        <w:bidi w:val="0"/>
        <w:adjustRightInd w:val="0"/>
        <w:spacing w:line="360" w:lineRule="exact"/>
        <w:ind w:firstLine="42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发现中标方有违反国家安全相关规定，吃拿卡要、弄虚作假、出具虚假检查报告等行为，一经查实，当事人立即清退，并报有关部门按《安全生产法》有关条款处理。</w:t>
      </w:r>
    </w:p>
    <w:p w14:paraId="C62581A4">
      <w:pPr>
        <w:keepNext w:val="0"/>
        <w:keepLines w:val="0"/>
        <w:pageBreakBefore w:val="0"/>
        <w:kinsoku/>
        <w:wordWrap/>
        <w:overflowPunct/>
        <w:topLinePunct w:val="0"/>
        <w:autoSpaceDE w:val="0"/>
        <w:autoSpaceDN w:val="0"/>
        <w:bidi w:val="0"/>
        <w:adjustRightInd w:val="0"/>
        <w:spacing w:line="360" w:lineRule="exact"/>
        <w:jc w:val="left"/>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九</w:t>
      </w:r>
      <w:r>
        <w:rPr>
          <w:rFonts w:hint="eastAsia" w:ascii="仿宋" w:hAnsi="仿宋" w:eastAsia="仿宋" w:cs="仿宋"/>
          <w:b/>
          <w:bCs/>
          <w:color w:val="auto"/>
          <w:kern w:val="0"/>
          <w:sz w:val="24"/>
          <w:highlight w:val="none"/>
          <w:lang w:val="zh-CN"/>
        </w:rPr>
        <w:t>、商务</w:t>
      </w:r>
      <w:r>
        <w:rPr>
          <w:rFonts w:hint="eastAsia" w:ascii="仿宋" w:hAnsi="仿宋" w:eastAsia="仿宋" w:cs="仿宋"/>
          <w:b/>
          <w:bCs/>
          <w:color w:val="auto"/>
          <w:kern w:val="0"/>
          <w:sz w:val="24"/>
          <w:highlight w:val="none"/>
          <w:lang w:val="en-US" w:eastAsia="zh-CN"/>
        </w:rPr>
        <w:t>需求表</w:t>
      </w:r>
    </w:p>
    <w:tbl>
      <w:tblPr>
        <w:tblStyle w:val="62"/>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03"/>
        <w:gridCol w:w="7190"/>
      </w:tblGrid>
      <w:tr w14:paraId="2FFFB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5E131279">
            <w:pPr>
              <w:spacing w:before="240" w:beforeLines="100" w:after="240" w:afterLines="100"/>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投标报</w:t>
            </w:r>
            <w:r>
              <w:rPr>
                <w:rFonts w:ascii="仿宋" w:hAnsi="仿宋" w:eastAsia="仿宋"/>
                <w:b/>
                <w:color w:val="auto"/>
                <w:sz w:val="24"/>
                <w:szCs w:val="24"/>
                <w:highlight w:val="none"/>
              </w:rPr>
              <w:t>价</w:t>
            </w:r>
          </w:p>
        </w:tc>
        <w:tc>
          <w:tcPr>
            <w:tcW w:w="4232" w:type="pct"/>
            <w:tcBorders>
              <w:top w:val="single" w:color="auto" w:sz="4" w:space="0"/>
              <w:left w:val="single" w:color="auto" w:sz="4" w:space="0"/>
              <w:bottom w:val="single" w:color="auto" w:sz="4" w:space="0"/>
              <w:right w:val="single" w:color="auto" w:sz="4" w:space="0"/>
            </w:tcBorders>
            <w:vAlign w:val="center"/>
          </w:tcPr>
          <w:p w14:paraId="77D9027D">
            <w:pPr>
              <w:spacing w:before="240" w:beforeLines="100" w:after="240" w:afterLines="100"/>
              <w:rPr>
                <w:rFonts w:ascii="仿宋" w:hAnsi="仿宋" w:eastAsia="仿宋"/>
                <w:color w:val="auto"/>
                <w:sz w:val="24"/>
                <w:szCs w:val="24"/>
                <w:highlight w:val="none"/>
              </w:rPr>
            </w:pPr>
            <w:r>
              <w:rPr>
                <w:rFonts w:hint="eastAsia" w:ascii="仿宋" w:hAnsi="仿宋" w:eastAsia="仿宋"/>
                <w:color w:val="auto"/>
                <w:sz w:val="24"/>
                <w:szCs w:val="24"/>
                <w:highlight w:val="none"/>
              </w:rPr>
              <w:t>本项目投标限价为：</w:t>
            </w:r>
            <w:r>
              <w:rPr>
                <w:rFonts w:hint="eastAsia" w:ascii="仿宋" w:hAnsi="仿宋" w:eastAsia="仿宋"/>
                <w:color w:val="auto"/>
                <w:sz w:val="24"/>
                <w:szCs w:val="24"/>
                <w:highlight w:val="none"/>
                <w:lang w:val="en-US" w:eastAsia="zh-CN"/>
              </w:rPr>
              <w:t>480.0000</w:t>
            </w:r>
            <w:r>
              <w:rPr>
                <w:rFonts w:hint="eastAsia" w:ascii="仿宋" w:hAnsi="仿宋" w:eastAsia="仿宋"/>
                <w:color w:val="auto"/>
                <w:sz w:val="24"/>
                <w:szCs w:val="24"/>
                <w:highlight w:val="none"/>
              </w:rPr>
              <w:t>万元人民币（三年，160万元/年），超出此限价的投标报价无效。</w:t>
            </w:r>
            <w:r>
              <w:rPr>
                <w:rFonts w:hint="eastAsia" w:ascii="仿宋" w:hAnsi="仿宋" w:eastAsia="仿宋"/>
                <w:color w:val="auto"/>
                <w:sz w:val="24"/>
                <w:szCs w:val="24"/>
                <w:highlight w:val="none"/>
                <w:lang w:val="en-US" w:eastAsia="zh-CN"/>
              </w:rPr>
              <w:t>投标报价完成项目内容所需的一切人员费用、办公费用、交通、设备、管理费用、税费、利润以及完成合同不可或缺的所有工作开支、政策性文件规定及合同包含的所有风险、责任等各项全部费用并承担一切风险责任。</w:t>
            </w:r>
            <w:r>
              <w:rPr>
                <w:rFonts w:hint="eastAsia" w:ascii="仿宋" w:hAnsi="仿宋" w:eastAsia="仿宋" w:cs="宋体"/>
                <w:color w:val="auto"/>
                <w:sz w:val="24"/>
                <w:szCs w:val="24"/>
                <w:highlight w:val="none"/>
              </w:rPr>
              <w:t>人员工资、福利待遇及社会保障费用不得低于杭州市政府及相关行业主管部门最新文件规定。</w:t>
            </w:r>
            <w:r>
              <w:rPr>
                <w:rFonts w:hint="eastAsia" w:ascii="仿宋" w:hAnsi="仿宋" w:eastAsia="仿宋" w:cs="宋体"/>
                <w:color w:val="auto"/>
                <w:sz w:val="24"/>
                <w:szCs w:val="24"/>
                <w:highlight w:val="none"/>
                <w:lang w:val="zh-CN"/>
              </w:rPr>
              <w:t>投标人须自行考虑项目服务期内相关政策的调整，中标后总价不作调整。</w:t>
            </w:r>
          </w:p>
        </w:tc>
      </w:tr>
      <w:tr w14:paraId="0F8A0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6B6B1277">
            <w:pPr>
              <w:spacing w:before="240" w:beforeLines="100" w:after="240" w:afterLines="100"/>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服务期</w:t>
            </w:r>
          </w:p>
        </w:tc>
        <w:tc>
          <w:tcPr>
            <w:tcW w:w="4232" w:type="pct"/>
            <w:tcBorders>
              <w:top w:val="single" w:color="auto" w:sz="4" w:space="0"/>
              <w:left w:val="single" w:color="auto" w:sz="4" w:space="0"/>
              <w:bottom w:val="single" w:color="auto" w:sz="4" w:space="0"/>
              <w:right w:val="single" w:color="auto" w:sz="4" w:space="0"/>
            </w:tcBorders>
            <w:vAlign w:val="center"/>
          </w:tcPr>
          <w:p w14:paraId="5E359A5D">
            <w:pPr>
              <w:spacing w:before="240" w:beforeLines="100" w:after="240" w:afterLines="100"/>
              <w:rPr>
                <w:rFonts w:ascii="仿宋" w:hAnsi="仿宋" w:eastAsia="仿宋"/>
                <w:b/>
                <w:color w:val="auto"/>
                <w:sz w:val="24"/>
                <w:szCs w:val="24"/>
                <w:highlight w:val="none"/>
              </w:rPr>
            </w:pPr>
            <w:r>
              <w:rPr>
                <w:rFonts w:hint="eastAsia" w:ascii="仿宋" w:hAnsi="仿宋" w:eastAsia="仿宋"/>
                <w:b w:val="0"/>
                <w:bCs w:val="0"/>
                <w:color w:val="auto"/>
                <w:sz w:val="24"/>
                <w:szCs w:val="24"/>
                <w:highlight w:val="none"/>
              </w:rPr>
              <w:t>本项目服务期为</w:t>
            </w:r>
            <w:r>
              <w:rPr>
                <w:rFonts w:hint="eastAsia" w:ascii="仿宋" w:hAnsi="仿宋" w:eastAsia="仿宋"/>
                <w:b w:val="0"/>
                <w:bCs w:val="0"/>
                <w:color w:val="auto"/>
                <w:sz w:val="24"/>
                <w:szCs w:val="24"/>
                <w:highlight w:val="none"/>
                <w:lang w:val="en-US" w:eastAsia="zh-CN"/>
              </w:rPr>
              <w:t>三</w:t>
            </w:r>
            <w:r>
              <w:rPr>
                <w:rFonts w:hint="eastAsia" w:ascii="仿宋" w:hAnsi="仿宋" w:eastAsia="仿宋"/>
                <w:b w:val="0"/>
                <w:bCs w:val="0"/>
                <w:color w:val="auto"/>
                <w:sz w:val="24"/>
                <w:szCs w:val="24"/>
                <w:highlight w:val="none"/>
              </w:rPr>
              <w:t>年（合同一年一签），具体日期以合同签订为准。如遇政策调整等问题，或服务期内年末采购人组织对中标单位服务情况未通过综合考评，采购人有权提前终止合同。（中标单位若未按合同规定服务，采购人有权终止合同，另行招标采购。中标单位不得将相关工作转包，一经发现有转包行为本协议自动终止，并追究中标单位相关责任。）</w:t>
            </w:r>
          </w:p>
        </w:tc>
      </w:tr>
      <w:tr w14:paraId="B54D3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F5A8C4DC">
            <w:pPr>
              <w:spacing w:before="240" w:beforeLines="100" w:after="240" w:afterLines="100"/>
              <w:jc w:val="center"/>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服务地点</w:t>
            </w:r>
          </w:p>
        </w:tc>
        <w:tc>
          <w:tcPr>
            <w:tcW w:w="4232" w:type="pct"/>
            <w:tcBorders>
              <w:top w:val="single" w:color="auto" w:sz="4" w:space="0"/>
              <w:left w:val="single" w:color="auto" w:sz="4" w:space="0"/>
              <w:bottom w:val="single" w:color="auto" w:sz="4" w:space="0"/>
              <w:right w:val="single" w:color="auto" w:sz="4" w:space="0"/>
            </w:tcBorders>
            <w:vAlign w:val="center"/>
          </w:tcPr>
          <w:p w14:paraId="81F843CE">
            <w:pPr>
              <w:spacing w:before="240" w:beforeLines="100" w:after="240" w:afterLines="100"/>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杭州市滨江区浦沿街道辖区内</w:t>
            </w:r>
          </w:p>
        </w:tc>
      </w:tr>
      <w:tr w14:paraId="7C641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9203E8FB">
            <w:pPr>
              <w:spacing w:before="240" w:beforeLines="100" w:after="240" w:afterLines="100"/>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付款方式</w:t>
            </w:r>
          </w:p>
        </w:tc>
        <w:tc>
          <w:tcPr>
            <w:tcW w:w="4232" w:type="pct"/>
            <w:tcBorders>
              <w:top w:val="single" w:color="auto" w:sz="4" w:space="0"/>
              <w:left w:val="single" w:color="auto" w:sz="4" w:space="0"/>
              <w:bottom w:val="single" w:color="auto" w:sz="4" w:space="0"/>
              <w:right w:val="single" w:color="auto" w:sz="4" w:space="0"/>
            </w:tcBorders>
            <w:vAlign w:val="center"/>
          </w:tcPr>
          <w:p w14:paraId="3B9268DD">
            <w:pPr>
              <w:tabs>
                <w:tab w:val="left" w:pos="312"/>
              </w:tabs>
              <w:spacing w:line="440" w:lineRule="exact"/>
              <w:jc w:val="left"/>
              <w:rPr>
                <w:rFonts w:hint="eastAsia" w:ascii="仿宋" w:hAnsi="仿宋" w:eastAsia="仿宋" w:cs="仿宋"/>
                <w:color w:val="auto"/>
                <w:kern w:val="44"/>
                <w:sz w:val="24"/>
                <w:szCs w:val="24"/>
                <w:highlight w:val="none"/>
                <w:lang w:eastAsia="zh-CN"/>
              </w:rPr>
            </w:pPr>
            <w:r>
              <w:rPr>
                <w:rFonts w:hint="eastAsia" w:ascii="仿宋" w:hAnsi="仿宋" w:eastAsia="仿宋" w:cs="仿宋"/>
                <w:color w:val="auto"/>
                <w:kern w:val="44"/>
                <w:sz w:val="24"/>
                <w:szCs w:val="24"/>
                <w:highlight w:val="none"/>
              </w:rPr>
              <w:t>（1）预付款：合同生效以及具备实施条件后5个工作日内</w:t>
            </w:r>
            <w:r>
              <w:rPr>
                <w:rFonts w:hint="eastAsia" w:ascii="仿宋" w:hAnsi="仿宋" w:eastAsia="仿宋" w:cs="仿宋"/>
                <w:color w:val="auto"/>
                <w:kern w:val="44"/>
                <w:sz w:val="24"/>
                <w:szCs w:val="24"/>
                <w:highlight w:val="none"/>
                <w:lang w:val="en-US" w:eastAsia="zh-CN"/>
              </w:rPr>
              <w:t>采购人向中标人</w:t>
            </w:r>
            <w:r>
              <w:rPr>
                <w:rFonts w:hint="eastAsia" w:ascii="仿宋" w:hAnsi="仿宋" w:eastAsia="仿宋" w:cs="仿宋"/>
                <w:color w:val="auto"/>
                <w:kern w:val="44"/>
                <w:sz w:val="24"/>
                <w:szCs w:val="24"/>
                <w:highlight w:val="none"/>
              </w:rPr>
              <w:t>支付</w:t>
            </w:r>
            <w:r>
              <w:rPr>
                <w:rFonts w:hint="eastAsia" w:ascii="仿宋" w:hAnsi="仿宋" w:eastAsia="仿宋" w:cs="仿宋"/>
                <w:color w:val="auto"/>
                <w:kern w:val="44"/>
                <w:sz w:val="24"/>
                <w:szCs w:val="24"/>
                <w:highlight w:val="none"/>
                <w:lang w:val="en-US" w:eastAsia="zh-CN"/>
              </w:rPr>
              <w:t>第一年合同金额的40%作为预付款，预付款不扣回，在每季度的结算中直接用于冲抵当期应付金额。剩余部分（如有）将结转至下一季度继续使用</w:t>
            </w:r>
            <w:r>
              <w:rPr>
                <w:rFonts w:hint="eastAsia" w:ascii="仿宋" w:hAnsi="仿宋" w:eastAsia="仿宋" w:cs="仿宋"/>
                <w:color w:val="auto"/>
                <w:kern w:val="44"/>
                <w:sz w:val="24"/>
                <w:szCs w:val="24"/>
                <w:highlight w:val="none"/>
              </w:rPr>
              <w:t>。</w:t>
            </w:r>
            <w:r>
              <w:rPr>
                <w:rFonts w:hint="eastAsia" w:ascii="仿宋" w:hAnsi="仿宋" w:eastAsia="仿宋" w:cs="仿宋"/>
                <w:color w:val="auto"/>
                <w:kern w:val="44"/>
                <w:sz w:val="24"/>
                <w:szCs w:val="24"/>
                <w:highlight w:val="none"/>
                <w:lang w:eastAsia="zh-CN"/>
              </w:rPr>
              <w:t>（</w:t>
            </w:r>
            <w:r>
              <w:rPr>
                <w:rFonts w:hint="eastAsia" w:ascii="仿宋" w:hAnsi="仿宋" w:eastAsia="仿宋" w:cs="仿宋"/>
                <w:color w:val="auto"/>
                <w:kern w:val="44"/>
                <w:sz w:val="24"/>
                <w:szCs w:val="24"/>
                <w:highlight w:val="none"/>
              </w:rPr>
              <w:t>在签订合同时，</w:t>
            </w:r>
            <w:r>
              <w:rPr>
                <w:rFonts w:hint="eastAsia" w:ascii="仿宋" w:hAnsi="仿宋" w:eastAsia="仿宋" w:cs="仿宋"/>
                <w:color w:val="auto"/>
                <w:kern w:val="44"/>
                <w:sz w:val="24"/>
                <w:szCs w:val="24"/>
                <w:highlight w:val="none"/>
                <w:lang w:val="en-US" w:eastAsia="zh-CN"/>
              </w:rPr>
              <w:t>中标人</w:t>
            </w:r>
            <w:r>
              <w:rPr>
                <w:rFonts w:hint="eastAsia" w:ascii="仿宋" w:hAnsi="仿宋" w:eastAsia="仿宋" w:cs="仿宋"/>
                <w:color w:val="auto"/>
                <w:kern w:val="44"/>
                <w:sz w:val="24"/>
                <w:szCs w:val="24"/>
                <w:highlight w:val="none"/>
              </w:rPr>
              <w:t>明确表示无需预付款或者主动要求降低预付款比例的，采购</w:t>
            </w:r>
            <w:r>
              <w:rPr>
                <w:rFonts w:hint="eastAsia" w:ascii="仿宋" w:hAnsi="仿宋" w:eastAsia="仿宋" w:cs="仿宋"/>
                <w:color w:val="auto"/>
                <w:kern w:val="44"/>
                <w:sz w:val="24"/>
                <w:szCs w:val="24"/>
                <w:highlight w:val="none"/>
                <w:lang w:val="en-US" w:eastAsia="zh-CN"/>
              </w:rPr>
              <w:t>人</w:t>
            </w:r>
            <w:r>
              <w:rPr>
                <w:rFonts w:hint="eastAsia" w:ascii="仿宋" w:hAnsi="仿宋" w:eastAsia="仿宋" w:cs="仿宋"/>
                <w:color w:val="auto"/>
                <w:kern w:val="44"/>
                <w:sz w:val="24"/>
                <w:szCs w:val="24"/>
                <w:highlight w:val="none"/>
              </w:rPr>
              <w:t>可不适用前述规定。</w:t>
            </w:r>
            <w:r>
              <w:rPr>
                <w:rFonts w:hint="eastAsia" w:ascii="仿宋" w:hAnsi="仿宋" w:eastAsia="仿宋" w:cs="仿宋"/>
                <w:color w:val="auto"/>
                <w:kern w:val="44"/>
                <w:sz w:val="24"/>
                <w:szCs w:val="24"/>
                <w:highlight w:val="none"/>
                <w:lang w:eastAsia="zh-CN"/>
              </w:rPr>
              <w:t>）</w:t>
            </w:r>
          </w:p>
          <w:p w14:paraId="D9B1E38C">
            <w:pPr>
              <w:tabs>
                <w:tab w:val="left" w:pos="312"/>
              </w:tabs>
              <w:spacing w:line="440" w:lineRule="exact"/>
              <w:ind w:firstLine="0" w:firstLineChars="0"/>
              <w:jc w:val="left"/>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（2）履约保证金：本项目不收取履约保证金。</w:t>
            </w:r>
          </w:p>
          <w:p w14:paraId="A0BB3478">
            <w:pPr>
              <w:tabs>
                <w:tab w:val="left" w:pos="312"/>
              </w:tabs>
              <w:spacing w:line="440" w:lineRule="exact"/>
              <w:jc w:val="left"/>
              <w:rPr>
                <w:rFonts w:hint="eastAsia" w:ascii="仿宋" w:hAnsi="仿宋" w:eastAsia="仿宋" w:cs="仿宋"/>
                <w:color w:val="auto"/>
                <w:kern w:val="44"/>
                <w:sz w:val="24"/>
                <w:highlight w:val="none"/>
                <w:lang w:eastAsia="zh-CN"/>
              </w:rPr>
            </w:pPr>
            <w:r>
              <w:rPr>
                <w:rFonts w:hint="eastAsia" w:ascii="仿宋" w:hAnsi="仿宋" w:eastAsia="仿宋" w:cs="仿宋"/>
                <w:color w:val="auto"/>
                <w:kern w:val="44"/>
                <w:sz w:val="24"/>
                <w:szCs w:val="24"/>
                <w:highlight w:val="none"/>
              </w:rPr>
              <w:t>（3）服务费用结算：按</w:t>
            </w:r>
            <w:r>
              <w:rPr>
                <w:rFonts w:hint="eastAsia" w:ascii="仿宋" w:hAnsi="仿宋" w:eastAsia="仿宋" w:cs="仿宋"/>
                <w:color w:val="auto"/>
                <w:kern w:val="44"/>
                <w:sz w:val="24"/>
                <w:szCs w:val="24"/>
                <w:highlight w:val="none"/>
                <w:lang w:val="en-US" w:eastAsia="zh-CN"/>
              </w:rPr>
              <w:t>季度</w:t>
            </w:r>
            <w:r>
              <w:rPr>
                <w:rFonts w:hint="eastAsia" w:ascii="仿宋" w:hAnsi="仿宋" w:eastAsia="仿宋" w:cs="仿宋"/>
                <w:color w:val="auto"/>
                <w:kern w:val="44"/>
                <w:sz w:val="24"/>
                <w:szCs w:val="24"/>
                <w:highlight w:val="none"/>
              </w:rPr>
              <w:t>结算，</w:t>
            </w:r>
            <w:r>
              <w:rPr>
                <w:rFonts w:hint="eastAsia" w:ascii="仿宋" w:hAnsi="仿宋" w:eastAsia="仿宋" w:cs="仿宋"/>
                <w:color w:val="auto"/>
                <w:kern w:val="44"/>
                <w:sz w:val="24"/>
                <w:highlight w:val="none"/>
              </w:rPr>
              <w:t>每季度完成</w:t>
            </w:r>
            <w:r>
              <w:rPr>
                <w:rFonts w:hint="eastAsia" w:ascii="仿宋" w:hAnsi="仿宋" w:eastAsia="仿宋" w:cs="仿宋"/>
                <w:color w:val="auto"/>
                <w:kern w:val="44"/>
                <w:sz w:val="24"/>
                <w:highlight w:val="none"/>
                <w:lang w:val="en-US" w:eastAsia="zh-CN"/>
              </w:rPr>
              <w:t>的工作任务</w:t>
            </w:r>
            <w:r>
              <w:rPr>
                <w:rFonts w:hint="eastAsia" w:ascii="仿宋" w:hAnsi="仿宋" w:eastAsia="仿宋" w:cs="仿宋"/>
                <w:color w:val="auto"/>
                <w:kern w:val="44"/>
                <w:sz w:val="24"/>
                <w:highlight w:val="none"/>
              </w:rPr>
              <w:t>结合</w:t>
            </w:r>
            <w:r>
              <w:rPr>
                <w:rFonts w:hint="eastAsia" w:ascii="仿宋" w:hAnsi="仿宋" w:eastAsia="仿宋" w:cs="仿宋"/>
                <w:color w:val="auto"/>
                <w:kern w:val="44"/>
                <w:sz w:val="24"/>
                <w:highlight w:val="none"/>
                <w:lang w:val="en-US" w:eastAsia="zh-CN"/>
              </w:rPr>
              <w:t>当</w:t>
            </w:r>
            <w:r>
              <w:rPr>
                <w:rFonts w:hint="eastAsia" w:ascii="仿宋" w:hAnsi="仿宋" w:eastAsia="仿宋" w:cs="仿宋"/>
                <w:color w:val="auto"/>
                <w:kern w:val="44"/>
                <w:sz w:val="24"/>
                <w:highlight w:val="none"/>
              </w:rPr>
              <w:t>季考核得分，按照《考核得分与付款比例一览表》支付相应比例的服务费</w:t>
            </w:r>
            <w:r>
              <w:rPr>
                <w:rFonts w:hint="eastAsia" w:ascii="仿宋" w:hAnsi="仿宋" w:eastAsia="仿宋" w:cs="仿宋"/>
                <w:color w:val="auto"/>
                <w:kern w:val="44"/>
                <w:sz w:val="24"/>
                <w:highlight w:val="none"/>
                <w:lang w:eastAsia="zh-CN"/>
              </w:rPr>
              <w:t>。</w:t>
            </w:r>
          </w:p>
          <w:p w14:paraId="37AF4F8F">
            <w:pPr>
              <w:tabs>
                <w:tab w:val="left" w:pos="312"/>
              </w:tabs>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注：付款前，中标</w:t>
            </w:r>
            <w:r>
              <w:rPr>
                <w:rFonts w:hint="eastAsia" w:ascii="仿宋" w:hAnsi="仿宋" w:eastAsia="仿宋"/>
                <w:color w:val="auto"/>
                <w:sz w:val="24"/>
                <w:szCs w:val="24"/>
                <w:highlight w:val="none"/>
                <w:lang w:eastAsia="zh-CN"/>
              </w:rPr>
              <w:t>人</w:t>
            </w:r>
            <w:r>
              <w:rPr>
                <w:rFonts w:hint="eastAsia" w:ascii="仿宋" w:hAnsi="仿宋" w:eastAsia="仿宋"/>
                <w:color w:val="auto"/>
                <w:sz w:val="24"/>
                <w:szCs w:val="24"/>
                <w:highlight w:val="none"/>
              </w:rPr>
              <w:t>须提供符合要求的财务发票，否则采购人有权不予支付，且不承担违约责任，但中标</w:t>
            </w:r>
            <w:r>
              <w:rPr>
                <w:rFonts w:hint="eastAsia" w:ascii="仿宋" w:hAnsi="仿宋" w:eastAsia="仿宋"/>
                <w:color w:val="auto"/>
                <w:sz w:val="24"/>
                <w:szCs w:val="24"/>
                <w:highlight w:val="none"/>
                <w:lang w:eastAsia="zh-CN"/>
              </w:rPr>
              <w:t>人</w:t>
            </w:r>
            <w:r>
              <w:rPr>
                <w:rFonts w:hint="eastAsia" w:ascii="仿宋" w:hAnsi="仿宋" w:eastAsia="仿宋"/>
                <w:color w:val="auto"/>
                <w:sz w:val="24"/>
                <w:szCs w:val="24"/>
                <w:highlight w:val="none"/>
              </w:rPr>
              <w:t>仍须履行本合同。</w:t>
            </w:r>
          </w:p>
        </w:tc>
      </w:tr>
      <w:tr w14:paraId="00D14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AB1AD9C6">
            <w:pPr>
              <w:spacing w:before="240" w:beforeLines="100" w:after="240" w:afterLines="100"/>
              <w:jc w:val="cente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服务质量</w:t>
            </w:r>
          </w:p>
        </w:tc>
        <w:tc>
          <w:tcPr>
            <w:tcW w:w="4232" w:type="pct"/>
            <w:tcBorders>
              <w:top w:val="single" w:color="auto" w:sz="4" w:space="0"/>
              <w:left w:val="single" w:color="auto" w:sz="4" w:space="0"/>
              <w:bottom w:val="single" w:color="auto" w:sz="4" w:space="0"/>
              <w:right w:val="single" w:color="auto" w:sz="4" w:space="0"/>
            </w:tcBorders>
            <w:vAlign w:val="center"/>
          </w:tcPr>
          <w:p w14:paraId="6A37228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符合浙江省、杭州市、滨江区、行业相关服务合格标准及招标文件《采购需求》中的相关规定。</w:t>
            </w:r>
          </w:p>
        </w:tc>
      </w:tr>
      <w:tr w14:paraId="56574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997262F9">
            <w:pPr>
              <w:spacing w:before="240" w:beforeLines="100" w:after="240" w:afterLines="100"/>
              <w:jc w:val="center"/>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履约验收</w:t>
            </w:r>
          </w:p>
        </w:tc>
        <w:tc>
          <w:tcPr>
            <w:tcW w:w="4232" w:type="pct"/>
            <w:tcBorders>
              <w:top w:val="single" w:color="auto" w:sz="4" w:space="0"/>
              <w:left w:val="single" w:color="auto" w:sz="4" w:space="0"/>
              <w:bottom w:val="single" w:color="auto" w:sz="4" w:space="0"/>
              <w:right w:val="single" w:color="auto" w:sz="4" w:space="0"/>
            </w:tcBorders>
            <w:vAlign w:val="center"/>
          </w:tcPr>
          <w:p w14:paraId="4F80CD3E">
            <w:pP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（1）验收主体：杭州市</w:t>
            </w:r>
            <w:r>
              <w:rPr>
                <w:rFonts w:hint="eastAsia" w:ascii="仿宋" w:hAnsi="仿宋" w:eastAsia="仿宋"/>
                <w:color w:val="auto"/>
                <w:sz w:val="24"/>
                <w:szCs w:val="24"/>
                <w:highlight w:val="none"/>
                <w:lang w:val="en-US" w:eastAsia="zh-CN"/>
              </w:rPr>
              <w:t>滨江区人民政府浦沿街道办事处</w:t>
            </w:r>
          </w:p>
          <w:p w14:paraId="B41DF23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（2）采购人在成交人提供服务的过程中，有权不定期对服务内容和质量进行考核。成交人应当配合进行。</w:t>
            </w:r>
          </w:p>
          <w:p w14:paraId="BAE6666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（3）最终验收时间：服务内容执行完毕、服务期截止后。</w:t>
            </w:r>
          </w:p>
          <w:p w14:paraId="FD7982E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（4）验收程序：成交人向采购人提出申请验收，采购人按验收方案组织履约验收。成交人应将项目执行过程及时记录、收集、整理，向采购人递交验收申请资料。</w:t>
            </w:r>
          </w:p>
          <w:p w14:paraId="F7E4E1C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（5）验收内容：根据</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文件确定的技术指标或者服务要求确定验收指标和标准。未进行相应约定的，应当符合国家强制性规定、政策要求、安全标准、行业或企业有关标准等。</w:t>
            </w:r>
          </w:p>
          <w:p w14:paraId="EA6F46D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（6）验收标准：按照</w:t>
            </w:r>
            <w:r>
              <w:rPr>
                <w:rFonts w:hint="eastAsia" w:ascii="仿宋" w:hAnsi="仿宋" w:eastAsia="仿宋"/>
                <w:color w:val="auto"/>
                <w:sz w:val="24"/>
                <w:szCs w:val="24"/>
                <w:highlight w:val="none"/>
                <w:lang w:val="en-US" w:eastAsia="zh-CN"/>
              </w:rPr>
              <w:t>采购</w:t>
            </w:r>
            <w:r>
              <w:rPr>
                <w:rFonts w:hint="eastAsia" w:ascii="仿宋" w:hAnsi="仿宋" w:eastAsia="仿宋"/>
                <w:color w:val="auto"/>
                <w:sz w:val="24"/>
                <w:szCs w:val="24"/>
                <w:highlight w:val="none"/>
              </w:rPr>
              <w:t>文件、响应文件及采购合同的约定对每一项技术、服务、安全标准的履约情况进行确认。未进行相应约定的，应当符合国家强制性规定、政策要求、安全标准、行业或企业有关标准等。</w:t>
            </w:r>
          </w:p>
          <w:p w14:paraId="8403BA8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履约验收其他事项：验收合格的项目，采购人将根据采购合同的约定及时向投标人支付采购资金。验收不合格的项目，采购人将依法及时处理。采购合同的履行、违约责任和解决争议的方式等适用《中华人民共和国民法典》。</w:t>
            </w:r>
          </w:p>
        </w:tc>
      </w:tr>
      <w:tr w14:paraId="7CA49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927467B4">
            <w:pPr>
              <w:spacing w:before="240" w:beforeLines="100" w:after="240" w:afterLines="100"/>
              <w:jc w:val="center"/>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注意事项</w:t>
            </w:r>
          </w:p>
        </w:tc>
        <w:tc>
          <w:tcPr>
            <w:tcW w:w="4232" w:type="pct"/>
            <w:tcBorders>
              <w:top w:val="single" w:color="auto" w:sz="4" w:space="0"/>
              <w:left w:val="single" w:color="auto" w:sz="4" w:space="0"/>
              <w:bottom w:val="single" w:color="auto" w:sz="4" w:space="0"/>
              <w:right w:val="single" w:color="auto" w:sz="4" w:space="0"/>
            </w:tcBorders>
            <w:vAlign w:val="center"/>
          </w:tcPr>
          <w:p w14:paraId="F90E1092">
            <w:pPr>
              <w:rPr>
                <w:rFonts w:hint="eastAsia" w:ascii="仿宋" w:hAnsi="仿宋" w:eastAsia="仿宋"/>
                <w:color w:val="auto"/>
                <w:sz w:val="24"/>
                <w:szCs w:val="24"/>
                <w:highlight w:val="none"/>
              </w:rPr>
            </w:pPr>
            <w:r>
              <w:rPr>
                <w:rFonts w:hint="eastAsia" w:ascii="仿宋" w:hAnsi="仿宋" w:eastAsia="仿宋" w:cs="仿宋"/>
                <w:color w:val="auto"/>
                <w:kern w:val="44"/>
                <w:sz w:val="24"/>
                <w:szCs w:val="24"/>
                <w:highlight w:val="none"/>
              </w:rPr>
              <w:t>（1）</w:t>
            </w:r>
            <w:r>
              <w:rPr>
                <w:rFonts w:hint="eastAsia" w:ascii="仿宋" w:hAnsi="仿宋" w:eastAsia="仿宋"/>
                <w:color w:val="auto"/>
                <w:sz w:val="24"/>
                <w:szCs w:val="24"/>
                <w:highlight w:val="none"/>
              </w:rPr>
              <w:t>投标人不得将项目非法分包或整体转包给任何单位和个人。否则，采购人有权即刻终止合同，并要求中标供应商赔偿相应损失。</w:t>
            </w:r>
          </w:p>
          <w:p w14:paraId="82D13049">
            <w:pPr>
              <w:rPr>
                <w:rFonts w:hint="eastAsia" w:ascii="仿宋" w:hAnsi="仿宋" w:eastAsia="仿宋"/>
                <w:color w:val="auto"/>
                <w:sz w:val="24"/>
                <w:szCs w:val="24"/>
                <w:highlight w:val="none"/>
              </w:rPr>
            </w:pPr>
            <w:r>
              <w:rPr>
                <w:rFonts w:hint="eastAsia" w:ascii="仿宋" w:hAnsi="仿宋" w:eastAsia="仿宋" w:cs="仿宋"/>
                <w:color w:val="auto"/>
                <w:kern w:val="44"/>
                <w:sz w:val="24"/>
                <w:szCs w:val="24"/>
                <w:highlight w:val="none"/>
              </w:rPr>
              <w:t>（</w:t>
            </w:r>
            <w:r>
              <w:rPr>
                <w:rFonts w:hint="eastAsia" w:ascii="仿宋" w:hAnsi="仿宋" w:eastAsia="仿宋" w:cs="仿宋"/>
                <w:color w:val="auto"/>
                <w:kern w:val="44"/>
                <w:sz w:val="24"/>
                <w:szCs w:val="24"/>
                <w:highlight w:val="none"/>
                <w:lang w:val="en-US" w:eastAsia="zh-CN"/>
              </w:rPr>
              <w:t>2</w:t>
            </w:r>
            <w:r>
              <w:rPr>
                <w:rFonts w:hint="eastAsia" w:ascii="仿宋" w:hAnsi="仿宋" w:eastAsia="仿宋" w:cs="仿宋"/>
                <w:color w:val="auto"/>
                <w:kern w:val="44"/>
                <w:sz w:val="24"/>
                <w:szCs w:val="24"/>
                <w:highlight w:val="none"/>
              </w:rPr>
              <w:t>）</w:t>
            </w:r>
            <w:r>
              <w:rPr>
                <w:rFonts w:hint="eastAsia" w:ascii="仿宋" w:hAnsi="仿宋" w:eastAsia="仿宋"/>
                <w:color w:val="auto"/>
                <w:sz w:val="24"/>
                <w:szCs w:val="24"/>
                <w:highlight w:val="none"/>
              </w:rPr>
              <w:t>投标人使用的标准必须是国际公认或国家、或地方政府颁布的同等或更高的标准，如供应商使用的标准低于上述标准，评标委员会将有权不予接受，供应商必须列表将明显的差异详细说明。</w:t>
            </w:r>
          </w:p>
          <w:p w14:paraId="8F019A14">
            <w:pPr>
              <w:rPr>
                <w:rFonts w:hint="eastAsia" w:ascii="仿宋" w:hAnsi="仿宋" w:eastAsia="仿宋"/>
                <w:color w:val="auto"/>
                <w:sz w:val="24"/>
                <w:szCs w:val="24"/>
                <w:highlight w:val="none"/>
              </w:rPr>
            </w:pPr>
            <w:r>
              <w:rPr>
                <w:rFonts w:hint="eastAsia" w:ascii="仿宋" w:hAnsi="仿宋" w:eastAsia="仿宋" w:cs="仿宋"/>
                <w:color w:val="auto"/>
                <w:kern w:val="44"/>
                <w:sz w:val="24"/>
                <w:szCs w:val="24"/>
                <w:highlight w:val="none"/>
              </w:rPr>
              <w:t>（</w:t>
            </w:r>
            <w:r>
              <w:rPr>
                <w:rFonts w:hint="eastAsia" w:ascii="仿宋" w:hAnsi="仿宋" w:eastAsia="仿宋" w:cs="仿宋"/>
                <w:color w:val="auto"/>
                <w:kern w:val="44"/>
                <w:sz w:val="24"/>
                <w:szCs w:val="24"/>
                <w:highlight w:val="none"/>
                <w:lang w:val="en-US" w:eastAsia="zh-CN"/>
              </w:rPr>
              <w:t>3</w:t>
            </w:r>
            <w:r>
              <w:rPr>
                <w:rFonts w:hint="eastAsia" w:ascii="仿宋" w:hAnsi="仿宋" w:eastAsia="仿宋" w:cs="仿宋"/>
                <w:color w:val="auto"/>
                <w:kern w:val="44"/>
                <w:sz w:val="24"/>
                <w:szCs w:val="24"/>
                <w:highlight w:val="none"/>
              </w:rPr>
              <w:t>）</w:t>
            </w:r>
            <w:r>
              <w:rPr>
                <w:rFonts w:hint="eastAsia" w:ascii="仿宋" w:hAnsi="仿宋" w:eastAsia="仿宋"/>
                <w:color w:val="auto"/>
                <w:sz w:val="24"/>
                <w:szCs w:val="24"/>
                <w:highlight w:val="none"/>
              </w:rPr>
              <w:t>对于投标人违反国家咨询服务相关规定，特别是弄虚作假，出具虚假检查报告、证明和服务人员不到现场等行为，一经查实，将严肃处理，并报有关部门按《安全生产法》第九十二条进行处理。</w:t>
            </w:r>
          </w:p>
        </w:tc>
      </w:tr>
      <w:tr w14:paraId="2169F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14:paraId="47FE726A">
            <w:pPr>
              <w:spacing w:before="240" w:beforeLines="100" w:after="240" w:afterLines="100"/>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其他约定</w:t>
            </w:r>
          </w:p>
        </w:tc>
        <w:tc>
          <w:tcPr>
            <w:tcW w:w="4232" w:type="pct"/>
            <w:tcBorders>
              <w:top w:val="single" w:color="auto" w:sz="4" w:space="0"/>
              <w:left w:val="single" w:color="auto" w:sz="4" w:space="0"/>
              <w:bottom w:val="single" w:color="auto" w:sz="4" w:space="0"/>
              <w:right w:val="single" w:color="auto" w:sz="4" w:space="0"/>
            </w:tcBorders>
            <w:vAlign w:val="center"/>
          </w:tcPr>
          <w:p w14:paraId="92DBE876">
            <w:pPr>
              <w:snapToGrid w:val="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项目实施过程中发生的死亡、人身伤害、财产损失、损害以及任何其</w:t>
            </w:r>
            <w:r>
              <w:rPr>
                <w:rFonts w:hint="eastAsia" w:ascii="仿宋" w:hAnsi="仿宋" w:eastAsia="仿宋"/>
                <w:color w:val="auto"/>
                <w:sz w:val="24"/>
                <w:szCs w:val="24"/>
                <w:highlight w:val="none"/>
                <w:lang w:val="en-US" w:eastAsia="zh-CN"/>
              </w:rPr>
              <w:t>他</w:t>
            </w:r>
            <w:r>
              <w:rPr>
                <w:rFonts w:hint="eastAsia" w:ascii="仿宋" w:hAnsi="仿宋" w:eastAsia="仿宋"/>
                <w:color w:val="auto"/>
                <w:sz w:val="24"/>
                <w:szCs w:val="24"/>
                <w:highlight w:val="none"/>
              </w:rPr>
              <w:t>损失、损害和引起的费用和开支，由</w:t>
            </w:r>
            <w:r>
              <w:rPr>
                <w:rFonts w:hint="eastAsia" w:ascii="仿宋" w:hAnsi="仿宋" w:eastAsia="仿宋"/>
                <w:color w:val="auto"/>
                <w:sz w:val="24"/>
                <w:szCs w:val="24"/>
                <w:highlight w:val="none"/>
                <w:lang w:eastAsia="zh-CN"/>
              </w:rPr>
              <w:t>中标人</w:t>
            </w:r>
            <w:r>
              <w:rPr>
                <w:rFonts w:hint="eastAsia" w:ascii="仿宋" w:hAnsi="仿宋" w:eastAsia="仿宋"/>
                <w:color w:val="auto"/>
                <w:sz w:val="24"/>
                <w:szCs w:val="24"/>
                <w:highlight w:val="none"/>
              </w:rPr>
              <w:t>承担全部责任。</w:t>
            </w:r>
          </w:p>
        </w:tc>
      </w:tr>
    </w:tbl>
    <w:p w14:paraId="E7B8339F">
      <w:pPr>
        <w:pStyle w:val="5"/>
        <w:rPr>
          <w:rFonts w:hint="default"/>
          <w:color w:val="auto"/>
          <w:highlight w:val="none"/>
          <w:lang w:val="en-US" w:eastAsia="zh-CN"/>
        </w:rPr>
      </w:pPr>
    </w:p>
    <w:bookmarkEnd w:id="24"/>
    <w:p w14:paraId="7E024B53">
      <w:pPr>
        <w:spacing w:line="360" w:lineRule="auto"/>
        <w:jc w:val="center"/>
        <w:outlineLvl w:val="0"/>
        <w:rPr>
          <w:rFonts w:hint="eastAsia" w:ascii="仿宋" w:hAnsi="仿宋" w:eastAsia="仿宋" w:cs="仿宋"/>
          <w:b/>
          <w:color w:val="auto"/>
          <w:sz w:val="36"/>
          <w:szCs w:val="36"/>
          <w:highlight w:val="none"/>
        </w:rPr>
        <w:sectPr>
          <w:pgSz w:w="11907" w:h="16840"/>
          <w:pgMar w:top="1474" w:right="1814" w:bottom="1474" w:left="1814" w:header="851" w:footer="851" w:gutter="0"/>
          <w:cols w:space="720" w:num="1"/>
        </w:sectPr>
      </w:pPr>
    </w:p>
    <w:p w14:paraId="B6C25572">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362"/>
          <w:kern w:val="0"/>
          <w:sz w:val="36"/>
          <w:szCs w:val="36"/>
          <w:highlight w:val="none"/>
          <w:fitText w:val="1444" w:id="-982737664"/>
        </w:rPr>
        <w:t>分</w:t>
      </w:r>
      <w:bookmarkStart w:id="28" w:name="_Toc184312074"/>
      <w:bookmarkEnd w:id="28"/>
      <w:bookmarkStart w:id="29" w:name="_Toc184314445"/>
      <w:bookmarkEnd w:id="29"/>
      <w:bookmarkStart w:id="30" w:name="_Toc184313252"/>
      <w:bookmarkEnd w:id="30"/>
      <w:bookmarkStart w:id="31" w:name="_Toc184313304"/>
      <w:bookmarkEnd w:id="31"/>
      <w:bookmarkStart w:id="32" w:name="_Toc184313308"/>
      <w:bookmarkEnd w:id="32"/>
      <w:bookmarkStart w:id="33" w:name="_Toc184308066"/>
      <w:bookmarkEnd w:id="33"/>
      <w:bookmarkStart w:id="34" w:name="_Toc184312068"/>
      <w:bookmarkEnd w:id="34"/>
      <w:bookmarkStart w:id="35" w:name="_Toc184308040"/>
      <w:bookmarkEnd w:id="35"/>
      <w:bookmarkStart w:id="36" w:name="_Toc184308038"/>
      <w:bookmarkEnd w:id="36"/>
      <w:bookmarkStart w:id="37" w:name="_Toc184310340"/>
      <w:bookmarkEnd w:id="37"/>
      <w:bookmarkStart w:id="38" w:name="_Toc184312107"/>
      <w:bookmarkEnd w:id="38"/>
      <w:bookmarkStart w:id="39" w:name="_Toc184312128"/>
      <w:bookmarkEnd w:id="39"/>
      <w:bookmarkStart w:id="40" w:name="_Toc184314411"/>
      <w:bookmarkEnd w:id="40"/>
      <w:bookmarkStart w:id="41" w:name="_Toc184308079"/>
      <w:bookmarkEnd w:id="41"/>
      <w:bookmarkStart w:id="42" w:name="_Toc184312109"/>
      <w:bookmarkEnd w:id="42"/>
      <w:bookmarkStart w:id="43" w:name="_Toc184312130"/>
      <w:bookmarkEnd w:id="43"/>
      <w:bookmarkStart w:id="44" w:name="_Toc184314424"/>
      <w:bookmarkEnd w:id="44"/>
      <w:bookmarkStart w:id="45" w:name="_Toc184314423"/>
      <w:bookmarkEnd w:id="45"/>
      <w:bookmarkStart w:id="46" w:name="_Toc184312124"/>
      <w:bookmarkEnd w:id="46"/>
      <w:bookmarkStart w:id="47" w:name="_Toc184308084"/>
      <w:bookmarkEnd w:id="47"/>
      <w:bookmarkStart w:id="48" w:name="_Toc184313295"/>
      <w:bookmarkEnd w:id="48"/>
      <w:bookmarkStart w:id="49" w:name="_Toc184313269"/>
      <w:bookmarkEnd w:id="49"/>
      <w:bookmarkStart w:id="50" w:name="_Toc184310331"/>
      <w:bookmarkEnd w:id="50"/>
      <w:bookmarkStart w:id="51" w:name="_Toc184314467"/>
      <w:bookmarkEnd w:id="51"/>
      <w:bookmarkStart w:id="52" w:name="_Toc184312136"/>
      <w:bookmarkEnd w:id="52"/>
      <w:bookmarkStart w:id="53" w:name="_Toc184314462"/>
      <w:bookmarkEnd w:id="53"/>
      <w:bookmarkStart w:id="54" w:name="_Toc184314458"/>
      <w:bookmarkEnd w:id="54"/>
      <w:bookmarkStart w:id="55" w:name="_Toc184308056"/>
      <w:bookmarkEnd w:id="55"/>
      <w:bookmarkStart w:id="56" w:name="_Toc184312078"/>
      <w:bookmarkEnd w:id="56"/>
      <w:bookmarkStart w:id="57" w:name="_Toc184313296"/>
      <w:bookmarkEnd w:id="57"/>
      <w:bookmarkStart w:id="58" w:name="_Toc184314436"/>
      <w:bookmarkEnd w:id="58"/>
      <w:bookmarkStart w:id="59" w:name="_Toc184310309"/>
      <w:bookmarkEnd w:id="59"/>
      <w:bookmarkStart w:id="60" w:name="_Toc184308064"/>
      <w:bookmarkEnd w:id="60"/>
      <w:bookmarkStart w:id="61" w:name="_Toc184310281"/>
      <w:bookmarkEnd w:id="61"/>
      <w:bookmarkStart w:id="62" w:name="_Toc184314455"/>
      <w:bookmarkEnd w:id="62"/>
      <w:bookmarkStart w:id="63" w:name="_Toc184313241"/>
      <w:bookmarkEnd w:id="63"/>
      <w:bookmarkStart w:id="64" w:name="_Toc184308061"/>
      <w:bookmarkEnd w:id="64"/>
      <w:bookmarkStart w:id="65" w:name="_Toc184314465"/>
      <w:bookmarkEnd w:id="65"/>
      <w:bookmarkStart w:id="66" w:name="_Toc184310307"/>
      <w:bookmarkEnd w:id="66"/>
      <w:bookmarkStart w:id="67" w:name="_Toc184310272"/>
      <w:bookmarkEnd w:id="67"/>
      <w:bookmarkStart w:id="68" w:name="_Toc184313245"/>
      <w:bookmarkEnd w:id="68"/>
      <w:bookmarkStart w:id="69" w:name="_Toc184314439"/>
      <w:bookmarkEnd w:id="69"/>
      <w:bookmarkStart w:id="70" w:name="_Toc184308057"/>
      <w:bookmarkEnd w:id="70"/>
      <w:bookmarkStart w:id="71" w:name="_Toc184308059"/>
      <w:bookmarkEnd w:id="71"/>
      <w:bookmarkStart w:id="72" w:name="_Toc184312089"/>
      <w:bookmarkEnd w:id="72"/>
      <w:bookmarkStart w:id="73" w:name="_Toc184312067"/>
      <w:bookmarkEnd w:id="73"/>
      <w:bookmarkStart w:id="74" w:name="_Toc184313292"/>
      <w:bookmarkEnd w:id="74"/>
      <w:bookmarkStart w:id="75" w:name="_Toc184314444"/>
      <w:bookmarkEnd w:id="75"/>
      <w:bookmarkStart w:id="76" w:name="_Toc184312113"/>
      <w:bookmarkEnd w:id="76"/>
      <w:bookmarkStart w:id="77" w:name="_Toc184310310"/>
      <w:bookmarkEnd w:id="77"/>
      <w:bookmarkStart w:id="78" w:name="_Toc184312101"/>
      <w:bookmarkEnd w:id="78"/>
      <w:bookmarkStart w:id="79" w:name="_Toc184310318"/>
      <w:bookmarkEnd w:id="79"/>
      <w:bookmarkStart w:id="80" w:name="_Toc184314450"/>
      <w:bookmarkEnd w:id="80"/>
      <w:bookmarkStart w:id="81" w:name="_Toc184313250"/>
      <w:bookmarkEnd w:id="81"/>
      <w:bookmarkStart w:id="82" w:name="_Toc184313300"/>
      <w:bookmarkEnd w:id="82"/>
      <w:bookmarkStart w:id="83" w:name="_Toc184314470"/>
      <w:bookmarkEnd w:id="83"/>
      <w:bookmarkStart w:id="84" w:name="_Toc184310292"/>
      <w:bookmarkEnd w:id="84"/>
      <w:bookmarkStart w:id="85" w:name="_Toc184310329"/>
      <w:bookmarkEnd w:id="85"/>
      <w:bookmarkStart w:id="86" w:name="_Toc184313254"/>
      <w:bookmarkEnd w:id="86"/>
      <w:bookmarkStart w:id="87" w:name="_Toc184314427"/>
      <w:bookmarkEnd w:id="87"/>
      <w:bookmarkStart w:id="88" w:name="_Toc184310306"/>
      <w:bookmarkEnd w:id="88"/>
      <w:bookmarkStart w:id="89" w:name="_Toc184308094"/>
      <w:bookmarkEnd w:id="89"/>
      <w:bookmarkStart w:id="90" w:name="_Toc184310323"/>
      <w:bookmarkEnd w:id="90"/>
      <w:bookmarkStart w:id="91" w:name="_Toc184314469"/>
      <w:bookmarkEnd w:id="91"/>
      <w:bookmarkStart w:id="92" w:name="_Toc184308082"/>
      <w:bookmarkEnd w:id="92"/>
      <w:bookmarkStart w:id="93" w:name="_Toc184308065"/>
      <w:bookmarkEnd w:id="93"/>
      <w:bookmarkStart w:id="94" w:name="_Toc184314468"/>
      <w:bookmarkEnd w:id="94"/>
      <w:bookmarkStart w:id="95" w:name="_Toc184312077"/>
      <w:bookmarkEnd w:id="95"/>
      <w:bookmarkStart w:id="96" w:name="_Toc184308069"/>
      <w:bookmarkEnd w:id="96"/>
      <w:bookmarkStart w:id="97" w:name="_Toc184313302"/>
      <w:bookmarkEnd w:id="97"/>
      <w:bookmarkStart w:id="98" w:name="_Toc184313289"/>
      <w:bookmarkEnd w:id="98"/>
      <w:bookmarkStart w:id="99" w:name="_Toc184310343"/>
      <w:bookmarkEnd w:id="99"/>
      <w:bookmarkStart w:id="100" w:name="_Toc184310296"/>
      <w:bookmarkEnd w:id="100"/>
      <w:bookmarkStart w:id="101" w:name="_Toc184308073"/>
      <w:bookmarkEnd w:id="101"/>
      <w:bookmarkStart w:id="102" w:name="_Toc184310302"/>
      <w:bookmarkEnd w:id="102"/>
      <w:bookmarkStart w:id="103" w:name="_Toc184310282"/>
      <w:bookmarkEnd w:id="103"/>
      <w:bookmarkStart w:id="104" w:name="_Toc184313238"/>
      <w:bookmarkEnd w:id="104"/>
      <w:bookmarkStart w:id="105" w:name="_Toc184314454"/>
      <w:bookmarkEnd w:id="105"/>
      <w:bookmarkStart w:id="106" w:name="_Toc184308104"/>
      <w:bookmarkEnd w:id="106"/>
      <w:bookmarkStart w:id="107" w:name="_Toc184313247"/>
      <w:bookmarkEnd w:id="107"/>
      <w:bookmarkStart w:id="108" w:name="_Toc184314474"/>
      <w:bookmarkEnd w:id="108"/>
      <w:bookmarkStart w:id="109" w:name="_Toc184310277"/>
      <w:bookmarkEnd w:id="109"/>
      <w:bookmarkStart w:id="110" w:name="_Toc184308068"/>
      <w:bookmarkEnd w:id="110"/>
      <w:bookmarkStart w:id="111" w:name="_Toc184313267"/>
      <w:bookmarkEnd w:id="111"/>
      <w:bookmarkStart w:id="112" w:name="_Toc184308080"/>
      <w:bookmarkEnd w:id="112"/>
      <w:bookmarkStart w:id="113" w:name="_Toc184310287"/>
      <w:bookmarkEnd w:id="113"/>
      <w:bookmarkStart w:id="114" w:name="_Toc184313255"/>
      <w:bookmarkEnd w:id="114"/>
      <w:bookmarkStart w:id="115" w:name="_Toc184312119"/>
      <w:bookmarkEnd w:id="115"/>
      <w:bookmarkStart w:id="116" w:name="_Toc184312083"/>
      <w:bookmarkEnd w:id="116"/>
      <w:bookmarkStart w:id="117" w:name="_Toc184308078"/>
      <w:bookmarkEnd w:id="117"/>
      <w:bookmarkStart w:id="118" w:name="_Toc184308046"/>
      <w:bookmarkEnd w:id="118"/>
      <w:bookmarkStart w:id="119" w:name="_Toc184313282"/>
      <w:bookmarkEnd w:id="119"/>
      <w:bookmarkStart w:id="120" w:name="_Toc184308074"/>
      <w:bookmarkEnd w:id="120"/>
      <w:bookmarkStart w:id="121" w:name="_Toc184310291"/>
      <w:bookmarkEnd w:id="121"/>
      <w:bookmarkStart w:id="122" w:name="_Toc184308055"/>
      <w:bookmarkEnd w:id="122"/>
      <w:bookmarkStart w:id="123" w:name="_Toc184310342"/>
      <w:bookmarkEnd w:id="123"/>
      <w:bookmarkStart w:id="124" w:name="_Toc184308097"/>
      <w:bookmarkEnd w:id="124"/>
      <w:bookmarkStart w:id="125" w:name="_Toc184308072"/>
      <w:bookmarkEnd w:id="125"/>
      <w:bookmarkStart w:id="126" w:name="_Toc184308067"/>
      <w:bookmarkEnd w:id="126"/>
      <w:bookmarkStart w:id="127" w:name="_Toc184308086"/>
      <w:bookmarkEnd w:id="127"/>
      <w:bookmarkStart w:id="128" w:name="_Toc184312087"/>
      <w:bookmarkEnd w:id="128"/>
      <w:bookmarkStart w:id="129" w:name="_Toc184312071"/>
      <w:bookmarkEnd w:id="129"/>
      <w:bookmarkStart w:id="130" w:name="_Toc184308053"/>
      <w:bookmarkEnd w:id="130"/>
      <w:bookmarkStart w:id="131" w:name="_Toc184314414"/>
      <w:bookmarkEnd w:id="131"/>
      <w:bookmarkStart w:id="132" w:name="_Toc184314453"/>
      <w:bookmarkEnd w:id="132"/>
      <w:bookmarkStart w:id="133" w:name="_Toc184310312"/>
      <w:bookmarkEnd w:id="133"/>
      <w:bookmarkStart w:id="134" w:name="_Toc184308063"/>
      <w:bookmarkEnd w:id="134"/>
      <w:bookmarkStart w:id="135" w:name="_Toc184314456"/>
      <w:bookmarkEnd w:id="135"/>
      <w:bookmarkStart w:id="136" w:name="_Toc184308075"/>
      <w:bookmarkEnd w:id="136"/>
      <w:bookmarkStart w:id="137" w:name="_Toc184310301"/>
      <w:bookmarkEnd w:id="137"/>
      <w:bookmarkStart w:id="138" w:name="_Toc184310334"/>
      <w:bookmarkEnd w:id="138"/>
      <w:bookmarkStart w:id="139" w:name="_Toc184310294"/>
      <w:bookmarkEnd w:id="139"/>
      <w:bookmarkStart w:id="140" w:name="_Toc184313280"/>
      <w:bookmarkEnd w:id="140"/>
      <w:bookmarkStart w:id="141" w:name="_Toc184314435"/>
      <w:bookmarkEnd w:id="141"/>
      <w:bookmarkStart w:id="142" w:name="_Toc184310325"/>
      <w:bookmarkEnd w:id="142"/>
      <w:bookmarkStart w:id="143" w:name="_Toc184308091"/>
      <w:bookmarkEnd w:id="143"/>
      <w:bookmarkStart w:id="144" w:name="_Toc184308076"/>
      <w:bookmarkEnd w:id="144"/>
      <w:bookmarkStart w:id="145" w:name="_Toc184313293"/>
      <w:bookmarkEnd w:id="145"/>
      <w:bookmarkStart w:id="146" w:name="_Toc184310328"/>
      <w:bookmarkEnd w:id="146"/>
      <w:bookmarkStart w:id="147" w:name="_Toc184312075"/>
      <w:bookmarkEnd w:id="147"/>
      <w:bookmarkStart w:id="148" w:name="_Toc184314471"/>
      <w:bookmarkEnd w:id="148"/>
      <w:bookmarkStart w:id="149" w:name="_Toc184313291"/>
      <w:bookmarkEnd w:id="149"/>
      <w:bookmarkStart w:id="150" w:name="_Toc184314416"/>
      <w:bookmarkEnd w:id="150"/>
      <w:bookmarkStart w:id="151" w:name="_Toc184310319"/>
      <w:bookmarkEnd w:id="151"/>
      <w:bookmarkStart w:id="152" w:name="_Toc184310295"/>
      <w:bookmarkEnd w:id="152"/>
      <w:bookmarkStart w:id="153" w:name="_Toc184314431"/>
      <w:bookmarkEnd w:id="153"/>
      <w:bookmarkStart w:id="154" w:name="_Toc184313301"/>
      <w:bookmarkEnd w:id="154"/>
      <w:bookmarkStart w:id="155" w:name="_Toc184308041"/>
      <w:bookmarkEnd w:id="155"/>
      <w:bookmarkStart w:id="156" w:name="_Toc184312097"/>
      <w:bookmarkEnd w:id="156"/>
      <w:bookmarkStart w:id="157" w:name="_Toc184312099"/>
      <w:bookmarkEnd w:id="157"/>
      <w:bookmarkStart w:id="158" w:name="_Toc184312111"/>
      <w:bookmarkEnd w:id="158"/>
      <w:bookmarkStart w:id="159" w:name="_Toc184314415"/>
      <w:bookmarkEnd w:id="159"/>
      <w:bookmarkStart w:id="160" w:name="_Toc184313303"/>
      <w:bookmarkEnd w:id="160"/>
      <w:bookmarkStart w:id="161" w:name="_Toc184312084"/>
      <w:bookmarkEnd w:id="161"/>
      <w:bookmarkStart w:id="162" w:name="_Toc184312090"/>
      <w:bookmarkEnd w:id="162"/>
      <w:bookmarkStart w:id="163" w:name="_Toc184313272"/>
      <w:bookmarkEnd w:id="163"/>
      <w:bookmarkStart w:id="164" w:name="_Toc184312122"/>
      <w:bookmarkEnd w:id="164"/>
      <w:bookmarkStart w:id="165" w:name="_Toc184313297"/>
      <w:bookmarkEnd w:id="165"/>
      <w:bookmarkStart w:id="166" w:name="_Toc184312135"/>
      <w:bookmarkEnd w:id="166"/>
      <w:bookmarkStart w:id="167" w:name="_Toc184312138"/>
      <w:bookmarkEnd w:id="167"/>
      <w:bookmarkStart w:id="168" w:name="_Toc184314430"/>
      <w:bookmarkEnd w:id="168"/>
      <w:bookmarkStart w:id="169" w:name="_Toc184314464"/>
      <w:bookmarkEnd w:id="169"/>
      <w:bookmarkStart w:id="170" w:name="_Toc184308106"/>
      <w:bookmarkEnd w:id="170"/>
      <w:bookmarkStart w:id="171" w:name="_Toc184310285"/>
      <w:bookmarkEnd w:id="171"/>
      <w:bookmarkStart w:id="172" w:name="_Toc184308081"/>
      <w:bookmarkEnd w:id="172"/>
      <w:bookmarkStart w:id="173" w:name="_Toc184314478"/>
      <w:bookmarkEnd w:id="173"/>
      <w:bookmarkStart w:id="174" w:name="_Toc184313309"/>
      <w:bookmarkEnd w:id="174"/>
      <w:bookmarkStart w:id="175" w:name="_Toc184308047"/>
      <w:bookmarkEnd w:id="175"/>
      <w:bookmarkStart w:id="176" w:name="_Toc184314433"/>
      <w:bookmarkEnd w:id="176"/>
      <w:bookmarkStart w:id="177" w:name="_Toc184310322"/>
      <w:bookmarkEnd w:id="177"/>
      <w:bookmarkStart w:id="178" w:name="_Toc184308103"/>
      <w:bookmarkEnd w:id="178"/>
      <w:bookmarkStart w:id="179" w:name="_Toc184313288"/>
      <w:bookmarkEnd w:id="179"/>
      <w:bookmarkStart w:id="180" w:name="_Toc184308060"/>
      <w:bookmarkEnd w:id="180"/>
      <w:bookmarkStart w:id="181" w:name="_Toc184308088"/>
      <w:bookmarkEnd w:id="181"/>
      <w:bookmarkStart w:id="182" w:name="_Toc184312088"/>
      <w:bookmarkEnd w:id="182"/>
      <w:bookmarkStart w:id="183" w:name="_Toc184314422"/>
      <w:bookmarkEnd w:id="183"/>
      <w:bookmarkStart w:id="184" w:name="_Toc184310333"/>
      <w:bookmarkEnd w:id="184"/>
      <w:bookmarkStart w:id="185" w:name="_Toc184312085"/>
      <w:bookmarkEnd w:id="185"/>
      <w:bookmarkStart w:id="186" w:name="_Toc184310315"/>
      <w:bookmarkEnd w:id="186"/>
      <w:bookmarkStart w:id="187" w:name="_Toc184310274"/>
      <w:bookmarkEnd w:id="187"/>
      <w:bookmarkStart w:id="188" w:name="_Toc184313273"/>
      <w:bookmarkEnd w:id="188"/>
      <w:bookmarkStart w:id="189" w:name="_Toc184310317"/>
      <w:bookmarkEnd w:id="189"/>
      <w:bookmarkStart w:id="190" w:name="_Toc184308098"/>
      <w:bookmarkEnd w:id="190"/>
      <w:bookmarkStart w:id="191" w:name="_Toc184313243"/>
      <w:bookmarkEnd w:id="191"/>
      <w:bookmarkStart w:id="192" w:name="_Toc184313265"/>
      <w:bookmarkEnd w:id="192"/>
      <w:bookmarkStart w:id="193" w:name="_Toc184308095"/>
      <w:bookmarkEnd w:id="193"/>
      <w:bookmarkStart w:id="194" w:name="_Toc184313275"/>
      <w:bookmarkEnd w:id="194"/>
      <w:bookmarkStart w:id="195" w:name="_Toc184313299"/>
      <w:bookmarkEnd w:id="195"/>
      <w:bookmarkStart w:id="196" w:name="_Toc184312134"/>
      <w:bookmarkEnd w:id="196"/>
      <w:bookmarkStart w:id="197" w:name="_Toc184312127"/>
      <w:bookmarkEnd w:id="197"/>
      <w:bookmarkStart w:id="198" w:name="_Toc184312093"/>
      <w:bookmarkEnd w:id="198"/>
      <w:bookmarkStart w:id="199" w:name="_Toc184313298"/>
      <w:bookmarkEnd w:id="199"/>
      <w:bookmarkStart w:id="200" w:name="_Toc184310338"/>
      <w:bookmarkEnd w:id="200"/>
      <w:bookmarkStart w:id="201" w:name="_Toc184308036"/>
      <w:bookmarkEnd w:id="201"/>
      <w:bookmarkStart w:id="202" w:name="_Toc184312076"/>
      <w:bookmarkEnd w:id="202"/>
      <w:bookmarkStart w:id="203" w:name="_Toc184310278"/>
      <w:bookmarkEnd w:id="203"/>
      <w:bookmarkStart w:id="204" w:name="_Toc184313257"/>
      <w:bookmarkEnd w:id="204"/>
      <w:bookmarkStart w:id="205" w:name="_Toc184308037"/>
      <w:bookmarkEnd w:id="205"/>
      <w:bookmarkStart w:id="206" w:name="_Toc184314432"/>
      <w:bookmarkEnd w:id="206"/>
      <w:bookmarkStart w:id="207" w:name="_Toc184314457"/>
      <w:bookmarkEnd w:id="207"/>
      <w:bookmarkStart w:id="208" w:name="_Toc184308092"/>
      <w:bookmarkEnd w:id="208"/>
      <w:bookmarkStart w:id="209" w:name="_Toc184310314"/>
      <w:bookmarkEnd w:id="209"/>
      <w:bookmarkStart w:id="210" w:name="_Toc184312126"/>
      <w:bookmarkEnd w:id="210"/>
      <w:bookmarkStart w:id="211" w:name="_Toc184313274"/>
      <w:bookmarkEnd w:id="211"/>
      <w:bookmarkStart w:id="212" w:name="_Toc184308070"/>
      <w:bookmarkEnd w:id="212"/>
      <w:bookmarkStart w:id="213" w:name="_Toc184310297"/>
      <w:bookmarkEnd w:id="213"/>
      <w:bookmarkStart w:id="214" w:name="_Toc184310336"/>
      <w:bookmarkEnd w:id="214"/>
      <w:bookmarkStart w:id="215" w:name="_Toc184314447"/>
      <w:bookmarkEnd w:id="215"/>
      <w:bookmarkStart w:id="216" w:name="_Toc184313305"/>
      <w:bookmarkEnd w:id="216"/>
      <w:bookmarkStart w:id="217" w:name="_Toc184312081"/>
      <w:bookmarkEnd w:id="217"/>
      <w:bookmarkStart w:id="218" w:name="_Toc184312121"/>
      <w:bookmarkEnd w:id="218"/>
      <w:bookmarkStart w:id="219" w:name="_Toc184310327"/>
      <w:bookmarkEnd w:id="219"/>
      <w:bookmarkStart w:id="220" w:name="_Toc184313268"/>
      <w:bookmarkEnd w:id="220"/>
      <w:bookmarkStart w:id="221" w:name="_Toc184314472"/>
      <w:bookmarkEnd w:id="221"/>
      <w:bookmarkStart w:id="222" w:name="_Toc184310290"/>
      <w:bookmarkEnd w:id="222"/>
      <w:bookmarkStart w:id="223" w:name="_Toc184308090"/>
      <w:bookmarkEnd w:id="223"/>
      <w:bookmarkStart w:id="224" w:name="_Toc184314440"/>
      <w:bookmarkEnd w:id="224"/>
      <w:bookmarkStart w:id="225" w:name="_Toc184312117"/>
      <w:bookmarkEnd w:id="225"/>
      <w:bookmarkStart w:id="226" w:name="_Toc184314420"/>
      <w:bookmarkEnd w:id="226"/>
      <w:bookmarkStart w:id="227" w:name="_Toc184314449"/>
      <w:bookmarkEnd w:id="227"/>
      <w:bookmarkStart w:id="228" w:name="_Toc184312095"/>
      <w:bookmarkEnd w:id="228"/>
      <w:bookmarkStart w:id="229" w:name="_Toc184308077"/>
      <w:bookmarkEnd w:id="229"/>
      <w:bookmarkStart w:id="230" w:name="_Toc184314429"/>
      <w:bookmarkEnd w:id="230"/>
      <w:bookmarkStart w:id="231" w:name="_Toc184312132"/>
      <w:bookmarkEnd w:id="231"/>
      <w:bookmarkStart w:id="232" w:name="_Toc184310273"/>
      <w:bookmarkEnd w:id="232"/>
      <w:bookmarkStart w:id="233" w:name="_Toc184308050"/>
      <w:bookmarkEnd w:id="233"/>
      <w:bookmarkStart w:id="234" w:name="_Toc184310344"/>
      <w:bookmarkEnd w:id="234"/>
      <w:bookmarkStart w:id="235" w:name="_Toc184314476"/>
      <w:bookmarkEnd w:id="235"/>
      <w:bookmarkStart w:id="236" w:name="_Toc184308049"/>
      <w:bookmarkEnd w:id="236"/>
      <w:bookmarkStart w:id="237" w:name="_Toc184312125"/>
      <w:bookmarkEnd w:id="237"/>
      <w:bookmarkStart w:id="238" w:name="_Toc184313284"/>
      <w:bookmarkEnd w:id="238"/>
      <w:bookmarkStart w:id="239" w:name="_Toc184312070"/>
      <w:bookmarkEnd w:id="239"/>
      <w:bookmarkStart w:id="240" w:name="_Toc184310341"/>
      <w:bookmarkEnd w:id="240"/>
      <w:bookmarkStart w:id="241" w:name="_Toc184312073"/>
      <w:bookmarkEnd w:id="241"/>
      <w:bookmarkStart w:id="242" w:name="_Toc184308096"/>
      <w:bookmarkEnd w:id="242"/>
      <w:bookmarkStart w:id="243" w:name="_Toc184313283"/>
      <w:bookmarkEnd w:id="243"/>
      <w:bookmarkStart w:id="244" w:name="_Toc184313253"/>
      <w:bookmarkEnd w:id="244"/>
      <w:bookmarkStart w:id="245" w:name="_Toc184314426"/>
      <w:bookmarkEnd w:id="245"/>
      <w:bookmarkStart w:id="246" w:name="_Toc184310326"/>
      <w:bookmarkEnd w:id="246"/>
      <w:bookmarkStart w:id="247" w:name="_Toc184314446"/>
      <w:bookmarkEnd w:id="247"/>
      <w:bookmarkStart w:id="248" w:name="_Toc184314412"/>
      <w:bookmarkEnd w:id="248"/>
      <w:bookmarkStart w:id="249" w:name="_Toc184314479"/>
      <w:bookmarkEnd w:id="249"/>
      <w:bookmarkStart w:id="250" w:name="_Toc184314434"/>
      <w:bookmarkEnd w:id="250"/>
      <w:bookmarkStart w:id="251" w:name="_Toc184312092"/>
      <w:bookmarkEnd w:id="251"/>
      <w:bookmarkStart w:id="252" w:name="_Toc184310298"/>
      <w:bookmarkEnd w:id="252"/>
      <w:bookmarkStart w:id="253" w:name="_Toc184310299"/>
      <w:bookmarkEnd w:id="253"/>
      <w:bookmarkStart w:id="254" w:name="_Toc184314442"/>
      <w:bookmarkEnd w:id="254"/>
      <w:bookmarkStart w:id="255" w:name="_Toc184313239"/>
      <w:bookmarkEnd w:id="255"/>
      <w:bookmarkStart w:id="256" w:name="_Toc184314466"/>
      <w:bookmarkEnd w:id="256"/>
      <w:bookmarkStart w:id="257" w:name="_Toc184314473"/>
      <w:bookmarkEnd w:id="257"/>
      <w:bookmarkStart w:id="258" w:name="_Toc184312102"/>
      <w:bookmarkEnd w:id="258"/>
      <w:bookmarkStart w:id="259" w:name="_Toc184310311"/>
      <w:bookmarkEnd w:id="259"/>
      <w:bookmarkStart w:id="260" w:name="_Toc184308105"/>
      <w:bookmarkEnd w:id="260"/>
      <w:bookmarkStart w:id="261" w:name="_Toc184312106"/>
      <w:bookmarkEnd w:id="261"/>
      <w:bookmarkStart w:id="262" w:name="_Toc184313307"/>
      <w:bookmarkEnd w:id="262"/>
      <w:bookmarkStart w:id="263" w:name="_Toc184308101"/>
      <w:bookmarkEnd w:id="263"/>
      <w:bookmarkStart w:id="264" w:name="_Toc184312118"/>
      <w:bookmarkEnd w:id="264"/>
      <w:bookmarkStart w:id="265" w:name="_Toc184314410"/>
      <w:bookmarkEnd w:id="265"/>
      <w:bookmarkStart w:id="266" w:name="_Toc184313260"/>
      <w:bookmarkEnd w:id="266"/>
      <w:bookmarkStart w:id="267" w:name="_Toc184314418"/>
      <w:bookmarkEnd w:id="267"/>
      <w:bookmarkStart w:id="268" w:name="_Toc184313264"/>
      <w:bookmarkEnd w:id="268"/>
      <w:bookmarkStart w:id="269" w:name="_Toc184312116"/>
      <w:bookmarkEnd w:id="269"/>
      <w:bookmarkStart w:id="270" w:name="_Toc184312133"/>
      <w:bookmarkEnd w:id="270"/>
      <w:bookmarkStart w:id="271" w:name="_Toc184310286"/>
      <w:bookmarkEnd w:id="271"/>
      <w:bookmarkStart w:id="272" w:name="_Toc184310324"/>
      <w:bookmarkEnd w:id="272"/>
      <w:bookmarkStart w:id="273" w:name="_Toc184313287"/>
      <w:bookmarkEnd w:id="273"/>
      <w:bookmarkStart w:id="274" w:name="_Toc184313258"/>
      <w:bookmarkEnd w:id="274"/>
      <w:bookmarkStart w:id="275" w:name="_Toc184313306"/>
      <w:bookmarkEnd w:id="275"/>
      <w:bookmarkStart w:id="276" w:name="_Toc184313279"/>
      <w:bookmarkEnd w:id="276"/>
      <w:bookmarkStart w:id="277" w:name="_Toc184314480"/>
      <w:bookmarkEnd w:id="277"/>
      <w:bookmarkStart w:id="278" w:name="_Toc184308085"/>
      <w:bookmarkEnd w:id="278"/>
      <w:bookmarkStart w:id="279" w:name="_Toc184313270"/>
      <w:bookmarkEnd w:id="279"/>
      <w:bookmarkStart w:id="280" w:name="_Toc184310293"/>
      <w:bookmarkEnd w:id="280"/>
      <w:bookmarkStart w:id="281" w:name="_Toc184312080"/>
      <w:bookmarkEnd w:id="281"/>
      <w:bookmarkStart w:id="282" w:name="_Toc184313266"/>
      <w:bookmarkEnd w:id="282"/>
      <w:bookmarkStart w:id="283" w:name="_Toc184313278"/>
      <w:bookmarkEnd w:id="283"/>
      <w:bookmarkStart w:id="284" w:name="_Toc184314421"/>
      <w:bookmarkEnd w:id="284"/>
      <w:bookmarkStart w:id="285" w:name="_Toc184310284"/>
      <w:bookmarkEnd w:id="285"/>
      <w:bookmarkStart w:id="286" w:name="_Toc184310337"/>
      <w:bookmarkEnd w:id="286"/>
      <w:bookmarkStart w:id="287" w:name="_Toc184310280"/>
      <w:bookmarkEnd w:id="287"/>
      <w:bookmarkStart w:id="288" w:name="_Toc184310313"/>
      <w:bookmarkEnd w:id="288"/>
      <w:bookmarkStart w:id="289" w:name="_Toc184312079"/>
      <w:bookmarkEnd w:id="289"/>
      <w:bookmarkStart w:id="290" w:name="_Toc184313261"/>
      <w:bookmarkEnd w:id="290"/>
      <w:bookmarkStart w:id="291" w:name="_Toc184313271"/>
      <w:bookmarkEnd w:id="291"/>
      <w:bookmarkStart w:id="292" w:name="_Toc184314452"/>
      <w:bookmarkEnd w:id="292"/>
      <w:bookmarkStart w:id="293" w:name="_Toc184310339"/>
      <w:bookmarkEnd w:id="293"/>
      <w:bookmarkStart w:id="294" w:name="_Toc184308108"/>
      <w:bookmarkEnd w:id="294"/>
      <w:bookmarkStart w:id="295" w:name="_Toc184310332"/>
      <w:bookmarkEnd w:id="295"/>
      <w:bookmarkStart w:id="296" w:name="_Toc184312105"/>
      <w:bookmarkEnd w:id="296"/>
      <w:bookmarkStart w:id="297" w:name="_Toc184310304"/>
      <w:bookmarkEnd w:id="297"/>
      <w:bookmarkStart w:id="298" w:name="_Toc184308099"/>
      <w:bookmarkEnd w:id="298"/>
      <w:bookmarkStart w:id="299" w:name="_Toc184312112"/>
      <w:bookmarkEnd w:id="299"/>
      <w:bookmarkStart w:id="300" w:name="_Toc184313285"/>
      <w:bookmarkEnd w:id="300"/>
      <w:bookmarkStart w:id="301" w:name="_Toc184312108"/>
      <w:bookmarkEnd w:id="301"/>
      <w:bookmarkStart w:id="302" w:name="_Toc184314463"/>
      <w:bookmarkEnd w:id="302"/>
      <w:bookmarkStart w:id="303" w:name="_Toc184314443"/>
      <w:bookmarkEnd w:id="303"/>
      <w:bookmarkStart w:id="304" w:name="_Toc184310330"/>
      <w:bookmarkEnd w:id="304"/>
      <w:bookmarkStart w:id="305" w:name="_Toc184312120"/>
      <w:bookmarkEnd w:id="305"/>
      <w:bookmarkStart w:id="306" w:name="_Toc184312069"/>
      <w:bookmarkEnd w:id="306"/>
      <w:bookmarkStart w:id="307" w:name="_Toc184312103"/>
      <w:bookmarkEnd w:id="307"/>
      <w:bookmarkStart w:id="308" w:name="_Toc184314438"/>
      <w:bookmarkEnd w:id="308"/>
      <w:bookmarkStart w:id="309" w:name="_Toc184308093"/>
      <w:bookmarkEnd w:id="309"/>
      <w:bookmarkStart w:id="310" w:name="_Toc184308054"/>
      <w:bookmarkEnd w:id="310"/>
      <w:bookmarkStart w:id="311" w:name="_Toc184308039"/>
      <w:bookmarkEnd w:id="311"/>
      <w:bookmarkStart w:id="312" w:name="_Toc184313256"/>
      <w:bookmarkEnd w:id="312"/>
      <w:bookmarkStart w:id="313" w:name="_Toc184310303"/>
      <w:bookmarkEnd w:id="313"/>
      <w:bookmarkStart w:id="314" w:name="_Toc184310320"/>
      <w:bookmarkEnd w:id="314"/>
      <w:bookmarkStart w:id="315" w:name="_Toc184308102"/>
      <w:bookmarkEnd w:id="315"/>
      <w:bookmarkStart w:id="316" w:name="_Toc184312104"/>
      <w:bookmarkEnd w:id="316"/>
      <w:bookmarkStart w:id="317" w:name="_Toc184314441"/>
      <w:bookmarkEnd w:id="317"/>
      <w:bookmarkStart w:id="318" w:name="_Toc184312137"/>
      <w:bookmarkEnd w:id="318"/>
      <w:bookmarkStart w:id="319" w:name="_Toc184310275"/>
      <w:bookmarkEnd w:id="319"/>
      <w:bookmarkStart w:id="320" w:name="_Toc184310335"/>
      <w:bookmarkEnd w:id="320"/>
      <w:bookmarkStart w:id="321" w:name="_Toc184308071"/>
      <w:bookmarkEnd w:id="321"/>
      <w:bookmarkStart w:id="322" w:name="_Toc184308083"/>
      <w:bookmarkEnd w:id="322"/>
      <w:bookmarkStart w:id="323" w:name="_Toc184310308"/>
      <w:bookmarkEnd w:id="323"/>
      <w:bookmarkStart w:id="324" w:name="_Toc184310289"/>
      <w:bookmarkEnd w:id="324"/>
      <w:bookmarkStart w:id="325" w:name="_Toc184313259"/>
      <w:bookmarkEnd w:id="325"/>
      <w:bookmarkStart w:id="326" w:name="_Toc184313276"/>
      <w:bookmarkEnd w:id="326"/>
      <w:bookmarkStart w:id="327" w:name="_Toc184312110"/>
      <w:bookmarkEnd w:id="327"/>
      <w:bookmarkStart w:id="328" w:name="_Toc184314481"/>
      <w:bookmarkEnd w:id="328"/>
      <w:bookmarkStart w:id="329" w:name="_Toc184308045"/>
      <w:bookmarkEnd w:id="329"/>
      <w:bookmarkStart w:id="330" w:name="_Toc184313263"/>
      <w:bookmarkEnd w:id="330"/>
      <w:bookmarkStart w:id="331" w:name="_Toc184312123"/>
      <w:bookmarkEnd w:id="331"/>
      <w:bookmarkStart w:id="332" w:name="_Toc184310276"/>
      <w:bookmarkEnd w:id="332"/>
      <w:bookmarkStart w:id="333" w:name="_Toc184314428"/>
      <w:bookmarkEnd w:id="333"/>
      <w:bookmarkStart w:id="334" w:name="_Toc184313290"/>
      <w:bookmarkEnd w:id="334"/>
      <w:bookmarkStart w:id="335" w:name="_Toc184308107"/>
      <w:bookmarkEnd w:id="335"/>
      <w:bookmarkStart w:id="336" w:name="_Toc184308043"/>
      <w:bookmarkEnd w:id="336"/>
      <w:bookmarkStart w:id="337" w:name="_Toc184312115"/>
      <w:bookmarkEnd w:id="337"/>
      <w:bookmarkStart w:id="338" w:name="_Toc184308052"/>
      <w:bookmarkEnd w:id="338"/>
      <w:bookmarkStart w:id="339" w:name="_Toc184308044"/>
      <w:bookmarkEnd w:id="339"/>
      <w:bookmarkStart w:id="340" w:name="_Toc184310300"/>
      <w:bookmarkEnd w:id="340"/>
      <w:bookmarkStart w:id="341" w:name="_Toc184313248"/>
      <w:bookmarkEnd w:id="341"/>
      <w:bookmarkStart w:id="342" w:name="_Toc184312086"/>
      <w:bookmarkEnd w:id="342"/>
      <w:bookmarkStart w:id="343" w:name="_Toc184312094"/>
      <w:bookmarkEnd w:id="343"/>
      <w:bookmarkStart w:id="344" w:name="_Toc184308051"/>
      <w:bookmarkEnd w:id="344"/>
      <w:bookmarkStart w:id="345" w:name="_Toc184312129"/>
      <w:bookmarkEnd w:id="345"/>
      <w:bookmarkStart w:id="346" w:name="_Toc184313310"/>
      <w:bookmarkEnd w:id="346"/>
      <w:bookmarkStart w:id="347" w:name="_Toc184313262"/>
      <w:bookmarkEnd w:id="347"/>
      <w:bookmarkStart w:id="348" w:name="_Toc184310288"/>
      <w:bookmarkEnd w:id="348"/>
      <w:bookmarkStart w:id="349" w:name="_Toc184314425"/>
      <w:bookmarkEnd w:id="349"/>
      <w:bookmarkStart w:id="350" w:name="_Toc184314461"/>
      <w:bookmarkEnd w:id="350"/>
      <w:bookmarkStart w:id="351" w:name="_Toc184313249"/>
      <w:bookmarkEnd w:id="351"/>
      <w:bookmarkStart w:id="352" w:name="_Toc184313286"/>
      <w:bookmarkEnd w:id="352"/>
      <w:bookmarkStart w:id="353" w:name="_Toc184308100"/>
      <w:bookmarkEnd w:id="353"/>
      <w:bookmarkStart w:id="354" w:name="_Toc184312139"/>
      <w:bookmarkEnd w:id="354"/>
      <w:bookmarkStart w:id="355" w:name="_Toc184308048"/>
      <w:bookmarkEnd w:id="355"/>
      <w:bookmarkStart w:id="356" w:name="_Toc184312096"/>
      <w:bookmarkEnd w:id="356"/>
      <w:bookmarkStart w:id="357" w:name="_Toc184313244"/>
      <w:bookmarkEnd w:id="357"/>
      <w:bookmarkStart w:id="358" w:name="_Toc184314417"/>
      <w:bookmarkEnd w:id="358"/>
      <w:bookmarkStart w:id="359" w:name="_Toc184312114"/>
      <w:bookmarkEnd w:id="359"/>
      <w:bookmarkStart w:id="360" w:name="_Toc184308058"/>
      <w:bookmarkEnd w:id="360"/>
      <w:bookmarkStart w:id="361" w:name="_Toc184308042"/>
      <w:bookmarkEnd w:id="361"/>
      <w:bookmarkStart w:id="362" w:name="_Toc184312072"/>
      <w:bookmarkEnd w:id="362"/>
      <w:bookmarkStart w:id="363" w:name="_Toc184310305"/>
      <w:bookmarkEnd w:id="363"/>
      <w:bookmarkStart w:id="364" w:name="_Toc184308087"/>
      <w:bookmarkEnd w:id="364"/>
      <w:bookmarkStart w:id="365" w:name="_Toc184312131"/>
      <w:bookmarkEnd w:id="365"/>
      <w:bookmarkStart w:id="366" w:name="_Toc184310321"/>
      <w:bookmarkEnd w:id="366"/>
      <w:bookmarkStart w:id="367" w:name="_Toc184310279"/>
      <w:bookmarkEnd w:id="367"/>
      <w:bookmarkStart w:id="368" w:name="_Toc184313240"/>
      <w:bookmarkEnd w:id="368"/>
      <w:bookmarkStart w:id="369" w:name="_Toc184308062"/>
      <w:bookmarkEnd w:id="369"/>
      <w:bookmarkStart w:id="370" w:name="_Toc184314459"/>
      <w:bookmarkEnd w:id="370"/>
      <w:bookmarkStart w:id="371" w:name="_Toc184314477"/>
      <w:bookmarkEnd w:id="371"/>
      <w:bookmarkStart w:id="372" w:name="_Toc184312100"/>
      <w:bookmarkEnd w:id="372"/>
      <w:bookmarkStart w:id="373" w:name="_Toc184314413"/>
      <w:bookmarkEnd w:id="373"/>
      <w:bookmarkStart w:id="374" w:name="_Toc184314448"/>
      <w:bookmarkEnd w:id="374"/>
      <w:bookmarkStart w:id="375" w:name="_Toc184314419"/>
      <w:bookmarkEnd w:id="375"/>
      <w:bookmarkStart w:id="376" w:name="_Toc184312082"/>
      <w:bookmarkEnd w:id="376"/>
      <w:bookmarkStart w:id="377" w:name="_Toc184314482"/>
      <w:bookmarkEnd w:id="377"/>
      <w:bookmarkStart w:id="378" w:name="_Toc184314460"/>
      <w:bookmarkEnd w:id="378"/>
      <w:bookmarkStart w:id="379" w:name="_Toc184313246"/>
      <w:bookmarkEnd w:id="379"/>
      <w:bookmarkStart w:id="380" w:name="_Toc184313277"/>
      <w:bookmarkEnd w:id="380"/>
      <w:bookmarkStart w:id="381" w:name="_Toc184313281"/>
      <w:bookmarkEnd w:id="381"/>
      <w:bookmarkStart w:id="382" w:name="_Toc184314475"/>
      <w:bookmarkEnd w:id="382"/>
      <w:bookmarkStart w:id="383" w:name="_Toc184314451"/>
      <w:bookmarkEnd w:id="383"/>
      <w:bookmarkStart w:id="384" w:name="_Toc184308089"/>
      <w:bookmarkEnd w:id="384"/>
      <w:bookmarkStart w:id="385" w:name="_Toc184313242"/>
      <w:bookmarkEnd w:id="385"/>
      <w:bookmarkStart w:id="386" w:name="_Toc184310316"/>
      <w:bookmarkEnd w:id="386"/>
      <w:bookmarkStart w:id="387" w:name="_Toc184310283"/>
      <w:bookmarkEnd w:id="387"/>
      <w:bookmarkStart w:id="388" w:name="_Toc184313294"/>
      <w:bookmarkEnd w:id="388"/>
      <w:bookmarkStart w:id="389" w:name="_Toc184314437"/>
      <w:bookmarkEnd w:id="389"/>
      <w:bookmarkStart w:id="390" w:name="_Toc184312098"/>
      <w:bookmarkEnd w:id="390"/>
      <w:bookmarkStart w:id="391" w:name="_Toc184313251"/>
      <w:bookmarkEnd w:id="391"/>
      <w:bookmarkStart w:id="392" w:name="_Toc184312091"/>
      <w:bookmarkEnd w:id="392"/>
      <w:r>
        <w:rPr>
          <w:rFonts w:hint="eastAsia" w:ascii="仿宋" w:hAnsi="仿宋" w:eastAsia="仿宋" w:cs="仿宋"/>
          <w:b/>
          <w:color w:val="auto"/>
          <w:spacing w:val="0"/>
          <w:kern w:val="0"/>
          <w:sz w:val="36"/>
          <w:szCs w:val="36"/>
          <w:highlight w:val="none"/>
          <w:fitText w:val="1444" w:id="-982737664"/>
        </w:rPr>
        <w:t>评</w:t>
      </w:r>
      <w:r>
        <w:rPr>
          <w:rFonts w:hint="eastAsia" w:ascii="仿宋" w:hAnsi="仿宋" w:eastAsia="仿宋" w:cs="仿宋"/>
          <w:b/>
          <w:color w:val="auto"/>
          <w:sz w:val="36"/>
          <w:szCs w:val="36"/>
          <w:highlight w:val="none"/>
        </w:rPr>
        <w:t>标办法</w:t>
      </w:r>
    </w:p>
    <w:p w14:paraId="C075EDA1">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362"/>
        <w:gridCol w:w="605"/>
        <w:gridCol w:w="749"/>
        <w:gridCol w:w="1200"/>
      </w:tblGrid>
      <w:tr w14:paraId="9553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96134A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序号</w:t>
            </w:r>
          </w:p>
        </w:tc>
        <w:tc>
          <w:tcPr>
            <w:tcW w:w="3157" w:type="pct"/>
            <w:vAlign w:val="center"/>
          </w:tcPr>
          <w:p w14:paraId="D6C72E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评标标准</w:t>
            </w:r>
          </w:p>
        </w:tc>
        <w:tc>
          <w:tcPr>
            <w:tcW w:w="356" w:type="pct"/>
            <w:vAlign w:val="center"/>
          </w:tcPr>
          <w:p w14:paraId="7D83144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权重</w:t>
            </w:r>
          </w:p>
        </w:tc>
        <w:tc>
          <w:tcPr>
            <w:tcW w:w="441" w:type="pct"/>
            <w:vAlign w:val="center"/>
          </w:tcPr>
          <w:p w14:paraId="4049111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主观分/客观分属性</w:t>
            </w:r>
          </w:p>
        </w:tc>
        <w:tc>
          <w:tcPr>
            <w:tcW w:w="706" w:type="pct"/>
            <w:vAlign w:val="center"/>
          </w:tcPr>
          <w:p w14:paraId="A46AA38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投标文件中评标标准相应的商务技术资料目录*</w:t>
            </w:r>
          </w:p>
        </w:tc>
      </w:tr>
      <w:tr w14:paraId="54C6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A3F81F5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3157" w:type="pct"/>
            <w:vAlign w:val="center"/>
          </w:tcPr>
          <w:p w14:paraId="FC6A09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right="0"/>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投标人具备有效的质量管理体系认证、环境管理体系认证、职业健康与安全管理体系认证、信息安全管理体系认证证书的，每提供一个得1分，最高得4分。</w:t>
            </w:r>
          </w:p>
          <w:p w14:paraId="F8C835A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 w:hAnsi="仿宋" w:eastAsia="仿宋" w:cs="仿宋_GB2312"/>
                <w:b/>
                <w:bCs/>
                <w:color w:val="auto"/>
                <w:sz w:val="24"/>
                <w:highlight w:val="none"/>
              </w:rPr>
            </w:pPr>
            <w:r>
              <w:rPr>
                <w:rFonts w:hint="eastAsia" w:ascii="仿宋" w:hAnsi="仿宋" w:eastAsia="仿宋" w:cs="仿宋"/>
                <w:color w:val="auto"/>
                <w:sz w:val="24"/>
                <w:szCs w:val="24"/>
                <w:highlight w:val="none"/>
              </w:rPr>
              <w:t>（投标文件中提供认证证书复印件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highlight w:val="none"/>
              </w:rPr>
              <w:t>“全国认证认可信息公共服务平台http://cx.cnca.cn/网站” 查询的认证证书信息网页截图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356" w:type="pct"/>
            <w:vAlign w:val="center"/>
          </w:tcPr>
          <w:p w14:paraId="7683680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441" w:type="pct"/>
            <w:vAlign w:val="center"/>
          </w:tcPr>
          <w:p w14:paraId="87A32DA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w:t>
            </w:r>
          </w:p>
        </w:tc>
        <w:tc>
          <w:tcPr>
            <w:tcW w:w="706" w:type="pct"/>
            <w:vAlign w:val="center"/>
          </w:tcPr>
          <w:p w14:paraId="09D72B8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体系认证</w:t>
            </w:r>
          </w:p>
        </w:tc>
      </w:tr>
      <w:tr w14:paraId="C777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BDF3BC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3157" w:type="pct"/>
            <w:shd w:val="clear" w:color="auto" w:fill="auto"/>
            <w:vAlign w:val="center"/>
          </w:tcPr>
          <w:p w14:paraId="4F24704C">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月1日（以合同签订时间为准）以来承接过的类似项目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每个得0.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（投标文件中提供合同复印件，不提供不得分</w:t>
            </w:r>
            <w:r>
              <w:rPr>
                <w:rFonts w:hint="eastAsia" w:ascii="仿宋" w:hAnsi="仿宋" w:eastAsia="仿宋" w:cs="仿宋"/>
                <w:color w:val="auto"/>
                <w:sz w:val="24"/>
                <w:highlight w:val="none"/>
              </w:rPr>
              <w:t>，同一业主视作一份证明材料。</w:t>
            </w:r>
            <w:r>
              <w:rPr>
                <w:rFonts w:hint="eastAsia" w:ascii="仿宋" w:hAnsi="仿宋" w:eastAsia="仿宋" w:cs="仿宋"/>
                <w:color w:val="auto"/>
                <w:sz w:val="24"/>
                <w:szCs w:val="24"/>
                <w:highlight w:val="none"/>
              </w:rPr>
              <w:t>）</w:t>
            </w:r>
          </w:p>
        </w:tc>
        <w:tc>
          <w:tcPr>
            <w:tcW w:w="356" w:type="pct"/>
            <w:shd w:val="clear" w:color="auto" w:fill="auto"/>
            <w:vAlign w:val="center"/>
          </w:tcPr>
          <w:p w14:paraId="8D1E32E0">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441" w:type="pct"/>
            <w:vAlign w:val="center"/>
          </w:tcPr>
          <w:p w14:paraId="1411586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w:t>
            </w:r>
          </w:p>
        </w:tc>
        <w:tc>
          <w:tcPr>
            <w:tcW w:w="706" w:type="pct"/>
            <w:vAlign w:val="center"/>
          </w:tcPr>
          <w:p w14:paraId="E205D78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业绩</w:t>
            </w:r>
          </w:p>
        </w:tc>
      </w:tr>
      <w:tr w14:paraId="F437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338" w:type="pct"/>
            <w:vAlign w:val="center"/>
          </w:tcPr>
          <w:p w14:paraId="4262DD0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3157" w:type="pct"/>
            <w:shd w:val="clear" w:color="auto" w:fill="auto"/>
            <w:vAlign w:val="center"/>
          </w:tcPr>
          <w:p w14:paraId="158D5F29">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项目负责人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最高得3分）:</w:t>
            </w:r>
          </w:p>
          <w:p w14:paraId="095A7859">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拟派项目负责人具有类似项目管理经验的中级注册安全工程师</w:t>
            </w:r>
            <w:r>
              <w:rPr>
                <w:rFonts w:hint="eastAsia" w:ascii="仿宋" w:hAnsi="仿宋" w:eastAsia="仿宋" w:cs="仿宋"/>
                <w:color w:val="auto"/>
                <w:sz w:val="24"/>
                <w:szCs w:val="24"/>
                <w:highlight w:val="none"/>
              </w:rPr>
              <w:t>（投标文件中提供</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highlight w:val="none"/>
              </w:rPr>
              <w:t>，得2分；同时为浙江省应急管理厅专家库成员的得3分</w:t>
            </w:r>
            <w:r>
              <w:rPr>
                <w:rFonts w:hint="eastAsia" w:ascii="仿宋" w:hAnsi="仿宋" w:eastAsia="仿宋" w:cs="仿宋"/>
                <w:color w:val="auto"/>
                <w:sz w:val="24"/>
                <w:szCs w:val="24"/>
                <w:highlight w:val="none"/>
              </w:rPr>
              <w:t>（投标文件中提供</w:t>
            </w:r>
            <w:r>
              <w:rPr>
                <w:rFonts w:hint="eastAsia" w:ascii="仿宋" w:hAnsi="仿宋" w:eastAsia="仿宋" w:cs="仿宋"/>
                <w:color w:val="auto"/>
                <w:sz w:val="24"/>
                <w:szCs w:val="24"/>
                <w:highlight w:val="none"/>
                <w:lang w:val="en-US" w:eastAsia="zh-CN"/>
              </w:rPr>
              <w:t>专家聘书</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highlight w:val="none"/>
              </w:rPr>
              <w:t>。</w:t>
            </w:r>
          </w:p>
          <w:p w14:paraId="43EA9B9E">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团队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除项目负责人外）</w:t>
            </w:r>
            <w:r>
              <w:rPr>
                <w:rFonts w:hint="eastAsia" w:ascii="仿宋" w:hAnsi="仿宋" w:eastAsia="仿宋" w:cs="仿宋"/>
                <w:color w:val="auto"/>
                <w:sz w:val="24"/>
                <w:highlight w:val="none"/>
              </w:rPr>
              <w:t>：</w:t>
            </w:r>
          </w:p>
          <w:p w14:paraId="8C37E660">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①具有一级注册消防工程师每个得1分，本项最高得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rPr>
              <w:t>（投标文件中提供</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highlight w:val="none"/>
              </w:rPr>
              <w:t>；</w:t>
            </w:r>
          </w:p>
          <w:p w14:paraId="EA87C1DC">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②具有中级注册安全工程师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每个得1分，本项最高得2分</w:t>
            </w:r>
            <w:r>
              <w:rPr>
                <w:rFonts w:hint="eastAsia" w:ascii="仿宋" w:hAnsi="仿宋" w:eastAsia="仿宋" w:cs="仿宋"/>
                <w:color w:val="auto"/>
                <w:sz w:val="24"/>
                <w:szCs w:val="24"/>
                <w:highlight w:val="none"/>
              </w:rPr>
              <w:t>（投标文件中提供</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highlight w:val="none"/>
              </w:rPr>
              <w:t>；</w:t>
            </w:r>
          </w:p>
          <w:p w14:paraId="9D3D690D">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③具有</w:t>
            </w:r>
            <w:r>
              <w:rPr>
                <w:rFonts w:hint="eastAsia" w:ascii="仿宋" w:hAnsi="仿宋" w:eastAsia="仿宋" w:cs="仿宋"/>
                <w:color w:val="auto"/>
                <w:sz w:val="24"/>
                <w:szCs w:val="24"/>
                <w:highlight w:val="none"/>
                <w:lang w:val="en-US" w:eastAsia="zh-CN" w:bidi="ar"/>
              </w:rPr>
              <w:t>浙江省安全生产教育培训师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每个得1分，本项最高得2分</w:t>
            </w:r>
            <w:r>
              <w:rPr>
                <w:rFonts w:hint="eastAsia" w:ascii="仿宋" w:hAnsi="仿宋" w:eastAsia="仿宋" w:cs="仿宋"/>
                <w:color w:val="auto"/>
                <w:sz w:val="24"/>
                <w:szCs w:val="24"/>
                <w:highlight w:val="none"/>
              </w:rPr>
              <w:t>（投标文件中提供</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highlight w:val="none"/>
                <w:lang w:eastAsia="zh-CN"/>
              </w:rPr>
              <w:t>。</w:t>
            </w:r>
          </w:p>
          <w:p w14:paraId="576A68EE">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除上述要求外</w:t>
            </w:r>
            <w:r>
              <w:rPr>
                <w:rFonts w:hint="eastAsia" w:ascii="仿宋" w:hAnsi="仿宋" w:eastAsia="仿宋" w:cs="仿宋"/>
                <w:color w:val="auto"/>
                <w:sz w:val="24"/>
                <w:highlight w:val="none"/>
              </w:rPr>
              <w:t>投标文件中提供</w:t>
            </w:r>
            <w:r>
              <w:rPr>
                <w:rFonts w:hint="eastAsia" w:ascii="仿宋" w:hAnsi="仿宋" w:eastAsia="仿宋" w:cs="仿宋"/>
                <w:color w:val="auto"/>
                <w:sz w:val="24"/>
                <w:highlight w:val="none"/>
                <w:lang w:val="en-US" w:eastAsia="zh-CN"/>
              </w:rPr>
              <w:t>在</w:t>
            </w:r>
            <w:r>
              <w:rPr>
                <w:rFonts w:hint="eastAsia" w:ascii="仿宋" w:hAnsi="仿宋" w:eastAsia="仿宋" w:cs="仿宋"/>
                <w:color w:val="auto"/>
                <w:sz w:val="24"/>
                <w:highlight w:val="none"/>
              </w:rPr>
              <w:t>投标截止时间前3个月内</w:t>
            </w:r>
            <w:r>
              <w:rPr>
                <w:rFonts w:hint="eastAsia" w:ascii="仿宋" w:hAnsi="仿宋" w:eastAsia="仿宋" w:cs="仿宋"/>
                <w:color w:val="auto"/>
                <w:sz w:val="24"/>
                <w:highlight w:val="none"/>
                <w:lang w:val="en-US" w:eastAsia="zh-CN"/>
              </w:rPr>
              <w:t>任意一个月</w:t>
            </w:r>
            <w:r>
              <w:rPr>
                <w:rFonts w:hint="eastAsia" w:ascii="仿宋" w:hAnsi="仿宋" w:eastAsia="仿宋" w:cs="仿宋"/>
                <w:color w:val="auto"/>
                <w:sz w:val="24"/>
                <w:highlight w:val="none"/>
              </w:rPr>
              <w:t>的社会保险证明，不提供或未完全提供不得分)</w:t>
            </w:r>
          </w:p>
        </w:tc>
        <w:tc>
          <w:tcPr>
            <w:tcW w:w="356" w:type="pct"/>
            <w:shd w:val="clear" w:color="auto" w:fill="auto"/>
            <w:vAlign w:val="center"/>
          </w:tcPr>
          <w:p w14:paraId="9B547E3E">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41" w:type="pct"/>
            <w:vAlign w:val="center"/>
          </w:tcPr>
          <w:p w14:paraId="05C3E97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706" w:type="pct"/>
            <w:vAlign w:val="center"/>
          </w:tcPr>
          <w:p w14:paraId="AFB9BEB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服务团队</w:t>
            </w:r>
          </w:p>
        </w:tc>
      </w:tr>
      <w:tr w14:paraId="6477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BB1BDD2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3157" w:type="pct"/>
            <w:shd w:val="clear" w:color="auto" w:fill="auto"/>
            <w:vAlign w:val="center"/>
          </w:tcPr>
          <w:p w14:paraId="7568A266">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投标人对本项目总体协调与</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服务需求的理解程度，提供的总体协调与</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服务方案（包括对项目的理解、项目总体管理、项目总体实施保障管理等）：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356" w:type="pct"/>
            <w:shd w:val="clear" w:color="auto" w:fill="auto"/>
            <w:vAlign w:val="center"/>
          </w:tcPr>
          <w:p w14:paraId="3B0DA247">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41" w:type="pct"/>
            <w:vAlign w:val="center"/>
          </w:tcPr>
          <w:p w14:paraId="1F1B377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bCs/>
                <w:color w:val="auto"/>
                <w:sz w:val="24"/>
                <w:highlight w:val="none"/>
              </w:rPr>
              <w:t>主观</w:t>
            </w:r>
          </w:p>
        </w:tc>
        <w:tc>
          <w:tcPr>
            <w:tcW w:w="706" w:type="pct"/>
            <w:vAlign w:val="center"/>
          </w:tcPr>
          <w:p w14:paraId="A18A9DF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lang w:val="en-US" w:eastAsia="zh-CN"/>
              </w:rPr>
              <w:t>整体服务方案</w:t>
            </w:r>
          </w:p>
        </w:tc>
      </w:tr>
      <w:tr w14:paraId="AA09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1D6B7C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3157" w:type="pct"/>
            <w:shd w:val="clear" w:color="auto" w:fill="auto"/>
            <w:vAlign w:val="center"/>
          </w:tcPr>
          <w:p w14:paraId="FD1237BA">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针对本项目特点和难点分析：分析透彻，全面，贴合实际情况得4分；分析较为透彻，全面、较贴合实际得3分；分析基本全面、基本贴合实际得2分；阐述简单，不切合实际或不全面得1分；未提供相关内容的不得分。</w:t>
            </w:r>
          </w:p>
        </w:tc>
        <w:tc>
          <w:tcPr>
            <w:tcW w:w="356" w:type="pct"/>
            <w:shd w:val="clear" w:color="auto" w:fill="auto"/>
            <w:vAlign w:val="center"/>
          </w:tcPr>
          <w:p w14:paraId="68384438">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41" w:type="pct"/>
            <w:vAlign w:val="center"/>
          </w:tcPr>
          <w:p w14:paraId="E953719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主观</w:t>
            </w:r>
          </w:p>
        </w:tc>
        <w:tc>
          <w:tcPr>
            <w:tcW w:w="706" w:type="pct"/>
            <w:vAlign w:val="center"/>
          </w:tcPr>
          <w:p w14:paraId="F321663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针对本项目特点和难点分析及解决措施</w:t>
            </w:r>
          </w:p>
        </w:tc>
      </w:tr>
      <w:tr w14:paraId="DD38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AC046E3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3157" w:type="pct"/>
            <w:shd w:val="clear" w:color="auto" w:fill="auto"/>
            <w:vAlign w:val="center"/>
          </w:tcPr>
          <w:p w14:paraId="132F51C6">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解决措施：合理、针对性强、可行性高得4分；合理、针对性一般、可行性一般得3分；较为合理、针对性和可行性有所欠缺得2分；阐述简单或者不合理、不全面得1分；未提供相关内容的不得分。</w:t>
            </w:r>
          </w:p>
        </w:tc>
        <w:tc>
          <w:tcPr>
            <w:tcW w:w="356" w:type="pct"/>
            <w:shd w:val="clear" w:color="auto" w:fill="auto"/>
            <w:vAlign w:val="center"/>
          </w:tcPr>
          <w:p w14:paraId="812087DB">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41" w:type="pct"/>
            <w:vAlign w:val="center"/>
          </w:tcPr>
          <w:p w14:paraId="9386EA6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主观</w:t>
            </w:r>
          </w:p>
        </w:tc>
        <w:tc>
          <w:tcPr>
            <w:tcW w:w="706" w:type="pct"/>
            <w:vAlign w:val="center"/>
          </w:tcPr>
          <w:p w14:paraId="983932E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针对本项目特点和难点分析及解决措施</w:t>
            </w:r>
          </w:p>
        </w:tc>
      </w:tr>
      <w:tr w14:paraId="A703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35147B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3157" w:type="pct"/>
            <w:shd w:val="clear" w:color="auto" w:fill="auto"/>
            <w:vAlign w:val="center"/>
          </w:tcPr>
          <w:p w14:paraId="1DD02E7A">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安全生产（包含危化品、建筑施工、工业企业等领域检查）</w:t>
            </w:r>
            <w:r>
              <w:rPr>
                <w:rFonts w:hint="eastAsia" w:ascii="仿宋" w:hAnsi="仿宋" w:eastAsia="仿宋" w:cs="仿宋"/>
                <w:color w:val="auto"/>
                <w:sz w:val="24"/>
                <w:highlight w:val="none"/>
                <w:lang w:val="en-US" w:eastAsia="zh-CN"/>
              </w:rPr>
              <w:t>技术服务方案</w:t>
            </w:r>
            <w:r>
              <w:rPr>
                <w:rFonts w:hint="eastAsia" w:ascii="仿宋" w:hAnsi="仿宋" w:eastAsia="仿宋" w:cs="仿宋"/>
                <w:color w:val="auto"/>
                <w:sz w:val="24"/>
                <w:szCs w:val="24"/>
                <w:highlight w:val="none"/>
                <w:lang w:val="en-US" w:eastAsia="zh-CN"/>
              </w:rPr>
              <w:t>：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356" w:type="pct"/>
            <w:shd w:val="clear" w:color="auto" w:fill="auto"/>
            <w:vAlign w:val="center"/>
          </w:tcPr>
          <w:p w14:paraId="D89D8362">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41" w:type="pct"/>
            <w:vAlign w:val="center"/>
          </w:tcPr>
          <w:p w14:paraId="7384B4C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主观</w:t>
            </w:r>
          </w:p>
        </w:tc>
        <w:tc>
          <w:tcPr>
            <w:tcW w:w="706" w:type="pct"/>
            <w:vAlign w:val="center"/>
          </w:tcPr>
          <w:p w14:paraId="B4700D8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服务方案</w:t>
            </w:r>
          </w:p>
        </w:tc>
      </w:tr>
      <w:tr w14:paraId="4370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D4C4972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3157" w:type="pct"/>
            <w:shd w:val="clear" w:color="auto" w:fill="auto"/>
            <w:vAlign w:val="center"/>
          </w:tcPr>
          <w:p w14:paraId="BBA7C998">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消防安全相关工作的专业技术指导和支撑</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szCs w:val="24"/>
                <w:highlight w:val="none"/>
                <w:lang w:val="en-US" w:eastAsia="zh-CN"/>
              </w:rPr>
              <w:t>：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356" w:type="pct"/>
            <w:shd w:val="clear" w:color="auto" w:fill="auto"/>
            <w:vAlign w:val="center"/>
          </w:tcPr>
          <w:p w14:paraId="022EE0B4">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41" w:type="pct"/>
            <w:shd w:val="clear" w:color="auto" w:fill="auto"/>
            <w:vAlign w:val="center"/>
          </w:tcPr>
          <w:p w14:paraId="50F6E2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E0A6BA9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服务方案</w:t>
            </w:r>
          </w:p>
        </w:tc>
      </w:tr>
      <w:tr w14:paraId="F435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D16FAD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3157" w:type="pct"/>
            <w:shd w:val="clear" w:color="auto" w:fill="auto"/>
            <w:vAlign w:val="center"/>
          </w:tcPr>
          <w:p w14:paraId="ADE3543A">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投标人是否有比较完善的组织架构</w:t>
            </w:r>
            <w:r>
              <w:rPr>
                <w:rFonts w:hint="eastAsia" w:ascii="仿宋" w:hAnsi="仿宋" w:eastAsia="仿宋" w:cs="仿宋"/>
                <w:b w:val="0"/>
                <w:bCs w:val="0"/>
                <w:color w:val="auto"/>
                <w:sz w:val="24"/>
                <w:szCs w:val="24"/>
                <w:highlight w:val="none"/>
                <w:lang w:val="en-US" w:eastAsia="en-US"/>
              </w:rPr>
              <w:t>（完善的得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en-US"/>
              </w:rPr>
              <w:t>分，较完善的得</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val="en-US" w:eastAsia="en-US"/>
              </w:rPr>
              <w:t>分，不够完善的得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en-US"/>
              </w:rPr>
              <w:t>分，明显欠缺的得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val="en-US" w:eastAsia="en-US"/>
              </w:rPr>
              <w:t>分，不提供不得分）</w:t>
            </w:r>
          </w:p>
        </w:tc>
        <w:tc>
          <w:tcPr>
            <w:tcW w:w="356" w:type="pct"/>
            <w:shd w:val="clear" w:color="auto" w:fill="auto"/>
            <w:vAlign w:val="center"/>
          </w:tcPr>
          <w:p w14:paraId="CE0C6889">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41" w:type="pct"/>
            <w:shd w:val="clear" w:color="auto" w:fill="auto"/>
            <w:vAlign w:val="center"/>
          </w:tcPr>
          <w:p w14:paraId="0793CDF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569748C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管理方案</w:t>
            </w:r>
          </w:p>
        </w:tc>
      </w:tr>
      <w:tr w14:paraId="42B1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2C5C8A9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3157" w:type="pct"/>
            <w:shd w:val="clear" w:color="auto" w:fill="auto"/>
            <w:vAlign w:val="center"/>
          </w:tcPr>
          <w:p w14:paraId="AF7770A9">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投标人是否能清晰简练地列出主要管理流程，包括运作流程、激励机制、监督机制、自我约束机制、信息反馈及处理等机制进行评审</w:t>
            </w:r>
            <w:r>
              <w:rPr>
                <w:rFonts w:hint="eastAsia" w:ascii="仿宋" w:hAnsi="仿宋" w:eastAsia="仿宋" w:cs="仿宋"/>
                <w:b w:val="0"/>
                <w:bCs w:val="0"/>
                <w:color w:val="auto"/>
                <w:sz w:val="24"/>
                <w:szCs w:val="24"/>
                <w:highlight w:val="none"/>
                <w:lang w:val="en-US" w:eastAsia="en-US"/>
              </w:rPr>
              <w:t>（完善的得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en-US"/>
              </w:rPr>
              <w:t>分，较完善的得</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val="en-US" w:eastAsia="en-US"/>
              </w:rPr>
              <w:t>分，不够完善的得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en-US"/>
              </w:rPr>
              <w:t>分，明显欠缺的得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val="en-US" w:eastAsia="en-US"/>
              </w:rPr>
              <w:t>分，不提供不得分）</w:t>
            </w:r>
          </w:p>
        </w:tc>
        <w:tc>
          <w:tcPr>
            <w:tcW w:w="356" w:type="pct"/>
            <w:shd w:val="clear" w:color="auto" w:fill="auto"/>
            <w:vAlign w:val="center"/>
          </w:tcPr>
          <w:p w14:paraId="ECBBDBA5">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41" w:type="pct"/>
            <w:shd w:val="clear" w:color="auto" w:fill="auto"/>
            <w:vAlign w:val="center"/>
          </w:tcPr>
          <w:p w14:paraId="EACEE2E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80E6631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管理方案</w:t>
            </w:r>
          </w:p>
        </w:tc>
      </w:tr>
      <w:tr w14:paraId="5363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D18DE2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3157" w:type="pct"/>
            <w:shd w:val="clear" w:color="auto" w:fill="auto"/>
            <w:vAlign w:val="center"/>
          </w:tcPr>
          <w:p w14:paraId="6616A8C0">
            <w:pPr>
              <w:snapToGrid/>
              <w:spacing w:line="320" w:lineRule="exact"/>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eastAsia="zh-CN"/>
              </w:rPr>
              <w:t>投标人是否具有阶段性的工作计划，经常性组织管理专业培训，保证服务质量等情况进行评审</w:t>
            </w:r>
            <w:r>
              <w:rPr>
                <w:rFonts w:hint="eastAsia" w:ascii="仿宋" w:hAnsi="仿宋" w:eastAsia="仿宋" w:cs="仿宋"/>
                <w:b w:val="0"/>
                <w:bCs w:val="0"/>
                <w:color w:val="auto"/>
                <w:sz w:val="24"/>
                <w:szCs w:val="24"/>
                <w:highlight w:val="none"/>
                <w:lang w:val="en-US" w:eastAsia="en-US"/>
              </w:rPr>
              <w:t>（完善的得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en-US"/>
              </w:rPr>
              <w:t>分，较完善的得</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val="en-US" w:eastAsia="en-US"/>
              </w:rPr>
              <w:t>分，不够完善的得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en-US"/>
              </w:rPr>
              <w:t>分，明显欠缺的得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val="en-US" w:eastAsia="en-US"/>
              </w:rPr>
              <w:t>分，不提供不得分）</w:t>
            </w:r>
          </w:p>
        </w:tc>
        <w:tc>
          <w:tcPr>
            <w:tcW w:w="356" w:type="pct"/>
            <w:shd w:val="clear" w:color="auto" w:fill="auto"/>
            <w:vAlign w:val="center"/>
          </w:tcPr>
          <w:p w14:paraId="5ED524DE">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41" w:type="pct"/>
            <w:shd w:val="clear" w:color="auto" w:fill="auto"/>
            <w:vAlign w:val="center"/>
          </w:tcPr>
          <w:p w14:paraId="3DAA939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D858419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管理方案</w:t>
            </w:r>
          </w:p>
        </w:tc>
      </w:tr>
      <w:tr w14:paraId="8075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8" w:type="pct"/>
            <w:vAlign w:val="center"/>
          </w:tcPr>
          <w:p w14:paraId="97580F7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3157" w:type="pct"/>
            <w:shd w:val="clear" w:color="auto" w:fill="auto"/>
            <w:vAlign w:val="center"/>
          </w:tcPr>
          <w:p w14:paraId="2E5453B1">
            <w:pPr>
              <w:snapToGrid/>
              <w:spacing w:line="320" w:lineRule="exact"/>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eastAsia="zh-CN"/>
              </w:rPr>
              <w:t>投标人是否具有较好、合理的保障任务措施进行评审</w:t>
            </w:r>
            <w:r>
              <w:rPr>
                <w:rFonts w:hint="eastAsia" w:ascii="仿宋" w:hAnsi="仿宋" w:eastAsia="仿宋" w:cs="仿宋"/>
                <w:b w:val="0"/>
                <w:bCs w:val="0"/>
                <w:color w:val="auto"/>
                <w:sz w:val="24"/>
                <w:szCs w:val="24"/>
                <w:highlight w:val="none"/>
                <w:lang w:val="en-US" w:eastAsia="en-US"/>
              </w:rPr>
              <w:t>（完善的得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en-US"/>
              </w:rPr>
              <w:t>分，较完善的得</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val="en-US" w:eastAsia="en-US"/>
              </w:rPr>
              <w:t>分，不够完善的得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en-US"/>
              </w:rPr>
              <w:t>分，明显欠缺的得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val="en-US" w:eastAsia="en-US"/>
              </w:rPr>
              <w:t>分，不提供不得分）</w:t>
            </w:r>
          </w:p>
        </w:tc>
        <w:tc>
          <w:tcPr>
            <w:tcW w:w="356" w:type="pct"/>
            <w:shd w:val="clear" w:color="auto" w:fill="auto"/>
            <w:vAlign w:val="center"/>
          </w:tcPr>
          <w:p w14:paraId="D5D3C789">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41" w:type="pct"/>
            <w:shd w:val="clear" w:color="auto" w:fill="auto"/>
            <w:vAlign w:val="center"/>
          </w:tcPr>
          <w:p w14:paraId="594562D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4EAE30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管理方案</w:t>
            </w:r>
          </w:p>
        </w:tc>
      </w:tr>
      <w:tr w14:paraId="201A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F29BC60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3157" w:type="pct"/>
            <w:shd w:val="clear" w:color="auto" w:fill="auto"/>
            <w:vAlign w:val="center"/>
          </w:tcPr>
          <w:p w14:paraId="74D68B32">
            <w:pPr>
              <w:snapToGrid/>
              <w:spacing w:line="32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的管理制度（包括①人事管理制度、②档案管理制度、③廉洁从业制度、④职业道德管理制度、⑤保密制度、⑥诚信守法制度等相关规章制度）的完善性进行综合评分，每具有一个完善有效的规章制度得2分，每具有一个基本完善有效的得1分，不完善的得0.5分，未提供的得0分，最高得12分。</w:t>
            </w:r>
          </w:p>
        </w:tc>
        <w:tc>
          <w:tcPr>
            <w:tcW w:w="356" w:type="pct"/>
            <w:shd w:val="clear" w:color="auto" w:fill="auto"/>
            <w:vAlign w:val="center"/>
          </w:tcPr>
          <w:p w14:paraId="F460BA2A">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441" w:type="pct"/>
            <w:shd w:val="clear" w:color="auto" w:fill="auto"/>
            <w:vAlign w:val="center"/>
          </w:tcPr>
          <w:p w14:paraId="71E1B29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ACBB9A8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管理方案</w:t>
            </w:r>
          </w:p>
        </w:tc>
      </w:tr>
      <w:tr w14:paraId="EBE1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E709E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3157" w:type="pct"/>
            <w:shd w:val="clear" w:color="auto" w:fill="auto"/>
            <w:vAlign w:val="center"/>
          </w:tcPr>
          <w:p w14:paraId="F91E24CB">
            <w:pPr>
              <w:snapToGrid/>
              <w:spacing w:line="32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en-US"/>
              </w:rPr>
              <w:t>投标人按采购人要求有明确的质量目标，提供质量保证措施，并具有详细可行的实施内容等；根据提供的方案内容进行打分。</w:t>
            </w:r>
            <w:r>
              <w:rPr>
                <w:rFonts w:hint="eastAsia" w:ascii="仿宋" w:hAnsi="仿宋" w:eastAsia="仿宋" w:cs="仿宋"/>
                <w:color w:val="auto"/>
                <w:sz w:val="24"/>
                <w:szCs w:val="24"/>
                <w:highlight w:val="none"/>
                <w:lang w:val="en-US" w:eastAsia="zh-CN"/>
              </w:rPr>
              <w:t>方案完整、可操作性强的得4分；方案较完整、可操作性较强得3分；方案完整性、可操作性一般得2分；方案不够完整、操作性存在不足的得1分；方案有较大欠缺的得0.5分；无方案不得分。</w:t>
            </w:r>
          </w:p>
        </w:tc>
        <w:tc>
          <w:tcPr>
            <w:tcW w:w="356" w:type="pct"/>
            <w:shd w:val="clear" w:color="auto" w:fill="auto"/>
            <w:vAlign w:val="center"/>
          </w:tcPr>
          <w:p w14:paraId="4E3A8148">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41" w:type="pct"/>
            <w:shd w:val="clear" w:color="auto" w:fill="auto"/>
            <w:vAlign w:val="center"/>
          </w:tcPr>
          <w:p w14:paraId="9049FC5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BED5AC2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质量保证措施</w:t>
            </w:r>
          </w:p>
        </w:tc>
      </w:tr>
      <w:tr w14:paraId="62C9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2D5562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3157" w:type="pct"/>
            <w:shd w:val="clear" w:color="auto" w:fill="auto"/>
            <w:vAlign w:val="center"/>
          </w:tcPr>
          <w:p w14:paraId="0DEE3EC4">
            <w:pPr>
              <w:snapToGrid/>
              <w:spacing w:line="320" w:lineRule="exact"/>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根据本项目特点制定安全监督管理方案</w:t>
            </w:r>
            <w:r>
              <w:rPr>
                <w:rFonts w:hint="eastAsia" w:ascii="仿宋" w:hAnsi="仿宋" w:eastAsia="仿宋" w:cs="仿宋"/>
                <w:b w:val="0"/>
                <w:bCs w:val="0"/>
                <w:color w:val="auto"/>
                <w:sz w:val="24"/>
                <w:szCs w:val="24"/>
                <w:highlight w:val="none"/>
                <w:lang w:val="en-US" w:eastAsia="en-US"/>
              </w:rPr>
              <w:t>（完善的得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en-US"/>
              </w:rPr>
              <w:t>分，较完善的得</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val="en-US" w:eastAsia="en-US"/>
              </w:rPr>
              <w:t>分，不够完善的得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en-US"/>
              </w:rPr>
              <w:t>分，明显欠缺的得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val="en-US" w:eastAsia="en-US"/>
              </w:rPr>
              <w:t>分，不提供不得分）</w:t>
            </w:r>
          </w:p>
        </w:tc>
        <w:tc>
          <w:tcPr>
            <w:tcW w:w="356" w:type="pct"/>
            <w:shd w:val="clear" w:color="auto" w:fill="auto"/>
            <w:vAlign w:val="center"/>
          </w:tcPr>
          <w:p w14:paraId="FD302C57">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41" w:type="pct"/>
            <w:shd w:val="clear" w:color="auto" w:fill="auto"/>
            <w:vAlign w:val="center"/>
          </w:tcPr>
          <w:p w14:paraId="64B38E8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9CB00F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安全方案</w:t>
            </w:r>
          </w:p>
        </w:tc>
      </w:tr>
      <w:tr w14:paraId="0320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7E0916C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3157" w:type="pct"/>
            <w:shd w:val="clear" w:color="auto" w:fill="auto"/>
            <w:vAlign w:val="center"/>
          </w:tcPr>
          <w:p w14:paraId="F1FA9C04">
            <w:pPr>
              <w:snapToGrid/>
              <w:spacing w:line="320" w:lineRule="exact"/>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其他风险分析及可行性控制方案。</w:t>
            </w:r>
            <w:r>
              <w:rPr>
                <w:rFonts w:hint="eastAsia" w:ascii="仿宋" w:hAnsi="仿宋" w:eastAsia="仿宋" w:cs="仿宋"/>
                <w:b w:val="0"/>
                <w:bCs w:val="0"/>
                <w:color w:val="auto"/>
                <w:sz w:val="24"/>
                <w:szCs w:val="24"/>
                <w:highlight w:val="none"/>
                <w:lang w:val="en-US" w:eastAsia="en-US"/>
              </w:rPr>
              <w:t>（完善的得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en-US"/>
              </w:rPr>
              <w:t>分，较完善的得</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val="en-US" w:eastAsia="en-US"/>
              </w:rPr>
              <w:t>分，不够完善的得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en-US"/>
              </w:rPr>
              <w:t>分，明显欠缺的得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val="en-US" w:eastAsia="en-US"/>
              </w:rPr>
              <w:t>分，不提供不得分）</w:t>
            </w:r>
          </w:p>
        </w:tc>
        <w:tc>
          <w:tcPr>
            <w:tcW w:w="356" w:type="pct"/>
            <w:shd w:val="clear" w:color="auto" w:fill="auto"/>
            <w:vAlign w:val="center"/>
          </w:tcPr>
          <w:p w14:paraId="45D58BBC">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41" w:type="pct"/>
            <w:shd w:val="clear" w:color="auto" w:fill="auto"/>
            <w:vAlign w:val="center"/>
          </w:tcPr>
          <w:p w14:paraId="D272923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2E2F75B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安全方案</w:t>
            </w:r>
          </w:p>
        </w:tc>
      </w:tr>
      <w:tr w14:paraId="EE95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883B13F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17</w:t>
            </w:r>
          </w:p>
        </w:tc>
        <w:tc>
          <w:tcPr>
            <w:tcW w:w="3157" w:type="pct"/>
            <w:shd w:val="clear" w:color="auto" w:fill="auto"/>
            <w:vAlign w:val="center"/>
          </w:tcPr>
          <w:p w14:paraId="4597E24A">
            <w:pPr>
              <w:snapToGrid/>
              <w:spacing w:line="320" w:lineRule="exact"/>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人员上岗前的培训方案，包括培训方式、培训内容等，方案完善、完全满足或超出项目需求的，得3分；基本满足项目需求的得，视方案优秀程度得2分；勉强满足项目需求的，存在部分不够完善合理的，得1分；未提供相关服务方案的不得分。</w:t>
            </w:r>
          </w:p>
        </w:tc>
        <w:tc>
          <w:tcPr>
            <w:tcW w:w="356" w:type="pct"/>
            <w:shd w:val="clear" w:color="auto" w:fill="auto"/>
            <w:vAlign w:val="center"/>
          </w:tcPr>
          <w:p w14:paraId="18C103FB">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41" w:type="pct"/>
            <w:shd w:val="clear" w:color="auto" w:fill="auto"/>
            <w:vAlign w:val="center"/>
          </w:tcPr>
          <w:p w14:paraId="F089D5D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28BAD60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培训方案</w:t>
            </w:r>
          </w:p>
        </w:tc>
      </w:tr>
      <w:tr w14:paraId="4AC0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5471E8B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3157" w:type="pct"/>
            <w:shd w:val="clear" w:color="auto" w:fill="auto"/>
            <w:vAlign w:val="center"/>
          </w:tcPr>
          <w:p w14:paraId="B01C0F66">
            <w:pPr>
              <w:snapToGrid/>
              <w:spacing w:line="320" w:lineRule="exact"/>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提供对街道范围内企业进行</w:t>
            </w:r>
            <w:r>
              <w:rPr>
                <w:rFonts w:hint="eastAsia" w:ascii="仿宋" w:hAnsi="仿宋" w:eastAsia="仿宋" w:cs="仿宋"/>
                <w:color w:val="auto"/>
                <w:sz w:val="24"/>
                <w:szCs w:val="24"/>
                <w:highlight w:val="none"/>
                <w:lang w:val="en-US" w:eastAsia="zh-CN"/>
              </w:rPr>
              <w:t>安全生产</w:t>
            </w:r>
            <w:r>
              <w:rPr>
                <w:rFonts w:hint="eastAsia" w:ascii="仿宋" w:hAnsi="仿宋" w:eastAsia="仿宋" w:cs="仿宋"/>
                <w:color w:val="auto"/>
                <w:sz w:val="24"/>
                <w:szCs w:val="24"/>
                <w:highlight w:val="none"/>
                <w:lang w:val="en-US" w:eastAsia="en-US"/>
              </w:rPr>
              <w:t>相关的业务及知识培训。包括培训方式、培训师资、培训内容等方面提供相关方案。方案完善、完全满足或超出项目需求的，得3分；基本满足项目需求的得，视方案优秀程度得2分；勉强满足项目需求的，存在部分不够完善合理的，得1分；未提供相关服务方案的不得分。</w:t>
            </w:r>
          </w:p>
        </w:tc>
        <w:tc>
          <w:tcPr>
            <w:tcW w:w="356" w:type="pct"/>
            <w:shd w:val="clear" w:color="auto" w:fill="auto"/>
            <w:vAlign w:val="center"/>
          </w:tcPr>
          <w:p w14:paraId="A85B4029">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41" w:type="pct"/>
            <w:shd w:val="clear" w:color="auto" w:fill="auto"/>
            <w:vAlign w:val="center"/>
          </w:tcPr>
          <w:p w14:paraId="680BE83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D495FE4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培训方案</w:t>
            </w:r>
          </w:p>
        </w:tc>
      </w:tr>
      <w:tr w14:paraId="5BB6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BA9AF7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19</w:t>
            </w:r>
          </w:p>
        </w:tc>
        <w:tc>
          <w:tcPr>
            <w:tcW w:w="3157" w:type="pct"/>
            <w:shd w:val="clear" w:color="auto" w:fill="auto"/>
            <w:vAlign w:val="center"/>
          </w:tcPr>
          <w:p w14:paraId="D3813DF7">
            <w:pPr>
              <w:snapToGrid/>
              <w:spacing w:line="320" w:lineRule="exact"/>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eastAsia="en-US"/>
              </w:rPr>
              <w:t>针对本项目制订相关应急预案，能及时完成采购人的突发、应急保障任务。</w:t>
            </w:r>
            <w:r>
              <w:rPr>
                <w:rFonts w:hint="eastAsia" w:ascii="仿宋" w:hAnsi="仿宋" w:eastAsia="仿宋" w:cs="仿宋"/>
                <w:b w:val="0"/>
                <w:bCs w:val="0"/>
                <w:color w:val="auto"/>
                <w:sz w:val="24"/>
                <w:szCs w:val="24"/>
                <w:highlight w:val="none"/>
                <w:lang w:val="en-US" w:eastAsia="en-US"/>
              </w:rPr>
              <w:t>（完善的得4分，较完善的得3分，不够完善的得2分，明显欠缺的得1分，不提供不得分）</w:t>
            </w:r>
          </w:p>
        </w:tc>
        <w:tc>
          <w:tcPr>
            <w:tcW w:w="356" w:type="pct"/>
            <w:shd w:val="clear" w:color="auto" w:fill="auto"/>
            <w:vAlign w:val="center"/>
          </w:tcPr>
          <w:p w14:paraId="CEF58550">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41" w:type="pct"/>
            <w:shd w:val="clear" w:color="auto" w:fill="auto"/>
            <w:vAlign w:val="center"/>
          </w:tcPr>
          <w:p w14:paraId="FF7C597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D5C5A66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应急预案</w:t>
            </w:r>
          </w:p>
        </w:tc>
      </w:tr>
      <w:tr w14:paraId="523B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B759AC4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20</w:t>
            </w:r>
          </w:p>
        </w:tc>
        <w:tc>
          <w:tcPr>
            <w:tcW w:w="3157" w:type="pct"/>
            <w:shd w:val="clear" w:color="auto" w:fill="auto"/>
            <w:vAlign w:val="center"/>
          </w:tcPr>
          <w:p w14:paraId="01BFC060">
            <w:pPr>
              <w:snapToGrid/>
              <w:spacing w:line="320" w:lineRule="exact"/>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投标人针对本项目有完整合理的问题整改工作流程：方案完整、可操作性强的得</w:t>
            </w:r>
            <w:r>
              <w:rPr>
                <w:rFonts w:hint="default"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en-US"/>
              </w:rPr>
              <w:t>分；方案较完整、可操作性较强得</w:t>
            </w: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en-US"/>
              </w:rPr>
              <w:t>分；方案完整性、可操作性一般得</w:t>
            </w:r>
            <w:r>
              <w:rPr>
                <w:rFonts w:hint="default"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en-US"/>
              </w:rPr>
              <w:t>分；方案不够完整、操作性存在不足的得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en-US"/>
              </w:rPr>
              <w:t>分；方案有较大欠缺的得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en-US" w:eastAsia="en-US"/>
              </w:rPr>
              <w:t>分；无方案不得分。</w:t>
            </w:r>
          </w:p>
        </w:tc>
        <w:tc>
          <w:tcPr>
            <w:tcW w:w="356" w:type="pct"/>
            <w:shd w:val="clear" w:color="auto" w:fill="auto"/>
            <w:vAlign w:val="center"/>
          </w:tcPr>
          <w:p w14:paraId="C6C796D6">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w:t>
            </w:r>
          </w:p>
        </w:tc>
        <w:tc>
          <w:tcPr>
            <w:tcW w:w="441" w:type="pct"/>
            <w:shd w:val="clear" w:color="auto" w:fill="auto"/>
            <w:vAlign w:val="center"/>
          </w:tcPr>
          <w:p w14:paraId="B13E02A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主观</w:t>
            </w:r>
          </w:p>
        </w:tc>
        <w:tc>
          <w:tcPr>
            <w:tcW w:w="706" w:type="pct"/>
            <w:shd w:val="clear" w:color="auto" w:fill="auto"/>
            <w:vAlign w:val="center"/>
          </w:tcPr>
          <w:p w14:paraId="C2811EA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问题整改流程</w:t>
            </w:r>
          </w:p>
        </w:tc>
      </w:tr>
      <w:tr w14:paraId="2470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1CA96B7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21</w:t>
            </w:r>
          </w:p>
        </w:tc>
        <w:tc>
          <w:tcPr>
            <w:tcW w:w="3157" w:type="pct"/>
            <w:shd w:val="clear" w:color="auto" w:fill="auto"/>
            <w:vAlign w:val="center"/>
          </w:tcPr>
          <w:p w14:paraId="E2B49ACB">
            <w:pPr>
              <w:keepNext w:val="0"/>
              <w:keepLines w:val="0"/>
              <w:pageBreakBefore w:val="0"/>
              <w:widowControl w:val="0"/>
              <w:kinsoku/>
              <w:wordWrap/>
              <w:overflowPunct/>
              <w:topLinePunct w:val="0"/>
              <w:autoSpaceDE/>
              <w:autoSpaceDN/>
              <w:bidi w:val="0"/>
              <w:adjustRightInd w:val="0"/>
              <w:spacing w:line="320" w:lineRule="exact"/>
              <w:jc w:val="left"/>
              <w:textAlignment w:val="auto"/>
              <w:outlineLvl w:val="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防止人员意外情况或重大过失的预防方案、人员替补力量及方案进行评分。</w:t>
            </w:r>
            <w:r>
              <w:rPr>
                <w:rFonts w:hint="eastAsia" w:ascii="仿宋" w:hAnsi="仿宋" w:eastAsia="仿宋" w:cs="仿宋"/>
                <w:snapToGrid w:val="0"/>
                <w:color w:val="auto"/>
                <w:kern w:val="2"/>
                <w:sz w:val="24"/>
                <w:szCs w:val="24"/>
                <w:highlight w:val="none"/>
                <w:lang w:val="en-US" w:eastAsia="zh-CN" w:bidi="ar-SA"/>
              </w:rPr>
              <w:t>方案合理，符合采购需求，针对性强的得3分；方案基本可行、符合采购需求，针对性较强的得2分；方案一般，基本符合采购需求，针对性一般的得1分；方案不完整，部分符合采购需求，针对性有欠缺的得0.5分；方案未提及、不符合采购需求，没有针对性的不得分。</w:t>
            </w:r>
          </w:p>
        </w:tc>
        <w:tc>
          <w:tcPr>
            <w:tcW w:w="356" w:type="pct"/>
            <w:shd w:val="clear" w:color="auto" w:fill="auto"/>
            <w:vAlign w:val="center"/>
          </w:tcPr>
          <w:p w14:paraId="B52DFA68">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41" w:type="pct"/>
            <w:vAlign w:val="center"/>
          </w:tcPr>
          <w:p w14:paraId="484B1B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bCs/>
                <w:color w:val="auto"/>
                <w:sz w:val="24"/>
                <w:highlight w:val="none"/>
              </w:rPr>
              <w:t>主观</w:t>
            </w:r>
          </w:p>
        </w:tc>
        <w:tc>
          <w:tcPr>
            <w:tcW w:w="706" w:type="pct"/>
            <w:vAlign w:val="center"/>
          </w:tcPr>
          <w:p w14:paraId="9E0DCC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lang w:val="en-US" w:eastAsia="zh-CN"/>
              </w:rPr>
              <w:t>人员保障</w:t>
            </w:r>
          </w:p>
        </w:tc>
      </w:tr>
      <w:tr w14:paraId="F2BF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100676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22</w:t>
            </w:r>
          </w:p>
        </w:tc>
        <w:tc>
          <w:tcPr>
            <w:tcW w:w="3157" w:type="pct"/>
            <w:shd w:val="clear" w:color="auto" w:fill="auto"/>
            <w:vAlign w:val="center"/>
          </w:tcPr>
          <w:p w14:paraId="D6241DD6">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根据投标人对本项目的合理化建议的可行性、实用性等综合评定；</w:t>
            </w:r>
            <w:r>
              <w:rPr>
                <w:rFonts w:hint="eastAsia" w:ascii="仿宋" w:hAnsi="仿宋" w:eastAsia="仿宋" w:cs="仿宋"/>
                <w:snapToGrid w:val="0"/>
                <w:color w:val="auto"/>
                <w:kern w:val="2"/>
                <w:sz w:val="24"/>
                <w:szCs w:val="24"/>
                <w:highlight w:val="none"/>
                <w:lang w:val="en-US" w:eastAsia="zh-CN" w:bidi="ar-SA"/>
              </w:rPr>
              <w:t>建议合理，符合采购需求，针对性强的得3分；建议基本可行、符合采购需求，针对性较强的得2分；建议一般，基本符合采购需求，针对性一般的得1分；建议不完整，部分符合采购需求，针对性有欠缺的得0.5分；建议未提及、不符合采购需求，没有针对性的不得分。</w:t>
            </w:r>
          </w:p>
        </w:tc>
        <w:tc>
          <w:tcPr>
            <w:tcW w:w="356" w:type="pct"/>
            <w:shd w:val="clear" w:color="auto" w:fill="auto"/>
            <w:vAlign w:val="center"/>
          </w:tcPr>
          <w:p w14:paraId="19A39ABE">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41" w:type="pct"/>
            <w:vAlign w:val="center"/>
          </w:tcPr>
          <w:p w14:paraId="A5A5B16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bCs/>
                <w:color w:val="auto"/>
                <w:sz w:val="24"/>
                <w:highlight w:val="none"/>
              </w:rPr>
              <w:t>主观</w:t>
            </w:r>
          </w:p>
        </w:tc>
        <w:tc>
          <w:tcPr>
            <w:tcW w:w="706" w:type="pct"/>
            <w:vAlign w:val="center"/>
          </w:tcPr>
          <w:p w14:paraId="861D7DD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lang w:val="en-US" w:eastAsia="zh-CN"/>
              </w:rPr>
              <w:t>合理化建议</w:t>
            </w:r>
          </w:p>
        </w:tc>
      </w:tr>
      <w:tr w14:paraId="653D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E4A3458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23</w:t>
            </w:r>
          </w:p>
        </w:tc>
        <w:tc>
          <w:tcPr>
            <w:tcW w:w="3157" w:type="pct"/>
            <w:shd w:val="clear" w:color="auto" w:fill="auto"/>
            <w:vAlign w:val="center"/>
          </w:tcPr>
          <w:p w14:paraId="91177002">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sz w:val="24"/>
                <w:highlight w:val="none"/>
              </w:rPr>
              <w:t>针对本项目提出的优惠和附加服务，需切实有利具有实质性意义。根据投标人提供的优惠服务方案能否有利于采购需求判定评分，内容完整、措施有效、符合采购人实际需求等综合评定。方案考虑充分安排有效得5分，方案合理安排较充分有效的得4分，方案内容安排一般得3分，方案内容简单，安排不充分的得2分，方案内容有缺失，可行性不高的得1分，无方案得0分。</w:t>
            </w:r>
          </w:p>
        </w:tc>
        <w:tc>
          <w:tcPr>
            <w:tcW w:w="356" w:type="pct"/>
            <w:shd w:val="clear" w:color="auto" w:fill="auto"/>
            <w:vAlign w:val="center"/>
          </w:tcPr>
          <w:p w14:paraId="C82302B8">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41" w:type="pct"/>
            <w:vAlign w:val="center"/>
          </w:tcPr>
          <w:p w14:paraId="D96EE90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主观</w:t>
            </w:r>
          </w:p>
        </w:tc>
        <w:tc>
          <w:tcPr>
            <w:tcW w:w="706" w:type="pct"/>
            <w:vAlign w:val="center"/>
          </w:tcPr>
          <w:p w14:paraId="0807442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其他服务</w:t>
            </w:r>
          </w:p>
        </w:tc>
      </w:tr>
      <w:tr w14:paraId="A87B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789480B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24</w:t>
            </w:r>
          </w:p>
        </w:tc>
        <w:tc>
          <w:tcPr>
            <w:tcW w:w="3157" w:type="pct"/>
            <w:vAlign w:val="center"/>
          </w:tcPr>
          <w:p w14:paraId="7FF7656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rPr>
              <w:t>10</w:t>
            </w:r>
            <w:r>
              <w:rPr>
                <w:rFonts w:ascii="仿宋" w:hAnsi="仿宋" w:eastAsia="仿宋" w:cs="仿宋_GB2312"/>
                <w:color w:val="auto"/>
                <w:sz w:val="24"/>
                <w:highlight w:val="none"/>
              </w:rPr>
              <w:t>］的计算公式计算。</w:t>
            </w:r>
          </w:p>
          <w:p w14:paraId="41E6EC4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14:paraId="899FFAE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对于未预留份额专门面向中小企业的政府采购服务项目，以及预留份额政府采购服务项目中的非预留部分标项，对小型和微型企业的投标报价给予1</w:t>
            </w:r>
            <w:r>
              <w:rPr>
                <w:rFonts w:ascii="仿宋" w:hAnsi="仿宋" w:eastAsia="仿宋" w:cs="仿宋_GB2312"/>
                <w:color w:val="auto"/>
                <w:sz w:val="24"/>
                <w:highlight w:val="none"/>
              </w:rPr>
              <w:t>0</w:t>
            </w:r>
            <w:r>
              <w:rPr>
                <w:rFonts w:hint="eastAsia" w:ascii="仿宋" w:hAnsi="仿宋" w:eastAsia="仿宋" w:cs="仿宋_GB2312"/>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%的扣除，用扣除后的价格参加评审</w:t>
            </w:r>
            <w:r>
              <w:rPr>
                <w:rFonts w:ascii="仿宋" w:hAnsi="仿宋" w:eastAsia="仿宋" w:cs="仿宋_GB2312"/>
                <w:color w:val="auto"/>
                <w:sz w:val="24"/>
                <w:highlight w:val="none"/>
              </w:rPr>
              <w:t>。</w:t>
            </w:r>
          </w:p>
        </w:tc>
        <w:tc>
          <w:tcPr>
            <w:tcW w:w="356" w:type="pct"/>
            <w:vAlign w:val="center"/>
          </w:tcPr>
          <w:p w14:paraId="64B007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441" w:type="pct"/>
            <w:vAlign w:val="center"/>
          </w:tcPr>
          <w:p w14:paraId="7F2B59C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706" w:type="pct"/>
            <w:vAlign w:val="center"/>
          </w:tcPr>
          <w:p w14:paraId="3247325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14:paraId="C42C1772">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D99A9FA8">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BAD8B9A7">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C943024A">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C66D0B2">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443DD1A7">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9ED10F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BDFECB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29C1BE9">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EB0EBB3B">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DBBF03F">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9389F880">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9AA0F2E">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C7B759F3">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E7FBD18E">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4412863">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ABA1CC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A35E492">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80C9719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w:t>
      </w:r>
      <w:r>
        <w:rPr>
          <w:rFonts w:hint="eastAsia" w:ascii="仿宋" w:hAnsi="仿宋" w:eastAsia="仿宋" w:cs="仿宋"/>
          <w:color w:val="auto"/>
          <w:kern w:val="0"/>
          <w:szCs w:val="24"/>
          <w:highlight w:val="none"/>
          <w:lang w:eastAsia="zh-CN"/>
        </w:rPr>
        <w:t>查的</w:t>
      </w:r>
      <w:r>
        <w:rPr>
          <w:rFonts w:hint="eastAsia" w:ascii="仿宋" w:hAnsi="仿宋" w:eastAsia="仿宋" w:cs="仿宋"/>
          <w:color w:val="auto"/>
          <w:kern w:val="0"/>
          <w:szCs w:val="24"/>
          <w:highlight w:val="none"/>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C082FBDD">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CFAF4731">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BEF0991">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B9C70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7099A6">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C17E33D6">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BFC12B1D">
      <w:pPr>
        <w:pStyle w:val="2"/>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E353C06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BB241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FED492C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1D158F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C212D2F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D630A04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859513C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E59B1DB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FFD37C7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D9C68E3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9D3558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7CBD368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CFEED62">
      <w:pPr>
        <w:spacing w:line="360" w:lineRule="auto"/>
        <w:ind w:firstLine="480" w:firstLineChars="200"/>
        <w:rPr>
          <w:rFonts w:ascii="仿宋" w:hAnsi="仿宋" w:eastAsia="仿宋" w:cs="仿宋"/>
          <w:color w:val="auto"/>
          <w:kern w:val="0"/>
          <w:sz w:val="24"/>
          <w:highlight w:val="none"/>
        </w:rPr>
      </w:pPr>
      <w:r>
        <w:rPr>
          <w:rFonts w:hint="eastAsia" w:ascii="仿宋" w:eastAsia="仿宋" w:cs="仿宋"/>
          <w:color w:val="auto"/>
          <w:kern w:val="0"/>
          <w:sz w:val="24"/>
          <w:highlight w:val="none"/>
        </w:rPr>
        <w:t>4.2.13投标文件不满足招标文件的其它实质性要求的；</w:t>
      </w:r>
    </w:p>
    <w:p w14:paraId="B0F7144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3CBE722">
      <w:pPr>
        <w:pStyle w:val="2"/>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187014C">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8CAF68A">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8F414BC2">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ADB36B37">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451F303">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DB6307F0">
      <w:pPr>
        <w:pStyle w:val="2"/>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8C9B7A">
      <w:pPr>
        <w:pStyle w:val="2"/>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F340029C">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DDEFE54F">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8BF28825">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CE087436">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4F35576">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93" w:name="_Toc86217003"/>
    </w:p>
    <w:p w14:paraId="19C6462A">
      <w:pPr>
        <w:spacing w:line="360" w:lineRule="auto"/>
        <w:ind w:left="720" w:leftChars="343" w:firstLine="1084" w:firstLineChars="300"/>
        <w:outlineLvl w:val="0"/>
        <w:rPr>
          <w:rFonts w:ascii="仿宋" w:hAnsi="仿宋" w:eastAsia="仿宋" w:cs="仿宋"/>
          <w:b/>
          <w:color w:val="auto"/>
          <w:sz w:val="36"/>
          <w:szCs w:val="36"/>
          <w:highlight w:val="none"/>
        </w:rPr>
        <w:sectPr>
          <w:pgSz w:w="11907" w:h="16840"/>
          <w:pgMar w:top="1474" w:right="1814" w:bottom="1474" w:left="1814" w:header="851" w:footer="851" w:gutter="0"/>
          <w:cols w:space="720" w:num="1"/>
        </w:sectPr>
      </w:pPr>
    </w:p>
    <w:p w14:paraId="86E6126E">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362"/>
          <w:kern w:val="0"/>
          <w:sz w:val="36"/>
          <w:szCs w:val="36"/>
          <w:highlight w:val="none"/>
          <w:fitText w:val="1444" w:id="-982737663"/>
        </w:rPr>
        <w:t>分</w:t>
      </w:r>
      <w:r>
        <w:rPr>
          <w:rFonts w:hint="eastAsia" w:ascii="仿宋" w:hAnsi="仿宋" w:eastAsia="仿宋" w:cs="仿宋"/>
          <w:b/>
          <w:color w:val="auto"/>
          <w:spacing w:val="0"/>
          <w:kern w:val="0"/>
          <w:sz w:val="36"/>
          <w:szCs w:val="36"/>
          <w:highlight w:val="none"/>
          <w:fitText w:val="1444" w:id="-982737663"/>
        </w:rPr>
        <w:t>拟</w:t>
      </w:r>
      <w:r>
        <w:rPr>
          <w:rFonts w:hint="eastAsia" w:ascii="仿宋" w:hAnsi="仿宋" w:eastAsia="仿宋" w:cs="仿宋"/>
          <w:b/>
          <w:color w:val="auto"/>
          <w:sz w:val="36"/>
          <w:szCs w:val="36"/>
          <w:highlight w:val="none"/>
        </w:rPr>
        <w:t>签订的合同文本</w:t>
      </w:r>
    </w:p>
    <w:p w14:paraId="8E8AC2DB">
      <w:pPr>
        <w:spacing w:line="72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24C66C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0783ACC">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963ABB6C">
      <w:pPr>
        <w:pStyle w:val="701"/>
        <w:spacing w:line="1200" w:lineRule="auto"/>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w:t>
      </w:r>
      <w:r>
        <w:rPr>
          <w:rFonts w:hint="eastAsia" w:ascii="仿宋" w:hAnsi="仿宋" w:eastAsia="仿宋" w:cs="仿宋"/>
          <w:b/>
          <w:color w:val="auto"/>
          <w:spacing w:val="242"/>
          <w:kern w:val="0"/>
          <w:szCs w:val="24"/>
          <w:highlight w:val="none"/>
          <w:fitText w:val="964" w:id="-982737661"/>
        </w:rPr>
        <w:t>分</w:t>
      </w:r>
      <w:r>
        <w:rPr>
          <w:rFonts w:hint="eastAsia" w:ascii="仿宋" w:hAnsi="仿宋" w:eastAsia="仿宋" w:cs="仿宋"/>
          <w:b/>
          <w:color w:val="auto"/>
          <w:spacing w:val="0"/>
          <w:kern w:val="0"/>
          <w:szCs w:val="24"/>
          <w:highlight w:val="none"/>
          <w:fitText w:val="964" w:id="-982737661"/>
        </w:rPr>
        <w:t>合</w:t>
      </w:r>
      <w:r>
        <w:rPr>
          <w:rFonts w:hint="eastAsia" w:ascii="仿宋" w:hAnsi="仿宋" w:eastAsia="仿宋" w:cs="仿宋"/>
          <w:b/>
          <w:color w:val="auto"/>
          <w:szCs w:val="24"/>
          <w:highlight w:val="none"/>
        </w:rPr>
        <w:t>同书</w:t>
      </w:r>
    </w:p>
    <w:p w14:paraId="3AD92627">
      <w:pPr>
        <w:spacing w:before="120" w:line="1200" w:lineRule="auto"/>
        <w:ind w:left="958"/>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浦沿街道安全生产技术服务</w:t>
      </w:r>
      <w:r>
        <w:rPr>
          <w:rFonts w:hint="eastAsia" w:ascii="仿宋" w:hAnsi="仿宋" w:eastAsia="仿宋" w:cs="仿宋"/>
          <w:color w:val="auto"/>
          <w:sz w:val="24"/>
          <w:highlight w:val="none"/>
          <w:u w:val="single"/>
        </w:rPr>
        <w:t xml:space="preserve">  </w:t>
      </w:r>
    </w:p>
    <w:p w14:paraId="B1260875">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杭州市滨江区人民政府浦沿街道办事处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58A7150">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13FE428">
      <w:pPr>
        <w:spacing w:before="120" w:line="72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953C628">
      <w:pPr>
        <w:spacing w:before="120" w:line="22" w:lineRule="atLeast"/>
        <w:ind w:firstLine="960" w:firstLineChars="400"/>
        <w:rPr>
          <w:rFonts w:ascii="仿宋" w:hAnsi="仿宋" w:eastAsia="仿宋" w:cs="仿宋"/>
          <w:color w:val="auto"/>
          <w:sz w:val="24"/>
          <w:highlight w:val="none"/>
          <w:u w:val="single"/>
        </w:rPr>
        <w:sectPr>
          <w:pgSz w:w="11907" w:h="16840"/>
          <w:pgMar w:top="1474" w:right="1814" w:bottom="1474" w:left="1814" w:header="851" w:footer="851" w:gutter="0"/>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D3CC41C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杭州市滨江区人民政府浦沿街道办事处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公开招标的</w:t>
      </w:r>
      <w:r>
        <w:rPr>
          <w:rFonts w:hint="eastAsia" w:ascii="仿宋" w:hAnsi="仿宋" w:eastAsia="仿宋" w:cs="仿宋"/>
          <w:color w:val="auto"/>
          <w:sz w:val="24"/>
          <w:highlight w:val="none"/>
          <w:u w:val="single"/>
        </w:rPr>
        <w:t xml:space="preserve">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浦沿街道安全生产技术服务</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CBFCEA7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杭州市滨江区人民政府浦沿街道办事处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 xml:space="preserve">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F5382C5">
      <w:pPr>
        <w:spacing w:line="560" w:lineRule="exact"/>
        <w:ind w:firstLine="482" w:firstLineChars="200"/>
        <w:outlineLvl w:val="0"/>
        <w:rPr>
          <w:rFonts w:ascii="仿宋" w:hAnsi="仿宋" w:eastAsia="仿宋" w:cs="仿宋"/>
          <w:color w:val="auto"/>
          <w:sz w:val="24"/>
          <w:highlight w:val="none"/>
        </w:rPr>
      </w:pPr>
      <w:bookmarkStart w:id="394" w:name="_Toc20421"/>
      <w:bookmarkStart w:id="395" w:name="_Toc15367"/>
      <w:bookmarkStart w:id="396" w:name="_Toc22967"/>
      <w:bookmarkStart w:id="397" w:name="_Toc28855"/>
      <w:bookmarkStart w:id="398" w:name="_Toc19273"/>
      <w:r>
        <w:rPr>
          <w:rFonts w:hint="eastAsia" w:ascii="仿宋" w:hAnsi="仿宋" w:eastAsia="仿宋" w:cs="仿宋"/>
          <w:b/>
          <w:color w:val="auto"/>
          <w:sz w:val="24"/>
          <w:highlight w:val="none"/>
        </w:rPr>
        <w:t>1.1合同组成部分</w:t>
      </w:r>
      <w:bookmarkEnd w:id="394"/>
      <w:bookmarkEnd w:id="395"/>
      <w:bookmarkEnd w:id="396"/>
      <w:bookmarkEnd w:id="397"/>
      <w:bookmarkEnd w:id="398"/>
    </w:p>
    <w:p w14:paraId="D17A84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F9EC4F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D5F29D3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F16C04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345B553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2D52BC0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FE5FCBD0">
      <w:pPr>
        <w:spacing w:line="560" w:lineRule="exact"/>
        <w:ind w:firstLine="482" w:firstLineChars="200"/>
        <w:outlineLvl w:val="0"/>
        <w:rPr>
          <w:rFonts w:ascii="仿宋" w:hAnsi="仿宋" w:eastAsia="仿宋" w:cs="仿宋"/>
          <w:b/>
          <w:color w:val="auto"/>
          <w:sz w:val="24"/>
          <w:highlight w:val="none"/>
        </w:rPr>
      </w:pPr>
      <w:bookmarkStart w:id="399" w:name="_Toc2918"/>
      <w:bookmarkStart w:id="400" w:name="_Toc6311"/>
      <w:bookmarkStart w:id="401" w:name="_Toc18585"/>
      <w:bookmarkStart w:id="402" w:name="_Toc6773"/>
      <w:bookmarkStart w:id="403" w:name="_Toc22185"/>
      <w:r>
        <w:rPr>
          <w:rFonts w:hint="eastAsia" w:ascii="仿宋" w:hAnsi="仿宋" w:eastAsia="仿宋" w:cs="仿宋"/>
          <w:b/>
          <w:color w:val="auto"/>
          <w:sz w:val="24"/>
          <w:highlight w:val="none"/>
        </w:rPr>
        <w:t>1.2标的</w:t>
      </w:r>
      <w:bookmarkEnd w:id="399"/>
      <w:bookmarkEnd w:id="400"/>
      <w:bookmarkEnd w:id="401"/>
      <w:bookmarkEnd w:id="402"/>
      <w:bookmarkEnd w:id="403"/>
    </w:p>
    <w:p w14:paraId="9A4E50C4">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采购文件采购需求部分内容 </w:t>
      </w:r>
      <w:r>
        <w:rPr>
          <w:rFonts w:hint="eastAsia" w:ascii="仿宋" w:hAnsi="仿宋" w:eastAsia="仿宋" w:cs="仿宋"/>
          <w:color w:val="auto"/>
          <w:sz w:val="24"/>
          <w:highlight w:val="none"/>
        </w:rPr>
        <w:t>；</w:t>
      </w:r>
    </w:p>
    <w:p w14:paraId="E4418E0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 xml:space="preserve"> 根据采购文件确定的技术指标或者服务要求确定验收指标和标准。未进行相应约定的，应当符合国家强制性规定、政策要求、安全标准、行业或企业有关标准等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199D5852">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AE6A277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3953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（是/否）涉及货物。若涉及货物的，则：</w:t>
      </w:r>
    </w:p>
    <w:p w14:paraId="D57A9191">
      <w:pPr>
        <w:spacing w:line="560" w:lineRule="exact"/>
        <w:ind w:firstLine="480" w:firstLineChars="200"/>
        <w:rPr>
          <w:rFonts w:ascii="仿宋" w:hAnsi="仿宋" w:eastAsia="仿宋" w:cs="仿宋"/>
          <w:color w:val="auto"/>
          <w:sz w:val="24"/>
          <w:highlight w:val="none"/>
          <w:u w:val="single"/>
        </w:rPr>
      </w:pPr>
      <w:bookmarkStart w:id="404" w:name="_Toc5635"/>
      <w:bookmarkStart w:id="405" w:name="_Toc1386"/>
      <w:bookmarkStart w:id="406" w:name="_Toc13918"/>
      <w:bookmarkStart w:id="407" w:name="_Toc4929"/>
      <w:bookmarkStart w:id="408" w:name="_Toc21124"/>
      <w:r>
        <w:rPr>
          <w:rFonts w:hint="eastAsia" w:ascii="仿宋" w:hAnsi="仿宋" w:eastAsia="仿宋" w:cs="仿宋"/>
          <w:color w:val="auto"/>
          <w:sz w:val="24"/>
          <w:highlight w:val="none"/>
        </w:rPr>
        <w:t>1.2.5.1货物名称、品牌、规格型号、花色：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ED52F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CEDD383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D48667">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404"/>
      <w:bookmarkEnd w:id="405"/>
      <w:bookmarkEnd w:id="406"/>
      <w:bookmarkEnd w:id="407"/>
      <w:bookmarkEnd w:id="408"/>
    </w:p>
    <w:p w14:paraId="EB93417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8C6F48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842C1D7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4420"/>
        <w:gridCol w:w="3310"/>
      </w:tblGrid>
      <w:tr w14:paraId="4E6E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5" w:type="pct"/>
            <w:vAlign w:val="center"/>
          </w:tcPr>
          <w:p w14:paraId="F659E760">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80" w:type="pct"/>
            <w:vAlign w:val="center"/>
          </w:tcPr>
          <w:p w14:paraId="A3FDAAC4">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1783" w:type="pct"/>
            <w:vAlign w:val="center"/>
          </w:tcPr>
          <w:p w14:paraId="9AE7D742">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9DAD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5" w:type="pct"/>
            <w:vAlign w:val="center"/>
          </w:tcPr>
          <w:p w14:paraId="FE52EC2C">
            <w:pPr>
              <w:pStyle w:val="319"/>
              <w:spacing w:line="5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80" w:type="pct"/>
            <w:vAlign w:val="center"/>
          </w:tcPr>
          <w:p w14:paraId="82547244">
            <w:pPr>
              <w:pStyle w:val="319"/>
              <w:spacing w:line="560" w:lineRule="exact"/>
              <w:ind w:firstLine="20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第一年度</w:t>
            </w:r>
          </w:p>
        </w:tc>
        <w:tc>
          <w:tcPr>
            <w:tcW w:w="1783" w:type="pct"/>
            <w:vAlign w:val="center"/>
          </w:tcPr>
          <w:p w14:paraId="6D9BD95E">
            <w:pPr>
              <w:pStyle w:val="319"/>
              <w:spacing w:line="560" w:lineRule="exact"/>
              <w:ind w:firstLine="200"/>
              <w:jc w:val="center"/>
              <w:rPr>
                <w:rFonts w:hint="eastAsia" w:ascii="仿宋" w:hAnsi="仿宋" w:eastAsia="仿宋" w:cs="仿宋"/>
                <w:color w:val="auto"/>
                <w:sz w:val="24"/>
                <w:szCs w:val="24"/>
                <w:highlight w:val="none"/>
                <w:lang w:val="en-US" w:eastAsia="zh-CN"/>
              </w:rPr>
            </w:pPr>
          </w:p>
        </w:tc>
      </w:tr>
      <w:tr w14:paraId="8006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5" w:type="pct"/>
            <w:vAlign w:val="center"/>
          </w:tcPr>
          <w:p w14:paraId="6C00D4C3">
            <w:pPr>
              <w:pStyle w:val="319"/>
              <w:spacing w:line="5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80" w:type="pct"/>
            <w:vAlign w:val="center"/>
          </w:tcPr>
          <w:p w14:paraId="D86B3E5B">
            <w:pPr>
              <w:pStyle w:val="319"/>
              <w:spacing w:line="560" w:lineRule="exact"/>
              <w:ind w:firstLine="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第二年度</w:t>
            </w:r>
          </w:p>
        </w:tc>
        <w:tc>
          <w:tcPr>
            <w:tcW w:w="1783" w:type="pct"/>
            <w:vAlign w:val="center"/>
          </w:tcPr>
          <w:p w14:paraId="E2003590">
            <w:pPr>
              <w:pStyle w:val="319"/>
              <w:spacing w:line="560" w:lineRule="exact"/>
              <w:ind w:firstLine="200"/>
              <w:jc w:val="center"/>
              <w:rPr>
                <w:rFonts w:hint="eastAsia" w:ascii="仿宋" w:hAnsi="仿宋" w:eastAsia="仿宋" w:cs="仿宋"/>
                <w:color w:val="auto"/>
                <w:sz w:val="24"/>
                <w:szCs w:val="24"/>
                <w:highlight w:val="none"/>
                <w:lang w:val="en-US" w:eastAsia="zh-CN"/>
              </w:rPr>
            </w:pPr>
          </w:p>
        </w:tc>
      </w:tr>
      <w:tr w14:paraId="C2E3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5" w:type="pct"/>
            <w:shd w:val="clear" w:color="auto" w:fill="auto"/>
            <w:vAlign w:val="center"/>
          </w:tcPr>
          <w:p w14:paraId="9D8C119D">
            <w:pPr>
              <w:pStyle w:val="319"/>
              <w:spacing w:line="560" w:lineRule="exact"/>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2380" w:type="pct"/>
            <w:shd w:val="clear" w:color="auto" w:fill="auto"/>
            <w:vAlign w:val="center"/>
          </w:tcPr>
          <w:p w14:paraId="56EFADDB">
            <w:pPr>
              <w:pStyle w:val="319"/>
              <w:spacing w:line="560" w:lineRule="exact"/>
              <w:ind w:firstLine="20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第三年度</w:t>
            </w:r>
          </w:p>
        </w:tc>
        <w:tc>
          <w:tcPr>
            <w:tcW w:w="1783" w:type="pct"/>
            <w:vAlign w:val="center"/>
          </w:tcPr>
          <w:p w14:paraId="C5AE0490">
            <w:pPr>
              <w:pStyle w:val="319"/>
              <w:spacing w:line="560" w:lineRule="exact"/>
              <w:ind w:firstLine="200"/>
              <w:jc w:val="center"/>
              <w:rPr>
                <w:rFonts w:hint="eastAsia" w:ascii="仿宋" w:hAnsi="仿宋" w:eastAsia="仿宋" w:cs="仿宋"/>
                <w:color w:val="auto"/>
                <w:sz w:val="24"/>
                <w:szCs w:val="24"/>
                <w:highlight w:val="none"/>
                <w:lang w:val="en-US" w:eastAsia="zh-CN"/>
              </w:rPr>
            </w:pPr>
          </w:p>
        </w:tc>
      </w:tr>
      <w:tr w14:paraId="62E6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3C297E37">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783" w:type="pct"/>
            <w:vAlign w:val="center"/>
          </w:tcPr>
          <w:p w14:paraId="76D1FAEE">
            <w:pPr>
              <w:pStyle w:val="319"/>
              <w:spacing w:line="560" w:lineRule="exact"/>
              <w:ind w:firstLine="200"/>
              <w:jc w:val="center"/>
              <w:rPr>
                <w:rFonts w:hint="eastAsia" w:ascii="仿宋" w:hAnsi="仿宋" w:eastAsia="仿宋" w:cs="仿宋"/>
                <w:color w:val="auto"/>
                <w:sz w:val="24"/>
                <w:szCs w:val="24"/>
                <w:highlight w:val="none"/>
                <w:lang w:val="en-US" w:eastAsia="zh-CN"/>
              </w:rPr>
            </w:pPr>
          </w:p>
        </w:tc>
      </w:tr>
    </w:tbl>
    <w:p w14:paraId="DA6D03B0">
      <w:pPr>
        <w:spacing w:line="560" w:lineRule="exact"/>
        <w:ind w:firstLine="480" w:firstLineChars="200"/>
        <w:rPr>
          <w:rFonts w:ascii="仿宋" w:hAnsi="仿宋" w:eastAsia="仿宋" w:cs="仿宋"/>
          <w:color w:val="auto"/>
          <w:sz w:val="24"/>
          <w:highlight w:val="none"/>
        </w:rPr>
      </w:pPr>
      <w:bookmarkStart w:id="409" w:name="_Toc30158"/>
      <w:bookmarkStart w:id="410" w:name="_Toc26916"/>
      <w:bookmarkStart w:id="411" w:name="_Toc3654"/>
      <w:bookmarkStart w:id="412" w:name="_Toc30506"/>
      <w:bookmarkStart w:id="413"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8D68C5B">
      <w:pPr>
        <w:spacing w:line="560" w:lineRule="exact"/>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1.3.3其他计价方式：</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u w:val="single"/>
          <w:lang w:val="en-US" w:eastAsia="zh-CN"/>
        </w:rPr>
        <w:t>/</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w:t>
      </w:r>
    </w:p>
    <w:bookmarkEnd w:id="409"/>
    <w:bookmarkEnd w:id="410"/>
    <w:bookmarkEnd w:id="411"/>
    <w:bookmarkEnd w:id="412"/>
    <w:bookmarkEnd w:id="413"/>
    <w:p w14:paraId="6FAA5031">
      <w:pPr>
        <w:pStyle w:val="959"/>
        <w:spacing w:before="0" w:beforeAutospacing="0" w:after="0" w:afterAutospacing="0" w:line="360" w:lineRule="auto"/>
        <w:ind w:firstLine="480"/>
        <w:rPr>
          <w:rFonts w:ascii="仿宋" w:hAnsi="仿宋" w:eastAsia="仿宋" w:cs="仿宋"/>
          <w:b/>
          <w:color w:val="auto"/>
          <w:highlight w:val="none"/>
        </w:rPr>
      </w:pPr>
      <w:bookmarkStart w:id="414" w:name="_Toc10340"/>
      <w:bookmarkStart w:id="415" w:name="_Toc22618"/>
      <w:bookmarkStart w:id="416" w:name="_Toc1814"/>
      <w:bookmarkStart w:id="417" w:name="_Toc8772"/>
      <w:bookmarkStart w:id="418" w:name="_Toc3625"/>
      <w:bookmarkStart w:id="419" w:name="_Toc31421"/>
      <w:bookmarkStart w:id="420" w:name="_Toc4760"/>
      <w:bookmarkStart w:id="421" w:name="_Toc11108"/>
      <w:r>
        <w:rPr>
          <w:rFonts w:hint="eastAsia" w:ascii="仿宋" w:hAnsi="仿宋" w:eastAsia="仿宋" w:cs="仿宋"/>
          <w:b/>
          <w:color w:val="auto"/>
          <w:highlight w:val="none"/>
        </w:rPr>
        <w:t>1.4履约保证金</w:t>
      </w:r>
    </w:p>
    <w:p w14:paraId="9752B97C">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8112234">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1.4.1履约保证金的比例为合同金额的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9558BE59">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1.4.2履约保证金支付方式详见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CF349A94">
      <w:pPr>
        <w:pStyle w:val="959"/>
        <w:spacing w:before="0" w:beforeAutospacing="0" w:after="0" w:afterAutospacing="0" w:line="360" w:lineRule="auto"/>
        <w:ind w:firstLine="480"/>
        <w:rPr>
          <w:rFonts w:hint="eastAsia" w:ascii="仿宋" w:eastAsia="仿宋" w:cs="仿宋"/>
          <w:color w:val="auto"/>
          <w:highlight w:val="none"/>
        </w:rPr>
      </w:pPr>
      <w:r>
        <w:rPr>
          <w:rFonts w:hint="eastAsia" w:ascii="仿宋" w:eastAsia="仿宋" w:cs="仿宋"/>
          <w:color w:val="auto"/>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AA4EC12A">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1.4.4甲方在项目验收结束后及时退还履约保证金。甲方在项目通过验收之日起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%计算，最高限额为本合同履约保证金的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w:t>
      </w:r>
    </w:p>
    <w:p w14:paraId="04CDD24D">
      <w:pPr>
        <w:pStyle w:val="959"/>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1.5</w:t>
      </w:r>
      <w:bookmarkEnd w:id="414"/>
      <w:bookmarkEnd w:id="415"/>
      <w:bookmarkEnd w:id="416"/>
      <w:r>
        <w:rPr>
          <w:rFonts w:hint="eastAsia" w:ascii="仿宋" w:hAnsi="仿宋" w:eastAsia="仿宋" w:cs="仿宋"/>
          <w:b/>
          <w:color w:val="auto"/>
          <w:highlight w:val="none"/>
        </w:rPr>
        <w:t>预付款</w:t>
      </w:r>
    </w:p>
    <w:p w14:paraId="57B227FA">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D54A0F7">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1.5.1预付款比例、支付方式、时间详见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73BF09A">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53E1CA">
      <w:pPr>
        <w:pStyle w:val="959"/>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5DDC730">
      <w:pPr>
        <w:pStyle w:val="959"/>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B56A4481">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1D5B84">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1.6.2资金支付的方式、时间和条件详见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52F63F83">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1.7履行期限、地点和方式</w:t>
      </w:r>
      <w:bookmarkEnd w:id="417"/>
      <w:bookmarkEnd w:id="418"/>
      <w:bookmarkEnd w:id="419"/>
      <w:bookmarkEnd w:id="420"/>
      <w:bookmarkEnd w:id="421"/>
    </w:p>
    <w:p w14:paraId="9A2B4027">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1.7.1服务交付（实施）的时间（期限）：</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C8071614">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1.7.2服务交付（实施）的地点（地域范围）：</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D1E2CC0E">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1.7.3服务交付（实施）的方式：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bookmarkStart w:id="422" w:name="_Toc8586"/>
      <w:bookmarkStart w:id="423" w:name="_Toc24662"/>
      <w:bookmarkStart w:id="424" w:name="_Toc5698"/>
      <w:bookmarkStart w:id="425" w:name="_Toc2375"/>
      <w:bookmarkStart w:id="426" w:name="_Toc3079"/>
    </w:p>
    <w:p w14:paraId="1DA45B67">
      <w:pPr>
        <w:pStyle w:val="959"/>
        <w:spacing w:before="0" w:beforeAutospacing="0" w:after="0" w:afterAutospacing="0" w:line="360" w:lineRule="auto"/>
        <w:ind w:firstLine="480"/>
        <w:rPr>
          <w:rFonts w:ascii="仿宋" w:hAnsi="仿宋" w:eastAsia="仿宋" w:cs="仿宋"/>
          <w:bCs/>
          <w:color w:val="auto"/>
          <w:highlight w:val="none"/>
        </w:rPr>
      </w:pPr>
      <w:r>
        <w:rPr>
          <w:rFonts w:hint="eastAsia" w:ascii="仿宋" w:hAnsi="仿宋" w:eastAsia="仿宋" w:cs="仿宋"/>
          <w:bCs/>
          <w:color w:val="auto"/>
          <w:highlight w:val="none"/>
        </w:rPr>
        <w:t>1.7.4若服务涉及货物的，则货物的：</w:t>
      </w:r>
    </w:p>
    <w:p w14:paraId="4AEC73BA">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1.7.4.1交付期限：详见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2CC19C03">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1.7.4.2交付地点：</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EF7AE309">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1.7.4.3交付方式：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8C24543B">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1.8违约责任</w:t>
      </w:r>
      <w:bookmarkEnd w:id="422"/>
      <w:bookmarkEnd w:id="423"/>
      <w:bookmarkEnd w:id="424"/>
      <w:bookmarkEnd w:id="425"/>
      <w:bookmarkEnd w:id="426"/>
    </w:p>
    <w:p w14:paraId="98722A93">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highlight w:val="none"/>
          <w:u w:val="single"/>
        </w:rPr>
        <w:t xml:space="preserve">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%；迟延履行的违约金计算数额达到前述最高限额之日起，甲方有权在要求乙方支付违约金的同时，书面通知乙方解除本合同；</w:t>
      </w:r>
    </w:p>
    <w:p w14:paraId="03E76A4B">
      <w:pPr>
        <w:pStyle w:val="959"/>
        <w:spacing w:before="0" w:beforeAutospacing="0" w:after="0" w:afterAutospacing="0" w:line="360" w:lineRule="auto"/>
        <w:ind w:firstLine="480"/>
        <w:rPr>
          <w:rFonts w:ascii="仿宋" w:eastAsia="仿宋" w:cs="仿宋"/>
          <w:color w:val="auto"/>
          <w:highlight w:val="none"/>
        </w:rPr>
      </w:pPr>
      <w:r>
        <w:rPr>
          <w:rFonts w:hint="eastAsia" w:ascii="仿宋" w:eastAsia="仿宋" w:cs="仿宋"/>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highlight w:val="none"/>
          <w:u w:val="single"/>
        </w:rPr>
        <w:t xml:space="preserve"> 0.05 </w:t>
      </w:r>
      <w:r>
        <w:rPr>
          <w:rFonts w:hint="eastAsia" w:ascii="仿宋" w:eastAsia="仿宋" w:cs="仿宋"/>
          <w:color w:val="auto"/>
          <w:highlight w:val="none"/>
        </w:rPr>
        <w:t>%计算，最高限额为本合同总价的</w:t>
      </w:r>
      <w:r>
        <w:rPr>
          <w:rFonts w:hint="eastAsia" w:ascii="仿宋" w:eastAsia="仿宋" w:cs="仿宋"/>
          <w:color w:val="auto"/>
          <w:highlight w:val="none"/>
          <w:u w:val="single"/>
        </w:rPr>
        <w:t xml:space="preserve">  20  </w:t>
      </w:r>
      <w:r>
        <w:rPr>
          <w:rFonts w:hint="eastAsia" w:ascii="仿宋" w:eastAsia="仿宋" w:cs="仿宋"/>
          <w:color w:val="auto"/>
          <w:highlight w:val="none"/>
        </w:rPr>
        <w:t>%；迟延交付货物的违约金计算数额达到前述最高限额之日起，甲方有权在要求乙方支付违约金的同时，书面通知乙方解除本合同；</w:t>
      </w:r>
    </w:p>
    <w:p w14:paraId="2460EC6B">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bookmarkStart w:id="427" w:name="_Toc32454"/>
      <w:bookmarkStart w:id="428" w:name="_Toc26807"/>
      <w:bookmarkStart w:id="429" w:name="_Toc30329"/>
      <w:bookmarkStart w:id="430" w:name="_Toc9497"/>
      <w:bookmarkStart w:id="431" w:name="_Toc18683"/>
    </w:p>
    <w:p w14:paraId="87211B9D">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C1F9A3B4">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C40B573D">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E0F14519">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1.8.7违约责任</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另有约定的，从其约定。</w:t>
      </w:r>
      <w:bookmarkEnd w:id="427"/>
      <w:bookmarkEnd w:id="428"/>
      <w:bookmarkEnd w:id="429"/>
      <w:bookmarkEnd w:id="430"/>
      <w:bookmarkEnd w:id="431"/>
      <w:bookmarkStart w:id="432" w:name="_Toc16021"/>
      <w:bookmarkStart w:id="433" w:name="_Toc28375"/>
      <w:bookmarkStart w:id="434" w:name="_Toc15583"/>
    </w:p>
    <w:p w14:paraId="D0A3E973">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1.9合同争议的解决</w:t>
      </w:r>
      <w:bookmarkEnd w:id="432"/>
      <w:bookmarkEnd w:id="433"/>
      <w:bookmarkEnd w:id="434"/>
    </w:p>
    <w:p w14:paraId="5A4B19A9">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highlight w:val="none"/>
          <w:u w:val="single"/>
        </w:rPr>
        <w:t xml:space="preserve"> </w:t>
      </w:r>
      <w:r>
        <w:rPr>
          <w:rFonts w:hint="eastAsia" w:ascii="仿宋" w:hAnsi="仿宋" w:eastAsia="仿宋" w:cs="仿宋"/>
          <w:b/>
          <w:i/>
          <w:color w:val="auto"/>
          <w:highlight w:val="none"/>
          <w:u w:val="single"/>
          <w:lang w:val="en-US" w:eastAsia="zh-CN"/>
        </w:rPr>
        <w:t>1.9.2</w:t>
      </w:r>
      <w:r>
        <w:rPr>
          <w:rFonts w:hint="eastAsia" w:ascii="仿宋" w:hAnsi="仿宋" w:eastAsia="仿宋" w:cs="仿宋"/>
          <w:b/>
          <w:i/>
          <w:color w:val="auto"/>
          <w:highlight w:val="none"/>
          <w:u w:val="single"/>
        </w:rPr>
        <w:t xml:space="preserve"> </w:t>
      </w:r>
      <w:r>
        <w:rPr>
          <w:rFonts w:hint="eastAsia" w:ascii="仿宋" w:hAnsi="仿宋" w:eastAsia="仿宋" w:cs="仿宋"/>
          <w:color w:val="auto"/>
          <w:highlight w:val="none"/>
        </w:rPr>
        <w:t>条款规定的方式解决：</w:t>
      </w:r>
    </w:p>
    <w:p w14:paraId="ECFEC148">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1.9.1将争议提交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仲裁委员会依申请仲裁时其现行有效的仲裁规则裁决；</w:t>
      </w:r>
    </w:p>
    <w:p w14:paraId="86F200EE">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color w:val="auto"/>
          <w:highlight w:val="none"/>
        </w:rPr>
        <w:t>1.9.2向</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人民法院起诉。</w:t>
      </w:r>
    </w:p>
    <w:p w14:paraId="39FE8577">
      <w:pPr>
        <w:pStyle w:val="959"/>
        <w:spacing w:before="0" w:beforeAutospacing="0" w:after="0" w:afterAutospacing="0" w:line="360" w:lineRule="auto"/>
        <w:ind w:firstLine="480"/>
        <w:rPr>
          <w:rFonts w:hint="eastAsia" w:ascii="仿宋" w:hAnsi="仿宋" w:eastAsia="仿宋" w:cs="仿宋"/>
          <w:b/>
          <w:color w:val="auto"/>
          <w:highlight w:val="none"/>
        </w:rPr>
      </w:pPr>
      <w:bookmarkStart w:id="435" w:name="_Toc7245"/>
      <w:bookmarkStart w:id="436" w:name="_Toc11173"/>
      <w:bookmarkStart w:id="437" w:name="_Toc15322"/>
      <w:r>
        <w:rPr>
          <w:rFonts w:hint="eastAsia" w:ascii="仿宋" w:hAnsi="仿宋" w:eastAsia="仿宋" w:cs="仿宋"/>
          <w:b/>
          <w:color w:val="auto"/>
          <w:highlight w:val="none"/>
        </w:rPr>
        <w:t>2.0合同生效</w:t>
      </w:r>
      <w:bookmarkEnd w:id="435"/>
      <w:bookmarkEnd w:id="436"/>
      <w:bookmarkEnd w:id="437"/>
    </w:p>
    <w:p w14:paraId="F5D501EA">
      <w:pPr>
        <w:pStyle w:val="959"/>
        <w:spacing w:before="0" w:beforeAutospacing="0" w:after="0" w:afterAutospacing="0" w:line="360" w:lineRule="auto"/>
        <w:ind w:firstLine="48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本合同自双方当事人盖章签字时生效。</w:t>
      </w:r>
    </w:p>
    <w:p w14:paraId="ED162F5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D57B82D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469A494">
      <w:pPr>
        <w:autoSpaceDE w:val="0"/>
        <w:autoSpaceDN w:val="0"/>
        <w:spacing w:line="560" w:lineRule="exact"/>
        <w:rPr>
          <w:rFonts w:ascii="仿宋" w:hAnsi="仿宋" w:eastAsia="仿宋" w:cs="仿宋"/>
          <w:color w:val="auto"/>
          <w:sz w:val="24"/>
          <w:highlight w:val="none"/>
          <w:lang w:val="zh-CN"/>
        </w:rPr>
      </w:pPr>
    </w:p>
    <w:p w14:paraId="0F82BC7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A6AE44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08EBD2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D79CEE0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0C573A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10CE12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86B390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5400ED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D3265B3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9DAE2B57">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FB7B00E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B228E4D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209BC36">
      <w:pPr>
        <w:pStyle w:val="701"/>
        <w:spacing w:line="560" w:lineRule="exact"/>
        <w:ind w:left="0" w:leftChars="0" w:firstLine="0" w:firstLineChars="0"/>
        <w:jc w:val="center"/>
        <w:rPr>
          <w:rFonts w:hint="eastAsia" w:ascii="仿宋" w:hAnsi="仿宋" w:eastAsia="仿宋" w:cs="仿宋"/>
          <w:b/>
          <w:color w:val="auto"/>
          <w:szCs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BB147C4">
      <w:pPr>
        <w:pStyle w:val="701"/>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242"/>
          <w:kern w:val="0"/>
          <w:szCs w:val="24"/>
          <w:highlight w:val="none"/>
          <w:fitText w:val="964" w:id="-982737152"/>
        </w:rPr>
        <w:t>分</w:t>
      </w:r>
      <w:r>
        <w:rPr>
          <w:rFonts w:hint="eastAsia" w:ascii="仿宋" w:hAnsi="仿宋" w:eastAsia="仿宋" w:cs="仿宋"/>
          <w:b/>
          <w:color w:val="auto"/>
          <w:spacing w:val="0"/>
          <w:kern w:val="0"/>
          <w:szCs w:val="24"/>
          <w:highlight w:val="none"/>
          <w:fitText w:val="964" w:id="-982737152"/>
        </w:rPr>
        <w:t>合</w:t>
      </w:r>
      <w:r>
        <w:rPr>
          <w:rFonts w:hint="eastAsia" w:ascii="仿宋" w:hAnsi="仿宋" w:eastAsia="仿宋" w:cs="仿宋"/>
          <w:b/>
          <w:color w:val="auto"/>
          <w:szCs w:val="24"/>
          <w:highlight w:val="none"/>
        </w:rPr>
        <w:t>同一般条款</w:t>
      </w:r>
    </w:p>
    <w:p w14:paraId="8FB22B60">
      <w:pPr>
        <w:spacing w:line="560" w:lineRule="exact"/>
        <w:ind w:firstLine="482" w:firstLineChars="200"/>
        <w:outlineLvl w:val="0"/>
        <w:rPr>
          <w:rFonts w:ascii="仿宋" w:hAnsi="仿宋" w:eastAsia="仿宋" w:cs="仿宋"/>
          <w:b/>
          <w:color w:val="auto"/>
          <w:sz w:val="24"/>
          <w:highlight w:val="none"/>
        </w:rPr>
      </w:pPr>
      <w:bookmarkStart w:id="438" w:name="_Toc19680"/>
      <w:bookmarkStart w:id="439" w:name="_Toc14021"/>
      <w:bookmarkStart w:id="440" w:name="_Toc25079"/>
      <w:bookmarkStart w:id="441" w:name="_Toc31297"/>
      <w:bookmarkStart w:id="442" w:name="_Toc5228"/>
      <w:r>
        <w:rPr>
          <w:rFonts w:hint="eastAsia" w:ascii="仿宋" w:hAnsi="仿宋" w:eastAsia="仿宋" w:cs="仿宋"/>
          <w:b/>
          <w:color w:val="auto"/>
          <w:sz w:val="24"/>
          <w:highlight w:val="none"/>
        </w:rPr>
        <w:t>2.1定义</w:t>
      </w:r>
      <w:bookmarkEnd w:id="438"/>
      <w:bookmarkEnd w:id="439"/>
      <w:bookmarkEnd w:id="440"/>
      <w:bookmarkEnd w:id="441"/>
      <w:bookmarkEnd w:id="442"/>
    </w:p>
    <w:p w14:paraId="5E92F3D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AF27992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59E0F4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F795223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F08F083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77D83C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B5F64D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E2AA351D">
      <w:pPr>
        <w:spacing w:line="560" w:lineRule="exact"/>
        <w:ind w:firstLine="482" w:firstLineChars="200"/>
        <w:outlineLvl w:val="0"/>
        <w:rPr>
          <w:rFonts w:ascii="仿宋" w:hAnsi="仿宋" w:eastAsia="仿宋" w:cs="仿宋"/>
          <w:b/>
          <w:color w:val="auto"/>
          <w:sz w:val="24"/>
          <w:highlight w:val="none"/>
        </w:rPr>
      </w:pPr>
      <w:bookmarkStart w:id="443" w:name="_Toc3769"/>
      <w:bookmarkStart w:id="444" w:name="_Toc16752"/>
      <w:bookmarkStart w:id="445" w:name="_Toc23289"/>
      <w:bookmarkStart w:id="446" w:name="_Toc19539"/>
      <w:bookmarkStart w:id="447" w:name="_Toc31402"/>
      <w:r>
        <w:rPr>
          <w:rFonts w:hint="eastAsia" w:ascii="仿宋" w:hAnsi="仿宋" w:eastAsia="仿宋" w:cs="仿宋"/>
          <w:b/>
          <w:color w:val="auto"/>
          <w:sz w:val="24"/>
          <w:highlight w:val="none"/>
        </w:rPr>
        <w:t>2.2技术规范</w:t>
      </w:r>
      <w:bookmarkEnd w:id="443"/>
      <w:bookmarkEnd w:id="444"/>
      <w:bookmarkEnd w:id="445"/>
      <w:bookmarkEnd w:id="446"/>
      <w:bookmarkEnd w:id="447"/>
    </w:p>
    <w:p w14:paraId="2894406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C8AF079C">
      <w:pPr>
        <w:spacing w:line="560" w:lineRule="exact"/>
        <w:ind w:firstLine="482" w:firstLineChars="200"/>
        <w:outlineLvl w:val="0"/>
        <w:rPr>
          <w:rFonts w:ascii="仿宋" w:hAnsi="仿宋" w:eastAsia="仿宋" w:cs="仿宋"/>
          <w:b/>
          <w:color w:val="auto"/>
          <w:sz w:val="24"/>
          <w:highlight w:val="none"/>
        </w:rPr>
      </w:pPr>
      <w:bookmarkStart w:id="448" w:name="_Toc4133"/>
      <w:bookmarkStart w:id="449" w:name="_Toc13673"/>
      <w:bookmarkStart w:id="450" w:name="_Toc27945"/>
      <w:bookmarkStart w:id="451" w:name="_Toc12412"/>
      <w:bookmarkStart w:id="452" w:name="_Toc9161"/>
      <w:r>
        <w:rPr>
          <w:rFonts w:hint="eastAsia" w:ascii="仿宋" w:hAnsi="仿宋" w:eastAsia="仿宋" w:cs="仿宋"/>
          <w:b/>
          <w:color w:val="auto"/>
          <w:sz w:val="24"/>
          <w:highlight w:val="none"/>
        </w:rPr>
        <w:t>2.3知识产权</w:t>
      </w:r>
      <w:bookmarkEnd w:id="448"/>
      <w:bookmarkEnd w:id="449"/>
      <w:bookmarkEnd w:id="450"/>
      <w:bookmarkEnd w:id="451"/>
      <w:bookmarkEnd w:id="452"/>
    </w:p>
    <w:p w14:paraId="1E277E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04323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D6A5BF33">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F7642B5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8AEF34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C75DD8E7">
      <w:pPr>
        <w:spacing w:line="560" w:lineRule="exact"/>
        <w:ind w:firstLine="482" w:firstLineChars="200"/>
        <w:outlineLvl w:val="0"/>
        <w:rPr>
          <w:rFonts w:ascii="仿宋" w:hAnsi="仿宋" w:eastAsia="仿宋" w:cs="仿宋"/>
          <w:b/>
          <w:color w:val="auto"/>
          <w:sz w:val="24"/>
          <w:highlight w:val="none"/>
        </w:rPr>
      </w:pPr>
      <w:bookmarkStart w:id="453" w:name="_Toc22011"/>
      <w:bookmarkStart w:id="454" w:name="_Toc26555"/>
      <w:bookmarkStart w:id="455" w:name="_Toc31233"/>
      <w:bookmarkStart w:id="456" w:name="_Toc32670"/>
      <w:bookmarkStart w:id="457" w:name="_Toc15447"/>
      <w:r>
        <w:rPr>
          <w:rFonts w:hint="eastAsia" w:ascii="仿宋" w:hAnsi="仿宋" w:eastAsia="仿宋" w:cs="仿宋"/>
          <w:b/>
          <w:color w:val="auto"/>
          <w:sz w:val="24"/>
          <w:highlight w:val="none"/>
        </w:rPr>
        <w:t>2.5结算方式和付款条件</w:t>
      </w:r>
      <w:bookmarkEnd w:id="453"/>
      <w:bookmarkEnd w:id="454"/>
      <w:bookmarkEnd w:id="455"/>
      <w:bookmarkEnd w:id="456"/>
      <w:bookmarkEnd w:id="457"/>
    </w:p>
    <w:p w14:paraId="7923DE3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BE0CE553">
      <w:pPr>
        <w:spacing w:line="560" w:lineRule="exact"/>
        <w:ind w:firstLine="482" w:firstLineChars="200"/>
        <w:outlineLvl w:val="0"/>
        <w:rPr>
          <w:rFonts w:ascii="仿宋" w:hAnsi="仿宋" w:eastAsia="仿宋" w:cs="仿宋"/>
          <w:b/>
          <w:color w:val="auto"/>
          <w:sz w:val="24"/>
          <w:highlight w:val="none"/>
        </w:rPr>
      </w:pPr>
      <w:bookmarkStart w:id="458" w:name="_Toc13467"/>
      <w:bookmarkStart w:id="459" w:name="_Toc30507"/>
      <w:bookmarkStart w:id="460" w:name="_Toc16163"/>
      <w:bookmarkStart w:id="461" w:name="_Toc13154"/>
      <w:bookmarkStart w:id="462" w:name="_Toc18990"/>
      <w:r>
        <w:rPr>
          <w:rFonts w:hint="eastAsia" w:ascii="仿宋" w:hAnsi="仿宋" w:eastAsia="仿宋" w:cs="仿宋"/>
          <w:b/>
          <w:color w:val="auto"/>
          <w:sz w:val="24"/>
          <w:highlight w:val="none"/>
        </w:rPr>
        <w:t>2.6技术资料和保密义务</w:t>
      </w:r>
      <w:bookmarkEnd w:id="458"/>
      <w:bookmarkEnd w:id="459"/>
      <w:bookmarkEnd w:id="460"/>
      <w:bookmarkEnd w:id="461"/>
      <w:bookmarkEnd w:id="462"/>
    </w:p>
    <w:p w14:paraId="00AE61E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6B8BAFD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77851A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A4256DAB">
      <w:pPr>
        <w:spacing w:line="560" w:lineRule="exact"/>
        <w:ind w:firstLine="482" w:firstLineChars="200"/>
        <w:outlineLvl w:val="0"/>
        <w:rPr>
          <w:rFonts w:ascii="仿宋" w:hAnsi="仿宋" w:eastAsia="仿宋" w:cs="仿宋"/>
          <w:b/>
          <w:color w:val="auto"/>
          <w:sz w:val="24"/>
          <w:highlight w:val="none"/>
        </w:rPr>
      </w:pPr>
      <w:bookmarkStart w:id="463" w:name="_Toc19069"/>
      <w:r>
        <w:rPr>
          <w:rFonts w:hint="eastAsia" w:ascii="仿宋" w:hAnsi="仿宋" w:eastAsia="仿宋" w:cs="仿宋"/>
          <w:b/>
          <w:color w:val="auto"/>
          <w:sz w:val="24"/>
          <w:highlight w:val="none"/>
        </w:rPr>
        <w:t>2.7质量保证</w:t>
      </w:r>
      <w:bookmarkEnd w:id="463"/>
    </w:p>
    <w:p w14:paraId="7BA286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8D2E03F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F0322202">
      <w:pPr>
        <w:spacing w:line="560" w:lineRule="exact"/>
        <w:ind w:firstLine="482" w:firstLineChars="200"/>
        <w:outlineLvl w:val="0"/>
        <w:rPr>
          <w:rFonts w:ascii="仿宋" w:hAnsi="仿宋" w:eastAsia="仿宋" w:cs="仿宋"/>
          <w:b/>
          <w:color w:val="auto"/>
          <w:sz w:val="24"/>
          <w:highlight w:val="none"/>
        </w:rPr>
      </w:pPr>
      <w:bookmarkStart w:id="464" w:name="_Toc22267"/>
      <w:r>
        <w:rPr>
          <w:rFonts w:hint="eastAsia" w:ascii="仿宋" w:hAnsi="仿宋" w:eastAsia="仿宋" w:cs="仿宋"/>
          <w:b/>
          <w:color w:val="auto"/>
          <w:sz w:val="24"/>
          <w:highlight w:val="none"/>
        </w:rPr>
        <w:t>2.8延迟履行</w:t>
      </w:r>
      <w:bookmarkEnd w:id="464"/>
    </w:p>
    <w:p w14:paraId="163798E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9ADD0C8A">
      <w:pPr>
        <w:spacing w:line="560" w:lineRule="exact"/>
        <w:ind w:firstLine="482" w:firstLineChars="200"/>
        <w:outlineLvl w:val="0"/>
        <w:rPr>
          <w:rFonts w:ascii="仿宋" w:hAnsi="仿宋" w:eastAsia="仿宋" w:cs="仿宋"/>
          <w:b/>
          <w:color w:val="auto"/>
          <w:sz w:val="24"/>
          <w:highlight w:val="none"/>
        </w:rPr>
      </w:pPr>
      <w:bookmarkStart w:id="465" w:name="_Toc10611"/>
      <w:r>
        <w:rPr>
          <w:rFonts w:hint="eastAsia" w:ascii="仿宋" w:hAnsi="仿宋" w:eastAsia="仿宋" w:cs="仿宋"/>
          <w:b/>
          <w:color w:val="auto"/>
          <w:sz w:val="24"/>
          <w:highlight w:val="none"/>
        </w:rPr>
        <w:t>2.9合同变更</w:t>
      </w:r>
      <w:bookmarkEnd w:id="465"/>
    </w:p>
    <w:p w14:paraId="B4F5396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9BA0DD13">
      <w:pPr>
        <w:spacing w:line="560" w:lineRule="exact"/>
        <w:ind w:firstLine="482" w:firstLineChars="200"/>
        <w:outlineLvl w:val="0"/>
        <w:rPr>
          <w:rFonts w:ascii="仿宋" w:hAnsi="仿宋" w:eastAsia="仿宋" w:cs="仿宋"/>
          <w:b/>
          <w:color w:val="auto"/>
          <w:sz w:val="24"/>
          <w:highlight w:val="none"/>
        </w:rPr>
      </w:pPr>
      <w:bookmarkStart w:id="466" w:name="_Toc10663"/>
      <w:bookmarkStart w:id="467" w:name="_Toc42"/>
      <w:bookmarkStart w:id="468" w:name="_Toc23368"/>
      <w:bookmarkStart w:id="469" w:name="_Toc26689"/>
      <w:bookmarkStart w:id="470" w:name="_Toc21830"/>
      <w:r>
        <w:rPr>
          <w:rFonts w:hint="eastAsia" w:ascii="仿宋" w:hAnsi="仿宋" w:eastAsia="仿宋" w:cs="仿宋"/>
          <w:b/>
          <w:color w:val="auto"/>
          <w:sz w:val="24"/>
          <w:highlight w:val="none"/>
        </w:rPr>
        <w:t>2.10合同转让和分包</w:t>
      </w:r>
      <w:bookmarkEnd w:id="466"/>
      <w:bookmarkEnd w:id="467"/>
      <w:bookmarkEnd w:id="468"/>
      <w:bookmarkEnd w:id="469"/>
      <w:bookmarkEnd w:id="470"/>
    </w:p>
    <w:p w14:paraId="EDA30B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A254B659">
      <w:pPr>
        <w:spacing w:line="560" w:lineRule="exact"/>
        <w:ind w:firstLine="482" w:firstLineChars="200"/>
        <w:outlineLvl w:val="0"/>
        <w:rPr>
          <w:rFonts w:ascii="仿宋" w:hAnsi="仿宋" w:eastAsia="仿宋" w:cs="仿宋"/>
          <w:b/>
          <w:color w:val="auto"/>
          <w:sz w:val="24"/>
          <w:highlight w:val="none"/>
        </w:rPr>
      </w:pPr>
      <w:bookmarkStart w:id="471" w:name="_Toc14371"/>
      <w:bookmarkStart w:id="472" w:name="_Toc32494"/>
      <w:bookmarkStart w:id="473" w:name="_Toc4720"/>
      <w:bookmarkStart w:id="474" w:name="_Toc26633"/>
      <w:bookmarkStart w:id="475" w:name="_Toc25571"/>
      <w:r>
        <w:rPr>
          <w:rFonts w:hint="eastAsia" w:ascii="仿宋" w:hAnsi="仿宋" w:eastAsia="仿宋" w:cs="仿宋"/>
          <w:b/>
          <w:color w:val="auto"/>
          <w:sz w:val="24"/>
          <w:highlight w:val="none"/>
        </w:rPr>
        <w:t>2.11不可抗力</w:t>
      </w:r>
      <w:bookmarkEnd w:id="471"/>
      <w:bookmarkEnd w:id="472"/>
      <w:bookmarkEnd w:id="473"/>
      <w:bookmarkEnd w:id="474"/>
      <w:bookmarkEnd w:id="475"/>
    </w:p>
    <w:p w14:paraId="C6B554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A4C727C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7426B35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EB62285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124A2F0">
      <w:pPr>
        <w:spacing w:line="560" w:lineRule="exact"/>
        <w:ind w:firstLine="482" w:firstLineChars="200"/>
        <w:outlineLvl w:val="0"/>
        <w:rPr>
          <w:rFonts w:ascii="仿宋" w:hAnsi="仿宋" w:eastAsia="仿宋" w:cs="仿宋"/>
          <w:b/>
          <w:color w:val="auto"/>
          <w:sz w:val="24"/>
          <w:highlight w:val="none"/>
        </w:rPr>
      </w:pPr>
      <w:bookmarkStart w:id="476" w:name="_Toc23854"/>
      <w:bookmarkStart w:id="477" w:name="_Toc3638"/>
      <w:bookmarkStart w:id="478" w:name="_Toc14115"/>
      <w:bookmarkStart w:id="479" w:name="_Toc25783"/>
      <w:bookmarkStart w:id="480" w:name="_Toc24465"/>
      <w:r>
        <w:rPr>
          <w:rFonts w:hint="eastAsia" w:ascii="仿宋" w:hAnsi="仿宋" w:eastAsia="仿宋" w:cs="仿宋"/>
          <w:b/>
          <w:color w:val="auto"/>
          <w:sz w:val="24"/>
          <w:highlight w:val="none"/>
        </w:rPr>
        <w:t>2.12税费</w:t>
      </w:r>
      <w:bookmarkEnd w:id="476"/>
      <w:bookmarkEnd w:id="477"/>
      <w:bookmarkEnd w:id="478"/>
      <w:bookmarkEnd w:id="479"/>
      <w:bookmarkEnd w:id="480"/>
    </w:p>
    <w:p w14:paraId="09752BA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8F5E7632">
      <w:pPr>
        <w:spacing w:line="560" w:lineRule="exact"/>
        <w:ind w:firstLine="482" w:firstLineChars="200"/>
        <w:outlineLvl w:val="0"/>
        <w:rPr>
          <w:rFonts w:ascii="仿宋" w:hAnsi="仿宋" w:eastAsia="仿宋" w:cs="仿宋"/>
          <w:b/>
          <w:color w:val="auto"/>
          <w:sz w:val="24"/>
          <w:highlight w:val="none"/>
        </w:rPr>
      </w:pPr>
      <w:bookmarkStart w:id="481" w:name="_Toc7315"/>
      <w:bookmarkStart w:id="482" w:name="_Toc26883"/>
      <w:bookmarkStart w:id="483" w:name="_Toc25525"/>
      <w:bookmarkStart w:id="484" w:name="_Toc30105"/>
      <w:bookmarkStart w:id="485" w:name="_Toc14814"/>
      <w:r>
        <w:rPr>
          <w:rFonts w:hint="eastAsia" w:ascii="仿宋" w:hAnsi="仿宋" w:eastAsia="仿宋" w:cs="仿宋"/>
          <w:b/>
          <w:color w:val="auto"/>
          <w:sz w:val="24"/>
          <w:highlight w:val="none"/>
        </w:rPr>
        <w:t>2.13乙方破产</w:t>
      </w:r>
      <w:bookmarkEnd w:id="481"/>
      <w:bookmarkEnd w:id="482"/>
      <w:bookmarkEnd w:id="483"/>
      <w:bookmarkEnd w:id="484"/>
      <w:bookmarkEnd w:id="485"/>
    </w:p>
    <w:p w14:paraId="03220C6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58B3F4C">
      <w:pPr>
        <w:spacing w:line="560" w:lineRule="exact"/>
        <w:ind w:firstLine="482" w:firstLineChars="200"/>
        <w:outlineLvl w:val="0"/>
        <w:rPr>
          <w:rFonts w:ascii="仿宋" w:hAnsi="仿宋" w:eastAsia="仿宋" w:cs="仿宋"/>
          <w:b/>
          <w:color w:val="auto"/>
          <w:sz w:val="24"/>
          <w:highlight w:val="none"/>
        </w:rPr>
      </w:pPr>
      <w:bookmarkStart w:id="486" w:name="_Toc2016"/>
      <w:bookmarkStart w:id="487" w:name="_Toc1123"/>
      <w:bookmarkStart w:id="488" w:name="_Toc23323"/>
      <w:r>
        <w:rPr>
          <w:rFonts w:hint="eastAsia" w:ascii="仿宋" w:hAnsi="仿宋" w:eastAsia="仿宋" w:cs="仿宋"/>
          <w:b/>
          <w:color w:val="auto"/>
          <w:sz w:val="24"/>
          <w:highlight w:val="none"/>
        </w:rPr>
        <w:t>2.14合同中止、终止</w:t>
      </w:r>
      <w:bookmarkEnd w:id="486"/>
      <w:bookmarkEnd w:id="487"/>
      <w:bookmarkEnd w:id="488"/>
    </w:p>
    <w:p w14:paraId="4A551FC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5C0E855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9F53B1A">
      <w:pPr>
        <w:spacing w:line="560" w:lineRule="exact"/>
        <w:ind w:firstLine="482" w:firstLineChars="200"/>
        <w:outlineLvl w:val="0"/>
        <w:rPr>
          <w:rFonts w:ascii="仿宋" w:hAnsi="仿宋" w:eastAsia="仿宋" w:cs="仿宋"/>
          <w:b/>
          <w:color w:val="auto"/>
          <w:sz w:val="24"/>
          <w:highlight w:val="none"/>
        </w:rPr>
      </w:pPr>
      <w:bookmarkStart w:id="489" w:name="_Toc1969"/>
      <w:bookmarkStart w:id="490" w:name="_Toc17363"/>
      <w:bookmarkStart w:id="491" w:name="_Toc14525"/>
      <w:r>
        <w:rPr>
          <w:rFonts w:hint="eastAsia" w:ascii="仿宋" w:hAnsi="仿宋" w:eastAsia="仿宋" w:cs="仿宋"/>
          <w:b/>
          <w:color w:val="auto"/>
          <w:sz w:val="24"/>
          <w:highlight w:val="none"/>
        </w:rPr>
        <w:t>2.15检验和验收</w:t>
      </w:r>
      <w:bookmarkEnd w:id="489"/>
      <w:bookmarkEnd w:id="490"/>
      <w:bookmarkEnd w:id="491"/>
    </w:p>
    <w:p w14:paraId="88503CEE">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82417F3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289F0A">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CD297F3">
      <w:pPr>
        <w:spacing w:line="560" w:lineRule="exact"/>
        <w:ind w:firstLine="482" w:firstLineChars="200"/>
        <w:outlineLvl w:val="0"/>
        <w:rPr>
          <w:rFonts w:ascii="仿宋" w:hAnsi="仿宋" w:eastAsia="仿宋" w:cs="仿宋"/>
          <w:b/>
          <w:color w:val="auto"/>
          <w:sz w:val="24"/>
          <w:highlight w:val="none"/>
        </w:rPr>
      </w:pPr>
      <w:bookmarkStart w:id="492" w:name="_Toc25198"/>
      <w:bookmarkStart w:id="493" w:name="_Toc9808"/>
      <w:bookmarkStart w:id="494" w:name="_Toc12666"/>
      <w:bookmarkStart w:id="495" w:name="_Toc2308"/>
      <w:bookmarkStart w:id="496" w:name="_Toc31892"/>
      <w:r>
        <w:rPr>
          <w:rFonts w:hint="eastAsia" w:ascii="仿宋" w:hAnsi="仿宋" w:eastAsia="仿宋" w:cs="仿宋"/>
          <w:b/>
          <w:color w:val="auto"/>
          <w:sz w:val="24"/>
          <w:highlight w:val="none"/>
        </w:rPr>
        <w:t>2.16通知和送达</w:t>
      </w:r>
      <w:bookmarkEnd w:id="492"/>
      <w:bookmarkEnd w:id="493"/>
      <w:bookmarkEnd w:id="494"/>
      <w:bookmarkEnd w:id="495"/>
      <w:bookmarkEnd w:id="496"/>
    </w:p>
    <w:p w14:paraId="1CE45376">
      <w:pPr>
        <w:spacing w:line="560" w:lineRule="exact"/>
        <w:ind w:firstLine="480" w:firstLineChars="200"/>
        <w:rPr>
          <w:rFonts w:ascii="仿宋" w:hAnsi="仿宋" w:eastAsia="仿宋" w:cs="仿宋"/>
          <w:color w:val="auto"/>
          <w:sz w:val="24"/>
          <w:highlight w:val="none"/>
        </w:rPr>
      </w:pPr>
      <w:bookmarkStart w:id="497" w:name="_Toc18401"/>
      <w:bookmarkStart w:id="498" w:name="_Toc27674"/>
      <w:r>
        <w:rPr>
          <w:rFonts w:hint="eastAsia" w:ascii="仿宋" w:hAnsi="仿宋" w:eastAsia="仿宋" w:cs="仿宋"/>
          <w:color w:val="auto"/>
          <w:sz w:val="24"/>
          <w:highlight w:val="none"/>
        </w:rPr>
        <w:t>2.16.1任何一方因履行合同而以合同第一部分尾部所列明的传真或电子邮</w:t>
      </w:r>
    </w:p>
    <w:p w14:paraId="414C48C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A795707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3F0280AA">
      <w:pPr>
        <w:spacing w:line="560" w:lineRule="exact"/>
        <w:ind w:firstLine="482" w:firstLineChars="200"/>
        <w:outlineLvl w:val="0"/>
        <w:rPr>
          <w:rFonts w:ascii="仿宋" w:hAnsi="仿宋" w:eastAsia="仿宋" w:cs="仿宋"/>
          <w:b/>
          <w:color w:val="auto"/>
          <w:sz w:val="24"/>
          <w:highlight w:val="none"/>
        </w:rPr>
      </w:pPr>
      <w:bookmarkStart w:id="499" w:name="_Toc27644"/>
      <w:bookmarkStart w:id="500" w:name="_Toc5063"/>
      <w:bookmarkStart w:id="501" w:name="_Toc28906"/>
      <w:bookmarkStart w:id="502" w:name="_Toc20808"/>
      <w:bookmarkStart w:id="503" w:name="_Toc12254"/>
      <w:r>
        <w:rPr>
          <w:rFonts w:hint="eastAsia" w:ascii="仿宋" w:hAnsi="仿宋" w:eastAsia="仿宋" w:cs="仿宋"/>
          <w:b/>
          <w:color w:val="auto"/>
          <w:sz w:val="24"/>
          <w:highlight w:val="none"/>
        </w:rPr>
        <w:t>2.17合同使用的文字和适用的法律</w:t>
      </w:r>
      <w:bookmarkEnd w:id="499"/>
      <w:bookmarkEnd w:id="500"/>
      <w:bookmarkEnd w:id="501"/>
      <w:bookmarkEnd w:id="502"/>
      <w:bookmarkEnd w:id="503"/>
    </w:p>
    <w:p w14:paraId="7CC7A5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8EEAE30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11C506A0">
      <w:pPr>
        <w:spacing w:line="560" w:lineRule="exact"/>
        <w:ind w:firstLine="482" w:firstLineChars="200"/>
        <w:outlineLvl w:val="0"/>
        <w:rPr>
          <w:rFonts w:ascii="仿宋" w:hAnsi="仿宋" w:eastAsia="仿宋" w:cs="仿宋"/>
          <w:b/>
          <w:color w:val="auto"/>
          <w:sz w:val="24"/>
          <w:highlight w:val="none"/>
        </w:rPr>
      </w:pPr>
      <w:bookmarkStart w:id="504" w:name="_Toc30599"/>
      <w:bookmarkStart w:id="505" w:name="_Toc4355"/>
      <w:bookmarkStart w:id="506" w:name="_Toc18540"/>
      <w:r>
        <w:rPr>
          <w:rFonts w:hint="eastAsia" w:ascii="仿宋" w:hAnsi="仿宋" w:eastAsia="仿宋" w:cs="仿宋"/>
          <w:b/>
          <w:color w:val="auto"/>
          <w:sz w:val="24"/>
          <w:highlight w:val="none"/>
        </w:rPr>
        <w:t>2.18计量单位</w:t>
      </w:r>
      <w:bookmarkEnd w:id="504"/>
      <w:bookmarkEnd w:id="505"/>
      <w:bookmarkEnd w:id="506"/>
    </w:p>
    <w:p w14:paraId="8388B9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964A778">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BB62CE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F2309E7D">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242"/>
          <w:kern w:val="0"/>
          <w:sz w:val="24"/>
          <w:highlight w:val="none"/>
          <w:fitText w:val="964" w:id="-982736896"/>
        </w:rPr>
        <w:t>分</w:t>
      </w:r>
      <w:r>
        <w:rPr>
          <w:rFonts w:hint="eastAsia" w:ascii="仿宋" w:hAnsi="仿宋" w:eastAsia="仿宋" w:cs="仿宋"/>
          <w:b/>
          <w:color w:val="auto"/>
          <w:spacing w:val="0"/>
          <w:kern w:val="0"/>
          <w:sz w:val="24"/>
          <w:highlight w:val="none"/>
          <w:fitText w:val="964" w:id="-982736896"/>
        </w:rPr>
        <w:t>合</w:t>
      </w:r>
      <w:r>
        <w:rPr>
          <w:rFonts w:hint="eastAsia" w:ascii="仿宋" w:hAnsi="仿宋" w:eastAsia="仿宋" w:cs="仿宋"/>
          <w:b/>
          <w:color w:val="auto"/>
          <w:sz w:val="24"/>
          <w:highlight w:val="none"/>
        </w:rPr>
        <w:t>同专用条款</w:t>
      </w:r>
    </w:p>
    <w:p w14:paraId="E74B55F7">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DC2B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F854A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33BC424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3699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9FA5A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246755E2">
            <w:pPr>
              <w:keepNext w:val="0"/>
              <w:keepLines w:val="0"/>
              <w:pageBreakBefore w:val="0"/>
              <w:widowControl w:val="0"/>
              <w:kinsoku/>
              <w:wordWrap/>
              <w:overflowPunct/>
              <w:topLinePunct w:val="0"/>
              <w:autoSpaceDE/>
              <w:autoSpaceDN/>
              <w:bidi w:val="0"/>
              <w:adjustRightInd w:val="0"/>
              <w:snapToGrid/>
              <w:spacing w:line="320" w:lineRule="exact"/>
              <w:ind w:left="960" w:hanging="960" w:hangingChars="4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677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E4173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CD0F7ADD">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4"/>
                <w:highlight w:val="none"/>
                <w:lang w:val="en-US" w:eastAsia="zh-CN"/>
              </w:rPr>
            </w:pPr>
            <w:r>
              <w:rPr>
                <w:rFonts w:ascii="仿宋" w:hAnsi="仿宋" w:eastAsia="仿宋" w:cs="宋体"/>
                <w:bCs/>
                <w:color w:val="auto"/>
                <w:sz w:val="24"/>
                <w:highlight w:val="none"/>
              </w:rPr>
              <w:t>本项目不收取履约保证金</w:t>
            </w:r>
          </w:p>
        </w:tc>
      </w:tr>
      <w:tr w14:paraId="EA6F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69047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F5FC93F9">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4"/>
                <w:highlight w:val="none"/>
                <w:lang w:eastAsia="zh-CN"/>
              </w:rPr>
            </w:pPr>
            <w:r>
              <w:rPr>
                <w:rFonts w:ascii="仿宋" w:hAnsi="仿宋" w:eastAsia="仿宋" w:cs="宋体"/>
                <w:bCs/>
                <w:color w:val="auto"/>
                <w:sz w:val="24"/>
                <w:highlight w:val="none"/>
              </w:rPr>
              <w:t>合同生效以及具备实施条件后5个工作日内，甲方支付乙方合同总金额的40%</w:t>
            </w:r>
          </w:p>
        </w:tc>
      </w:tr>
      <w:tr w14:paraId="40F34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EA0B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985238E">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预付款不扣回，在每季度的结算中直接用于冲抵当期应付金额。剩余部分（如有）将结转至下一季度继续使用。</w:t>
            </w:r>
          </w:p>
        </w:tc>
      </w:tr>
      <w:tr w14:paraId="E4945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D49EF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A3050A3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E69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A26EA7E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FDFE366">
            <w:pPr>
              <w:keepNext w:val="0"/>
              <w:keepLines w:val="0"/>
              <w:pageBreakBefore w:val="0"/>
              <w:widowControl w:val="0"/>
              <w:kinsoku/>
              <w:wordWrap/>
              <w:overflowPunct/>
              <w:topLinePunct w:val="0"/>
              <w:autoSpaceDE/>
              <w:autoSpaceDN/>
              <w:bidi w:val="0"/>
              <w:adjustRightInd w:val="0"/>
              <w:snapToGrid/>
              <w:spacing w:before="156" w:beforeLines="50" w:line="320" w:lineRule="exact"/>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本项目中标金额为3年服务费用，即每年服务费用为：</w:t>
            </w:r>
            <w:r>
              <w:rPr>
                <w:rFonts w:hint="eastAsia" w:ascii="仿宋" w:hAnsi="仿宋" w:eastAsia="仿宋" w:cs="宋体"/>
                <w:color w:val="auto"/>
                <w:kern w:val="0"/>
                <w:sz w:val="24"/>
                <w:highlight w:val="none"/>
                <w:u w:val="single"/>
                <w:lang w:val="en-US" w:eastAsia="zh-CN"/>
              </w:rPr>
              <w:t xml:space="preserve">   </w:t>
            </w:r>
            <w:r>
              <w:rPr>
                <w:rFonts w:hint="eastAsia" w:ascii="仿宋" w:hAnsi="仿宋" w:eastAsia="仿宋" w:cs="宋体"/>
                <w:color w:val="auto"/>
                <w:kern w:val="0"/>
                <w:sz w:val="24"/>
                <w:highlight w:val="none"/>
                <w:lang w:val="en-US" w:eastAsia="zh-CN"/>
              </w:rPr>
              <w:t>元。（每年服务费用=中标价/3）。</w:t>
            </w:r>
          </w:p>
          <w:p w14:paraId="278A42C8">
            <w:pPr>
              <w:tabs>
                <w:tab w:val="left" w:pos="312"/>
              </w:tabs>
              <w:spacing w:line="440" w:lineRule="exact"/>
              <w:jc w:val="left"/>
              <w:rPr>
                <w:rFonts w:hint="eastAsia" w:ascii="仿宋" w:hAnsi="仿宋" w:eastAsia="仿宋" w:cs="仿宋"/>
                <w:color w:val="auto"/>
                <w:kern w:val="44"/>
                <w:sz w:val="24"/>
                <w:szCs w:val="24"/>
                <w:highlight w:val="none"/>
                <w:lang w:eastAsia="zh-CN"/>
              </w:rPr>
            </w:pPr>
            <w:r>
              <w:rPr>
                <w:rFonts w:hint="eastAsia" w:ascii="仿宋" w:hAnsi="仿宋" w:eastAsia="仿宋" w:cs="仿宋"/>
                <w:color w:val="auto"/>
                <w:kern w:val="44"/>
                <w:sz w:val="24"/>
                <w:szCs w:val="24"/>
                <w:highlight w:val="none"/>
              </w:rPr>
              <w:t>（</w:t>
            </w:r>
            <w:r>
              <w:rPr>
                <w:rFonts w:hint="eastAsia" w:ascii="仿宋" w:hAnsi="仿宋" w:eastAsia="仿宋" w:cs="仿宋"/>
                <w:color w:val="auto"/>
                <w:kern w:val="44"/>
                <w:sz w:val="24"/>
                <w:szCs w:val="24"/>
                <w:highlight w:val="none"/>
                <w:lang w:val="en-US" w:eastAsia="zh-CN"/>
              </w:rPr>
              <w:t>2</w:t>
            </w:r>
            <w:r>
              <w:rPr>
                <w:rFonts w:hint="eastAsia" w:ascii="仿宋" w:hAnsi="仿宋" w:eastAsia="仿宋" w:cs="仿宋"/>
                <w:color w:val="auto"/>
                <w:kern w:val="44"/>
                <w:sz w:val="24"/>
                <w:szCs w:val="24"/>
                <w:highlight w:val="none"/>
              </w:rPr>
              <w:t>）预付款：合同生效以及具备实施条件后5个工作日内</w:t>
            </w:r>
            <w:r>
              <w:rPr>
                <w:rFonts w:hint="eastAsia" w:ascii="仿宋" w:hAnsi="仿宋" w:eastAsia="仿宋" w:cs="仿宋"/>
                <w:color w:val="auto"/>
                <w:kern w:val="44"/>
                <w:sz w:val="24"/>
                <w:szCs w:val="24"/>
                <w:highlight w:val="none"/>
                <w:lang w:val="en-US" w:eastAsia="zh-CN"/>
              </w:rPr>
              <w:t>采购人向中标人</w:t>
            </w:r>
            <w:r>
              <w:rPr>
                <w:rFonts w:hint="eastAsia" w:ascii="仿宋" w:hAnsi="仿宋" w:eastAsia="仿宋" w:cs="仿宋"/>
                <w:color w:val="auto"/>
                <w:kern w:val="44"/>
                <w:sz w:val="24"/>
                <w:szCs w:val="24"/>
                <w:highlight w:val="none"/>
              </w:rPr>
              <w:t>支付</w:t>
            </w:r>
            <w:r>
              <w:rPr>
                <w:rFonts w:hint="eastAsia" w:ascii="仿宋" w:hAnsi="仿宋" w:eastAsia="仿宋" w:cs="仿宋"/>
                <w:color w:val="auto"/>
                <w:kern w:val="44"/>
                <w:sz w:val="24"/>
                <w:szCs w:val="24"/>
                <w:highlight w:val="none"/>
                <w:lang w:val="en-US" w:eastAsia="zh-CN"/>
              </w:rPr>
              <w:t>第一年合同金额的40%作为预付款，预付款不扣回，在每季度的结算中直接用于冲抵当期应付金额。剩余部分（如有）将结转至下一季度继续使用</w:t>
            </w:r>
            <w:r>
              <w:rPr>
                <w:rFonts w:hint="eastAsia" w:ascii="仿宋" w:hAnsi="仿宋" w:eastAsia="仿宋" w:cs="仿宋"/>
                <w:color w:val="auto"/>
                <w:kern w:val="44"/>
                <w:sz w:val="24"/>
                <w:szCs w:val="24"/>
                <w:highlight w:val="none"/>
              </w:rPr>
              <w:t>。</w:t>
            </w:r>
            <w:r>
              <w:rPr>
                <w:rFonts w:hint="eastAsia" w:ascii="仿宋" w:hAnsi="仿宋" w:eastAsia="仿宋" w:cs="仿宋"/>
                <w:color w:val="auto"/>
                <w:kern w:val="44"/>
                <w:sz w:val="24"/>
                <w:szCs w:val="24"/>
                <w:highlight w:val="none"/>
                <w:lang w:eastAsia="zh-CN"/>
              </w:rPr>
              <w:t>（</w:t>
            </w:r>
            <w:r>
              <w:rPr>
                <w:rFonts w:hint="eastAsia" w:ascii="仿宋" w:hAnsi="仿宋" w:eastAsia="仿宋" w:cs="仿宋"/>
                <w:color w:val="auto"/>
                <w:kern w:val="44"/>
                <w:sz w:val="24"/>
                <w:szCs w:val="24"/>
                <w:highlight w:val="none"/>
              </w:rPr>
              <w:t>在签订合同时，</w:t>
            </w:r>
            <w:r>
              <w:rPr>
                <w:rFonts w:hint="eastAsia" w:ascii="仿宋" w:hAnsi="仿宋" w:eastAsia="仿宋" w:cs="仿宋"/>
                <w:color w:val="auto"/>
                <w:kern w:val="44"/>
                <w:sz w:val="24"/>
                <w:szCs w:val="24"/>
                <w:highlight w:val="none"/>
                <w:lang w:val="en-US" w:eastAsia="zh-CN"/>
              </w:rPr>
              <w:t>中标人</w:t>
            </w:r>
            <w:r>
              <w:rPr>
                <w:rFonts w:hint="eastAsia" w:ascii="仿宋" w:hAnsi="仿宋" w:eastAsia="仿宋" w:cs="仿宋"/>
                <w:color w:val="auto"/>
                <w:kern w:val="44"/>
                <w:sz w:val="24"/>
                <w:szCs w:val="24"/>
                <w:highlight w:val="none"/>
              </w:rPr>
              <w:t>明确表示无需预付款或者主动要求降低预付款比例的，采购</w:t>
            </w:r>
            <w:r>
              <w:rPr>
                <w:rFonts w:hint="eastAsia" w:ascii="仿宋" w:hAnsi="仿宋" w:eastAsia="仿宋" w:cs="仿宋"/>
                <w:color w:val="auto"/>
                <w:kern w:val="44"/>
                <w:sz w:val="24"/>
                <w:szCs w:val="24"/>
                <w:highlight w:val="none"/>
                <w:lang w:val="en-US" w:eastAsia="zh-CN"/>
              </w:rPr>
              <w:t>人</w:t>
            </w:r>
            <w:r>
              <w:rPr>
                <w:rFonts w:hint="eastAsia" w:ascii="仿宋" w:hAnsi="仿宋" w:eastAsia="仿宋" w:cs="仿宋"/>
                <w:color w:val="auto"/>
                <w:kern w:val="44"/>
                <w:sz w:val="24"/>
                <w:szCs w:val="24"/>
                <w:highlight w:val="none"/>
              </w:rPr>
              <w:t>可不适用前述规定。</w:t>
            </w:r>
            <w:r>
              <w:rPr>
                <w:rFonts w:hint="eastAsia" w:ascii="仿宋" w:hAnsi="仿宋" w:eastAsia="仿宋" w:cs="仿宋"/>
                <w:color w:val="auto"/>
                <w:kern w:val="44"/>
                <w:sz w:val="24"/>
                <w:szCs w:val="24"/>
                <w:highlight w:val="none"/>
                <w:lang w:eastAsia="zh-CN"/>
              </w:rPr>
              <w:t>）</w:t>
            </w:r>
          </w:p>
          <w:p w14:paraId="DE936C52">
            <w:pPr>
              <w:tabs>
                <w:tab w:val="left" w:pos="312"/>
              </w:tabs>
              <w:spacing w:line="440" w:lineRule="exact"/>
              <w:ind w:firstLine="0" w:firstLineChars="0"/>
              <w:jc w:val="left"/>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w:t>
            </w:r>
            <w:r>
              <w:rPr>
                <w:rFonts w:hint="eastAsia" w:ascii="仿宋" w:hAnsi="仿宋" w:eastAsia="仿宋" w:cs="仿宋"/>
                <w:color w:val="auto"/>
                <w:kern w:val="44"/>
                <w:sz w:val="24"/>
                <w:szCs w:val="24"/>
                <w:highlight w:val="none"/>
                <w:lang w:val="en-US" w:eastAsia="zh-CN"/>
              </w:rPr>
              <w:t>3</w:t>
            </w:r>
            <w:r>
              <w:rPr>
                <w:rFonts w:hint="eastAsia" w:ascii="仿宋" w:hAnsi="仿宋" w:eastAsia="仿宋" w:cs="仿宋"/>
                <w:color w:val="auto"/>
                <w:kern w:val="44"/>
                <w:sz w:val="24"/>
                <w:szCs w:val="24"/>
                <w:highlight w:val="none"/>
              </w:rPr>
              <w:t>）履约保证金：本项目不收取履约保证金。</w:t>
            </w:r>
          </w:p>
          <w:p w14:paraId="A80BFE6E">
            <w:pPr>
              <w:tabs>
                <w:tab w:val="left" w:pos="312"/>
              </w:tabs>
              <w:spacing w:line="440" w:lineRule="exact"/>
              <w:jc w:val="left"/>
              <w:rPr>
                <w:rFonts w:hint="eastAsia" w:ascii="仿宋" w:hAnsi="仿宋" w:eastAsia="仿宋" w:cs="仿宋"/>
                <w:color w:val="auto"/>
                <w:kern w:val="44"/>
                <w:sz w:val="24"/>
                <w:highlight w:val="none"/>
                <w:lang w:eastAsia="zh-CN"/>
              </w:rPr>
            </w:pPr>
            <w:r>
              <w:rPr>
                <w:rFonts w:hint="eastAsia" w:ascii="仿宋" w:hAnsi="仿宋" w:eastAsia="仿宋" w:cs="仿宋"/>
                <w:color w:val="auto"/>
                <w:kern w:val="44"/>
                <w:sz w:val="24"/>
                <w:szCs w:val="24"/>
                <w:highlight w:val="none"/>
              </w:rPr>
              <w:t>（</w:t>
            </w:r>
            <w:r>
              <w:rPr>
                <w:rFonts w:hint="eastAsia" w:ascii="仿宋" w:hAnsi="仿宋" w:eastAsia="仿宋" w:cs="仿宋"/>
                <w:color w:val="auto"/>
                <w:kern w:val="44"/>
                <w:sz w:val="24"/>
                <w:szCs w:val="24"/>
                <w:highlight w:val="none"/>
                <w:lang w:val="en-US" w:eastAsia="zh-CN"/>
              </w:rPr>
              <w:t>4</w:t>
            </w:r>
            <w:r>
              <w:rPr>
                <w:rFonts w:hint="eastAsia" w:ascii="仿宋" w:hAnsi="仿宋" w:eastAsia="仿宋" w:cs="仿宋"/>
                <w:color w:val="auto"/>
                <w:kern w:val="44"/>
                <w:sz w:val="24"/>
                <w:szCs w:val="24"/>
                <w:highlight w:val="none"/>
              </w:rPr>
              <w:t>）服务费用结算：按</w:t>
            </w:r>
            <w:r>
              <w:rPr>
                <w:rFonts w:hint="eastAsia" w:ascii="仿宋" w:hAnsi="仿宋" w:eastAsia="仿宋" w:cs="仿宋"/>
                <w:color w:val="auto"/>
                <w:kern w:val="44"/>
                <w:sz w:val="24"/>
                <w:szCs w:val="24"/>
                <w:highlight w:val="none"/>
                <w:lang w:val="en-US" w:eastAsia="zh-CN"/>
              </w:rPr>
              <w:t>季度</w:t>
            </w:r>
            <w:r>
              <w:rPr>
                <w:rFonts w:hint="eastAsia" w:ascii="仿宋" w:hAnsi="仿宋" w:eastAsia="仿宋" w:cs="仿宋"/>
                <w:color w:val="auto"/>
                <w:kern w:val="44"/>
                <w:sz w:val="24"/>
                <w:szCs w:val="24"/>
                <w:highlight w:val="none"/>
              </w:rPr>
              <w:t>结算，</w:t>
            </w:r>
            <w:r>
              <w:rPr>
                <w:rFonts w:hint="eastAsia" w:ascii="仿宋" w:hAnsi="仿宋" w:eastAsia="仿宋" w:cs="仿宋"/>
                <w:color w:val="auto"/>
                <w:kern w:val="44"/>
                <w:sz w:val="24"/>
                <w:highlight w:val="none"/>
              </w:rPr>
              <w:t>每季度完成</w:t>
            </w:r>
            <w:r>
              <w:rPr>
                <w:rFonts w:hint="eastAsia" w:ascii="仿宋" w:hAnsi="仿宋" w:eastAsia="仿宋" w:cs="仿宋"/>
                <w:color w:val="auto"/>
                <w:kern w:val="44"/>
                <w:sz w:val="24"/>
                <w:highlight w:val="none"/>
                <w:lang w:val="en-US" w:eastAsia="zh-CN"/>
              </w:rPr>
              <w:t>的工作任务</w:t>
            </w:r>
            <w:r>
              <w:rPr>
                <w:rFonts w:hint="eastAsia" w:ascii="仿宋" w:hAnsi="仿宋" w:eastAsia="仿宋" w:cs="仿宋"/>
                <w:color w:val="auto"/>
                <w:kern w:val="44"/>
                <w:sz w:val="24"/>
                <w:highlight w:val="none"/>
              </w:rPr>
              <w:t>结合</w:t>
            </w:r>
            <w:r>
              <w:rPr>
                <w:rFonts w:hint="eastAsia" w:ascii="仿宋" w:hAnsi="仿宋" w:eastAsia="仿宋" w:cs="仿宋"/>
                <w:color w:val="auto"/>
                <w:kern w:val="44"/>
                <w:sz w:val="24"/>
                <w:highlight w:val="none"/>
                <w:lang w:val="en-US" w:eastAsia="zh-CN"/>
              </w:rPr>
              <w:t>当</w:t>
            </w:r>
            <w:r>
              <w:rPr>
                <w:rFonts w:hint="eastAsia" w:ascii="仿宋" w:hAnsi="仿宋" w:eastAsia="仿宋" w:cs="仿宋"/>
                <w:color w:val="auto"/>
                <w:kern w:val="44"/>
                <w:sz w:val="24"/>
                <w:highlight w:val="none"/>
              </w:rPr>
              <w:t>季考核得分，按照《考核得分与付款比例一览表》支付相应比例的服务费</w:t>
            </w:r>
            <w:r>
              <w:rPr>
                <w:rFonts w:hint="eastAsia" w:ascii="仿宋" w:hAnsi="仿宋" w:eastAsia="仿宋" w:cs="仿宋"/>
                <w:color w:val="auto"/>
                <w:kern w:val="44"/>
                <w:sz w:val="24"/>
                <w:highlight w:val="none"/>
                <w:lang w:eastAsia="zh-CN"/>
              </w:rPr>
              <w:t>。</w:t>
            </w:r>
          </w:p>
          <w:p w14:paraId="E9CA59D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ascii="仿宋" w:hAnsi="仿宋" w:eastAsia="仿宋" w:cs="仿宋"/>
                <w:color w:val="auto"/>
                <w:sz w:val="24"/>
                <w:highlight w:val="none"/>
              </w:rPr>
            </w:pPr>
            <w:r>
              <w:rPr>
                <w:rFonts w:hint="eastAsia" w:ascii="仿宋" w:hAnsi="仿宋" w:eastAsia="仿宋"/>
                <w:color w:val="auto"/>
                <w:sz w:val="24"/>
                <w:szCs w:val="24"/>
                <w:highlight w:val="none"/>
              </w:rPr>
              <w:t>注：付款前，中标</w:t>
            </w:r>
            <w:r>
              <w:rPr>
                <w:rFonts w:hint="eastAsia" w:ascii="仿宋" w:hAnsi="仿宋" w:eastAsia="仿宋"/>
                <w:color w:val="auto"/>
                <w:sz w:val="24"/>
                <w:szCs w:val="24"/>
                <w:highlight w:val="none"/>
                <w:lang w:eastAsia="zh-CN"/>
              </w:rPr>
              <w:t>人</w:t>
            </w:r>
            <w:r>
              <w:rPr>
                <w:rFonts w:hint="eastAsia" w:ascii="仿宋" w:hAnsi="仿宋" w:eastAsia="仿宋"/>
                <w:color w:val="auto"/>
                <w:sz w:val="24"/>
                <w:szCs w:val="24"/>
                <w:highlight w:val="none"/>
              </w:rPr>
              <w:t>须提供符合要求的财务发票，否则采购人有权不予支付，且不承担违约责任，但中标</w:t>
            </w:r>
            <w:r>
              <w:rPr>
                <w:rFonts w:hint="eastAsia" w:ascii="仿宋" w:hAnsi="仿宋" w:eastAsia="仿宋"/>
                <w:color w:val="auto"/>
                <w:sz w:val="24"/>
                <w:szCs w:val="24"/>
                <w:highlight w:val="none"/>
                <w:lang w:eastAsia="zh-CN"/>
              </w:rPr>
              <w:t>人</w:t>
            </w:r>
            <w:r>
              <w:rPr>
                <w:rFonts w:hint="eastAsia" w:ascii="仿宋" w:hAnsi="仿宋" w:eastAsia="仿宋"/>
                <w:color w:val="auto"/>
                <w:sz w:val="24"/>
                <w:szCs w:val="24"/>
                <w:highlight w:val="none"/>
              </w:rPr>
              <w:t>仍须履行本合同。</w:t>
            </w:r>
          </w:p>
        </w:tc>
      </w:tr>
      <w:tr w14:paraId="F44E1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D197E20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9E3F43A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合同一年一签；如遇政策调整等问题，或服务期内年末采购人组织对中标单位服务情况未通过综合考评，采购人有权提前终止合同。</w:t>
            </w:r>
            <w:r>
              <w:rPr>
                <w:rFonts w:hint="eastAsia" w:ascii="仿宋" w:hAnsi="仿宋" w:eastAsia="仿宋" w:cs="仿宋"/>
                <w:color w:val="auto"/>
                <w:sz w:val="24"/>
                <w:highlight w:val="none"/>
              </w:rPr>
              <w:t>（即</w:t>
            </w:r>
            <w:r>
              <w:rPr>
                <w:rFonts w:hint="eastAsia" w:ascii="仿宋" w:hAnsi="仿宋" w:eastAsia="仿宋" w:cs="仿宋"/>
                <w:color w:val="auto"/>
                <w:sz w:val="24"/>
                <w:highlight w:val="none"/>
                <w:lang w:val="en-US" w:eastAsia="zh-CN"/>
              </w:rPr>
              <w:t>第一年度：</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  月  日至202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年  月  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第二年度：</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年  月  日至202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年  月  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第三年度：</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年  月  日至202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  月  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如执行第二、三年度需另行签订合同</w:t>
            </w:r>
            <w:r>
              <w:rPr>
                <w:rFonts w:hint="eastAsia" w:ascii="仿宋" w:hAnsi="仿宋" w:eastAsia="仿宋" w:cs="仿宋"/>
                <w:color w:val="auto"/>
                <w:sz w:val="24"/>
                <w:highlight w:val="none"/>
              </w:rPr>
              <w:t>）</w:t>
            </w:r>
          </w:p>
        </w:tc>
      </w:tr>
      <w:tr w14:paraId="0D831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F715598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AC2ADCBC">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杭州市滨江区</w:t>
            </w:r>
            <w:r>
              <w:rPr>
                <w:rFonts w:hint="eastAsia" w:ascii="仿宋" w:hAnsi="仿宋" w:eastAsia="仿宋" w:cs="仿宋"/>
                <w:color w:val="auto"/>
                <w:sz w:val="24"/>
                <w:highlight w:val="none"/>
                <w:lang w:val="en-US" w:eastAsia="zh-CN"/>
              </w:rPr>
              <w:t>浦沿</w:t>
            </w:r>
            <w:r>
              <w:rPr>
                <w:rFonts w:hint="eastAsia" w:ascii="仿宋" w:hAnsi="仿宋" w:eastAsia="仿宋" w:cs="仿宋"/>
                <w:color w:val="auto"/>
                <w:sz w:val="24"/>
                <w:highlight w:val="none"/>
                <w:lang w:eastAsia="zh-CN"/>
              </w:rPr>
              <w:t>街道</w:t>
            </w:r>
          </w:p>
        </w:tc>
      </w:tr>
      <w:tr w14:paraId="9D633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AE43D8B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19AEBE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按项目服务要求及本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内容</w:t>
            </w:r>
            <w:r>
              <w:rPr>
                <w:rFonts w:hint="eastAsia" w:ascii="仿宋" w:hAnsi="仿宋" w:eastAsia="仿宋" w:cs="仿宋"/>
                <w:color w:val="auto"/>
                <w:sz w:val="24"/>
                <w:highlight w:val="none"/>
              </w:rPr>
              <w:t>提供服务</w:t>
            </w:r>
          </w:p>
        </w:tc>
      </w:tr>
      <w:tr w14:paraId="CE9C7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A988B65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3B597D8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2248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9D33BBC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9B21023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83A4F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BB55F0E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F3E522B8">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F9C3B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90AC954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9D3E61C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CE15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9F9E71B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8398486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杭州市</w:t>
            </w:r>
          </w:p>
        </w:tc>
      </w:tr>
      <w:tr w14:paraId="F834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26F5C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39CAF47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杭州市</w:t>
            </w:r>
            <w:r>
              <w:rPr>
                <w:rFonts w:hint="eastAsia" w:ascii="仿宋" w:hAnsi="仿宋" w:eastAsia="仿宋" w:cs="仿宋"/>
                <w:color w:val="auto"/>
                <w:sz w:val="24"/>
                <w:highlight w:val="none"/>
              </w:rPr>
              <w:t>滨江区</w:t>
            </w:r>
          </w:p>
        </w:tc>
      </w:tr>
      <w:tr w14:paraId="04EE8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B13DDB6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1D25F52A">
            <w:pPr>
              <w:keepNext w:val="0"/>
              <w:keepLines w:val="0"/>
              <w:pageBreakBefore w:val="0"/>
              <w:widowControl w:val="0"/>
              <w:kinsoku/>
              <w:wordWrap/>
              <w:overflowPunct/>
              <w:topLinePunct w:val="0"/>
              <w:autoSpaceDE/>
              <w:autoSpaceDN/>
              <w:bidi w:val="0"/>
              <w:adjustRightInd w:val="0"/>
              <w:snapToGrid/>
              <w:spacing w:line="320" w:lineRule="exact"/>
              <w:ind w:left="-420" w:leftChars="-200" w:right="-420" w:righ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05C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14FD8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20C7EE00">
            <w:pPr>
              <w:keepNext w:val="0"/>
              <w:keepLines w:val="0"/>
              <w:pageBreakBefore w:val="0"/>
              <w:widowControl w:val="0"/>
              <w:kinsoku/>
              <w:wordWrap/>
              <w:overflowPunct/>
              <w:topLinePunct w:val="0"/>
              <w:autoSpaceDE/>
              <w:autoSpaceDN/>
              <w:bidi w:val="0"/>
              <w:adjustRightInd w:val="0"/>
              <w:snapToGrid/>
              <w:spacing w:line="320" w:lineRule="exact"/>
              <w:ind w:left="-420" w:leftChars="-200" w:right="-420" w:rightChars="-20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见1.6.2条款</w:t>
            </w:r>
          </w:p>
        </w:tc>
      </w:tr>
      <w:tr w14:paraId="D9935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E738B56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BA46CC6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15个工作日</w:t>
            </w:r>
          </w:p>
        </w:tc>
      </w:tr>
      <w:tr w14:paraId="ED9F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F499AF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DBD112F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ascii="仿宋" w:hAnsi="仿宋" w:eastAsia="仿宋" w:cs="仿宋"/>
                <w:color w:val="auto"/>
                <w:sz w:val="24"/>
                <w:highlight w:val="none"/>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A1B3E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AF658FF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6FB1186B">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（1）验收主体：</w:t>
            </w:r>
            <w:r>
              <w:rPr>
                <w:rFonts w:hint="eastAsia" w:ascii="仿宋" w:hAnsi="仿宋" w:eastAsia="仿宋" w:cs="仿宋"/>
                <w:color w:val="auto"/>
                <w:kern w:val="0"/>
                <w:sz w:val="24"/>
                <w:highlight w:val="none"/>
                <w:lang w:eastAsia="zh-CN"/>
              </w:rPr>
              <w:t>杭州市滨江区人民政府浦沿街道办事处</w:t>
            </w:r>
          </w:p>
          <w:p w14:paraId="228BCE87">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）采购人在</w:t>
            </w:r>
            <w:r>
              <w:rPr>
                <w:rFonts w:hint="eastAsia" w:ascii="仿宋" w:hAnsi="仿宋" w:eastAsia="仿宋" w:cs="仿宋"/>
                <w:color w:val="auto"/>
                <w:kern w:val="0"/>
                <w:sz w:val="24"/>
                <w:highlight w:val="none"/>
                <w:lang w:val="en-US" w:eastAsia="zh-CN"/>
              </w:rPr>
              <w:t>中标</w:t>
            </w:r>
            <w:r>
              <w:rPr>
                <w:rFonts w:hint="eastAsia" w:ascii="仿宋" w:hAnsi="仿宋" w:eastAsia="仿宋" w:cs="仿宋"/>
                <w:color w:val="auto"/>
                <w:kern w:val="0"/>
                <w:sz w:val="24"/>
                <w:highlight w:val="none"/>
              </w:rPr>
              <w:t>人提供服务的过程中，有权不定期对服务内容和质量进行考核。</w:t>
            </w:r>
            <w:r>
              <w:rPr>
                <w:rFonts w:hint="eastAsia" w:ascii="仿宋" w:hAnsi="仿宋" w:eastAsia="仿宋" w:cs="仿宋"/>
                <w:color w:val="auto"/>
                <w:kern w:val="0"/>
                <w:sz w:val="24"/>
                <w:highlight w:val="none"/>
                <w:lang w:val="en-US" w:eastAsia="zh-CN"/>
              </w:rPr>
              <w:t>中标</w:t>
            </w:r>
            <w:r>
              <w:rPr>
                <w:rFonts w:hint="eastAsia" w:ascii="仿宋" w:hAnsi="仿宋" w:eastAsia="仿宋" w:cs="仿宋"/>
                <w:color w:val="auto"/>
                <w:kern w:val="0"/>
                <w:sz w:val="24"/>
                <w:highlight w:val="none"/>
              </w:rPr>
              <w:t>人应当配合进行。</w:t>
            </w:r>
          </w:p>
          <w:p w14:paraId="336F6BBF">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）最终验收时间：服务内容执行完毕、服务期截止后。</w:t>
            </w:r>
          </w:p>
          <w:p w14:paraId="7F354008">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）验收程序：</w:t>
            </w:r>
            <w:r>
              <w:rPr>
                <w:rFonts w:hint="eastAsia" w:ascii="仿宋" w:hAnsi="仿宋" w:eastAsia="仿宋" w:cs="仿宋"/>
                <w:color w:val="auto"/>
                <w:kern w:val="0"/>
                <w:sz w:val="24"/>
                <w:highlight w:val="none"/>
                <w:lang w:val="en-US" w:eastAsia="zh-CN"/>
              </w:rPr>
              <w:t>中标</w:t>
            </w:r>
            <w:r>
              <w:rPr>
                <w:rFonts w:hint="eastAsia" w:ascii="仿宋" w:hAnsi="仿宋" w:eastAsia="仿宋" w:cs="仿宋"/>
                <w:color w:val="auto"/>
                <w:kern w:val="0"/>
                <w:sz w:val="24"/>
                <w:highlight w:val="none"/>
              </w:rPr>
              <w:t>人向采购人提出申请验收，采购人按验收方案组织履约验收。</w:t>
            </w:r>
            <w:r>
              <w:rPr>
                <w:rFonts w:hint="eastAsia" w:ascii="仿宋" w:hAnsi="仿宋" w:eastAsia="仿宋" w:cs="仿宋"/>
                <w:color w:val="auto"/>
                <w:kern w:val="0"/>
                <w:sz w:val="24"/>
                <w:highlight w:val="none"/>
                <w:lang w:val="en-US" w:eastAsia="zh-CN"/>
              </w:rPr>
              <w:t>中标</w:t>
            </w:r>
            <w:r>
              <w:rPr>
                <w:rFonts w:hint="eastAsia" w:ascii="仿宋" w:hAnsi="仿宋" w:eastAsia="仿宋" w:cs="仿宋"/>
                <w:color w:val="auto"/>
                <w:kern w:val="0"/>
                <w:sz w:val="24"/>
                <w:highlight w:val="none"/>
              </w:rPr>
              <w:t>人应将项目执行过程及时记录、收集、整理，向采购人递交验收申请资料。</w:t>
            </w:r>
          </w:p>
          <w:p w14:paraId="EE869A37">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）验收内容：</w:t>
            </w:r>
            <w:r>
              <w:rPr>
                <w:rFonts w:hint="eastAsia" w:ascii="仿宋" w:hAnsi="仿宋" w:eastAsia="仿宋" w:cs="仿宋"/>
                <w:color w:val="auto"/>
                <w:kern w:val="0"/>
                <w:sz w:val="24"/>
                <w:highlight w:val="none"/>
                <w:lang w:val="en-US" w:eastAsia="zh-CN"/>
              </w:rPr>
              <w:t>根据采购文件确定的技术指标或者服务要求确定验收指标和标准。未进行相应约定的，应当符合国家强制性规定、政策要求、安全标准、行业或企业有关标准等。</w:t>
            </w:r>
          </w:p>
          <w:p w14:paraId="278154DA">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6</w:t>
            </w:r>
            <w:r>
              <w:rPr>
                <w:rFonts w:hint="eastAsia" w:ascii="仿宋" w:hAnsi="仿宋" w:eastAsia="仿宋" w:cs="仿宋"/>
                <w:color w:val="auto"/>
                <w:kern w:val="0"/>
                <w:sz w:val="24"/>
                <w:highlight w:val="none"/>
              </w:rPr>
              <w:t>）验收标准：按照</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文件、响应文件及采购合同的约定对每一项技术、服务、安全标准的履约情况进行确认。未进行相应约定的，应当符合国家强制性规定、政策要求、安全标准、行业或企业有关标准等。</w:t>
            </w:r>
          </w:p>
          <w:p w14:paraId="93CD8E94">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7</w:t>
            </w:r>
            <w:r>
              <w:rPr>
                <w:rFonts w:hint="eastAsia" w:ascii="仿宋" w:hAnsi="仿宋" w:eastAsia="仿宋" w:cs="仿宋"/>
                <w:color w:val="auto"/>
                <w:kern w:val="0"/>
                <w:sz w:val="24"/>
                <w:highlight w:val="none"/>
              </w:rPr>
              <w:t>）履约验收其他事项：验收合格的项目，采购人将根据采购合同的约定及时向投标人支付采购资金。验收不合格的项目，采购人将依法及时处理。采购合同的履行、违约责任和解决争议的方式等适用《中华人民共和国民法典》。</w:t>
            </w:r>
          </w:p>
        </w:tc>
      </w:tr>
      <w:tr w14:paraId="B086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FE7680C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3F13D37B">
            <w:pPr>
              <w:keepNext w:val="0"/>
              <w:keepLines w:val="0"/>
              <w:pageBreakBefore w:val="0"/>
              <w:widowControl w:val="0"/>
              <w:tabs>
                <w:tab w:val="left" w:pos="0"/>
              </w:tabs>
              <w:kinsoku/>
              <w:wordWrap/>
              <w:overflowPunct/>
              <w:topLinePunct w:val="0"/>
              <w:autoSpaceDE/>
              <w:autoSpaceDN/>
              <w:bidi w:val="0"/>
              <w:adjustRightInd w:val="0"/>
              <w:snapToGrid/>
              <w:spacing w:line="320" w:lineRule="exact"/>
              <w:textAlignment w:val="auto"/>
              <w:rPr>
                <w:rFonts w:ascii="仿宋" w:hAnsi="仿宋" w:eastAsia="仿宋" w:cs="仿宋"/>
                <w:color w:val="auto"/>
                <w:sz w:val="24"/>
                <w:highlight w:val="none"/>
              </w:rPr>
            </w:pPr>
            <w:r>
              <w:rPr>
                <w:rFonts w:hint="eastAsia" w:ascii="仿宋" w:hAnsi="仿宋" w:eastAsia="仿宋" w:cs="宋体"/>
                <w:color w:val="auto"/>
                <w:sz w:val="24"/>
                <w:highlight w:val="none"/>
              </w:rPr>
              <w:t>冲突时，以较严格标准和要求执行。</w:t>
            </w:r>
          </w:p>
        </w:tc>
      </w:tr>
      <w:tr w14:paraId="DB7CE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357359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734F440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本合同一式【陆】份，甲方执【叁】份，乙方执【叁】份</w:t>
            </w:r>
          </w:p>
        </w:tc>
      </w:tr>
    </w:tbl>
    <w:p w14:paraId="4B031784">
      <w:pPr>
        <w:widowControl/>
        <w:adjustRightInd/>
        <w:jc w:val="center"/>
        <w:rPr>
          <w:rFonts w:ascii="仿宋" w:hAnsi="仿宋" w:eastAsia="仿宋" w:cs="仿宋"/>
          <w:b/>
          <w:color w:val="auto"/>
          <w:sz w:val="36"/>
          <w:szCs w:val="20"/>
          <w:highlight w:val="none"/>
        </w:rPr>
        <w:sectPr>
          <w:pgSz w:w="11906" w:h="16838"/>
          <w:pgMar w:top="1276" w:right="1418" w:bottom="1247" w:left="1418" w:header="851" w:footer="992" w:gutter="0"/>
          <w:cols w:space="720" w:num="1"/>
          <w:titlePg/>
          <w:docGrid w:linePitch="312" w:charSpace="0"/>
        </w:sectPr>
      </w:pPr>
    </w:p>
    <w:p w14:paraId="67B801B4">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w:t>
      </w:r>
      <w:r>
        <w:rPr>
          <w:rFonts w:hint="eastAsia" w:ascii="仿宋" w:hAnsi="仿宋" w:eastAsia="仿宋" w:cs="仿宋"/>
          <w:b/>
          <w:color w:val="auto"/>
          <w:spacing w:val="362"/>
          <w:kern w:val="0"/>
          <w:sz w:val="36"/>
          <w:szCs w:val="20"/>
          <w:highlight w:val="none"/>
          <w:fitText w:val="1444" w:id="-982736895"/>
        </w:rPr>
        <w:t>分</w:t>
      </w:r>
      <w:bookmarkEnd w:id="393"/>
      <w:r>
        <w:rPr>
          <w:rFonts w:hint="eastAsia" w:ascii="仿宋" w:hAnsi="仿宋" w:eastAsia="仿宋" w:cs="仿宋"/>
          <w:b/>
          <w:color w:val="auto"/>
          <w:spacing w:val="0"/>
          <w:kern w:val="0"/>
          <w:sz w:val="36"/>
          <w:szCs w:val="20"/>
          <w:highlight w:val="none"/>
          <w:fitText w:val="1444" w:id="-982736895"/>
        </w:rPr>
        <w:t>应</w:t>
      </w:r>
      <w:r>
        <w:rPr>
          <w:rFonts w:hint="eastAsia" w:ascii="仿宋" w:hAnsi="仿宋" w:eastAsia="仿宋" w:cs="仿宋"/>
          <w:b/>
          <w:color w:val="auto"/>
          <w:sz w:val="36"/>
          <w:szCs w:val="20"/>
          <w:highlight w:val="none"/>
        </w:rPr>
        <w:t>提交的有关格式范例</w:t>
      </w:r>
    </w:p>
    <w:p w14:paraId="AEDE7EE1">
      <w:pPr>
        <w:spacing w:line="360" w:lineRule="auto"/>
        <w:jc w:val="center"/>
        <w:outlineLvl w:val="0"/>
        <w:rPr>
          <w:rFonts w:ascii="仿宋" w:hAnsi="仿宋" w:eastAsia="仿宋" w:cs="仿宋"/>
          <w:b/>
          <w:color w:val="auto"/>
          <w:kern w:val="0"/>
          <w:sz w:val="36"/>
          <w:szCs w:val="36"/>
          <w:highlight w:val="none"/>
        </w:rPr>
      </w:pPr>
    </w:p>
    <w:p w14:paraId="38B92386">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FB4E798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3AE3E91">
      <w:pPr>
        <w:spacing w:line="360" w:lineRule="auto"/>
        <w:jc w:val="center"/>
        <w:outlineLvl w:val="0"/>
        <w:rPr>
          <w:rFonts w:ascii="仿宋" w:hAnsi="仿宋" w:eastAsia="仿宋" w:cs="仿宋"/>
          <w:b/>
          <w:color w:val="auto"/>
          <w:kern w:val="0"/>
          <w:sz w:val="36"/>
          <w:szCs w:val="36"/>
          <w:highlight w:val="none"/>
        </w:rPr>
      </w:pPr>
    </w:p>
    <w:p w14:paraId="E542C14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89B25A78">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B243C09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0107C8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822ECE1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7B5E955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AE49A9F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F85B6D2C">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91CEA4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DB77EA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53E53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8F309A9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F6A9A9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D36EB12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D825C1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2E2F97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D7434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C48736B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AD34F70">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BD86DD37">
      <w:pPr>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50E233E">
      <w:pPr>
        <w:widowControl/>
        <w:spacing w:line="360" w:lineRule="auto"/>
        <w:ind w:firstLine="643" w:firstLineChars="200"/>
        <w:jc w:val="center"/>
        <w:rPr>
          <w:rFonts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C5772C5">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873C1EED">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B132912">
      <w:pPr>
        <w:snapToGrid w:val="0"/>
        <w:spacing w:line="360" w:lineRule="auto"/>
        <w:ind w:right="480"/>
        <w:jc w:val="center"/>
        <w:rPr>
          <w:rFonts w:ascii="仿宋" w:hAnsi="仿宋" w:eastAsia="仿宋" w:cs="仿宋"/>
          <w:b/>
          <w:color w:val="auto"/>
          <w:kern w:val="0"/>
          <w:sz w:val="32"/>
          <w:szCs w:val="32"/>
          <w:highlight w:val="none"/>
        </w:rPr>
      </w:pPr>
    </w:p>
    <w:p w14:paraId="ACA05CC2">
      <w:pPr>
        <w:snapToGrid w:val="0"/>
        <w:spacing w:line="360" w:lineRule="auto"/>
        <w:ind w:right="480"/>
        <w:jc w:val="center"/>
        <w:rPr>
          <w:rFonts w:ascii="仿宋" w:hAnsi="仿宋" w:eastAsia="仿宋" w:cs="仿宋"/>
          <w:b/>
          <w:color w:val="auto"/>
          <w:kern w:val="0"/>
          <w:sz w:val="32"/>
          <w:szCs w:val="32"/>
          <w:highlight w:val="none"/>
        </w:rPr>
      </w:pPr>
    </w:p>
    <w:p w14:paraId="E492F938">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283F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A9054C15">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8C1E942C">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EB02706">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868731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7F0238D">
      <w:pPr>
        <w:widowControl/>
        <w:spacing w:line="360" w:lineRule="auto"/>
        <w:ind w:left="150"/>
        <w:jc w:val="center"/>
        <w:rPr>
          <w:rFonts w:ascii="仿宋" w:hAnsi="仿宋" w:eastAsia="仿宋" w:cs="仿宋"/>
          <w:b/>
          <w:color w:val="auto"/>
          <w:kern w:val="0"/>
          <w:sz w:val="32"/>
          <w:szCs w:val="32"/>
          <w:highlight w:val="none"/>
        </w:rPr>
      </w:pPr>
    </w:p>
    <w:p w14:paraId="98A5F098">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CE27318">
      <w:pPr>
        <w:spacing w:line="360" w:lineRule="auto"/>
        <w:jc w:val="center"/>
        <w:rPr>
          <w:rFonts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（根据招标公告本项目的特定资格要求提供相应的材料；未要求的，无需提供）</w:t>
      </w:r>
    </w:p>
    <w:p w14:paraId="B405B9A4">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D689F59D">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19D546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BDC45056">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9BCCFEA0">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C262C51E">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C05BF0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210AD06">
      <w:pPr>
        <w:snapToGrid w:val="0"/>
        <w:spacing w:line="360" w:lineRule="auto"/>
        <w:jc w:val="center"/>
        <w:outlineLvl w:val="0"/>
        <w:rPr>
          <w:rFonts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7961DC9">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DFCC4F1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D189A3EF">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2E3E991">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714F4A5">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DD7E6F3B">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C74A4FA8">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F82ABFE">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7" w:name="_Hlk101257010"/>
      <w:r>
        <w:rPr>
          <w:rFonts w:hint="eastAsia" w:ascii="仿宋" w:hAnsi="仿宋" w:eastAsia="仿宋" w:cs="仿宋"/>
          <w:color w:val="auto"/>
          <w:sz w:val="24"/>
          <w:highlight w:val="none"/>
        </w:rPr>
        <w:t>（如果有)</w:t>
      </w:r>
      <w:bookmarkEnd w:id="507"/>
      <w:r>
        <w:rPr>
          <w:rFonts w:hint="eastAsia" w:ascii="仿宋" w:hAnsi="仿宋" w:eastAsia="仿宋" w:cs="仿宋"/>
          <w:snapToGrid w:val="0"/>
          <w:color w:val="auto"/>
          <w:kern w:val="28"/>
          <w:sz w:val="24"/>
          <w:szCs w:val="20"/>
          <w:highlight w:val="none"/>
        </w:rPr>
        <w:t>；</w:t>
      </w:r>
    </w:p>
    <w:p w14:paraId="B59159C0">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964A3BB1">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CD8BBEB">
      <w:pPr>
        <w:snapToGrid w:val="0"/>
        <w:spacing w:line="38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B2266D61">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DEBC13B4">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DE3EBA1C">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96184C">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E0E0D7D6">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7A0A73E">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E8B7FBE">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965EB4F1">
      <w:pPr>
        <w:snapToGrid w:val="0"/>
        <w:spacing w:line="38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30D3FCA">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E3ADD4B1">
      <w:pPr>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F39D2865">
      <w:pPr>
        <w:spacing w:line="380" w:lineRule="exact"/>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 报价情况说明（如果有）</w:t>
      </w:r>
    </w:p>
    <w:p w14:paraId="C7FFCAC1">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7500E82">
      <w:pPr>
        <w:pStyle w:val="79"/>
        <w:spacing w:line="38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A1352258">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F7685E0F">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A81F137">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A083732E">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F780A8B1">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441602B2">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92024C2C">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CD9D3584">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4A78E0D">
      <w:pPr>
        <w:spacing w:line="380" w:lineRule="exact"/>
        <w:ind w:right="420"/>
        <w:rPr>
          <w:rFonts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注：按本格式和要求提供。</w:t>
      </w:r>
    </w:p>
    <w:p w14:paraId="F10B709E">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DBBAEF85">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58CEA2E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682983">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D550758F">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F262B3A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41C24ED5">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E03877E5">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签发</w:t>
      </w:r>
      <w:r>
        <w:rPr>
          <w:rFonts w:hint="eastAsia" w:ascii="仿宋" w:hAnsi="仿宋" w:eastAsia="仿宋" w:cs="仿宋"/>
          <w:color w:val="auto"/>
          <w:sz w:val="24"/>
          <w:highlight w:val="none"/>
        </w:rPr>
        <w:t>日期：  年   月   日</w:t>
      </w:r>
    </w:p>
    <w:p w14:paraId="87A5A388">
      <w:pPr>
        <w:pStyle w:val="79"/>
        <w:ind w:firstLine="0" w:firstLineChars="0"/>
        <w:jc w:val="center"/>
        <w:rPr>
          <w:color w:val="auto"/>
          <w:highlight w:val="none"/>
          <w:lang w:val="en-US"/>
        </w:rPr>
      </w:pPr>
    </w:p>
    <w:p w14:paraId="F8468FB8">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E4B5BE8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806F94F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BB1C309">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980E12FC">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A201343B">
      <w:pPr>
        <w:pStyle w:val="79"/>
        <w:ind w:firstLine="0" w:firstLineChars="0"/>
        <w:jc w:val="center"/>
        <w:rPr>
          <w:color w:val="auto"/>
          <w:highlight w:val="none"/>
          <w:lang w:val="en-US"/>
        </w:rPr>
      </w:pPr>
    </w:p>
    <w:p w14:paraId="8E9862BE">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B21A6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CA827CA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F0C21CF">
      <w:pPr>
        <w:snapToGrid w:val="0"/>
        <w:spacing w:line="360" w:lineRule="auto"/>
        <w:ind w:firstLine="5040" w:firstLineChars="2100"/>
        <w:rPr>
          <w:rFonts w:ascii="仿宋" w:hAnsi="仿宋" w:eastAsia="仿宋" w:cs="仿宋"/>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highlight w:val="none"/>
          <w:lang w:val="zh-CN"/>
        </w:rPr>
        <w:t>日期：  年  月   日</w:t>
      </w:r>
    </w:p>
    <w:p w14:paraId="82AE96F0">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8ED63D81">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85B4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9B0C9848">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71C7C241">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BBAFD0C">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6D18C19">
      <w:pPr>
        <w:snapToGrid w:val="0"/>
        <w:spacing w:line="360" w:lineRule="auto"/>
        <w:jc w:val="center"/>
        <w:rPr>
          <w:rFonts w:ascii="仿宋" w:hAnsi="仿宋" w:eastAsia="仿宋" w:cs="仿宋"/>
          <w:b/>
          <w:color w:val="auto"/>
          <w:kern w:val="0"/>
          <w:sz w:val="32"/>
          <w:szCs w:val="32"/>
          <w:highlight w:val="none"/>
        </w:rPr>
      </w:pPr>
    </w:p>
    <w:p w14:paraId="45FB9C85">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A6510C7D">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B81ABB6">
      <w:pPr>
        <w:jc w:val="center"/>
        <w:rPr>
          <w:rFonts w:ascii="仿宋" w:hAnsi="仿宋" w:eastAsia="仿宋" w:cs="仿宋"/>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C89FEE56">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4F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03EFEE">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CE4B1D4">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249F511">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B9CE63C3">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B657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604F3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A17B187">
            <w:pP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99DF31F0">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152370F">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D90A711C">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DF7C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B112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4E3D58E">
            <w:pP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CE718697">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17A7736">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D7EC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BB418B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C0933E0A">
            <w:pP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5DEEB1B">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14:paraId="41889671">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4CCC13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84B27C94">
      <w:pPr>
        <w:jc w:val="center"/>
        <w:rPr>
          <w:rFonts w:ascii="仿宋" w:hAnsi="仿宋" w:eastAsia="仿宋" w:cs="仿宋"/>
          <w:b/>
          <w:color w:val="auto"/>
          <w:kern w:val="0"/>
          <w:sz w:val="32"/>
          <w:szCs w:val="32"/>
          <w:highlight w:val="none"/>
        </w:rPr>
      </w:pPr>
    </w:p>
    <w:p w14:paraId="90B0BA9D">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03EECE4">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3941E11">
      <w:pPr>
        <w:jc w:val="center"/>
        <w:rPr>
          <w:rFonts w:ascii="仿宋" w:hAnsi="仿宋" w:eastAsia="仿宋" w:cs="仿宋"/>
          <w:b/>
          <w:color w:val="auto"/>
          <w:kern w:val="0"/>
          <w:sz w:val="32"/>
          <w:szCs w:val="32"/>
          <w:highlight w:val="none"/>
        </w:rPr>
      </w:pPr>
    </w:p>
    <w:p w14:paraId="8A577C07">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9EC8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A83A667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E81D8E7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568C301">
            <w:pPr>
              <w:spacing w:line="360" w:lineRule="auto"/>
              <w:jc w:val="center"/>
              <w:rPr>
                <w:rFonts w:ascii="仿宋" w:hAnsi="仿宋" w:eastAsia="仿宋" w:cs="仿宋"/>
                <w:b/>
                <w:color w:val="auto"/>
                <w:sz w:val="24"/>
                <w:highlight w:val="none"/>
              </w:rPr>
            </w:pPr>
          </w:p>
          <w:p w14:paraId="B6A5C86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D8FC69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158248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B3D5402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EBEA179">
            <w:pPr>
              <w:spacing w:line="360" w:lineRule="auto"/>
              <w:jc w:val="center"/>
              <w:rPr>
                <w:rFonts w:ascii="仿宋" w:hAnsi="仿宋" w:eastAsia="仿宋" w:cs="仿宋"/>
                <w:b/>
                <w:color w:val="auto"/>
                <w:sz w:val="24"/>
                <w:highlight w:val="none"/>
              </w:rPr>
            </w:pPr>
          </w:p>
          <w:p w14:paraId="F258217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A6ECA02">
            <w:pPr>
              <w:spacing w:line="360" w:lineRule="auto"/>
              <w:jc w:val="center"/>
              <w:rPr>
                <w:rFonts w:ascii="仿宋" w:hAnsi="仿宋" w:eastAsia="仿宋" w:cs="仿宋"/>
                <w:b/>
                <w:color w:val="auto"/>
                <w:sz w:val="24"/>
                <w:highlight w:val="none"/>
              </w:rPr>
            </w:pPr>
          </w:p>
        </w:tc>
      </w:tr>
      <w:tr w14:paraId="D6ED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A90D2E8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D3E3F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8376142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9FDF633A">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09D429">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AA41A6CD">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CBABCB9">
            <w:pPr>
              <w:spacing w:line="360" w:lineRule="auto"/>
              <w:jc w:val="center"/>
              <w:rPr>
                <w:rFonts w:ascii="仿宋" w:hAnsi="仿宋" w:eastAsia="仿宋" w:cs="仿宋"/>
                <w:color w:val="auto"/>
                <w:sz w:val="24"/>
                <w:highlight w:val="none"/>
              </w:rPr>
            </w:pPr>
          </w:p>
        </w:tc>
      </w:tr>
      <w:tr w14:paraId="2A1B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ED0F9E7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49EDED2">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1BACD6">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4B70C4">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2D7A0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956E0137">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5C9DA31">
            <w:pPr>
              <w:spacing w:line="360" w:lineRule="auto"/>
              <w:jc w:val="center"/>
              <w:rPr>
                <w:rFonts w:ascii="仿宋" w:hAnsi="仿宋" w:eastAsia="仿宋" w:cs="仿宋"/>
                <w:color w:val="auto"/>
                <w:sz w:val="24"/>
                <w:highlight w:val="none"/>
              </w:rPr>
            </w:pPr>
          </w:p>
        </w:tc>
      </w:tr>
      <w:tr w14:paraId="0A38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D9AD5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C424AAE9">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C3896939">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B53BB2">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1ACFD2">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6E8DA5">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8B72FE44">
            <w:pPr>
              <w:spacing w:line="360" w:lineRule="auto"/>
              <w:jc w:val="center"/>
              <w:rPr>
                <w:rFonts w:ascii="仿宋" w:hAnsi="仿宋" w:eastAsia="仿宋" w:cs="仿宋"/>
                <w:color w:val="auto"/>
                <w:sz w:val="24"/>
                <w:highlight w:val="none"/>
              </w:rPr>
            </w:pPr>
          </w:p>
        </w:tc>
      </w:tr>
    </w:tbl>
    <w:p w14:paraId="2B8AC03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42E4C68">
      <w:pPr>
        <w:jc w:val="center"/>
        <w:rPr>
          <w:rFonts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F012C0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0B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46F7D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EFA946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BBD4A64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CE7647D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8071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AC4E2D0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9F103B11">
            <w:pPr>
              <w:jc w:val="center"/>
              <w:rPr>
                <w:rFonts w:ascii="仿宋" w:hAnsi="仿宋" w:eastAsia="仿宋" w:cs="仿宋"/>
                <w:b/>
                <w:color w:val="auto"/>
                <w:kern w:val="0"/>
                <w:sz w:val="32"/>
                <w:szCs w:val="32"/>
                <w:highlight w:val="none"/>
              </w:rPr>
            </w:pPr>
          </w:p>
        </w:tc>
        <w:tc>
          <w:tcPr>
            <w:tcW w:w="3546" w:type="dxa"/>
          </w:tcPr>
          <w:p w14:paraId="038709BD">
            <w:pPr>
              <w:jc w:val="center"/>
              <w:rPr>
                <w:rFonts w:ascii="仿宋" w:hAnsi="仿宋" w:eastAsia="仿宋" w:cs="仿宋"/>
                <w:b/>
                <w:color w:val="auto"/>
                <w:kern w:val="0"/>
                <w:sz w:val="32"/>
                <w:szCs w:val="32"/>
                <w:highlight w:val="none"/>
              </w:rPr>
            </w:pPr>
          </w:p>
        </w:tc>
        <w:tc>
          <w:tcPr>
            <w:tcW w:w="1276" w:type="dxa"/>
          </w:tcPr>
          <w:p w14:paraId="1DBDEAFE">
            <w:pPr>
              <w:jc w:val="center"/>
              <w:rPr>
                <w:rFonts w:ascii="仿宋" w:hAnsi="仿宋" w:eastAsia="仿宋" w:cs="仿宋"/>
                <w:b/>
                <w:color w:val="auto"/>
                <w:kern w:val="0"/>
                <w:sz w:val="32"/>
                <w:szCs w:val="32"/>
                <w:highlight w:val="none"/>
              </w:rPr>
            </w:pPr>
          </w:p>
        </w:tc>
      </w:tr>
      <w:tr w14:paraId="C705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C5252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563FA64">
            <w:pPr>
              <w:jc w:val="center"/>
              <w:rPr>
                <w:rFonts w:ascii="仿宋" w:hAnsi="仿宋" w:eastAsia="仿宋" w:cs="仿宋"/>
                <w:b/>
                <w:color w:val="auto"/>
                <w:kern w:val="0"/>
                <w:sz w:val="32"/>
                <w:szCs w:val="32"/>
                <w:highlight w:val="none"/>
              </w:rPr>
            </w:pPr>
          </w:p>
        </w:tc>
        <w:tc>
          <w:tcPr>
            <w:tcW w:w="3546" w:type="dxa"/>
          </w:tcPr>
          <w:p w14:paraId="7BF156D1">
            <w:pPr>
              <w:jc w:val="center"/>
              <w:rPr>
                <w:rFonts w:ascii="仿宋" w:hAnsi="仿宋" w:eastAsia="仿宋" w:cs="仿宋"/>
                <w:b/>
                <w:color w:val="auto"/>
                <w:kern w:val="0"/>
                <w:sz w:val="32"/>
                <w:szCs w:val="32"/>
                <w:highlight w:val="none"/>
              </w:rPr>
            </w:pPr>
          </w:p>
        </w:tc>
        <w:tc>
          <w:tcPr>
            <w:tcW w:w="1276" w:type="dxa"/>
          </w:tcPr>
          <w:p w14:paraId="61F355A4">
            <w:pPr>
              <w:jc w:val="center"/>
              <w:rPr>
                <w:rFonts w:ascii="仿宋" w:hAnsi="仿宋" w:eastAsia="仿宋" w:cs="仿宋"/>
                <w:b/>
                <w:color w:val="auto"/>
                <w:kern w:val="0"/>
                <w:sz w:val="32"/>
                <w:szCs w:val="32"/>
                <w:highlight w:val="none"/>
              </w:rPr>
            </w:pPr>
          </w:p>
        </w:tc>
      </w:tr>
      <w:tr w14:paraId="8D48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1B1B0">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C0BB99B">
            <w:pPr>
              <w:jc w:val="center"/>
              <w:rPr>
                <w:rFonts w:ascii="仿宋" w:hAnsi="仿宋" w:eastAsia="仿宋" w:cs="仿宋"/>
                <w:b/>
                <w:color w:val="auto"/>
                <w:kern w:val="0"/>
                <w:sz w:val="32"/>
                <w:szCs w:val="32"/>
                <w:highlight w:val="none"/>
              </w:rPr>
            </w:pPr>
          </w:p>
        </w:tc>
        <w:tc>
          <w:tcPr>
            <w:tcW w:w="3546" w:type="dxa"/>
          </w:tcPr>
          <w:p w14:paraId="534C1311">
            <w:pPr>
              <w:jc w:val="center"/>
              <w:rPr>
                <w:rFonts w:ascii="仿宋" w:hAnsi="仿宋" w:eastAsia="仿宋" w:cs="仿宋"/>
                <w:b/>
                <w:color w:val="auto"/>
                <w:kern w:val="0"/>
                <w:sz w:val="32"/>
                <w:szCs w:val="32"/>
                <w:highlight w:val="none"/>
              </w:rPr>
            </w:pPr>
          </w:p>
        </w:tc>
        <w:tc>
          <w:tcPr>
            <w:tcW w:w="1276" w:type="dxa"/>
          </w:tcPr>
          <w:p w14:paraId="58A884C3">
            <w:pPr>
              <w:jc w:val="center"/>
              <w:rPr>
                <w:rFonts w:ascii="仿宋" w:hAnsi="仿宋" w:eastAsia="仿宋" w:cs="仿宋"/>
                <w:b/>
                <w:color w:val="auto"/>
                <w:kern w:val="0"/>
                <w:sz w:val="32"/>
                <w:szCs w:val="32"/>
                <w:highlight w:val="none"/>
              </w:rPr>
            </w:pPr>
          </w:p>
        </w:tc>
      </w:tr>
    </w:tbl>
    <w:p w14:paraId="E6C9A36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B19B7EB8">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188760">
      <w:pPr>
        <w:ind w:firstLine="1911" w:firstLineChars="595"/>
        <w:rPr>
          <w:rFonts w:ascii="仿宋" w:hAnsi="仿宋" w:eastAsia="仿宋" w:cs="仿宋"/>
          <w:b/>
          <w:bCs/>
          <w:color w:val="auto"/>
          <w:sz w:val="32"/>
          <w:szCs w:val="32"/>
          <w:highlight w:val="none"/>
        </w:rPr>
        <w:sectPr>
          <w:pgSz w:w="11906" w:h="16838"/>
          <w:pgMar w:top="1276" w:right="1418" w:bottom="1247" w:left="1418" w:header="851" w:footer="992" w:gutter="0"/>
          <w:cols w:space="720" w:num="1"/>
          <w:titlePg/>
          <w:docGrid w:linePitch="312" w:charSpace="0"/>
        </w:sectPr>
      </w:pPr>
    </w:p>
    <w:p w14:paraId="AAAFE401">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CFC406E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D2B3FD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6EDEF5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F248032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0B3AEE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20A44B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B3B69FF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BBA3C8A">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5BDE213">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A102A2B9">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B4A495D9">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0A5107F">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0D58551E">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6BB23C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16A42E">
      <w:pPr>
        <w:spacing w:line="360" w:lineRule="auto"/>
        <w:jc w:val="center"/>
        <w:rPr>
          <w:rFonts w:ascii="仿宋" w:hAnsi="仿宋" w:eastAsia="仿宋" w:cs="仿宋"/>
          <w:b/>
          <w:bCs/>
          <w:color w:val="auto"/>
          <w:sz w:val="24"/>
          <w:highlight w:val="none"/>
        </w:rPr>
        <w:sectPr>
          <w:pgSz w:w="11906" w:h="16838"/>
          <w:pgMar w:top="1276" w:right="1418" w:bottom="1247" w:left="1418" w:header="851" w:footer="992" w:gutter="0"/>
          <w:cols w:space="720" w:num="1"/>
          <w:titlePg/>
          <w:docGrid w:linePitch="312" w:charSpace="0"/>
        </w:sectPr>
      </w:pPr>
    </w:p>
    <w:p w14:paraId="1ECEEE0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C8026DB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8F7126A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3727B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00675495">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（3）中小企业声明函………………………………………………………………（页码）</w:t>
      </w:r>
    </w:p>
    <w:p w14:paraId="43E47F52">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BB508B9">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B32DD4F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D9DD0D50">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66E22F1">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030"/>
        <w:gridCol w:w="2140"/>
        <w:gridCol w:w="1930"/>
        <w:gridCol w:w="2547"/>
      </w:tblGrid>
      <w:tr w14:paraId="C8E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9E3FEC77">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C1AC23C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3B6FDAA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B797AE2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030" w:type="dxa"/>
            <w:vAlign w:val="center"/>
          </w:tcPr>
          <w:p w14:paraId="07AB14D4">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40" w:type="dxa"/>
            <w:vAlign w:val="center"/>
          </w:tcPr>
          <w:p w14:paraId="46A5219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930" w:type="dxa"/>
            <w:vAlign w:val="center"/>
          </w:tcPr>
          <w:p w14:paraId="D7F3D6EF">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547" w:type="dxa"/>
            <w:vAlign w:val="center"/>
          </w:tcPr>
          <w:p w14:paraId="E57D9773">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4133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57CFFA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9DE979A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FB6A640A">
            <w:pPr>
              <w:snapToGrid w:val="0"/>
              <w:jc w:val="center"/>
              <w:rPr>
                <w:rFonts w:ascii="仿宋" w:hAnsi="仿宋" w:eastAsia="仿宋" w:cs="仿宋"/>
                <w:color w:val="auto"/>
                <w:sz w:val="24"/>
                <w:highlight w:val="none"/>
              </w:rPr>
            </w:pPr>
          </w:p>
        </w:tc>
        <w:tc>
          <w:tcPr>
            <w:tcW w:w="2410" w:type="dxa"/>
            <w:vAlign w:val="center"/>
          </w:tcPr>
          <w:p w14:paraId="FA47EB80">
            <w:pPr>
              <w:snapToGrid w:val="0"/>
              <w:jc w:val="center"/>
              <w:rPr>
                <w:rFonts w:ascii="仿宋" w:hAnsi="仿宋" w:eastAsia="仿宋" w:cs="仿宋"/>
                <w:color w:val="auto"/>
                <w:sz w:val="24"/>
                <w:highlight w:val="none"/>
              </w:rPr>
            </w:pPr>
          </w:p>
        </w:tc>
        <w:tc>
          <w:tcPr>
            <w:tcW w:w="2030" w:type="dxa"/>
            <w:vAlign w:val="center"/>
          </w:tcPr>
          <w:p w14:paraId="A1C64844">
            <w:pPr>
              <w:snapToGrid w:val="0"/>
              <w:jc w:val="center"/>
              <w:rPr>
                <w:rFonts w:ascii="仿宋" w:hAnsi="仿宋" w:eastAsia="仿宋" w:cs="仿宋"/>
                <w:color w:val="auto"/>
                <w:sz w:val="24"/>
                <w:highlight w:val="none"/>
              </w:rPr>
            </w:pPr>
          </w:p>
        </w:tc>
        <w:tc>
          <w:tcPr>
            <w:tcW w:w="2140" w:type="dxa"/>
            <w:vAlign w:val="center"/>
          </w:tcPr>
          <w:p w14:paraId="DDB2BFB0">
            <w:pPr>
              <w:jc w:val="center"/>
              <w:rPr>
                <w:rFonts w:ascii="仿宋" w:hAnsi="仿宋" w:eastAsia="仿宋" w:cs="仿宋"/>
                <w:color w:val="auto"/>
                <w:sz w:val="24"/>
                <w:highlight w:val="none"/>
              </w:rPr>
            </w:pPr>
          </w:p>
        </w:tc>
        <w:tc>
          <w:tcPr>
            <w:tcW w:w="1930" w:type="dxa"/>
          </w:tcPr>
          <w:p w14:paraId="31C27452">
            <w:pPr>
              <w:jc w:val="center"/>
              <w:rPr>
                <w:rFonts w:ascii="仿宋" w:hAnsi="仿宋" w:eastAsia="仿宋" w:cs="仿宋"/>
                <w:color w:val="auto"/>
                <w:sz w:val="24"/>
                <w:highlight w:val="none"/>
              </w:rPr>
            </w:pPr>
          </w:p>
        </w:tc>
        <w:tc>
          <w:tcPr>
            <w:tcW w:w="2547" w:type="dxa"/>
            <w:vAlign w:val="center"/>
          </w:tcPr>
          <w:p w14:paraId="6C4A11AC">
            <w:pPr>
              <w:jc w:val="center"/>
              <w:rPr>
                <w:rFonts w:ascii="仿宋" w:hAnsi="仿宋" w:eastAsia="仿宋" w:cs="仿宋"/>
                <w:color w:val="auto"/>
                <w:sz w:val="24"/>
                <w:highlight w:val="none"/>
              </w:rPr>
            </w:pPr>
          </w:p>
        </w:tc>
      </w:tr>
      <w:tr w14:paraId="8C07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731F6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DBBA0CB3">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A179FC38">
            <w:pPr>
              <w:snapToGrid w:val="0"/>
              <w:jc w:val="center"/>
              <w:rPr>
                <w:rFonts w:ascii="仿宋" w:hAnsi="仿宋" w:eastAsia="仿宋" w:cs="仿宋"/>
                <w:color w:val="auto"/>
                <w:sz w:val="24"/>
                <w:highlight w:val="none"/>
              </w:rPr>
            </w:pPr>
          </w:p>
        </w:tc>
        <w:tc>
          <w:tcPr>
            <w:tcW w:w="2410" w:type="dxa"/>
            <w:vAlign w:val="center"/>
          </w:tcPr>
          <w:p w14:paraId="43971173">
            <w:pPr>
              <w:snapToGrid w:val="0"/>
              <w:jc w:val="center"/>
              <w:rPr>
                <w:rFonts w:ascii="仿宋" w:hAnsi="仿宋" w:eastAsia="仿宋" w:cs="仿宋"/>
                <w:color w:val="auto"/>
                <w:sz w:val="24"/>
                <w:highlight w:val="none"/>
              </w:rPr>
            </w:pPr>
          </w:p>
        </w:tc>
        <w:tc>
          <w:tcPr>
            <w:tcW w:w="2030" w:type="dxa"/>
            <w:vAlign w:val="center"/>
          </w:tcPr>
          <w:p w14:paraId="2EA30917">
            <w:pPr>
              <w:snapToGrid w:val="0"/>
              <w:jc w:val="center"/>
              <w:rPr>
                <w:rFonts w:ascii="仿宋" w:hAnsi="仿宋" w:eastAsia="仿宋" w:cs="仿宋"/>
                <w:color w:val="auto"/>
                <w:sz w:val="24"/>
                <w:highlight w:val="none"/>
              </w:rPr>
            </w:pPr>
          </w:p>
        </w:tc>
        <w:tc>
          <w:tcPr>
            <w:tcW w:w="2140" w:type="dxa"/>
            <w:vAlign w:val="center"/>
          </w:tcPr>
          <w:p w14:paraId="CDA199FE">
            <w:pPr>
              <w:jc w:val="center"/>
              <w:rPr>
                <w:rFonts w:ascii="仿宋" w:hAnsi="仿宋" w:eastAsia="仿宋" w:cs="仿宋"/>
                <w:color w:val="auto"/>
                <w:sz w:val="24"/>
                <w:highlight w:val="none"/>
              </w:rPr>
            </w:pPr>
          </w:p>
        </w:tc>
        <w:tc>
          <w:tcPr>
            <w:tcW w:w="1930" w:type="dxa"/>
          </w:tcPr>
          <w:p w14:paraId="6F27EC5E">
            <w:pPr>
              <w:jc w:val="center"/>
              <w:rPr>
                <w:rFonts w:ascii="仿宋" w:hAnsi="仿宋" w:eastAsia="仿宋" w:cs="仿宋"/>
                <w:color w:val="auto"/>
                <w:sz w:val="24"/>
                <w:highlight w:val="none"/>
              </w:rPr>
            </w:pPr>
          </w:p>
        </w:tc>
        <w:tc>
          <w:tcPr>
            <w:tcW w:w="2547" w:type="dxa"/>
            <w:vAlign w:val="center"/>
          </w:tcPr>
          <w:p w14:paraId="765E3C94">
            <w:pPr>
              <w:jc w:val="center"/>
              <w:rPr>
                <w:rFonts w:ascii="仿宋" w:hAnsi="仿宋" w:eastAsia="仿宋" w:cs="仿宋"/>
                <w:color w:val="auto"/>
                <w:sz w:val="24"/>
                <w:highlight w:val="none"/>
              </w:rPr>
            </w:pPr>
          </w:p>
        </w:tc>
      </w:tr>
      <w:tr w14:paraId="3768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FBFB677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99390662">
            <w:pPr>
              <w:snapToGrid w:val="0"/>
              <w:jc w:val="center"/>
              <w:rPr>
                <w:rFonts w:ascii="仿宋" w:hAnsi="仿宋" w:eastAsia="仿宋" w:cs="仿宋"/>
                <w:color w:val="auto"/>
                <w:sz w:val="24"/>
                <w:highlight w:val="none"/>
              </w:rPr>
            </w:pPr>
          </w:p>
        </w:tc>
        <w:tc>
          <w:tcPr>
            <w:tcW w:w="2268" w:type="dxa"/>
            <w:vAlign w:val="center"/>
          </w:tcPr>
          <w:p w14:paraId="7055A512">
            <w:pPr>
              <w:snapToGrid w:val="0"/>
              <w:jc w:val="center"/>
              <w:rPr>
                <w:rFonts w:ascii="仿宋" w:hAnsi="仿宋" w:eastAsia="仿宋" w:cs="仿宋"/>
                <w:color w:val="auto"/>
                <w:sz w:val="24"/>
                <w:highlight w:val="none"/>
              </w:rPr>
            </w:pPr>
          </w:p>
        </w:tc>
        <w:tc>
          <w:tcPr>
            <w:tcW w:w="2410" w:type="dxa"/>
            <w:vAlign w:val="center"/>
          </w:tcPr>
          <w:p w14:paraId="59F74AAF">
            <w:pPr>
              <w:snapToGrid w:val="0"/>
              <w:jc w:val="center"/>
              <w:rPr>
                <w:rFonts w:ascii="仿宋" w:hAnsi="仿宋" w:eastAsia="仿宋" w:cs="仿宋"/>
                <w:color w:val="auto"/>
                <w:sz w:val="24"/>
                <w:highlight w:val="none"/>
              </w:rPr>
            </w:pPr>
          </w:p>
        </w:tc>
        <w:tc>
          <w:tcPr>
            <w:tcW w:w="2030" w:type="dxa"/>
            <w:vAlign w:val="center"/>
          </w:tcPr>
          <w:p w14:paraId="163C398F">
            <w:pPr>
              <w:snapToGrid w:val="0"/>
              <w:jc w:val="center"/>
              <w:rPr>
                <w:rFonts w:ascii="仿宋" w:hAnsi="仿宋" w:eastAsia="仿宋" w:cs="仿宋"/>
                <w:color w:val="auto"/>
                <w:sz w:val="24"/>
                <w:highlight w:val="none"/>
              </w:rPr>
            </w:pPr>
          </w:p>
        </w:tc>
        <w:tc>
          <w:tcPr>
            <w:tcW w:w="2140" w:type="dxa"/>
            <w:vAlign w:val="center"/>
          </w:tcPr>
          <w:p w14:paraId="03D50199">
            <w:pPr>
              <w:jc w:val="center"/>
              <w:rPr>
                <w:rFonts w:ascii="仿宋" w:hAnsi="仿宋" w:eastAsia="仿宋" w:cs="仿宋"/>
                <w:color w:val="auto"/>
                <w:sz w:val="24"/>
                <w:highlight w:val="none"/>
              </w:rPr>
            </w:pPr>
          </w:p>
        </w:tc>
        <w:tc>
          <w:tcPr>
            <w:tcW w:w="1930" w:type="dxa"/>
          </w:tcPr>
          <w:p w14:paraId="E989B8C0">
            <w:pPr>
              <w:jc w:val="center"/>
              <w:rPr>
                <w:rFonts w:ascii="仿宋" w:hAnsi="仿宋" w:eastAsia="仿宋" w:cs="仿宋"/>
                <w:color w:val="auto"/>
                <w:sz w:val="24"/>
                <w:highlight w:val="none"/>
              </w:rPr>
            </w:pPr>
          </w:p>
        </w:tc>
        <w:tc>
          <w:tcPr>
            <w:tcW w:w="2547" w:type="dxa"/>
            <w:vAlign w:val="center"/>
          </w:tcPr>
          <w:p w14:paraId="39BB3B34">
            <w:pPr>
              <w:jc w:val="center"/>
              <w:rPr>
                <w:rFonts w:ascii="仿宋" w:hAnsi="仿宋" w:eastAsia="仿宋" w:cs="仿宋"/>
                <w:color w:val="auto"/>
                <w:sz w:val="24"/>
                <w:highlight w:val="none"/>
              </w:rPr>
            </w:pPr>
          </w:p>
        </w:tc>
      </w:tr>
      <w:tr w14:paraId="B491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87" w:type="dxa"/>
            <w:gridSpan w:val="4"/>
            <w:vAlign w:val="center"/>
          </w:tcPr>
          <w:p w14:paraId="402FB26A">
            <w:pPr>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投标报价（小写）</w:t>
            </w:r>
          </w:p>
        </w:tc>
        <w:tc>
          <w:tcPr>
            <w:tcW w:w="8647" w:type="dxa"/>
            <w:gridSpan w:val="4"/>
          </w:tcPr>
          <w:p w14:paraId="4F7F0E07">
            <w:pPr>
              <w:jc w:val="center"/>
              <w:rPr>
                <w:rFonts w:ascii="仿宋" w:hAnsi="仿宋" w:eastAsia="仿宋" w:cs="仿宋"/>
                <w:color w:val="auto"/>
                <w:sz w:val="24"/>
                <w:highlight w:val="none"/>
              </w:rPr>
            </w:pPr>
          </w:p>
        </w:tc>
      </w:tr>
      <w:tr w14:paraId="464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CC21133B">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403F3874">
            <w:pPr>
              <w:jc w:val="center"/>
              <w:rPr>
                <w:rFonts w:ascii="仿宋" w:hAnsi="仿宋" w:eastAsia="仿宋" w:cs="仿宋"/>
                <w:color w:val="auto"/>
                <w:sz w:val="24"/>
                <w:highlight w:val="none"/>
              </w:rPr>
            </w:pPr>
          </w:p>
        </w:tc>
      </w:tr>
    </w:tbl>
    <w:p w14:paraId="82909EB3">
      <w:pPr>
        <w:snapToGrid w:val="0"/>
        <w:spacing w:line="240" w:lineRule="exact"/>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5CB7E7E">
      <w:pPr>
        <w:spacing w:line="240" w:lineRule="exact"/>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sz w:val="24"/>
          <w:highlight w:val="none"/>
          <w:lang w:eastAsia="zh-CN"/>
        </w:rPr>
        <w:t>；</w:t>
      </w:r>
    </w:p>
    <w:p w14:paraId="8AAC25FE">
      <w:pPr>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FCF945E">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9F0C1FC7">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129C74">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78FC520">
      <w:pPr>
        <w:pStyle w:val="692"/>
        <w:keepNext w:val="0"/>
        <w:numPr>
          <w:ilvl w:val="0"/>
          <w:numId w:val="3"/>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BE35B380">
      <w:pPr>
        <w:pStyle w:val="4"/>
        <w:keepNext w:val="0"/>
        <w:numPr>
          <w:ilvl w:val="255"/>
          <w:numId w:val="0"/>
        </w:numPr>
        <w:snapToGrid w:val="0"/>
        <w:spacing w:before="120" w:after="12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1B579B4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BC336831">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中小企业声明函（如果有）</w:t>
      </w:r>
    </w:p>
    <w:p w14:paraId="CF89CCFB">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F712DAA2">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45C14E86">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B60C71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CDA0ED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56A9C9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CC6F5A6">
      <w:pPr>
        <w:spacing w:line="360" w:lineRule="auto"/>
        <w:ind w:firstLine="480" w:firstLineChars="200"/>
        <w:rPr>
          <w:rFonts w:ascii="仿宋" w:hAnsi="仿宋" w:eastAsia="仿宋" w:cs="仿宋"/>
          <w:color w:val="auto"/>
          <w:sz w:val="24"/>
          <w:highlight w:val="none"/>
        </w:rPr>
      </w:pPr>
    </w:p>
    <w:p w14:paraId="F2A027F7">
      <w:pPr>
        <w:spacing w:line="360" w:lineRule="auto"/>
        <w:ind w:firstLine="480" w:firstLineChars="200"/>
        <w:rPr>
          <w:rFonts w:ascii="仿宋" w:hAnsi="仿宋" w:eastAsia="仿宋" w:cs="仿宋"/>
          <w:color w:val="auto"/>
          <w:sz w:val="24"/>
          <w:highlight w:val="none"/>
        </w:rPr>
      </w:pPr>
    </w:p>
    <w:p w14:paraId="6DC3D17B">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831A1988">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E39BAD1">
      <w:pPr>
        <w:spacing w:line="360" w:lineRule="auto"/>
        <w:jc w:val="left"/>
        <w:rPr>
          <w:rFonts w:ascii="仿宋" w:hAnsi="仿宋" w:eastAsia="仿宋" w:cs="仿宋"/>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88AF9DB8">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220DC3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87DE565A">
      <w:pPr>
        <w:snapToGrid w:val="0"/>
        <w:spacing w:before="240" w:beforeLines="100"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81FF15C3">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CA5F792">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AB31B0BF">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71A132">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FF2B820">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E5E22A">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E346F57">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AA87C2B2">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C3617D04">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A69CCA2">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9B843AD">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871C3A20">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87F8F26">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EBBF2F6D">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73558D7">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ECC4AF88">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653CE58">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A648EE58">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A1658A1A">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BB1676A">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9A2054A6">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ED2F0B0">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E3CFE97B">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FFBAD41">
      <w:pPr>
        <w:spacing w:line="27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0FEBD70">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13F75E5">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80306BE">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C6B0CAB">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D87CAEC">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A31375C4">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E5FA22">
      <w:pPr>
        <w:spacing w:line="360" w:lineRule="auto"/>
        <w:jc w:val="left"/>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B7E4F75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80F7817">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ACAAC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81A38C5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B9C2682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14:paraId="888E032C">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01188B56">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2ECD48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40EEA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A71F3BB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F0D8F03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DBD59EF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A13B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0E3161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3D10CC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FBFC0D6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3CFE7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11B93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EF11A8F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3D0FF6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B2C8BB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AD908E7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F4E0208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BD5079A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B5DB9F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C23B6B62">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BF94BF1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B1B84281">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591C2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3518A9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DD9104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24CDA3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8BA1C8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5578F9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A08FBE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00B3A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45138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283E0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E6AA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2156EA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E43D563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1CA900B">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1852EB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FAE7E53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81C6A5C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A83AC1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9334161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BCF5874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2DD26C5">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48A83B51">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4C55F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0CEC9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62E37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B8FF271">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F6C005B5">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7484D9">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D1389907">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C622AC0">
      <w:pPr>
        <w:autoSpaceDE w:val="0"/>
        <w:autoSpaceDN w:val="0"/>
        <w:jc w:val="center"/>
        <w:rPr>
          <w:rFonts w:ascii="仿宋" w:hAnsi="仿宋" w:eastAsia="仿宋" w:cs="仿宋"/>
          <w:b/>
          <w:color w:val="auto"/>
          <w:spacing w:val="6"/>
          <w:sz w:val="32"/>
          <w:szCs w:val="32"/>
          <w:highlight w:val="none"/>
        </w:rPr>
      </w:pPr>
    </w:p>
    <w:p w14:paraId="F1FDB249">
      <w:pPr>
        <w:autoSpaceDE w:val="0"/>
        <w:autoSpaceDN w:val="0"/>
        <w:jc w:val="center"/>
        <w:rPr>
          <w:rFonts w:ascii="仿宋" w:hAnsi="仿宋" w:eastAsia="仿宋" w:cs="仿宋"/>
          <w:b/>
          <w:color w:val="auto"/>
          <w:spacing w:val="6"/>
          <w:sz w:val="32"/>
          <w:szCs w:val="32"/>
          <w:highlight w:val="none"/>
        </w:rPr>
      </w:pPr>
    </w:p>
    <w:p w14:paraId="30050D48">
      <w:pPr>
        <w:autoSpaceDE w:val="0"/>
        <w:autoSpaceDN w:val="0"/>
        <w:jc w:val="center"/>
        <w:rPr>
          <w:rFonts w:ascii="仿宋" w:hAnsi="仿宋" w:eastAsia="仿宋" w:cs="仿宋"/>
          <w:b/>
          <w:color w:val="auto"/>
          <w:spacing w:val="6"/>
          <w:sz w:val="32"/>
          <w:szCs w:val="32"/>
          <w:highlight w:val="none"/>
        </w:rPr>
      </w:pPr>
    </w:p>
    <w:p w14:paraId="EDAC4557">
      <w:pPr>
        <w:autoSpaceDE w:val="0"/>
        <w:autoSpaceDN w:val="0"/>
        <w:jc w:val="center"/>
        <w:rPr>
          <w:rFonts w:ascii="仿宋" w:hAnsi="仿宋" w:eastAsia="仿宋" w:cs="仿宋"/>
          <w:b/>
          <w:color w:val="auto"/>
          <w:spacing w:val="6"/>
          <w:sz w:val="32"/>
          <w:szCs w:val="32"/>
          <w:highlight w:val="none"/>
        </w:rPr>
      </w:pPr>
    </w:p>
    <w:p w14:paraId="BC0AA8D7">
      <w:pPr>
        <w:autoSpaceDE w:val="0"/>
        <w:autoSpaceDN w:val="0"/>
        <w:jc w:val="center"/>
        <w:rPr>
          <w:rFonts w:ascii="仿宋" w:hAnsi="仿宋" w:eastAsia="仿宋" w:cs="仿宋"/>
          <w:b/>
          <w:color w:val="auto"/>
          <w:spacing w:val="6"/>
          <w:sz w:val="32"/>
          <w:szCs w:val="32"/>
          <w:highlight w:val="none"/>
        </w:rPr>
      </w:pPr>
    </w:p>
    <w:p w14:paraId="46B9C3AD">
      <w:pPr>
        <w:autoSpaceDE w:val="0"/>
        <w:autoSpaceDN w:val="0"/>
        <w:jc w:val="center"/>
        <w:rPr>
          <w:rFonts w:ascii="仿宋" w:hAnsi="仿宋" w:eastAsia="仿宋" w:cs="仿宋"/>
          <w:b/>
          <w:color w:val="auto"/>
          <w:spacing w:val="6"/>
          <w:sz w:val="32"/>
          <w:szCs w:val="32"/>
          <w:highlight w:val="none"/>
        </w:rPr>
      </w:pPr>
    </w:p>
    <w:p w14:paraId="5B3F86A3">
      <w:pPr>
        <w:autoSpaceDE w:val="0"/>
        <w:autoSpaceDN w:val="0"/>
        <w:jc w:val="center"/>
        <w:rPr>
          <w:rFonts w:ascii="仿宋" w:hAnsi="仿宋" w:eastAsia="仿宋" w:cs="仿宋"/>
          <w:b/>
          <w:color w:val="auto"/>
          <w:spacing w:val="6"/>
          <w:sz w:val="32"/>
          <w:szCs w:val="32"/>
          <w:highlight w:val="none"/>
        </w:rPr>
      </w:pPr>
    </w:p>
    <w:p w14:paraId="9F3EA972">
      <w:pPr>
        <w:autoSpaceDE w:val="0"/>
        <w:autoSpaceDN w:val="0"/>
        <w:jc w:val="center"/>
        <w:rPr>
          <w:rFonts w:ascii="仿宋" w:hAnsi="仿宋" w:eastAsia="仿宋" w:cs="仿宋"/>
          <w:b/>
          <w:color w:val="auto"/>
          <w:spacing w:val="6"/>
          <w:sz w:val="32"/>
          <w:szCs w:val="32"/>
          <w:highlight w:val="none"/>
        </w:rPr>
      </w:pPr>
    </w:p>
    <w:p w14:paraId="2051D49F">
      <w:pPr>
        <w:autoSpaceDE w:val="0"/>
        <w:autoSpaceDN w:val="0"/>
        <w:jc w:val="center"/>
        <w:rPr>
          <w:rFonts w:ascii="仿宋" w:hAnsi="仿宋" w:eastAsia="仿宋" w:cs="仿宋"/>
          <w:b/>
          <w:color w:val="auto"/>
          <w:spacing w:val="6"/>
          <w:sz w:val="32"/>
          <w:szCs w:val="32"/>
          <w:highlight w:val="none"/>
        </w:rPr>
      </w:pPr>
    </w:p>
    <w:p w14:paraId="3A364F23">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377963C9">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EEC5FF2">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185BED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770A31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FC40B04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E03076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9FA4831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8E42359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8CFEEE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99A1439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FBAE4229">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8" w:name="_Hlk101131882"/>
      <w:r>
        <w:rPr>
          <w:rFonts w:hint="eastAsia" w:ascii="仿宋" w:hAnsi="仿宋" w:eastAsia="仿宋" w:cs="仿宋"/>
          <w:color w:val="auto"/>
          <w:kern w:val="0"/>
          <w:sz w:val="24"/>
          <w:highlight w:val="none"/>
          <w:u w:val="single"/>
        </w:rPr>
        <w:t>联合体成员X,……</w:t>
      </w:r>
      <w:bookmarkEnd w:id="50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9"/>
      <w:r>
        <w:rPr>
          <w:rFonts w:hint="eastAsia" w:ascii="仿宋" w:hAnsi="仿宋" w:eastAsia="仿宋" w:cs="仿宋"/>
          <w:b/>
          <w:color w:val="auto"/>
          <w:kern w:val="0"/>
          <w:sz w:val="24"/>
          <w:highlight w:val="none"/>
          <w:lang w:val="zh-CN"/>
        </w:rPr>
        <w:t>）</w:t>
      </w:r>
    </w:p>
    <w:p w14:paraId="188EC9AA">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0"/>
    </w:p>
    <w:p w14:paraId="1CEA9B0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90AE88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F3943E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97146A3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8AD4979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FD0873C1">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E01815E">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0267E8">
      <w:pPr>
        <w:snapToGrid w:val="0"/>
        <w:spacing w:line="360" w:lineRule="exact"/>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ED5D99E">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64998A6">
      <w:pPr>
        <w:spacing w:line="36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6C3EFA7">
      <w:pPr>
        <w:widowControl/>
        <w:adjustRightInd/>
        <w:jc w:val="center"/>
        <w:rPr>
          <w:rFonts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C358C03D">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B17F7A5">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BEE4268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B898F79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FA2441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F037089">
      <w:pPr>
        <w:pStyle w:val="4"/>
        <w:spacing w:line="360" w:lineRule="exact"/>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A2E2B287">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A14257A">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CA5BF8AF">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79C842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3810C2A">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7BB3D7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B324C34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B308CDB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B2E3A175">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6CFD37A">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F153D40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8166187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64E0F8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35FF552">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78A9B8B">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FBFEB254">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A57B685E">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4918521">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5A4C2BB">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FA1CB67F">
      <w:pPr>
        <w:spacing w:line="360" w:lineRule="exact"/>
        <w:ind w:right="420"/>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2C2D8FD3">
      <w:pPr>
        <w:spacing w:line="360" w:lineRule="auto"/>
        <w:jc w:val="left"/>
        <w:outlineLvl w:val="0"/>
        <w:rPr>
          <w:rFonts w:ascii="仿宋" w:hAnsi="仿宋" w:eastAsia="仿宋" w:cs="仿宋"/>
          <w:b/>
          <w:color w:val="auto"/>
          <w:sz w:val="36"/>
          <w:szCs w:val="20"/>
          <w:highlight w:val="none"/>
        </w:rPr>
        <w:sectPr>
          <w:pgSz w:w="11906" w:h="16838"/>
          <w:pgMar w:top="1276" w:right="1418" w:bottom="1247" w:left="1418" w:header="851" w:footer="992" w:gutter="0"/>
          <w:cols w:space="720" w:num="1"/>
          <w:titlePg/>
          <w:docGrid w:linePitch="312" w:charSpace="0"/>
        </w:sectPr>
      </w:pPr>
    </w:p>
    <w:p w14:paraId="CCD9D743">
      <w:pPr>
        <w:spacing w:line="360" w:lineRule="auto"/>
        <w:jc w:val="left"/>
        <w:outlineLvl w:val="0"/>
        <w:rPr>
          <w:rFonts w:ascii="仿宋" w:hAnsi="仿宋" w:eastAsia="仿宋" w:cs="仿宋"/>
          <w:color w:val="auto"/>
          <w:sz w:val="24"/>
          <w:highlight w:val="none"/>
          <w:u w:val="single"/>
        </w:rPr>
      </w:pPr>
      <w:r>
        <w:rPr>
          <w:rFonts w:hint="eastAsia" w:ascii="仿宋" w:hAnsi="仿宋" w:eastAsia="仿宋" w:cs="仿宋"/>
          <w:b/>
          <w:color w:val="auto"/>
          <w:sz w:val="36"/>
          <w:szCs w:val="20"/>
          <w:highlight w:val="none"/>
        </w:rPr>
        <w:t>附件7：中小企业声明函</w:t>
      </w:r>
    </w:p>
    <w:p w14:paraId="9580F43D">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34046A04">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51C63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F5050B1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C71F266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1E95E2F">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304B4E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F1CFDA94">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B27BE491">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75EBC3C2">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C30AC2BE">
      <w:pPr>
        <w:ind w:right="4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2076DA20">
      <w:pPr>
        <w:numPr>
          <w:ilvl w:val="0"/>
          <w:numId w:val="4"/>
        </w:num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A2EC8C5">
      <w:pPr>
        <w:numPr>
          <w:ilvl w:val="0"/>
          <w:numId w:val="4"/>
        </w:numPr>
        <w:ind w:right="420" w:firstLine="440" w:firstLineChars="200"/>
        <w:rPr>
          <w:rFonts w:ascii="仿宋" w:hAnsi="仿宋" w:eastAsia="仿宋" w:cs="仿宋"/>
          <w:color w:val="auto"/>
          <w:sz w:val="22"/>
          <w:szCs w:val="2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86558166">
      <w:pPr>
        <w:pStyle w:val="319"/>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CEF9A534">
      <w:pPr>
        <w:pStyle w:val="319"/>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2A6315BB">
      <w:pPr>
        <w:pStyle w:val="319"/>
        <w:adjustRightInd w:val="0"/>
        <w:snapToGrid w:val="0"/>
        <w:spacing w:before="120" w:beforeLines="50" w:after="120" w:line="360" w:lineRule="auto"/>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8CB1D796">
      <w:pPr>
        <w:pStyle w:val="839"/>
        <w:widowControl/>
        <w:numPr>
          <w:ilvl w:val="0"/>
          <w:numId w:val="5"/>
        </w:numPr>
        <w:tabs>
          <w:tab w:val="clear" w:pos="8268"/>
        </w:tabs>
        <w:snapToGrid w:val="0"/>
        <w:spacing w:before="120" w:beforeLines="50" w:line="360" w:lineRule="auto"/>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55F9627E">
      <w:pPr>
        <w:pStyle w:val="839"/>
        <w:widowControl/>
        <w:snapToGrid w:val="0"/>
        <w:spacing w:before="120" w:beforeLines="50" w:line="360" w:lineRule="auto"/>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14:paraId="46BFF023">
      <w:pPr>
        <w:pStyle w:val="839"/>
        <w:widowControl/>
        <w:snapToGrid w:val="0"/>
        <w:spacing w:before="120" w:beforeLines="50" w:line="360" w:lineRule="auto"/>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97C3EE96">
      <w:pPr>
        <w:pStyle w:val="839"/>
        <w:widowControl/>
        <w:snapToGrid w:val="0"/>
        <w:spacing w:before="120" w:beforeLines="50" w:line="360" w:lineRule="auto"/>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7A094C84">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14:paraId="1F6BC121">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14:paraId="72611975">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14:paraId="D532D439">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14:paraId="A7471D4A">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14:paraId="3D2B05BD">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14:paraId="5F41565E">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14:paraId="C527ABB1">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14:paraId="9949E2AC">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332856C1">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AC0BCA28">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14:paraId="1F873B9D">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11A9DF0E">
      <w:pPr>
        <w:pStyle w:val="319"/>
        <w:adjustRightInd w:val="0"/>
        <w:snapToGrid w:val="0"/>
        <w:spacing w:after="120" w:line="360" w:lineRule="auto"/>
        <w:ind w:firstLine="4200" w:firstLineChars="2100"/>
        <w:rPr>
          <w:rFonts w:ascii="仿宋" w:hAnsi="仿宋" w:eastAsia="仿宋"/>
          <w:color w:val="auto"/>
          <w:szCs w:val="21"/>
          <w:highlight w:val="none"/>
        </w:rPr>
      </w:pPr>
      <w:r>
        <w:rPr>
          <w:rFonts w:ascii="仿宋" w:hAnsi="仿宋" w:eastAsia="仿宋"/>
          <w:color w:val="auto"/>
          <w:szCs w:val="21"/>
          <w:highlight w:val="none"/>
        </w:rPr>
        <w:t>（供应商代表签名）</w:t>
      </w:r>
    </w:p>
    <w:p w14:paraId="D6A49588">
      <w:pPr>
        <w:spacing w:line="360" w:lineRule="auto"/>
        <w:ind w:right="840" w:firstLine="480"/>
        <w:jc w:val="right"/>
        <w:rPr>
          <w:rFonts w:hint="eastAsia" w:ascii="仿宋" w:hAnsi="仿宋" w:eastAsia="仿宋"/>
          <w:b/>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bookmarkEnd w:id="515"/>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3A2BD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245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1BFF">
    <w:pPr>
      <w:pStyle w:val="40"/>
      <w:framePr w:wrap="around" w:vAnchor="text" w:hAnchor="margin" w:xAlign="right" w:y="1"/>
      <w:rPr>
        <w:rStyle w:val="72"/>
      </w:rPr>
    </w:pPr>
    <w:r>
      <w:fldChar w:fldCharType="begin"/>
    </w:r>
    <w:r>
      <w:rPr>
        <w:rStyle w:val="72"/>
      </w:rPr>
      <w:instrText xml:space="preserve">PAGE  </w:instrText>
    </w:r>
    <w:r>
      <w:fldChar w:fldCharType="end"/>
    </w:r>
  </w:p>
  <w:p w14:paraId="EA1819F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234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131845147"/>
    <w:bookmarkStart w:id="512" w:name="_Toc36110187"/>
    <w:bookmarkStart w:id="513" w:name="_Toc91899912"/>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764A391">
    <w:pPr>
      <w:pStyle w:val="40"/>
      <w:framePr w:wrap="around" w:vAnchor="text" w:hAnchor="margin" w:xAlign="right" w:y="1"/>
      <w:rPr>
        <w:rStyle w:val="72"/>
      </w:rPr>
    </w:pPr>
    <w:r>
      <w:fldChar w:fldCharType="begin"/>
    </w:r>
    <w:r>
      <w:rPr>
        <w:rStyle w:val="72"/>
      </w:rPr>
      <w:instrText xml:space="preserve">PAGE  </w:instrText>
    </w:r>
    <w:r>
      <w:fldChar w:fldCharType="end"/>
    </w:r>
  </w:p>
  <w:p w14:paraId="07E77A6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805271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CA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1356D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0D9FB9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F0B8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91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93CED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50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3A6C70A">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33F3">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85D3">
    <w:pPr>
      <w:pStyle w:val="41"/>
      <w:pBdr>
        <w:bottom w:val="single" w:color="auto" w:sz="6" w:space="0"/>
      </w:pBdr>
      <w:tabs>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EDB0438">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F904CA8">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37AE9">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BED74A9">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D1A4287">
    <w:pPr>
      <w:pStyle w:val="41"/>
      <w:jc w:val="right"/>
      <w:rPr>
        <w:rFonts w:ascii="仿宋_GB2312" w:eastAsia="仿宋_GB2312"/>
        <w:b/>
        <w:i/>
        <w:u w:val="single"/>
      </w:rPr>
    </w:pPr>
    <w:r>
      <w:rPr>
        <w:rFonts w:hint="eastAsia"/>
      </w:rPr>
      <w:t xml:space="preserve">                                  </w:t>
    </w:r>
    <w:r>
      <w:t>杭州市政府采购公开招标文件</w:t>
    </w:r>
  </w:p>
  <w:p w14:paraId="308C242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E64A">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5314">
    <w:pPr>
      <w:pStyle w:val="41"/>
      <w:pBdr>
        <w:bottom w:val="single" w:color="auto" w:sz="6" w:space="0"/>
      </w:pBdr>
      <w:tabs>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lvl>
  </w:abstractNum>
  <w:abstractNum w:abstractNumId="4">
    <w:nsid w:val="00000004"/>
    <w:multiLevelType w:val="singleLevel"/>
    <w:tmpl w:val="00000004"/>
    <w:lvl w:ilvl="0" w:tentative="0">
      <w:start w:val="3"/>
      <w:numFmt w:val="chineseCounting"/>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E4EB4"/>
    <w:rsid w:val="1F2D4FF7"/>
    <w:rsid w:val="2AE861F1"/>
    <w:rsid w:val="3B1F6482"/>
    <w:rsid w:val="5C04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Body Text Indent"/>
    <w:basedOn w:val="1"/>
    <w:link w:val="264"/>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99"/>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2"/>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3a028230-ac0a-466a-8467-24ace4e32379"/>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f1bd040e-b2c3-4386-82dd-44325a9f6e80"/>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91da5d8e-7094-40f3-a72e-fc3e993ef50f"/>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75c28f9e-d72d-4f35-ba2d-1a7c6a118074"/>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69"/>
    <w:qFormat/>
    <w:uiPriority w:val="99"/>
    <w:rPr>
      <w:color w:val="605E5C"/>
      <w:shd w:val="clear" w:color="auto" w:fill="E1DFDD"/>
    </w:rPr>
  </w:style>
  <w:style w:type="paragraph" w:customStyle="1" w:styleId="965">
    <w:name w:val="正文7"/>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19417</Words>
  <Characters>20859</Characters>
  <Paragraphs>1524</Paragraphs>
  <TotalTime>7</TotalTime>
  <ScaleCrop>false</ScaleCrop>
  <LinksUpToDate>false</LinksUpToDate>
  <CharactersWithSpaces>20883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fr</cp:lastModifiedBy>
  <cp:lastPrinted>2021-12-28T03:06:00Z</cp:lastPrinted>
  <dcterms:modified xsi:type="dcterms:W3CDTF">2025-02-24T06:30:39Z</dcterms:modified>
  <dc:title>杭州市市民卡扩大发卡工程</dc:title>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25A89649AF534593BC25975FB67C49C6_13</vt:lpwstr>
  </property>
  <property fmtid="{D5CDD505-2E9C-101B-9397-08002B2CF9AE}" pid="5" name="KSOTemplateDocerSaveRecord">
    <vt:lpwstr>eyJoZGlkIjoiMzEwNTM5NzYwMDRjMzkwZTVkZjY2ODkwMGIxNGU0OTUiLCJ1c2VySWQiOiI0NDI0NjEyMzkifQ==</vt:lpwstr>
  </property>
</Properties>
</file>