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2A02DD">
      <w:pPr>
        <w:spacing w:line="360" w:lineRule="auto"/>
        <w:jc w:val="center"/>
        <w:rPr>
          <w:rFonts w:ascii="宋体" w:hAnsi="宋体" w:cs="宋体"/>
          <w:b/>
          <w:color w:val="auto"/>
          <w:szCs w:val="21"/>
          <w:highlight w:val="none"/>
        </w:rPr>
      </w:pPr>
    </w:p>
    <w:p w14:paraId="20A51DE3">
      <w:pPr>
        <w:spacing w:line="360" w:lineRule="auto"/>
        <w:jc w:val="center"/>
        <w:rPr>
          <w:rFonts w:ascii="宋体" w:hAnsi="宋体" w:cs="宋体"/>
          <w:b/>
          <w:color w:val="auto"/>
          <w:szCs w:val="21"/>
          <w:highlight w:val="none"/>
        </w:rPr>
      </w:pPr>
    </w:p>
    <w:p w14:paraId="4A417B7D">
      <w:pPr>
        <w:adjustRightInd/>
        <w:spacing w:line="360" w:lineRule="auto"/>
        <w:jc w:val="center"/>
        <w:rPr>
          <w:rFonts w:ascii="宋体" w:hAnsi="宋体" w:cs="宋体"/>
          <w:b/>
          <w:bCs/>
          <w:color w:val="auto"/>
          <w:szCs w:val="21"/>
          <w:highlight w:val="none"/>
        </w:rPr>
      </w:pPr>
    </w:p>
    <w:p w14:paraId="666264E7">
      <w:pPr>
        <w:adjustRightInd/>
        <w:spacing w:line="360" w:lineRule="auto"/>
        <w:jc w:val="center"/>
        <w:rPr>
          <w:rFonts w:ascii="宋体" w:hAnsi="宋体" w:cs="宋体"/>
          <w:b/>
          <w:bCs/>
          <w:color w:val="auto"/>
          <w:spacing w:val="-17"/>
          <w:sz w:val="52"/>
          <w:szCs w:val="52"/>
          <w:highlight w:val="none"/>
        </w:rPr>
      </w:pPr>
      <w:r>
        <w:rPr>
          <w:rFonts w:hint="eastAsia" w:ascii="宋体" w:hAnsi="宋体" w:cs="宋体"/>
          <w:b/>
          <w:bCs/>
          <w:color w:val="auto"/>
          <w:spacing w:val="-17"/>
          <w:sz w:val="52"/>
          <w:szCs w:val="52"/>
          <w:highlight w:val="none"/>
        </w:rPr>
        <w:t>AI余杭建设项目</w:t>
      </w:r>
    </w:p>
    <w:p w14:paraId="185C1E15">
      <w:pPr>
        <w:adjustRightInd/>
        <w:spacing w:line="360" w:lineRule="auto"/>
        <w:jc w:val="center"/>
        <w:rPr>
          <w:rFonts w:ascii="宋体" w:hAnsi="宋体" w:cs="宋体"/>
          <w:b/>
          <w:bCs/>
          <w:color w:val="auto"/>
          <w:szCs w:val="21"/>
          <w:highlight w:val="none"/>
        </w:rPr>
      </w:pPr>
    </w:p>
    <w:p w14:paraId="56BF3BE2">
      <w:pPr>
        <w:adjustRightInd/>
        <w:spacing w:line="360" w:lineRule="auto"/>
        <w:jc w:val="center"/>
        <w:rPr>
          <w:rFonts w:ascii="宋体" w:hAnsi="宋体" w:cs="宋体"/>
          <w:b/>
          <w:bCs/>
          <w:color w:val="auto"/>
          <w:szCs w:val="21"/>
          <w:highlight w:val="none"/>
        </w:rPr>
      </w:pPr>
    </w:p>
    <w:p w14:paraId="1E7663F6">
      <w:pPr>
        <w:adjustRightInd/>
        <w:spacing w:line="360" w:lineRule="auto"/>
        <w:jc w:val="center"/>
        <w:rPr>
          <w:rFonts w:ascii="宋体" w:hAnsi="宋体" w:cs="宋体"/>
          <w:b/>
          <w:bCs/>
          <w:color w:val="auto"/>
          <w:sz w:val="84"/>
          <w:szCs w:val="84"/>
          <w:highlight w:val="none"/>
        </w:rPr>
      </w:pPr>
      <w:r>
        <w:rPr>
          <w:rFonts w:hint="eastAsia" w:ascii="宋体" w:hAnsi="宋体" w:cs="宋体"/>
          <w:b/>
          <w:bCs/>
          <w:color w:val="auto"/>
          <w:sz w:val="84"/>
          <w:szCs w:val="84"/>
          <w:highlight w:val="none"/>
        </w:rPr>
        <w:t>招标文件</w:t>
      </w:r>
    </w:p>
    <w:p w14:paraId="6245A5E0">
      <w:pPr>
        <w:adjustRightInd/>
        <w:spacing w:line="360" w:lineRule="auto"/>
        <w:jc w:val="center"/>
        <w:rPr>
          <w:rFonts w:cs="Calibri"/>
          <w:color w:val="auto"/>
          <w:szCs w:val="21"/>
          <w:highlight w:val="none"/>
        </w:rPr>
      </w:pPr>
      <w:r>
        <w:rPr>
          <w:rFonts w:cs="Calibri"/>
          <w:color w:val="auto"/>
          <w:szCs w:val="21"/>
          <w:highlight w:val="none"/>
        </w:rPr>
        <w:drawing>
          <wp:inline distT="0" distB="0" distL="114300" distR="114300">
            <wp:extent cx="2303780" cy="1790700"/>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1"/>
                    <a:stretch>
                      <a:fillRect/>
                    </a:stretch>
                  </pic:blipFill>
                  <pic:spPr>
                    <a:xfrm>
                      <a:off x="0" y="0"/>
                      <a:ext cx="2303780" cy="1790700"/>
                    </a:xfrm>
                    <a:prstGeom prst="rect">
                      <a:avLst/>
                    </a:prstGeom>
                    <a:noFill/>
                    <a:ln w="9525">
                      <a:noFill/>
                    </a:ln>
                  </pic:spPr>
                </pic:pic>
              </a:graphicData>
            </a:graphic>
          </wp:inline>
        </w:drawing>
      </w:r>
    </w:p>
    <w:p w14:paraId="4E2BF0A6">
      <w:pPr>
        <w:spacing w:line="360" w:lineRule="auto"/>
        <w:rPr>
          <w:color w:val="auto"/>
          <w:sz w:val="44"/>
          <w:szCs w:val="44"/>
          <w:highlight w:val="none"/>
        </w:rPr>
      </w:pPr>
    </w:p>
    <w:p w14:paraId="1CCC3D0F">
      <w:pPr>
        <w:adjustRightInd/>
        <w:spacing w:line="360" w:lineRule="auto"/>
        <w:jc w:val="center"/>
        <w:rPr>
          <w:rFonts w:ascii="宋体" w:hAnsi="宋体" w:cs="宋体"/>
          <w:b/>
          <w:color w:val="auto"/>
          <w:szCs w:val="21"/>
          <w:highlight w:val="none"/>
        </w:rPr>
      </w:pPr>
      <w:r>
        <w:rPr>
          <w:rFonts w:hint="eastAsia" w:ascii="宋体" w:hAnsi="宋体" w:cs="宋体"/>
          <w:b/>
          <w:color w:val="auto"/>
          <w:sz w:val="44"/>
          <w:szCs w:val="44"/>
          <w:highlight w:val="none"/>
        </w:rPr>
        <w:t>（电子招投标）</w:t>
      </w:r>
    </w:p>
    <w:p w14:paraId="2E4C571B">
      <w:pPr>
        <w:snapToGrid w:val="0"/>
        <w:spacing w:line="360" w:lineRule="auto"/>
        <w:jc w:val="center"/>
        <w:rPr>
          <w:rFonts w:hint="eastAsia" w:ascii="宋体" w:hAnsi="宋体" w:eastAsia="宋体" w:cs="宋体"/>
          <w:b/>
          <w:bCs/>
          <w:color w:val="auto"/>
          <w:sz w:val="30"/>
          <w:szCs w:val="30"/>
          <w:highlight w:val="none"/>
          <w:lang w:eastAsia="zh-CN"/>
        </w:rPr>
      </w:pPr>
      <w:r>
        <w:rPr>
          <w:rFonts w:hint="eastAsia" w:ascii="宋体" w:hAnsi="宋体" w:cs="宋体"/>
          <w:b/>
          <w:bCs/>
          <w:color w:val="auto"/>
          <w:sz w:val="30"/>
          <w:szCs w:val="30"/>
          <w:highlight w:val="none"/>
        </w:rPr>
        <w:t>编号：</w:t>
      </w:r>
      <w:r>
        <w:rPr>
          <w:rFonts w:hint="eastAsia" w:ascii="宋体" w:hAnsi="宋体" w:cs="宋体"/>
          <w:b/>
          <w:bCs/>
          <w:color w:val="auto"/>
          <w:sz w:val="30"/>
          <w:szCs w:val="30"/>
          <w:highlight w:val="none"/>
          <w:lang w:eastAsia="zh-CN"/>
        </w:rPr>
        <w:t>CTZB-2025010049</w:t>
      </w:r>
    </w:p>
    <w:p w14:paraId="12C41452">
      <w:pPr>
        <w:adjustRightInd/>
        <w:spacing w:line="360" w:lineRule="auto"/>
        <w:rPr>
          <w:rFonts w:ascii="宋体" w:hAnsi="宋体" w:cs="宋体"/>
          <w:b/>
          <w:bCs/>
          <w:color w:val="auto"/>
          <w:szCs w:val="21"/>
          <w:highlight w:val="none"/>
        </w:rPr>
      </w:pPr>
    </w:p>
    <w:p w14:paraId="6039E75B">
      <w:pPr>
        <w:spacing w:line="360" w:lineRule="auto"/>
        <w:rPr>
          <w:rFonts w:ascii="宋体" w:hAnsi="宋体" w:cs="宋体"/>
          <w:b/>
          <w:bCs/>
          <w:color w:val="auto"/>
          <w:szCs w:val="21"/>
          <w:highlight w:val="none"/>
        </w:rPr>
      </w:pPr>
    </w:p>
    <w:p w14:paraId="7F558650">
      <w:pPr>
        <w:spacing w:line="360" w:lineRule="auto"/>
        <w:rPr>
          <w:color w:val="auto"/>
          <w:szCs w:val="21"/>
          <w:highlight w:val="none"/>
        </w:rPr>
      </w:pPr>
    </w:p>
    <w:p w14:paraId="217877BD">
      <w:pPr>
        <w:spacing w:line="360" w:lineRule="auto"/>
        <w:rPr>
          <w:color w:val="auto"/>
          <w:szCs w:val="21"/>
          <w:highlight w:val="none"/>
        </w:rPr>
      </w:pPr>
    </w:p>
    <w:p w14:paraId="5F1BC28E">
      <w:pPr>
        <w:snapToGrid w:val="0"/>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杭州市余杭区数据资源管理局</w:t>
      </w:r>
    </w:p>
    <w:p w14:paraId="0B13A528">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浙江省成套招标代理有限公司</w:t>
      </w:r>
    </w:p>
    <w:p w14:paraId="007C8FAB">
      <w:pPr>
        <w:spacing w:line="360" w:lineRule="auto"/>
        <w:rPr>
          <w:color w:val="auto"/>
          <w:sz w:val="32"/>
          <w:szCs w:val="32"/>
          <w:highlight w:val="none"/>
        </w:rPr>
      </w:pPr>
    </w:p>
    <w:p w14:paraId="5A1B3AD9">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二〇二五年一月</w:t>
      </w:r>
    </w:p>
    <w:p w14:paraId="5803B82B">
      <w:pPr>
        <w:spacing w:line="360" w:lineRule="auto"/>
        <w:jc w:val="center"/>
        <w:rPr>
          <w:rFonts w:ascii="宋体" w:hAnsi="宋体" w:cs="宋体"/>
          <w:color w:val="auto"/>
          <w:szCs w:val="21"/>
          <w:highlight w:val="none"/>
        </w:rPr>
        <w:sectPr>
          <w:headerReference r:id="rId4" w:type="first"/>
          <w:headerReference r:id="rId3" w:type="default"/>
          <w:footerReference r:id="rId5" w:type="even"/>
          <w:pgSz w:w="11906" w:h="16838"/>
          <w:pgMar w:top="680" w:right="1418" w:bottom="468" w:left="1418" w:header="851" w:footer="992" w:gutter="0"/>
          <w:cols w:space="720" w:num="1"/>
          <w:docGrid w:linePitch="312" w:charSpace="0"/>
        </w:sectPr>
      </w:pPr>
    </w:p>
    <w:p w14:paraId="2B9EC7C6">
      <w:pPr>
        <w:spacing w:line="360" w:lineRule="auto"/>
        <w:rPr>
          <w:color w:val="auto"/>
          <w:szCs w:val="21"/>
          <w:highlight w:val="none"/>
        </w:rPr>
      </w:pPr>
      <w:bookmarkStart w:id="0" w:name="_Toc3116"/>
    </w:p>
    <w:p w14:paraId="7AD96C91">
      <w:pPr>
        <w:pStyle w:val="2"/>
        <w:rPr>
          <w:rFonts w:ascii="宋体" w:hAnsi="宋体" w:cs="宋体"/>
          <w:color w:val="auto"/>
          <w:sz w:val="30"/>
          <w:szCs w:val="30"/>
          <w:highlight w:val="none"/>
        </w:rPr>
      </w:pPr>
      <w:bookmarkStart w:id="1" w:name="_Toc28848"/>
      <w:bookmarkStart w:id="2" w:name="_Toc8682"/>
      <w:r>
        <w:rPr>
          <w:rFonts w:hint="eastAsia" w:ascii="宋体" w:hAnsi="宋体" w:cs="宋体"/>
          <w:color w:val="auto"/>
          <w:sz w:val="30"/>
          <w:szCs w:val="30"/>
          <w:highlight w:val="none"/>
        </w:rPr>
        <w:t>目  录</w:t>
      </w:r>
      <w:bookmarkEnd w:id="0"/>
      <w:bookmarkEnd w:id="1"/>
      <w:bookmarkEnd w:id="2"/>
    </w:p>
    <w:p w14:paraId="019A4DD5">
      <w:pPr>
        <w:spacing w:line="360" w:lineRule="auto"/>
        <w:jc w:val="center"/>
        <w:rPr>
          <w:color w:val="auto"/>
          <w:szCs w:val="21"/>
          <w:highlight w:val="none"/>
        </w:rPr>
      </w:pPr>
    </w:p>
    <w:p w14:paraId="1B270DBA">
      <w:pPr>
        <w:pStyle w:val="44"/>
        <w:tabs>
          <w:tab w:val="right" w:leader="dot" w:pos="9070"/>
        </w:tabs>
        <w:spacing w:line="360" w:lineRule="auto"/>
        <w:rPr>
          <w:color w:val="auto"/>
          <w:sz w:val="24"/>
          <w:highlight w:val="none"/>
        </w:rPr>
      </w:pPr>
      <w:r>
        <w:rPr>
          <w:rFonts w:hint="eastAsia" w:ascii="宋体" w:hAnsi="宋体" w:cs="宋体"/>
          <w:b/>
          <w:bCs/>
          <w:color w:val="auto"/>
          <w:szCs w:val="21"/>
          <w:highlight w:val="none"/>
        </w:rPr>
        <w:fldChar w:fldCharType="begin"/>
      </w:r>
      <w:r>
        <w:rPr>
          <w:rFonts w:hint="eastAsia" w:ascii="宋体" w:hAnsi="宋体" w:cs="宋体"/>
          <w:b/>
          <w:bCs/>
          <w:color w:val="auto"/>
          <w:szCs w:val="21"/>
          <w:highlight w:val="none"/>
        </w:rPr>
        <w:instrText xml:space="preserve">TOC \o "1-1" \h \u </w:instrText>
      </w:r>
      <w:r>
        <w:rPr>
          <w:rFonts w:hint="eastAsia" w:ascii="宋体" w:hAnsi="宋体" w:cs="宋体"/>
          <w:b/>
          <w:bCs/>
          <w:color w:val="auto"/>
          <w:szCs w:val="21"/>
          <w:highlight w:val="none"/>
        </w:rPr>
        <w:fldChar w:fldCharType="separate"/>
      </w:r>
      <w:r>
        <w:rPr>
          <w:color w:val="auto"/>
          <w:highlight w:val="none"/>
        </w:rPr>
        <w:fldChar w:fldCharType="begin"/>
      </w:r>
      <w:r>
        <w:rPr>
          <w:color w:val="auto"/>
          <w:highlight w:val="none"/>
        </w:rPr>
        <w:instrText xml:space="preserve"> HYPERLINK \l "_Toc13063" </w:instrText>
      </w:r>
      <w:r>
        <w:rPr>
          <w:color w:val="auto"/>
          <w:highlight w:val="none"/>
        </w:rPr>
        <w:fldChar w:fldCharType="separate"/>
      </w:r>
      <w:r>
        <w:rPr>
          <w:rFonts w:hint="eastAsia" w:ascii="宋体" w:hAnsi="宋体" w:cs="宋体"/>
          <w:color w:val="auto"/>
          <w:sz w:val="24"/>
          <w:highlight w:val="none"/>
        </w:rPr>
        <w:t>第一部分 招标公告</w:t>
      </w:r>
      <w:r>
        <w:rPr>
          <w:color w:val="auto"/>
          <w:sz w:val="24"/>
          <w:highlight w:val="none"/>
        </w:rPr>
        <w:tab/>
      </w:r>
      <w:r>
        <w:rPr>
          <w:color w:val="auto"/>
          <w:sz w:val="24"/>
          <w:highlight w:val="none"/>
        </w:rPr>
        <w:fldChar w:fldCharType="begin"/>
      </w:r>
      <w:r>
        <w:rPr>
          <w:color w:val="auto"/>
          <w:sz w:val="24"/>
          <w:highlight w:val="none"/>
        </w:rPr>
        <w:instrText xml:space="preserve"> PAGEREF _Toc13063 \h </w:instrText>
      </w:r>
      <w:r>
        <w:rPr>
          <w:color w:val="auto"/>
          <w:sz w:val="24"/>
          <w:highlight w:val="none"/>
        </w:rPr>
        <w:fldChar w:fldCharType="separate"/>
      </w:r>
      <w:r>
        <w:rPr>
          <w:color w:val="auto"/>
          <w:sz w:val="24"/>
          <w:highlight w:val="none"/>
        </w:rPr>
        <w:t>3</w:t>
      </w:r>
      <w:r>
        <w:rPr>
          <w:color w:val="auto"/>
          <w:sz w:val="24"/>
          <w:highlight w:val="none"/>
        </w:rPr>
        <w:fldChar w:fldCharType="end"/>
      </w:r>
      <w:r>
        <w:rPr>
          <w:color w:val="auto"/>
          <w:sz w:val="24"/>
          <w:highlight w:val="none"/>
        </w:rPr>
        <w:fldChar w:fldCharType="end"/>
      </w:r>
    </w:p>
    <w:p w14:paraId="6568C932">
      <w:pPr>
        <w:pStyle w:val="44"/>
        <w:tabs>
          <w:tab w:val="right" w:leader="dot" w:pos="9070"/>
        </w:tabs>
        <w:spacing w:line="360" w:lineRule="auto"/>
        <w:rPr>
          <w:color w:val="auto"/>
          <w:sz w:val="24"/>
          <w:highlight w:val="none"/>
        </w:rPr>
      </w:pPr>
      <w:r>
        <w:rPr>
          <w:color w:val="auto"/>
          <w:highlight w:val="none"/>
        </w:rPr>
        <w:fldChar w:fldCharType="begin"/>
      </w:r>
      <w:r>
        <w:rPr>
          <w:color w:val="auto"/>
          <w:highlight w:val="none"/>
        </w:rPr>
        <w:instrText xml:space="preserve"> HYPERLINK \l "_Toc3223" </w:instrText>
      </w:r>
      <w:r>
        <w:rPr>
          <w:color w:val="auto"/>
          <w:highlight w:val="none"/>
        </w:rPr>
        <w:fldChar w:fldCharType="separate"/>
      </w:r>
      <w:r>
        <w:rPr>
          <w:rFonts w:hint="eastAsia"/>
          <w:color w:val="auto"/>
          <w:sz w:val="24"/>
          <w:highlight w:val="none"/>
        </w:rPr>
        <w:t>第二部分 投标人须知</w:t>
      </w:r>
      <w:r>
        <w:rPr>
          <w:color w:val="auto"/>
          <w:sz w:val="24"/>
          <w:highlight w:val="none"/>
        </w:rPr>
        <w:tab/>
      </w:r>
      <w:r>
        <w:rPr>
          <w:color w:val="auto"/>
          <w:sz w:val="24"/>
          <w:highlight w:val="none"/>
        </w:rPr>
        <w:fldChar w:fldCharType="begin"/>
      </w:r>
      <w:r>
        <w:rPr>
          <w:color w:val="auto"/>
          <w:sz w:val="24"/>
          <w:highlight w:val="none"/>
        </w:rPr>
        <w:instrText xml:space="preserve"> PAGEREF _Toc3223 \h </w:instrText>
      </w:r>
      <w:r>
        <w:rPr>
          <w:color w:val="auto"/>
          <w:sz w:val="24"/>
          <w:highlight w:val="none"/>
        </w:rPr>
        <w:fldChar w:fldCharType="separate"/>
      </w:r>
      <w:r>
        <w:rPr>
          <w:color w:val="auto"/>
          <w:sz w:val="24"/>
          <w:highlight w:val="none"/>
        </w:rPr>
        <w:t>6</w:t>
      </w:r>
      <w:r>
        <w:rPr>
          <w:color w:val="auto"/>
          <w:sz w:val="24"/>
          <w:highlight w:val="none"/>
        </w:rPr>
        <w:fldChar w:fldCharType="end"/>
      </w:r>
      <w:r>
        <w:rPr>
          <w:color w:val="auto"/>
          <w:sz w:val="24"/>
          <w:highlight w:val="none"/>
        </w:rPr>
        <w:fldChar w:fldCharType="end"/>
      </w:r>
    </w:p>
    <w:p w14:paraId="48B110FF">
      <w:pPr>
        <w:pStyle w:val="44"/>
        <w:tabs>
          <w:tab w:val="right" w:leader="dot" w:pos="9070"/>
        </w:tabs>
        <w:spacing w:line="360" w:lineRule="auto"/>
        <w:rPr>
          <w:color w:val="auto"/>
          <w:sz w:val="24"/>
          <w:highlight w:val="none"/>
        </w:rPr>
      </w:pPr>
      <w:r>
        <w:rPr>
          <w:color w:val="auto"/>
          <w:highlight w:val="none"/>
        </w:rPr>
        <w:fldChar w:fldCharType="begin"/>
      </w:r>
      <w:r>
        <w:rPr>
          <w:color w:val="auto"/>
          <w:highlight w:val="none"/>
        </w:rPr>
        <w:instrText xml:space="preserve"> HYPERLINK \l "_Toc16290" </w:instrText>
      </w:r>
      <w:r>
        <w:rPr>
          <w:color w:val="auto"/>
          <w:highlight w:val="none"/>
        </w:rPr>
        <w:fldChar w:fldCharType="separate"/>
      </w:r>
      <w:r>
        <w:rPr>
          <w:rFonts w:hint="eastAsia"/>
          <w:color w:val="auto"/>
          <w:sz w:val="24"/>
          <w:highlight w:val="none"/>
        </w:rPr>
        <w:t>第三部分 采购需求</w:t>
      </w:r>
      <w:r>
        <w:rPr>
          <w:color w:val="auto"/>
          <w:sz w:val="24"/>
          <w:highlight w:val="none"/>
        </w:rPr>
        <w:tab/>
      </w:r>
      <w:r>
        <w:rPr>
          <w:color w:val="auto"/>
          <w:sz w:val="24"/>
          <w:highlight w:val="none"/>
        </w:rPr>
        <w:fldChar w:fldCharType="begin"/>
      </w:r>
      <w:r>
        <w:rPr>
          <w:color w:val="auto"/>
          <w:sz w:val="24"/>
          <w:highlight w:val="none"/>
        </w:rPr>
        <w:instrText xml:space="preserve"> PAGEREF _Toc16290 \h </w:instrText>
      </w:r>
      <w:r>
        <w:rPr>
          <w:color w:val="auto"/>
          <w:sz w:val="24"/>
          <w:highlight w:val="none"/>
        </w:rPr>
        <w:fldChar w:fldCharType="separate"/>
      </w:r>
      <w:r>
        <w:rPr>
          <w:color w:val="auto"/>
          <w:sz w:val="24"/>
          <w:highlight w:val="none"/>
        </w:rPr>
        <w:t>20</w:t>
      </w:r>
      <w:r>
        <w:rPr>
          <w:color w:val="auto"/>
          <w:sz w:val="24"/>
          <w:highlight w:val="none"/>
        </w:rPr>
        <w:fldChar w:fldCharType="end"/>
      </w:r>
      <w:r>
        <w:rPr>
          <w:color w:val="auto"/>
          <w:sz w:val="24"/>
          <w:highlight w:val="none"/>
        </w:rPr>
        <w:fldChar w:fldCharType="end"/>
      </w:r>
    </w:p>
    <w:p w14:paraId="322CF8A8">
      <w:pPr>
        <w:pStyle w:val="44"/>
        <w:tabs>
          <w:tab w:val="right" w:leader="dot" w:pos="9070"/>
        </w:tabs>
        <w:spacing w:line="360" w:lineRule="auto"/>
        <w:rPr>
          <w:color w:val="auto"/>
          <w:sz w:val="24"/>
          <w:highlight w:val="none"/>
        </w:rPr>
      </w:pPr>
      <w:r>
        <w:rPr>
          <w:color w:val="auto"/>
          <w:highlight w:val="none"/>
        </w:rPr>
        <w:fldChar w:fldCharType="begin"/>
      </w:r>
      <w:r>
        <w:rPr>
          <w:color w:val="auto"/>
          <w:highlight w:val="none"/>
        </w:rPr>
        <w:instrText xml:space="preserve"> HYPERLINK \l "_Toc29694" </w:instrText>
      </w:r>
      <w:r>
        <w:rPr>
          <w:color w:val="auto"/>
          <w:highlight w:val="none"/>
        </w:rPr>
        <w:fldChar w:fldCharType="separate"/>
      </w:r>
      <w:r>
        <w:rPr>
          <w:rFonts w:hint="eastAsia"/>
          <w:color w:val="auto"/>
          <w:sz w:val="24"/>
          <w:highlight w:val="none"/>
        </w:rPr>
        <w:t>第四部分 评标办法</w:t>
      </w:r>
      <w:r>
        <w:rPr>
          <w:color w:val="auto"/>
          <w:sz w:val="24"/>
          <w:highlight w:val="none"/>
        </w:rPr>
        <w:tab/>
      </w:r>
      <w:r>
        <w:rPr>
          <w:color w:val="auto"/>
          <w:sz w:val="24"/>
          <w:highlight w:val="none"/>
        </w:rPr>
        <w:fldChar w:fldCharType="begin"/>
      </w:r>
      <w:r>
        <w:rPr>
          <w:color w:val="auto"/>
          <w:sz w:val="24"/>
          <w:highlight w:val="none"/>
        </w:rPr>
        <w:instrText xml:space="preserve"> PAGEREF _Toc29694 \h </w:instrText>
      </w:r>
      <w:r>
        <w:rPr>
          <w:color w:val="auto"/>
          <w:sz w:val="24"/>
          <w:highlight w:val="none"/>
        </w:rPr>
        <w:fldChar w:fldCharType="separate"/>
      </w:r>
      <w:r>
        <w:rPr>
          <w:color w:val="auto"/>
          <w:sz w:val="24"/>
          <w:highlight w:val="none"/>
        </w:rPr>
        <w:t>30</w:t>
      </w:r>
      <w:r>
        <w:rPr>
          <w:color w:val="auto"/>
          <w:sz w:val="24"/>
          <w:highlight w:val="none"/>
        </w:rPr>
        <w:fldChar w:fldCharType="end"/>
      </w:r>
      <w:r>
        <w:rPr>
          <w:color w:val="auto"/>
          <w:sz w:val="24"/>
          <w:highlight w:val="none"/>
        </w:rPr>
        <w:fldChar w:fldCharType="end"/>
      </w:r>
    </w:p>
    <w:p w14:paraId="64123324">
      <w:pPr>
        <w:pStyle w:val="44"/>
        <w:tabs>
          <w:tab w:val="right" w:leader="dot" w:pos="9070"/>
        </w:tabs>
        <w:spacing w:line="360" w:lineRule="auto"/>
        <w:rPr>
          <w:color w:val="auto"/>
          <w:sz w:val="24"/>
          <w:highlight w:val="none"/>
        </w:rPr>
      </w:pPr>
      <w:r>
        <w:rPr>
          <w:color w:val="auto"/>
          <w:highlight w:val="none"/>
        </w:rPr>
        <w:fldChar w:fldCharType="begin"/>
      </w:r>
      <w:r>
        <w:rPr>
          <w:color w:val="auto"/>
          <w:highlight w:val="none"/>
        </w:rPr>
        <w:instrText xml:space="preserve"> HYPERLINK \l "_Toc2146" </w:instrText>
      </w:r>
      <w:r>
        <w:rPr>
          <w:color w:val="auto"/>
          <w:highlight w:val="none"/>
        </w:rPr>
        <w:fldChar w:fldCharType="separate"/>
      </w:r>
      <w:r>
        <w:rPr>
          <w:rFonts w:hint="eastAsia"/>
          <w:color w:val="auto"/>
          <w:sz w:val="24"/>
          <w:highlight w:val="none"/>
        </w:rPr>
        <w:t>第五部分 拟签订的合同文本</w:t>
      </w:r>
      <w:r>
        <w:rPr>
          <w:color w:val="auto"/>
          <w:sz w:val="24"/>
          <w:highlight w:val="none"/>
        </w:rPr>
        <w:tab/>
      </w:r>
      <w:r>
        <w:rPr>
          <w:color w:val="auto"/>
          <w:sz w:val="24"/>
          <w:highlight w:val="none"/>
        </w:rPr>
        <w:fldChar w:fldCharType="begin"/>
      </w:r>
      <w:r>
        <w:rPr>
          <w:color w:val="auto"/>
          <w:sz w:val="24"/>
          <w:highlight w:val="none"/>
        </w:rPr>
        <w:instrText xml:space="preserve"> PAGEREF _Toc2146 \h </w:instrText>
      </w:r>
      <w:r>
        <w:rPr>
          <w:color w:val="auto"/>
          <w:sz w:val="24"/>
          <w:highlight w:val="none"/>
        </w:rPr>
        <w:fldChar w:fldCharType="separate"/>
      </w:r>
      <w:r>
        <w:rPr>
          <w:color w:val="auto"/>
          <w:sz w:val="24"/>
          <w:highlight w:val="none"/>
        </w:rPr>
        <w:t>37</w:t>
      </w:r>
      <w:r>
        <w:rPr>
          <w:color w:val="auto"/>
          <w:sz w:val="24"/>
          <w:highlight w:val="none"/>
        </w:rPr>
        <w:fldChar w:fldCharType="end"/>
      </w:r>
      <w:r>
        <w:rPr>
          <w:color w:val="auto"/>
          <w:sz w:val="24"/>
          <w:highlight w:val="none"/>
        </w:rPr>
        <w:fldChar w:fldCharType="end"/>
      </w:r>
    </w:p>
    <w:p w14:paraId="3CDEC408">
      <w:pPr>
        <w:pStyle w:val="44"/>
        <w:tabs>
          <w:tab w:val="right" w:leader="dot" w:pos="9070"/>
        </w:tabs>
        <w:spacing w:line="360" w:lineRule="auto"/>
        <w:rPr>
          <w:color w:val="auto"/>
          <w:highlight w:val="none"/>
        </w:rPr>
      </w:pPr>
      <w:r>
        <w:rPr>
          <w:color w:val="auto"/>
          <w:highlight w:val="none"/>
        </w:rPr>
        <w:fldChar w:fldCharType="begin"/>
      </w:r>
      <w:r>
        <w:rPr>
          <w:color w:val="auto"/>
          <w:highlight w:val="none"/>
        </w:rPr>
        <w:instrText xml:space="preserve"> HYPERLINK \l "_Toc24439" </w:instrText>
      </w:r>
      <w:r>
        <w:rPr>
          <w:color w:val="auto"/>
          <w:highlight w:val="none"/>
        </w:rPr>
        <w:fldChar w:fldCharType="separate"/>
      </w:r>
      <w:r>
        <w:rPr>
          <w:rFonts w:hint="eastAsia"/>
          <w:color w:val="auto"/>
          <w:sz w:val="24"/>
          <w:highlight w:val="none"/>
        </w:rPr>
        <w:t>第六部分 应提交的有关格式范例</w:t>
      </w:r>
      <w:r>
        <w:rPr>
          <w:color w:val="auto"/>
          <w:sz w:val="24"/>
          <w:highlight w:val="none"/>
        </w:rPr>
        <w:tab/>
      </w:r>
      <w:r>
        <w:rPr>
          <w:color w:val="auto"/>
          <w:sz w:val="24"/>
          <w:highlight w:val="none"/>
        </w:rPr>
        <w:fldChar w:fldCharType="begin"/>
      </w:r>
      <w:r>
        <w:rPr>
          <w:color w:val="auto"/>
          <w:sz w:val="24"/>
          <w:highlight w:val="none"/>
        </w:rPr>
        <w:instrText xml:space="preserve"> PAGEREF _Toc24439 \h </w:instrText>
      </w:r>
      <w:r>
        <w:rPr>
          <w:color w:val="auto"/>
          <w:sz w:val="24"/>
          <w:highlight w:val="none"/>
        </w:rPr>
        <w:fldChar w:fldCharType="separate"/>
      </w:r>
      <w:r>
        <w:rPr>
          <w:color w:val="auto"/>
          <w:sz w:val="24"/>
          <w:highlight w:val="none"/>
        </w:rPr>
        <w:t>51</w:t>
      </w:r>
      <w:r>
        <w:rPr>
          <w:color w:val="auto"/>
          <w:sz w:val="24"/>
          <w:highlight w:val="none"/>
        </w:rPr>
        <w:fldChar w:fldCharType="end"/>
      </w:r>
      <w:r>
        <w:rPr>
          <w:color w:val="auto"/>
          <w:sz w:val="24"/>
          <w:highlight w:val="none"/>
        </w:rPr>
        <w:fldChar w:fldCharType="end"/>
      </w:r>
    </w:p>
    <w:p w14:paraId="42488AF2">
      <w:pPr>
        <w:spacing w:line="360" w:lineRule="auto"/>
        <w:rPr>
          <w:rFonts w:ascii="宋体" w:hAnsi="宋体" w:cs="宋体"/>
          <w:b/>
          <w:bCs/>
          <w:color w:val="auto"/>
          <w:szCs w:val="21"/>
          <w:highlight w:val="none"/>
        </w:rPr>
      </w:pPr>
      <w:r>
        <w:rPr>
          <w:rFonts w:hint="eastAsia" w:ascii="宋体" w:hAnsi="宋体" w:cs="宋体"/>
          <w:bCs/>
          <w:color w:val="auto"/>
          <w:szCs w:val="21"/>
          <w:highlight w:val="none"/>
        </w:rPr>
        <w:fldChar w:fldCharType="end"/>
      </w:r>
    </w:p>
    <w:p w14:paraId="43AF149E">
      <w:pPr>
        <w:spacing w:line="360" w:lineRule="auto"/>
        <w:rPr>
          <w:rFonts w:ascii="宋体" w:hAnsi="宋体" w:cs="宋体"/>
          <w:color w:val="auto"/>
          <w:szCs w:val="21"/>
          <w:highlight w:val="none"/>
        </w:rPr>
      </w:pPr>
    </w:p>
    <w:p w14:paraId="650BEBA0">
      <w:pPr>
        <w:spacing w:line="360" w:lineRule="auto"/>
        <w:ind w:firstLine="480" w:firstLineChars="229"/>
        <w:rPr>
          <w:rFonts w:ascii="宋体" w:hAnsi="宋体" w:cs="宋体"/>
          <w:color w:val="auto"/>
          <w:szCs w:val="21"/>
          <w:highlight w:val="none"/>
        </w:rPr>
      </w:pPr>
      <w:bookmarkStart w:id="3" w:name="_Hlt91233176"/>
      <w:bookmarkEnd w:id="3"/>
      <w:bookmarkStart w:id="4" w:name="_Toc91899869"/>
    </w:p>
    <w:p w14:paraId="6E6998AD">
      <w:pPr>
        <w:spacing w:line="360" w:lineRule="auto"/>
        <w:ind w:firstLine="480" w:firstLineChars="229"/>
        <w:rPr>
          <w:rFonts w:ascii="宋体" w:hAnsi="宋体" w:cs="宋体"/>
          <w:color w:val="auto"/>
          <w:szCs w:val="21"/>
          <w:highlight w:val="none"/>
        </w:rPr>
      </w:pPr>
    </w:p>
    <w:p w14:paraId="305EAA47">
      <w:pPr>
        <w:spacing w:line="360" w:lineRule="auto"/>
        <w:ind w:firstLine="480" w:firstLineChars="229"/>
        <w:rPr>
          <w:rFonts w:ascii="宋体" w:hAnsi="宋体" w:cs="宋体"/>
          <w:color w:val="auto"/>
          <w:szCs w:val="21"/>
          <w:highlight w:val="none"/>
        </w:rPr>
      </w:pPr>
    </w:p>
    <w:p w14:paraId="588F8215">
      <w:pPr>
        <w:spacing w:line="360" w:lineRule="auto"/>
        <w:ind w:firstLine="480" w:firstLineChars="229"/>
        <w:rPr>
          <w:rFonts w:ascii="宋体" w:hAnsi="宋体" w:cs="宋体"/>
          <w:color w:val="auto"/>
          <w:szCs w:val="21"/>
          <w:highlight w:val="none"/>
        </w:rPr>
      </w:pPr>
    </w:p>
    <w:p w14:paraId="30ACD549">
      <w:pPr>
        <w:spacing w:line="360" w:lineRule="auto"/>
        <w:ind w:firstLine="480" w:firstLineChars="229"/>
        <w:rPr>
          <w:rFonts w:ascii="宋体" w:hAnsi="宋体" w:cs="宋体"/>
          <w:color w:val="auto"/>
          <w:szCs w:val="21"/>
          <w:highlight w:val="none"/>
        </w:rPr>
      </w:pPr>
    </w:p>
    <w:p w14:paraId="62904EA6">
      <w:pPr>
        <w:spacing w:line="360" w:lineRule="auto"/>
        <w:ind w:firstLine="480" w:firstLineChars="229"/>
        <w:rPr>
          <w:rFonts w:ascii="宋体" w:hAnsi="宋体" w:cs="宋体"/>
          <w:color w:val="auto"/>
          <w:szCs w:val="21"/>
          <w:highlight w:val="none"/>
        </w:rPr>
      </w:pPr>
    </w:p>
    <w:p w14:paraId="31D49C8D">
      <w:pPr>
        <w:spacing w:line="360" w:lineRule="auto"/>
        <w:ind w:firstLine="480" w:firstLineChars="229"/>
        <w:rPr>
          <w:rFonts w:ascii="宋体" w:hAnsi="宋体" w:cs="宋体"/>
          <w:color w:val="auto"/>
          <w:szCs w:val="21"/>
          <w:highlight w:val="none"/>
        </w:rPr>
      </w:pPr>
    </w:p>
    <w:p w14:paraId="2440DA0D">
      <w:pPr>
        <w:spacing w:line="360" w:lineRule="auto"/>
        <w:ind w:firstLine="480" w:firstLineChars="229"/>
        <w:rPr>
          <w:rFonts w:ascii="宋体" w:hAnsi="宋体" w:cs="宋体"/>
          <w:color w:val="auto"/>
          <w:szCs w:val="21"/>
          <w:highlight w:val="none"/>
        </w:rPr>
      </w:pPr>
    </w:p>
    <w:p w14:paraId="456D91BC">
      <w:pPr>
        <w:spacing w:line="360" w:lineRule="auto"/>
        <w:ind w:firstLine="480" w:firstLineChars="229"/>
        <w:rPr>
          <w:rFonts w:ascii="宋体" w:hAnsi="宋体" w:cs="宋体"/>
          <w:color w:val="auto"/>
          <w:szCs w:val="21"/>
          <w:highlight w:val="none"/>
        </w:rPr>
      </w:pPr>
    </w:p>
    <w:p w14:paraId="5FD0B7E0">
      <w:pPr>
        <w:spacing w:line="360" w:lineRule="auto"/>
        <w:ind w:firstLine="480" w:firstLineChars="229"/>
        <w:rPr>
          <w:rFonts w:ascii="宋体" w:hAnsi="宋体" w:cs="宋体"/>
          <w:color w:val="auto"/>
          <w:szCs w:val="21"/>
          <w:highlight w:val="none"/>
        </w:rPr>
      </w:pPr>
    </w:p>
    <w:p w14:paraId="39C5431F">
      <w:pPr>
        <w:spacing w:line="360" w:lineRule="auto"/>
        <w:ind w:firstLine="480" w:firstLineChars="229"/>
        <w:rPr>
          <w:rFonts w:ascii="宋体" w:hAnsi="宋体" w:cs="宋体"/>
          <w:color w:val="auto"/>
          <w:szCs w:val="21"/>
          <w:highlight w:val="none"/>
        </w:rPr>
      </w:pPr>
    </w:p>
    <w:p w14:paraId="236091F5">
      <w:pPr>
        <w:spacing w:line="360" w:lineRule="auto"/>
        <w:ind w:firstLine="480" w:firstLineChars="229"/>
        <w:rPr>
          <w:rFonts w:ascii="宋体" w:hAnsi="宋体" w:cs="宋体"/>
          <w:color w:val="auto"/>
          <w:szCs w:val="21"/>
          <w:highlight w:val="none"/>
        </w:rPr>
      </w:pPr>
    </w:p>
    <w:p w14:paraId="33A11C40">
      <w:pPr>
        <w:spacing w:line="360" w:lineRule="auto"/>
        <w:ind w:firstLine="480" w:firstLineChars="229"/>
        <w:rPr>
          <w:rFonts w:ascii="宋体" w:hAnsi="宋体" w:cs="宋体"/>
          <w:color w:val="auto"/>
          <w:szCs w:val="21"/>
          <w:highlight w:val="none"/>
        </w:rPr>
      </w:pPr>
    </w:p>
    <w:p w14:paraId="67C6C2FA">
      <w:pPr>
        <w:spacing w:line="360" w:lineRule="auto"/>
        <w:rPr>
          <w:rFonts w:ascii="宋体" w:hAnsi="宋体" w:cs="宋体"/>
          <w:color w:val="auto"/>
          <w:szCs w:val="21"/>
          <w:highlight w:val="none"/>
        </w:rPr>
      </w:pPr>
    </w:p>
    <w:p w14:paraId="34550D3E">
      <w:pPr>
        <w:adjustRightInd/>
        <w:spacing w:line="360" w:lineRule="auto"/>
        <w:jc w:val="center"/>
        <w:outlineLvl w:val="0"/>
        <w:rPr>
          <w:rFonts w:ascii="宋体" w:hAnsi="宋体" w:cs="宋体"/>
          <w:b/>
          <w:color w:val="auto"/>
          <w:szCs w:val="21"/>
          <w:highlight w:val="none"/>
        </w:rPr>
      </w:pPr>
      <w:bookmarkStart w:id="5" w:name="第一部分"/>
      <w:r>
        <w:rPr>
          <w:rFonts w:hint="eastAsia" w:ascii="宋体" w:hAnsi="宋体" w:cs="宋体"/>
          <w:b/>
          <w:color w:val="auto"/>
          <w:szCs w:val="21"/>
          <w:highlight w:val="none"/>
        </w:rPr>
        <w:br w:type="page"/>
      </w:r>
      <w:bookmarkEnd w:id="4"/>
      <w:bookmarkEnd w:id="5"/>
      <w:bookmarkStart w:id="6" w:name="_Hlt74707423"/>
      <w:bookmarkEnd w:id="6"/>
      <w:bookmarkStart w:id="7" w:name="_Hlt74649545"/>
      <w:bookmarkEnd w:id="7"/>
      <w:bookmarkStart w:id="8" w:name="_Hlt74728647"/>
      <w:bookmarkEnd w:id="8"/>
      <w:bookmarkStart w:id="9" w:name="_Hlt74729822"/>
      <w:bookmarkEnd w:id="9"/>
      <w:bookmarkStart w:id="10" w:name="_Toc13063"/>
      <w:bookmarkStart w:id="11" w:name="第二部分"/>
      <w:bookmarkStart w:id="12" w:name="_Toc91899870"/>
      <w:bookmarkStart w:id="13" w:name="_Toc91899871"/>
      <w:r>
        <w:rPr>
          <w:rStyle w:val="87"/>
          <w:rFonts w:hint="eastAsia" w:ascii="宋体" w:hAnsi="宋体" w:cs="宋体"/>
          <w:color w:val="auto"/>
          <w:sz w:val="28"/>
          <w:szCs w:val="28"/>
          <w:highlight w:val="none"/>
        </w:rPr>
        <w:t>第一部分 招标公告</w:t>
      </w:r>
      <w:bookmarkEnd w:id="10"/>
    </w:p>
    <w:p w14:paraId="562DDE21">
      <w:pPr>
        <w:pBdr>
          <w:top w:val="single" w:color="auto" w:sz="4" w:space="1"/>
          <w:left w:val="single" w:color="auto" w:sz="4" w:space="4"/>
          <w:bottom w:val="single" w:color="auto" w:sz="4" w:space="1"/>
          <w:right w:val="single" w:color="auto" w:sz="4" w:space="4"/>
        </w:pBd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项目概况</w:t>
      </w:r>
    </w:p>
    <w:p w14:paraId="1DC36D19">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AI余杭建设项目</w:t>
      </w:r>
      <w:r>
        <w:rPr>
          <w:rFonts w:hint="eastAsia" w:ascii="宋体" w:hAnsi="宋体" w:cs="宋体"/>
          <w:color w:val="auto"/>
          <w:szCs w:val="21"/>
          <w:highlight w:val="none"/>
        </w:rPr>
        <w:t>招标项目的潜在投标人应在政采云平台（</w:t>
      </w:r>
      <w:r>
        <w:rPr>
          <w:rFonts w:hint="eastAsia"/>
          <w:color w:val="auto"/>
          <w:highlight w:val="none"/>
        </w:rPr>
        <w:fldChar w:fldCharType="begin"/>
      </w:r>
      <w:r>
        <w:rPr>
          <w:color w:val="auto"/>
          <w:highlight w:val="none"/>
        </w:rPr>
        <w:instrText xml:space="preserve"> HYPERLINK "https://www.zcygov.cn/）获取（下载）招标文件，并于2021年" </w:instrText>
      </w:r>
      <w:r>
        <w:rPr>
          <w:rFonts w:hint="eastAsia"/>
          <w:color w:val="auto"/>
          <w:highlight w:val="none"/>
        </w:rPr>
        <w:fldChar w:fldCharType="separate"/>
      </w:r>
      <w:r>
        <w:rPr>
          <w:rStyle w:val="76"/>
          <w:rFonts w:hint="eastAsia" w:ascii="宋体" w:hAnsi="宋体" w:eastAsia="宋体" w:cs="宋体"/>
          <w:snapToGrid/>
          <w:color w:val="auto"/>
          <w:kern w:val="2"/>
          <w:sz w:val="21"/>
          <w:szCs w:val="21"/>
          <w:highlight w:val="none"/>
        </w:rPr>
        <w:t>https://www.zcygov.cn/）获取（下载）招标文件，并于</w:t>
      </w:r>
      <w:r>
        <w:rPr>
          <w:rFonts w:hint="eastAsia" w:ascii="宋体" w:hAnsi="宋体" w:cs="宋体"/>
          <w:color w:val="auto"/>
          <w:szCs w:val="21"/>
          <w:highlight w:val="none"/>
          <w:u w:val="single"/>
        </w:rPr>
        <w:t>2025年</w:t>
      </w:r>
      <w:r>
        <w:rPr>
          <w:rFonts w:hint="eastAsia" w:ascii="宋体" w:hAnsi="宋体" w:cs="宋体"/>
          <w:color w:val="auto"/>
          <w:szCs w:val="21"/>
          <w:highlight w:val="none"/>
          <w:u w:val="single"/>
          <w:lang w:val="en-US" w:eastAsia="zh-CN"/>
        </w:rPr>
        <w:t>02</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13</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14</w:t>
      </w:r>
      <w:r>
        <w:rPr>
          <w:rFonts w:hint="eastAsia" w:ascii="宋体" w:hAnsi="宋体" w:cs="宋体"/>
          <w:color w:val="auto"/>
          <w:szCs w:val="21"/>
          <w:highlight w:val="none"/>
          <w:u w:val="single"/>
        </w:rPr>
        <w:t>点</w:t>
      </w:r>
      <w:r>
        <w:rPr>
          <w:rFonts w:hint="eastAsia" w:ascii="宋体" w:hAnsi="宋体" w:cs="宋体"/>
          <w:color w:val="auto"/>
          <w:szCs w:val="21"/>
          <w:highlight w:val="none"/>
          <w:u w:val="single"/>
          <w:lang w:val="en-US" w:eastAsia="zh-CN"/>
        </w:rPr>
        <w:t>0</w:t>
      </w:r>
      <w:r>
        <w:rPr>
          <w:rFonts w:hint="eastAsia" w:ascii="宋体" w:hAnsi="宋体" w:cs="宋体"/>
          <w:color w:val="auto"/>
          <w:szCs w:val="21"/>
          <w:highlight w:val="none"/>
          <w:u w:val="single"/>
        </w:rPr>
        <w:t>0分</w:t>
      </w:r>
      <w:r>
        <w:rPr>
          <w:rFonts w:hint="eastAsia" w:ascii="宋体" w:hAnsi="宋体" w:cs="宋体"/>
          <w:color w:val="auto"/>
          <w:szCs w:val="21"/>
          <w:highlight w:val="none"/>
          <w:u w:val="single"/>
        </w:rPr>
        <w:fldChar w:fldCharType="end"/>
      </w:r>
      <w:r>
        <w:rPr>
          <w:rFonts w:hint="eastAsia" w:ascii="宋体" w:hAnsi="宋体" w:cs="宋体"/>
          <w:color w:val="auto"/>
          <w:szCs w:val="21"/>
          <w:highlight w:val="none"/>
          <w:u w:val="single"/>
        </w:rPr>
        <w:t>00秒</w:t>
      </w:r>
      <w:r>
        <w:rPr>
          <w:rFonts w:hint="eastAsia" w:ascii="宋体" w:hAnsi="宋体" w:cs="宋体"/>
          <w:bCs/>
          <w:color w:val="auto"/>
          <w:szCs w:val="21"/>
          <w:highlight w:val="none"/>
        </w:rPr>
        <w:t>（北京时间）前</w:t>
      </w:r>
      <w:r>
        <w:rPr>
          <w:rFonts w:hint="eastAsia" w:ascii="宋体" w:hAnsi="宋体" w:cs="宋体"/>
          <w:color w:val="auto"/>
          <w:szCs w:val="21"/>
          <w:highlight w:val="none"/>
        </w:rPr>
        <w:t>递交（上传）投标文件。</w:t>
      </w:r>
    </w:p>
    <w:p w14:paraId="241D0AF9">
      <w:pPr>
        <w:spacing w:line="360" w:lineRule="auto"/>
        <w:rPr>
          <w:rFonts w:ascii="宋体" w:hAnsi="宋体" w:cs="宋体"/>
          <w:b/>
          <w:color w:val="auto"/>
          <w:szCs w:val="21"/>
          <w:highlight w:val="none"/>
        </w:rPr>
      </w:pPr>
      <w:r>
        <w:rPr>
          <w:rFonts w:hint="eastAsia" w:ascii="宋体" w:hAnsi="宋体" w:cs="宋体"/>
          <w:b/>
          <w:color w:val="auto"/>
          <w:szCs w:val="21"/>
          <w:highlight w:val="none"/>
        </w:rPr>
        <w:t>一、项目基本情况</w:t>
      </w:r>
    </w:p>
    <w:p w14:paraId="73FA209C">
      <w:pPr>
        <w:spacing w:line="360" w:lineRule="auto"/>
        <w:ind w:firstLine="422" w:firstLineChars="200"/>
        <w:rPr>
          <w:rFonts w:hint="eastAsia" w:ascii="宋体" w:hAnsi="宋体" w:eastAsia="宋体" w:cs="宋体"/>
          <w:bCs/>
          <w:color w:val="auto"/>
          <w:szCs w:val="21"/>
          <w:highlight w:val="none"/>
          <w:lang w:eastAsia="zh-CN"/>
        </w:rPr>
      </w:pPr>
      <w:r>
        <w:rPr>
          <w:rFonts w:hint="eastAsia" w:ascii="宋体" w:hAnsi="宋体" w:cs="宋体"/>
          <w:b/>
          <w:color w:val="auto"/>
          <w:szCs w:val="21"/>
          <w:highlight w:val="none"/>
        </w:rPr>
        <w:t>项目编号：</w:t>
      </w:r>
      <w:r>
        <w:rPr>
          <w:rFonts w:hint="eastAsia" w:ascii="宋体" w:hAnsi="宋体" w:cs="宋体"/>
          <w:bCs/>
          <w:color w:val="auto"/>
          <w:szCs w:val="21"/>
          <w:highlight w:val="none"/>
          <w:lang w:eastAsia="zh-CN"/>
        </w:rPr>
        <w:t>CTZB-2025010049</w:t>
      </w:r>
    </w:p>
    <w:p w14:paraId="1D21992A">
      <w:pPr>
        <w:spacing w:line="360" w:lineRule="auto"/>
        <w:ind w:firstLine="422" w:firstLineChars="200"/>
        <w:rPr>
          <w:rFonts w:ascii="宋体" w:hAnsi="宋体" w:cs="宋体"/>
          <w:bCs/>
          <w:color w:val="auto"/>
          <w:szCs w:val="21"/>
          <w:highlight w:val="none"/>
        </w:rPr>
      </w:pPr>
      <w:r>
        <w:rPr>
          <w:rFonts w:hint="eastAsia" w:ascii="宋体" w:hAnsi="宋体" w:cs="宋体"/>
          <w:b/>
          <w:color w:val="auto"/>
          <w:szCs w:val="21"/>
          <w:highlight w:val="none"/>
        </w:rPr>
        <w:t>项目名称：</w:t>
      </w:r>
      <w:r>
        <w:rPr>
          <w:rFonts w:hint="eastAsia" w:ascii="宋体" w:hAnsi="宋体" w:cs="宋体"/>
          <w:bCs/>
          <w:color w:val="auto"/>
          <w:szCs w:val="21"/>
          <w:highlight w:val="none"/>
        </w:rPr>
        <w:t>AI余杭建设项目</w:t>
      </w:r>
      <w:bookmarkStart w:id="567" w:name="_GoBack"/>
      <w:bookmarkEnd w:id="567"/>
    </w:p>
    <w:p w14:paraId="40A16270">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预算金额（元）</w:t>
      </w:r>
      <w:r>
        <w:rPr>
          <w:rFonts w:hint="eastAsia" w:ascii="宋体" w:hAnsi="宋体" w:cs="宋体"/>
          <w:bCs/>
          <w:color w:val="auto"/>
          <w:szCs w:val="21"/>
          <w:highlight w:val="none"/>
        </w:rPr>
        <w:t>：11077300.00</w:t>
      </w:r>
    </w:p>
    <w:p w14:paraId="632F1352">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最高限价（元）</w:t>
      </w:r>
      <w:r>
        <w:rPr>
          <w:rFonts w:hint="eastAsia" w:ascii="宋体" w:hAnsi="宋体" w:cs="宋体"/>
          <w:bCs/>
          <w:color w:val="auto"/>
          <w:szCs w:val="21"/>
          <w:highlight w:val="none"/>
        </w:rPr>
        <w:t>：11077300.00</w:t>
      </w:r>
    </w:p>
    <w:p w14:paraId="65F8F413">
      <w:pPr>
        <w:pStyle w:val="713"/>
        <w:ind w:firstLine="373" w:firstLineChars="177"/>
        <w:rPr>
          <w:rFonts w:ascii="宋体" w:hAnsi="宋体" w:eastAsia="宋体" w:cs="宋体"/>
          <w:snapToGrid w:val="0"/>
          <w:color w:val="auto"/>
          <w:kern w:val="28"/>
          <w:sz w:val="21"/>
          <w:highlight w:val="none"/>
        </w:rPr>
      </w:pPr>
      <w:r>
        <w:rPr>
          <w:rFonts w:hint="eastAsia" w:ascii="宋体" w:hAnsi="宋体" w:eastAsia="宋体" w:cs="宋体"/>
          <w:b/>
          <w:color w:val="auto"/>
          <w:sz w:val="21"/>
          <w:highlight w:val="none"/>
        </w:rPr>
        <w:t>采购需求：</w:t>
      </w:r>
      <w:r>
        <w:rPr>
          <w:rFonts w:hint="eastAsia" w:ascii="宋体" w:hAnsi="宋体" w:eastAsia="宋体" w:cs="宋体"/>
          <w:snapToGrid w:val="0"/>
          <w:color w:val="auto"/>
          <w:kern w:val="28"/>
          <w:sz w:val="21"/>
          <w:highlight w:val="none"/>
        </w:rPr>
        <w:t>AI余杭项目建设，意在通过深度应用跨越式发展的大模型技术，聚焦政务智慧协同和业务智能化，推动余杭数字政府智慧化的范式变革，提供整体智治的政务协同体系和基层治理体系，以数字政府智慧化引领政务创新，实现高效履职和基层减负。具体以招标文件第三部分采购需求为准，供应商可点击本公告下方“浏览采购文件”查看采购需求。</w:t>
      </w:r>
    </w:p>
    <w:p w14:paraId="635EAFFC">
      <w:pPr>
        <w:pStyle w:val="713"/>
        <w:numPr>
          <w:ilvl w:val="255"/>
          <w:numId w:val="0"/>
        </w:numPr>
        <w:ind w:firstLine="480"/>
        <w:rPr>
          <w:rFonts w:eastAsia="宋体"/>
          <w:color w:val="auto"/>
          <w:sz w:val="21"/>
          <w:highlight w:val="none"/>
        </w:rPr>
      </w:pPr>
      <w:r>
        <w:rPr>
          <w:rFonts w:hint="eastAsia" w:ascii="宋体" w:hAnsi="宋体" w:eastAsia="宋体" w:cs="宋体"/>
          <w:b/>
          <w:color w:val="auto"/>
          <w:sz w:val="21"/>
          <w:highlight w:val="none"/>
        </w:rPr>
        <w:t>合同履约期限：</w:t>
      </w:r>
      <w:r>
        <w:rPr>
          <w:rFonts w:hint="eastAsia" w:eastAsia="宋体"/>
          <w:color w:val="auto"/>
          <w:sz w:val="21"/>
          <w:highlight w:val="none"/>
        </w:rPr>
        <w:t>项目总工期为6个月。自合同签订之日起5个月内完成系统部署上线</w:t>
      </w:r>
      <w:r>
        <w:rPr>
          <w:rFonts w:hint="eastAsia" w:eastAsia="宋体"/>
          <w:color w:val="auto"/>
          <w:sz w:val="21"/>
          <w:highlight w:val="none"/>
          <w:lang w:eastAsia="zh-CN"/>
        </w:rPr>
        <w:t>，</w:t>
      </w:r>
      <w:r>
        <w:rPr>
          <w:rFonts w:hint="eastAsia" w:eastAsia="宋体"/>
          <w:color w:val="auto"/>
          <w:sz w:val="21"/>
          <w:highlight w:val="none"/>
        </w:rPr>
        <w:t>1个月试运行。</w:t>
      </w:r>
    </w:p>
    <w:p w14:paraId="15F0DF35">
      <w:pPr>
        <w:pStyle w:val="713"/>
        <w:ind w:firstLine="428"/>
        <w:rPr>
          <w:rFonts w:hAnsi="宋体" w:cs="宋体"/>
          <w:bCs/>
          <w:color w:val="auto"/>
          <w:sz w:val="21"/>
          <w:highlight w:val="none"/>
        </w:rPr>
      </w:pPr>
      <w:r>
        <w:rPr>
          <w:rFonts w:hint="eastAsia" w:ascii="宋体" w:hAnsi="宋体" w:eastAsia="宋体" w:cs="宋体"/>
          <w:b/>
          <w:color w:val="auto"/>
          <w:sz w:val="21"/>
          <w:highlight w:val="none"/>
        </w:rPr>
        <w:t>本项目接受联合体投标：</w:t>
      </w:r>
      <w:r>
        <w:rPr>
          <w:rFonts w:ascii="Wingdings" w:hAnsi="Wingdings" w:eastAsia="MS Gothic" w:cs="宋体"/>
          <w:bCs/>
          <w:color w:val="auto"/>
          <w:kern w:val="0"/>
          <w:sz w:val="21"/>
          <w:highlight w:val="none"/>
        </w:rPr>
        <w:t></w:t>
      </w:r>
      <w:r>
        <w:rPr>
          <w:rFonts w:hint="eastAsia" w:ascii="宋体" w:hAnsi="宋体" w:eastAsia="宋体" w:cs="宋体"/>
          <w:bCs/>
          <w:color w:val="auto"/>
          <w:sz w:val="21"/>
          <w:highlight w:val="none"/>
        </w:rPr>
        <w:t>是，</w:t>
      </w:r>
      <w:r>
        <w:rPr>
          <w:rFonts w:hint="eastAsia" w:ascii="MS Gothic" w:hAnsi="MS Gothic" w:cs="宋体"/>
          <w:bCs/>
          <w:color w:val="auto"/>
          <w:kern w:val="0"/>
          <w:sz w:val="21"/>
          <w:highlight w:val="none"/>
        </w:rPr>
        <w:t>☐</w:t>
      </w:r>
      <w:r>
        <w:rPr>
          <w:rFonts w:hint="eastAsia" w:ascii="宋体" w:hAnsi="宋体" w:eastAsia="宋体" w:cs="宋体"/>
          <w:bCs/>
          <w:color w:val="auto"/>
          <w:sz w:val="21"/>
          <w:highlight w:val="none"/>
        </w:rPr>
        <w:t>否</w:t>
      </w:r>
      <w:r>
        <w:rPr>
          <w:rFonts w:hint="eastAsia" w:hAnsi="宋体" w:cs="宋体"/>
          <w:bCs/>
          <w:color w:val="auto"/>
          <w:kern w:val="0"/>
          <w:sz w:val="21"/>
          <w:highlight w:val="none"/>
        </w:rPr>
        <w:t>。</w:t>
      </w:r>
    </w:p>
    <w:p w14:paraId="3836F515">
      <w:pPr>
        <w:spacing w:line="360" w:lineRule="auto"/>
        <w:rPr>
          <w:rFonts w:ascii="宋体" w:hAnsi="宋体" w:cs="宋体"/>
          <w:b/>
          <w:color w:val="auto"/>
          <w:szCs w:val="21"/>
          <w:highlight w:val="none"/>
        </w:rPr>
      </w:pPr>
      <w:r>
        <w:rPr>
          <w:rFonts w:hint="eastAsia" w:ascii="宋体" w:hAnsi="宋体" w:cs="宋体"/>
          <w:b/>
          <w:color w:val="auto"/>
          <w:szCs w:val="21"/>
          <w:highlight w:val="none"/>
        </w:rPr>
        <w:t>二、申请人的资格要求：</w:t>
      </w:r>
    </w:p>
    <w:p w14:paraId="66DCBB71">
      <w:pPr>
        <w:spacing w:line="360" w:lineRule="auto"/>
        <w:ind w:firstLine="480"/>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494FC814">
      <w:pPr>
        <w:spacing w:line="360" w:lineRule="auto"/>
        <w:ind w:firstLine="480"/>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2.以联合体形式投标的，提供联合协议（本项目不接受联合体投标或者投标人不以联合体形式投标的，则不需要提供）；联合体成员单位不超过两家。</w:t>
      </w:r>
    </w:p>
    <w:p w14:paraId="62C5B304">
      <w:pPr>
        <w:spacing w:line="360" w:lineRule="auto"/>
        <w:ind w:firstLine="480"/>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 xml:space="preserve">3.落实政府采购政策需满足的资格要求：要求合同分包，提供分包意向协议和中小企业声明函，分包意向协议中中小企业合同金额应当达到40% ，其中小微企业合同金额应当达到70% </w:t>
      </w:r>
      <w:r>
        <w:rPr>
          <w:rFonts w:hint="eastAsia" w:ascii="宋体" w:hAnsi="宋体" w:cs="宋体"/>
          <w:snapToGrid w:val="0"/>
          <w:color w:val="auto"/>
          <w:kern w:val="28"/>
          <w:szCs w:val="21"/>
          <w:highlight w:val="none"/>
          <w:lang w:eastAsia="zh-CN"/>
        </w:rPr>
        <w:t>；</w:t>
      </w:r>
      <w:r>
        <w:rPr>
          <w:rFonts w:hint="eastAsia" w:ascii="宋体" w:hAnsi="宋体" w:cs="宋体"/>
          <w:snapToGrid w:val="0"/>
          <w:color w:val="auto"/>
          <w:kern w:val="28"/>
          <w:szCs w:val="21"/>
          <w:highlight w:val="none"/>
        </w:rPr>
        <w:t>如果供应商本身提供所有标的均由中小企业制造、承建或承接，并相应达到了前述比例要求，视同符合了资格条件，无需再向中小企业分包，无需提供分包意向协议；</w:t>
      </w:r>
    </w:p>
    <w:p w14:paraId="5F6FE10A">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4.本项目的特定资格要求：无；</w:t>
      </w:r>
    </w:p>
    <w:p w14:paraId="44B0E80E">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E951EB5">
      <w:pPr>
        <w:spacing w:line="360" w:lineRule="auto"/>
        <w:rPr>
          <w:rFonts w:ascii="宋体" w:hAnsi="宋体" w:cs="宋体"/>
          <w:b/>
          <w:color w:val="auto"/>
          <w:szCs w:val="21"/>
          <w:highlight w:val="none"/>
        </w:rPr>
      </w:pPr>
      <w:r>
        <w:rPr>
          <w:rFonts w:hint="eastAsia" w:ascii="宋体" w:hAnsi="宋体" w:cs="宋体"/>
          <w:b/>
          <w:color w:val="auto"/>
          <w:szCs w:val="21"/>
          <w:highlight w:val="none"/>
        </w:rPr>
        <w:t>三、获取招标文件</w:t>
      </w:r>
    </w:p>
    <w:p w14:paraId="0A3FFC40">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时间：/</w:t>
      </w:r>
      <w:r>
        <w:rPr>
          <w:rFonts w:hint="eastAsia" w:ascii="宋体" w:hAnsi="宋体" w:cs="宋体"/>
          <w:color w:val="auto"/>
          <w:szCs w:val="21"/>
          <w:highlight w:val="none"/>
        </w:rPr>
        <w:t>至</w:t>
      </w:r>
      <w:r>
        <w:rPr>
          <w:rFonts w:hint="eastAsia" w:ascii="宋体" w:hAnsi="宋体" w:cs="宋体"/>
          <w:color w:val="auto"/>
          <w:szCs w:val="21"/>
          <w:highlight w:val="none"/>
          <w:u w:val="single"/>
        </w:rPr>
        <w:t>2025年</w:t>
      </w:r>
      <w:r>
        <w:rPr>
          <w:rFonts w:hint="eastAsia" w:ascii="宋体" w:hAnsi="宋体" w:cs="宋体"/>
          <w:color w:val="auto"/>
          <w:szCs w:val="21"/>
          <w:highlight w:val="none"/>
          <w:u w:val="single"/>
          <w:lang w:val="en-US" w:eastAsia="zh-CN"/>
        </w:rPr>
        <w:t>02</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13</w:t>
      </w:r>
      <w:r>
        <w:rPr>
          <w:rFonts w:hint="eastAsia" w:ascii="宋体" w:hAnsi="宋体" w:cs="宋体"/>
          <w:color w:val="auto"/>
          <w:szCs w:val="21"/>
          <w:highlight w:val="none"/>
          <w:u w:val="single"/>
        </w:rPr>
        <w:t>日</w:t>
      </w:r>
      <w:r>
        <w:rPr>
          <w:rFonts w:hint="eastAsia" w:ascii="宋体" w:hAnsi="宋体" w:cs="宋体"/>
          <w:color w:val="auto"/>
          <w:szCs w:val="21"/>
          <w:highlight w:val="none"/>
        </w:rPr>
        <w:t>，每天上午00:00至12:00 ，下午12:00至23:59（北京时间，线上获取法定节假日均可，线下获取文件法定节假日除外）。</w:t>
      </w:r>
    </w:p>
    <w:p w14:paraId="134C9A3D">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地点（网址）：</w:t>
      </w:r>
      <w:r>
        <w:rPr>
          <w:rFonts w:hint="eastAsia" w:ascii="宋体" w:hAnsi="宋体" w:cs="宋体"/>
          <w:color w:val="auto"/>
          <w:szCs w:val="21"/>
          <w:highlight w:val="none"/>
        </w:rPr>
        <w:t>政采云平台（https://www.zcygov.cn/）。</w:t>
      </w:r>
    </w:p>
    <w:p w14:paraId="2C09B597">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方式：</w:t>
      </w:r>
      <w:r>
        <w:rPr>
          <w:rFonts w:hint="eastAsia" w:ascii="宋体" w:hAnsi="宋体" w:cs="宋体"/>
          <w:color w:val="auto"/>
          <w:szCs w:val="21"/>
          <w:highlight w:val="none"/>
        </w:rPr>
        <w:t>供应商登录政采云平台https://www.zcygov.cn/在线申请获取采购文件（进入“项目采购”应用，在获取采购文件菜单中选择项目，申请获取采购文件）。</w:t>
      </w:r>
    </w:p>
    <w:p w14:paraId="1A741783">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售价（元）：</w:t>
      </w:r>
      <w:r>
        <w:rPr>
          <w:rFonts w:hint="eastAsia" w:ascii="宋体" w:hAnsi="宋体" w:cs="宋体"/>
          <w:color w:val="auto"/>
          <w:szCs w:val="21"/>
          <w:highlight w:val="none"/>
        </w:rPr>
        <w:t xml:space="preserve">0 </w:t>
      </w:r>
      <w:r>
        <w:rPr>
          <w:rFonts w:hint="eastAsia" w:ascii="宋体" w:hAnsi="宋体" w:cs="宋体"/>
          <w:color w:val="auto"/>
          <w:szCs w:val="21"/>
          <w:highlight w:val="none"/>
        </w:rPr>
        <w:tab/>
      </w:r>
    </w:p>
    <w:p w14:paraId="184F65A2">
      <w:pPr>
        <w:spacing w:line="360" w:lineRule="auto"/>
        <w:rPr>
          <w:rFonts w:ascii="宋体" w:hAnsi="宋体" w:cs="宋体"/>
          <w:b/>
          <w:color w:val="auto"/>
          <w:szCs w:val="21"/>
          <w:highlight w:val="none"/>
        </w:rPr>
      </w:pPr>
      <w:r>
        <w:rPr>
          <w:rFonts w:hint="eastAsia" w:ascii="宋体" w:hAnsi="宋体" w:cs="宋体"/>
          <w:b/>
          <w:color w:val="auto"/>
          <w:szCs w:val="21"/>
          <w:highlight w:val="none"/>
        </w:rPr>
        <w:t>四、提交投标文件截止时间、开标时间和地点</w:t>
      </w:r>
    </w:p>
    <w:p w14:paraId="265E7D04">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提交投标文件截止时间：</w:t>
      </w:r>
      <w:r>
        <w:rPr>
          <w:rFonts w:hint="eastAsia" w:ascii="宋体" w:hAnsi="宋体" w:cs="宋体"/>
          <w:color w:val="auto"/>
          <w:szCs w:val="21"/>
          <w:highlight w:val="none"/>
          <w:u w:val="single"/>
        </w:rPr>
        <w:t>2025年</w:t>
      </w:r>
      <w:r>
        <w:rPr>
          <w:rFonts w:hint="eastAsia" w:ascii="宋体" w:hAnsi="宋体" w:cs="宋体"/>
          <w:color w:val="auto"/>
          <w:szCs w:val="21"/>
          <w:highlight w:val="none"/>
          <w:u w:val="single"/>
          <w:lang w:val="en-US" w:eastAsia="zh-CN"/>
        </w:rPr>
        <w:t>02</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13</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14</w:t>
      </w:r>
      <w:r>
        <w:rPr>
          <w:rFonts w:hint="eastAsia" w:ascii="宋体" w:hAnsi="宋体" w:cs="宋体"/>
          <w:color w:val="auto"/>
          <w:szCs w:val="21"/>
          <w:highlight w:val="none"/>
          <w:u w:val="single"/>
        </w:rPr>
        <w:t>点</w:t>
      </w:r>
      <w:r>
        <w:rPr>
          <w:rFonts w:hint="eastAsia" w:ascii="宋体" w:hAnsi="宋体" w:cs="宋体"/>
          <w:color w:val="auto"/>
          <w:szCs w:val="21"/>
          <w:highlight w:val="none"/>
          <w:u w:val="single"/>
          <w:lang w:val="en-US" w:eastAsia="zh-CN"/>
        </w:rPr>
        <w:t>0</w:t>
      </w:r>
      <w:r>
        <w:rPr>
          <w:rFonts w:hint="eastAsia" w:ascii="宋体" w:hAnsi="宋体" w:cs="宋体"/>
          <w:color w:val="auto"/>
          <w:szCs w:val="21"/>
          <w:highlight w:val="none"/>
          <w:u w:val="single"/>
        </w:rPr>
        <w:t>0分00秒</w:t>
      </w:r>
      <w:r>
        <w:rPr>
          <w:rFonts w:hint="eastAsia" w:ascii="宋体" w:hAnsi="宋体" w:cs="宋体"/>
          <w:color w:val="auto"/>
          <w:szCs w:val="21"/>
          <w:highlight w:val="none"/>
        </w:rPr>
        <w:t>（北京时间）；</w:t>
      </w:r>
    </w:p>
    <w:p w14:paraId="369831BA">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投标地点（网址）：</w:t>
      </w:r>
      <w:r>
        <w:rPr>
          <w:rFonts w:hint="eastAsia" w:ascii="宋体" w:hAnsi="宋体" w:cs="宋体"/>
          <w:color w:val="auto"/>
          <w:szCs w:val="21"/>
          <w:highlight w:val="none"/>
        </w:rPr>
        <w:t xml:space="preserve">政采云平台（https://www.zcygov.cn/）； </w:t>
      </w:r>
    </w:p>
    <w:p w14:paraId="684DF564">
      <w:pPr>
        <w:spacing w:line="360" w:lineRule="auto"/>
        <w:ind w:firstLine="422" w:firstLineChars="200"/>
        <w:rPr>
          <w:rFonts w:ascii="宋体" w:hAnsi="宋体" w:cs="宋体"/>
          <w:bCs/>
          <w:color w:val="auto"/>
          <w:szCs w:val="21"/>
          <w:highlight w:val="none"/>
          <w:u w:val="single"/>
        </w:rPr>
      </w:pPr>
      <w:r>
        <w:rPr>
          <w:rFonts w:hint="eastAsia" w:ascii="宋体" w:hAnsi="宋体" w:cs="宋体"/>
          <w:b/>
          <w:color w:val="auto"/>
          <w:szCs w:val="21"/>
          <w:highlight w:val="none"/>
        </w:rPr>
        <w:t>开标时间：</w:t>
      </w:r>
      <w:r>
        <w:rPr>
          <w:rFonts w:hint="eastAsia" w:ascii="宋体" w:hAnsi="宋体" w:cs="宋体"/>
          <w:color w:val="auto"/>
          <w:szCs w:val="21"/>
          <w:highlight w:val="none"/>
          <w:u w:val="single"/>
        </w:rPr>
        <w:t>2025年</w:t>
      </w:r>
      <w:r>
        <w:rPr>
          <w:rFonts w:hint="eastAsia" w:ascii="宋体" w:hAnsi="宋体" w:cs="宋体"/>
          <w:color w:val="auto"/>
          <w:szCs w:val="21"/>
          <w:highlight w:val="none"/>
          <w:u w:val="single"/>
          <w:lang w:val="en-US" w:eastAsia="zh-CN"/>
        </w:rPr>
        <w:t>02</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13</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14</w:t>
      </w:r>
      <w:r>
        <w:rPr>
          <w:rFonts w:hint="eastAsia" w:ascii="宋体" w:hAnsi="宋体" w:cs="宋体"/>
          <w:color w:val="auto"/>
          <w:szCs w:val="21"/>
          <w:highlight w:val="none"/>
          <w:u w:val="single"/>
        </w:rPr>
        <w:t>点</w:t>
      </w:r>
      <w:r>
        <w:rPr>
          <w:rFonts w:hint="eastAsia" w:ascii="宋体" w:hAnsi="宋体" w:cs="宋体"/>
          <w:color w:val="auto"/>
          <w:szCs w:val="21"/>
          <w:highlight w:val="none"/>
          <w:u w:val="single"/>
          <w:lang w:val="en-US" w:eastAsia="zh-CN"/>
        </w:rPr>
        <w:t>0</w:t>
      </w:r>
      <w:r>
        <w:rPr>
          <w:rFonts w:hint="eastAsia" w:ascii="宋体" w:hAnsi="宋体" w:cs="宋体"/>
          <w:color w:val="auto"/>
          <w:szCs w:val="21"/>
          <w:highlight w:val="none"/>
          <w:u w:val="single"/>
        </w:rPr>
        <w:t>0分00秒</w:t>
      </w:r>
      <w:r>
        <w:rPr>
          <w:rFonts w:hint="eastAsia" w:ascii="宋体" w:hAnsi="宋体" w:cs="宋体"/>
          <w:bCs/>
          <w:color w:val="auto"/>
          <w:szCs w:val="21"/>
          <w:highlight w:val="none"/>
          <w:u w:val="single"/>
        </w:rPr>
        <w:t>；</w:t>
      </w:r>
    </w:p>
    <w:p w14:paraId="7F0A26BD">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开标地点（网址）：</w:t>
      </w:r>
      <w:r>
        <w:rPr>
          <w:rFonts w:hint="eastAsia" w:ascii="宋体" w:hAnsi="宋体" w:cs="宋体"/>
          <w:color w:val="auto"/>
          <w:szCs w:val="21"/>
          <w:highlight w:val="none"/>
        </w:rPr>
        <w:t>政采云平台（https://www.zcygov.cn/）。</w:t>
      </w:r>
    </w:p>
    <w:p w14:paraId="2BCD4784">
      <w:pPr>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五、公告期限 </w:t>
      </w:r>
    </w:p>
    <w:p w14:paraId="366A925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自本公告发布之日起5个工作日。</w:t>
      </w:r>
    </w:p>
    <w:p w14:paraId="6253ADC9">
      <w:pPr>
        <w:spacing w:line="360" w:lineRule="auto"/>
        <w:rPr>
          <w:rFonts w:ascii="宋体" w:hAnsi="宋体" w:cs="宋体"/>
          <w:b/>
          <w:color w:val="auto"/>
          <w:szCs w:val="21"/>
          <w:highlight w:val="none"/>
        </w:rPr>
      </w:pPr>
      <w:r>
        <w:rPr>
          <w:rFonts w:hint="eastAsia" w:ascii="宋体" w:hAnsi="宋体" w:cs="宋体"/>
          <w:b/>
          <w:color w:val="auto"/>
          <w:szCs w:val="21"/>
          <w:highlight w:val="none"/>
        </w:rPr>
        <w:t>六、其他补充事宜</w:t>
      </w:r>
    </w:p>
    <w:p w14:paraId="4A2867B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浙江省财政厅关于进一步发挥政府采购政策功能全力推动经济稳进提质的通知》（浙财采监〔2021〕3号）、《浙江省财政厅关于进一步促进政府采购公平竞争打造最优营商环境的通知》（浙财采监〔2021〕22号））、《浙江省财政厅关于进一步加大政府采购支持中小企业力度助力扎实稳住经济的通知》 （浙财采监</w:t>
      </w:r>
      <w:r>
        <w:rPr>
          <w:rFonts w:hint="eastAsia" w:ascii="宋体" w:hAnsi="宋体" w:cs="宋体"/>
          <w:color w:val="auto"/>
          <w:szCs w:val="21"/>
          <w:highlight w:val="none"/>
          <w:lang w:eastAsia="zh-CN"/>
        </w:rPr>
        <w:t>〔2022〕8号</w:t>
      </w:r>
      <w:r>
        <w:rPr>
          <w:rFonts w:hint="eastAsia" w:ascii="宋体" w:hAnsi="宋体" w:cs="宋体"/>
          <w:color w:val="auto"/>
          <w:szCs w:val="21"/>
          <w:highlight w:val="none"/>
        </w:rPr>
        <w:t>）已分别于2022年1月29日、2022年2月1日和2022年7月1日开始实施，此前有关规定与上述文件内容不一致的，按上述文件要求执行。</w:t>
      </w:r>
    </w:p>
    <w:p w14:paraId="5D6F223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8DF4B0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3986C7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5D3F1E5A">
      <w:pPr>
        <w:spacing w:line="360" w:lineRule="auto"/>
        <w:rPr>
          <w:rFonts w:ascii="宋体" w:hAnsi="宋体" w:cs="宋体"/>
          <w:b/>
          <w:color w:val="auto"/>
          <w:szCs w:val="21"/>
          <w:highlight w:val="none"/>
        </w:rPr>
      </w:pPr>
      <w:r>
        <w:rPr>
          <w:rFonts w:hint="eastAsia" w:ascii="宋体" w:hAnsi="宋体" w:cs="宋体"/>
          <w:b/>
          <w:color w:val="auto"/>
          <w:szCs w:val="21"/>
          <w:highlight w:val="none"/>
        </w:rPr>
        <w:t>七、对本次采购提出询问、质疑、投诉，请按以下方式联系</w:t>
      </w:r>
    </w:p>
    <w:p w14:paraId="32BDFCC0">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1.采购人信息</w:t>
      </w:r>
    </w:p>
    <w:p w14:paraId="30E21AE2">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名称：杭州市余杭区数据资源管理局</w:t>
      </w:r>
    </w:p>
    <w:p w14:paraId="4AE87158">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地址：杭州市余杭区仓前街道文一西路1500号4号楼9楼</w:t>
      </w:r>
    </w:p>
    <w:p w14:paraId="5D415200">
      <w:pPr>
        <w:spacing w:line="360" w:lineRule="auto"/>
        <w:ind w:left="420" w:left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项目联系人（询问）：</w:t>
      </w:r>
      <w:r>
        <w:rPr>
          <w:rFonts w:hint="eastAsia" w:ascii="宋体" w:hAnsi="宋体" w:cs="宋体"/>
          <w:color w:val="auto"/>
          <w:szCs w:val="21"/>
          <w:highlight w:val="none"/>
          <w:lang w:val="en-US" w:eastAsia="zh-CN"/>
        </w:rPr>
        <w:t>龙先生</w:t>
      </w:r>
    </w:p>
    <w:p w14:paraId="6ABB9792">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项目联系方式（询问）：0571-89518515</w:t>
      </w:r>
    </w:p>
    <w:p w14:paraId="44F0A94F">
      <w:pPr>
        <w:spacing w:line="360" w:lineRule="auto"/>
        <w:ind w:left="420" w:left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质疑联系人：</w:t>
      </w:r>
      <w:r>
        <w:rPr>
          <w:rFonts w:hint="eastAsia" w:ascii="宋体" w:hAnsi="宋体" w:cs="宋体"/>
          <w:color w:val="auto"/>
          <w:szCs w:val="21"/>
          <w:highlight w:val="none"/>
          <w:lang w:val="en-US" w:eastAsia="zh-CN"/>
        </w:rPr>
        <w:t>吴女士</w:t>
      </w:r>
    </w:p>
    <w:p w14:paraId="3EEA3D20">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质疑联系方式：0571-89518517</w:t>
      </w:r>
    </w:p>
    <w:p w14:paraId="277F58C7">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2.采购代理机构信息</w:t>
      </w:r>
    </w:p>
    <w:p w14:paraId="77062F17">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名称：浙江省成套招标代理有限公司</w:t>
      </w:r>
    </w:p>
    <w:p w14:paraId="239CED45">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地址：杭州市文晖路42号现代置业大厦西楼17楼1704</w:t>
      </w:r>
    </w:p>
    <w:p w14:paraId="54C7FDF9">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项目联系人（询问）：何颖楹</w:t>
      </w:r>
    </w:p>
    <w:p w14:paraId="3A8A6715">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项目联系方式（询问）：15700073181</w:t>
      </w:r>
    </w:p>
    <w:p w14:paraId="63E14CBB">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质疑联系人：冯东东</w:t>
      </w:r>
    </w:p>
    <w:p w14:paraId="1A7576C2">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 xml:space="preserve">质疑联系方式：0571-85331293 </w:t>
      </w:r>
    </w:p>
    <w:p w14:paraId="3EC7265D">
      <w:pPr>
        <w:spacing w:line="360"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3.同级政府采购监督管理部门</w:t>
      </w:r>
    </w:p>
    <w:p w14:paraId="089222F7">
      <w:pPr>
        <w:spacing w:line="360"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名称：杭州市余杭区财政局、浙江省政府采购行政裁决服务中心（杭州）</w:t>
      </w:r>
    </w:p>
    <w:p w14:paraId="63CB0D4C">
      <w:pPr>
        <w:spacing w:line="360"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地址：杭州市上城区清泰街549号城建综合大楼11楼（快递仅限ems或顺丰）</w:t>
      </w:r>
    </w:p>
    <w:p w14:paraId="0AB1A9C0">
      <w:pPr>
        <w:spacing w:line="360"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联系人：朱女士、王女士</w:t>
      </w:r>
    </w:p>
    <w:p w14:paraId="58E9A0A6">
      <w:pPr>
        <w:spacing w:line="360" w:lineRule="auto"/>
        <w:ind w:firstLine="480"/>
        <w:rPr>
          <w:rFonts w:ascii="宋体" w:hAnsi="宋体" w:eastAsia="宋体" w:cs="宋体"/>
          <w:color w:val="auto"/>
          <w:szCs w:val="21"/>
          <w:highlight w:val="none"/>
        </w:rPr>
      </w:pPr>
      <w:r>
        <w:rPr>
          <w:rFonts w:hint="eastAsia" w:ascii="宋体" w:hAnsi="宋体" w:eastAsia="宋体" w:cs="宋体"/>
          <w:color w:val="auto"/>
          <w:szCs w:val="21"/>
          <w:highlight w:val="none"/>
        </w:rPr>
        <w:t>监督投诉电话：0571-87227671,0571-87800218</w:t>
      </w:r>
    </w:p>
    <w:p w14:paraId="6F12E2C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若对项目采购电子交易系统操作有疑问，可登录政采云（https://www.zcygov.cn/），点击右侧咨询小采，获取采小蜜智能服务管家帮助，或拨打政采云服务热线95763获取热线服务帮助。</w:t>
      </w:r>
    </w:p>
    <w:p w14:paraId="030CCC89">
      <w:pPr>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CA问题联系电话（人工）：汇信CA 400-888-4636；天谷CA 400-087-8198。</w:t>
      </w:r>
      <w:r>
        <w:rPr>
          <w:rFonts w:hint="eastAsia" w:ascii="宋体" w:hAnsi="宋体" w:cs="宋体"/>
          <w:b/>
          <w:color w:val="auto"/>
          <w:szCs w:val="21"/>
          <w:highlight w:val="none"/>
        </w:rPr>
        <w:br w:type="page"/>
      </w:r>
    </w:p>
    <w:p w14:paraId="11B20C5A">
      <w:pPr>
        <w:pStyle w:val="2"/>
        <w:rPr>
          <w:color w:val="auto"/>
          <w:highlight w:val="none"/>
        </w:rPr>
      </w:pPr>
      <w:bookmarkStart w:id="14" w:name="_Toc3223"/>
      <w:r>
        <w:rPr>
          <w:rFonts w:hint="eastAsia"/>
          <w:color w:val="auto"/>
          <w:highlight w:val="none"/>
        </w:rPr>
        <w:t>第二部分</w:t>
      </w:r>
      <w:bookmarkEnd w:id="11"/>
      <w:r>
        <w:rPr>
          <w:rFonts w:hint="eastAsia"/>
          <w:color w:val="auto"/>
          <w:highlight w:val="none"/>
        </w:rPr>
        <w:t xml:space="preserve"> 投标人须知</w:t>
      </w:r>
      <w:bookmarkEnd w:id="12"/>
      <w:bookmarkEnd w:id="14"/>
    </w:p>
    <w:p w14:paraId="0451BA9C">
      <w:pPr>
        <w:pStyle w:val="3"/>
        <w:ind w:firstLine="0" w:firstLineChars="0"/>
        <w:jc w:val="center"/>
        <w:rPr>
          <w:color w:val="auto"/>
          <w:sz w:val="24"/>
          <w:szCs w:val="24"/>
          <w:highlight w:val="none"/>
        </w:rPr>
      </w:pPr>
      <w:r>
        <w:rPr>
          <w:rFonts w:hint="eastAsia"/>
          <w:color w:val="auto"/>
          <w:sz w:val="24"/>
          <w:szCs w:val="24"/>
          <w:highlight w:val="none"/>
        </w:rPr>
        <w:t>前附表</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670"/>
        <w:gridCol w:w="1964"/>
        <w:gridCol w:w="6492"/>
      </w:tblGrid>
      <w:tr w14:paraId="29DB9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367" w:type="pct"/>
          </w:tcPr>
          <w:p w14:paraId="52FE46C6">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076" w:type="pct"/>
            <w:vAlign w:val="center"/>
          </w:tcPr>
          <w:p w14:paraId="358EC29B">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事项</w:t>
            </w:r>
          </w:p>
        </w:tc>
        <w:tc>
          <w:tcPr>
            <w:tcW w:w="3556" w:type="pct"/>
            <w:vAlign w:val="center"/>
          </w:tcPr>
          <w:p w14:paraId="0B41D7DA">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本项目的特别规定</w:t>
            </w:r>
          </w:p>
        </w:tc>
      </w:tr>
      <w:tr w14:paraId="7ABE5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0" w:hRule="atLeast"/>
        </w:trPr>
        <w:tc>
          <w:tcPr>
            <w:tcW w:w="367" w:type="pct"/>
            <w:vAlign w:val="center"/>
          </w:tcPr>
          <w:p w14:paraId="2967B091">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076" w:type="pct"/>
            <w:vAlign w:val="center"/>
          </w:tcPr>
          <w:p w14:paraId="308537C3">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项目属性</w:t>
            </w:r>
          </w:p>
        </w:tc>
        <w:tc>
          <w:tcPr>
            <w:tcW w:w="3556" w:type="pct"/>
            <w:vAlign w:val="center"/>
          </w:tcPr>
          <w:p w14:paraId="1A01BC3F">
            <w:pPr>
              <w:spacing w:line="360" w:lineRule="auto"/>
              <w:rPr>
                <w:rFonts w:ascii="宋体" w:hAnsi="宋体" w:cs="宋体"/>
                <w:color w:val="auto"/>
                <w:szCs w:val="21"/>
                <w:highlight w:val="none"/>
              </w:rPr>
            </w:pPr>
            <w:r>
              <w:rPr>
                <w:rFonts w:hint="eastAsia" w:ascii="宋体" w:hAnsi="宋体" w:cs="宋体"/>
                <w:color w:val="auto"/>
                <w:szCs w:val="21"/>
                <w:highlight w:val="none"/>
              </w:rPr>
              <w:t>服务类。</w:t>
            </w:r>
          </w:p>
        </w:tc>
      </w:tr>
      <w:tr w14:paraId="74DFC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45" w:hRule="atLeast"/>
        </w:trPr>
        <w:tc>
          <w:tcPr>
            <w:tcW w:w="367" w:type="pct"/>
            <w:vAlign w:val="center"/>
          </w:tcPr>
          <w:p w14:paraId="502371D8">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076" w:type="pct"/>
            <w:vAlign w:val="center"/>
          </w:tcPr>
          <w:p w14:paraId="39988198">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采购标的及其对应的中小企业划分标准所属行业</w:t>
            </w:r>
          </w:p>
        </w:tc>
        <w:tc>
          <w:tcPr>
            <w:tcW w:w="3556" w:type="pct"/>
            <w:vAlign w:val="center"/>
          </w:tcPr>
          <w:p w14:paraId="179B3646">
            <w:pPr>
              <w:spacing w:line="360" w:lineRule="auto"/>
              <w:rPr>
                <w:rFonts w:ascii="宋体" w:hAnsi="宋体" w:cs="宋体"/>
                <w:color w:val="auto"/>
                <w:kern w:val="0"/>
                <w:szCs w:val="21"/>
                <w:highlight w:val="none"/>
                <w:u w:val="single"/>
              </w:rPr>
            </w:pPr>
            <w:r>
              <w:rPr>
                <w:rFonts w:hint="eastAsia" w:ascii="宋体" w:hAnsi="宋体" w:cs="宋体"/>
                <w:color w:val="auto"/>
                <w:kern w:val="0"/>
                <w:szCs w:val="21"/>
                <w:highlight w:val="none"/>
              </w:rPr>
              <w:t>标的：</w:t>
            </w:r>
            <w:r>
              <w:rPr>
                <w:rFonts w:hint="eastAsia" w:ascii="宋体" w:hAnsi="宋体" w:cs="宋体"/>
                <w:color w:val="auto"/>
                <w:kern w:val="0"/>
                <w:szCs w:val="21"/>
                <w:highlight w:val="none"/>
                <w:u w:val="single"/>
              </w:rPr>
              <w:t>AI余杭建设</w:t>
            </w:r>
            <w:r>
              <w:rPr>
                <w:rFonts w:hint="eastAsia" w:ascii="宋体" w:hAnsi="宋体" w:cs="宋体"/>
                <w:color w:val="auto"/>
                <w:kern w:val="0"/>
                <w:szCs w:val="21"/>
                <w:highlight w:val="none"/>
              </w:rPr>
              <w:t>，属于</w:t>
            </w:r>
            <w:r>
              <w:rPr>
                <w:rFonts w:hint="eastAsia" w:ascii="宋体" w:hAnsi="宋体" w:cs="宋体"/>
                <w:color w:val="auto"/>
                <w:kern w:val="0"/>
                <w:szCs w:val="21"/>
                <w:highlight w:val="none"/>
                <w:u w:val="single"/>
              </w:rPr>
              <w:t>软件和信息技术服务业</w:t>
            </w:r>
            <w:r>
              <w:rPr>
                <w:rFonts w:hint="eastAsia" w:ascii="宋体" w:hAnsi="宋体" w:cs="宋体"/>
                <w:color w:val="auto"/>
                <w:kern w:val="0"/>
                <w:szCs w:val="21"/>
                <w:highlight w:val="none"/>
              </w:rPr>
              <w:t>；</w:t>
            </w:r>
          </w:p>
          <w:p w14:paraId="2BAF23D1">
            <w:pPr>
              <w:spacing w:line="360" w:lineRule="auto"/>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软件和信息技术服务业中，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0F6DB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50" w:hRule="atLeast"/>
        </w:trPr>
        <w:tc>
          <w:tcPr>
            <w:tcW w:w="367" w:type="pct"/>
            <w:vAlign w:val="center"/>
          </w:tcPr>
          <w:p w14:paraId="793685AF">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1076" w:type="pct"/>
            <w:vAlign w:val="center"/>
          </w:tcPr>
          <w:p w14:paraId="0555A6F4">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是否允许采购进口产品</w:t>
            </w:r>
          </w:p>
        </w:tc>
        <w:tc>
          <w:tcPr>
            <w:tcW w:w="3556" w:type="pct"/>
            <w:vAlign w:val="center"/>
          </w:tcPr>
          <w:p w14:paraId="58CC6FC0">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sym w:font="Wingdings" w:char="F0FE"/>
            </w:r>
            <w:r>
              <w:rPr>
                <w:rFonts w:hint="eastAsia" w:ascii="宋体" w:hAnsi="宋体" w:cs="宋体"/>
                <w:color w:val="auto"/>
                <w:kern w:val="0"/>
                <w:szCs w:val="21"/>
                <w:highlight w:val="none"/>
              </w:rPr>
              <w:t>本项目不允许采购进口产品。</w:t>
            </w:r>
          </w:p>
          <w:p w14:paraId="5AD23721">
            <w:pPr>
              <w:spacing w:line="360" w:lineRule="auto"/>
              <w:rPr>
                <w:rFonts w:ascii="宋体" w:hAnsi="宋体" w:cs="宋体"/>
                <w:color w:val="auto"/>
                <w:szCs w:val="21"/>
                <w:highlight w:val="none"/>
              </w:rPr>
            </w:pPr>
            <w:r>
              <w:rPr>
                <w:rFonts w:hint="eastAsia" w:ascii="MS Gothic" w:hAnsi="MS Gothic" w:cs="宋体"/>
                <w:color w:val="auto"/>
                <w:kern w:val="0"/>
                <w:szCs w:val="21"/>
                <w:highlight w:val="none"/>
              </w:rPr>
              <w:t>☐</w:t>
            </w:r>
            <w:r>
              <w:rPr>
                <w:rFonts w:hint="eastAsia" w:ascii="宋体" w:hAnsi="宋体" w:cs="宋体"/>
                <w:color w:val="auto"/>
                <w:kern w:val="0"/>
                <w:szCs w:val="21"/>
                <w:highlight w:val="none"/>
              </w:rPr>
              <w:t>可以就</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采购进口产品。</w:t>
            </w:r>
          </w:p>
        </w:tc>
      </w:tr>
      <w:tr w14:paraId="5701F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5" w:hRule="atLeast"/>
        </w:trPr>
        <w:tc>
          <w:tcPr>
            <w:tcW w:w="367" w:type="pct"/>
            <w:vAlign w:val="center"/>
          </w:tcPr>
          <w:p w14:paraId="74B86209">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1076" w:type="pct"/>
            <w:vAlign w:val="center"/>
          </w:tcPr>
          <w:p w14:paraId="49FD1D1F">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分包</w:t>
            </w:r>
          </w:p>
        </w:tc>
        <w:tc>
          <w:tcPr>
            <w:tcW w:w="3556" w:type="pct"/>
            <w:vAlign w:val="center"/>
          </w:tcPr>
          <w:p w14:paraId="28C8F040">
            <w:pPr>
              <w:spacing w:line="360" w:lineRule="auto"/>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rPr>
              <w:sym w:font="Wingdings" w:char="F0FE"/>
            </w:r>
            <w:r>
              <w:rPr>
                <w:rFonts w:hint="eastAsia" w:ascii="宋体" w:hAnsi="宋体" w:cs="宋体"/>
                <w:color w:val="auto"/>
                <w:kern w:val="0"/>
                <w:szCs w:val="21"/>
                <w:highlight w:val="none"/>
              </w:rPr>
              <w:t>A</w:t>
            </w:r>
            <w:r>
              <w:rPr>
                <w:rFonts w:hint="eastAsia" w:ascii="宋体" w:hAnsi="宋体" w:cs="宋体"/>
                <w:color w:val="auto"/>
                <w:szCs w:val="21"/>
                <w:highlight w:val="none"/>
              </w:rPr>
              <w:t>同意将非主体、非关键性的</w:t>
            </w:r>
            <w:r>
              <w:rPr>
                <w:rFonts w:hint="eastAsia" w:ascii="宋体" w:hAnsi="宋体" w:cs="宋体"/>
                <w:color w:val="auto"/>
                <w:szCs w:val="21"/>
                <w:highlight w:val="none"/>
                <w:u w:val="single"/>
              </w:rPr>
              <w:t>政务垂类大模型专家调优服务、政务业务智能助手、智能辅助创作平台、智慧办公场景应用</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lang w:val="en-US" w:eastAsia="zh-CN"/>
              </w:rPr>
              <w:t>售后服务</w:t>
            </w:r>
            <w:r>
              <w:rPr>
                <w:rFonts w:hint="eastAsia" w:ascii="宋体" w:hAnsi="宋体" w:cs="宋体"/>
                <w:color w:val="auto"/>
                <w:szCs w:val="21"/>
                <w:highlight w:val="none"/>
              </w:rPr>
              <w:t>工作分包</w:t>
            </w:r>
            <w:r>
              <w:rPr>
                <w:rFonts w:hint="eastAsia" w:ascii="宋体" w:hAnsi="宋体" w:cs="宋体"/>
                <w:color w:val="auto"/>
                <w:szCs w:val="21"/>
                <w:highlight w:val="none"/>
                <w:lang w:eastAsia="zh-CN"/>
              </w:rPr>
              <w:t>。</w:t>
            </w:r>
          </w:p>
          <w:p w14:paraId="6F428756">
            <w:pPr>
              <w:spacing w:line="360" w:lineRule="auto"/>
              <w:rPr>
                <w:rFonts w:ascii="宋体" w:hAnsi="宋体" w:cs="宋体"/>
                <w:color w:val="auto"/>
                <w:szCs w:val="21"/>
                <w:highlight w:val="none"/>
              </w:rPr>
            </w:pPr>
            <w:r>
              <w:rPr>
                <w:rFonts w:hint="eastAsia" w:ascii="MS Gothic" w:hAnsi="MS Gothic" w:eastAsia="MS Gothic" w:cs="宋体"/>
                <w:color w:val="auto"/>
                <w:kern w:val="0"/>
                <w:sz w:val="21"/>
                <w:szCs w:val="21"/>
                <w:highlight w:val="none"/>
                <w:lang w:val="en-US" w:eastAsia="zh-CN" w:bidi="ar-SA"/>
              </w:rPr>
              <w:t>☐</w:t>
            </w:r>
            <w:r>
              <w:rPr>
                <w:rFonts w:hint="eastAsia" w:ascii="宋体" w:hAnsi="宋体" w:cs="宋体"/>
                <w:color w:val="auto"/>
                <w:kern w:val="0"/>
                <w:szCs w:val="21"/>
                <w:highlight w:val="none"/>
              </w:rPr>
              <w:t xml:space="preserve"> B</w:t>
            </w:r>
            <w:r>
              <w:rPr>
                <w:rFonts w:hint="eastAsia" w:ascii="宋体" w:hAnsi="宋体" w:cs="宋体"/>
                <w:color w:val="auto"/>
                <w:szCs w:val="21"/>
                <w:highlight w:val="none"/>
              </w:rPr>
              <w:t>不同意分包。</w:t>
            </w:r>
          </w:p>
          <w:p w14:paraId="27A98D35">
            <w:pPr>
              <w:spacing w:line="360" w:lineRule="auto"/>
              <w:rPr>
                <w:rFonts w:ascii="宋体" w:hAnsi="宋体" w:cs="宋体"/>
                <w:color w:val="auto"/>
                <w:szCs w:val="21"/>
                <w:highlight w:val="none"/>
              </w:rPr>
            </w:pPr>
            <w:r>
              <w:rPr>
                <w:rFonts w:hint="eastAsia" w:ascii="宋体" w:hAnsi="宋体" w:cs="宋体"/>
                <w:color w:val="auto"/>
                <w:szCs w:val="21"/>
                <w:highlight w:val="none"/>
              </w:rPr>
              <w:t>注：不得限制大中型企业向小微企业合理分包。</w:t>
            </w:r>
          </w:p>
        </w:tc>
      </w:tr>
      <w:tr w14:paraId="0C61E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90" w:hRule="atLeast"/>
        </w:trPr>
        <w:tc>
          <w:tcPr>
            <w:tcW w:w="367" w:type="pct"/>
            <w:vAlign w:val="center"/>
          </w:tcPr>
          <w:p w14:paraId="16E1E1F1">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1076" w:type="pct"/>
            <w:vAlign w:val="center"/>
          </w:tcPr>
          <w:p w14:paraId="1A74AC9E">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开标前答疑会或现场考察</w:t>
            </w:r>
          </w:p>
        </w:tc>
        <w:tc>
          <w:tcPr>
            <w:tcW w:w="3556" w:type="pct"/>
            <w:vAlign w:val="center"/>
          </w:tcPr>
          <w:p w14:paraId="079B4CCE">
            <w:pPr>
              <w:spacing w:line="360" w:lineRule="auto"/>
              <w:rPr>
                <w:rFonts w:ascii="宋体" w:hAnsi="宋体" w:cs="宋体"/>
                <w:color w:val="auto"/>
                <w:szCs w:val="21"/>
                <w:highlight w:val="none"/>
              </w:rPr>
            </w:pPr>
            <w:r>
              <w:rPr>
                <w:rFonts w:ascii="Wingdings" w:hAnsi="Wingdings" w:cs="宋体"/>
                <w:color w:val="auto"/>
                <w:kern w:val="0"/>
                <w:szCs w:val="21"/>
                <w:highlight w:val="none"/>
              </w:rPr>
              <w:t></w:t>
            </w:r>
            <w:r>
              <w:rPr>
                <w:rFonts w:hint="eastAsia" w:ascii="宋体" w:hAnsi="宋体" w:cs="宋体"/>
                <w:color w:val="auto"/>
                <w:kern w:val="0"/>
                <w:szCs w:val="21"/>
                <w:highlight w:val="none"/>
              </w:rPr>
              <w:t>A</w:t>
            </w:r>
            <w:r>
              <w:rPr>
                <w:rFonts w:hint="eastAsia" w:ascii="宋体" w:hAnsi="宋体" w:cs="宋体"/>
                <w:color w:val="auto"/>
                <w:szCs w:val="21"/>
                <w:highlight w:val="none"/>
              </w:rPr>
              <w:t>不组织。</w:t>
            </w:r>
          </w:p>
          <w:p w14:paraId="52EED334">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☐B组织，</w:t>
            </w:r>
            <w:r>
              <w:rPr>
                <w:rFonts w:hint="eastAsia" w:ascii="宋体" w:hAnsi="宋体" w:cs="宋体"/>
                <w:color w:val="auto"/>
                <w:szCs w:val="21"/>
                <w:highlight w:val="none"/>
              </w:rPr>
              <w:t>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地点：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，联系人：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，联系方式：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tc>
      </w:tr>
      <w:tr w14:paraId="44A96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367" w:type="pct"/>
            <w:vAlign w:val="center"/>
          </w:tcPr>
          <w:p w14:paraId="1A307EB6">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1076" w:type="pct"/>
            <w:vAlign w:val="center"/>
          </w:tcPr>
          <w:p w14:paraId="468F40CC">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样品提供</w:t>
            </w:r>
          </w:p>
        </w:tc>
        <w:tc>
          <w:tcPr>
            <w:tcW w:w="3556" w:type="pct"/>
            <w:vAlign w:val="center"/>
          </w:tcPr>
          <w:p w14:paraId="0231CF0C">
            <w:pPr>
              <w:spacing w:line="360" w:lineRule="auto"/>
              <w:rPr>
                <w:rFonts w:ascii="宋体" w:hAnsi="宋体" w:cs="宋体"/>
                <w:color w:val="auto"/>
                <w:szCs w:val="21"/>
                <w:highlight w:val="none"/>
              </w:rPr>
            </w:pPr>
            <w:r>
              <w:rPr>
                <w:rFonts w:ascii="Wingdings" w:hAnsi="Wingdings" w:cs="宋体"/>
                <w:color w:val="auto"/>
                <w:kern w:val="0"/>
                <w:szCs w:val="21"/>
                <w:highlight w:val="none"/>
              </w:rPr>
              <w:t></w:t>
            </w:r>
            <w:r>
              <w:rPr>
                <w:rFonts w:hint="eastAsia" w:ascii="宋体" w:hAnsi="宋体" w:cs="宋体"/>
                <w:color w:val="auto"/>
                <w:kern w:val="0"/>
                <w:szCs w:val="21"/>
                <w:highlight w:val="none"/>
              </w:rPr>
              <w:t>A</w:t>
            </w:r>
            <w:r>
              <w:rPr>
                <w:rFonts w:hint="eastAsia" w:ascii="宋体" w:hAnsi="宋体" w:cs="宋体"/>
                <w:color w:val="auto"/>
                <w:szCs w:val="21"/>
                <w:highlight w:val="none"/>
              </w:rPr>
              <w:t>不要求提供。</w:t>
            </w:r>
          </w:p>
          <w:p w14:paraId="53EAFAAE">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☐B要求提供，</w:t>
            </w:r>
          </w:p>
          <w:p w14:paraId="396FB63D">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snapToGrid w:val="0"/>
                <w:color w:val="auto"/>
                <w:kern w:val="28"/>
                <w:szCs w:val="21"/>
                <w:highlight w:val="none"/>
              </w:rPr>
              <w:t>样品：</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14:paraId="4CE2A576">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snapToGrid w:val="0"/>
                <w:color w:val="auto"/>
                <w:kern w:val="28"/>
                <w:szCs w:val="21"/>
                <w:highlight w:val="none"/>
              </w:rPr>
              <w:t>样品制作的标准和要求：</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14:paraId="3A7E34E7">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（3）样品的评审方法以及评审标准</w:t>
            </w:r>
            <w:r>
              <w:rPr>
                <w:rFonts w:hint="eastAsia" w:ascii="宋体" w:hAnsi="宋体" w:cs="宋体"/>
                <w:snapToGrid w:val="0"/>
                <w:color w:val="auto"/>
                <w:kern w:val="28"/>
                <w:szCs w:val="21"/>
                <w:highlight w:val="none"/>
              </w:rPr>
              <w:t>：详见</w:t>
            </w:r>
            <w:r>
              <w:rPr>
                <w:rFonts w:hint="eastAsia" w:ascii="宋体" w:hAnsi="宋体" w:cs="宋体"/>
                <w:color w:val="auto"/>
                <w:szCs w:val="21"/>
                <w:highlight w:val="none"/>
                <w:u w:val="single"/>
              </w:rPr>
              <w:t>评标办法</w:t>
            </w:r>
            <w:r>
              <w:rPr>
                <w:rFonts w:hint="eastAsia" w:ascii="宋体" w:hAnsi="宋体" w:cs="宋体"/>
                <w:color w:val="auto"/>
                <w:kern w:val="0"/>
                <w:szCs w:val="21"/>
                <w:highlight w:val="none"/>
              </w:rPr>
              <w:t>；</w:t>
            </w:r>
          </w:p>
          <w:p w14:paraId="523E73A3">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（4）是否需要随样品提交检测报告：☐否；☐是，检测机构的要求</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；检测内容</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14:paraId="41DBB124">
            <w:pPr>
              <w:spacing w:line="360" w:lineRule="auto"/>
              <w:rPr>
                <w:rFonts w:ascii="宋体" w:hAnsi="宋体" w:cs="宋体"/>
                <w:color w:val="auto"/>
                <w:szCs w:val="21"/>
                <w:highlight w:val="none"/>
              </w:rPr>
            </w:pPr>
            <w:r>
              <w:rPr>
                <w:rFonts w:hint="eastAsia" w:ascii="宋体" w:hAnsi="宋体" w:cs="宋体"/>
                <w:color w:val="auto"/>
                <w:szCs w:val="21"/>
                <w:highlight w:val="none"/>
              </w:rPr>
              <w:t>（5）提供样品的时间：</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；地点：</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；联系人</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kern w:val="28"/>
                <w:szCs w:val="21"/>
                <w:highlight w:val="none"/>
              </w:rPr>
              <w:t>联系电话：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。请投标人在上述时间内提供样品并按规定位置安装完毕。超过截止时间的，采购人或采购代理机构将不予接收，并将清场并封闭样品现场。</w:t>
            </w:r>
          </w:p>
          <w:p w14:paraId="04B59E63">
            <w:pPr>
              <w:spacing w:line="360" w:lineRule="auto"/>
              <w:rPr>
                <w:rFonts w:ascii="宋体" w:hAnsi="宋体" w:cs="宋体"/>
                <w:color w:val="auto"/>
                <w:szCs w:val="21"/>
                <w:highlight w:val="none"/>
              </w:rPr>
            </w:pPr>
            <w:r>
              <w:rPr>
                <w:rFonts w:hint="eastAsia" w:ascii="宋体" w:hAnsi="宋体" w:cs="宋体"/>
                <w:color w:val="auto"/>
                <w:szCs w:val="21"/>
                <w:highlight w:val="none"/>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8A2068B">
            <w:pPr>
              <w:spacing w:line="360" w:lineRule="auto"/>
              <w:rPr>
                <w:rFonts w:ascii="宋体" w:hAnsi="宋体" w:cs="宋体"/>
                <w:b/>
                <w:color w:val="auto"/>
                <w:szCs w:val="21"/>
                <w:highlight w:val="none"/>
              </w:rPr>
            </w:pPr>
            <w:r>
              <w:rPr>
                <w:rFonts w:hint="eastAsia" w:ascii="宋体" w:hAnsi="宋体" w:cs="宋体"/>
                <w:color w:val="auto"/>
                <w:szCs w:val="21"/>
                <w:highlight w:val="none"/>
              </w:rPr>
              <w:t>（7）制作、运输、安装和保管样品所发生的一切费用由投标人自理。</w:t>
            </w:r>
          </w:p>
        </w:tc>
      </w:tr>
      <w:tr w14:paraId="1F037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19" w:hRule="atLeast"/>
        </w:trPr>
        <w:tc>
          <w:tcPr>
            <w:tcW w:w="367" w:type="pct"/>
            <w:vAlign w:val="center"/>
          </w:tcPr>
          <w:p w14:paraId="6C7A6B8E">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1076" w:type="pct"/>
            <w:vAlign w:val="center"/>
          </w:tcPr>
          <w:p w14:paraId="77AA34C6">
            <w:pPr>
              <w:snapToGrid w:val="0"/>
              <w:spacing w:line="360" w:lineRule="auto"/>
              <w:jc w:val="center"/>
              <w:rPr>
                <w:rFonts w:ascii="宋体" w:hAnsi="宋体" w:cs="宋体"/>
                <w:bCs/>
                <w:color w:val="auto"/>
                <w:szCs w:val="21"/>
                <w:highlight w:val="none"/>
              </w:rPr>
            </w:pPr>
            <w:r>
              <w:rPr>
                <w:rFonts w:hint="eastAsia" w:ascii="宋体" w:hAnsi="宋体" w:cs="宋体"/>
                <w:b/>
                <w:color w:val="auto"/>
                <w:szCs w:val="21"/>
                <w:highlight w:val="none"/>
              </w:rPr>
              <w:t>方案讲解演示</w:t>
            </w:r>
          </w:p>
        </w:tc>
        <w:tc>
          <w:tcPr>
            <w:tcW w:w="3556" w:type="pct"/>
            <w:vAlign w:val="center"/>
          </w:tcPr>
          <w:p w14:paraId="24EE5751">
            <w:pPr>
              <w:spacing w:line="360" w:lineRule="auto"/>
              <w:rPr>
                <w:rFonts w:ascii="宋体" w:hAnsi="宋体" w:cs="宋体"/>
                <w:color w:val="auto"/>
                <w:szCs w:val="21"/>
                <w:highlight w:val="none"/>
              </w:rPr>
            </w:pPr>
            <w:r>
              <w:rPr>
                <w:rFonts w:ascii="MS Gothic" w:hAnsi="MS Gothic" w:cs="宋体"/>
                <w:color w:val="auto"/>
                <w:kern w:val="0"/>
                <w:szCs w:val="21"/>
                <w:highlight w:val="none"/>
              </w:rPr>
              <w:t>☐</w:t>
            </w:r>
            <w:r>
              <w:rPr>
                <w:rFonts w:hint="eastAsia" w:ascii="宋体" w:hAnsi="宋体" w:cs="宋体"/>
                <w:color w:val="auto"/>
                <w:kern w:val="0"/>
                <w:szCs w:val="21"/>
                <w:highlight w:val="none"/>
              </w:rPr>
              <w:t>A</w:t>
            </w:r>
            <w:r>
              <w:rPr>
                <w:rFonts w:hint="eastAsia" w:ascii="宋体" w:hAnsi="宋体" w:cs="宋体"/>
                <w:color w:val="auto"/>
                <w:szCs w:val="21"/>
                <w:highlight w:val="none"/>
              </w:rPr>
              <w:t>不组织。</w:t>
            </w:r>
          </w:p>
          <w:p w14:paraId="4CFE8221">
            <w:pPr>
              <w:spacing w:line="360" w:lineRule="auto"/>
              <w:rPr>
                <w:rFonts w:ascii="宋体" w:hAnsi="宋体" w:cs="宋体"/>
                <w:b/>
                <w:color w:val="auto"/>
                <w:kern w:val="0"/>
                <w:szCs w:val="21"/>
                <w:highlight w:val="none"/>
                <w:lang w:val="zh-CN"/>
              </w:rPr>
            </w:pPr>
            <w:r>
              <w:rPr>
                <w:rFonts w:ascii="Wingdings" w:hAnsi="Wingdings" w:cs="宋体"/>
                <w:color w:val="auto"/>
                <w:kern w:val="0"/>
                <w:szCs w:val="21"/>
                <w:highlight w:val="none"/>
              </w:rPr>
              <w:t>þ</w:t>
            </w:r>
            <w:r>
              <w:rPr>
                <w:rFonts w:hint="eastAsia" w:ascii="宋体" w:hAnsi="宋体" w:cs="宋体"/>
                <w:color w:val="auto"/>
                <w:kern w:val="0"/>
                <w:szCs w:val="21"/>
                <w:highlight w:val="none"/>
              </w:rPr>
              <w:t>B组织。</w:t>
            </w:r>
            <w:r>
              <w:rPr>
                <w:rFonts w:hint="eastAsia" w:ascii="宋体" w:hAnsi="宋体" w:cs="宋体"/>
                <w:color w:val="auto"/>
                <w:kern w:val="0"/>
                <w:szCs w:val="21"/>
                <w:highlight w:val="none"/>
                <w:lang w:val="zh-CN"/>
              </w:rPr>
              <w:t>详细要求见招标文件第三部“采购需求”。</w:t>
            </w:r>
          </w:p>
        </w:tc>
      </w:tr>
      <w:tr w14:paraId="68D8B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rPr>
        <w:tc>
          <w:tcPr>
            <w:tcW w:w="367" w:type="pct"/>
            <w:vMerge w:val="restart"/>
            <w:vAlign w:val="center"/>
          </w:tcPr>
          <w:p w14:paraId="1F30ACF4">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8</w:t>
            </w:r>
          </w:p>
        </w:tc>
        <w:tc>
          <w:tcPr>
            <w:tcW w:w="1076" w:type="pct"/>
            <w:vMerge w:val="restart"/>
            <w:vAlign w:val="center"/>
          </w:tcPr>
          <w:p w14:paraId="3B5A74B7">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投标人应当提供的资格、资信证明文件</w:t>
            </w:r>
          </w:p>
        </w:tc>
        <w:tc>
          <w:tcPr>
            <w:tcW w:w="3556" w:type="pct"/>
            <w:vAlign w:val="center"/>
          </w:tcPr>
          <w:p w14:paraId="36E686AE">
            <w:pPr>
              <w:spacing w:line="360" w:lineRule="auto"/>
              <w:rPr>
                <w:rFonts w:ascii="宋体" w:hAnsi="宋体" w:cs="宋体"/>
                <w:color w:val="auto"/>
                <w:szCs w:val="21"/>
                <w:highlight w:val="none"/>
              </w:rPr>
            </w:pPr>
            <w:r>
              <w:rPr>
                <w:rFonts w:hint="eastAsia" w:ascii="宋体" w:hAnsi="宋体" w:cs="宋体"/>
                <w:color w:val="auto"/>
                <w:szCs w:val="21"/>
                <w:highlight w:val="none"/>
              </w:rPr>
              <w:t>（1）资格证明文件：见招标文件第二部分11.1。</w:t>
            </w:r>
          </w:p>
          <w:p w14:paraId="500FC43B">
            <w:pPr>
              <w:spacing w:line="360" w:lineRule="auto"/>
              <w:rPr>
                <w:rFonts w:ascii="宋体" w:hAnsi="宋体" w:cs="宋体"/>
                <w:snapToGrid w:val="0"/>
                <w:color w:val="auto"/>
                <w:kern w:val="0"/>
                <w:szCs w:val="21"/>
                <w:highlight w:val="none"/>
              </w:rPr>
            </w:pPr>
            <w:r>
              <w:rPr>
                <w:rFonts w:hint="eastAsia" w:ascii="宋体" w:hAnsi="宋体" w:cs="宋体"/>
                <w:color w:val="auto"/>
                <w:kern w:val="0"/>
                <w:szCs w:val="21"/>
                <w:highlight w:val="none"/>
                <w:lang w:val="zh-CN"/>
              </w:rPr>
              <w:t>投标人未提供有效的资格证明文件的，视为投标人不具备招标文件中规定的资格要求，投标无效。</w:t>
            </w:r>
          </w:p>
        </w:tc>
      </w:tr>
      <w:tr w14:paraId="7EC70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8" w:hRule="atLeast"/>
        </w:trPr>
        <w:tc>
          <w:tcPr>
            <w:tcW w:w="367" w:type="pct"/>
            <w:vMerge w:val="continue"/>
          </w:tcPr>
          <w:p w14:paraId="7EC9EB3D">
            <w:pPr>
              <w:snapToGrid w:val="0"/>
              <w:spacing w:line="360" w:lineRule="auto"/>
              <w:jc w:val="center"/>
              <w:rPr>
                <w:rFonts w:ascii="宋体" w:hAnsi="宋体" w:cs="宋体"/>
                <w:color w:val="auto"/>
                <w:szCs w:val="21"/>
                <w:highlight w:val="none"/>
              </w:rPr>
            </w:pPr>
          </w:p>
        </w:tc>
        <w:tc>
          <w:tcPr>
            <w:tcW w:w="1076" w:type="pct"/>
            <w:vMerge w:val="continue"/>
            <w:vAlign w:val="center"/>
          </w:tcPr>
          <w:p w14:paraId="75E56E49">
            <w:pPr>
              <w:snapToGrid w:val="0"/>
              <w:spacing w:line="360" w:lineRule="auto"/>
              <w:jc w:val="center"/>
              <w:rPr>
                <w:rFonts w:ascii="宋体" w:hAnsi="宋体" w:cs="宋体"/>
                <w:b/>
                <w:color w:val="auto"/>
                <w:szCs w:val="21"/>
                <w:highlight w:val="none"/>
              </w:rPr>
            </w:pPr>
          </w:p>
        </w:tc>
        <w:tc>
          <w:tcPr>
            <w:tcW w:w="3556" w:type="pct"/>
            <w:vAlign w:val="center"/>
          </w:tcPr>
          <w:p w14:paraId="01D17FFD">
            <w:pPr>
              <w:spacing w:line="360" w:lineRule="auto"/>
              <w:rPr>
                <w:rFonts w:ascii="宋体" w:hAnsi="宋体" w:cs="宋体"/>
                <w:color w:val="auto"/>
                <w:szCs w:val="21"/>
                <w:highlight w:val="none"/>
              </w:rPr>
            </w:pPr>
            <w:r>
              <w:rPr>
                <w:rFonts w:hint="eastAsia" w:ascii="宋体" w:hAnsi="宋体" w:cs="宋体"/>
                <w:color w:val="auto"/>
                <w:szCs w:val="21"/>
                <w:highlight w:val="none"/>
              </w:rPr>
              <w:t>（2）资信证明文件：根据招标文件第四部分评标标准提供。</w:t>
            </w:r>
          </w:p>
        </w:tc>
      </w:tr>
      <w:tr w14:paraId="4CFCD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rPr>
        <w:tc>
          <w:tcPr>
            <w:tcW w:w="367" w:type="pct"/>
            <w:vAlign w:val="center"/>
          </w:tcPr>
          <w:p w14:paraId="507CD539">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9</w:t>
            </w:r>
          </w:p>
        </w:tc>
        <w:tc>
          <w:tcPr>
            <w:tcW w:w="1076" w:type="pct"/>
            <w:vAlign w:val="center"/>
          </w:tcPr>
          <w:p w14:paraId="49F34322">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节能产品、环境标志产品</w:t>
            </w:r>
          </w:p>
        </w:tc>
        <w:tc>
          <w:tcPr>
            <w:tcW w:w="3556" w:type="pct"/>
            <w:vAlign w:val="center"/>
          </w:tcPr>
          <w:p w14:paraId="12300030">
            <w:pPr>
              <w:snapToGrid w:val="0"/>
              <w:spacing w:line="360" w:lineRule="auto"/>
              <w:rPr>
                <w:rFonts w:ascii="宋体" w:hAnsi="宋体" w:cs="宋体"/>
                <w:color w:val="auto"/>
                <w:szCs w:val="21"/>
                <w:highlight w:val="none"/>
              </w:rPr>
            </w:pPr>
            <w:r>
              <w:rPr>
                <w:rFonts w:hint="eastAsia" w:ascii="宋体" w:hAnsi="宋体" w:cs="宋体"/>
                <w:color w:val="auto"/>
                <w:kern w:val="0"/>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488E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rPr>
        <w:tc>
          <w:tcPr>
            <w:tcW w:w="367" w:type="pct"/>
            <w:vAlign w:val="center"/>
          </w:tcPr>
          <w:p w14:paraId="556FBA73">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10</w:t>
            </w:r>
          </w:p>
        </w:tc>
        <w:tc>
          <w:tcPr>
            <w:tcW w:w="1076" w:type="pct"/>
            <w:vAlign w:val="center"/>
          </w:tcPr>
          <w:p w14:paraId="538566DE">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报价要求</w:t>
            </w:r>
          </w:p>
        </w:tc>
        <w:tc>
          <w:tcPr>
            <w:tcW w:w="3556" w:type="pct"/>
            <w:vAlign w:val="center"/>
          </w:tcPr>
          <w:p w14:paraId="77288C4C">
            <w:pPr>
              <w:snapToGrid w:val="0"/>
              <w:spacing w:line="360" w:lineRule="auto"/>
              <w:jc w:val="left"/>
              <w:rPr>
                <w:rFonts w:ascii="宋体" w:hAnsi="宋体" w:cs="宋体"/>
                <w:b/>
                <w:color w:val="auto"/>
                <w:kern w:val="0"/>
                <w:szCs w:val="21"/>
                <w:highlight w:val="none"/>
                <w:lang w:val="zh-CN"/>
              </w:rPr>
            </w:pPr>
            <w:r>
              <w:rPr>
                <w:rFonts w:hint="eastAsia" w:ascii="宋体" w:hAnsi="宋体" w:cs="宋体"/>
                <w:color w:val="auto"/>
                <w:kern w:val="0"/>
                <w:szCs w:val="21"/>
                <w:highlight w:val="none"/>
                <w:lang w:val="zh-CN"/>
              </w:rPr>
              <w:t>有关本项目实施所需的所有费用（含税费）均计入报价。</w:t>
            </w:r>
            <w:r>
              <w:rPr>
                <w:rFonts w:hint="eastAsia" w:ascii="宋体" w:hAnsi="宋体" w:cs="宋体"/>
                <w:b/>
                <w:bCs/>
                <w:color w:val="auto"/>
                <w:kern w:val="0"/>
                <w:szCs w:val="21"/>
                <w:highlight w:val="none"/>
                <w:lang w:val="zh-CN"/>
              </w:rPr>
              <w:t>投标文件</w:t>
            </w:r>
            <w:r>
              <w:rPr>
                <w:rFonts w:hint="eastAsia" w:ascii="宋体" w:hAnsi="宋体" w:cs="宋体"/>
                <w:b/>
                <w:bCs/>
                <w:color w:val="auto"/>
                <w:szCs w:val="21"/>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Cs w:val="21"/>
                <w:highlight w:val="none"/>
                <w:lang w:val="zh-CN"/>
              </w:rPr>
              <w:t>投标文件中价格全部采用人民币报价。招标文件未列明，而投标人认为必需的费用也需列入报价。</w:t>
            </w:r>
            <w:r>
              <w:rPr>
                <w:rFonts w:hint="eastAsia" w:ascii="宋体" w:hAnsi="宋体" w:cs="宋体"/>
                <w:b/>
                <w:color w:val="auto"/>
                <w:kern w:val="0"/>
                <w:szCs w:val="21"/>
                <w:highlight w:val="none"/>
                <w:lang w:val="zh-CN"/>
              </w:rPr>
              <w:t>提醒：验收时检测费用由采购人承担，不包含在投标总价中。投标报价出现下列情形的，投标无效：</w:t>
            </w:r>
          </w:p>
          <w:p w14:paraId="4FA359B5">
            <w:pPr>
              <w:snapToGrid w:val="0"/>
              <w:spacing w:line="360" w:lineRule="auto"/>
              <w:jc w:val="left"/>
              <w:rPr>
                <w:rFonts w:ascii="宋体" w:hAnsi="宋体" w:cs="宋体"/>
                <w:b/>
                <w:color w:val="auto"/>
                <w:kern w:val="0"/>
                <w:szCs w:val="21"/>
                <w:highlight w:val="none"/>
                <w:lang w:val="zh-CN"/>
              </w:rPr>
            </w:pPr>
            <w:r>
              <w:rPr>
                <w:rFonts w:hint="eastAsia" w:ascii="宋体" w:hAnsi="宋体" w:cs="宋体"/>
                <w:b/>
                <w:color w:val="auto"/>
                <w:kern w:val="0"/>
                <w:szCs w:val="21"/>
                <w:highlight w:val="none"/>
                <w:lang w:val="zh-CN"/>
              </w:rPr>
              <w:t>投标文件出现不是唯一的、有选择性投标报价的；</w:t>
            </w:r>
          </w:p>
          <w:p w14:paraId="70B68112">
            <w:pPr>
              <w:snapToGrid w:val="0"/>
              <w:spacing w:line="360" w:lineRule="auto"/>
              <w:jc w:val="left"/>
              <w:rPr>
                <w:rFonts w:ascii="宋体" w:hAnsi="宋体" w:cs="宋体"/>
                <w:color w:val="auto"/>
                <w:kern w:val="0"/>
                <w:szCs w:val="21"/>
                <w:highlight w:val="none"/>
                <w:lang w:val="zh-CN"/>
              </w:rPr>
            </w:pPr>
            <w:r>
              <w:rPr>
                <w:rFonts w:hint="eastAsia" w:ascii="宋体" w:hAnsi="宋体" w:cs="宋体"/>
                <w:b/>
                <w:color w:val="auto"/>
                <w:kern w:val="0"/>
                <w:szCs w:val="21"/>
                <w:highlight w:val="none"/>
                <w:lang w:val="zh-CN"/>
              </w:rPr>
              <w:t>投标报价超过招标文件中规定的预算金额或者最高限价的；</w:t>
            </w:r>
          </w:p>
          <w:p w14:paraId="6D35FD42">
            <w:pPr>
              <w:spacing w:line="360" w:lineRule="auto"/>
              <w:rPr>
                <w:rFonts w:ascii="宋体" w:hAnsi="宋体" w:cs="宋体"/>
                <w:b/>
                <w:color w:val="auto"/>
                <w:szCs w:val="21"/>
                <w:highlight w:val="none"/>
              </w:rPr>
            </w:pPr>
            <w:r>
              <w:rPr>
                <w:rFonts w:hint="eastAsia" w:ascii="宋体" w:hAnsi="宋体" w:cs="宋体"/>
                <w:b/>
                <w:color w:val="auto"/>
                <w:kern w:val="0"/>
                <w:szCs w:val="21"/>
                <w:highlight w:val="none"/>
              </w:rPr>
              <w:t>报价明显低于其他通过符合性审查投标人的报价，有可能影响产品质量或者不能诚信履约的，未能按要求提供书面说明或者提交相关证明材料证明其报价合理性的；</w:t>
            </w:r>
          </w:p>
          <w:p w14:paraId="735A380E">
            <w:pPr>
              <w:spacing w:line="360" w:lineRule="auto"/>
              <w:rPr>
                <w:rFonts w:ascii="宋体" w:hAnsi="宋体" w:cs="宋体"/>
                <w:color w:val="auto"/>
                <w:szCs w:val="21"/>
                <w:highlight w:val="none"/>
              </w:rPr>
            </w:pPr>
            <w:r>
              <w:rPr>
                <w:rFonts w:hint="eastAsia" w:ascii="宋体" w:hAnsi="宋体" w:cs="宋体"/>
                <w:b/>
                <w:color w:val="auto"/>
                <w:kern w:val="0"/>
                <w:szCs w:val="21"/>
                <w:highlight w:val="none"/>
              </w:rPr>
              <w:t>投标人对根据修正原则修正后的报价不确认的</w:t>
            </w:r>
            <w:r>
              <w:rPr>
                <w:rFonts w:hint="eastAsia" w:ascii="宋体" w:hAnsi="宋体" w:cs="宋体"/>
                <w:b/>
                <w:color w:val="auto"/>
                <w:szCs w:val="21"/>
                <w:highlight w:val="none"/>
              </w:rPr>
              <w:t>。</w:t>
            </w:r>
          </w:p>
        </w:tc>
      </w:tr>
      <w:tr w14:paraId="69926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rPr>
        <w:tc>
          <w:tcPr>
            <w:tcW w:w="367" w:type="pct"/>
            <w:vAlign w:val="center"/>
          </w:tcPr>
          <w:p w14:paraId="2B054A4C">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11</w:t>
            </w:r>
          </w:p>
        </w:tc>
        <w:tc>
          <w:tcPr>
            <w:tcW w:w="1076" w:type="pct"/>
            <w:vAlign w:val="center"/>
          </w:tcPr>
          <w:p w14:paraId="05587DD0">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推荐中标候选人数量</w:t>
            </w:r>
          </w:p>
        </w:tc>
        <w:tc>
          <w:tcPr>
            <w:tcW w:w="3556" w:type="pct"/>
            <w:vAlign w:val="center"/>
          </w:tcPr>
          <w:p w14:paraId="6973F272">
            <w:pPr>
              <w:spacing w:line="360" w:lineRule="auto"/>
              <w:rPr>
                <w:color w:val="auto"/>
                <w:highlight w:val="none"/>
              </w:rPr>
            </w:pPr>
            <w:r>
              <w:rPr>
                <w:rFonts w:hint="eastAsia" w:ascii="宋体" w:hAnsi="宋体" w:cs="宋体"/>
                <w:b/>
                <w:color w:val="auto"/>
                <w:kern w:val="0"/>
                <w:szCs w:val="21"/>
                <w:highlight w:val="none"/>
              </w:rPr>
              <w:t>推荐1名中标候选人。</w:t>
            </w:r>
          </w:p>
        </w:tc>
      </w:tr>
      <w:tr w14:paraId="37747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6" w:hRule="atLeast"/>
        </w:trPr>
        <w:tc>
          <w:tcPr>
            <w:tcW w:w="367" w:type="pct"/>
            <w:vAlign w:val="center"/>
          </w:tcPr>
          <w:p w14:paraId="5B09654B">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w:t>
            </w:r>
          </w:p>
        </w:tc>
        <w:tc>
          <w:tcPr>
            <w:tcW w:w="1076" w:type="pct"/>
            <w:vAlign w:val="center"/>
          </w:tcPr>
          <w:p w14:paraId="7A658001">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中小企业信用融资</w:t>
            </w:r>
          </w:p>
        </w:tc>
        <w:tc>
          <w:tcPr>
            <w:tcW w:w="3556" w:type="pct"/>
            <w:vAlign w:val="center"/>
          </w:tcPr>
          <w:p w14:paraId="4C74446A">
            <w:pPr>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14:paraId="089B31C4">
            <w:pPr>
              <w:spacing w:line="360" w:lineRule="auto"/>
              <w:rPr>
                <w:rFonts w:ascii="宋体" w:hAnsi="宋体" w:cs="宋体"/>
                <w:color w:val="auto"/>
                <w:szCs w:val="21"/>
                <w:highlight w:val="none"/>
              </w:rPr>
            </w:pPr>
            <w:r>
              <w:rPr>
                <w:rFonts w:hint="eastAsia" w:ascii="宋体" w:hAnsi="宋体" w:cs="宋体"/>
                <w:bCs/>
                <w:color w:val="auto"/>
                <w:kern w:val="0"/>
                <w:szCs w:val="21"/>
                <w:highlight w:val="none"/>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14:paraId="59D0F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84" w:hRule="atLeast"/>
        </w:trPr>
        <w:tc>
          <w:tcPr>
            <w:tcW w:w="367" w:type="pct"/>
            <w:vAlign w:val="center"/>
          </w:tcPr>
          <w:p w14:paraId="5B67DFA7">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13</w:t>
            </w:r>
          </w:p>
        </w:tc>
        <w:tc>
          <w:tcPr>
            <w:tcW w:w="1076" w:type="pct"/>
            <w:vAlign w:val="center"/>
          </w:tcPr>
          <w:p w14:paraId="1DE8B176">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备份投标文件送达地点和签收人员</w:t>
            </w:r>
          </w:p>
        </w:tc>
        <w:tc>
          <w:tcPr>
            <w:tcW w:w="3556" w:type="pct"/>
            <w:vAlign w:val="center"/>
          </w:tcPr>
          <w:p w14:paraId="6594BE25">
            <w:pPr>
              <w:pStyle w:val="33"/>
              <w:spacing w:line="360" w:lineRule="auto"/>
              <w:rPr>
                <w:rFonts w:hAnsi="宋体" w:cs="宋体"/>
                <w:color w:val="auto"/>
                <w:kern w:val="28"/>
                <w:highlight w:val="none"/>
              </w:rPr>
            </w:pPr>
            <w:r>
              <w:rPr>
                <w:rFonts w:hint="eastAsia" w:hAnsi="宋体" w:cs="宋体"/>
                <w:color w:val="auto"/>
                <w:kern w:val="28"/>
                <w:highlight w:val="none"/>
              </w:rPr>
              <w:t>备份投标文件送达地点：</w:t>
            </w:r>
            <w:r>
              <w:rPr>
                <w:rFonts w:hint="eastAsia" w:hAnsi="宋体" w:cs="宋体"/>
                <w:color w:val="auto"/>
                <w:highlight w:val="none"/>
                <w:u w:val="single"/>
              </w:rPr>
              <w:t>杭州市文晖路42号现代置业大厦西楼17楼1704室</w:t>
            </w:r>
            <w:r>
              <w:rPr>
                <w:rFonts w:hint="eastAsia" w:hAnsi="宋体" w:cs="宋体"/>
                <w:color w:val="auto"/>
                <w:kern w:val="28"/>
                <w:highlight w:val="none"/>
              </w:rPr>
              <w:t>；备份投标文件签收人员联系电话：</w:t>
            </w:r>
            <w:r>
              <w:rPr>
                <w:rFonts w:hint="eastAsia" w:hAnsi="宋体" w:cs="宋体"/>
                <w:color w:val="auto"/>
                <w:kern w:val="28"/>
                <w:highlight w:val="none"/>
                <w:u w:val="single"/>
              </w:rPr>
              <w:t>何颖楹，15700073181</w:t>
            </w:r>
            <w:r>
              <w:rPr>
                <w:rFonts w:hint="eastAsia" w:hAnsi="宋体" w:cs="宋体"/>
                <w:color w:val="auto"/>
                <w:highlight w:val="none"/>
              </w:rPr>
              <w:t>。</w:t>
            </w:r>
          </w:p>
        </w:tc>
      </w:tr>
      <w:tr w14:paraId="139DA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rPr>
        <w:tc>
          <w:tcPr>
            <w:tcW w:w="367" w:type="pct"/>
            <w:vMerge w:val="restart"/>
            <w:vAlign w:val="center"/>
          </w:tcPr>
          <w:p w14:paraId="0359F876">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14</w:t>
            </w:r>
          </w:p>
        </w:tc>
        <w:tc>
          <w:tcPr>
            <w:tcW w:w="1076" w:type="pct"/>
            <w:vMerge w:val="restart"/>
            <w:vAlign w:val="center"/>
          </w:tcPr>
          <w:p w14:paraId="13A79D76">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特别说明</w:t>
            </w:r>
          </w:p>
        </w:tc>
        <w:tc>
          <w:tcPr>
            <w:tcW w:w="3556" w:type="pct"/>
            <w:vAlign w:val="center"/>
          </w:tcPr>
          <w:p w14:paraId="34CD2E26">
            <w:pPr>
              <w:spacing w:line="360" w:lineRule="auto"/>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联合体投标的，联合体各方分别提供与联合体协议中规定的分工内容相应的业绩证明材料，业绩数量以提供材料较少的一方为准。</w:t>
            </w:r>
          </w:p>
        </w:tc>
      </w:tr>
      <w:tr w14:paraId="1C460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rPr>
        <w:tc>
          <w:tcPr>
            <w:tcW w:w="367" w:type="pct"/>
            <w:vMerge w:val="continue"/>
            <w:vAlign w:val="center"/>
          </w:tcPr>
          <w:p w14:paraId="0AA256F5">
            <w:pPr>
              <w:snapToGrid w:val="0"/>
              <w:spacing w:line="360" w:lineRule="auto"/>
              <w:jc w:val="center"/>
              <w:rPr>
                <w:rFonts w:ascii="宋体" w:hAnsi="宋体" w:cs="宋体"/>
                <w:color w:val="auto"/>
                <w:szCs w:val="21"/>
                <w:highlight w:val="none"/>
              </w:rPr>
            </w:pPr>
          </w:p>
        </w:tc>
        <w:tc>
          <w:tcPr>
            <w:tcW w:w="1076" w:type="pct"/>
            <w:vMerge w:val="continue"/>
            <w:vAlign w:val="center"/>
          </w:tcPr>
          <w:p w14:paraId="51791427">
            <w:pPr>
              <w:snapToGrid w:val="0"/>
              <w:spacing w:line="360" w:lineRule="auto"/>
              <w:jc w:val="center"/>
              <w:rPr>
                <w:rFonts w:ascii="宋体" w:hAnsi="宋体" w:cs="宋体"/>
                <w:b/>
                <w:color w:val="auto"/>
                <w:szCs w:val="21"/>
                <w:highlight w:val="none"/>
              </w:rPr>
            </w:pPr>
          </w:p>
        </w:tc>
        <w:tc>
          <w:tcPr>
            <w:tcW w:w="3556" w:type="pct"/>
            <w:vAlign w:val="center"/>
          </w:tcPr>
          <w:p w14:paraId="00B5F3DC">
            <w:pPr>
              <w:spacing w:line="360" w:lineRule="auto"/>
              <w:rPr>
                <w:rFonts w:ascii="宋体" w:hAnsi="宋体" w:cs="宋体"/>
                <w:snapToGrid w:val="0"/>
                <w:color w:val="auto"/>
                <w:kern w:val="28"/>
                <w:szCs w:val="21"/>
                <w:highlight w:val="none"/>
              </w:rPr>
            </w:pPr>
            <w:r>
              <w:rPr>
                <w:rFonts w:hint="eastAsia" w:ascii="MS Gothic" w:hAnsi="MS Gothic" w:eastAsia="MS Gothic" w:cs="宋体"/>
                <w:color w:val="auto"/>
                <w:kern w:val="0"/>
                <w:szCs w:val="21"/>
                <w:highlight w:val="none"/>
              </w:rPr>
              <w:t>☐</w:t>
            </w:r>
            <w:r>
              <w:rPr>
                <w:rFonts w:hint="eastAsia" w:ascii="宋体" w:hAnsi="宋体" w:cs="宋体"/>
                <w:snapToGrid w:val="0"/>
                <w:color w:val="auto"/>
                <w:kern w:val="28"/>
                <w:szCs w:val="21"/>
                <w:highlight w:val="none"/>
              </w:rPr>
              <w:t>联合体投标的，联合体各方均需按招标文件第四部分评标标准要求提供资信证明文件，否则视为不符合相关要求。</w:t>
            </w:r>
          </w:p>
          <w:p w14:paraId="3035B41C">
            <w:pPr>
              <w:spacing w:line="360" w:lineRule="auto"/>
              <w:rPr>
                <w:rFonts w:ascii="宋体" w:hAnsi="宋体" w:cs="宋体"/>
                <w:snapToGrid w:val="0"/>
                <w:color w:val="auto"/>
                <w:kern w:val="28"/>
                <w:szCs w:val="21"/>
                <w:highlight w:val="none"/>
              </w:rPr>
            </w:pPr>
            <w:r>
              <w:rPr>
                <w:rFonts w:hint="eastAsia" w:ascii="宋体" w:hAnsi="宋体" w:cs="宋体"/>
                <w:color w:val="auto"/>
                <w:kern w:val="0"/>
                <w:szCs w:val="21"/>
                <w:highlight w:val="none"/>
              </w:rPr>
              <w:sym w:font="Wingdings" w:char="F0FE"/>
            </w:r>
            <w:r>
              <w:rPr>
                <w:rFonts w:hint="eastAsia" w:ascii="宋体" w:hAnsi="宋体" w:cs="宋体"/>
                <w:snapToGrid w:val="0"/>
                <w:color w:val="auto"/>
                <w:kern w:val="28"/>
                <w:szCs w:val="21"/>
                <w:highlight w:val="none"/>
              </w:rPr>
              <w:t>联合体投标的，联合体中有一方或者联合体成员根据分工按招标文件第四部分评标标准要求提供资信证明文件的，视为符合相关要求。</w:t>
            </w:r>
          </w:p>
        </w:tc>
      </w:tr>
      <w:tr w14:paraId="70281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rPr>
        <w:tc>
          <w:tcPr>
            <w:tcW w:w="367" w:type="pct"/>
            <w:vAlign w:val="center"/>
          </w:tcPr>
          <w:p w14:paraId="1E04F7C0">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15</w:t>
            </w:r>
          </w:p>
        </w:tc>
        <w:tc>
          <w:tcPr>
            <w:tcW w:w="1076" w:type="pct"/>
            <w:vAlign w:val="center"/>
          </w:tcPr>
          <w:p w14:paraId="2CBEDFE6">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招标代理机构</w:t>
            </w:r>
          </w:p>
          <w:p w14:paraId="362BE1D2">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代理费用</w:t>
            </w:r>
          </w:p>
        </w:tc>
        <w:tc>
          <w:tcPr>
            <w:tcW w:w="3556" w:type="pct"/>
            <w:vAlign w:val="center"/>
          </w:tcPr>
          <w:p w14:paraId="711B9315">
            <w:pPr>
              <w:spacing w:line="360" w:lineRule="auto"/>
              <w:rPr>
                <w:rFonts w:ascii="宋体" w:hAnsi="宋体" w:cs="宋体"/>
                <w:color w:val="auto"/>
                <w:kern w:val="0"/>
                <w:szCs w:val="21"/>
                <w:highlight w:val="none"/>
              </w:rPr>
            </w:pPr>
            <w:r>
              <w:rPr>
                <w:rFonts w:hint="eastAsia" w:ascii="宋体" w:hAnsi="宋体" w:cs="宋体"/>
                <w:snapToGrid w:val="0"/>
                <w:color w:val="auto"/>
                <w:kern w:val="28"/>
                <w:szCs w:val="21"/>
                <w:highlight w:val="none"/>
              </w:rPr>
              <w:t>本项目招标代理服务费由采购人支付。</w:t>
            </w:r>
          </w:p>
        </w:tc>
      </w:tr>
    </w:tbl>
    <w:p w14:paraId="3093B18E">
      <w:pPr>
        <w:spacing w:line="360" w:lineRule="auto"/>
        <w:rPr>
          <w:rFonts w:ascii="宋体" w:hAnsi="宋体" w:cs="宋体"/>
          <w:color w:val="auto"/>
          <w:szCs w:val="21"/>
          <w:highlight w:val="none"/>
        </w:rPr>
      </w:pPr>
      <w:r>
        <w:rPr>
          <w:rFonts w:hint="eastAsia" w:ascii="宋体" w:hAnsi="宋体" w:cs="宋体"/>
          <w:b/>
          <w:color w:val="auto"/>
          <w:szCs w:val="21"/>
          <w:highlight w:val="none"/>
        </w:rPr>
        <w:br w:type="page"/>
      </w:r>
    </w:p>
    <w:bookmarkEnd w:id="13"/>
    <w:p w14:paraId="5CDF6CAC">
      <w:pPr>
        <w:pStyle w:val="4"/>
        <w:ind w:firstLine="428"/>
        <w:rPr>
          <w:color w:val="auto"/>
          <w:highlight w:val="none"/>
        </w:rPr>
      </w:pPr>
      <w:bookmarkStart w:id="15" w:name="_Toc164416483"/>
      <w:bookmarkStart w:id="16" w:name="第三部分"/>
      <w:r>
        <w:rPr>
          <w:rFonts w:hint="eastAsia"/>
          <w:color w:val="auto"/>
          <w:highlight w:val="none"/>
        </w:rPr>
        <w:t>一、总则</w:t>
      </w:r>
    </w:p>
    <w:p w14:paraId="59848748">
      <w:pPr>
        <w:pStyle w:val="4"/>
        <w:ind w:firstLine="428"/>
        <w:rPr>
          <w:rFonts w:ascii="宋体" w:hAnsi="宋体" w:cs="宋体"/>
          <w:color w:val="auto"/>
          <w:szCs w:val="21"/>
          <w:highlight w:val="none"/>
        </w:rPr>
      </w:pPr>
      <w:r>
        <w:rPr>
          <w:rFonts w:hint="eastAsia" w:ascii="宋体" w:hAnsi="宋体" w:cs="宋体"/>
          <w:color w:val="auto"/>
          <w:szCs w:val="21"/>
          <w:highlight w:val="none"/>
        </w:rPr>
        <w:t>1.适用范围</w:t>
      </w:r>
    </w:p>
    <w:p w14:paraId="21065491">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本招标文件适用于该项目的招标、投标、开标、资格审查及信用信息查询、评标、定标、合同、验收等行为（法律法规另有规定的，从其规定）。</w:t>
      </w:r>
    </w:p>
    <w:p w14:paraId="732F4B07">
      <w:pPr>
        <w:pStyle w:val="4"/>
        <w:ind w:firstLine="428"/>
        <w:rPr>
          <w:rFonts w:ascii="宋体" w:hAnsi="宋体" w:cs="宋体"/>
          <w:color w:val="auto"/>
          <w:szCs w:val="21"/>
          <w:highlight w:val="none"/>
        </w:rPr>
      </w:pPr>
      <w:r>
        <w:rPr>
          <w:rFonts w:hint="eastAsia" w:ascii="宋体" w:hAnsi="宋体" w:cs="宋体"/>
          <w:color w:val="auto"/>
          <w:szCs w:val="21"/>
          <w:highlight w:val="none"/>
        </w:rPr>
        <w:t>2.定义</w:t>
      </w:r>
    </w:p>
    <w:p w14:paraId="701CD8E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2.1“采购人”系指招标公告中载明的本项目的采购人。</w:t>
      </w:r>
    </w:p>
    <w:p w14:paraId="6253D40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2.2“采购代理机构”系指招标公告中载明的本项目的采购代理机构。</w:t>
      </w:r>
    </w:p>
    <w:p w14:paraId="701F1D9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2.3“投标人”系指是指响应招标、参加投标竞争的法人、其他组织或者自然人。</w:t>
      </w:r>
    </w:p>
    <w:p w14:paraId="259C7ED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2.4“负责人”系指法人企业的法定负责人，或其他组织为法律、行政法规规定代表单位行使职权的主要负责人，或自然人本人。</w:t>
      </w:r>
    </w:p>
    <w:p w14:paraId="0767452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86DDC0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2.6“电子交易平台”是指本项目政府采购活动所依托的政府采购云平台（https://www.zcygov.cn/）。</w:t>
      </w:r>
    </w:p>
    <w:p w14:paraId="771F643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 系指实质性要求条款，“</w:t>
      </w:r>
      <w:r>
        <w:rPr>
          <w:rFonts w:ascii="Wingdings" w:hAnsi="Wingdings" w:cs="宋体"/>
          <w:color w:val="auto"/>
          <w:kern w:val="0"/>
          <w:szCs w:val="21"/>
          <w:highlight w:val="none"/>
        </w:rPr>
        <w:t></w:t>
      </w:r>
      <w:r>
        <w:rPr>
          <w:rFonts w:hint="eastAsia" w:ascii="宋体" w:hAnsi="宋体" w:cs="宋体"/>
          <w:color w:val="auto"/>
          <w:szCs w:val="21"/>
          <w:highlight w:val="none"/>
        </w:rPr>
        <w:t>”系指适用本项目的要求，“</w:t>
      </w:r>
      <w:r>
        <w:rPr>
          <w:rFonts w:hint="eastAsia" w:ascii="宋体" w:hAnsi="宋体" w:cs="宋体"/>
          <w:color w:val="auto"/>
          <w:kern w:val="0"/>
          <w:szCs w:val="21"/>
          <w:highlight w:val="none"/>
        </w:rPr>
        <w:t>☐</w:t>
      </w:r>
      <w:r>
        <w:rPr>
          <w:rFonts w:hint="eastAsia" w:ascii="宋体" w:hAnsi="宋体" w:cs="宋体"/>
          <w:color w:val="auto"/>
          <w:szCs w:val="21"/>
          <w:highlight w:val="none"/>
        </w:rPr>
        <w:t>”系指不适用本项目的要求。</w:t>
      </w:r>
    </w:p>
    <w:p w14:paraId="52ACF872">
      <w:pPr>
        <w:pStyle w:val="4"/>
        <w:ind w:firstLine="428"/>
        <w:rPr>
          <w:rFonts w:ascii="宋体" w:hAnsi="宋体" w:cs="宋体"/>
          <w:color w:val="auto"/>
          <w:szCs w:val="21"/>
          <w:highlight w:val="none"/>
        </w:rPr>
      </w:pPr>
      <w:r>
        <w:rPr>
          <w:rFonts w:hint="eastAsia" w:ascii="宋体" w:hAnsi="宋体" w:cs="宋体"/>
          <w:color w:val="auto"/>
          <w:szCs w:val="21"/>
          <w:highlight w:val="none"/>
        </w:rPr>
        <w:t>3.采购项目需要落实的政府采购政策</w:t>
      </w:r>
    </w:p>
    <w:p w14:paraId="3B9217D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7CD4749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3.2支持绿色发展</w:t>
      </w:r>
    </w:p>
    <w:p w14:paraId="0EC5ECEC">
      <w:pPr>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Cs w:val="21"/>
          <w:highlight w:val="none"/>
        </w:rPr>
        <w:t>采购人拟采购的产品属于政府强制采购的节能产品品目清单范围的，投标人未按招标文件要求提供国家确定的认证机构出具的、处于有效期之内的节能产品认证证书的，投标无效。</w:t>
      </w:r>
    </w:p>
    <w:p w14:paraId="19475D2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3.2.2修缮、装修类项目采购建材的，采购人应将绿色建筑和绿色建材性能、指标等作为实质性条件纳入招标文件和合同。</w:t>
      </w:r>
    </w:p>
    <w:p w14:paraId="32EA29B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689CBE5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3.2.4鼓励供应商在参加政府采购过程中开展绿色设计、选择绿色材料、打造绿色制造工艺、开展绿色运输、做好废弃产品回收处理，实现产品全周期的绿色环保。鼓励采购单位对其提高预付款比例、免收履约保证金。</w:t>
      </w:r>
    </w:p>
    <w:p w14:paraId="5E34F31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3.3支持中小企业发展</w:t>
      </w:r>
    </w:p>
    <w:p w14:paraId="259D6FA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AA99F0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符合中小企业划分标准的个体工商户，在政府采购活动中视同中小企业。</w:t>
      </w:r>
    </w:p>
    <w:p w14:paraId="540338AA">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3.3.2</w:t>
      </w:r>
      <w:r>
        <w:rPr>
          <w:rFonts w:hint="eastAsia" w:ascii="宋体" w:hAnsi="宋体" w:cs="宋体"/>
          <w:color w:val="auto"/>
          <w:kern w:val="0"/>
          <w:szCs w:val="21"/>
          <w:highlight w:val="none"/>
        </w:rPr>
        <w:t>在政府采购活动中，投标人提供的货物、工程或者服务符合下列情形的，享受中小企业扶持政策：</w:t>
      </w:r>
    </w:p>
    <w:p w14:paraId="3CD2FAB7">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3.3.2.1在货物采购项目中，货物由中小企业制造，即货物由中小企业生产且使用该中小企业商号或者注册商标；</w:t>
      </w:r>
    </w:p>
    <w:p w14:paraId="03DF24B2">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3.3.2.2在工程采购项目中，工程由中小企业承建，即工程施工单位为中小企业；</w:t>
      </w:r>
    </w:p>
    <w:p w14:paraId="2D975D94">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3.3.2.3在服务采购项目中，服务由中小企业承接，即提供服务的人员为中小企业依照《中华人民共和国劳动合同法》订立劳动合同的从业人员。</w:t>
      </w:r>
    </w:p>
    <w:p w14:paraId="35F04F88">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在货物采购项目中，投标人提供的货物既有中小企业制造货物，也有大型企业制造货物的，不享受中小企业扶持政策。</w:t>
      </w:r>
    </w:p>
    <w:p w14:paraId="40E8EC41">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以联合体形式参加政府采购活动，联合体各方均为中小企业的，联合体视同中小企业。其中，联合体各方均为小微企业的，联合体视同小微企业。</w:t>
      </w:r>
    </w:p>
    <w:p w14:paraId="6D4B487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3.3.3对于未预留份额专门面向中小企业的政府采购货物或服务项目，以及预留份额政府采购货物或服务项目中的非预留部分标项，对小型和微型企业的投标报价给予</w:t>
      </w:r>
      <w:r>
        <w:rPr>
          <w:rFonts w:hint="eastAsia" w:ascii="宋体" w:hAnsi="宋体" w:cs="宋体"/>
          <w:b/>
          <w:bCs/>
          <w:color w:val="auto"/>
          <w:szCs w:val="21"/>
          <w:highlight w:val="none"/>
        </w:rPr>
        <w:t>10%</w:t>
      </w:r>
      <w:r>
        <w:rPr>
          <w:rFonts w:hint="eastAsia" w:ascii="宋体" w:hAnsi="宋体" w:cs="宋体"/>
          <w:color w:val="auto"/>
          <w:szCs w:val="21"/>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b/>
          <w:bCs/>
          <w:color w:val="auto"/>
          <w:szCs w:val="21"/>
          <w:highlight w:val="none"/>
        </w:rPr>
        <w:t>4%</w:t>
      </w:r>
      <w:r>
        <w:rPr>
          <w:rFonts w:hint="eastAsia" w:ascii="宋体" w:hAnsi="宋体" w:cs="宋体"/>
          <w:color w:val="auto"/>
          <w:szCs w:val="21"/>
          <w:highlight w:val="none"/>
        </w:rPr>
        <w:t>的扣除，用扣除后的价格参加评审。组成联合体或者接受分包的小微企业与联合体内其他企业、分包企业之间存在直接控股、管理关系的，不享受价格扣除优惠政策。</w:t>
      </w:r>
    </w:p>
    <w:p w14:paraId="1712D6C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3.3.4符合《关于促进残疾人就业政府采购政策的通知》（财库〔2017〕141号）规定的条件并提供《残疾人福利性单位声明函》（附件1）的残疾人福利性单位视同小型、微型企业；</w:t>
      </w:r>
    </w:p>
    <w:p w14:paraId="5334F54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856ED1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FDE7B8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3.3.7中小企业享受扶持政策获得政府采购合同的，小微企业不得将合同分包给大中型企业，中型企业不得将合同分包给大型企业。</w:t>
      </w:r>
    </w:p>
    <w:p w14:paraId="59205F3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3.4</w:t>
      </w:r>
      <w:r>
        <w:rPr>
          <w:rFonts w:hint="eastAsia" w:ascii="宋体" w:hAnsi="宋体" w:cs="宋体"/>
          <w:bCs/>
          <w:color w:val="auto"/>
          <w:szCs w:val="21"/>
          <w:highlight w:val="none"/>
        </w:rPr>
        <w:t>支持创新发展</w:t>
      </w:r>
    </w:p>
    <w:p w14:paraId="333DBDC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3.4.1采购人优先采购被认定为首台套产品和“制造精品”的自主创新产品。</w:t>
      </w:r>
    </w:p>
    <w:p w14:paraId="18E5442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3.4.2首台套产品</w:t>
      </w:r>
      <w:r>
        <w:rPr>
          <w:rFonts w:hint="eastAsia" w:ascii="宋体" w:hAnsi="宋体" w:cs="宋体"/>
          <w:color w:val="auto"/>
          <w:szCs w:val="21"/>
          <w:highlight w:val="none"/>
        </w:rPr>
        <w:tab/>
      </w:r>
      <w:r>
        <w:rPr>
          <w:rFonts w:hint="eastAsia" w:ascii="宋体" w:hAnsi="宋体" w:cs="宋体"/>
          <w:color w:val="auto"/>
          <w:szCs w:val="21"/>
          <w:highlight w:val="none"/>
        </w:rPr>
        <w:t>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347DCCA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3.4.3 采购人应当贯彻落实知识产权保护相关法律法规，应当采购使用正版软件。</w:t>
      </w:r>
    </w:p>
    <w:p w14:paraId="41090EA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3.5平等对待内外资企业和符合条件的破产重整企业</w:t>
      </w:r>
    </w:p>
    <w:p w14:paraId="55021C7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平等对待内外资企业和符合条件的破产重整企业，切实保障企业公平竞争，平等维护企业的合法利益。</w:t>
      </w:r>
    </w:p>
    <w:p w14:paraId="68A8AE0C">
      <w:pPr>
        <w:pStyle w:val="4"/>
        <w:ind w:firstLine="428"/>
        <w:rPr>
          <w:color w:val="auto"/>
          <w:szCs w:val="21"/>
          <w:highlight w:val="none"/>
        </w:rPr>
      </w:pPr>
      <w:r>
        <w:rPr>
          <w:rFonts w:hint="eastAsia"/>
          <w:color w:val="auto"/>
          <w:szCs w:val="21"/>
          <w:highlight w:val="none"/>
        </w:rPr>
        <w:t>4.询问、质疑、投诉、补偿救济</w:t>
      </w:r>
    </w:p>
    <w:p w14:paraId="074A801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zh-CN"/>
        </w:rPr>
        <w:t>4.1在线询问、质疑、投诉。根据《浙江省财政厅</w:t>
      </w:r>
      <w:r>
        <w:rPr>
          <w:rFonts w:hint="eastAsia" w:ascii="宋体" w:hAnsi="宋体" w:cs="宋体"/>
          <w:color w:val="auto"/>
          <w:szCs w:val="21"/>
          <w:highlight w:val="none"/>
        </w:rPr>
        <w:t>关于</w:t>
      </w:r>
      <w:r>
        <w:rPr>
          <w:rFonts w:hint="eastAsia" w:ascii="宋体" w:hAnsi="宋体" w:cs="宋体"/>
          <w:color w:val="auto"/>
          <w:szCs w:val="21"/>
          <w:highlight w:val="none"/>
          <w:lang w:val="zh-CN"/>
        </w:rPr>
        <w:t>进一步促进</w:t>
      </w:r>
      <w:r>
        <w:rPr>
          <w:rFonts w:hint="eastAsia" w:ascii="宋体" w:hAnsi="宋体" w:cs="宋体"/>
          <w:color w:val="auto"/>
          <w:szCs w:val="21"/>
          <w:highlight w:val="none"/>
        </w:rPr>
        <w:t>政府采购</w:t>
      </w:r>
      <w:r>
        <w:rPr>
          <w:rFonts w:hint="eastAsia" w:ascii="宋体" w:hAnsi="宋体" w:cs="宋体"/>
          <w:color w:val="auto"/>
          <w:szCs w:val="21"/>
          <w:highlight w:val="none"/>
          <w:lang w:val="zh-CN"/>
        </w:rPr>
        <w:t>公平竞争打造最优营商环境</w:t>
      </w:r>
      <w:r>
        <w:rPr>
          <w:rFonts w:hint="eastAsia" w:ascii="宋体" w:hAnsi="宋体" w:cs="宋体"/>
          <w:color w:val="auto"/>
          <w:szCs w:val="21"/>
          <w:highlight w:val="none"/>
        </w:rPr>
        <w:t>的通知》</w:t>
      </w:r>
      <w:r>
        <w:rPr>
          <w:rFonts w:hint="eastAsia" w:ascii="宋体" w:hAnsi="宋体" w:cs="宋体"/>
          <w:color w:val="auto"/>
          <w:szCs w:val="21"/>
          <w:highlight w:val="none"/>
          <w:lang w:val="zh-CN"/>
        </w:rPr>
        <w:t>（浙财采监〔2021〕22号）文件关于“健全行政裁决机制”要求，鼓励</w:t>
      </w:r>
      <w:r>
        <w:rPr>
          <w:rFonts w:hint="eastAsia" w:ascii="宋体" w:hAnsi="宋体" w:cs="宋体"/>
          <w:color w:val="auto"/>
          <w:szCs w:val="21"/>
          <w:highlight w:val="none"/>
        </w:rPr>
        <w:t>供应商</w:t>
      </w:r>
      <w:r>
        <w:rPr>
          <w:rFonts w:hint="eastAsia" w:ascii="宋体" w:hAnsi="宋体" w:cs="宋体"/>
          <w:color w:val="auto"/>
          <w:szCs w:val="21"/>
          <w:highlight w:val="none"/>
          <w:lang w:val="zh-CN"/>
        </w:rPr>
        <w:t>在线提起询问，路径为：政采云－项目</w:t>
      </w:r>
      <w:r>
        <w:rPr>
          <w:rFonts w:hint="eastAsia" w:ascii="宋体" w:hAnsi="宋体" w:cs="宋体"/>
          <w:color w:val="auto"/>
          <w:szCs w:val="21"/>
          <w:highlight w:val="none"/>
        </w:rPr>
        <w:t>采购－</w:t>
      </w:r>
      <w:r>
        <w:rPr>
          <w:rFonts w:hint="eastAsia" w:ascii="宋体" w:hAnsi="宋体" w:cs="宋体"/>
          <w:color w:val="auto"/>
          <w:szCs w:val="21"/>
          <w:highlight w:val="none"/>
          <w:lang w:val="zh-CN"/>
        </w:rPr>
        <w:t>询问质疑投诉－询问列表；鼓励供应商在线提起质疑，路径为：政采云－项目采购－询问质疑投诉－质疑列表。质疑供应商对在线</w:t>
      </w:r>
      <w:r>
        <w:rPr>
          <w:rFonts w:hint="eastAsia" w:ascii="宋体" w:hAnsi="宋体" w:cs="宋体"/>
          <w:color w:val="auto"/>
          <w:szCs w:val="21"/>
          <w:highlight w:val="none"/>
        </w:rPr>
        <w:t>质疑</w:t>
      </w:r>
      <w:r>
        <w:rPr>
          <w:rFonts w:hint="eastAsia" w:ascii="宋体" w:hAnsi="宋体" w:cs="宋体"/>
          <w:color w:val="auto"/>
          <w:szCs w:val="21"/>
          <w:highlight w:val="none"/>
          <w:lang w:val="zh-CN"/>
        </w:rPr>
        <w:t>答复不满意的，可在线提起投诉，路径为：浙江政府服务网－政府采购</w:t>
      </w:r>
      <w:r>
        <w:rPr>
          <w:rFonts w:hint="eastAsia" w:ascii="宋体" w:hAnsi="宋体" w:cs="宋体"/>
          <w:color w:val="auto"/>
          <w:szCs w:val="21"/>
          <w:highlight w:val="none"/>
        </w:rPr>
        <w:t>投诉</w:t>
      </w:r>
      <w:r>
        <w:rPr>
          <w:rFonts w:hint="eastAsia" w:ascii="宋体" w:hAnsi="宋体" w:cs="宋体"/>
          <w:color w:val="auto"/>
          <w:szCs w:val="21"/>
          <w:highlight w:val="none"/>
          <w:lang w:val="zh-CN"/>
        </w:rPr>
        <w:t>处理－在线办理。</w:t>
      </w:r>
    </w:p>
    <w:p w14:paraId="06E42C81">
      <w:pPr>
        <w:autoSpaceDE w:val="0"/>
        <w:autoSpaceDN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4.</w:t>
      </w: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zh-CN"/>
        </w:rPr>
        <w:t>供应商询问</w:t>
      </w:r>
    </w:p>
    <w:p w14:paraId="56328FD3">
      <w:pPr>
        <w:autoSpaceDE w:val="0"/>
        <w:autoSpaceDN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DF0E9C1">
      <w:pPr>
        <w:autoSpaceDE w:val="0"/>
        <w:autoSpaceDN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4.</w:t>
      </w: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zh-CN"/>
        </w:rPr>
        <w:t>供应商质疑</w:t>
      </w:r>
    </w:p>
    <w:p w14:paraId="06C7D75A">
      <w:pPr>
        <w:pStyle w:val="33"/>
        <w:spacing w:line="360" w:lineRule="auto"/>
        <w:ind w:firstLine="420" w:firstLineChars="200"/>
        <w:rPr>
          <w:rFonts w:hAnsi="宋体" w:cs="宋体"/>
          <w:color w:val="auto"/>
          <w:highlight w:val="none"/>
        </w:rPr>
      </w:pPr>
      <w:r>
        <w:rPr>
          <w:rFonts w:hint="eastAsia" w:hAnsi="宋体" w:cs="宋体"/>
          <w:color w:val="auto"/>
          <w:kern w:val="0"/>
          <w:highlight w:val="none"/>
          <w:lang w:val="zh-CN"/>
        </w:rPr>
        <w:t>4.</w:t>
      </w:r>
      <w:r>
        <w:rPr>
          <w:rFonts w:hint="eastAsia" w:hAnsi="宋体" w:cs="宋体"/>
          <w:color w:val="auto"/>
          <w:kern w:val="0"/>
          <w:highlight w:val="none"/>
        </w:rPr>
        <w:t>3</w:t>
      </w:r>
      <w:r>
        <w:rPr>
          <w:rFonts w:hint="eastAsia" w:hAnsi="宋体" w:cs="宋体"/>
          <w:color w:val="auto"/>
          <w:highlight w:val="none"/>
        </w:rPr>
        <w:t>.1提出质疑的供应商应当是参与所质疑项目采购活动的供应商。潜在供应商已依法获取其可质疑的招标文件的，可以对该文件提出质疑。</w:t>
      </w:r>
    </w:p>
    <w:p w14:paraId="5FB9A6FE">
      <w:pPr>
        <w:pStyle w:val="33"/>
        <w:spacing w:line="360" w:lineRule="auto"/>
        <w:ind w:firstLine="420" w:firstLineChars="200"/>
        <w:rPr>
          <w:rFonts w:hAnsi="宋体" w:cs="宋体"/>
          <w:color w:val="auto"/>
          <w:highlight w:val="none"/>
        </w:rPr>
      </w:pPr>
      <w:r>
        <w:rPr>
          <w:rFonts w:hint="eastAsia" w:hAnsi="宋体" w:cs="宋体"/>
          <w:color w:val="auto"/>
          <w:kern w:val="0"/>
          <w:highlight w:val="none"/>
          <w:lang w:val="zh-CN"/>
        </w:rPr>
        <w:t>4.</w:t>
      </w:r>
      <w:r>
        <w:rPr>
          <w:rFonts w:hint="eastAsia" w:hAnsi="宋体" w:cs="宋体"/>
          <w:color w:val="auto"/>
          <w:kern w:val="0"/>
          <w:highlight w:val="none"/>
        </w:rPr>
        <w:t>3</w:t>
      </w:r>
      <w:r>
        <w:rPr>
          <w:rFonts w:hint="eastAsia" w:hAnsi="宋体" w:cs="宋体"/>
          <w:color w:val="auto"/>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8113435">
      <w:pPr>
        <w:pStyle w:val="15"/>
        <w:spacing w:line="360" w:lineRule="auto"/>
        <w:ind w:firstLine="420" w:firstLineChars="200"/>
        <w:rPr>
          <w:rFonts w:hAnsi="宋体" w:cs="宋体"/>
          <w:snapToGrid/>
          <w:color w:val="auto"/>
          <w:kern w:val="2"/>
          <w:sz w:val="21"/>
          <w:szCs w:val="21"/>
          <w:highlight w:val="none"/>
        </w:rPr>
      </w:pPr>
      <w:r>
        <w:rPr>
          <w:rFonts w:hint="eastAsia" w:hAnsi="宋体" w:cs="宋体"/>
          <w:snapToGrid/>
          <w:color w:val="auto"/>
          <w:kern w:val="2"/>
          <w:sz w:val="21"/>
          <w:szCs w:val="21"/>
          <w:highlight w:val="none"/>
        </w:rPr>
        <w:t>4.3.2.1对招标文件提出质疑的，质疑期限为供应商获得招标文件之日或者招标文件公告期限届满之日起计算。</w:t>
      </w:r>
    </w:p>
    <w:p w14:paraId="46F0D7C1">
      <w:pPr>
        <w:pStyle w:val="33"/>
        <w:spacing w:line="360" w:lineRule="auto"/>
        <w:ind w:firstLine="420" w:firstLineChars="200"/>
        <w:rPr>
          <w:rFonts w:hAnsi="宋体" w:cs="宋体"/>
          <w:color w:val="auto"/>
          <w:highlight w:val="none"/>
        </w:rPr>
      </w:pPr>
      <w:r>
        <w:rPr>
          <w:rFonts w:hint="eastAsia" w:hAnsi="宋体" w:cs="宋体"/>
          <w:color w:val="auto"/>
          <w:highlight w:val="none"/>
        </w:rPr>
        <w:t>4.3.2.2对采购过程提出质疑的，质疑期限为各采购程序环节结束之日起计算。对同一采购程序环节的质疑，供应商须一次性提出。</w:t>
      </w:r>
    </w:p>
    <w:p w14:paraId="6808CBB5">
      <w:pPr>
        <w:pStyle w:val="33"/>
        <w:spacing w:line="360" w:lineRule="auto"/>
        <w:ind w:firstLine="420" w:firstLineChars="200"/>
        <w:rPr>
          <w:rFonts w:hAnsi="宋体" w:cs="宋体"/>
          <w:color w:val="auto"/>
          <w:highlight w:val="none"/>
        </w:rPr>
      </w:pPr>
      <w:r>
        <w:rPr>
          <w:rFonts w:hint="eastAsia" w:hAnsi="宋体" w:cs="宋体"/>
          <w:color w:val="auto"/>
          <w:highlight w:val="none"/>
        </w:rPr>
        <w:t>4.2.2.3对采购结果提出质疑的，质疑期限自采购结果公告期限届满之日起计算。</w:t>
      </w:r>
    </w:p>
    <w:p w14:paraId="506285CD">
      <w:pPr>
        <w:pStyle w:val="33"/>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4.</w:t>
      </w:r>
      <w:r>
        <w:rPr>
          <w:rFonts w:hint="eastAsia" w:hAnsi="宋体" w:cs="宋体"/>
          <w:color w:val="auto"/>
          <w:kern w:val="0"/>
          <w:highlight w:val="none"/>
        </w:rPr>
        <w:t>3</w:t>
      </w:r>
      <w:r>
        <w:rPr>
          <w:rFonts w:hint="eastAsia" w:hAnsi="宋体" w:cs="宋体"/>
          <w:color w:val="auto"/>
          <w:kern w:val="0"/>
          <w:highlight w:val="none"/>
          <w:lang w:val="zh-CN"/>
        </w:rPr>
        <w:t>.3</w:t>
      </w:r>
      <w:r>
        <w:rPr>
          <w:rFonts w:hint="eastAsia" w:hAnsi="宋体" w:cs="宋体"/>
          <w:color w:val="auto"/>
          <w:highlight w:val="none"/>
        </w:rPr>
        <w:t>供应商提出质疑应当提交质疑函和必要的证明材料。质疑函应当包括下列内容：</w:t>
      </w:r>
    </w:p>
    <w:p w14:paraId="61B5B1BF">
      <w:pPr>
        <w:pStyle w:val="33"/>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4.</w:t>
      </w:r>
      <w:r>
        <w:rPr>
          <w:rFonts w:hint="eastAsia" w:hAnsi="宋体" w:cs="宋体"/>
          <w:color w:val="auto"/>
          <w:kern w:val="0"/>
          <w:highlight w:val="none"/>
        </w:rPr>
        <w:t>3</w:t>
      </w:r>
      <w:r>
        <w:rPr>
          <w:rFonts w:hint="eastAsia" w:hAnsi="宋体" w:cs="宋体"/>
          <w:color w:val="auto"/>
          <w:kern w:val="0"/>
          <w:highlight w:val="none"/>
          <w:lang w:val="zh-CN"/>
        </w:rPr>
        <w:t>.3.1供应商的姓名或者名称、地址、邮编、联系人及联系电话；</w:t>
      </w:r>
    </w:p>
    <w:p w14:paraId="7D807539">
      <w:pPr>
        <w:pStyle w:val="33"/>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4.</w:t>
      </w:r>
      <w:r>
        <w:rPr>
          <w:rFonts w:hint="eastAsia" w:hAnsi="宋体" w:cs="宋体"/>
          <w:color w:val="auto"/>
          <w:kern w:val="0"/>
          <w:highlight w:val="none"/>
        </w:rPr>
        <w:t>3</w:t>
      </w:r>
      <w:r>
        <w:rPr>
          <w:rFonts w:hint="eastAsia" w:hAnsi="宋体" w:cs="宋体"/>
          <w:color w:val="auto"/>
          <w:kern w:val="0"/>
          <w:highlight w:val="none"/>
          <w:lang w:val="zh-CN"/>
        </w:rPr>
        <w:t>.3.2质疑项目的名称、编号；</w:t>
      </w:r>
    </w:p>
    <w:p w14:paraId="099684ED">
      <w:pPr>
        <w:pStyle w:val="33"/>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4.</w:t>
      </w:r>
      <w:r>
        <w:rPr>
          <w:rFonts w:hint="eastAsia" w:hAnsi="宋体" w:cs="宋体"/>
          <w:color w:val="auto"/>
          <w:kern w:val="0"/>
          <w:highlight w:val="none"/>
        </w:rPr>
        <w:t>3</w:t>
      </w:r>
      <w:r>
        <w:rPr>
          <w:rFonts w:hint="eastAsia" w:hAnsi="宋体" w:cs="宋体"/>
          <w:color w:val="auto"/>
          <w:kern w:val="0"/>
          <w:highlight w:val="none"/>
          <w:lang w:val="zh-CN"/>
        </w:rPr>
        <w:t>.3.3具体、明确的质疑事项和与质疑事项相关的请求；</w:t>
      </w:r>
    </w:p>
    <w:p w14:paraId="6BDB9FD6">
      <w:pPr>
        <w:pStyle w:val="33"/>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4.</w:t>
      </w:r>
      <w:r>
        <w:rPr>
          <w:rFonts w:hint="eastAsia" w:hAnsi="宋体" w:cs="宋体"/>
          <w:color w:val="auto"/>
          <w:kern w:val="0"/>
          <w:highlight w:val="none"/>
        </w:rPr>
        <w:t>3</w:t>
      </w:r>
      <w:r>
        <w:rPr>
          <w:rFonts w:hint="eastAsia" w:hAnsi="宋体" w:cs="宋体"/>
          <w:color w:val="auto"/>
          <w:kern w:val="0"/>
          <w:highlight w:val="none"/>
          <w:lang w:val="zh-CN"/>
        </w:rPr>
        <w:t>.3.4事实依据；</w:t>
      </w:r>
    </w:p>
    <w:p w14:paraId="15B0C811">
      <w:pPr>
        <w:pStyle w:val="33"/>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4.</w:t>
      </w:r>
      <w:r>
        <w:rPr>
          <w:rFonts w:hint="eastAsia" w:hAnsi="宋体" w:cs="宋体"/>
          <w:color w:val="auto"/>
          <w:kern w:val="0"/>
          <w:highlight w:val="none"/>
        </w:rPr>
        <w:t>3</w:t>
      </w:r>
      <w:r>
        <w:rPr>
          <w:rFonts w:hint="eastAsia" w:hAnsi="宋体" w:cs="宋体"/>
          <w:color w:val="auto"/>
          <w:kern w:val="0"/>
          <w:highlight w:val="none"/>
          <w:lang w:val="zh-CN"/>
        </w:rPr>
        <w:t>.3.5必要的法律依据；</w:t>
      </w:r>
    </w:p>
    <w:p w14:paraId="4B0AC07A">
      <w:pPr>
        <w:pStyle w:val="33"/>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4.</w:t>
      </w:r>
      <w:r>
        <w:rPr>
          <w:rFonts w:hint="eastAsia" w:hAnsi="宋体" w:cs="宋体"/>
          <w:color w:val="auto"/>
          <w:kern w:val="0"/>
          <w:highlight w:val="none"/>
        </w:rPr>
        <w:t>3</w:t>
      </w:r>
      <w:r>
        <w:rPr>
          <w:rFonts w:hint="eastAsia" w:hAnsi="宋体" w:cs="宋体"/>
          <w:color w:val="auto"/>
          <w:kern w:val="0"/>
          <w:highlight w:val="none"/>
          <w:lang w:val="zh-CN"/>
        </w:rPr>
        <w:t>.3.6提出质疑的日期。</w:t>
      </w:r>
    </w:p>
    <w:p w14:paraId="11FB6FD1">
      <w:pPr>
        <w:pStyle w:val="33"/>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487DAF12">
      <w:pPr>
        <w:pStyle w:val="33"/>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质疑函范本及制作说明详见附件2。</w:t>
      </w:r>
    </w:p>
    <w:p w14:paraId="16A53B85">
      <w:pPr>
        <w:pStyle w:val="136"/>
        <w:snapToGrid w:val="0"/>
        <w:spacing w:before="0"/>
        <w:ind w:firstLine="420"/>
        <w:rPr>
          <w:rFonts w:ascii="宋体" w:hAnsi="宋体" w:cs="宋体"/>
          <w:color w:val="auto"/>
          <w:sz w:val="21"/>
          <w:szCs w:val="21"/>
          <w:highlight w:val="none"/>
        </w:rPr>
      </w:pPr>
      <w:r>
        <w:rPr>
          <w:rFonts w:ascii="宋体" w:hAnsi="宋体" w:cs="宋体"/>
          <w:color w:val="auto"/>
          <w:sz w:val="21"/>
          <w:szCs w:val="21"/>
          <w:highlight w:val="none"/>
          <w:lang w:val="zh-CN"/>
        </w:rPr>
        <w:t>4.</w:t>
      </w:r>
      <w:r>
        <w:rPr>
          <w:rFonts w:hint="eastAsia" w:ascii="宋体" w:hAnsi="宋体" w:cs="宋体"/>
          <w:color w:val="auto"/>
          <w:sz w:val="21"/>
          <w:szCs w:val="21"/>
          <w:highlight w:val="none"/>
        </w:rPr>
        <w:t>3</w:t>
      </w:r>
      <w:r>
        <w:rPr>
          <w:rFonts w:ascii="宋体" w:hAnsi="宋体" w:cs="宋体"/>
          <w:color w:val="auto"/>
          <w:sz w:val="21"/>
          <w:szCs w:val="21"/>
          <w:highlight w:val="none"/>
        </w:rPr>
        <w:t>.4</w:t>
      </w:r>
      <w:r>
        <w:rPr>
          <w:rFonts w:hint="eastAsia" w:ascii="宋体" w:hAnsi="宋体" w:cs="宋体"/>
          <w:color w:val="auto"/>
          <w:sz w:val="21"/>
          <w:szCs w:val="21"/>
          <w:highlight w:val="none"/>
        </w:rPr>
        <w:t>对同一采购程序环节的质疑，供应商须在法定质疑期内一次性提出。</w:t>
      </w:r>
    </w:p>
    <w:p w14:paraId="68A5152A">
      <w:pPr>
        <w:pStyle w:val="136"/>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lang w:val="zh-CN"/>
        </w:rPr>
        <w:t>4.3</w:t>
      </w:r>
      <w:r>
        <w:rPr>
          <w:rFonts w:hint="eastAsia" w:ascii="宋体" w:hAnsi="宋体" w:cs="宋体"/>
          <w:color w:val="auto"/>
          <w:sz w:val="21"/>
          <w:szCs w:val="21"/>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宋体" w:hAnsi="宋体" w:cs="宋体"/>
          <w:color w:val="auto"/>
          <w:sz w:val="21"/>
          <w:szCs w:val="21"/>
          <w:highlight w:val="none"/>
        </w:rPr>
        <w:t>2021〕17号）</w:t>
      </w:r>
      <w:r>
        <w:rPr>
          <w:rFonts w:hint="eastAsia" w:ascii="宋体" w:hAnsi="宋体" w:cs="宋体"/>
          <w:color w:val="auto"/>
          <w:sz w:val="21"/>
          <w:szCs w:val="21"/>
          <w:highlight w:val="none"/>
        </w:rPr>
        <w:t>，采购人或者采购代理机构在质疑回复后</w:t>
      </w:r>
      <w:r>
        <w:rPr>
          <w:rFonts w:ascii="宋体" w:hAnsi="宋体" w:cs="宋体"/>
          <w:color w:val="auto"/>
          <w:sz w:val="21"/>
          <w:szCs w:val="21"/>
          <w:highlight w:val="none"/>
        </w:rPr>
        <w:t>5个工作日内，在浙江政府采购网的“其他公告”栏目公开质疑答复，答复内容应当完整。质疑</w:t>
      </w:r>
      <w:r>
        <w:rPr>
          <w:rFonts w:hint="eastAsia" w:ascii="宋体" w:hAnsi="宋体" w:cs="宋体"/>
          <w:color w:val="auto"/>
          <w:sz w:val="21"/>
          <w:szCs w:val="21"/>
          <w:highlight w:val="none"/>
        </w:rPr>
        <w:t>函作为附件上传。</w:t>
      </w:r>
    </w:p>
    <w:p w14:paraId="008048F9">
      <w:pPr>
        <w:pStyle w:val="136"/>
        <w:snapToGrid w:val="0"/>
        <w:spacing w:before="0"/>
        <w:ind w:firstLine="420"/>
        <w:rPr>
          <w:rFonts w:ascii="宋体" w:hAnsi="宋体" w:cs="宋体"/>
          <w:color w:val="auto"/>
          <w:sz w:val="21"/>
          <w:szCs w:val="21"/>
          <w:highlight w:val="none"/>
        </w:rPr>
      </w:pPr>
      <w:r>
        <w:rPr>
          <w:rFonts w:ascii="宋体" w:hAnsi="宋体" w:cs="宋体"/>
          <w:color w:val="auto"/>
          <w:sz w:val="21"/>
          <w:szCs w:val="21"/>
          <w:highlight w:val="none"/>
          <w:lang w:val="zh-CN"/>
        </w:rPr>
        <w:t>4.</w:t>
      </w:r>
      <w:r>
        <w:rPr>
          <w:rFonts w:hint="eastAsia" w:ascii="宋体" w:hAnsi="宋体" w:cs="宋体"/>
          <w:color w:val="auto"/>
          <w:sz w:val="21"/>
          <w:szCs w:val="21"/>
          <w:highlight w:val="none"/>
          <w:lang w:val="zh-CN"/>
        </w:rPr>
        <w:t>3</w:t>
      </w:r>
      <w:r>
        <w:rPr>
          <w:rFonts w:hint="eastAsia" w:ascii="宋体" w:hAnsi="宋体" w:cs="宋体"/>
          <w:color w:val="auto"/>
          <w:sz w:val="21"/>
          <w:szCs w:val="21"/>
          <w:highlight w:val="none"/>
        </w:rPr>
        <w:t>.6</w:t>
      </w:r>
      <w:r>
        <w:rPr>
          <w:rFonts w:ascii="宋体" w:hAnsi="宋体" w:cs="宋体"/>
          <w:color w:val="auto"/>
          <w:sz w:val="21"/>
          <w:szCs w:val="21"/>
          <w:highlight w:val="none"/>
        </w:rPr>
        <w:t>询问或者质疑事项可能影响采购结果的，采购人应当暂停签订合同，已经签订合同的，应当中止履行合同。</w:t>
      </w:r>
    </w:p>
    <w:p w14:paraId="52ACED33">
      <w:pPr>
        <w:pStyle w:val="136"/>
        <w:snapToGrid w:val="0"/>
        <w:spacing w:before="0"/>
        <w:ind w:firstLine="420"/>
        <w:rPr>
          <w:rFonts w:ascii="宋体" w:hAnsi="宋体" w:cs="宋体"/>
          <w:color w:val="auto"/>
          <w:sz w:val="21"/>
          <w:szCs w:val="21"/>
          <w:highlight w:val="none"/>
          <w:lang w:val="zh-CN"/>
        </w:rPr>
      </w:pPr>
      <w:r>
        <w:rPr>
          <w:rFonts w:ascii="宋体" w:hAnsi="宋体" w:cs="宋体"/>
          <w:color w:val="auto"/>
          <w:sz w:val="21"/>
          <w:szCs w:val="21"/>
          <w:highlight w:val="none"/>
          <w:lang w:val="zh-CN"/>
        </w:rPr>
        <w:t>4.</w:t>
      </w:r>
      <w:r>
        <w:rPr>
          <w:rFonts w:hint="eastAsia" w:ascii="宋体" w:hAnsi="宋体" w:cs="宋体"/>
          <w:color w:val="auto"/>
          <w:sz w:val="21"/>
          <w:szCs w:val="21"/>
          <w:highlight w:val="none"/>
          <w:lang w:val="zh-CN"/>
        </w:rPr>
        <w:t>4</w:t>
      </w:r>
      <w:r>
        <w:rPr>
          <w:rFonts w:ascii="宋体" w:hAnsi="宋体" w:cs="宋体"/>
          <w:color w:val="auto"/>
          <w:sz w:val="21"/>
          <w:szCs w:val="21"/>
          <w:highlight w:val="none"/>
          <w:lang w:val="zh-CN"/>
        </w:rPr>
        <w:t>供应商投诉</w:t>
      </w:r>
    </w:p>
    <w:p w14:paraId="592AE407">
      <w:pPr>
        <w:pStyle w:val="136"/>
        <w:snapToGrid w:val="0"/>
        <w:spacing w:before="0"/>
        <w:ind w:firstLine="420"/>
        <w:rPr>
          <w:rFonts w:ascii="宋体" w:hAnsi="宋体" w:cs="宋体"/>
          <w:color w:val="auto"/>
          <w:sz w:val="21"/>
          <w:szCs w:val="21"/>
          <w:highlight w:val="none"/>
        </w:rPr>
      </w:pPr>
      <w:r>
        <w:rPr>
          <w:rFonts w:ascii="宋体" w:hAnsi="宋体" w:cs="宋体"/>
          <w:color w:val="auto"/>
          <w:sz w:val="21"/>
          <w:szCs w:val="21"/>
          <w:highlight w:val="none"/>
        </w:rPr>
        <w:t>4.</w:t>
      </w:r>
      <w:r>
        <w:rPr>
          <w:rFonts w:hint="eastAsia" w:ascii="宋体" w:hAnsi="宋体" w:cs="宋体"/>
          <w:color w:val="auto"/>
          <w:sz w:val="21"/>
          <w:szCs w:val="21"/>
          <w:highlight w:val="none"/>
        </w:rPr>
        <w:t>4</w:t>
      </w:r>
      <w:r>
        <w:rPr>
          <w:rFonts w:ascii="宋体" w:hAnsi="宋体" w:cs="宋体"/>
          <w:color w:val="auto"/>
          <w:sz w:val="21"/>
          <w:szCs w:val="21"/>
          <w:highlight w:val="none"/>
        </w:rPr>
        <w:t>.1质疑供应商对采购人、采购代理机构的答复不满意或者采购人、采购代理机构未在规定的时间内</w:t>
      </w:r>
      <w:r>
        <w:rPr>
          <w:rFonts w:hint="eastAsia" w:ascii="宋体" w:hAnsi="宋体" w:cs="宋体"/>
          <w:color w:val="auto"/>
          <w:sz w:val="21"/>
          <w:szCs w:val="21"/>
          <w:highlight w:val="none"/>
        </w:rPr>
        <w:t>作出答复的，可以在答复期满后十五个工作日内向同级政府采购监督管理部门提出投诉。</w:t>
      </w:r>
    </w:p>
    <w:p w14:paraId="6DE6E165">
      <w:pPr>
        <w:pStyle w:val="136"/>
        <w:snapToGrid w:val="0"/>
        <w:spacing w:before="0"/>
        <w:ind w:firstLine="420"/>
        <w:rPr>
          <w:rFonts w:ascii="宋体" w:hAnsi="宋体" w:cs="宋体"/>
          <w:color w:val="auto"/>
          <w:sz w:val="21"/>
          <w:szCs w:val="21"/>
          <w:highlight w:val="none"/>
        </w:rPr>
      </w:pPr>
      <w:r>
        <w:rPr>
          <w:rFonts w:ascii="宋体" w:hAnsi="宋体" w:cs="宋体"/>
          <w:color w:val="auto"/>
          <w:sz w:val="21"/>
          <w:szCs w:val="21"/>
          <w:highlight w:val="none"/>
        </w:rPr>
        <w:t>4.</w:t>
      </w:r>
      <w:r>
        <w:rPr>
          <w:rFonts w:hint="eastAsia" w:ascii="宋体" w:hAnsi="宋体" w:cs="宋体"/>
          <w:color w:val="auto"/>
          <w:sz w:val="21"/>
          <w:szCs w:val="21"/>
          <w:highlight w:val="none"/>
        </w:rPr>
        <w:t>4</w:t>
      </w:r>
      <w:r>
        <w:rPr>
          <w:rFonts w:ascii="宋体" w:hAnsi="宋体" w:cs="宋体"/>
          <w:color w:val="auto"/>
          <w:sz w:val="21"/>
          <w:szCs w:val="21"/>
          <w:highlight w:val="none"/>
        </w:rPr>
        <w:t>.</w:t>
      </w:r>
      <w:r>
        <w:rPr>
          <w:rFonts w:ascii="宋体" w:hAnsi="宋体" w:cs="宋体"/>
          <w:color w:val="auto"/>
          <w:sz w:val="21"/>
          <w:szCs w:val="21"/>
          <w:highlight w:val="none"/>
          <w:lang w:val="zh-CN"/>
        </w:rPr>
        <w:t>2</w:t>
      </w:r>
      <w:r>
        <w:rPr>
          <w:rFonts w:hint="eastAsia" w:ascii="宋体" w:hAnsi="宋体" w:cs="宋体"/>
          <w:color w:val="auto"/>
          <w:sz w:val="21"/>
          <w:szCs w:val="21"/>
          <w:highlight w:val="none"/>
        </w:rPr>
        <w:t>供应商投诉的事项不得超出已质疑事项的范围，基于质疑答复内容提出的投诉事项除外。</w:t>
      </w:r>
    </w:p>
    <w:p w14:paraId="31FB0EB5">
      <w:pPr>
        <w:pStyle w:val="136"/>
        <w:snapToGrid w:val="0"/>
        <w:spacing w:before="0"/>
        <w:ind w:firstLine="420"/>
        <w:rPr>
          <w:rFonts w:ascii="宋体" w:hAnsi="宋体" w:cs="宋体"/>
          <w:color w:val="auto"/>
          <w:sz w:val="21"/>
          <w:szCs w:val="21"/>
          <w:highlight w:val="none"/>
        </w:rPr>
      </w:pPr>
      <w:r>
        <w:rPr>
          <w:rFonts w:ascii="宋体" w:hAnsi="宋体" w:cs="宋体"/>
          <w:color w:val="auto"/>
          <w:sz w:val="21"/>
          <w:szCs w:val="21"/>
          <w:highlight w:val="none"/>
        </w:rPr>
        <w:t>4.</w:t>
      </w:r>
      <w:r>
        <w:rPr>
          <w:rFonts w:hint="eastAsia" w:ascii="宋体" w:hAnsi="宋体" w:cs="宋体"/>
          <w:color w:val="auto"/>
          <w:sz w:val="21"/>
          <w:szCs w:val="21"/>
          <w:highlight w:val="none"/>
        </w:rPr>
        <w:t>4.3供应商投诉应当有明确的请求和必要的证明材料。</w:t>
      </w:r>
    </w:p>
    <w:p w14:paraId="69081C22">
      <w:pPr>
        <w:pStyle w:val="136"/>
        <w:snapToGrid w:val="0"/>
        <w:spacing w:before="0"/>
        <w:ind w:firstLine="420"/>
        <w:rPr>
          <w:rFonts w:ascii="宋体" w:hAnsi="宋体" w:cs="宋体"/>
          <w:color w:val="auto"/>
          <w:sz w:val="21"/>
          <w:szCs w:val="21"/>
          <w:highlight w:val="none"/>
        </w:rPr>
      </w:pPr>
      <w:r>
        <w:rPr>
          <w:rFonts w:ascii="宋体" w:hAnsi="宋体" w:cs="宋体"/>
          <w:color w:val="auto"/>
          <w:sz w:val="21"/>
          <w:szCs w:val="21"/>
          <w:highlight w:val="none"/>
        </w:rPr>
        <w:t>4.</w:t>
      </w:r>
      <w:r>
        <w:rPr>
          <w:rFonts w:hint="eastAsia" w:ascii="宋体" w:hAnsi="宋体" w:cs="宋体"/>
          <w:color w:val="auto"/>
          <w:sz w:val="21"/>
          <w:szCs w:val="21"/>
          <w:highlight w:val="none"/>
        </w:rPr>
        <w:t>4.4以联合体形式参加政府采购活动的，其投诉应当由组成联合体的所有供应商共同提出。</w:t>
      </w:r>
    </w:p>
    <w:p w14:paraId="17145B28">
      <w:pPr>
        <w:pStyle w:val="136"/>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1E1E90C1">
      <w:pPr>
        <w:pStyle w:val="136"/>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4.5 补偿救济</w:t>
      </w:r>
    </w:p>
    <w:p w14:paraId="45B492FA">
      <w:pPr>
        <w:pStyle w:val="136"/>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采购人（行政机关）因政策变化、规划调整而不履行政府采购合同的，供应商可依据《杭州市涉企补偿救济实施办法（试行）》向采购人（行政机关）提起补偿申请。</w:t>
      </w:r>
    </w:p>
    <w:p w14:paraId="5E73E2EB">
      <w:pPr>
        <w:pStyle w:val="136"/>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投诉书范本及制作说明详见附件</w:t>
      </w:r>
      <w:r>
        <w:rPr>
          <w:rFonts w:ascii="宋体" w:hAnsi="宋体" w:cs="宋体"/>
          <w:color w:val="auto"/>
          <w:sz w:val="21"/>
          <w:szCs w:val="21"/>
          <w:highlight w:val="none"/>
        </w:rPr>
        <w:t>3。</w:t>
      </w:r>
    </w:p>
    <w:p w14:paraId="6F4E672D">
      <w:pPr>
        <w:pStyle w:val="3"/>
        <w:ind w:firstLine="428"/>
        <w:rPr>
          <w:rFonts w:ascii="宋体" w:hAnsi="宋体" w:cs="宋体"/>
          <w:color w:val="auto"/>
          <w:szCs w:val="21"/>
          <w:highlight w:val="none"/>
        </w:rPr>
      </w:pPr>
      <w:r>
        <w:rPr>
          <w:rStyle w:val="962"/>
          <w:rFonts w:hint="eastAsia" w:ascii="宋体" w:hAnsi="宋体" w:cs="宋体"/>
          <w:b/>
          <w:bCs/>
          <w:color w:val="auto"/>
          <w:szCs w:val="21"/>
          <w:highlight w:val="none"/>
        </w:rPr>
        <w:t>二、招标文件的构成、澄清、修改</w:t>
      </w:r>
    </w:p>
    <w:p w14:paraId="18E815D7">
      <w:pPr>
        <w:pStyle w:val="33"/>
        <w:spacing w:line="360" w:lineRule="auto"/>
        <w:ind w:firstLine="422" w:firstLineChars="200"/>
        <w:outlineLvl w:val="2"/>
        <w:rPr>
          <w:rFonts w:hAnsi="宋体" w:cs="宋体"/>
          <w:b/>
          <w:color w:val="auto"/>
          <w:highlight w:val="none"/>
        </w:rPr>
      </w:pPr>
      <w:r>
        <w:rPr>
          <w:rFonts w:hint="eastAsia" w:hAnsi="宋体" w:cs="宋体"/>
          <w:b/>
          <w:color w:val="auto"/>
          <w:highlight w:val="none"/>
        </w:rPr>
        <w:t>5．招标文件的构成</w:t>
      </w:r>
    </w:p>
    <w:p w14:paraId="3A2DA319">
      <w:pPr>
        <w:pStyle w:val="33"/>
        <w:spacing w:line="360" w:lineRule="auto"/>
        <w:ind w:firstLine="420" w:firstLineChars="200"/>
        <w:rPr>
          <w:rFonts w:hAnsi="宋体" w:cs="宋体"/>
          <w:color w:val="auto"/>
          <w:highlight w:val="none"/>
        </w:rPr>
      </w:pPr>
      <w:r>
        <w:rPr>
          <w:rFonts w:hint="eastAsia" w:hAnsi="宋体" w:cs="宋体"/>
          <w:color w:val="auto"/>
          <w:highlight w:val="none"/>
        </w:rPr>
        <w:t>5.1招标文件包括下列文件及附件：</w:t>
      </w:r>
    </w:p>
    <w:p w14:paraId="5BA4240F">
      <w:pPr>
        <w:pStyle w:val="33"/>
        <w:tabs>
          <w:tab w:val="left" w:pos="840"/>
        </w:tabs>
        <w:spacing w:line="360" w:lineRule="auto"/>
        <w:ind w:firstLine="420" w:firstLineChars="200"/>
        <w:rPr>
          <w:rFonts w:hAnsi="宋体" w:cs="宋体"/>
          <w:color w:val="auto"/>
          <w:highlight w:val="none"/>
        </w:rPr>
      </w:pPr>
      <w:r>
        <w:rPr>
          <w:rFonts w:hint="eastAsia" w:hAnsi="宋体" w:cs="宋体"/>
          <w:color w:val="auto"/>
          <w:highlight w:val="none"/>
        </w:rPr>
        <w:t>5.1.1招标公告；</w:t>
      </w:r>
    </w:p>
    <w:p w14:paraId="59A0DE30">
      <w:pPr>
        <w:pStyle w:val="33"/>
        <w:tabs>
          <w:tab w:val="left" w:pos="840"/>
        </w:tabs>
        <w:spacing w:line="360" w:lineRule="auto"/>
        <w:ind w:firstLine="420" w:firstLineChars="200"/>
        <w:rPr>
          <w:rFonts w:hAnsi="宋体" w:cs="宋体"/>
          <w:color w:val="auto"/>
          <w:highlight w:val="none"/>
        </w:rPr>
      </w:pPr>
      <w:r>
        <w:rPr>
          <w:rFonts w:hint="eastAsia" w:hAnsi="宋体" w:cs="宋体"/>
          <w:color w:val="auto"/>
          <w:highlight w:val="none"/>
        </w:rPr>
        <w:t>5.1.2投标人须知；</w:t>
      </w:r>
    </w:p>
    <w:p w14:paraId="08100BC1">
      <w:pPr>
        <w:pStyle w:val="33"/>
        <w:tabs>
          <w:tab w:val="left" w:pos="840"/>
        </w:tabs>
        <w:spacing w:line="360" w:lineRule="auto"/>
        <w:ind w:firstLine="420" w:firstLineChars="200"/>
        <w:rPr>
          <w:rFonts w:hAnsi="宋体" w:cs="宋体"/>
          <w:color w:val="auto"/>
          <w:highlight w:val="none"/>
        </w:rPr>
      </w:pPr>
      <w:r>
        <w:rPr>
          <w:rFonts w:hint="eastAsia" w:hAnsi="宋体" w:cs="宋体"/>
          <w:color w:val="auto"/>
          <w:highlight w:val="none"/>
        </w:rPr>
        <w:t>5.1.3采购需求；</w:t>
      </w:r>
    </w:p>
    <w:p w14:paraId="24697D0D">
      <w:pPr>
        <w:pStyle w:val="33"/>
        <w:tabs>
          <w:tab w:val="left" w:pos="840"/>
        </w:tabs>
        <w:spacing w:line="360" w:lineRule="auto"/>
        <w:ind w:firstLine="420" w:firstLineChars="200"/>
        <w:rPr>
          <w:rFonts w:hAnsi="宋体" w:cs="宋体"/>
          <w:color w:val="auto"/>
          <w:highlight w:val="none"/>
        </w:rPr>
      </w:pPr>
      <w:r>
        <w:rPr>
          <w:rFonts w:hint="eastAsia" w:hAnsi="宋体" w:cs="宋体"/>
          <w:color w:val="auto"/>
          <w:highlight w:val="none"/>
        </w:rPr>
        <w:t>5.1.4评标办法；</w:t>
      </w:r>
    </w:p>
    <w:p w14:paraId="2CB1C101">
      <w:pPr>
        <w:pStyle w:val="33"/>
        <w:tabs>
          <w:tab w:val="left" w:pos="840"/>
        </w:tabs>
        <w:spacing w:line="360" w:lineRule="auto"/>
        <w:ind w:firstLine="420" w:firstLineChars="200"/>
        <w:rPr>
          <w:rFonts w:hAnsi="宋体" w:cs="宋体"/>
          <w:color w:val="auto"/>
          <w:highlight w:val="none"/>
        </w:rPr>
      </w:pPr>
      <w:r>
        <w:rPr>
          <w:rFonts w:hint="eastAsia" w:hAnsi="宋体" w:cs="宋体"/>
          <w:color w:val="auto"/>
          <w:highlight w:val="none"/>
        </w:rPr>
        <w:t>5.1.5拟签订的合同文本；</w:t>
      </w:r>
    </w:p>
    <w:p w14:paraId="2477F358">
      <w:pPr>
        <w:pStyle w:val="33"/>
        <w:tabs>
          <w:tab w:val="left" w:pos="840"/>
        </w:tabs>
        <w:spacing w:line="360" w:lineRule="auto"/>
        <w:ind w:firstLine="420" w:firstLineChars="200"/>
        <w:rPr>
          <w:rFonts w:hAnsi="宋体" w:cs="宋体"/>
          <w:color w:val="auto"/>
          <w:highlight w:val="none"/>
        </w:rPr>
      </w:pPr>
      <w:r>
        <w:rPr>
          <w:rFonts w:hint="eastAsia" w:hAnsi="宋体" w:cs="宋体"/>
          <w:color w:val="auto"/>
          <w:highlight w:val="none"/>
        </w:rPr>
        <w:t>5.1.6应提交的有关格式范例。</w:t>
      </w:r>
    </w:p>
    <w:p w14:paraId="25C8264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5.2与本项目有关的</w:t>
      </w:r>
      <w:r>
        <w:rPr>
          <w:rFonts w:hint="eastAsia" w:ascii="宋体" w:hAnsi="宋体" w:cs="宋体"/>
          <w:bCs/>
          <w:color w:val="auto"/>
          <w:szCs w:val="21"/>
          <w:highlight w:val="none"/>
        </w:rPr>
        <w:t>澄清或者修改的内容为招标文件的组成部分</w:t>
      </w:r>
      <w:r>
        <w:rPr>
          <w:rFonts w:hint="eastAsia" w:ascii="宋体" w:hAnsi="宋体" w:cs="宋体"/>
          <w:color w:val="auto"/>
          <w:szCs w:val="21"/>
          <w:highlight w:val="none"/>
        </w:rPr>
        <w:t>。</w:t>
      </w:r>
    </w:p>
    <w:p w14:paraId="2682BB2D">
      <w:pPr>
        <w:pStyle w:val="33"/>
        <w:spacing w:line="360" w:lineRule="auto"/>
        <w:ind w:firstLine="422" w:firstLineChars="200"/>
        <w:outlineLvl w:val="2"/>
        <w:rPr>
          <w:rFonts w:hAnsi="宋体" w:cs="宋体"/>
          <w:b/>
          <w:color w:val="auto"/>
          <w:highlight w:val="none"/>
        </w:rPr>
      </w:pPr>
      <w:r>
        <w:rPr>
          <w:rFonts w:hint="eastAsia" w:hAnsi="宋体" w:cs="宋体"/>
          <w:b/>
          <w:color w:val="auto"/>
          <w:highlight w:val="none"/>
        </w:rPr>
        <w:t>6.招标文件的澄清、修改</w:t>
      </w:r>
    </w:p>
    <w:p w14:paraId="01683305">
      <w:pPr>
        <w:pStyle w:val="136"/>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6.1已获取招标文件的潜在投标人，若有问题需要澄清，应于投标截止时间前，以书面形式向采购代理机构提出。</w:t>
      </w:r>
    </w:p>
    <w:p w14:paraId="3B3817A8">
      <w:pPr>
        <w:pStyle w:val="136"/>
        <w:snapToGrid w:val="0"/>
        <w:spacing w:before="0"/>
        <w:ind w:firstLine="420"/>
        <w:rPr>
          <w:rFonts w:hAnsi="宋体" w:cs="宋体"/>
          <w:color w:val="auto"/>
          <w:sz w:val="21"/>
          <w:szCs w:val="21"/>
          <w:highlight w:val="none"/>
        </w:rPr>
      </w:pPr>
      <w:r>
        <w:rPr>
          <w:rFonts w:hint="eastAsia" w:ascii="宋体" w:hAnsi="宋体" w:cs="宋体"/>
          <w:color w:val="auto"/>
          <w:sz w:val="21"/>
          <w:szCs w:val="21"/>
          <w:highlight w:val="none"/>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50CD9BD">
      <w:pPr>
        <w:pStyle w:val="3"/>
        <w:ind w:firstLine="428"/>
        <w:rPr>
          <w:color w:val="auto"/>
          <w:szCs w:val="21"/>
          <w:highlight w:val="none"/>
        </w:rPr>
      </w:pPr>
      <w:r>
        <w:rPr>
          <w:rFonts w:hint="eastAsia"/>
          <w:color w:val="auto"/>
          <w:szCs w:val="21"/>
          <w:highlight w:val="none"/>
        </w:rPr>
        <w:t>三、投标</w:t>
      </w:r>
    </w:p>
    <w:p w14:paraId="51100444">
      <w:pPr>
        <w:pStyle w:val="33"/>
        <w:spacing w:line="360" w:lineRule="auto"/>
        <w:ind w:firstLine="422" w:firstLineChars="200"/>
        <w:outlineLvl w:val="2"/>
        <w:rPr>
          <w:rFonts w:hAnsi="宋体" w:cs="宋体"/>
          <w:b/>
          <w:color w:val="auto"/>
          <w:highlight w:val="none"/>
        </w:rPr>
      </w:pPr>
      <w:r>
        <w:rPr>
          <w:rFonts w:hint="eastAsia" w:hAnsi="宋体" w:cs="宋体"/>
          <w:b/>
          <w:color w:val="auto"/>
          <w:highlight w:val="none"/>
        </w:rPr>
        <w:t>7.招标文件的获取</w:t>
      </w:r>
    </w:p>
    <w:p w14:paraId="39A687FB">
      <w:pPr>
        <w:spacing w:line="360" w:lineRule="auto"/>
        <w:ind w:firstLine="420" w:firstLineChars="200"/>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详见招标公告中获取招标文件的时间期限、地点、方式及招标文件售价。</w:t>
      </w:r>
    </w:p>
    <w:p w14:paraId="1EB0F382">
      <w:pPr>
        <w:pStyle w:val="33"/>
        <w:spacing w:line="360" w:lineRule="auto"/>
        <w:ind w:firstLine="422" w:firstLineChars="200"/>
        <w:outlineLvl w:val="2"/>
        <w:rPr>
          <w:rFonts w:hAnsi="宋体" w:cs="宋体"/>
          <w:b/>
          <w:color w:val="auto"/>
          <w:highlight w:val="none"/>
        </w:rPr>
      </w:pPr>
      <w:r>
        <w:rPr>
          <w:rFonts w:hint="eastAsia" w:hAnsi="宋体" w:cs="宋体"/>
          <w:b/>
          <w:color w:val="auto"/>
          <w:highlight w:val="none"/>
        </w:rPr>
        <w:t>8.开标前答疑会或现场考察</w:t>
      </w:r>
    </w:p>
    <w:p w14:paraId="7A445F34">
      <w:pPr>
        <w:pStyle w:val="33"/>
        <w:spacing w:line="360" w:lineRule="auto"/>
        <w:ind w:firstLine="420" w:firstLineChars="200"/>
        <w:rPr>
          <w:rFonts w:hAnsi="宋体" w:cs="宋体"/>
          <w:color w:val="auto"/>
          <w:highlight w:val="none"/>
        </w:rPr>
      </w:pPr>
      <w:r>
        <w:rPr>
          <w:rFonts w:hint="eastAsia" w:hAnsi="宋体" w:cs="宋体"/>
          <w:color w:val="auto"/>
          <w:highlight w:val="none"/>
        </w:rPr>
        <w:t>采购人组织潜在投标人现场考察或者召开开标前答疑会的，潜在投标人按第二部分投标人须知前附表的规定参加现场考察或者开标前答疑会。</w:t>
      </w:r>
    </w:p>
    <w:p w14:paraId="726CBF49">
      <w:pPr>
        <w:pStyle w:val="33"/>
        <w:spacing w:line="360" w:lineRule="auto"/>
        <w:ind w:firstLine="422" w:firstLineChars="200"/>
        <w:outlineLvl w:val="2"/>
        <w:rPr>
          <w:rFonts w:hAnsi="宋体" w:cs="宋体"/>
          <w:b/>
          <w:color w:val="auto"/>
          <w:highlight w:val="none"/>
        </w:rPr>
      </w:pPr>
      <w:r>
        <w:rPr>
          <w:rFonts w:hint="eastAsia" w:hAnsi="宋体" w:cs="宋体"/>
          <w:b/>
          <w:color w:val="auto"/>
          <w:kern w:val="28"/>
          <w:highlight w:val="none"/>
        </w:rPr>
        <w:t>9.投标保证金</w:t>
      </w:r>
    </w:p>
    <w:p w14:paraId="71CAE42A">
      <w:pPr>
        <w:pStyle w:val="15"/>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本项目不需缴纳投标保证金。</w:t>
      </w:r>
    </w:p>
    <w:p w14:paraId="29551E9B">
      <w:pPr>
        <w:pStyle w:val="33"/>
        <w:spacing w:line="360" w:lineRule="auto"/>
        <w:ind w:firstLine="422" w:firstLineChars="200"/>
        <w:outlineLvl w:val="2"/>
        <w:rPr>
          <w:rFonts w:hAnsi="宋体" w:cs="宋体"/>
          <w:b/>
          <w:color w:val="auto"/>
          <w:highlight w:val="none"/>
        </w:rPr>
      </w:pPr>
      <w:r>
        <w:rPr>
          <w:rFonts w:hint="eastAsia" w:hAnsi="宋体" w:cs="宋体"/>
          <w:b/>
          <w:color w:val="auto"/>
          <w:highlight w:val="none"/>
        </w:rPr>
        <w:t>10.投标文件的语言</w:t>
      </w:r>
    </w:p>
    <w:p w14:paraId="1437980B">
      <w:pPr>
        <w:autoSpaceDE w:val="0"/>
        <w:autoSpaceDN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rPr>
        <w:t>投标文件及投标人与采购有关的来往通知、函件和文件均应使用中文。</w:t>
      </w:r>
    </w:p>
    <w:p w14:paraId="00C041DE">
      <w:pPr>
        <w:pStyle w:val="33"/>
        <w:spacing w:line="360" w:lineRule="auto"/>
        <w:ind w:firstLine="422" w:firstLineChars="200"/>
        <w:outlineLvl w:val="2"/>
        <w:rPr>
          <w:rFonts w:hAnsi="宋体" w:cs="宋体"/>
          <w:b/>
          <w:color w:val="auto"/>
          <w:highlight w:val="none"/>
        </w:rPr>
      </w:pPr>
      <w:r>
        <w:rPr>
          <w:rFonts w:hint="eastAsia" w:hAnsi="宋体" w:cs="宋体"/>
          <w:b/>
          <w:color w:val="auto"/>
          <w:highlight w:val="none"/>
        </w:rPr>
        <w:t>11.投标文件的组成</w:t>
      </w:r>
    </w:p>
    <w:p w14:paraId="6249E7C8">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11.1资格文件：</w:t>
      </w:r>
    </w:p>
    <w:p w14:paraId="49DAA477">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11.1.1符合参加政府采购活动应当具备的一般条件的承诺函；</w:t>
      </w:r>
    </w:p>
    <w:p w14:paraId="43B16DC1">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11.1.2联合协议（如果有）；</w:t>
      </w:r>
    </w:p>
    <w:p w14:paraId="68BC1121">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11.1.3落实政府采购政策需满足的资格要求（如果有）；</w:t>
      </w:r>
    </w:p>
    <w:p w14:paraId="0CA6F81C">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11.1.4本项目的特定资格要求（如果有）。</w:t>
      </w:r>
    </w:p>
    <w:p w14:paraId="56AF96F4">
      <w:pPr>
        <w:spacing w:line="360" w:lineRule="auto"/>
        <w:ind w:firstLine="422" w:firstLineChars="200"/>
        <w:rPr>
          <w:rFonts w:ascii="宋体" w:hAnsi="宋体" w:cs="宋体"/>
          <w:b/>
          <w:color w:val="auto"/>
          <w:szCs w:val="21"/>
          <w:highlight w:val="none"/>
          <w:lang w:val="zh-CN"/>
        </w:rPr>
      </w:pPr>
      <w:r>
        <w:rPr>
          <w:rFonts w:hint="eastAsia" w:ascii="宋体" w:hAnsi="宋体" w:cs="宋体"/>
          <w:b/>
          <w:color w:val="auto"/>
          <w:szCs w:val="21"/>
          <w:highlight w:val="none"/>
          <w:lang w:val="zh-CN"/>
        </w:rPr>
        <w:t>11.</w:t>
      </w:r>
      <w:r>
        <w:rPr>
          <w:rFonts w:hint="eastAsia" w:ascii="宋体" w:hAnsi="宋体" w:cs="宋体"/>
          <w:b/>
          <w:color w:val="auto"/>
          <w:szCs w:val="21"/>
          <w:highlight w:val="none"/>
        </w:rPr>
        <w:t>2商务技术</w:t>
      </w:r>
      <w:r>
        <w:rPr>
          <w:rFonts w:hint="eastAsia" w:ascii="宋体" w:hAnsi="宋体" w:cs="宋体"/>
          <w:b/>
          <w:color w:val="auto"/>
          <w:szCs w:val="21"/>
          <w:highlight w:val="none"/>
          <w:lang w:val="zh-CN"/>
        </w:rPr>
        <w:t>文件：</w:t>
      </w:r>
    </w:p>
    <w:p w14:paraId="23150CFC">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11.2.1投标函；</w:t>
      </w:r>
      <w:r>
        <w:rPr>
          <w:rFonts w:hint="eastAsia" w:ascii="宋体" w:hAnsi="宋体" w:cs="宋体"/>
          <w:bCs/>
          <w:color w:val="auto"/>
          <w:szCs w:val="21"/>
          <w:highlight w:val="none"/>
          <w:lang w:val="zh-CN"/>
        </w:rPr>
        <w:t xml:space="preserve"> </w:t>
      </w:r>
    </w:p>
    <w:p w14:paraId="7D6E7065">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11.2.2授权委托书或法定代表人（单位负责人、自然人本人）身份证明；</w:t>
      </w:r>
    </w:p>
    <w:p w14:paraId="2E8FAE59">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11.2.3分包意向协议（如果有）；</w:t>
      </w:r>
    </w:p>
    <w:p w14:paraId="0A09C690">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11.2.4符合性审查资料；</w:t>
      </w:r>
    </w:p>
    <w:p w14:paraId="79986A5A">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11.2.5评标标准相应的商务技术资料；</w:t>
      </w:r>
    </w:p>
    <w:p w14:paraId="699F808F">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11.2.6投标标的清单；</w:t>
      </w:r>
    </w:p>
    <w:p w14:paraId="741A2C63">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11.2.7商务技术偏离表；</w:t>
      </w:r>
    </w:p>
    <w:p w14:paraId="07BB1C34">
      <w:pPr>
        <w:spacing w:line="360" w:lineRule="auto"/>
        <w:ind w:firstLine="420" w:firstLineChars="200"/>
        <w:rPr>
          <w:rFonts w:ascii="宋体" w:hAnsi="宋体" w:cs="宋体"/>
          <w:bCs/>
          <w:color w:val="auto"/>
          <w:szCs w:val="21"/>
          <w:highlight w:val="none"/>
          <w:lang w:val="zh-CN"/>
        </w:rPr>
      </w:pPr>
      <w:r>
        <w:rPr>
          <w:rFonts w:hint="eastAsia" w:ascii="宋体" w:hAnsi="宋体" w:cs="宋体"/>
          <w:bCs/>
          <w:color w:val="auto"/>
          <w:szCs w:val="21"/>
          <w:highlight w:val="none"/>
          <w:lang w:val="zh-CN"/>
        </w:rPr>
        <w:t>11.</w:t>
      </w:r>
      <w:r>
        <w:rPr>
          <w:rFonts w:hint="eastAsia" w:ascii="宋体" w:hAnsi="宋体" w:cs="宋体"/>
          <w:bCs/>
          <w:color w:val="auto"/>
          <w:szCs w:val="21"/>
          <w:highlight w:val="none"/>
        </w:rPr>
        <w:t>2</w:t>
      </w:r>
      <w:r>
        <w:rPr>
          <w:rFonts w:hint="eastAsia" w:ascii="宋体" w:hAnsi="宋体" w:cs="宋体"/>
          <w:bCs/>
          <w:color w:val="auto"/>
          <w:szCs w:val="21"/>
          <w:highlight w:val="none"/>
          <w:lang w:val="zh-CN"/>
        </w:rPr>
        <w:t>.</w:t>
      </w:r>
      <w:r>
        <w:rPr>
          <w:rFonts w:hint="eastAsia" w:ascii="宋体" w:hAnsi="宋体" w:cs="宋体"/>
          <w:bCs/>
          <w:color w:val="auto"/>
          <w:szCs w:val="21"/>
          <w:highlight w:val="none"/>
        </w:rPr>
        <w:t>8</w:t>
      </w:r>
      <w:r>
        <w:rPr>
          <w:rFonts w:hint="eastAsia" w:ascii="宋体" w:hAnsi="宋体" w:cs="宋体"/>
          <w:bCs/>
          <w:color w:val="auto"/>
          <w:szCs w:val="21"/>
          <w:highlight w:val="none"/>
          <w:lang w:val="zh-CN"/>
        </w:rPr>
        <w:t>政府采购供应商廉洁自律承诺书；</w:t>
      </w:r>
    </w:p>
    <w:p w14:paraId="624A2BC5">
      <w:pPr>
        <w:spacing w:line="360" w:lineRule="auto"/>
        <w:ind w:firstLine="422" w:firstLineChars="200"/>
        <w:rPr>
          <w:rFonts w:ascii="宋体" w:hAnsi="宋体" w:cs="宋体"/>
          <w:bCs/>
          <w:color w:val="auto"/>
          <w:szCs w:val="21"/>
          <w:highlight w:val="none"/>
          <w:lang w:val="zh-CN"/>
        </w:rPr>
      </w:pPr>
      <w:r>
        <w:rPr>
          <w:rFonts w:hint="eastAsia" w:ascii="宋体" w:hAnsi="宋体" w:cs="宋体"/>
          <w:b/>
          <w:color w:val="auto"/>
          <w:szCs w:val="21"/>
          <w:highlight w:val="none"/>
          <w:lang w:val="zh-CN"/>
        </w:rPr>
        <w:t>11.</w:t>
      </w:r>
      <w:r>
        <w:rPr>
          <w:rFonts w:hint="eastAsia" w:ascii="宋体" w:hAnsi="宋体" w:cs="宋体"/>
          <w:b/>
          <w:color w:val="auto"/>
          <w:szCs w:val="21"/>
          <w:highlight w:val="none"/>
        </w:rPr>
        <w:t>3报价文件：</w:t>
      </w:r>
    </w:p>
    <w:p w14:paraId="3D47A206">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11.3.1开标一览表（报价表）；</w:t>
      </w:r>
    </w:p>
    <w:p w14:paraId="0C1FB948">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11.3.2 中小企业声明函（如果有）。</w:t>
      </w:r>
    </w:p>
    <w:p w14:paraId="384A5B79">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投标文件含有采购人不能接受的附加条件的，投标无效；</w:t>
      </w:r>
    </w:p>
    <w:p w14:paraId="025D39E0">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投标人提供虚假材料投标的，投标无效。</w:t>
      </w:r>
    </w:p>
    <w:p w14:paraId="28F397C2">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投标人应对投标文件中材料的真实性、合法性负责。</w:t>
      </w:r>
    </w:p>
    <w:p w14:paraId="3DD60A0F">
      <w:pPr>
        <w:pStyle w:val="136"/>
        <w:snapToGrid w:val="0"/>
        <w:spacing w:before="0"/>
        <w:ind w:firstLine="428"/>
        <w:outlineLvl w:val="2"/>
        <w:rPr>
          <w:rFonts w:ascii="宋体" w:hAnsi="宋体" w:cs="宋体"/>
          <w:b/>
          <w:color w:val="auto"/>
          <w:sz w:val="21"/>
          <w:szCs w:val="21"/>
          <w:highlight w:val="none"/>
        </w:rPr>
      </w:pPr>
      <w:r>
        <w:rPr>
          <w:rFonts w:hint="eastAsia" w:ascii="宋体" w:hAnsi="宋体" w:cs="宋体"/>
          <w:b/>
          <w:color w:val="auto"/>
          <w:sz w:val="21"/>
          <w:szCs w:val="21"/>
          <w:highlight w:val="none"/>
        </w:rPr>
        <w:t>12</w:t>
      </w:r>
      <w:r>
        <w:rPr>
          <w:rFonts w:hint="eastAsia" w:ascii="宋体" w:hAnsi="宋体" w:cs="宋体"/>
          <w:b/>
          <w:color w:val="auto"/>
          <w:kern w:val="0"/>
          <w:sz w:val="21"/>
          <w:szCs w:val="21"/>
          <w:highlight w:val="none"/>
          <w:lang w:val="zh-CN"/>
        </w:rPr>
        <w:t>.</w:t>
      </w:r>
      <w:r>
        <w:rPr>
          <w:rFonts w:hint="eastAsia" w:ascii="宋体" w:hAnsi="宋体" w:cs="宋体"/>
          <w:b/>
          <w:color w:val="auto"/>
          <w:sz w:val="21"/>
          <w:szCs w:val="21"/>
          <w:highlight w:val="none"/>
        </w:rPr>
        <w:t>投标文件的编制</w:t>
      </w:r>
    </w:p>
    <w:p w14:paraId="1747215C">
      <w:pPr>
        <w:spacing w:line="360" w:lineRule="auto"/>
        <w:ind w:firstLine="420" w:firstLineChars="200"/>
        <w:rPr>
          <w:rFonts w:ascii="宋体" w:hAnsi="宋体" w:cs="宋体"/>
          <w:b/>
          <w:color w:val="auto"/>
          <w:szCs w:val="21"/>
          <w:highlight w:val="none"/>
        </w:rPr>
      </w:pPr>
      <w:r>
        <w:rPr>
          <w:rFonts w:hint="eastAsia" w:ascii="宋体" w:hAnsi="宋体" w:cs="宋体"/>
          <w:color w:val="auto"/>
          <w:kern w:val="0"/>
          <w:szCs w:val="21"/>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FE0A1A6">
      <w:pP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7D9E29F">
      <w:pP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12.3使用“政采云电子交易客户端”需要提前申领CA数字证书，申领流程请自行前往“浙江政府采购网-下载专区－电子交易客户端-CA驱动和申领流程”进行查阅。</w:t>
      </w:r>
    </w:p>
    <w:p w14:paraId="404C0C39">
      <w:pPr>
        <w:snapToGrid w:val="0"/>
        <w:spacing w:line="360" w:lineRule="auto"/>
        <w:ind w:firstLine="422" w:firstLineChars="200"/>
        <w:outlineLvl w:val="2"/>
        <w:rPr>
          <w:rFonts w:ascii="宋体" w:hAnsi="宋体" w:cs="宋体"/>
          <w:b/>
          <w:color w:val="auto"/>
          <w:szCs w:val="21"/>
          <w:highlight w:val="none"/>
        </w:rPr>
      </w:pPr>
      <w:r>
        <w:rPr>
          <w:rFonts w:hint="eastAsia" w:ascii="宋体" w:hAnsi="宋体" w:cs="宋体"/>
          <w:b/>
          <w:color w:val="auto"/>
          <w:szCs w:val="21"/>
          <w:highlight w:val="none"/>
        </w:rPr>
        <w:t>13.投标文件的签署、盖章</w:t>
      </w:r>
    </w:p>
    <w:p w14:paraId="03325094">
      <w:pPr>
        <w:pStyle w:val="136"/>
        <w:snapToGrid w:val="0"/>
        <w:spacing w:before="0"/>
        <w:ind w:firstLine="420"/>
        <w:rPr>
          <w:rFonts w:ascii="宋体" w:hAnsi="宋体" w:cs="宋体"/>
          <w:b/>
          <w:color w:val="auto"/>
          <w:sz w:val="21"/>
          <w:szCs w:val="21"/>
          <w:highlight w:val="none"/>
        </w:rPr>
      </w:pPr>
      <w:r>
        <w:rPr>
          <w:rFonts w:hint="eastAsia" w:ascii="宋体" w:hAnsi="宋体" w:cs="宋体"/>
          <w:color w:val="auto"/>
          <w:sz w:val="21"/>
          <w:szCs w:val="21"/>
          <w:highlight w:val="none"/>
        </w:rPr>
        <w:t>13.1投标文件按照招标文件第六部分格式要求进行签署、盖章。</w:t>
      </w:r>
      <w:r>
        <w:rPr>
          <w:rFonts w:hint="eastAsia" w:ascii="宋体" w:hAnsi="宋体" w:cs="宋体"/>
          <w:b/>
          <w:color w:val="auto"/>
          <w:sz w:val="21"/>
          <w:szCs w:val="21"/>
          <w:highlight w:val="none"/>
        </w:rPr>
        <w:t>▲投标人的投标文件未按照招标文件要求签署、盖章的，其投标无效</w:t>
      </w:r>
      <w:r>
        <w:rPr>
          <w:rFonts w:hint="eastAsia" w:ascii="宋体" w:hAnsi="宋体" w:cs="宋体"/>
          <w:color w:val="auto"/>
          <w:sz w:val="21"/>
          <w:szCs w:val="21"/>
          <w:highlight w:val="none"/>
        </w:rPr>
        <w:t>。</w:t>
      </w:r>
    </w:p>
    <w:p w14:paraId="529ECF78">
      <w:pPr>
        <w:pStyle w:val="136"/>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13.2为确保网上操作合法、有效和安全，投标人应当在投标截止时间前完成在“政府采购云平台”的身份认证，确保在电子投标过程中能够对相关数据电文进行加密和使用电子签名。</w:t>
      </w:r>
    </w:p>
    <w:p w14:paraId="6317DBBC">
      <w:pPr>
        <w:pStyle w:val="136"/>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13.3招标文件对投标文件签署、盖章的要求适用于电子签名。</w:t>
      </w:r>
    </w:p>
    <w:p w14:paraId="581D96C4">
      <w:pPr>
        <w:pStyle w:val="136"/>
        <w:spacing w:before="0"/>
        <w:ind w:firstLine="428"/>
        <w:outlineLvl w:val="2"/>
        <w:rPr>
          <w:rFonts w:ascii="宋体" w:hAnsi="宋体" w:cs="宋体"/>
          <w:b/>
          <w:color w:val="auto"/>
          <w:sz w:val="21"/>
          <w:szCs w:val="21"/>
          <w:highlight w:val="none"/>
        </w:rPr>
      </w:pPr>
      <w:r>
        <w:rPr>
          <w:rFonts w:hint="eastAsia" w:ascii="宋体" w:hAnsi="宋体" w:cs="宋体"/>
          <w:b/>
          <w:color w:val="auto"/>
          <w:sz w:val="21"/>
          <w:szCs w:val="21"/>
          <w:highlight w:val="none"/>
        </w:rPr>
        <w:t>14.投标文件的提交、补充、修改、撤回</w:t>
      </w:r>
    </w:p>
    <w:p w14:paraId="7C9A8A65">
      <w:pPr>
        <w:pStyle w:val="136"/>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8B142C9">
      <w:pPr>
        <w:pStyle w:val="136"/>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14.2电子交易平台收到投标文件，将妥善保存并即时向供应商发出确认回执通知。在投标截止时间前，除供应商补充、修改或者撤回投标文件外，任何单位和个人不得解密或提取投标文件。</w:t>
      </w:r>
    </w:p>
    <w:p w14:paraId="46B64B61">
      <w:pPr>
        <w:pStyle w:val="136"/>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26D83ADB">
      <w:pPr>
        <w:pStyle w:val="33"/>
        <w:spacing w:line="360" w:lineRule="auto"/>
        <w:ind w:firstLine="422" w:firstLineChars="200"/>
        <w:outlineLvl w:val="2"/>
        <w:rPr>
          <w:rFonts w:hAnsi="宋体" w:cs="宋体"/>
          <w:b/>
          <w:color w:val="auto"/>
          <w:highlight w:val="none"/>
        </w:rPr>
      </w:pPr>
      <w:r>
        <w:rPr>
          <w:rFonts w:hint="eastAsia" w:hAnsi="宋体" w:cs="宋体"/>
          <w:b/>
          <w:color w:val="auto"/>
          <w:highlight w:val="none"/>
        </w:rPr>
        <w:t>15.备份投标文件</w:t>
      </w:r>
    </w:p>
    <w:p w14:paraId="33231ECA">
      <w:pPr>
        <w:pStyle w:val="33"/>
        <w:spacing w:line="360" w:lineRule="auto"/>
        <w:ind w:firstLine="420" w:firstLineChars="200"/>
        <w:rPr>
          <w:rFonts w:hAnsi="宋体" w:cs="宋体"/>
          <w:b/>
          <w:color w:val="auto"/>
          <w:highlight w:val="none"/>
        </w:rPr>
      </w:pPr>
      <w:r>
        <w:rPr>
          <w:rFonts w:hint="eastAsia" w:hAnsi="宋体" w:cs="宋体"/>
          <w:color w:val="auto"/>
          <w:highlight w:val="none"/>
        </w:rPr>
        <w:t>15.1投标人在电子交易平台传输递交投标文件后，还可以在投标截止时间前直接提交或者以邮政快递方式递交备份投标文件1份，</w:t>
      </w:r>
      <w:r>
        <w:rPr>
          <w:rFonts w:hint="eastAsia" w:hAnsi="宋体" w:cs="宋体"/>
          <w:b/>
          <w:color w:val="auto"/>
          <w:highlight w:val="none"/>
        </w:rPr>
        <w:t>但采购人、采购代理机构不强制或变相强制投标人提交备份投标文件。</w:t>
      </w:r>
    </w:p>
    <w:p w14:paraId="346E5794">
      <w:pPr>
        <w:pStyle w:val="33"/>
        <w:spacing w:line="360" w:lineRule="auto"/>
        <w:ind w:firstLine="420" w:firstLineChars="200"/>
        <w:rPr>
          <w:rFonts w:hAnsi="宋体" w:cs="宋体"/>
          <w:b/>
          <w:color w:val="auto"/>
          <w:highlight w:val="none"/>
        </w:rPr>
      </w:pPr>
      <w:r>
        <w:rPr>
          <w:rFonts w:hint="eastAsia" w:hAnsi="宋体" w:cs="宋体"/>
          <w:color w:val="auto"/>
          <w:highlight w:val="none"/>
        </w:rPr>
        <w:t>15.2备份投标文件须在“政采云投标客户端”制作生成，并储存在光盘/U盘等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highlight w:val="none"/>
        </w:rPr>
        <w:t>不符合上述制作、存储、密封规定的备份投标文件将被视为无效或者被拒绝接收。</w:t>
      </w:r>
    </w:p>
    <w:p w14:paraId="5A576E14">
      <w:pPr>
        <w:pStyle w:val="33"/>
        <w:spacing w:line="360" w:lineRule="auto"/>
        <w:ind w:firstLine="420" w:firstLineChars="200"/>
        <w:rPr>
          <w:rFonts w:hAnsi="宋体" w:cs="宋体"/>
          <w:color w:val="auto"/>
          <w:highlight w:val="none"/>
        </w:rPr>
      </w:pPr>
      <w:r>
        <w:rPr>
          <w:rFonts w:hint="eastAsia" w:hAnsi="宋体" w:cs="宋体"/>
          <w:color w:val="auto"/>
          <w:highlight w:val="none"/>
        </w:rPr>
        <w:t>15.3直接提交备份投标文件的，投标人应于投标截止时间前在招标公告中载明的开标地点将备份投标文件提交给采购代理机构，采购代理机构将拒绝接受逾期送达的备份投标文件。</w:t>
      </w:r>
    </w:p>
    <w:p w14:paraId="01A3ECAC">
      <w:pPr>
        <w:pStyle w:val="33"/>
        <w:spacing w:line="360" w:lineRule="auto"/>
        <w:ind w:firstLine="420" w:firstLineChars="200"/>
        <w:rPr>
          <w:rFonts w:hAnsi="宋体" w:cs="宋体"/>
          <w:color w:val="auto"/>
          <w:highlight w:val="none"/>
        </w:rPr>
      </w:pPr>
      <w:r>
        <w:rPr>
          <w:rFonts w:hint="eastAsia" w:hAnsi="宋体" w:cs="宋体"/>
          <w:color w:val="auto"/>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highlight w:val="none"/>
        </w:rPr>
        <w:t>招标文件第二部分投标人须知前附表规定的备份投标文件送达地点；</w:t>
      </w:r>
      <w:r>
        <w:rPr>
          <w:rFonts w:hint="eastAsia" w:hAnsi="宋体" w:cs="宋体"/>
          <w:color w:val="auto"/>
          <w:highlight w:val="none"/>
        </w:rPr>
        <w:t>送达时间以签收人签收时间为准。采购代理机构将拒绝接受逾期送达的备份投标文件。邮寄过程中，电子备份投标文件发生泄漏、遗失、损坏或延期送达等情况的，由投标人自行负责。</w:t>
      </w:r>
    </w:p>
    <w:p w14:paraId="5F6FFFC7">
      <w:pPr>
        <w:pStyle w:val="33"/>
        <w:spacing w:line="360" w:lineRule="auto"/>
        <w:ind w:firstLine="422" w:firstLineChars="200"/>
        <w:rPr>
          <w:rFonts w:hAnsi="宋体" w:cs="宋体"/>
          <w:b/>
          <w:color w:val="auto"/>
          <w:highlight w:val="none"/>
        </w:rPr>
      </w:pPr>
      <w:r>
        <w:rPr>
          <w:rFonts w:hint="eastAsia" w:hAnsi="宋体" w:cs="宋体"/>
          <w:b/>
          <w:color w:val="auto"/>
          <w:highlight w:val="none"/>
        </w:rPr>
        <w:t>15.5投标人仅提交备份投标文件，未在电子交易平台传输递交投标文件的，投标无效。</w:t>
      </w:r>
    </w:p>
    <w:p w14:paraId="2FA4A1FB">
      <w:pPr>
        <w:pStyle w:val="136"/>
        <w:spacing w:before="0"/>
        <w:ind w:firstLine="428"/>
        <w:outlineLvl w:val="2"/>
        <w:rPr>
          <w:rFonts w:ascii="宋体" w:hAnsi="宋体" w:cs="宋体"/>
          <w:b/>
          <w:color w:val="auto"/>
          <w:sz w:val="21"/>
          <w:szCs w:val="21"/>
          <w:highlight w:val="none"/>
        </w:rPr>
      </w:pPr>
      <w:r>
        <w:rPr>
          <w:rFonts w:hint="eastAsia" w:ascii="宋体" w:hAnsi="宋体" w:cs="宋体"/>
          <w:b/>
          <w:color w:val="auto"/>
          <w:sz w:val="21"/>
          <w:szCs w:val="21"/>
          <w:highlight w:val="none"/>
        </w:rPr>
        <w:t>16.投标文件的无效处理</w:t>
      </w:r>
    </w:p>
    <w:p w14:paraId="06FF32C3">
      <w:pPr>
        <w:pStyle w:val="25"/>
        <w:spacing w:line="360" w:lineRule="auto"/>
        <w:ind w:firstLine="420"/>
        <w:rPr>
          <w:rFonts w:cs="宋体"/>
          <w:color w:val="auto"/>
          <w:sz w:val="21"/>
          <w:szCs w:val="21"/>
          <w:highlight w:val="none"/>
        </w:rPr>
      </w:pPr>
      <w:r>
        <w:rPr>
          <w:rFonts w:hint="eastAsia" w:cs="宋体"/>
          <w:color w:val="auto"/>
          <w:sz w:val="21"/>
          <w:szCs w:val="21"/>
          <w:highlight w:val="none"/>
        </w:rPr>
        <w:t>有招标文件第四部分第4.2项规定的情形之一的，投标无效：</w:t>
      </w:r>
    </w:p>
    <w:p w14:paraId="0BF2BD1B">
      <w:pPr>
        <w:pStyle w:val="136"/>
        <w:spacing w:before="0"/>
        <w:ind w:firstLine="428"/>
        <w:outlineLvl w:val="2"/>
        <w:rPr>
          <w:rFonts w:ascii="宋体" w:hAnsi="宋体" w:cs="宋体"/>
          <w:b/>
          <w:color w:val="auto"/>
          <w:sz w:val="21"/>
          <w:szCs w:val="21"/>
          <w:highlight w:val="none"/>
        </w:rPr>
      </w:pPr>
      <w:r>
        <w:rPr>
          <w:rFonts w:hint="eastAsia" w:ascii="宋体" w:hAnsi="宋体" w:cs="宋体"/>
          <w:b/>
          <w:color w:val="auto"/>
          <w:sz w:val="21"/>
          <w:szCs w:val="21"/>
          <w:highlight w:val="none"/>
        </w:rPr>
        <w:t>17.投标有效期</w:t>
      </w:r>
    </w:p>
    <w:p w14:paraId="1F1DE668">
      <w:pPr>
        <w:spacing w:line="360" w:lineRule="auto"/>
        <w:ind w:firstLine="420" w:firstLineChars="200"/>
        <w:rPr>
          <w:rFonts w:ascii="宋体" w:hAnsi="宋体" w:cs="宋体"/>
          <w:b/>
          <w:color w:val="auto"/>
          <w:szCs w:val="21"/>
          <w:highlight w:val="none"/>
          <w:u w:val="single"/>
        </w:rPr>
      </w:pPr>
      <w:r>
        <w:rPr>
          <w:rFonts w:hint="eastAsia" w:ascii="宋体" w:hAnsi="宋体" w:cs="宋体"/>
          <w:color w:val="auto"/>
          <w:szCs w:val="21"/>
          <w:highlight w:val="none"/>
        </w:rPr>
        <w:t>17.1投标有效期为从提交投标文件的截止之日起90天。</w:t>
      </w:r>
      <w:r>
        <w:rPr>
          <w:rFonts w:hint="eastAsia" w:ascii="宋体" w:hAnsi="宋体" w:cs="宋体"/>
          <w:color w:val="auto"/>
          <w:szCs w:val="21"/>
          <w:highlight w:val="none"/>
          <w:u w:val="single"/>
        </w:rPr>
        <w:t>▲</w:t>
      </w:r>
      <w:r>
        <w:rPr>
          <w:rFonts w:hint="eastAsia" w:ascii="宋体" w:hAnsi="宋体" w:cs="宋体"/>
          <w:b/>
          <w:color w:val="auto"/>
          <w:szCs w:val="21"/>
          <w:highlight w:val="none"/>
          <w:u w:val="single"/>
        </w:rPr>
        <w:t>投标人的投标文件中承诺的投标有效期少于招标文件中载明的投标有效期的，投标无效。</w:t>
      </w:r>
    </w:p>
    <w:p w14:paraId="2E346295">
      <w:pPr>
        <w:pStyle w:val="136"/>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17.2投标文件合格投递后，自投标截止日期起，在投标有效期内有效。</w:t>
      </w:r>
    </w:p>
    <w:p w14:paraId="3730C83A">
      <w:pPr>
        <w:pStyle w:val="136"/>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0592055E">
      <w:pPr>
        <w:pStyle w:val="3"/>
        <w:ind w:firstLine="428"/>
        <w:rPr>
          <w:color w:val="auto"/>
          <w:szCs w:val="21"/>
          <w:highlight w:val="none"/>
        </w:rPr>
      </w:pPr>
      <w:r>
        <w:rPr>
          <w:rFonts w:hint="eastAsia"/>
          <w:color w:val="auto"/>
          <w:szCs w:val="21"/>
          <w:highlight w:val="none"/>
        </w:rPr>
        <w:t>四、开标、资格审查与信用信息查询</w:t>
      </w:r>
    </w:p>
    <w:p w14:paraId="2D822F7C">
      <w:pPr>
        <w:pStyle w:val="557"/>
        <w:spacing w:before="0" w:line="360" w:lineRule="auto"/>
        <w:ind w:left="0" w:firstLine="422" w:firstLineChars="200"/>
        <w:contextualSpacing/>
        <w:outlineLvl w:val="2"/>
        <w:rPr>
          <w:rFonts w:ascii="宋体" w:hAnsi="宋体" w:cs="宋体"/>
          <w:color w:val="auto"/>
          <w:sz w:val="21"/>
          <w:szCs w:val="21"/>
          <w:highlight w:val="none"/>
        </w:rPr>
      </w:pPr>
      <w:r>
        <w:rPr>
          <w:rFonts w:hint="eastAsia" w:ascii="宋体" w:hAnsi="宋体" w:cs="宋体"/>
          <w:b/>
          <w:color w:val="auto"/>
          <w:sz w:val="21"/>
          <w:szCs w:val="21"/>
          <w:highlight w:val="none"/>
        </w:rPr>
        <w:t>18.开标</w:t>
      </w:r>
      <w:r>
        <w:rPr>
          <w:rFonts w:hint="eastAsia" w:ascii="宋体" w:hAnsi="宋体" w:cs="宋体"/>
          <w:color w:val="auto"/>
          <w:sz w:val="21"/>
          <w:szCs w:val="21"/>
          <w:highlight w:val="none"/>
        </w:rPr>
        <w:t xml:space="preserve"> </w:t>
      </w:r>
    </w:p>
    <w:p w14:paraId="2F87B0C9">
      <w:pPr>
        <w:pStyle w:val="557"/>
        <w:spacing w:before="0" w:line="360" w:lineRule="auto"/>
        <w:ind w:left="0" w:firstLine="420" w:firstLineChars="200"/>
        <w:contextualSpacing/>
        <w:rPr>
          <w:rFonts w:ascii="宋体" w:hAnsi="宋体" w:cs="宋体"/>
          <w:color w:val="auto"/>
          <w:sz w:val="21"/>
          <w:szCs w:val="21"/>
          <w:highlight w:val="none"/>
        </w:rPr>
      </w:pPr>
      <w:r>
        <w:rPr>
          <w:rFonts w:hint="eastAsia" w:ascii="宋体" w:hAnsi="宋体" w:cs="宋体"/>
          <w:color w:val="auto"/>
          <w:sz w:val="21"/>
          <w:szCs w:val="21"/>
          <w:highlight w:val="none"/>
        </w:rPr>
        <w:t>18.1采购代理机构按照招标文件规定的时间通过电子交易平台组织开标，所有投标人均应当准时在线参加。投标人不足3家的，不得开标。</w:t>
      </w:r>
    </w:p>
    <w:p w14:paraId="17AA504C">
      <w:pPr>
        <w:pStyle w:val="557"/>
        <w:spacing w:before="0" w:line="360" w:lineRule="auto"/>
        <w:ind w:left="0" w:firstLine="420" w:firstLineChars="200"/>
        <w:contextualSpacing/>
        <w:rPr>
          <w:rFonts w:ascii="宋体" w:hAnsi="宋体" w:cs="宋体"/>
          <w:color w:val="auto"/>
          <w:sz w:val="21"/>
          <w:szCs w:val="21"/>
          <w:highlight w:val="none"/>
        </w:rPr>
      </w:pPr>
      <w:r>
        <w:rPr>
          <w:rFonts w:hint="eastAsia" w:ascii="宋体" w:hAnsi="宋体" w:cs="宋体"/>
          <w:color w:val="auto"/>
          <w:sz w:val="21"/>
          <w:szCs w:val="21"/>
          <w:highlight w:val="none"/>
        </w:rPr>
        <w:t>18.2开标时，电子交易平台按开标时间自动提取所有投标文件。采购代理机构依托电子交易平台发起开始解密指令，投标人按照平台提示和招标文件的规定在半小时内完成在线解密。</w:t>
      </w:r>
    </w:p>
    <w:p w14:paraId="4519BC35">
      <w:pPr>
        <w:pStyle w:val="557"/>
        <w:spacing w:before="0" w:line="360" w:lineRule="auto"/>
        <w:ind w:left="0" w:firstLine="420" w:firstLineChars="200"/>
        <w:contextualSpacing/>
        <w:rPr>
          <w:rFonts w:ascii="宋体" w:hAnsi="宋体" w:cs="宋体"/>
          <w:color w:val="auto"/>
          <w:sz w:val="21"/>
          <w:szCs w:val="21"/>
          <w:highlight w:val="none"/>
        </w:rPr>
      </w:pPr>
      <w:r>
        <w:rPr>
          <w:rFonts w:hint="eastAsia" w:ascii="宋体" w:hAnsi="宋体" w:cs="宋体"/>
          <w:color w:val="auto"/>
          <w:sz w:val="21"/>
          <w:szCs w:val="21"/>
          <w:highlight w:val="none"/>
        </w:rPr>
        <w:t>18.3投标文件未按时解密，投标人提供了备份投标文件的，以备份投标文件作为依据，否则视为投标文件撤回。投标文件已按时解密的，备份投标文件自动失效。</w:t>
      </w:r>
    </w:p>
    <w:p w14:paraId="6CCB9E5F">
      <w:pPr>
        <w:pStyle w:val="557"/>
        <w:spacing w:before="0" w:line="360" w:lineRule="auto"/>
        <w:ind w:left="0" w:firstLine="422" w:firstLineChars="200"/>
        <w:contextualSpacing/>
        <w:outlineLvl w:val="2"/>
        <w:rPr>
          <w:rFonts w:ascii="宋体" w:hAnsi="宋体" w:cs="宋体"/>
          <w:b/>
          <w:color w:val="auto"/>
          <w:sz w:val="21"/>
          <w:szCs w:val="21"/>
          <w:highlight w:val="none"/>
        </w:rPr>
      </w:pPr>
      <w:r>
        <w:rPr>
          <w:rFonts w:hint="eastAsia" w:ascii="宋体" w:hAnsi="宋体" w:cs="宋体"/>
          <w:b/>
          <w:color w:val="auto"/>
          <w:sz w:val="21"/>
          <w:szCs w:val="21"/>
          <w:highlight w:val="none"/>
        </w:rPr>
        <w:t>19.资格审查</w:t>
      </w:r>
    </w:p>
    <w:p w14:paraId="4159B9F5">
      <w:pPr>
        <w:pStyle w:val="136"/>
        <w:ind w:firstLine="420"/>
        <w:rPr>
          <w:rFonts w:ascii="宋体" w:hAnsi="宋体" w:cs="宋体"/>
          <w:color w:val="auto"/>
          <w:sz w:val="21"/>
          <w:szCs w:val="21"/>
          <w:highlight w:val="none"/>
        </w:rPr>
      </w:pPr>
      <w:r>
        <w:rPr>
          <w:rFonts w:hint="eastAsia" w:ascii="宋体" w:hAnsi="宋体" w:cs="宋体"/>
          <w:color w:val="auto"/>
          <w:sz w:val="21"/>
          <w:szCs w:val="21"/>
          <w:highlight w:val="none"/>
        </w:rPr>
        <w:t>19.1采购人或采购代理机构依据法律法规和招标文件的规定，对投标人的资格进行审查。</w:t>
      </w:r>
    </w:p>
    <w:p w14:paraId="42B61EC3">
      <w:pPr>
        <w:pStyle w:val="136"/>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19.2投标人未按照招标文件要求提供与资格条件相应的有效资格证明材料的，视为投标人不具备招标文件中规定的资格要求，其投标无效。</w:t>
      </w:r>
    </w:p>
    <w:p w14:paraId="734EBE3B">
      <w:pPr>
        <w:pStyle w:val="136"/>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19.3对未通过资格审查的投标人，采购人或采购代理机构告知其未通过的原因。</w:t>
      </w:r>
    </w:p>
    <w:p w14:paraId="4DE3A59A">
      <w:pPr>
        <w:pStyle w:val="136"/>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19.4合格投标人不足3家的，不再评标。</w:t>
      </w:r>
    </w:p>
    <w:p w14:paraId="4859C77A">
      <w:pPr>
        <w:pStyle w:val="136"/>
        <w:spacing w:before="0"/>
        <w:ind w:firstLine="428"/>
        <w:outlineLvl w:val="2"/>
        <w:rPr>
          <w:rFonts w:ascii="宋体" w:hAnsi="宋体" w:cs="宋体"/>
          <w:b/>
          <w:color w:val="auto"/>
          <w:sz w:val="21"/>
          <w:szCs w:val="21"/>
          <w:highlight w:val="none"/>
        </w:rPr>
      </w:pPr>
      <w:r>
        <w:rPr>
          <w:rFonts w:hint="eastAsia" w:ascii="宋体" w:hAnsi="宋体" w:cs="宋体"/>
          <w:b/>
          <w:color w:val="auto"/>
          <w:sz w:val="21"/>
          <w:szCs w:val="21"/>
          <w:highlight w:val="none"/>
        </w:rPr>
        <w:t>20.信用信息查询</w:t>
      </w:r>
    </w:p>
    <w:p w14:paraId="4073A3B4">
      <w:pPr>
        <w:pStyle w:val="136"/>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20.1信用信息查询渠道及截止时间：采购代理机构将在资格审查时通过“信用中国”网站（www.creditchina.gov.cn）、中国政府采购网（www.ccgp.gov.cn）等渠道查询投标人接受资格时的信用记录。</w:t>
      </w:r>
    </w:p>
    <w:p w14:paraId="004B2125">
      <w:pPr>
        <w:pStyle w:val="136"/>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20.2信用信息查询记录和证据留存的具体方式：现场查询的投标人的信用记录、查询结果经确认后将与采购文件一起存档。</w:t>
      </w:r>
    </w:p>
    <w:p w14:paraId="41526359">
      <w:pPr>
        <w:pStyle w:val="136"/>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20.3信用信息的使用规则：经查询列入失信被执行人名单、重大税收违法案件当事人名单、政府采购严重违法失信行为记录名单的投标人将被拒绝参与政府采购活动。</w:t>
      </w:r>
    </w:p>
    <w:p w14:paraId="58D11D5A">
      <w:pPr>
        <w:pStyle w:val="136"/>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sz w:val="21"/>
          <w:szCs w:val="21"/>
          <w:highlight w:val="none"/>
        </w:rPr>
        <w:t>。</w:t>
      </w:r>
    </w:p>
    <w:p w14:paraId="048960CC">
      <w:pPr>
        <w:pStyle w:val="3"/>
        <w:ind w:firstLine="428"/>
        <w:rPr>
          <w:color w:val="auto"/>
          <w:szCs w:val="21"/>
          <w:highlight w:val="none"/>
        </w:rPr>
      </w:pPr>
      <w:r>
        <w:rPr>
          <w:rFonts w:hint="eastAsia"/>
          <w:color w:val="auto"/>
          <w:szCs w:val="21"/>
          <w:highlight w:val="none"/>
        </w:rPr>
        <w:t>五、评标</w:t>
      </w:r>
    </w:p>
    <w:p w14:paraId="256A3390">
      <w:pPr>
        <w:pStyle w:val="25"/>
        <w:spacing w:line="360" w:lineRule="auto"/>
        <w:ind w:firstLine="428"/>
        <w:outlineLvl w:val="2"/>
        <w:rPr>
          <w:rFonts w:hint="eastAsia" w:ascii="宋体" w:hAnsi="宋体" w:eastAsia="宋体" w:cs="宋体"/>
          <w:b/>
          <w:color w:val="auto"/>
          <w:sz w:val="21"/>
          <w:szCs w:val="21"/>
          <w:highlight w:val="none"/>
        </w:rPr>
      </w:pPr>
      <w:bookmarkStart w:id="17" w:name="_Toc91899903"/>
      <w:r>
        <w:rPr>
          <w:rFonts w:hint="eastAsia" w:ascii="宋体" w:hAnsi="宋体" w:eastAsia="宋体" w:cs="宋体"/>
          <w:b/>
          <w:color w:val="auto"/>
          <w:sz w:val="21"/>
          <w:szCs w:val="21"/>
          <w:highlight w:val="none"/>
        </w:rPr>
        <w:t>21.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评标办法。</w:t>
      </w:r>
    </w:p>
    <w:p w14:paraId="030AC10B">
      <w:pPr>
        <w:pStyle w:val="3"/>
        <w:ind w:firstLine="428"/>
        <w:rPr>
          <w:color w:val="auto"/>
          <w:szCs w:val="21"/>
          <w:highlight w:val="none"/>
        </w:rPr>
      </w:pPr>
      <w:r>
        <w:rPr>
          <w:rFonts w:hint="eastAsia"/>
          <w:color w:val="auto"/>
          <w:szCs w:val="21"/>
          <w:highlight w:val="none"/>
        </w:rPr>
        <w:t>六、定标</w:t>
      </w:r>
    </w:p>
    <w:p w14:paraId="476AD7DD">
      <w:pPr>
        <w:pStyle w:val="25"/>
        <w:spacing w:line="360" w:lineRule="auto"/>
        <w:ind w:firstLine="428"/>
        <w:outlineLvl w:val="2"/>
        <w:rPr>
          <w:rFonts w:cs="宋体"/>
          <w:b/>
          <w:color w:val="auto"/>
          <w:sz w:val="21"/>
          <w:szCs w:val="21"/>
          <w:highlight w:val="none"/>
        </w:rPr>
      </w:pPr>
      <w:r>
        <w:rPr>
          <w:rFonts w:hint="eastAsia" w:cs="宋体"/>
          <w:b/>
          <w:color w:val="auto"/>
          <w:sz w:val="21"/>
          <w:szCs w:val="21"/>
          <w:highlight w:val="none"/>
        </w:rPr>
        <w:t>22.确定中标供应商</w:t>
      </w:r>
    </w:p>
    <w:p w14:paraId="55A414B8">
      <w:pPr>
        <w:widowControl/>
        <w:shd w:val="clear" w:color="auto" w:fill="FFFFFF"/>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262067F4">
      <w:pPr>
        <w:pStyle w:val="136"/>
        <w:snapToGrid w:val="0"/>
        <w:spacing w:before="0"/>
        <w:ind w:firstLine="428"/>
        <w:outlineLvl w:val="2"/>
        <w:rPr>
          <w:rFonts w:ascii="宋体" w:hAnsi="宋体" w:cs="宋体"/>
          <w:b/>
          <w:color w:val="auto"/>
          <w:sz w:val="21"/>
          <w:szCs w:val="21"/>
          <w:highlight w:val="none"/>
        </w:rPr>
      </w:pPr>
      <w:r>
        <w:rPr>
          <w:rFonts w:hint="eastAsia" w:ascii="宋体" w:hAnsi="宋体" w:cs="宋体"/>
          <w:b/>
          <w:color w:val="auto"/>
          <w:sz w:val="21"/>
          <w:szCs w:val="21"/>
          <w:highlight w:val="none"/>
        </w:rPr>
        <w:t>23.中标通知与中标结果公告</w:t>
      </w:r>
    </w:p>
    <w:p w14:paraId="2B7BE7C8">
      <w:pPr>
        <w:widowControl/>
        <w:shd w:val="clear" w:color="auto" w:fill="FFFFFF"/>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23.1自中标人确定之日起1个工作日内，采购代理机构通过电子交易平台向中标人发出中标通知书，同时编制发布采购结果公告。采购代理机构也可以以纸质形式进行中标通知。</w:t>
      </w:r>
    </w:p>
    <w:p w14:paraId="1D46618F">
      <w:pPr>
        <w:widowControl/>
        <w:shd w:val="clear" w:color="auto" w:fill="FFFFFF"/>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23.2中标结果公告内容包括采购人及其委托的</w:t>
      </w:r>
      <w:r>
        <w:rPr>
          <w:rFonts w:hint="eastAsia" w:ascii="宋体" w:hAnsi="宋体" w:cs="宋体"/>
          <w:color w:val="auto"/>
          <w:szCs w:val="21"/>
          <w:highlight w:val="none"/>
        </w:rPr>
        <w:t>采购代理机构</w:t>
      </w:r>
      <w:r>
        <w:rPr>
          <w:rFonts w:ascii="宋体" w:hAnsi="宋体" w:cs="宋体"/>
          <w:color w:val="auto"/>
          <w:szCs w:val="21"/>
          <w:highlight w:val="none"/>
        </w:rPr>
        <w:t>的名称、地址、联系方式，项目名称和项目编号，中标人名称、地址和中标金额，主要中标标的</w:t>
      </w:r>
      <w:r>
        <w:rPr>
          <w:rFonts w:hint="eastAsia" w:ascii="宋体" w:hAnsi="宋体" w:cs="宋体"/>
          <w:color w:val="auto"/>
          <w:szCs w:val="21"/>
          <w:highlight w:val="none"/>
        </w:rPr>
        <w:t>的名称、规格型号、数量、单价、服务要求，开标记录、</w:t>
      </w:r>
      <w:bookmarkStart w:id="18" w:name="_Hlk101184471"/>
      <w:r>
        <w:rPr>
          <w:rFonts w:hint="eastAsia" w:ascii="宋体" w:hAnsi="宋体" w:cs="宋体"/>
          <w:color w:val="auto"/>
          <w:szCs w:val="21"/>
          <w:highlight w:val="none"/>
        </w:rPr>
        <w:t>资格审查情况、评审专家抽取规则、符合性审查情况、</w:t>
      </w:r>
      <w:bookmarkEnd w:id="18"/>
      <w:r>
        <w:rPr>
          <w:rFonts w:hint="eastAsia" w:ascii="宋体" w:hAnsi="宋体" w:cs="宋体"/>
          <w:color w:val="auto"/>
          <w:szCs w:val="21"/>
          <w:highlight w:val="none"/>
        </w:rPr>
        <w:t>未中标情况说明、中标公告期限以及评审专家名单、评分汇总及明细。</w:t>
      </w:r>
    </w:p>
    <w:p w14:paraId="03B1AC54">
      <w:pPr>
        <w:widowControl/>
        <w:shd w:val="clear" w:color="auto" w:fill="FFFFFF"/>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23.3公告期限为1个工作日。</w:t>
      </w:r>
    </w:p>
    <w:p w14:paraId="23D30586">
      <w:pPr>
        <w:widowControl/>
        <w:shd w:val="clear" w:color="auto" w:fill="FFFFFF"/>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23.4 由于中标、成交供应商原因导致重新采购的，应当承担支付代理费和专家评审费等费用在内的赔偿责任。</w:t>
      </w:r>
    </w:p>
    <w:p w14:paraId="55A32C96">
      <w:pPr>
        <w:widowControl/>
        <w:shd w:val="clear" w:color="auto" w:fill="FFFFFF"/>
        <w:spacing w:line="360" w:lineRule="auto"/>
        <w:ind w:firstLine="420" w:firstLineChars="200"/>
        <w:jc w:val="left"/>
        <w:rPr>
          <w:rFonts w:ascii="宋体" w:hAnsi="宋体" w:cs="宋体"/>
          <w:color w:val="auto"/>
          <w:szCs w:val="21"/>
          <w:highlight w:val="none"/>
        </w:rPr>
      </w:pPr>
    </w:p>
    <w:p w14:paraId="4425E93E">
      <w:pPr>
        <w:pStyle w:val="3"/>
        <w:ind w:firstLine="428"/>
        <w:rPr>
          <w:color w:val="auto"/>
          <w:szCs w:val="21"/>
          <w:highlight w:val="none"/>
        </w:rPr>
      </w:pPr>
      <w:r>
        <w:rPr>
          <w:rFonts w:hint="eastAsia"/>
          <w:color w:val="auto"/>
          <w:szCs w:val="21"/>
          <w:highlight w:val="none"/>
        </w:rPr>
        <w:t>七、合同授予</w:t>
      </w:r>
    </w:p>
    <w:p w14:paraId="67021080">
      <w:pPr>
        <w:pStyle w:val="25"/>
        <w:spacing w:line="360" w:lineRule="auto"/>
        <w:ind w:firstLine="428"/>
        <w:outlineLvl w:val="2"/>
        <w:rPr>
          <w:rFonts w:cs="宋体"/>
          <w:b/>
          <w:color w:val="auto"/>
          <w:sz w:val="21"/>
          <w:szCs w:val="21"/>
          <w:highlight w:val="none"/>
        </w:rPr>
      </w:pPr>
      <w:r>
        <w:rPr>
          <w:rFonts w:hint="eastAsia" w:cs="宋体"/>
          <w:b/>
          <w:color w:val="auto"/>
          <w:sz w:val="21"/>
          <w:szCs w:val="21"/>
          <w:highlight w:val="none"/>
        </w:rPr>
        <w:t>24.</w:t>
      </w:r>
      <w:r>
        <w:rPr>
          <w:rFonts w:hint="eastAsia" w:cs="宋体"/>
          <w:color w:val="auto"/>
          <w:sz w:val="21"/>
          <w:szCs w:val="21"/>
          <w:highlight w:val="none"/>
        </w:rPr>
        <w:t>合同主要条款详见第五部分拟签订的合同文本。</w:t>
      </w:r>
    </w:p>
    <w:p w14:paraId="31210E9A">
      <w:pPr>
        <w:pStyle w:val="25"/>
        <w:spacing w:line="360" w:lineRule="auto"/>
        <w:ind w:firstLine="428"/>
        <w:outlineLvl w:val="2"/>
        <w:rPr>
          <w:rFonts w:cs="宋体"/>
          <w:b/>
          <w:color w:val="auto"/>
          <w:sz w:val="21"/>
          <w:szCs w:val="21"/>
          <w:highlight w:val="none"/>
        </w:rPr>
      </w:pPr>
      <w:r>
        <w:rPr>
          <w:rFonts w:hint="eastAsia" w:cs="宋体"/>
          <w:b/>
          <w:color w:val="auto"/>
          <w:sz w:val="21"/>
          <w:szCs w:val="21"/>
          <w:highlight w:val="none"/>
        </w:rPr>
        <w:t>25.合同的签订</w:t>
      </w:r>
    </w:p>
    <w:p w14:paraId="4393F7B3">
      <w:pPr>
        <w:widowControl/>
        <w:shd w:val="clear" w:color="auto" w:fill="FFFFFF"/>
        <w:spacing w:line="360" w:lineRule="auto"/>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25.1采购人与中标人应当通过电子交易平台在中标通知书发出之日起三十日内，按照招标文件确定的事项签订政府采购合同，并在</w:t>
      </w:r>
      <w:r>
        <w:rPr>
          <w:rFonts w:hint="eastAsia" w:ascii="宋体" w:hAnsi="宋体" w:cs="宋体"/>
          <w:color w:val="auto"/>
          <w:kern w:val="0"/>
          <w:szCs w:val="21"/>
          <w:highlight w:val="none"/>
        </w:rPr>
        <w:t>签订之日起2个工作日内将政府采购</w:t>
      </w:r>
      <w:r>
        <w:rPr>
          <w:rFonts w:ascii="宋体" w:hAnsi="宋体" w:cs="宋体"/>
          <w:color w:val="auto"/>
          <w:kern w:val="0"/>
          <w:szCs w:val="21"/>
          <w:highlight w:val="none"/>
        </w:rPr>
        <w:t>合同</w:t>
      </w:r>
      <w:r>
        <w:rPr>
          <w:rFonts w:hint="eastAsia" w:ascii="宋体" w:hAnsi="宋体" w:cs="宋体"/>
          <w:color w:val="auto"/>
          <w:kern w:val="0"/>
          <w:szCs w:val="21"/>
          <w:highlight w:val="none"/>
        </w:rPr>
        <w:t>在浙江政府采购网上</w:t>
      </w:r>
      <w:r>
        <w:rPr>
          <w:rFonts w:ascii="宋体" w:hAnsi="宋体" w:cs="宋体"/>
          <w:color w:val="auto"/>
          <w:kern w:val="0"/>
          <w:szCs w:val="21"/>
          <w:highlight w:val="none"/>
        </w:rPr>
        <w:t>公告</w:t>
      </w:r>
      <w:r>
        <w:rPr>
          <w:rFonts w:hint="eastAsia" w:ascii="宋体" w:hAnsi="宋体" w:cs="宋体"/>
          <w:color w:val="auto"/>
          <w:kern w:val="0"/>
          <w:szCs w:val="21"/>
          <w:highlight w:val="none"/>
        </w:rPr>
        <w:t>。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r>
        <w:rPr>
          <w:rFonts w:ascii="宋体" w:hAnsi="宋体" w:cs="宋体"/>
          <w:color w:val="auto"/>
          <w:kern w:val="0"/>
          <w:szCs w:val="21"/>
          <w:highlight w:val="none"/>
        </w:rPr>
        <w:t>。</w:t>
      </w:r>
    </w:p>
    <w:p w14:paraId="423F2123">
      <w:pPr>
        <w:pStyle w:val="136"/>
        <w:snapToGrid w:val="0"/>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0485D44">
      <w:pPr>
        <w:pStyle w:val="136"/>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25.3如签订合同并生效后，供应商无故拒绝或延期，除按照合同条款处理外，列入不良行为记录一次，并给予通报。</w:t>
      </w:r>
    </w:p>
    <w:p w14:paraId="6BDA620F">
      <w:pPr>
        <w:pStyle w:val="136"/>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25.4中标供应商拒绝与采购人签订合同的，采购人可以按照评审报告推荐的中标或者成交候选人名单排序，确定下一候选人为中标供应商，也可以重新开展政府采购活动。</w:t>
      </w:r>
    </w:p>
    <w:p w14:paraId="6CFB7D9A">
      <w:pPr>
        <w:pStyle w:val="136"/>
        <w:snapToGrid w:val="0"/>
        <w:spacing w:before="0" w:after="120"/>
        <w:ind w:firstLine="420"/>
        <w:rPr>
          <w:rFonts w:ascii="宋体" w:hAnsi="宋体" w:cs="宋体"/>
          <w:color w:val="auto"/>
          <w:sz w:val="21"/>
          <w:szCs w:val="21"/>
          <w:highlight w:val="none"/>
        </w:rPr>
      </w:pPr>
      <w:r>
        <w:rPr>
          <w:rFonts w:hint="eastAsia" w:ascii="宋体" w:hAnsi="宋体" w:cs="宋体"/>
          <w:color w:val="auto"/>
          <w:sz w:val="21"/>
          <w:szCs w:val="21"/>
          <w:highlight w:val="none"/>
        </w:rPr>
        <w:t>25.5采购合同由采购人与中标供应商根据招标文件、投标文件等内容通过政府采购电子交易平台在线签订，自动备案。</w:t>
      </w:r>
    </w:p>
    <w:p w14:paraId="4513BAA3">
      <w:pPr>
        <w:pStyle w:val="25"/>
        <w:spacing w:line="360" w:lineRule="auto"/>
        <w:ind w:firstLine="428"/>
        <w:outlineLvl w:val="2"/>
        <w:rPr>
          <w:rFonts w:cs="宋体"/>
          <w:b/>
          <w:color w:val="auto"/>
          <w:sz w:val="21"/>
          <w:szCs w:val="21"/>
          <w:highlight w:val="none"/>
        </w:rPr>
      </w:pPr>
      <w:r>
        <w:rPr>
          <w:rFonts w:hint="eastAsia" w:cs="宋体"/>
          <w:b/>
          <w:color w:val="auto"/>
          <w:sz w:val="21"/>
          <w:szCs w:val="21"/>
          <w:highlight w:val="none"/>
        </w:rPr>
        <w:t>26.履约保证金</w:t>
      </w:r>
    </w:p>
    <w:p w14:paraId="1D92F2E3">
      <w:pPr>
        <w:pStyle w:val="136"/>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3F4554F3">
      <w:pPr>
        <w:pStyle w:val="4"/>
        <w:ind w:firstLine="428"/>
        <w:rPr>
          <w:color w:val="auto"/>
          <w:szCs w:val="21"/>
          <w:highlight w:val="none"/>
        </w:rPr>
      </w:pPr>
      <w:r>
        <w:rPr>
          <w:rFonts w:hint="eastAsia"/>
          <w:color w:val="auto"/>
          <w:szCs w:val="21"/>
          <w:highlight w:val="none"/>
        </w:rPr>
        <w:t>27.预付款</w:t>
      </w:r>
    </w:p>
    <w:p w14:paraId="40004DF8">
      <w:pPr>
        <w:pStyle w:val="136"/>
        <w:snapToGrid w:val="0"/>
        <w:ind w:firstLine="420"/>
        <w:rPr>
          <w:rFonts w:ascii="宋体" w:hAnsi="宋体" w:cs="宋体"/>
          <w:color w:val="auto"/>
          <w:sz w:val="21"/>
          <w:szCs w:val="21"/>
          <w:highlight w:val="none"/>
        </w:rPr>
      </w:pPr>
      <w:r>
        <w:rPr>
          <w:rFonts w:hint="eastAsia" w:ascii="宋体" w:hAnsi="宋体" w:cs="宋体"/>
          <w:color w:val="auto"/>
          <w:sz w:val="21"/>
          <w:szCs w:val="21"/>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保函保险服务】出具预付款保函，具体步骤：选择产品—填写供应商信息—选择中标项目—确认信息—等待保险/保函受理—确认保单—支付保费—成功出单。政采云金融专线95763。</w:t>
      </w:r>
    </w:p>
    <w:p w14:paraId="5A9AAFB3">
      <w:pPr>
        <w:pStyle w:val="3"/>
        <w:ind w:firstLine="428"/>
        <w:rPr>
          <w:color w:val="auto"/>
          <w:szCs w:val="21"/>
          <w:highlight w:val="none"/>
        </w:rPr>
      </w:pPr>
      <w:r>
        <w:rPr>
          <w:rFonts w:hint="eastAsia"/>
          <w:color w:val="auto"/>
          <w:szCs w:val="21"/>
          <w:highlight w:val="none"/>
        </w:rPr>
        <w:t>八、电子交易活动的中止</w:t>
      </w:r>
    </w:p>
    <w:p w14:paraId="2700420D">
      <w:pPr>
        <w:pStyle w:val="136"/>
        <w:snapToGrid w:val="0"/>
        <w:spacing w:before="0"/>
        <w:ind w:firstLine="428"/>
        <w:outlineLvl w:val="2"/>
        <w:rPr>
          <w:rFonts w:ascii="宋体" w:hAnsi="宋体" w:cs="宋体"/>
          <w:b/>
          <w:bCs/>
          <w:color w:val="auto"/>
          <w:sz w:val="21"/>
          <w:szCs w:val="21"/>
          <w:highlight w:val="none"/>
        </w:rPr>
      </w:pPr>
      <w:r>
        <w:rPr>
          <w:rFonts w:hint="eastAsia" w:ascii="宋体" w:hAnsi="宋体" w:cs="宋体"/>
          <w:b/>
          <w:bCs/>
          <w:color w:val="auto"/>
          <w:sz w:val="21"/>
          <w:szCs w:val="21"/>
          <w:highlight w:val="none"/>
        </w:rPr>
        <w:t>28.电子交易活动的中止</w:t>
      </w:r>
    </w:p>
    <w:p w14:paraId="76B15F46">
      <w:pPr>
        <w:pStyle w:val="136"/>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采购过程中出现以下情形，导致电子交易平台无法正常运行，或者无法保证电子交易的公平、公正和安全时，采购代理机构可中止电子交易活动：</w:t>
      </w:r>
    </w:p>
    <w:p w14:paraId="0CB478DC">
      <w:pPr>
        <w:pStyle w:val="136"/>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 xml:space="preserve">28.1电子交易平台发生故障而无法登录访问的； </w:t>
      </w:r>
    </w:p>
    <w:p w14:paraId="008D0767">
      <w:pPr>
        <w:pStyle w:val="136"/>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28.2电子交易平台应用或数据库出现错误，不能进行正常操作的；</w:t>
      </w:r>
    </w:p>
    <w:p w14:paraId="0F6ECDF9">
      <w:pPr>
        <w:pStyle w:val="136"/>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28.3电子交易平台发现严重安全漏洞，有潜在泄密危险的；</w:t>
      </w:r>
    </w:p>
    <w:p w14:paraId="1B3A8F48">
      <w:pPr>
        <w:pStyle w:val="136"/>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 xml:space="preserve">28.4病毒发作导致不能进行正常操作的； </w:t>
      </w:r>
    </w:p>
    <w:p w14:paraId="7ECBDB3E">
      <w:pPr>
        <w:pStyle w:val="136"/>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28.5其他无法保证电子交易的公平、公正和安全的情况。</w:t>
      </w:r>
    </w:p>
    <w:p w14:paraId="0CC5ABF0">
      <w:pPr>
        <w:pStyle w:val="136"/>
        <w:snapToGrid w:val="0"/>
        <w:spacing w:before="0"/>
        <w:ind w:firstLine="420"/>
        <w:outlineLvl w:val="2"/>
        <w:rPr>
          <w:rFonts w:ascii="宋体" w:hAnsi="宋体" w:cs="宋体"/>
          <w:color w:val="auto"/>
          <w:sz w:val="21"/>
          <w:szCs w:val="21"/>
          <w:highlight w:val="none"/>
        </w:rPr>
      </w:pPr>
      <w:r>
        <w:rPr>
          <w:rFonts w:hint="eastAsia" w:ascii="宋体" w:hAnsi="宋体" w:cs="宋体"/>
          <w:color w:val="auto"/>
          <w:sz w:val="21"/>
          <w:szCs w:val="21"/>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72CE49B4">
      <w:pPr>
        <w:pStyle w:val="3"/>
        <w:ind w:firstLine="428"/>
        <w:rPr>
          <w:color w:val="auto"/>
          <w:szCs w:val="21"/>
          <w:highlight w:val="none"/>
        </w:rPr>
      </w:pPr>
      <w:r>
        <w:rPr>
          <w:rFonts w:hint="eastAsia"/>
          <w:color w:val="auto"/>
          <w:szCs w:val="21"/>
          <w:highlight w:val="none"/>
        </w:rPr>
        <w:t>九、验收</w:t>
      </w:r>
    </w:p>
    <w:p w14:paraId="5059CA45">
      <w:pPr>
        <w:pStyle w:val="25"/>
        <w:spacing w:line="360" w:lineRule="auto"/>
        <w:ind w:firstLine="428"/>
        <w:outlineLvl w:val="2"/>
        <w:rPr>
          <w:rFonts w:cs="宋体"/>
          <w:b/>
          <w:color w:val="auto"/>
          <w:sz w:val="21"/>
          <w:szCs w:val="21"/>
          <w:highlight w:val="none"/>
        </w:rPr>
      </w:pPr>
      <w:r>
        <w:rPr>
          <w:rFonts w:hint="eastAsia" w:cs="宋体"/>
          <w:b/>
          <w:color w:val="auto"/>
          <w:sz w:val="21"/>
          <w:szCs w:val="21"/>
          <w:highlight w:val="none"/>
        </w:rPr>
        <w:t>30.验收</w:t>
      </w:r>
    </w:p>
    <w:p w14:paraId="4B20F2D3">
      <w:pPr>
        <w:tabs>
          <w:tab w:val="left" w:pos="0"/>
        </w:tabs>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3D374B4">
      <w:pPr>
        <w:tabs>
          <w:tab w:val="left" w:pos="0"/>
        </w:tabs>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30.2采购人可以邀请参加本项目的其他投标人或者第三方机构参与验收。参与验收的投标人或者第三方机构的意见作为验收书的参考资料一并存档。</w:t>
      </w:r>
    </w:p>
    <w:p w14:paraId="30C20833">
      <w:pPr>
        <w:tabs>
          <w:tab w:val="left" w:pos="0"/>
        </w:tabs>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028DDAC">
      <w:pPr>
        <w:tabs>
          <w:tab w:val="left" w:pos="0"/>
        </w:tabs>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7"/>
    <w:p w14:paraId="352B5E6A">
      <w:pPr>
        <w:tabs>
          <w:tab w:val="left" w:pos="0"/>
        </w:tabs>
        <w:spacing w:line="360" w:lineRule="auto"/>
        <w:ind w:firstLine="420" w:firstLineChars="200"/>
        <w:rPr>
          <w:rFonts w:ascii="宋体" w:hAnsi="宋体" w:cs="宋体"/>
          <w:color w:val="auto"/>
          <w:kern w:val="0"/>
          <w:szCs w:val="21"/>
          <w:highlight w:val="none"/>
        </w:rPr>
      </w:pPr>
      <w:bookmarkStart w:id="19" w:name="_Hlt75236101"/>
      <w:bookmarkEnd w:id="19"/>
      <w:bookmarkStart w:id="20" w:name="_Hlt68057669"/>
      <w:bookmarkEnd w:id="20"/>
      <w:bookmarkStart w:id="21" w:name="_Hlt75236011"/>
      <w:bookmarkEnd w:id="21"/>
      <w:bookmarkStart w:id="22" w:name="_Hlt68073093"/>
      <w:bookmarkEnd w:id="22"/>
      <w:bookmarkStart w:id="23" w:name="_Hlt68072990"/>
      <w:bookmarkEnd w:id="23"/>
      <w:bookmarkStart w:id="24" w:name="_Hlt74729768"/>
      <w:bookmarkEnd w:id="24"/>
      <w:bookmarkStart w:id="25" w:name="_Hlt75236290"/>
      <w:bookmarkEnd w:id="25"/>
      <w:bookmarkStart w:id="26" w:name="_Hlt68403820"/>
      <w:bookmarkEnd w:id="26"/>
      <w:bookmarkStart w:id="27" w:name="_Hlt74730295"/>
      <w:bookmarkEnd w:id="27"/>
      <w:bookmarkStart w:id="28" w:name="_Hlt74714665"/>
      <w:bookmarkEnd w:id="28"/>
      <w:bookmarkStart w:id="29" w:name="_Hlt74707468"/>
      <w:bookmarkEnd w:id="29"/>
      <w:bookmarkStart w:id="30" w:name="_Hlt68072998"/>
      <w:bookmarkEnd w:id="30"/>
      <w:r>
        <w:rPr>
          <w:rFonts w:hint="eastAsia" w:ascii="宋体" w:hAnsi="宋体" w:cs="宋体"/>
          <w:color w:val="auto"/>
          <w:kern w:val="0"/>
          <w:szCs w:val="21"/>
          <w:highlight w:val="none"/>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4B0EA41E">
      <w:pPr>
        <w:tabs>
          <w:tab w:val="left" w:pos="0"/>
        </w:tabs>
        <w:spacing w:line="360" w:lineRule="auto"/>
        <w:ind w:firstLine="480"/>
        <w:rPr>
          <w:rFonts w:ascii="宋体" w:hAnsi="宋体" w:cs="宋体"/>
          <w:color w:val="auto"/>
          <w:kern w:val="0"/>
          <w:szCs w:val="21"/>
          <w:highlight w:val="none"/>
        </w:rPr>
        <w:sectPr>
          <w:footerReference r:id="rId8" w:type="first"/>
          <w:headerReference r:id="rId6" w:type="default"/>
          <w:footerReference r:id="rId7" w:type="default"/>
          <w:pgSz w:w="11906" w:h="16838"/>
          <w:pgMar w:top="680" w:right="1418" w:bottom="468" w:left="1418" w:header="851" w:footer="992" w:gutter="0"/>
          <w:pgNumType w:start="2"/>
          <w:cols w:space="720" w:num="1"/>
          <w:docGrid w:linePitch="312" w:charSpace="0"/>
        </w:sectPr>
      </w:pPr>
    </w:p>
    <w:bookmarkEnd w:id="15"/>
    <w:bookmarkEnd w:id="16"/>
    <w:p w14:paraId="670AD377">
      <w:pPr>
        <w:pStyle w:val="2"/>
        <w:numPr>
          <w:ilvl w:val="0"/>
          <w:numId w:val="1"/>
        </w:numPr>
        <w:rPr>
          <w:color w:val="auto"/>
          <w:highlight w:val="none"/>
        </w:rPr>
      </w:pPr>
      <w:bookmarkStart w:id="31" w:name="_Toc16290"/>
      <w:bookmarkStart w:id="32" w:name="第四部分"/>
      <w:r>
        <w:rPr>
          <w:rFonts w:hint="eastAsia"/>
          <w:color w:val="auto"/>
          <w:highlight w:val="none"/>
        </w:rPr>
        <w:t>采购需求</w:t>
      </w:r>
      <w:bookmarkEnd w:id="31"/>
    </w:p>
    <w:p w14:paraId="1D625877">
      <w:pPr>
        <w:pStyle w:val="23"/>
        <w:widowControl/>
        <w:numPr>
          <w:ilvl w:val="1"/>
          <w:numId w:val="2"/>
        </w:numPr>
        <w:adjustRightInd/>
        <w:spacing w:before="100" w:after="100"/>
        <w:ind w:firstLine="422" w:firstLineChars="200"/>
        <w:jc w:val="left"/>
        <w:outlineLvl w:val="1"/>
        <w:rPr>
          <w:rFonts w:hAnsi="宋体" w:cs="宋体"/>
          <w:b/>
          <w:color w:val="auto"/>
          <w:sz w:val="21"/>
          <w:highlight w:val="none"/>
          <w:lang w:val="en-US"/>
        </w:rPr>
      </w:pPr>
      <w:r>
        <w:rPr>
          <w:rFonts w:hint="eastAsia" w:hAnsi="宋体" w:cs="宋体"/>
          <w:b/>
          <w:color w:val="auto"/>
          <w:sz w:val="21"/>
          <w:highlight w:val="none"/>
          <w:lang w:val="en-US"/>
        </w:rPr>
        <w:t>项目概述</w:t>
      </w:r>
    </w:p>
    <w:p w14:paraId="7DF8E66E">
      <w:pPr>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AI余杭</w:t>
      </w:r>
      <w:r>
        <w:rPr>
          <w:rFonts w:hint="eastAsia" w:ascii="宋体" w:hAnsi="宋体" w:cs="宋体"/>
          <w:color w:val="auto"/>
          <w:szCs w:val="21"/>
          <w:highlight w:val="none"/>
          <w:lang w:val="en-US" w:eastAsia="zh-CN"/>
        </w:rPr>
        <w:t>建设</w:t>
      </w:r>
      <w:r>
        <w:rPr>
          <w:rFonts w:hint="eastAsia" w:ascii="宋体" w:hAnsi="宋体" w:cs="宋体"/>
          <w:color w:val="auto"/>
          <w:szCs w:val="21"/>
          <w:highlight w:val="none"/>
        </w:rPr>
        <w:t>项目，意在通过深度应用跨越式发展的大模型技术，聚焦政务智慧协同和业务智能化，推动余杭数字政府智慧化的范式变革，提供整体智治的政务协同体系和基层治理体系，以数字政府智慧化引领政务创新，实现高效履职和基层减负。</w:t>
      </w:r>
    </w:p>
    <w:p w14:paraId="69577CB9">
      <w:pPr>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项目建设内容包括：</w:t>
      </w:r>
    </w:p>
    <w:p w14:paraId="486B2F53">
      <w:pPr>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（1）模型底座：AI数据处理平台、政务大模型服务平台、政务垂类大模型专家调优服务。</w:t>
      </w:r>
    </w:p>
    <w:p w14:paraId="301E0BF6">
      <w:pPr>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（2）大模型业务支撑平台：智能业务集成开放平台、浙政钉底座智能化升级。</w:t>
      </w:r>
    </w:p>
    <w:p w14:paraId="31F15D5A">
      <w:pPr>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（3）智慧化场景应用层：政务业务智能助手、智能辅助创作平台、智慧办公场景应用。</w:t>
      </w:r>
    </w:p>
    <w:p w14:paraId="32D5A8E7">
      <w:pPr>
        <w:pStyle w:val="23"/>
        <w:widowControl/>
        <w:numPr>
          <w:ilvl w:val="1"/>
          <w:numId w:val="2"/>
        </w:numPr>
        <w:adjustRightInd/>
        <w:spacing w:before="100" w:after="100"/>
        <w:ind w:firstLine="422" w:firstLineChars="200"/>
        <w:jc w:val="left"/>
        <w:outlineLvl w:val="1"/>
        <w:rPr>
          <w:rFonts w:hAnsi="宋体" w:cs="宋体"/>
          <w:b/>
          <w:color w:val="auto"/>
          <w:sz w:val="21"/>
          <w:highlight w:val="none"/>
          <w:lang w:val="en-US"/>
        </w:rPr>
      </w:pPr>
      <w:r>
        <w:rPr>
          <w:rFonts w:hint="eastAsia" w:hAnsi="宋体" w:cs="宋体"/>
          <w:b/>
          <w:color w:val="auto"/>
          <w:sz w:val="21"/>
          <w:highlight w:val="none"/>
          <w:lang w:val="en-US"/>
        </w:rPr>
        <w:t>模型底座</w:t>
      </w:r>
    </w:p>
    <w:p w14:paraId="1141CD79">
      <w:pPr>
        <w:pStyle w:val="4"/>
        <w:numPr>
          <w:ilvl w:val="0"/>
          <w:numId w:val="3"/>
        </w:numPr>
        <w:ind w:left="0" w:firstLine="428"/>
        <w:rPr>
          <w:color w:val="auto"/>
          <w:highlight w:val="none"/>
        </w:rPr>
      </w:pPr>
      <w:r>
        <w:rPr>
          <w:rFonts w:hint="eastAsia"/>
          <w:color w:val="auto"/>
          <w:highlight w:val="none"/>
        </w:rPr>
        <w:t>AI数据处理平台</w:t>
      </w:r>
    </w:p>
    <w:p w14:paraId="37749279">
      <w:pPr>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AI数据处理平台对接上游数据源，通过数据处理工具，将传统的非结构化、结构化语料转化为用于智能化业务的向量及其他AI友好数据，整合分散在各部门的政务知识，实现智能数据标准化与治理，为AI模型训练及应用提供高质量数据，建立健全AI数据安全管理体系，确保数据在采集、传输、存储、处理过程中的安全性与合规性。</w:t>
      </w:r>
    </w:p>
    <w:p w14:paraId="748C6C2E">
      <w:pPr>
        <w:pStyle w:val="5"/>
        <w:numPr>
          <w:ilvl w:val="1"/>
          <w:numId w:val="3"/>
        </w:numPr>
        <w:ind w:left="0" w:firstLine="428"/>
        <w:rPr>
          <w:rFonts w:hint="eastAsia" w:ascii="Arial" w:hAnsi="Arial" w:cs="Times New Roman"/>
          <w:color w:val="auto"/>
          <w:szCs w:val="28"/>
          <w:highlight w:val="none"/>
        </w:rPr>
      </w:pPr>
      <w:r>
        <w:rPr>
          <w:rFonts w:hint="eastAsia" w:ascii="Arial" w:hAnsi="Arial" w:cs="Times New Roman"/>
          <w:color w:val="auto"/>
          <w:szCs w:val="28"/>
          <w:highlight w:val="none"/>
        </w:rPr>
        <w:t>AI数据处理平台用户管理</w:t>
      </w:r>
    </w:p>
    <w:p w14:paraId="1F82F8F7">
      <w:pPr>
        <w:spacing w:line="360" w:lineRule="auto"/>
        <w:ind w:firstLine="480"/>
        <w:rPr>
          <w:rFonts w:ascii="宋体" w:hAnsi="宋体" w:cs="宋体"/>
          <w:bCs/>
          <w:color w:val="auto"/>
          <w:szCs w:val="21"/>
          <w:highlight w:val="none"/>
        </w:rPr>
      </w:pPr>
      <w:r>
        <w:rPr>
          <w:rFonts w:hint="eastAsia" w:ascii="宋体" w:hAnsi="宋体" w:cs="宋体"/>
          <w:bCs/>
          <w:color w:val="auto"/>
          <w:szCs w:val="21"/>
          <w:highlight w:val="none"/>
        </w:rPr>
        <w:t>AI数据处理平台的用户管理功能旨在提供用户认证与权限控制体系。支持通过浙政钉账号密码登录或扫码登录，支持找回密码和新账号激活功能；支持管理员新增或移除数据集管理员，实现多角色协作。主要功能包括</w:t>
      </w:r>
      <w:r>
        <w:rPr>
          <w:rFonts w:hint="eastAsia" w:ascii="宋体" w:hAnsi="宋体" w:cs="宋体"/>
          <w:bCs/>
          <w:color w:val="auto"/>
          <w:szCs w:val="21"/>
          <w:highlight w:val="none"/>
          <w:lang w:eastAsia="zh-CN"/>
        </w:rPr>
        <w:t>登录</w:t>
      </w:r>
      <w:r>
        <w:rPr>
          <w:rFonts w:hint="eastAsia" w:ascii="宋体" w:hAnsi="宋体" w:cs="宋体"/>
          <w:bCs/>
          <w:color w:val="auto"/>
          <w:szCs w:val="21"/>
          <w:highlight w:val="none"/>
        </w:rPr>
        <w:t>认证和权限管控。</w:t>
      </w:r>
    </w:p>
    <w:p w14:paraId="1009286E">
      <w:pPr>
        <w:pStyle w:val="5"/>
        <w:numPr>
          <w:ilvl w:val="1"/>
          <w:numId w:val="3"/>
        </w:numPr>
        <w:ind w:left="0" w:firstLine="428"/>
        <w:rPr>
          <w:rFonts w:hint="eastAsia" w:ascii="Arial" w:hAnsi="Arial" w:cs="Times New Roman"/>
          <w:color w:val="auto"/>
          <w:szCs w:val="28"/>
          <w:highlight w:val="none"/>
        </w:rPr>
      </w:pPr>
      <w:r>
        <w:rPr>
          <w:rFonts w:hint="eastAsia" w:ascii="Arial" w:hAnsi="Arial" w:cs="Times New Roman"/>
          <w:color w:val="auto"/>
          <w:szCs w:val="28"/>
          <w:highlight w:val="none"/>
        </w:rPr>
        <w:t>智能数据要素集元数据管理</w:t>
      </w:r>
    </w:p>
    <w:p w14:paraId="6AFAAF99">
      <w:pPr>
        <w:spacing w:line="360" w:lineRule="auto"/>
        <w:ind w:firstLine="480"/>
        <w:rPr>
          <w:rFonts w:ascii="宋体" w:hAnsi="宋体" w:cs="宋体"/>
          <w:bCs/>
          <w:color w:val="auto"/>
          <w:szCs w:val="21"/>
          <w:highlight w:val="none"/>
        </w:rPr>
      </w:pPr>
      <w:r>
        <w:rPr>
          <w:rFonts w:hint="eastAsia" w:ascii="宋体" w:hAnsi="宋体" w:cs="宋体"/>
          <w:color w:val="auto"/>
          <w:szCs w:val="21"/>
          <w:highlight w:val="none"/>
        </w:rPr>
        <w:t>智能数据要素元数据管理提供数据要素的基础信息和元数据管理功能。提供数据要素集的基础增删改差能力。提供数据要素的分类标签、使用场景标签、来源标签、关键词等元数据信息编辑能力。针对多模态数据，提供智能化元数据自动提取功能。主要功能包括数据集列表、数据集操作、数据集元数据浏览、数据集详情、数据集文档详情。</w:t>
      </w:r>
    </w:p>
    <w:p w14:paraId="3F99FE74">
      <w:pPr>
        <w:pStyle w:val="5"/>
        <w:numPr>
          <w:ilvl w:val="1"/>
          <w:numId w:val="3"/>
        </w:numPr>
        <w:ind w:left="0" w:firstLine="428"/>
        <w:rPr>
          <w:rFonts w:hint="eastAsia" w:ascii="Arial" w:hAnsi="Arial" w:cs="Times New Roman"/>
          <w:color w:val="auto"/>
          <w:szCs w:val="28"/>
          <w:highlight w:val="none"/>
        </w:rPr>
      </w:pPr>
      <w:r>
        <w:rPr>
          <w:rFonts w:hint="eastAsia" w:ascii="Arial" w:hAnsi="Arial" w:cs="Times New Roman"/>
          <w:color w:val="auto"/>
          <w:szCs w:val="28"/>
          <w:highlight w:val="none"/>
        </w:rPr>
        <w:t>智能数据要素数据接入</w:t>
      </w:r>
    </w:p>
    <w:p w14:paraId="29E731FA">
      <w:pPr>
        <w:spacing w:line="360" w:lineRule="auto"/>
        <w:ind w:firstLine="480"/>
        <w:rPr>
          <w:rFonts w:hint="eastAsia" w:ascii="宋体" w:hAnsi="宋体" w:cs="宋体"/>
          <w:color w:val="auto"/>
          <w:szCs w:val="21"/>
          <w:highlight w:val="none"/>
        </w:rPr>
      </w:pPr>
      <w:r>
        <w:rPr>
          <w:rFonts w:hint="eastAsia" w:ascii="宋体" w:hAnsi="宋体" w:cs="宋体"/>
          <w:bCs w:val="0"/>
          <w:color w:val="auto"/>
          <w:szCs w:val="21"/>
          <w:highlight w:val="none"/>
        </w:rPr>
        <w:t>智能数据要素数据接入提供多方系统数据源的连接管理和数据同步能力。提供数据源连接状态监控与管理能力，提供数据源连接调试预览能力，支持对多种格式的数据源的配置后预览。</w:t>
      </w:r>
      <w:r>
        <w:rPr>
          <w:rFonts w:hint="eastAsia" w:ascii="宋体" w:hAnsi="宋体" w:cs="宋体"/>
          <w:color w:val="auto"/>
          <w:szCs w:val="21"/>
          <w:highlight w:val="none"/>
        </w:rPr>
        <w:t>主要功能包括本地文件与外部数据源注册、数据源连接验证与参数校验、数据源预览、数据源状态预览、数据抽取任务进度浏览、数据接入日志与审计追踪。</w:t>
      </w:r>
    </w:p>
    <w:p w14:paraId="0FB8CA0E">
      <w:pPr>
        <w:pStyle w:val="5"/>
        <w:numPr>
          <w:ilvl w:val="1"/>
          <w:numId w:val="3"/>
        </w:numPr>
        <w:spacing w:line="360" w:lineRule="auto"/>
        <w:ind w:left="0" w:firstLine="428"/>
        <w:rPr>
          <w:rFonts w:hint="eastAsia" w:ascii="Arial" w:hAnsi="Arial" w:eastAsia="宋体"/>
          <w:color w:val="auto"/>
          <w:highlight w:val="none"/>
        </w:rPr>
      </w:pPr>
      <w:r>
        <w:rPr>
          <w:rFonts w:hint="eastAsia" w:ascii="Arial" w:hAnsi="Arial" w:eastAsia="宋体" w:cs="Times New Roman"/>
          <w:color w:val="auto"/>
          <w:szCs w:val="28"/>
          <w:highlight w:val="none"/>
        </w:rPr>
        <w:t>智能数据要素清洗</w:t>
      </w:r>
    </w:p>
    <w:p w14:paraId="78FA73AC">
      <w:pPr>
        <w:pStyle w:val="15"/>
        <w:spacing w:line="360" w:lineRule="auto"/>
        <w:ind w:left="0"/>
        <w:rPr>
          <w:rFonts w:hint="eastAsia" w:ascii="宋体" w:hAnsi="宋体" w:eastAsia="宋体" w:cs="宋体"/>
          <w:color w:val="auto"/>
          <w:szCs w:val="21"/>
          <w:highlight w:val="none"/>
        </w:rPr>
      </w:pPr>
      <w:r>
        <w:rPr>
          <w:rFonts w:hint="eastAsia" w:ascii="宋体" w:hAnsi="宋体" w:eastAsia="宋体" w:cs="宋体"/>
          <w:snapToGrid/>
          <w:color w:val="auto"/>
          <w:kern w:val="2"/>
          <w:sz w:val="21"/>
          <w:szCs w:val="21"/>
          <w:highlight w:val="none"/>
        </w:rPr>
        <w:t>智能数据要素清洗提供数据要素的粗加工能力。将不同来源、不同格式、不同结构、不同模态的文档内容统一转换为标准的多模态信息块形态。在系统自动清洗处理以外，提供预处理策略选择、清洗流程编排、清洗规则配置以及信息块编辑功能。</w:t>
      </w:r>
      <w:bookmarkStart w:id="33" w:name="OLE_LINK1"/>
      <w:r>
        <w:rPr>
          <w:rFonts w:hint="eastAsia" w:ascii="宋体" w:hAnsi="宋体" w:eastAsia="宋体" w:cs="宋体"/>
          <w:snapToGrid/>
          <w:color w:val="auto"/>
          <w:kern w:val="2"/>
          <w:sz w:val="21"/>
          <w:szCs w:val="21"/>
          <w:highlight w:val="none"/>
        </w:rPr>
        <w:t>主要功能包括</w:t>
      </w:r>
      <w:bookmarkEnd w:id="33"/>
      <w:r>
        <w:rPr>
          <w:rFonts w:hint="eastAsia" w:ascii="宋体" w:hAnsi="宋体" w:eastAsia="宋体" w:cs="宋体"/>
          <w:snapToGrid/>
          <w:color w:val="auto"/>
          <w:kern w:val="2"/>
          <w:sz w:val="21"/>
          <w:szCs w:val="21"/>
          <w:highlight w:val="none"/>
        </w:rPr>
        <w:t>文档解析与结构化提取、文档解析与结构化提取配置、数据转换预览、数据清洗与质量评估、数据预处理工作流配置与执行、数据质量问题自动检测、敏感信息智能识别与脱敏。</w:t>
      </w:r>
    </w:p>
    <w:p w14:paraId="0E505312">
      <w:pPr>
        <w:pStyle w:val="5"/>
        <w:numPr>
          <w:ilvl w:val="1"/>
          <w:numId w:val="3"/>
        </w:numPr>
        <w:spacing w:line="360" w:lineRule="auto"/>
        <w:ind w:left="0" w:firstLine="428"/>
        <w:rPr>
          <w:rFonts w:hint="eastAsia" w:ascii="Arial" w:hAnsi="Arial" w:cs="Times New Roman"/>
          <w:color w:val="auto"/>
          <w:szCs w:val="28"/>
          <w:highlight w:val="none"/>
        </w:rPr>
      </w:pPr>
      <w:r>
        <w:rPr>
          <w:rFonts w:hint="eastAsia" w:ascii="Arial" w:hAnsi="Arial" w:cs="Times New Roman"/>
          <w:color w:val="auto"/>
          <w:szCs w:val="28"/>
          <w:highlight w:val="none"/>
        </w:rPr>
        <w:t>智能数据要素知识建模</w:t>
      </w:r>
    </w:p>
    <w:p w14:paraId="59FEC6D0">
      <w:pPr>
        <w:pStyle w:val="15"/>
        <w:spacing w:line="360" w:lineRule="auto"/>
        <w:rPr>
          <w:rFonts w:hint="eastAsia" w:hAnsi="宋体" w:cs="宋体"/>
          <w:snapToGrid/>
          <w:color w:val="auto"/>
          <w:kern w:val="2"/>
          <w:sz w:val="21"/>
          <w:szCs w:val="21"/>
          <w:highlight w:val="none"/>
        </w:rPr>
      </w:pPr>
      <w:r>
        <w:rPr>
          <w:rFonts w:hint="eastAsia" w:hAnsi="宋体" w:cs="宋体"/>
          <w:snapToGrid/>
          <w:color w:val="auto"/>
          <w:kern w:val="2"/>
          <w:sz w:val="21"/>
          <w:szCs w:val="21"/>
          <w:highlight w:val="none"/>
        </w:rPr>
        <w:t>智能数据要素知识建模子系统对标准的多模态信息块进行知识抽取、知识表示、知识索引以及知识标注处理。面向知识文档场景，提供将信息块建模为知识片段和知识图谱的功能。针对模型训练场景，提供对信息块进行人工标注的功能，支持标注为模型训练所需数据格式。主要功能包括知识抽取规则配置、行业图谱自动化构建、图谱知识融合操作、增量图谱构建、知识可视化操作、人工标注增强。</w:t>
      </w:r>
    </w:p>
    <w:p w14:paraId="46C864D4">
      <w:pPr>
        <w:pStyle w:val="5"/>
        <w:numPr>
          <w:ilvl w:val="1"/>
          <w:numId w:val="3"/>
        </w:numPr>
        <w:ind w:left="0" w:firstLine="428"/>
        <w:rPr>
          <w:rFonts w:hint="eastAsia" w:ascii="Arial" w:hAnsi="Arial" w:eastAsia="宋体" w:cs="Times New Roman"/>
          <w:b/>
          <w:bCs/>
          <w:color w:val="auto"/>
          <w:szCs w:val="28"/>
          <w:highlight w:val="none"/>
          <w:u w:val="single"/>
        </w:rPr>
      </w:pPr>
      <w:r>
        <w:rPr>
          <w:rFonts w:hint="eastAsia" w:ascii="Arial" w:hAnsi="Arial" w:cs="Times New Roman"/>
          <w:b/>
          <w:bCs/>
          <w:color w:val="auto"/>
          <w:szCs w:val="28"/>
          <w:highlight w:val="none"/>
          <w:u w:val="single"/>
        </w:rPr>
        <w:t>★智能数据要素目录</w:t>
      </w:r>
    </w:p>
    <w:p w14:paraId="0DDC8154">
      <w:pPr>
        <w:pStyle w:val="15"/>
        <w:spacing w:line="360" w:lineRule="auto"/>
        <w:rPr>
          <w:rFonts w:hint="eastAsia" w:ascii="宋体" w:hAnsi="宋体" w:eastAsia="宋体" w:cs="宋体"/>
          <w:b/>
          <w:bCs/>
          <w:snapToGrid/>
          <w:color w:val="auto"/>
          <w:kern w:val="2"/>
          <w:sz w:val="21"/>
          <w:szCs w:val="21"/>
          <w:highlight w:val="none"/>
          <w:u w:val="single"/>
        </w:rPr>
      </w:pPr>
      <w:r>
        <w:rPr>
          <w:rFonts w:hint="eastAsia" w:ascii="宋体" w:hAnsi="宋体" w:eastAsia="宋体" w:cs="宋体"/>
          <w:b/>
          <w:bCs/>
          <w:snapToGrid/>
          <w:color w:val="auto"/>
          <w:kern w:val="2"/>
          <w:sz w:val="21"/>
          <w:szCs w:val="21"/>
          <w:highlight w:val="none"/>
          <w:u w:val="single"/>
        </w:rPr>
        <w:t>智能数据要素目录提供数据要素集的管理</w:t>
      </w:r>
      <w:r>
        <w:rPr>
          <w:rFonts w:hint="eastAsia" w:hAnsi="宋体" w:cs="宋体"/>
          <w:b/>
          <w:bCs/>
          <w:snapToGrid/>
          <w:color w:val="auto"/>
          <w:kern w:val="2"/>
          <w:sz w:val="21"/>
          <w:szCs w:val="21"/>
          <w:highlight w:val="none"/>
          <w:u w:val="single"/>
          <w:lang w:val="en-US" w:eastAsia="zh-CN"/>
        </w:rPr>
        <w:t>台</w:t>
      </w:r>
      <w:r>
        <w:rPr>
          <w:rFonts w:hint="eastAsia" w:ascii="宋体" w:hAnsi="宋体" w:eastAsia="宋体" w:cs="宋体"/>
          <w:b/>
          <w:bCs/>
          <w:snapToGrid/>
          <w:color w:val="auto"/>
          <w:kern w:val="2"/>
          <w:sz w:val="21"/>
          <w:szCs w:val="21"/>
          <w:highlight w:val="none"/>
          <w:u w:val="single"/>
        </w:rPr>
        <w:t>导航、搜索和推荐能力，用于业务场景相关数据要素集的检索与定位。包含数据要素集统一搜索入口，包含对数据要素集的分类型筛选功能。提供数据要素集之间的关系分析挖掘能力，包含数据要素推荐和数据关系预览功能。主要功能包括智能数据要素目录构建、知识发现引擎、智能数据要素集关系管理、元数据管理与检索。</w:t>
      </w:r>
    </w:p>
    <w:p w14:paraId="51E5DEC4">
      <w:pPr>
        <w:pStyle w:val="5"/>
        <w:numPr>
          <w:ilvl w:val="1"/>
          <w:numId w:val="3"/>
        </w:numPr>
        <w:ind w:left="0" w:firstLine="428"/>
        <w:rPr>
          <w:rFonts w:hint="eastAsia" w:ascii="Arial" w:hAnsi="Arial" w:cs="Times New Roman"/>
          <w:color w:val="auto"/>
          <w:szCs w:val="28"/>
          <w:highlight w:val="none"/>
        </w:rPr>
      </w:pPr>
      <w:r>
        <w:rPr>
          <w:rFonts w:hint="eastAsia" w:ascii="Arial" w:hAnsi="Arial" w:cs="Times New Roman"/>
          <w:color w:val="auto"/>
          <w:szCs w:val="28"/>
          <w:highlight w:val="none"/>
        </w:rPr>
        <w:t>智能数据要素分发</w:t>
      </w:r>
    </w:p>
    <w:p w14:paraId="1975210E">
      <w:pPr>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智能数据要素分发与集成扩展子系统提供安全的系统集成和数据使用功能。 提供数据要素集的权限管控能力，控制数据要素集的可见性和开发授权。提供数据要素流转过程的安全审计功能。提供数据要素集快速集成至智能业务集开环境、模型服务训练环境的能力。主要功能包括数据导出、数据集分享、数据要素浏览、数据要素集成。</w:t>
      </w:r>
    </w:p>
    <w:p w14:paraId="310A418E">
      <w:pPr>
        <w:pStyle w:val="4"/>
        <w:numPr>
          <w:ilvl w:val="0"/>
          <w:numId w:val="3"/>
        </w:numPr>
        <w:ind w:left="0" w:firstLine="428"/>
        <w:rPr>
          <w:color w:val="auto"/>
          <w:highlight w:val="none"/>
        </w:rPr>
      </w:pPr>
      <w:r>
        <w:rPr>
          <w:rFonts w:hint="eastAsia"/>
          <w:color w:val="auto"/>
          <w:highlight w:val="none"/>
        </w:rPr>
        <w:t>政务大模型服务平台</w:t>
      </w:r>
    </w:p>
    <w:p w14:paraId="4AED0D5A">
      <w:pPr>
        <w:spacing w:line="360" w:lineRule="auto"/>
        <w:ind w:firstLine="480"/>
        <w:rPr>
          <w:rFonts w:ascii="宋体" w:hAnsi="宋体" w:cs="宋体"/>
          <w:bCs/>
          <w:color w:val="auto"/>
          <w:szCs w:val="21"/>
          <w:highlight w:val="none"/>
        </w:rPr>
      </w:pPr>
      <w:r>
        <w:rPr>
          <w:rFonts w:hint="eastAsia" w:ascii="宋体" w:hAnsi="宋体" w:cs="宋体"/>
          <w:color w:val="auto"/>
          <w:szCs w:val="21"/>
          <w:highlight w:val="none"/>
        </w:rPr>
        <w:t>政务大模型服务平台是政务智慧办公和业务智能化的模型基础支撑平台，提供基于业务场景需求的模型调优能力，通过多种训练算法和框架实现一站式政务专属大模型生产。平台提供模型训练、模型推理、数据集管理、服务调度等模型开发和应用的整套工具链，可实现多种垂类模型的训练、推理和部署，并进行统一管理，是业务智能化的“发动机”。</w:t>
      </w:r>
    </w:p>
    <w:p w14:paraId="682E2DE8">
      <w:pPr>
        <w:pStyle w:val="5"/>
        <w:numPr>
          <w:ilvl w:val="1"/>
          <w:numId w:val="3"/>
        </w:numPr>
        <w:ind w:left="0" w:firstLine="428"/>
        <w:rPr>
          <w:b/>
          <w:bCs/>
          <w:color w:val="auto"/>
          <w:highlight w:val="none"/>
          <w:u w:val="single"/>
        </w:rPr>
      </w:pPr>
      <w:r>
        <w:rPr>
          <w:rFonts w:hint="eastAsia" w:ascii="宋体" w:hAnsi="宋体" w:cs="宋体"/>
          <w:b/>
          <w:bCs/>
          <w:color w:val="auto"/>
          <w:szCs w:val="21"/>
          <w:highlight w:val="none"/>
          <w:u w:val="single"/>
        </w:rPr>
        <w:t>★</w:t>
      </w:r>
      <w:r>
        <w:rPr>
          <w:rFonts w:hint="eastAsia"/>
          <w:b/>
          <w:bCs/>
          <w:color w:val="auto"/>
          <w:highlight w:val="none"/>
          <w:u w:val="single"/>
        </w:rPr>
        <w:t>模型训练系统</w:t>
      </w:r>
    </w:p>
    <w:p w14:paraId="6BC78483">
      <w:pPr>
        <w:spacing w:line="360" w:lineRule="auto"/>
        <w:ind w:firstLine="480"/>
        <w:rPr>
          <w:rFonts w:ascii="宋体" w:hAnsi="宋体" w:cs="宋体"/>
          <w:b/>
          <w:bCs/>
          <w:color w:val="auto"/>
          <w:szCs w:val="21"/>
          <w:highlight w:val="none"/>
          <w:u w:val="single"/>
        </w:rPr>
      </w:pPr>
      <w:r>
        <w:rPr>
          <w:rFonts w:hint="eastAsia" w:ascii="宋体" w:hAnsi="宋体" w:cs="宋体"/>
          <w:b/>
          <w:bCs/>
          <w:color w:val="auto"/>
          <w:szCs w:val="21"/>
          <w:highlight w:val="none"/>
          <w:u w:val="single"/>
        </w:rPr>
        <w:t>支持快速选择数据集，基于通用模型训练能力，低成本微调模型。支持从预训练到SFT（监督微调）训练，再到RLHF（人类反馈强化学习）训练，完成垂类模型生产。主要功能包括底模型管理、知识问答预训练、知识问答</w:t>
      </w:r>
      <w:r>
        <w:rPr>
          <w:rFonts w:ascii="宋体" w:hAnsi="宋体" w:cs="宋体"/>
          <w:b/>
          <w:bCs/>
          <w:color w:val="auto"/>
          <w:szCs w:val="21"/>
          <w:highlight w:val="none"/>
          <w:u w:val="single"/>
        </w:rPr>
        <w:t>SFT（监督微调）训练、知识问答RLHF（人类反馈学习）训练、通用模型训练、训练任务调度。</w:t>
      </w:r>
    </w:p>
    <w:p w14:paraId="67DC0FCF">
      <w:pPr>
        <w:pStyle w:val="5"/>
        <w:numPr>
          <w:ilvl w:val="1"/>
          <w:numId w:val="3"/>
        </w:numPr>
        <w:ind w:left="0" w:firstLine="428"/>
        <w:rPr>
          <w:color w:val="auto"/>
          <w:highlight w:val="none"/>
        </w:rPr>
      </w:pPr>
      <w:r>
        <w:rPr>
          <w:rFonts w:hint="eastAsia"/>
          <w:color w:val="auto"/>
          <w:highlight w:val="none"/>
        </w:rPr>
        <w:t>模型管理</w:t>
      </w:r>
    </w:p>
    <w:p w14:paraId="4A0FDC53">
      <w:pPr>
        <w:spacing w:line="360" w:lineRule="auto"/>
        <w:ind w:firstLine="480"/>
        <w:rPr>
          <w:rFonts w:ascii="宋体" w:hAnsi="宋体" w:cs="宋体"/>
          <w:bCs/>
          <w:color w:val="auto"/>
          <w:szCs w:val="21"/>
          <w:highlight w:val="none"/>
        </w:rPr>
      </w:pPr>
      <w:r>
        <w:rPr>
          <w:rFonts w:hint="eastAsia" w:ascii="宋体" w:hAnsi="宋体" w:cs="宋体"/>
          <w:color w:val="auto"/>
          <w:szCs w:val="21"/>
          <w:highlight w:val="none"/>
        </w:rPr>
        <w:t>支持正在进行训练和完成训练的政务垂类模型管理，提供可视化页面，作为AI余杭模型管理统一入口，包括模型训练进度展示、各模型状态管理等。主要功能包括专属模型训练任务管理、专属模型状态管理。</w:t>
      </w:r>
    </w:p>
    <w:p w14:paraId="7A2272D4">
      <w:pPr>
        <w:pStyle w:val="5"/>
        <w:numPr>
          <w:ilvl w:val="1"/>
          <w:numId w:val="3"/>
        </w:numPr>
        <w:ind w:left="0" w:firstLine="428"/>
        <w:rPr>
          <w:b/>
          <w:bCs/>
          <w:color w:val="auto"/>
          <w:highlight w:val="none"/>
          <w:u w:val="single"/>
        </w:rPr>
      </w:pPr>
      <w:r>
        <w:rPr>
          <w:rFonts w:hint="eastAsia" w:ascii="宋体" w:hAnsi="宋体" w:cs="宋体"/>
          <w:b/>
          <w:bCs/>
          <w:color w:val="auto"/>
          <w:szCs w:val="21"/>
          <w:highlight w:val="none"/>
          <w:u w:val="single"/>
        </w:rPr>
        <w:t>★</w:t>
      </w:r>
      <w:r>
        <w:rPr>
          <w:rFonts w:hint="eastAsia"/>
          <w:b/>
          <w:bCs/>
          <w:color w:val="auto"/>
          <w:highlight w:val="none"/>
          <w:u w:val="single"/>
        </w:rPr>
        <w:t>模型体验</w:t>
      </w:r>
    </w:p>
    <w:p w14:paraId="1A580295">
      <w:pPr>
        <w:spacing w:line="360" w:lineRule="auto"/>
        <w:ind w:firstLine="480"/>
        <w:rPr>
          <w:rFonts w:ascii="宋体" w:hAnsi="宋体" w:cs="宋体"/>
          <w:b/>
          <w:bCs/>
          <w:color w:val="auto"/>
          <w:szCs w:val="21"/>
          <w:highlight w:val="none"/>
          <w:u w:val="single"/>
        </w:rPr>
      </w:pPr>
      <w:r>
        <w:rPr>
          <w:rFonts w:hint="eastAsia" w:ascii="宋体" w:hAnsi="宋体" w:cs="宋体"/>
          <w:b/>
          <w:bCs/>
          <w:color w:val="auto"/>
          <w:szCs w:val="21"/>
          <w:highlight w:val="none"/>
          <w:u w:val="single"/>
        </w:rPr>
        <w:t>模型体验中心为政府提供多个模型在线体验服务，可同时选择三个不同的模型，咨询相同问题，对比各个模型响应的内容差异和响应时长等。主要功能包括</w:t>
      </w:r>
      <w:r>
        <w:rPr>
          <w:rFonts w:hint="eastAsia"/>
          <w:b/>
          <w:bCs/>
          <w:color w:val="auto"/>
          <w:highlight w:val="none"/>
          <w:u w:val="single"/>
        </w:rPr>
        <w:t>多模型在线体验。</w:t>
      </w:r>
    </w:p>
    <w:p w14:paraId="1005334A">
      <w:pPr>
        <w:pStyle w:val="5"/>
        <w:numPr>
          <w:ilvl w:val="1"/>
          <w:numId w:val="3"/>
        </w:numPr>
        <w:ind w:left="0" w:firstLine="428"/>
        <w:rPr>
          <w:color w:val="auto"/>
          <w:highlight w:val="none"/>
        </w:rPr>
      </w:pPr>
      <w:r>
        <w:rPr>
          <w:rFonts w:hint="eastAsia"/>
          <w:color w:val="auto"/>
          <w:highlight w:val="none"/>
        </w:rPr>
        <w:t>训练数据集管理</w:t>
      </w:r>
    </w:p>
    <w:p w14:paraId="30A900A8">
      <w:pPr>
        <w:spacing w:line="360" w:lineRule="auto"/>
        <w:ind w:firstLine="480"/>
        <w:rPr>
          <w:rFonts w:ascii="宋体" w:hAnsi="宋体" w:cs="宋体"/>
          <w:bCs/>
          <w:color w:val="auto"/>
          <w:szCs w:val="21"/>
          <w:highlight w:val="none"/>
        </w:rPr>
      </w:pPr>
      <w:r>
        <w:rPr>
          <w:rFonts w:hint="eastAsia" w:ascii="宋体" w:hAnsi="宋体" w:cs="宋体"/>
          <w:color w:val="auto"/>
          <w:szCs w:val="21"/>
          <w:highlight w:val="none"/>
        </w:rPr>
        <w:t>在数据集管理模块中，管理对训练大模型至关重要的训练数据，按照不同的训练目的，支持SFT（监督微调）、Pre-train（预训练）、RLHF（人类反馈强化学习）等多种训练数据集的管理，并提供多种文件格式的上传和解析能力，让模型训练变得更加顺畅和高效。主要功能包括数据上传、数据管理。</w:t>
      </w:r>
    </w:p>
    <w:p w14:paraId="69F2C7E2">
      <w:pPr>
        <w:pStyle w:val="5"/>
        <w:numPr>
          <w:ilvl w:val="1"/>
          <w:numId w:val="3"/>
        </w:numPr>
        <w:ind w:left="0" w:firstLine="428"/>
        <w:rPr>
          <w:color w:val="auto"/>
          <w:highlight w:val="none"/>
        </w:rPr>
      </w:pPr>
      <w:r>
        <w:rPr>
          <w:rFonts w:hint="eastAsia"/>
          <w:color w:val="auto"/>
          <w:highlight w:val="none"/>
        </w:rPr>
        <w:t>资源管理</w:t>
      </w:r>
    </w:p>
    <w:p w14:paraId="513F7D88">
      <w:pPr>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通过可视化手段对模型训练、推理消耗的资源从多个维度进行管理、统计和分析。主要功能包括</w:t>
      </w:r>
      <w:r>
        <w:rPr>
          <w:rFonts w:hint="eastAsia"/>
          <w:color w:val="auto"/>
          <w:highlight w:val="none"/>
        </w:rPr>
        <w:t>Tokens消耗看板。</w:t>
      </w:r>
    </w:p>
    <w:p w14:paraId="55B59AE5">
      <w:pPr>
        <w:pStyle w:val="4"/>
        <w:numPr>
          <w:ilvl w:val="0"/>
          <w:numId w:val="3"/>
        </w:numPr>
        <w:ind w:left="0" w:firstLine="428"/>
        <w:rPr>
          <w:color w:val="auto"/>
          <w:highlight w:val="none"/>
        </w:rPr>
      </w:pPr>
      <w:r>
        <w:rPr>
          <w:rFonts w:hint="eastAsia"/>
          <w:color w:val="auto"/>
          <w:highlight w:val="none"/>
        </w:rPr>
        <w:t>政务垂类大模型专家调优服务</w:t>
      </w:r>
    </w:p>
    <w:p w14:paraId="16806CB6">
      <w:pPr>
        <w:spacing w:line="360" w:lineRule="auto"/>
        <w:ind w:firstLine="480"/>
        <w:rPr>
          <w:rFonts w:ascii="宋体" w:hAnsi="宋体" w:cs="宋体"/>
          <w:bCs/>
          <w:color w:val="auto"/>
          <w:szCs w:val="21"/>
          <w:highlight w:val="none"/>
        </w:rPr>
      </w:pPr>
      <w:r>
        <w:rPr>
          <w:rFonts w:hint="eastAsia" w:ascii="宋体" w:hAnsi="宋体" w:cs="宋体"/>
          <w:color w:val="auto"/>
          <w:szCs w:val="21"/>
          <w:highlight w:val="none"/>
        </w:rPr>
        <w:t>基于AI余杭的需求，实施政务垂类模型训练和调优服务。包含数据处理、模型训练、模型测试等服务，提供定制化训练专属模型，提高垂类模型在特定场景任务上的效果，完成政策解读模型、业务问答模型、智能审核</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校对</w:t>
      </w:r>
      <w:r>
        <w:rPr>
          <w:rFonts w:hint="eastAsia" w:ascii="宋体" w:hAnsi="宋体" w:cs="宋体"/>
          <w:color w:val="auto"/>
          <w:szCs w:val="21"/>
          <w:highlight w:val="none"/>
          <w:lang w:eastAsia="zh-CN"/>
        </w:rPr>
        <w:t>）</w:t>
      </w:r>
      <w:r>
        <w:rPr>
          <w:rFonts w:hint="eastAsia" w:ascii="宋体" w:hAnsi="宋体" w:cs="宋体"/>
          <w:color w:val="auto"/>
          <w:szCs w:val="21"/>
          <w:highlight w:val="none"/>
        </w:rPr>
        <w:t>模型、智能PPT创作模型、公文创作模型5个模型的调优服务。</w:t>
      </w:r>
    </w:p>
    <w:p w14:paraId="4D911C53">
      <w:pPr>
        <w:pStyle w:val="5"/>
        <w:numPr>
          <w:ilvl w:val="1"/>
          <w:numId w:val="3"/>
        </w:numPr>
        <w:ind w:left="0" w:firstLine="428"/>
        <w:rPr>
          <w:color w:val="auto"/>
          <w:highlight w:val="none"/>
        </w:rPr>
      </w:pPr>
      <w:r>
        <w:rPr>
          <w:rFonts w:hint="eastAsia"/>
          <w:color w:val="auto"/>
          <w:highlight w:val="none"/>
        </w:rPr>
        <w:t>数据处理服务</w:t>
      </w:r>
    </w:p>
    <w:p w14:paraId="6429702D">
      <w:pPr>
        <w:spacing w:line="360" w:lineRule="auto"/>
        <w:ind w:firstLine="480"/>
        <w:rPr>
          <w:rFonts w:ascii="宋体" w:hAnsi="宋体" w:cs="宋体"/>
          <w:bCs/>
          <w:color w:val="auto"/>
          <w:szCs w:val="21"/>
          <w:highlight w:val="none"/>
        </w:rPr>
      </w:pPr>
      <w:r>
        <w:rPr>
          <w:rFonts w:hint="eastAsia" w:ascii="宋体" w:hAnsi="宋体" w:cs="宋体"/>
          <w:color w:val="auto"/>
          <w:szCs w:val="21"/>
          <w:highlight w:val="none"/>
        </w:rPr>
        <w:t>完成政策解读模型、业务问答模型、智能审核</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校对</w:t>
      </w:r>
      <w:r>
        <w:rPr>
          <w:rFonts w:hint="eastAsia" w:ascii="宋体" w:hAnsi="宋体" w:cs="宋体"/>
          <w:color w:val="auto"/>
          <w:szCs w:val="21"/>
          <w:highlight w:val="none"/>
          <w:lang w:eastAsia="zh-CN"/>
        </w:rPr>
        <w:t>）</w:t>
      </w:r>
      <w:r>
        <w:rPr>
          <w:rFonts w:hint="eastAsia" w:ascii="宋体" w:hAnsi="宋体" w:cs="宋体"/>
          <w:color w:val="auto"/>
          <w:szCs w:val="21"/>
          <w:highlight w:val="none"/>
        </w:rPr>
        <w:t>模型、智能PPT创作模型、公文创作模型5个模型的数据处理服务。数据处理包括3个方面。第一，数据集构建，根据特定的领域任务场景，构建通用数据集、领域知识数据集、场景任务数据集、用户自有数据集。第二，数据集做清洗，包括去重、处理、低质量内容过滤等。第三，通过数据增强能力扩展数据样本，提高模型的泛化能力。主要服务包括数据集构建、数据清洗、数据增强服务。</w:t>
      </w:r>
    </w:p>
    <w:p w14:paraId="6CE910B3">
      <w:pPr>
        <w:pStyle w:val="5"/>
        <w:numPr>
          <w:ilvl w:val="1"/>
          <w:numId w:val="3"/>
        </w:numPr>
        <w:ind w:left="0" w:firstLine="428"/>
        <w:rPr>
          <w:color w:val="auto"/>
          <w:highlight w:val="none"/>
        </w:rPr>
      </w:pPr>
      <w:r>
        <w:rPr>
          <w:rFonts w:hint="eastAsia"/>
          <w:color w:val="auto"/>
          <w:highlight w:val="none"/>
        </w:rPr>
        <w:t>模型训练服务</w:t>
      </w:r>
    </w:p>
    <w:p w14:paraId="2E6062A4">
      <w:pPr>
        <w:spacing w:line="360" w:lineRule="auto"/>
        <w:ind w:firstLine="480"/>
        <w:rPr>
          <w:rFonts w:ascii="宋体" w:hAnsi="宋体" w:cs="宋体"/>
          <w:bCs/>
          <w:color w:val="auto"/>
          <w:szCs w:val="21"/>
          <w:highlight w:val="none"/>
        </w:rPr>
      </w:pPr>
      <w:r>
        <w:rPr>
          <w:rFonts w:hint="eastAsia" w:ascii="宋体" w:hAnsi="宋体" w:cs="宋体"/>
          <w:color w:val="auto"/>
          <w:szCs w:val="21"/>
          <w:highlight w:val="none"/>
        </w:rPr>
        <w:t>完成政策解读模型、业务问答模型、智能审核</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校对</w:t>
      </w:r>
      <w:r>
        <w:rPr>
          <w:rFonts w:hint="eastAsia" w:ascii="宋体" w:hAnsi="宋体" w:cs="宋体"/>
          <w:color w:val="auto"/>
          <w:szCs w:val="21"/>
          <w:highlight w:val="none"/>
          <w:lang w:eastAsia="zh-CN"/>
        </w:rPr>
        <w:t>）</w:t>
      </w:r>
      <w:r>
        <w:rPr>
          <w:rFonts w:hint="eastAsia" w:ascii="宋体" w:hAnsi="宋体" w:cs="宋体"/>
          <w:color w:val="auto"/>
          <w:szCs w:val="21"/>
          <w:highlight w:val="none"/>
        </w:rPr>
        <w:t>模型、智能PPT创作模型、公文创作模型5个模型的模型训练服务。模型训练包括3个关键步骤：一是Continual Pretrain（继续预训练），通过引入领域知识来强化专属模型在特定领域的知识；二是SFT（监督微调），在特定任务上进行有监督学习，以提升大模型在特定任务上的指令遵循能力；三</w:t>
      </w:r>
      <w:r>
        <w:rPr>
          <w:rFonts w:hint="eastAsia" w:ascii="宋体" w:hAnsi="宋体" w:cs="宋体"/>
          <w:color w:val="auto"/>
          <w:szCs w:val="21"/>
          <w:highlight w:val="none"/>
          <w:lang w:eastAsia="zh-CN"/>
        </w:rPr>
        <w:t>是</w:t>
      </w:r>
      <w:r>
        <w:rPr>
          <w:rFonts w:hint="eastAsia" w:ascii="宋体" w:hAnsi="宋体" w:cs="宋体"/>
          <w:color w:val="auto"/>
          <w:szCs w:val="21"/>
          <w:highlight w:val="none"/>
        </w:rPr>
        <w:t>RLHF（人类反馈强化学习），通过用户反馈进行进一步调整，旨在提高模型的响应质量与用户满意度。主要服务包括继续预训练、监督微调、人类反馈学习服务。</w:t>
      </w:r>
    </w:p>
    <w:p w14:paraId="6A1F9B8D">
      <w:pPr>
        <w:pStyle w:val="5"/>
        <w:numPr>
          <w:ilvl w:val="1"/>
          <w:numId w:val="3"/>
        </w:numPr>
        <w:ind w:left="0" w:firstLine="428"/>
        <w:rPr>
          <w:color w:val="auto"/>
          <w:highlight w:val="none"/>
        </w:rPr>
      </w:pPr>
      <w:r>
        <w:rPr>
          <w:rFonts w:hint="eastAsia"/>
          <w:color w:val="auto"/>
          <w:highlight w:val="none"/>
        </w:rPr>
        <w:t>模型测试服务</w:t>
      </w:r>
    </w:p>
    <w:p w14:paraId="49DF532C">
      <w:pPr>
        <w:spacing w:line="360" w:lineRule="auto"/>
        <w:ind w:firstLine="480"/>
        <w:rPr>
          <w:rFonts w:ascii="宋体" w:hAnsi="宋体" w:cs="宋体"/>
          <w:bCs/>
          <w:color w:val="auto"/>
          <w:szCs w:val="21"/>
          <w:highlight w:val="none"/>
        </w:rPr>
      </w:pPr>
      <w:r>
        <w:rPr>
          <w:rFonts w:hint="eastAsia" w:ascii="宋体" w:hAnsi="宋体" w:cs="宋体"/>
          <w:color w:val="auto"/>
          <w:szCs w:val="21"/>
          <w:highlight w:val="none"/>
        </w:rPr>
        <w:t>完成政策解读模型、业务问答模型、智能审核</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校对</w:t>
      </w:r>
      <w:r>
        <w:rPr>
          <w:rFonts w:hint="eastAsia" w:ascii="宋体" w:hAnsi="宋体" w:cs="宋体"/>
          <w:color w:val="auto"/>
          <w:szCs w:val="21"/>
          <w:highlight w:val="none"/>
          <w:lang w:eastAsia="zh-CN"/>
        </w:rPr>
        <w:t>）</w:t>
      </w:r>
      <w:r>
        <w:rPr>
          <w:rFonts w:hint="eastAsia" w:ascii="宋体" w:hAnsi="宋体" w:cs="宋体"/>
          <w:color w:val="auto"/>
          <w:szCs w:val="21"/>
          <w:highlight w:val="none"/>
        </w:rPr>
        <w:t>模型、智能PPT创作模型、公文创作模型5个模型的模型测试服务。模型测试主要涵盖评测构建、自动化评测和人工测试三个方面。评测构建是通过设计和创建合适的测试用例和评测指标，以确保专属模型满足预期需求。自动化评测则借助大模型能力，快速高效地执行大量测试，提升检测效率。人工测试则关注于深度分析和最终确定评估模型表现，确保在复杂场景下的稳健性和可靠性。三者相辅相成，共同评估模型的质量和实用性。主要服务包括人工评测构建</w:t>
      </w:r>
      <w:r>
        <w:rPr>
          <w:rFonts w:hint="eastAsia" w:ascii="宋体" w:hAnsi="宋体" w:cs="宋体"/>
          <w:color w:val="auto"/>
          <w:szCs w:val="21"/>
          <w:highlight w:val="none"/>
          <w:lang w:val="en-US" w:eastAsia="zh-CN"/>
        </w:rPr>
        <w:t>服务</w:t>
      </w:r>
      <w:r>
        <w:rPr>
          <w:rFonts w:hint="eastAsia" w:ascii="宋体" w:hAnsi="宋体" w:cs="宋体"/>
          <w:color w:val="auto"/>
          <w:szCs w:val="21"/>
          <w:highlight w:val="none"/>
        </w:rPr>
        <w:t>、自动化评测服务、抽样人工测试服务。</w:t>
      </w:r>
    </w:p>
    <w:p w14:paraId="3BD44A25">
      <w:pPr>
        <w:pStyle w:val="23"/>
        <w:widowControl/>
        <w:numPr>
          <w:ilvl w:val="1"/>
          <w:numId w:val="2"/>
        </w:numPr>
        <w:adjustRightInd/>
        <w:spacing w:before="100" w:after="100"/>
        <w:ind w:firstLine="422" w:firstLineChars="200"/>
        <w:jc w:val="left"/>
        <w:outlineLvl w:val="1"/>
        <w:rPr>
          <w:rFonts w:hAnsi="宋体" w:cs="宋体"/>
          <w:b/>
          <w:color w:val="auto"/>
          <w:sz w:val="21"/>
          <w:highlight w:val="none"/>
          <w:lang w:val="en-US"/>
        </w:rPr>
      </w:pPr>
      <w:r>
        <w:rPr>
          <w:rFonts w:hint="eastAsia" w:hAnsi="宋体" w:cs="宋体"/>
          <w:b/>
          <w:color w:val="auto"/>
          <w:sz w:val="21"/>
          <w:highlight w:val="none"/>
          <w:lang w:val="en-US"/>
        </w:rPr>
        <w:t>大模型业务支撑平台</w:t>
      </w:r>
    </w:p>
    <w:p w14:paraId="7E038986">
      <w:pPr>
        <w:pStyle w:val="4"/>
        <w:numPr>
          <w:ilvl w:val="0"/>
          <w:numId w:val="4"/>
        </w:numPr>
        <w:ind w:left="0" w:firstLine="428"/>
        <w:rPr>
          <w:color w:val="auto"/>
          <w:highlight w:val="none"/>
        </w:rPr>
      </w:pPr>
      <w:r>
        <w:rPr>
          <w:rFonts w:hint="eastAsia"/>
          <w:color w:val="auto"/>
          <w:highlight w:val="none"/>
        </w:rPr>
        <w:t>智能业务集成开放平台</w:t>
      </w:r>
    </w:p>
    <w:p w14:paraId="2AB46CA2">
      <w:pPr>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智能业务集成开放平台是让政务大模型走向工程化应用的桥梁，主要包括智能应用管理、智能助手搭建、智能助手技能中心和智能助手增强学习四部分。通过低代码方式搭建智能助手，实现AI技能、浙政钉一方应用技能和三方应用技能的智能化调度，让智能助手紧密地和业务系统协作起来，为平台智能应用生态繁荣提供有力支撑。</w:t>
      </w:r>
    </w:p>
    <w:p w14:paraId="67D68D8D">
      <w:pPr>
        <w:pStyle w:val="5"/>
        <w:numPr>
          <w:ilvl w:val="1"/>
          <w:numId w:val="5"/>
        </w:numPr>
        <w:ind w:left="0" w:firstLine="428"/>
        <w:rPr>
          <w:color w:val="auto"/>
          <w:highlight w:val="none"/>
        </w:rPr>
      </w:pPr>
      <w:r>
        <w:rPr>
          <w:rFonts w:hint="eastAsia"/>
          <w:color w:val="auto"/>
          <w:highlight w:val="none"/>
        </w:rPr>
        <w:t>智能应用管理</w:t>
      </w:r>
    </w:p>
    <w:p w14:paraId="1C6E75CD">
      <w:pPr>
        <w:spacing w:line="360" w:lineRule="auto"/>
        <w:ind w:firstLine="480"/>
        <w:rPr>
          <w:rFonts w:hint="eastAsia" w:ascii="宋体" w:hAnsi="宋体" w:cs="宋体"/>
          <w:color w:val="auto"/>
          <w:szCs w:val="21"/>
          <w:highlight w:val="none"/>
        </w:rPr>
      </w:pPr>
      <w:r>
        <w:rPr>
          <w:rFonts w:hint="eastAsia" w:ascii="宋体" w:hAnsi="宋体" w:cs="宋体"/>
          <w:color w:val="auto"/>
          <w:szCs w:val="21"/>
          <w:highlight w:val="none"/>
        </w:rPr>
        <w:t>智能应用管理用于构建和管理智能体开发所需的工具集。提供了一套全面的功能，帮助开发者轻松创建、发布智能应用。通过直观的界面和丰富的接口，用户可以管理智能应用的入驻、上架、下架和发布，加速智能助手的上线过程。主要功能包括集成登录、智能应用开发。</w:t>
      </w:r>
    </w:p>
    <w:p w14:paraId="09A3AFCC">
      <w:pPr>
        <w:spacing w:line="360"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通过系统可以创建、发布智能应用，管理智能应用的入驻、上架、下架和发布，也包括智能应用基本信息（名称、图标、简介）、权限、API的管理与配置。</w:t>
      </w:r>
    </w:p>
    <w:p w14:paraId="13294E4A">
      <w:pPr>
        <w:pStyle w:val="5"/>
        <w:numPr>
          <w:ilvl w:val="1"/>
          <w:numId w:val="5"/>
        </w:numPr>
        <w:ind w:left="0" w:firstLine="428"/>
        <w:rPr>
          <w:color w:val="auto"/>
          <w:highlight w:val="none"/>
        </w:rPr>
      </w:pPr>
      <w:r>
        <w:rPr>
          <w:rFonts w:hint="eastAsia"/>
          <w:color w:val="auto"/>
          <w:highlight w:val="none"/>
        </w:rPr>
        <w:t>智能助手搭建</w:t>
      </w:r>
    </w:p>
    <w:p w14:paraId="348AEC41">
      <w:pPr>
        <w:spacing w:line="360" w:lineRule="auto"/>
        <w:ind w:firstLine="480"/>
        <w:rPr>
          <w:rFonts w:hint="eastAsia" w:ascii="宋体" w:hAnsi="宋体" w:cs="宋体"/>
          <w:color w:val="auto"/>
          <w:szCs w:val="21"/>
          <w:highlight w:val="none"/>
        </w:rPr>
      </w:pPr>
      <w:r>
        <w:rPr>
          <w:rFonts w:hint="eastAsia" w:ascii="宋体" w:hAnsi="宋体" w:cs="宋体"/>
          <w:color w:val="auto"/>
          <w:szCs w:val="21"/>
          <w:highlight w:val="none"/>
        </w:rPr>
        <w:t>智能助手搭建平台提供接口开发、智能助手创建和接口目录等功能。管理员可以通过平台进行智能接口的设计与实现，便于与其他系统进行数据交互。同时，平台支持智能助手的白屏化创建，帮助用户实现自动化任务和信息处理。此外，接口目录功能便于管理和查找已开发的接口，提高开发效率和资源利用率。该平台旨在为开发者提供便捷的工具和资源，以支持智能应用的构建与整合。主要功能包括开放接口、智能助手创建、智能助手安稳生产。</w:t>
      </w:r>
    </w:p>
    <w:p w14:paraId="65958081">
      <w:pPr>
        <w:spacing w:line="360" w:lineRule="auto"/>
        <w:ind w:firstLine="480"/>
        <w:rPr>
          <w:rFonts w:hint="eastAsia" w:ascii="宋体" w:hAnsi="宋体" w:eastAsia="宋体" w:cs="宋体"/>
          <w:color w:val="auto"/>
          <w:szCs w:val="21"/>
          <w:highlight w:val="none"/>
        </w:rPr>
      </w:pPr>
      <w:r>
        <w:rPr>
          <w:rFonts w:hint="eastAsia" w:ascii="宋体" w:hAnsi="宋体" w:eastAsia="宋体" w:cs="宋体"/>
          <w:color w:val="auto"/>
          <w:kern w:val="2"/>
          <w:szCs w:val="21"/>
          <w:highlight w:val="none"/>
          <w:lang w:bidi="ar"/>
        </w:rPr>
        <w:t>通过系统可以进行智能助手的创建，包括名称、头像、能力信息、欢迎语的设置。可以进行AI技能的选择编排，并进行预览测试。</w:t>
      </w:r>
    </w:p>
    <w:p w14:paraId="31E3A71C">
      <w:pPr>
        <w:pStyle w:val="5"/>
        <w:numPr>
          <w:ilvl w:val="1"/>
          <w:numId w:val="5"/>
        </w:numPr>
        <w:ind w:left="0" w:firstLine="428"/>
        <w:rPr>
          <w:color w:val="auto"/>
          <w:highlight w:val="none"/>
          <w:lang w:val="en-US"/>
        </w:rPr>
      </w:pPr>
      <w:r>
        <w:rPr>
          <w:rFonts w:hint="eastAsia"/>
          <w:color w:val="auto"/>
          <w:highlight w:val="none"/>
        </w:rPr>
        <w:t>智能助手技能中心</w:t>
      </w:r>
    </w:p>
    <w:p w14:paraId="6189D642">
      <w:pPr>
        <w:spacing w:line="360" w:lineRule="auto"/>
        <w:ind w:firstLine="480"/>
        <w:rPr>
          <w:color w:val="auto"/>
          <w:highlight w:val="none"/>
        </w:rPr>
      </w:pPr>
      <w:r>
        <w:rPr>
          <w:rFonts w:hint="eastAsia" w:ascii="宋体" w:hAnsi="宋体" w:cs="宋体"/>
          <w:color w:val="auto"/>
          <w:szCs w:val="21"/>
          <w:highlight w:val="none"/>
        </w:rPr>
        <w:t>开发者可以通过该中心选择和集成预定义的技能，也可以自定义新的技能来满足特定需求。技能中心简化了技能的开发和部署流程，支持技能的测试、发布和更新，从而增强智能助手的功能和服务范围。主要功能包括问答技能、接口技能、大模型工作流节点、知识检索工作流节点、问题分类器节点、条件分支节点、业务迭代节点、代码执行器节点、模板转换节点、变量聚合器节点、参数提取器节点、网址请求节点、工作流其他节点。</w:t>
      </w:r>
    </w:p>
    <w:p w14:paraId="6ABD3E16">
      <w:pPr>
        <w:spacing w:line="360" w:lineRule="auto"/>
        <w:ind w:firstLine="480"/>
        <w:rPr>
          <w:rFonts w:hint="eastAsia" w:ascii="宋体" w:hAnsi="宋体" w:eastAsia="宋体" w:cs="宋体"/>
          <w:color w:val="auto"/>
          <w:szCs w:val="21"/>
          <w:highlight w:val="none"/>
        </w:rPr>
      </w:pPr>
      <w:r>
        <w:rPr>
          <w:rFonts w:hint="eastAsia" w:ascii="宋体" w:hAnsi="宋体" w:eastAsia="宋体" w:cs="宋体"/>
          <w:color w:val="auto"/>
          <w:kern w:val="2"/>
          <w:szCs w:val="21"/>
          <w:highlight w:val="none"/>
          <w:lang w:bidi="ar"/>
        </w:rPr>
        <w:t>通过系统可以进行问答技能、接口技能、工作流技能的创建编排，可以进行提示词的设置、安全内容审查设置、模型选择、知识集的挂载以及技能的调试，可以查看AI技能运行的历史日志。</w:t>
      </w:r>
    </w:p>
    <w:p w14:paraId="0AC2F120">
      <w:pPr>
        <w:pStyle w:val="5"/>
        <w:numPr>
          <w:ilvl w:val="1"/>
          <w:numId w:val="5"/>
        </w:numPr>
        <w:ind w:left="0" w:firstLine="428"/>
        <w:rPr>
          <w:color w:val="auto"/>
          <w:highlight w:val="none"/>
        </w:rPr>
      </w:pPr>
      <w:r>
        <w:rPr>
          <w:rFonts w:hint="eastAsia"/>
          <w:color w:val="auto"/>
          <w:highlight w:val="none"/>
        </w:rPr>
        <w:t>智能助手增强学习</w:t>
      </w:r>
    </w:p>
    <w:p w14:paraId="104A6136">
      <w:pPr>
        <w:spacing w:line="360" w:lineRule="auto"/>
        <w:ind w:firstLine="480"/>
        <w:rPr>
          <w:rFonts w:ascii="宋体" w:hAnsi="宋体" w:cs="宋体"/>
          <w:bCs/>
          <w:color w:val="auto"/>
          <w:szCs w:val="21"/>
          <w:highlight w:val="none"/>
        </w:rPr>
      </w:pPr>
      <w:r>
        <w:rPr>
          <w:rFonts w:hint="eastAsia" w:ascii="宋体" w:hAnsi="宋体" w:cs="宋体"/>
          <w:color w:val="auto"/>
          <w:szCs w:val="21"/>
          <w:highlight w:val="none"/>
        </w:rPr>
        <w:t>智能助手增强学习通过用户行为采集、分析和学习优化，实现AI的持续自优化。平台通过数据采集工具记录用户的交互行为，包括点击、停留时间和反馈等。其次，利用数据分析技术，平台识别用户的偏好和需求，生成行为模式。最后，基于分析结果，系统不断调整和优化推荐算法，实现实时学习。最终，平台能够逐步提升用户体验，确保提供更精准和有针对性的建议与服务，满足用户的多样化需求。主要功能包括用户行为采集、用户行为分析、用户行为学习与优化、数据与安全、系统集成。</w:t>
      </w:r>
    </w:p>
    <w:p w14:paraId="7E59E8EA">
      <w:pPr>
        <w:pStyle w:val="4"/>
        <w:numPr>
          <w:ilvl w:val="0"/>
          <w:numId w:val="4"/>
        </w:numPr>
        <w:ind w:left="0" w:firstLine="428"/>
        <w:rPr>
          <w:color w:val="auto"/>
          <w:highlight w:val="none"/>
        </w:rPr>
      </w:pPr>
      <w:r>
        <w:rPr>
          <w:rFonts w:hint="eastAsia"/>
          <w:color w:val="auto"/>
          <w:highlight w:val="none"/>
        </w:rPr>
        <w:t>浙政钉底座智能化升级</w:t>
      </w:r>
    </w:p>
    <w:p w14:paraId="2FD51750">
      <w:pPr>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浙政钉底座智能化升级为AI余杭提供共性支撑，主要包含以下四大模块，一是打造智能广场，统一AI应用入口；二是智能化交互革新，提供智能助手统一前端组件，优化AI交互卡片及会话管理，支持与AI助手多维度对话交流；三是构建政务知识图谱支持智能搜索，实现信息智能检索；四是将智能助手数字分身融入政务组织架构体系，确保权限管理灵活安全。</w:t>
      </w:r>
    </w:p>
    <w:p w14:paraId="18B0838C">
      <w:pPr>
        <w:pStyle w:val="5"/>
        <w:numPr>
          <w:ilvl w:val="1"/>
          <w:numId w:val="4"/>
        </w:numPr>
        <w:ind w:left="0" w:firstLine="428"/>
        <w:rPr>
          <w:b/>
          <w:bCs/>
          <w:color w:val="auto"/>
          <w:highlight w:val="none"/>
          <w:u w:val="single"/>
        </w:rPr>
      </w:pPr>
      <w:r>
        <w:rPr>
          <w:rFonts w:hint="eastAsia"/>
          <w:b/>
          <w:bCs/>
          <w:color w:val="auto"/>
          <w:highlight w:val="none"/>
          <w:u w:val="single"/>
        </w:rPr>
        <w:t>★智能广场</w:t>
      </w:r>
    </w:p>
    <w:p w14:paraId="15BD316E">
      <w:pPr>
        <w:spacing w:line="360" w:lineRule="auto"/>
        <w:ind w:firstLine="480"/>
        <w:rPr>
          <w:rFonts w:ascii="宋体" w:hAnsi="宋体" w:cs="宋体"/>
          <w:b/>
          <w:bCs/>
          <w:color w:val="auto"/>
          <w:szCs w:val="21"/>
          <w:highlight w:val="none"/>
          <w:u w:val="single"/>
        </w:rPr>
      </w:pPr>
      <w:r>
        <w:rPr>
          <w:rFonts w:hint="eastAsia" w:ascii="宋体" w:hAnsi="宋体" w:cs="宋体"/>
          <w:b/>
          <w:bCs/>
          <w:color w:val="auto"/>
          <w:szCs w:val="21"/>
          <w:highlight w:val="none"/>
          <w:u w:val="single"/>
        </w:rPr>
        <w:t>为AI余杭提供统一入口，用户可通过列表查看所有智能应用概要信息，选中应用后可以进入智能应用或开始智能助手会话。主要功能包括应用列表展示、应用切换交互。</w:t>
      </w:r>
    </w:p>
    <w:p w14:paraId="234C8DA9">
      <w:pPr>
        <w:pStyle w:val="5"/>
        <w:numPr>
          <w:ilvl w:val="1"/>
          <w:numId w:val="4"/>
        </w:numPr>
        <w:ind w:left="0" w:firstLine="428"/>
        <w:rPr>
          <w:color w:val="auto"/>
          <w:highlight w:val="none"/>
        </w:rPr>
      </w:pPr>
      <w:r>
        <w:rPr>
          <w:rFonts w:hint="eastAsia"/>
          <w:color w:val="auto"/>
          <w:highlight w:val="none"/>
        </w:rPr>
        <w:t>智能助手</w:t>
      </w:r>
    </w:p>
    <w:p w14:paraId="6CAF7323">
      <w:pPr>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智能助手提供聊天窗口实现智能对话、会话管理等功能，界面可展示不同类型的富文本消息，可根据用户需求创建或切换对话。主要功能包括应用信息展示、历史聊天消息展示、欢迎词展示、富文本多类型聊天消息展示、富文本多类型聊天消息展示、多角色聊天消息展示、多角色聊天消息展示、聊天消息对话框交互。</w:t>
      </w:r>
    </w:p>
    <w:p w14:paraId="475F3472">
      <w:pPr>
        <w:pStyle w:val="5"/>
        <w:numPr>
          <w:ilvl w:val="1"/>
          <w:numId w:val="4"/>
        </w:numPr>
        <w:ind w:left="0" w:firstLine="428"/>
        <w:rPr>
          <w:color w:val="auto"/>
          <w:highlight w:val="none"/>
        </w:rPr>
      </w:pPr>
      <w:r>
        <w:rPr>
          <w:rFonts w:hint="eastAsia"/>
          <w:color w:val="auto"/>
          <w:highlight w:val="none"/>
        </w:rPr>
        <w:t>智能搜索</w:t>
      </w:r>
    </w:p>
    <w:p w14:paraId="5FC70360">
      <w:pPr>
        <w:spacing w:line="360" w:lineRule="auto"/>
        <w:ind w:firstLine="480"/>
        <w:rPr>
          <w:color w:val="auto"/>
          <w:highlight w:val="none"/>
        </w:rPr>
      </w:pPr>
      <w:r>
        <w:rPr>
          <w:rFonts w:hint="eastAsia" w:ascii="宋体" w:hAnsi="宋体" w:cs="宋体"/>
          <w:color w:val="auto"/>
          <w:szCs w:val="21"/>
          <w:highlight w:val="none"/>
        </w:rPr>
        <w:t>构建政务领域的知识图谱，政府部门可以使用智能搜索工具管理内部文档、知识库和智能化应用，提高搜索结果的相关性和精确度，提高工作效率。主要功能包括</w:t>
      </w:r>
      <w:r>
        <w:rPr>
          <w:color w:val="auto"/>
          <w:highlight w:val="none"/>
        </w:rPr>
        <w:t>智能搜索记忆</w:t>
      </w:r>
      <w:r>
        <w:rPr>
          <w:rFonts w:hint="eastAsia"/>
          <w:color w:val="auto"/>
          <w:highlight w:val="none"/>
        </w:rPr>
        <w:t>、</w:t>
      </w:r>
      <w:r>
        <w:rPr>
          <w:color w:val="auto"/>
          <w:highlight w:val="none"/>
        </w:rPr>
        <w:t>智能搜索多模态感知</w:t>
      </w:r>
      <w:r>
        <w:rPr>
          <w:rFonts w:hint="eastAsia"/>
          <w:color w:val="auto"/>
          <w:highlight w:val="none"/>
        </w:rPr>
        <w:t>、</w:t>
      </w:r>
      <w:r>
        <w:rPr>
          <w:color w:val="auto"/>
          <w:highlight w:val="none"/>
        </w:rPr>
        <w:t>智能搜索规划</w:t>
      </w:r>
      <w:r>
        <w:rPr>
          <w:rFonts w:hint="eastAsia"/>
          <w:color w:val="auto"/>
          <w:highlight w:val="none"/>
        </w:rPr>
        <w:t>、</w:t>
      </w:r>
      <w:r>
        <w:rPr>
          <w:color w:val="auto"/>
          <w:highlight w:val="none"/>
        </w:rPr>
        <w:t>智能知识库检索</w:t>
      </w:r>
      <w:r>
        <w:rPr>
          <w:rFonts w:hint="eastAsia"/>
          <w:color w:val="auto"/>
          <w:highlight w:val="none"/>
        </w:rPr>
        <w:t>、</w:t>
      </w:r>
      <w:r>
        <w:rPr>
          <w:color w:val="auto"/>
          <w:highlight w:val="none"/>
        </w:rPr>
        <w:t>智能搜索数据集成</w:t>
      </w:r>
      <w:r>
        <w:rPr>
          <w:rFonts w:hint="eastAsia"/>
          <w:color w:val="auto"/>
          <w:highlight w:val="none"/>
        </w:rPr>
        <w:t>、</w:t>
      </w:r>
      <w:r>
        <w:rPr>
          <w:color w:val="auto"/>
          <w:highlight w:val="none"/>
        </w:rPr>
        <w:t>智能检索</w:t>
      </w:r>
      <w:r>
        <w:rPr>
          <w:rFonts w:hint="eastAsia"/>
          <w:color w:val="auto"/>
          <w:highlight w:val="none"/>
        </w:rPr>
        <w:t>、</w:t>
      </w:r>
      <w:r>
        <w:rPr>
          <w:color w:val="auto"/>
          <w:highlight w:val="none"/>
        </w:rPr>
        <w:t>智能搜索问答</w:t>
      </w:r>
      <w:r>
        <w:rPr>
          <w:rFonts w:hint="eastAsia"/>
          <w:color w:val="auto"/>
          <w:highlight w:val="none"/>
        </w:rPr>
        <w:t>、</w:t>
      </w:r>
      <w:r>
        <w:rPr>
          <w:color w:val="auto"/>
          <w:highlight w:val="none"/>
        </w:rPr>
        <w:t>智能搜索安全审核</w:t>
      </w:r>
      <w:r>
        <w:rPr>
          <w:rFonts w:hint="eastAsia" w:ascii="宋体" w:hAnsi="宋体" w:cs="宋体"/>
          <w:color w:val="auto"/>
          <w:szCs w:val="21"/>
          <w:highlight w:val="none"/>
        </w:rPr>
        <w:t>。</w:t>
      </w:r>
    </w:p>
    <w:p w14:paraId="4B1EF597">
      <w:pPr>
        <w:adjustRightInd/>
        <w:spacing w:line="360" w:lineRule="auto"/>
        <w:ind w:firstLine="480"/>
        <w:jc w:val="left"/>
        <w:rPr>
          <w:color w:val="auto"/>
          <w:highlight w:val="none"/>
        </w:rPr>
      </w:pPr>
      <w:r>
        <w:rPr>
          <w:rFonts w:hint="eastAsia" w:ascii="宋体" w:hAnsi="宋体" w:eastAsia="宋体" w:cs="宋体"/>
          <w:color w:val="auto"/>
          <w:kern w:val="2"/>
          <w:szCs w:val="21"/>
          <w:highlight w:val="none"/>
          <w:lang w:bidi="ar"/>
        </w:rPr>
        <w:t>通过系统可以进行自然语言的模糊搜索，进行输入意图的分析拆解、检索任务的规划、相关内容的检索，完成搜索的总结内容生成，可以展示推荐的相关问题，可以展示内容大纲、思维导图，可以导出为公文创作等其他AI创作应用进行后续操作。</w:t>
      </w:r>
    </w:p>
    <w:p w14:paraId="284150E0">
      <w:pPr>
        <w:pStyle w:val="5"/>
        <w:numPr>
          <w:ilvl w:val="1"/>
          <w:numId w:val="4"/>
        </w:numPr>
        <w:ind w:left="0" w:firstLine="428"/>
        <w:rPr>
          <w:color w:val="auto"/>
          <w:highlight w:val="none"/>
        </w:rPr>
      </w:pPr>
      <w:r>
        <w:rPr>
          <w:rFonts w:hint="eastAsia"/>
          <w:color w:val="auto"/>
          <w:highlight w:val="none"/>
        </w:rPr>
        <w:t>智能助手数字分身</w:t>
      </w:r>
    </w:p>
    <w:p w14:paraId="6D6CB808">
      <w:pPr>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将智能助手在政务通讯录上以数字分身的形式加入组织，实现“AI政务人员”与政务人员的紧密协作，同时对智能助手的查看、创建、修改、删除进行精细化的权限管控。主要功能包括智能助手账号、智能助手权限、智能助手人员、智能助手任职、管理后台通讯录页面。</w:t>
      </w:r>
    </w:p>
    <w:p w14:paraId="33D08CDB">
      <w:pPr>
        <w:pStyle w:val="23"/>
        <w:widowControl/>
        <w:numPr>
          <w:ilvl w:val="1"/>
          <w:numId w:val="2"/>
        </w:numPr>
        <w:adjustRightInd/>
        <w:spacing w:before="100" w:after="100"/>
        <w:ind w:firstLine="422" w:firstLineChars="200"/>
        <w:jc w:val="left"/>
        <w:outlineLvl w:val="1"/>
        <w:rPr>
          <w:rFonts w:hAnsi="宋体" w:cs="宋体"/>
          <w:b/>
          <w:color w:val="auto"/>
          <w:sz w:val="21"/>
          <w:highlight w:val="none"/>
          <w:lang w:val="en-US"/>
        </w:rPr>
      </w:pPr>
      <w:r>
        <w:rPr>
          <w:rFonts w:hint="eastAsia" w:hAnsi="宋体" w:cs="宋体"/>
          <w:b/>
          <w:color w:val="auto"/>
          <w:sz w:val="21"/>
          <w:highlight w:val="none"/>
          <w:lang w:val="en-US"/>
        </w:rPr>
        <w:t>智慧化场景应用层</w:t>
      </w:r>
    </w:p>
    <w:p w14:paraId="18F8E483">
      <w:pPr>
        <w:pStyle w:val="4"/>
        <w:keepNext/>
        <w:keepLines/>
        <w:pageBreakBefore w:val="0"/>
        <w:widowControl w:val="0"/>
        <w:numPr>
          <w:ilvl w:val="0"/>
          <w:numId w:val="6"/>
        </w:numPr>
        <w:kinsoku/>
        <w:wordWrap/>
        <w:overflowPunct/>
        <w:topLinePunct w:val="0"/>
        <w:autoSpaceDE/>
        <w:autoSpaceDN/>
        <w:bidi w:val="0"/>
        <w:adjustRightInd w:val="0"/>
        <w:snapToGrid/>
        <w:ind w:left="0" w:firstLine="422" w:firstLineChars="200"/>
        <w:textAlignment w:val="auto"/>
        <w:rPr>
          <w:color w:val="auto"/>
          <w:highlight w:val="none"/>
        </w:rPr>
      </w:pPr>
      <w:r>
        <w:rPr>
          <w:rFonts w:hint="eastAsia"/>
          <w:color w:val="auto"/>
          <w:highlight w:val="none"/>
        </w:rPr>
        <w:t>政务业务智能助手</w:t>
      </w:r>
    </w:p>
    <w:p w14:paraId="2A76F088">
      <w:pPr>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政务业务智能助手集成各类智能化角色，为基层工作人</w:t>
      </w:r>
      <w:r>
        <w:rPr>
          <w:rFonts w:hint="eastAsia" w:ascii="宋体" w:hAnsi="宋体" w:cs="宋体"/>
          <w:color w:val="auto"/>
          <w:szCs w:val="21"/>
          <w:highlight w:val="none"/>
          <w:lang w:eastAsia="zh-CN"/>
        </w:rPr>
        <w:t>员提</w:t>
      </w:r>
      <w:r>
        <w:rPr>
          <w:rFonts w:hint="eastAsia" w:ascii="宋体" w:hAnsi="宋体" w:cs="宋体"/>
          <w:color w:val="auto"/>
          <w:szCs w:val="21"/>
          <w:highlight w:val="none"/>
        </w:rPr>
        <w:t>供全面的智能化辅助。通过服务问答、知识管理、政策智能解析等功能，全面赋能政务业务工作，提升工作效率与服务水平。</w:t>
      </w:r>
    </w:p>
    <w:p w14:paraId="72EACFE8">
      <w:pPr>
        <w:pStyle w:val="5"/>
        <w:numPr>
          <w:ilvl w:val="1"/>
          <w:numId w:val="7"/>
        </w:numPr>
        <w:ind w:left="0" w:firstLine="428"/>
        <w:rPr>
          <w:color w:val="auto"/>
          <w:highlight w:val="none"/>
        </w:rPr>
      </w:pPr>
      <w:r>
        <w:rPr>
          <w:rFonts w:hint="eastAsia"/>
          <w:color w:val="auto"/>
          <w:highlight w:val="none"/>
        </w:rPr>
        <w:t>人才智能助手</w:t>
      </w:r>
    </w:p>
    <w:p w14:paraId="6666BFA6">
      <w:pPr>
        <w:spacing w:line="360" w:lineRule="auto"/>
        <w:ind w:firstLine="480"/>
        <w:rPr>
          <w:rFonts w:ascii="宋体" w:hAnsi="宋体" w:cs="宋体"/>
          <w:bCs/>
          <w:color w:val="auto"/>
          <w:szCs w:val="21"/>
          <w:highlight w:val="none"/>
        </w:rPr>
      </w:pPr>
      <w:r>
        <w:rPr>
          <w:rFonts w:hint="eastAsia" w:ascii="宋体" w:hAnsi="宋体" w:cs="宋体"/>
          <w:color w:val="auto"/>
          <w:szCs w:val="21"/>
          <w:highlight w:val="none"/>
        </w:rPr>
        <w:t>人才智能助手具备提供人才问题智能理解、智能答复、政策智能解读的能力，解决传统问答机器人难以理解用户口语化问题、梳理问答知识对耗时耗力等问题，助力人才服务高质量发展</w:t>
      </w:r>
      <w:r>
        <w:rPr>
          <w:rFonts w:hint="eastAsia" w:ascii="宋体" w:hAnsi="宋体" w:cs="宋体"/>
          <w:bCs/>
          <w:color w:val="auto"/>
          <w:szCs w:val="21"/>
          <w:highlight w:val="none"/>
        </w:rPr>
        <w:t>。</w:t>
      </w:r>
      <w:r>
        <w:rPr>
          <w:rFonts w:hint="eastAsia" w:ascii="宋体" w:hAnsi="宋体" w:cs="宋体"/>
          <w:color w:val="auto"/>
          <w:szCs w:val="21"/>
          <w:highlight w:val="none"/>
        </w:rPr>
        <w:t>主要功能包括人才智能问答、智能交互。</w:t>
      </w:r>
    </w:p>
    <w:p w14:paraId="62E64CFD">
      <w:pPr>
        <w:pStyle w:val="5"/>
        <w:numPr>
          <w:ilvl w:val="1"/>
          <w:numId w:val="7"/>
        </w:numPr>
        <w:ind w:left="0" w:firstLine="428"/>
        <w:rPr>
          <w:color w:val="auto"/>
          <w:highlight w:val="none"/>
        </w:rPr>
      </w:pPr>
      <w:r>
        <w:rPr>
          <w:rFonts w:hint="eastAsia"/>
          <w:color w:val="auto"/>
          <w:highlight w:val="none"/>
          <w:lang w:val="en-US" w:eastAsia="zh-CN"/>
        </w:rPr>
        <w:t>网络安全助手</w:t>
      </w:r>
    </w:p>
    <w:p w14:paraId="7D72BB4B">
      <w:pPr>
        <w:spacing w:line="360" w:lineRule="auto"/>
        <w:ind w:firstLine="480"/>
        <w:rPr>
          <w:rFonts w:ascii="宋体" w:hAnsi="宋体" w:cs="宋体"/>
          <w:bCs/>
          <w:color w:val="auto"/>
          <w:szCs w:val="21"/>
          <w:highlight w:val="none"/>
        </w:rPr>
      </w:pPr>
      <w:r>
        <w:rPr>
          <w:rFonts w:hint="eastAsia" w:ascii="宋体" w:hAnsi="宋体" w:cs="宋体"/>
          <w:color w:val="auto"/>
          <w:szCs w:val="21"/>
          <w:highlight w:val="none"/>
        </w:rPr>
        <w:t>基于AI余杭底座，打造</w:t>
      </w:r>
      <w:r>
        <w:rPr>
          <w:rFonts w:hint="eastAsia" w:ascii="宋体" w:hAnsi="宋体" w:cs="宋体"/>
          <w:color w:val="auto"/>
          <w:szCs w:val="21"/>
          <w:highlight w:val="none"/>
          <w:lang w:val="en-US" w:eastAsia="zh-CN"/>
        </w:rPr>
        <w:t>网络</w:t>
      </w:r>
      <w:r>
        <w:rPr>
          <w:rFonts w:hint="eastAsia" w:ascii="宋体" w:hAnsi="宋体" w:cs="宋体"/>
          <w:color w:val="auto"/>
          <w:szCs w:val="21"/>
          <w:highlight w:val="none"/>
        </w:rPr>
        <w:t>安全</w:t>
      </w:r>
      <w:r>
        <w:rPr>
          <w:rFonts w:hint="eastAsia" w:ascii="宋体" w:hAnsi="宋体" w:cs="宋体"/>
          <w:color w:val="auto"/>
          <w:szCs w:val="21"/>
          <w:highlight w:val="none"/>
          <w:lang w:val="en-US" w:eastAsia="zh-CN"/>
        </w:rPr>
        <w:t>智能</w:t>
      </w:r>
      <w:r>
        <w:rPr>
          <w:rFonts w:hint="eastAsia" w:ascii="宋体" w:hAnsi="宋体" w:cs="宋体"/>
          <w:color w:val="auto"/>
          <w:szCs w:val="21"/>
          <w:highlight w:val="none"/>
        </w:rPr>
        <w:t>小助手，针对云、网、平台、应用等安全事项及巡查内容，对接相关数据，实现快问快答的智能化能力，提升余杭数字化平台安全运维水平和工作效率。主要功能包括网络安全助手欢迎页、网络安全助手问答、热门问题、对话数据统计分析。</w:t>
      </w:r>
    </w:p>
    <w:p w14:paraId="39B38D41">
      <w:pPr>
        <w:pStyle w:val="5"/>
        <w:numPr>
          <w:ilvl w:val="1"/>
          <w:numId w:val="7"/>
        </w:numPr>
        <w:ind w:left="0" w:firstLine="428"/>
        <w:rPr>
          <w:b/>
          <w:bCs/>
          <w:color w:val="auto"/>
          <w:highlight w:val="none"/>
          <w:u w:val="single"/>
        </w:rPr>
      </w:pPr>
      <w:r>
        <w:rPr>
          <w:rFonts w:hint="eastAsia"/>
          <w:b/>
          <w:bCs/>
          <w:color w:val="auto"/>
          <w:highlight w:val="none"/>
          <w:u w:val="single"/>
        </w:rPr>
        <w:t>★数字干部</w:t>
      </w:r>
      <w:r>
        <w:rPr>
          <w:rFonts w:hint="eastAsia"/>
          <w:b/>
          <w:bCs/>
          <w:color w:val="auto"/>
          <w:highlight w:val="none"/>
          <w:u w:val="single"/>
          <w:lang w:val="en-US" w:eastAsia="zh-CN"/>
        </w:rPr>
        <w:t>助手</w:t>
      </w:r>
    </w:p>
    <w:p w14:paraId="54F82E70">
      <w:pPr>
        <w:spacing w:line="360" w:lineRule="auto"/>
        <w:ind w:firstLine="480"/>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通过智能体学习干部业务经验，打造数字干部</w:t>
      </w:r>
      <w:r>
        <w:rPr>
          <w:rFonts w:hint="eastAsia" w:ascii="宋体" w:hAnsi="宋体" w:cs="宋体"/>
          <w:b/>
          <w:bCs/>
          <w:color w:val="auto"/>
          <w:szCs w:val="21"/>
          <w:highlight w:val="none"/>
          <w:u w:val="single"/>
          <w:lang w:val="en-US" w:eastAsia="zh-CN"/>
        </w:rPr>
        <w:t>助手</w:t>
      </w:r>
      <w:r>
        <w:rPr>
          <w:rFonts w:hint="eastAsia" w:ascii="宋体" w:hAnsi="宋体" w:cs="宋体"/>
          <w:b/>
          <w:bCs/>
          <w:color w:val="auto"/>
          <w:szCs w:val="21"/>
          <w:highlight w:val="none"/>
          <w:u w:val="single"/>
        </w:rPr>
        <w:t>，成为干部业务流程和知识骨干，减少基层人员日常业务问题解答的工作量，实现业务减负。主要功能包括对话框配置、问答能力搭建、多轮会话能力、智能问答溯源。</w:t>
      </w:r>
    </w:p>
    <w:p w14:paraId="5B4606D9">
      <w:pPr>
        <w:pStyle w:val="5"/>
        <w:numPr>
          <w:ilvl w:val="1"/>
          <w:numId w:val="7"/>
        </w:numPr>
        <w:ind w:left="0" w:firstLine="428"/>
        <w:rPr>
          <w:rFonts w:ascii="宋体" w:hAnsi="宋体"/>
          <w:b/>
          <w:bCs/>
          <w:color w:val="auto"/>
          <w:sz w:val="21"/>
          <w:szCs w:val="21"/>
          <w:highlight w:val="none"/>
        </w:rPr>
      </w:pPr>
      <w:r>
        <w:rPr>
          <w:rFonts w:hint="eastAsia" w:ascii="宋体" w:hAnsi="宋体"/>
          <w:b/>
          <w:bCs/>
          <w:color w:val="auto"/>
          <w:sz w:val="21"/>
          <w:szCs w:val="21"/>
          <w:highlight w:val="none"/>
        </w:rPr>
        <w:t>政策助手</w:t>
      </w:r>
    </w:p>
    <w:p w14:paraId="288192D1">
      <w:pPr>
        <w:spacing w:line="360" w:lineRule="auto"/>
        <w:ind w:firstLine="480"/>
        <w:rPr>
          <w:color w:val="auto"/>
          <w:highlight w:val="none"/>
        </w:rPr>
      </w:pPr>
      <w:r>
        <w:rPr>
          <w:rFonts w:hint="eastAsia" w:ascii="宋体" w:hAnsi="宋体" w:eastAsia="宋体" w:cs="宋体"/>
          <w:color w:val="auto"/>
          <w:szCs w:val="21"/>
          <w:highlight w:val="none"/>
        </w:rPr>
        <w:t>聚焦行业中的政策垂类新业态，围绕政策全生命周期重点建设政策库、政策检索、政策问答、政策辅助制定等能力，为相关部门提供政策类智能服务，为政策服务增值化改革提供技术能力支撑。主要功能包括政策库、政策检索、政策问答、政策辅助制定。</w:t>
      </w:r>
    </w:p>
    <w:p w14:paraId="1F85D2EE">
      <w:pPr>
        <w:pStyle w:val="4"/>
        <w:numPr>
          <w:ilvl w:val="0"/>
          <w:numId w:val="6"/>
        </w:numPr>
        <w:ind w:left="0" w:firstLine="428"/>
        <w:rPr>
          <w:color w:val="auto"/>
          <w:highlight w:val="none"/>
        </w:rPr>
      </w:pPr>
      <w:r>
        <w:rPr>
          <w:rFonts w:hint="eastAsia"/>
          <w:color w:val="auto"/>
          <w:highlight w:val="none"/>
        </w:rPr>
        <w:t>智能辅助创作平台</w:t>
      </w:r>
    </w:p>
    <w:p w14:paraId="40606CF3">
      <w:pPr>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智能辅助创作平台，赋能政务公文、PPT，将政府公开的政策法规、内部公文、常用</w:t>
      </w:r>
      <w:r>
        <w:rPr>
          <w:rFonts w:hint="eastAsia" w:ascii="宋体" w:hAnsi="宋体" w:cs="宋体"/>
          <w:color w:val="auto"/>
          <w:szCs w:val="21"/>
          <w:highlight w:val="none"/>
          <w:lang w:eastAsia="zh-CN"/>
        </w:rPr>
        <w:t>文件</w:t>
      </w:r>
      <w:r>
        <w:rPr>
          <w:rFonts w:hint="eastAsia" w:ascii="宋体" w:hAnsi="宋体" w:cs="宋体"/>
          <w:color w:val="auto"/>
          <w:szCs w:val="21"/>
          <w:highlight w:val="none"/>
        </w:rPr>
        <w:t>、行业动态、经典案例等信息进行沉淀管理，依托大模型的理解能力和生成式能力进行训练与泛化，提供智能辅助创作，通过提示词方式，引导大模型依据主题或材料，自动生成相关内容，让政务工作人员效能大幅提升。</w:t>
      </w:r>
    </w:p>
    <w:p w14:paraId="4E93114D">
      <w:pPr>
        <w:pStyle w:val="5"/>
        <w:numPr>
          <w:ilvl w:val="1"/>
          <w:numId w:val="6"/>
        </w:numPr>
        <w:ind w:left="0" w:firstLine="428"/>
        <w:rPr>
          <w:b/>
          <w:bCs/>
          <w:color w:val="auto"/>
          <w:highlight w:val="none"/>
          <w:u w:val="single"/>
        </w:rPr>
      </w:pPr>
      <w:r>
        <w:rPr>
          <w:rFonts w:hint="eastAsia"/>
          <w:b/>
          <w:bCs/>
          <w:color w:val="auto"/>
          <w:highlight w:val="none"/>
          <w:u w:val="single"/>
        </w:rPr>
        <w:t>★智能公文</w:t>
      </w:r>
    </w:p>
    <w:p w14:paraId="74C72790">
      <w:pPr>
        <w:spacing w:line="360" w:lineRule="auto"/>
        <w:ind w:firstLine="480"/>
        <w:rPr>
          <w:rFonts w:ascii="宋体" w:hAnsi="宋体" w:cs="宋体"/>
          <w:b/>
          <w:bCs/>
          <w:color w:val="auto"/>
          <w:szCs w:val="21"/>
          <w:highlight w:val="none"/>
          <w:u w:val="single"/>
        </w:rPr>
      </w:pPr>
      <w:r>
        <w:rPr>
          <w:rFonts w:hint="eastAsia" w:ascii="宋体" w:hAnsi="宋体" w:cs="宋体"/>
          <w:b/>
          <w:bCs/>
          <w:color w:val="auto"/>
          <w:szCs w:val="21"/>
          <w:highlight w:val="none"/>
          <w:u w:val="single"/>
        </w:rPr>
        <w:t>结合大模型的自然语言理解和逻辑推理能力，实现公文自动撰写、模板调用、智能排版、核稿及搜索等功能，有效提升公文写作效率。基于常见公文模板和内容提纲自动生成多种公文类型，支持续写、扩写、改写等二次编辑操作，符合特定文字习惯和专属词汇要求，及时融入新提法和热词，能够显著提高办公效率。主要功能包括智能检索、智能排版、智能比对、智能查重、智能写作、辅助阅读、智能审核。</w:t>
      </w:r>
    </w:p>
    <w:p w14:paraId="42708C1E">
      <w:pPr>
        <w:pStyle w:val="5"/>
        <w:numPr>
          <w:ilvl w:val="1"/>
          <w:numId w:val="6"/>
        </w:numPr>
        <w:ind w:left="0" w:firstLine="428"/>
        <w:rPr>
          <w:color w:val="auto"/>
          <w:highlight w:val="none"/>
        </w:rPr>
      </w:pPr>
      <w:r>
        <w:rPr>
          <w:rFonts w:hint="eastAsia"/>
          <w:color w:val="auto"/>
          <w:highlight w:val="none"/>
        </w:rPr>
        <w:t>智能PPT</w:t>
      </w:r>
    </w:p>
    <w:p w14:paraId="7E17C1F3">
      <w:pPr>
        <w:spacing w:line="360" w:lineRule="auto"/>
        <w:ind w:firstLine="480"/>
        <w:rPr>
          <w:rFonts w:ascii="宋体" w:hAnsi="宋体" w:cs="宋体"/>
          <w:bCs/>
          <w:color w:val="auto"/>
          <w:szCs w:val="21"/>
          <w:highlight w:val="none"/>
        </w:rPr>
      </w:pPr>
      <w:r>
        <w:rPr>
          <w:rFonts w:hint="eastAsia" w:ascii="宋体" w:hAnsi="宋体" w:cs="宋体"/>
          <w:color w:val="auto"/>
          <w:szCs w:val="21"/>
          <w:highlight w:val="none"/>
        </w:rPr>
        <w:t>基于大模型能力，仅需一句话即可快速智能生成PPT，同时在政务场景中，支持基于参考文件资料生成PPT，</w:t>
      </w:r>
      <w:r>
        <w:rPr>
          <w:rFonts w:hint="eastAsia" w:ascii="宋体" w:hAnsi="宋体" w:cs="宋体"/>
          <w:color w:val="auto"/>
          <w:szCs w:val="21"/>
          <w:highlight w:val="none"/>
          <w:lang w:eastAsia="zh-CN"/>
        </w:rPr>
        <w:t>助力</w:t>
      </w:r>
      <w:r>
        <w:rPr>
          <w:rFonts w:hint="eastAsia" w:ascii="宋体" w:hAnsi="宋体" w:cs="宋体"/>
          <w:color w:val="auto"/>
          <w:szCs w:val="21"/>
          <w:highlight w:val="none"/>
        </w:rPr>
        <w:t>政务工作人员提升PPT制作效率。主要功能包括一句话生成</w:t>
      </w:r>
      <w:r>
        <w:rPr>
          <w:rFonts w:ascii="宋体" w:hAnsi="宋体" w:cs="宋体"/>
          <w:color w:val="auto"/>
          <w:szCs w:val="21"/>
          <w:highlight w:val="none"/>
        </w:rPr>
        <w:t>PPT、文档生成PPT、生成大纲、编辑大纲、选择模板、PPT生成、PPTX保存、私有模板管理。</w:t>
      </w:r>
    </w:p>
    <w:p w14:paraId="73E81CA4">
      <w:pPr>
        <w:pStyle w:val="4"/>
        <w:keepNext/>
        <w:keepLines/>
        <w:pageBreakBefore w:val="0"/>
        <w:widowControl w:val="0"/>
        <w:numPr>
          <w:ilvl w:val="0"/>
          <w:numId w:val="6"/>
        </w:numPr>
        <w:kinsoku/>
        <w:wordWrap/>
        <w:overflowPunct/>
        <w:topLinePunct w:val="0"/>
        <w:autoSpaceDE/>
        <w:autoSpaceDN/>
        <w:bidi w:val="0"/>
        <w:adjustRightInd w:val="0"/>
        <w:snapToGrid/>
        <w:ind w:left="0" w:firstLine="422" w:firstLineChars="200"/>
        <w:textAlignment w:val="auto"/>
        <w:rPr>
          <w:color w:val="auto"/>
          <w:highlight w:val="none"/>
        </w:rPr>
      </w:pPr>
      <w:bookmarkStart w:id="34" w:name="_Toc22315"/>
      <w:bookmarkStart w:id="35" w:name="_Toc9015"/>
      <w:bookmarkStart w:id="36" w:name="_Toc26383"/>
      <w:bookmarkStart w:id="37" w:name="_Toc18118"/>
      <w:r>
        <w:rPr>
          <w:rFonts w:hint="eastAsia"/>
          <w:color w:val="auto"/>
          <w:highlight w:val="none"/>
        </w:rPr>
        <w:t>智慧办公场景应用</w:t>
      </w:r>
    </w:p>
    <w:p w14:paraId="2E25FDC8">
      <w:pPr>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智慧办公场景应用建设的主要内容分为3个部分，包括利用AI大模型构建“智慧办文、智慧办事”</w:t>
      </w:r>
      <w:r>
        <w:rPr>
          <w:rFonts w:hint="eastAsia" w:ascii="宋体" w:hAnsi="宋体" w:cs="宋体"/>
          <w:color w:val="auto"/>
          <w:szCs w:val="21"/>
          <w:highlight w:val="none"/>
          <w:lang w:val="en-US" w:eastAsia="zh-CN"/>
        </w:rPr>
        <w:t>两</w:t>
      </w:r>
      <w:r>
        <w:rPr>
          <w:rFonts w:hint="eastAsia" w:ascii="宋体" w:hAnsi="宋体" w:cs="宋体"/>
          <w:color w:val="auto"/>
          <w:szCs w:val="21"/>
          <w:highlight w:val="none"/>
        </w:rPr>
        <w:t>大场景，实现办公智能化、流程智能化、政策分析智能化。</w:t>
      </w:r>
    </w:p>
    <w:p w14:paraId="0C4B1BED">
      <w:pPr>
        <w:pStyle w:val="5"/>
        <w:numPr>
          <w:ilvl w:val="1"/>
          <w:numId w:val="6"/>
        </w:numPr>
        <w:ind w:left="0" w:firstLine="428"/>
        <w:rPr>
          <w:color w:val="auto"/>
          <w:highlight w:val="none"/>
        </w:rPr>
      </w:pPr>
      <w:r>
        <w:rPr>
          <w:rFonts w:hint="eastAsia"/>
          <w:color w:val="auto"/>
          <w:highlight w:val="none"/>
        </w:rPr>
        <w:t>智慧办文</w:t>
      </w:r>
    </w:p>
    <w:p w14:paraId="3004B760">
      <w:pPr>
        <w:spacing w:line="360" w:lineRule="auto"/>
        <w:ind w:firstLine="480"/>
        <w:rPr>
          <w:rFonts w:ascii="宋体" w:hAnsi="宋体" w:cs="宋体"/>
          <w:bCs/>
          <w:color w:val="auto"/>
          <w:szCs w:val="21"/>
          <w:highlight w:val="none"/>
        </w:rPr>
      </w:pPr>
      <w:r>
        <w:rPr>
          <w:rFonts w:hint="eastAsia" w:ascii="宋体" w:hAnsi="宋体" w:cs="宋体"/>
          <w:color w:val="auto"/>
          <w:szCs w:val="21"/>
          <w:highlight w:val="none"/>
        </w:rPr>
        <w:t>利用生成式人工智能，对公文处理流程和内容安全进行优化，包括单位排序审核、智能转存、智能归档以及智能会议通知，旨在提升办文效率，确保公文流转的准确性和时效性。主要功能包括排序审核、公文智能转存、智能归档、智能会议通知发文、综合办公平台对接改造。</w:t>
      </w:r>
    </w:p>
    <w:p w14:paraId="1AE36E09">
      <w:pPr>
        <w:pStyle w:val="5"/>
        <w:numPr>
          <w:ilvl w:val="1"/>
          <w:numId w:val="6"/>
        </w:numPr>
        <w:ind w:left="0" w:firstLine="428"/>
        <w:rPr>
          <w:color w:val="auto"/>
          <w:highlight w:val="none"/>
        </w:rPr>
      </w:pPr>
      <w:r>
        <w:rPr>
          <w:rFonts w:hint="eastAsia"/>
          <w:color w:val="auto"/>
          <w:highlight w:val="none"/>
        </w:rPr>
        <w:t>智慧办事</w:t>
      </w:r>
    </w:p>
    <w:p w14:paraId="57EBD4CE">
      <w:pPr>
        <w:spacing w:line="360" w:lineRule="auto"/>
        <w:ind w:firstLine="480"/>
        <w:rPr>
          <w:color w:val="auto"/>
          <w:highlight w:val="none"/>
        </w:rPr>
      </w:pPr>
      <w:r>
        <w:rPr>
          <w:rFonts w:hint="eastAsia" w:ascii="宋体" w:hAnsi="宋体" w:cs="宋体"/>
          <w:color w:val="auto"/>
          <w:szCs w:val="21"/>
          <w:highlight w:val="none"/>
        </w:rPr>
        <w:t>对接余杭区内跑平台，实现内跑事项的白话搜索，提升办事导办效率，实现从能用到好用易用转变。在办事流程中，实现即说即办，通过语音智能填写表单，提高办事便利度，实现内跑事项的智能搜索以及事项的智能填表</w:t>
      </w:r>
      <w:r>
        <w:rPr>
          <w:rFonts w:hint="eastAsia" w:ascii="宋体" w:hAnsi="宋体" w:cs="宋体"/>
          <w:color w:val="auto"/>
          <w:szCs w:val="21"/>
          <w:highlight w:val="none"/>
          <w:lang w:val="en-US" w:eastAsia="zh-CN"/>
        </w:rPr>
        <w:t>辅助</w:t>
      </w:r>
      <w:r>
        <w:rPr>
          <w:rFonts w:hint="eastAsia" w:ascii="宋体" w:hAnsi="宋体" w:cs="宋体"/>
          <w:color w:val="auto"/>
          <w:szCs w:val="21"/>
          <w:highlight w:val="none"/>
        </w:rPr>
        <w:t>办事。主要功能包括智能搜事、智能填表。</w:t>
      </w:r>
    </w:p>
    <w:bookmarkEnd w:id="34"/>
    <w:bookmarkEnd w:id="35"/>
    <w:bookmarkEnd w:id="36"/>
    <w:bookmarkEnd w:id="37"/>
    <w:p w14:paraId="1721A82C">
      <w:pPr>
        <w:pStyle w:val="23"/>
        <w:widowControl/>
        <w:numPr>
          <w:ilvl w:val="1"/>
          <w:numId w:val="2"/>
        </w:numPr>
        <w:adjustRightInd/>
        <w:spacing w:before="100" w:after="100"/>
        <w:ind w:firstLine="422" w:firstLineChars="200"/>
        <w:jc w:val="left"/>
        <w:outlineLvl w:val="1"/>
        <w:rPr>
          <w:rFonts w:hAnsi="宋体" w:cs="宋体"/>
          <w:b/>
          <w:color w:val="auto"/>
          <w:sz w:val="21"/>
          <w:highlight w:val="none"/>
          <w:lang w:val="en-US"/>
        </w:rPr>
      </w:pPr>
      <w:bookmarkStart w:id="38" w:name="_Toc8078"/>
      <w:r>
        <w:rPr>
          <w:rFonts w:hint="eastAsia" w:hAnsi="宋体" w:cs="宋体"/>
          <w:b/>
          <w:color w:val="auto"/>
          <w:sz w:val="21"/>
          <w:highlight w:val="none"/>
          <w:lang w:val="en-US"/>
        </w:rPr>
        <w:t>技术要求</w:t>
      </w:r>
    </w:p>
    <w:p w14:paraId="0F73DF48">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1.采用多层架构体系。采用分布式计算技术进行系统架构设计和系统开发，以保证系统稳定性。</w:t>
      </w:r>
    </w:p>
    <w:p w14:paraId="6813324C">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2.环境支撑</w:t>
      </w:r>
      <w:r>
        <w:rPr>
          <w:rFonts w:hint="eastAsia" w:ascii="宋体" w:hAnsi="宋体" w:cs="宋体"/>
          <w:color w:val="auto"/>
          <w:kern w:val="0"/>
          <w:szCs w:val="21"/>
          <w:highlight w:val="none"/>
          <w:lang w:eastAsia="zh-Hans"/>
        </w:rPr>
        <w:t>信创电脑终端，信创服务器（云），信创数据库下规范使用并正常稳定运行</w:t>
      </w:r>
      <w:r>
        <w:rPr>
          <w:rFonts w:hint="eastAsia" w:ascii="宋体" w:hAnsi="宋体" w:cs="宋体"/>
          <w:color w:val="auto"/>
          <w:kern w:val="0"/>
          <w:szCs w:val="21"/>
          <w:highlight w:val="none"/>
        </w:rPr>
        <w:t>（需在技术文件中明确说明），符合信创要求。</w:t>
      </w:r>
    </w:p>
    <w:p w14:paraId="375F6C90">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3.支持浙政钉环境、X86终端、信创终端操作系统下主流浏览器。</w:t>
      </w:r>
    </w:p>
    <w:p w14:paraId="510D9563">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4.系统响应速度：静态页面标准响应时间不超过2秒，简单查询页面标准响应时间不超过2秒；复杂查询页面标准响应时间不超过3秒。浙政钉移动办公登录页面出现时间不超过2秒。</w:t>
      </w:r>
    </w:p>
    <w:p w14:paraId="48F3212C">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5.系统性能要求</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首次加载时间小于1秒、页面切换时间小于1秒、事务处理时间小于5秒、智能问答响应时间小于3秒、数据检索响应时间小于3秒。</w:t>
      </w:r>
    </w:p>
    <w:p w14:paraId="51B0EA83">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6.系统可用性：系统整体可用率大于99.7%，数据库应用可用率和WEB应用可用率均不小于99.8%。</w:t>
      </w:r>
    </w:p>
    <w:p w14:paraId="302BD65E">
      <w:pPr>
        <w:pStyle w:val="23"/>
        <w:widowControl/>
        <w:numPr>
          <w:ilvl w:val="1"/>
          <w:numId w:val="2"/>
        </w:numPr>
        <w:adjustRightInd/>
        <w:spacing w:before="100" w:after="100"/>
        <w:ind w:firstLine="422" w:firstLineChars="200"/>
        <w:jc w:val="left"/>
        <w:outlineLvl w:val="1"/>
        <w:rPr>
          <w:rFonts w:hAnsi="宋体" w:cs="宋体"/>
          <w:b/>
          <w:color w:val="auto"/>
          <w:sz w:val="21"/>
          <w:highlight w:val="none"/>
          <w:lang w:val="en-US"/>
        </w:rPr>
      </w:pPr>
      <w:r>
        <w:rPr>
          <w:rFonts w:hint="eastAsia" w:hAnsi="宋体" w:cs="宋体"/>
          <w:b/>
          <w:color w:val="auto"/>
          <w:sz w:val="21"/>
          <w:highlight w:val="none"/>
          <w:lang w:val="en-US"/>
        </w:rPr>
        <w:t>实施要求</w:t>
      </w:r>
    </w:p>
    <w:p w14:paraId="74F1BA0A">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1.实施计划</w:t>
      </w:r>
    </w:p>
    <w:p w14:paraId="4D1EFA38">
      <w:pPr>
        <w:pStyle w:val="791"/>
        <w:snapToGrid w:val="0"/>
        <w:ind w:firstLine="428"/>
        <w:rPr>
          <w:rFonts w:ascii="宋体" w:hAnsi="宋体" w:cs="宋体"/>
          <w:b/>
          <w:bCs/>
          <w:color w:val="auto"/>
          <w:sz w:val="21"/>
          <w:szCs w:val="21"/>
          <w:highlight w:val="none"/>
          <w:u w:val="single"/>
        </w:rPr>
      </w:pPr>
      <w:r>
        <w:rPr>
          <w:rFonts w:hint="eastAsia" w:ascii="宋体" w:hAnsi="宋体" w:cs="宋体"/>
          <w:b/>
          <w:bCs/>
          <w:color w:val="auto"/>
          <w:sz w:val="21"/>
          <w:szCs w:val="21"/>
          <w:highlight w:val="none"/>
          <w:u w:val="single"/>
        </w:rPr>
        <w:t>▲项目总工期为6个月。自合同签订之日起5个月内完成系统部署上线</w:t>
      </w:r>
      <w:r>
        <w:rPr>
          <w:rFonts w:hint="eastAsia" w:ascii="宋体" w:hAnsi="宋体" w:cs="宋体"/>
          <w:b/>
          <w:bCs/>
          <w:color w:val="auto"/>
          <w:sz w:val="21"/>
          <w:szCs w:val="21"/>
          <w:highlight w:val="none"/>
          <w:u w:val="single"/>
          <w:lang w:eastAsia="zh-CN"/>
        </w:rPr>
        <w:t>，</w:t>
      </w:r>
      <w:r>
        <w:rPr>
          <w:rFonts w:hint="eastAsia" w:ascii="宋体" w:hAnsi="宋体" w:cs="宋体"/>
          <w:b/>
          <w:bCs/>
          <w:color w:val="auto"/>
          <w:sz w:val="21"/>
          <w:szCs w:val="21"/>
          <w:highlight w:val="none"/>
          <w:u w:val="single"/>
        </w:rPr>
        <w:t>1个月试运行。</w:t>
      </w:r>
    </w:p>
    <w:p w14:paraId="5E8BA683">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2.成果要求</w:t>
      </w:r>
    </w:p>
    <w:p w14:paraId="4C86BC96">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电子文档是成果不可分割的部分。要求提供（不限于）如下文档：</w:t>
      </w:r>
    </w:p>
    <w:p w14:paraId="524B665E">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（1）项目实施前：需求分析报告；技术方案、设计说明书；项目实施计划。</w:t>
      </w:r>
    </w:p>
    <w:p w14:paraId="11F1C156">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（2）项目实施期间：需求规格说明书、数据库设计说明书、详细设计说明书、项目实施工作单、项目实施过程中衍生的</w:t>
      </w:r>
      <w:r>
        <w:rPr>
          <w:rFonts w:hint="eastAsia" w:ascii="宋体" w:hAnsi="宋体" w:cs="宋体"/>
          <w:color w:val="auto"/>
          <w:kern w:val="0"/>
          <w:szCs w:val="21"/>
          <w:highlight w:val="none"/>
          <w:lang w:eastAsia="zh-CN"/>
        </w:rPr>
        <w:t>其他</w:t>
      </w:r>
      <w:r>
        <w:rPr>
          <w:rFonts w:hint="eastAsia" w:ascii="宋体" w:hAnsi="宋体" w:cs="宋体"/>
          <w:color w:val="auto"/>
          <w:kern w:val="0"/>
          <w:szCs w:val="21"/>
          <w:highlight w:val="none"/>
        </w:rPr>
        <w:t>相关资料。</w:t>
      </w:r>
    </w:p>
    <w:p w14:paraId="3AD7EE83">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（3）项目实施后：系统试运行和自测报告、工作总结报告。</w:t>
      </w:r>
    </w:p>
    <w:p w14:paraId="13775F03">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（4）培训期间：培训计划、用户使用手册、管理员使用手册、安装部署手册、运维手册。</w:t>
      </w:r>
    </w:p>
    <w:p w14:paraId="7531CAAD">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（5）其他：其他需要提交的材料。</w:t>
      </w:r>
    </w:p>
    <w:p w14:paraId="6568B49A">
      <w:pPr>
        <w:pStyle w:val="23"/>
        <w:widowControl/>
        <w:numPr>
          <w:ilvl w:val="1"/>
          <w:numId w:val="2"/>
        </w:numPr>
        <w:adjustRightInd/>
        <w:spacing w:before="100" w:after="100"/>
        <w:ind w:firstLine="422" w:firstLineChars="200"/>
        <w:jc w:val="left"/>
        <w:outlineLvl w:val="1"/>
        <w:rPr>
          <w:rFonts w:hAnsi="宋体" w:cs="宋体"/>
          <w:b/>
          <w:color w:val="auto"/>
          <w:sz w:val="21"/>
          <w:highlight w:val="none"/>
          <w:lang w:val="en-US"/>
        </w:rPr>
      </w:pPr>
      <w:r>
        <w:rPr>
          <w:rFonts w:hint="eastAsia" w:hAnsi="宋体" w:cs="宋体"/>
          <w:b/>
          <w:color w:val="auto"/>
          <w:sz w:val="21"/>
          <w:highlight w:val="none"/>
          <w:lang w:val="en-US"/>
        </w:rPr>
        <w:t>服务要求</w:t>
      </w:r>
    </w:p>
    <w:p w14:paraId="02FFA44F">
      <w:pPr>
        <w:snapToGrid w:val="0"/>
        <w:spacing w:line="360" w:lineRule="auto"/>
        <w:ind w:firstLine="482"/>
        <w:rPr>
          <w:rFonts w:ascii="宋体" w:hAnsi="宋体" w:cs="宋体"/>
          <w:b/>
          <w:color w:val="auto"/>
          <w:szCs w:val="21"/>
          <w:highlight w:val="none"/>
        </w:rPr>
      </w:pPr>
      <w:r>
        <w:rPr>
          <w:rFonts w:hint="eastAsia" w:ascii="宋体" w:hAnsi="宋体" w:cs="宋体"/>
          <w:b/>
          <w:color w:val="auto"/>
          <w:szCs w:val="21"/>
          <w:highlight w:val="none"/>
        </w:rPr>
        <w:t>1.项目开发期服务要求</w:t>
      </w:r>
    </w:p>
    <w:p w14:paraId="6F1AF9D4">
      <w:pPr>
        <w:snapToGrid w:val="0"/>
        <w:spacing w:line="360" w:lineRule="auto"/>
        <w:ind w:firstLine="371" w:firstLineChars="177"/>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在项目开发阶段，不允许中途更换项目主要人员，确保项目如期高质量完成。项目组人员需提供详细项目进度安排，明确每周工作安排，每半月提供项目开发进度报告。定期与用户召开项目协调会。按照验收要求，做好相关各类项目文档记录。</w:t>
      </w:r>
      <w:r>
        <w:rPr>
          <w:rFonts w:hint="eastAsia" w:ascii="宋体" w:hAnsi="宋体" w:cs="宋体"/>
          <w:color w:val="auto"/>
          <w:szCs w:val="21"/>
          <w:highlight w:val="none"/>
          <w:lang w:val="en-US" w:eastAsia="zh-CN"/>
        </w:rPr>
        <w:t>项目建设期需</w:t>
      </w:r>
      <w:r>
        <w:rPr>
          <w:rFonts w:hint="eastAsia" w:ascii="宋体" w:hAnsi="宋体" w:cs="宋体"/>
          <w:color w:val="auto"/>
          <w:szCs w:val="21"/>
          <w:highlight w:val="none"/>
        </w:rPr>
        <w:t>提供2人驻场服务</w:t>
      </w:r>
      <w:r>
        <w:rPr>
          <w:rFonts w:hint="eastAsia" w:ascii="宋体" w:hAnsi="宋体" w:cs="宋体"/>
          <w:color w:val="auto"/>
          <w:szCs w:val="21"/>
          <w:highlight w:val="none"/>
          <w:lang w:eastAsia="zh-CN"/>
        </w:rPr>
        <w:t>。</w:t>
      </w:r>
    </w:p>
    <w:p w14:paraId="472C6E83">
      <w:pPr>
        <w:snapToGrid w:val="0"/>
        <w:spacing w:line="360" w:lineRule="auto"/>
        <w:ind w:firstLine="371" w:firstLineChars="177"/>
        <w:rPr>
          <w:rFonts w:ascii="宋体" w:hAnsi="宋体" w:cs="宋体"/>
          <w:color w:val="auto"/>
          <w:szCs w:val="21"/>
          <w:highlight w:val="none"/>
        </w:rPr>
      </w:pPr>
      <w:r>
        <w:rPr>
          <w:rFonts w:hint="eastAsia" w:ascii="宋体" w:hAnsi="宋体" w:cs="宋体"/>
          <w:color w:val="auto"/>
          <w:szCs w:val="21"/>
          <w:highlight w:val="none"/>
        </w:rPr>
        <w:t>合同期内，未得到业主单位允许不得随意变更人员，确需变更的需征得业主单位同意。</w:t>
      </w:r>
    </w:p>
    <w:p w14:paraId="55DF22EC">
      <w:pPr>
        <w:snapToGrid w:val="0"/>
        <w:spacing w:line="360" w:lineRule="auto"/>
        <w:ind w:firstLine="482"/>
        <w:rPr>
          <w:rFonts w:ascii="宋体" w:hAnsi="宋体" w:cs="宋体"/>
          <w:b/>
          <w:color w:val="auto"/>
          <w:szCs w:val="21"/>
          <w:highlight w:val="none"/>
        </w:rPr>
      </w:pPr>
      <w:r>
        <w:rPr>
          <w:rFonts w:hint="eastAsia" w:ascii="宋体" w:hAnsi="宋体" w:cs="宋体"/>
          <w:b/>
          <w:color w:val="auto"/>
          <w:szCs w:val="21"/>
          <w:highlight w:val="none"/>
        </w:rPr>
        <w:t>2.质量保证</w:t>
      </w:r>
    </w:p>
    <w:p w14:paraId="593EF489">
      <w:pPr>
        <w:snapToGrid w:val="0"/>
        <w:spacing w:line="360" w:lineRule="auto"/>
        <w:ind w:firstLine="371" w:firstLineChars="177"/>
        <w:rPr>
          <w:rFonts w:ascii="宋体" w:hAnsi="宋体" w:cs="宋体"/>
          <w:color w:val="auto"/>
          <w:szCs w:val="21"/>
          <w:highlight w:val="none"/>
        </w:rPr>
      </w:pPr>
      <w:r>
        <w:rPr>
          <w:rFonts w:hint="eastAsia" w:ascii="宋体" w:hAnsi="宋体" w:cs="宋体"/>
          <w:color w:val="auto"/>
          <w:szCs w:val="21"/>
          <w:highlight w:val="none"/>
        </w:rPr>
        <w:t>应标人须保证所提供产品符合国家有关规定。应标人须保证所提供产品具有合法的版权或使用权，本项目采购的产品，如在本项目范围内使用过程中出现版权或使用权纠纷，应由中标人负责，采购人不承担责任。</w:t>
      </w:r>
    </w:p>
    <w:p w14:paraId="7E72255F">
      <w:pPr>
        <w:snapToGrid w:val="0"/>
        <w:spacing w:line="360" w:lineRule="auto"/>
        <w:ind w:firstLine="371" w:firstLineChars="177"/>
        <w:rPr>
          <w:rFonts w:ascii="宋体" w:hAnsi="宋体" w:cs="宋体"/>
          <w:color w:val="auto"/>
          <w:szCs w:val="21"/>
          <w:highlight w:val="none"/>
        </w:rPr>
      </w:pPr>
      <w:r>
        <w:rPr>
          <w:rFonts w:hint="eastAsia" w:ascii="宋体" w:hAnsi="宋体" w:cs="宋体"/>
          <w:color w:val="auto"/>
          <w:szCs w:val="21"/>
          <w:highlight w:val="none"/>
        </w:rPr>
        <w:t>应标人必须保证解决项目所涉及的技术问题，如因技术原因无法满足用户需求，由此产生的风险由应标方承担。</w:t>
      </w:r>
    </w:p>
    <w:p w14:paraId="55515BAC">
      <w:pPr>
        <w:snapToGrid w:val="0"/>
        <w:spacing w:line="360" w:lineRule="auto"/>
        <w:ind w:firstLine="482"/>
        <w:rPr>
          <w:rFonts w:ascii="宋体" w:hAnsi="宋体" w:cs="宋体"/>
          <w:b/>
          <w:color w:val="auto"/>
          <w:szCs w:val="21"/>
          <w:highlight w:val="none"/>
        </w:rPr>
      </w:pPr>
      <w:r>
        <w:rPr>
          <w:rFonts w:hint="eastAsia" w:ascii="宋体" w:hAnsi="宋体" w:cs="宋体"/>
          <w:b/>
          <w:color w:val="auto"/>
          <w:szCs w:val="21"/>
          <w:highlight w:val="none"/>
        </w:rPr>
        <w:t>3.售后服务</w:t>
      </w:r>
    </w:p>
    <w:p w14:paraId="7F7CF389">
      <w:pPr>
        <w:spacing w:line="360" w:lineRule="auto"/>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提供5×8小时技术支持服务（包含电话支持、远程支持以及现场服务）、技术支持咨询服务，以及特殊敏感时期的应急保障服务。若系统发生故障，在接到通知后作出快速响应进行问题修复。如在要求时间内不能到达或解决问题的，则需要解释清楚解决问题困难，并报备给业主单位。软件应用出现问题，在接到通知后作出快速响应进行问题修复。</w:t>
      </w:r>
      <w:r>
        <w:rPr>
          <w:rFonts w:hint="eastAsia" w:ascii="宋体" w:hAnsi="宋体" w:cs="宋体"/>
          <w:color w:val="auto"/>
          <w:szCs w:val="21"/>
          <w:highlight w:val="none"/>
          <w:lang w:val="en-US" w:eastAsia="zh-CN" w:bidi="ar"/>
        </w:rPr>
        <w:t>做好安全漏洞修复，持续更新公文政策库。</w:t>
      </w:r>
      <w:r>
        <w:rPr>
          <w:rFonts w:hint="eastAsia" w:ascii="宋体" w:hAnsi="宋体" w:cs="宋体"/>
          <w:color w:val="auto"/>
          <w:szCs w:val="21"/>
          <w:highlight w:val="none"/>
          <w:lang w:bidi="ar"/>
        </w:rPr>
        <w:t>项目终验后提供一年免费售后服务，并提供2人驻场服务以及2名专项支持人员，按项目需求提供远程服务。</w:t>
      </w:r>
    </w:p>
    <w:p w14:paraId="3880F5C9">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4.培训服务</w:t>
      </w:r>
    </w:p>
    <w:p w14:paraId="53061F73">
      <w:pPr>
        <w:snapToGrid w:val="0"/>
        <w:spacing w:line="360" w:lineRule="auto"/>
        <w:ind w:firstLine="371" w:firstLineChars="177"/>
        <w:rPr>
          <w:rFonts w:ascii="宋体" w:hAnsi="宋体" w:cs="宋体"/>
          <w:color w:val="auto"/>
          <w:szCs w:val="21"/>
          <w:highlight w:val="none"/>
        </w:rPr>
      </w:pPr>
      <w:r>
        <w:rPr>
          <w:rFonts w:hint="eastAsia" w:ascii="宋体" w:hAnsi="宋体" w:cs="宋体"/>
          <w:color w:val="auto"/>
          <w:szCs w:val="21"/>
          <w:highlight w:val="none"/>
          <w:lang w:val="zh-TW"/>
        </w:rPr>
        <w:t>需提供累计不少于</w:t>
      </w:r>
      <w:r>
        <w:rPr>
          <w:rFonts w:hint="eastAsia" w:ascii="宋体" w:hAnsi="宋体" w:cs="宋体"/>
          <w:color w:val="auto"/>
          <w:szCs w:val="21"/>
          <w:highlight w:val="none"/>
        </w:rPr>
        <w:t>3</w:t>
      </w:r>
      <w:r>
        <w:rPr>
          <w:rFonts w:hint="eastAsia" w:ascii="宋体" w:hAnsi="宋体" w:cs="宋体"/>
          <w:color w:val="auto"/>
          <w:szCs w:val="21"/>
          <w:highlight w:val="none"/>
          <w:lang w:val="zh-TW"/>
        </w:rPr>
        <w:t>天的系统培训，</w:t>
      </w:r>
      <w:r>
        <w:rPr>
          <w:rFonts w:hint="eastAsia" w:ascii="宋体" w:hAnsi="宋体" w:cs="宋体"/>
          <w:color w:val="auto"/>
          <w:szCs w:val="21"/>
          <w:highlight w:val="none"/>
        </w:rPr>
        <w:t>包括系统操作培训和系统日常维护培训。系统操作培训主要面向领导、单位管理员、工作人员等系统使用者。系统日常维护培训主要面向技术人员开展培训，使其具备独立进行系统日常维护的能力。应标人应制定详细的培训计划，分批分次对人员进行培训。</w:t>
      </w:r>
    </w:p>
    <w:p w14:paraId="5D06B920">
      <w:pPr>
        <w:pStyle w:val="23"/>
        <w:widowControl/>
        <w:numPr>
          <w:ilvl w:val="1"/>
          <w:numId w:val="2"/>
        </w:numPr>
        <w:adjustRightInd/>
        <w:spacing w:before="100" w:after="100"/>
        <w:ind w:firstLine="422" w:firstLineChars="200"/>
        <w:jc w:val="left"/>
        <w:outlineLvl w:val="1"/>
        <w:rPr>
          <w:rFonts w:hAnsi="宋体" w:cs="宋体"/>
          <w:b/>
          <w:color w:val="auto"/>
          <w:sz w:val="21"/>
          <w:highlight w:val="none"/>
          <w:lang w:val="en-US" w:eastAsia="zh-Hans"/>
        </w:rPr>
      </w:pPr>
      <w:r>
        <w:rPr>
          <w:rFonts w:hint="eastAsia" w:hAnsi="宋体" w:cs="宋体"/>
          <w:b/>
          <w:color w:val="auto"/>
          <w:sz w:val="21"/>
          <w:highlight w:val="none"/>
          <w:lang w:val="en-US" w:eastAsia="zh-Hans"/>
        </w:rPr>
        <w:t>其他要求</w:t>
      </w:r>
    </w:p>
    <w:p w14:paraId="692E1E9B">
      <w:pPr>
        <w:numPr>
          <w:ilvl w:val="-1"/>
          <w:numId w:val="0"/>
        </w:numPr>
        <w:tabs>
          <w:tab w:val="left" w:pos="0"/>
        </w:tabs>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项目验收前应该完成项目第三方软件</w:t>
      </w:r>
      <w:r>
        <w:rPr>
          <w:rFonts w:hint="eastAsia" w:ascii="宋体" w:hAnsi="宋体" w:cs="宋体"/>
          <w:color w:val="auto"/>
          <w:kern w:val="0"/>
          <w:szCs w:val="21"/>
          <w:highlight w:val="none"/>
          <w:lang w:val="en-US" w:eastAsia="zh-CN"/>
        </w:rPr>
        <w:t>安全</w:t>
      </w:r>
      <w:r>
        <w:rPr>
          <w:rFonts w:hint="eastAsia" w:ascii="宋体" w:hAnsi="宋体" w:cs="宋体"/>
          <w:color w:val="auto"/>
          <w:kern w:val="0"/>
          <w:szCs w:val="21"/>
          <w:highlight w:val="none"/>
        </w:rPr>
        <w:t>评测</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源代码安全审计</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网络安全等级保护测评（三级）</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信创适配</w:t>
      </w:r>
      <w:r>
        <w:rPr>
          <w:rFonts w:hint="eastAsia" w:ascii="宋体" w:hAnsi="宋体" w:cs="宋体"/>
          <w:color w:val="auto"/>
          <w:kern w:val="0"/>
          <w:szCs w:val="21"/>
          <w:highlight w:val="none"/>
          <w:lang w:val="en-US" w:eastAsia="zh-CN"/>
        </w:rPr>
        <w:t>测试</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商用密码</w:t>
      </w:r>
      <w:r>
        <w:rPr>
          <w:rFonts w:hint="eastAsia" w:ascii="宋体" w:hAnsi="宋体" w:cs="宋体"/>
          <w:color w:val="auto"/>
          <w:kern w:val="0"/>
          <w:szCs w:val="21"/>
          <w:highlight w:val="none"/>
          <w:lang w:val="en-US" w:eastAsia="zh-CN"/>
        </w:rPr>
        <w:t>应用安全性评估</w:t>
      </w:r>
      <w:r>
        <w:rPr>
          <w:rFonts w:hint="eastAsia" w:ascii="宋体" w:hAnsi="宋体" w:cs="宋体"/>
          <w:color w:val="auto"/>
          <w:kern w:val="0"/>
          <w:szCs w:val="21"/>
          <w:highlight w:val="none"/>
        </w:rPr>
        <w:t>等工作，并提交相应的资料</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报告</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w:t>
      </w:r>
    </w:p>
    <w:p w14:paraId="35BD499B">
      <w:pPr>
        <w:keepNext w:val="0"/>
        <w:keepLines w:val="0"/>
        <w:widowControl/>
        <w:suppressLineNumbers w:val="0"/>
        <w:spacing w:line="360" w:lineRule="auto"/>
        <w:ind w:firstLine="420" w:firstLineChars="200"/>
        <w:jc w:val="left"/>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 w:val="21"/>
          <w:szCs w:val="21"/>
          <w:highlight w:val="none"/>
          <w:lang w:val="en-US" w:eastAsia="zh-CN" w:bidi="ar"/>
        </w:rPr>
        <w:t>根据采购人要求输出相关规范制度等文件，参与相关课题研究，形成重大典型案例成果，并保障理论成果输出，确保成果转化和学术推广。相关知识产权双方共有。</w:t>
      </w:r>
    </w:p>
    <w:p w14:paraId="56C1E449">
      <w:pPr>
        <w:keepNext w:val="0"/>
        <w:keepLines w:val="0"/>
        <w:widowControl/>
        <w:suppressLineNumbers w:val="0"/>
        <w:spacing w:line="360" w:lineRule="auto"/>
        <w:ind w:firstLine="420" w:firstLineChars="20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3.积极配合采购人参与相关行业评比活动，扩大影响力，包括提供支持性材料和技术保障等。相关知识产权双方共有。</w:t>
      </w:r>
    </w:p>
    <w:bookmarkEnd w:id="38"/>
    <w:p w14:paraId="10EACF50">
      <w:pPr>
        <w:pStyle w:val="23"/>
        <w:widowControl/>
        <w:numPr>
          <w:ilvl w:val="1"/>
          <w:numId w:val="2"/>
        </w:numPr>
        <w:adjustRightInd/>
        <w:spacing w:before="100" w:after="100"/>
        <w:ind w:firstLine="422" w:firstLineChars="200"/>
        <w:jc w:val="left"/>
        <w:outlineLvl w:val="1"/>
        <w:rPr>
          <w:rFonts w:hAnsi="宋体" w:cs="宋体"/>
          <w:b/>
          <w:color w:val="auto"/>
          <w:sz w:val="21"/>
          <w:highlight w:val="none"/>
          <w:lang w:val="en-US"/>
        </w:rPr>
      </w:pPr>
      <w:r>
        <w:rPr>
          <w:rFonts w:hint="eastAsia" w:hAnsi="宋体" w:cs="宋体"/>
          <w:b/>
          <w:color w:val="auto"/>
          <w:sz w:val="21"/>
          <w:highlight w:val="none"/>
          <w:lang w:val="en-US"/>
        </w:rPr>
        <w:t>验收要求</w:t>
      </w:r>
    </w:p>
    <w:p w14:paraId="5B974A98">
      <w:pPr>
        <w:tabs>
          <w:tab w:val="left" w:pos="0"/>
        </w:tabs>
        <w:spacing w:line="360" w:lineRule="auto"/>
        <w:ind w:firstLine="482"/>
        <w:rPr>
          <w:rFonts w:ascii="宋体" w:hAnsi="宋体" w:cs="宋体"/>
          <w:color w:val="auto"/>
          <w:kern w:val="0"/>
          <w:szCs w:val="21"/>
          <w:highlight w:val="none"/>
        </w:rPr>
      </w:pPr>
      <w:r>
        <w:rPr>
          <w:rFonts w:hint="eastAsia" w:ascii="宋体" w:hAnsi="宋体" w:cs="宋体"/>
          <w:color w:val="auto"/>
          <w:kern w:val="0"/>
          <w:szCs w:val="21"/>
          <w:highlight w:val="none"/>
        </w:rPr>
        <w:t>验收主体：余杭区数据资源管理局。</w:t>
      </w:r>
    </w:p>
    <w:p w14:paraId="3207DF2E">
      <w:pPr>
        <w:tabs>
          <w:tab w:val="left" w:pos="0"/>
        </w:tabs>
        <w:spacing w:line="360" w:lineRule="auto"/>
        <w:ind w:firstLine="482"/>
        <w:rPr>
          <w:rFonts w:ascii="宋体" w:hAnsi="宋体" w:cs="宋体"/>
          <w:color w:val="auto"/>
          <w:kern w:val="0"/>
          <w:szCs w:val="21"/>
          <w:highlight w:val="none"/>
        </w:rPr>
      </w:pPr>
      <w:r>
        <w:rPr>
          <w:rFonts w:hint="eastAsia" w:ascii="宋体" w:hAnsi="宋体" w:cs="宋体"/>
          <w:color w:val="auto"/>
          <w:kern w:val="0"/>
          <w:szCs w:val="21"/>
          <w:highlight w:val="none"/>
        </w:rPr>
        <w:t>采购人在中标人提供服务的过程中，有权不定期对服务内容和质量进行检查考核。中标人应当配合进行。</w:t>
      </w:r>
    </w:p>
    <w:p w14:paraId="0594B6FF">
      <w:pPr>
        <w:tabs>
          <w:tab w:val="left" w:pos="0"/>
        </w:tabs>
        <w:spacing w:line="360" w:lineRule="auto"/>
        <w:ind w:firstLine="482"/>
        <w:rPr>
          <w:b w:val="0"/>
          <w:bCs w:val="0"/>
          <w:color w:val="auto"/>
          <w:highlight w:val="none"/>
        </w:rPr>
      </w:pPr>
      <w:r>
        <w:rPr>
          <w:rFonts w:hint="eastAsia" w:ascii="宋体" w:hAnsi="宋体" w:cs="宋体"/>
          <w:b w:val="0"/>
          <w:bCs w:val="0"/>
          <w:color w:val="auto"/>
          <w:kern w:val="0"/>
          <w:szCs w:val="21"/>
          <w:highlight w:val="none"/>
        </w:rPr>
        <w:t>验收时间：</w:t>
      </w:r>
      <w:r>
        <w:rPr>
          <w:rFonts w:hint="eastAsia" w:ascii="宋体" w:hAnsi="宋体" w:cs="宋体"/>
          <w:b w:val="0"/>
          <w:bCs w:val="0"/>
          <w:color w:val="auto"/>
          <w:kern w:val="0"/>
          <w:szCs w:val="21"/>
          <w:highlight w:val="none"/>
          <w:u w:val="none"/>
        </w:rPr>
        <w:t>分二次验收，中标人</w:t>
      </w:r>
      <w:r>
        <w:rPr>
          <w:rFonts w:hint="eastAsia" w:ascii="宋体" w:hAnsi="宋体" w:cs="宋体"/>
          <w:b w:val="0"/>
          <w:bCs w:val="0"/>
          <w:color w:val="auto"/>
          <w:szCs w:val="21"/>
          <w:highlight w:val="none"/>
          <w:u w:val="none"/>
        </w:rPr>
        <w:t>自合同签订之日起5个月内完成系统部署上线后进行</w:t>
      </w:r>
      <w:r>
        <w:rPr>
          <w:rFonts w:hint="eastAsia" w:ascii="宋体" w:hAnsi="宋体" w:cs="宋体"/>
          <w:b w:val="0"/>
          <w:bCs w:val="0"/>
          <w:color w:val="auto"/>
          <w:szCs w:val="21"/>
          <w:highlight w:val="none"/>
          <w:u w:val="none"/>
          <w:lang w:val="en-US" w:eastAsia="zh-CN"/>
        </w:rPr>
        <w:t>阶段性验收</w:t>
      </w:r>
      <w:r>
        <w:rPr>
          <w:rFonts w:hint="eastAsia" w:ascii="宋体" w:hAnsi="宋体" w:cs="宋体"/>
          <w:b w:val="0"/>
          <w:bCs w:val="0"/>
          <w:color w:val="auto"/>
          <w:kern w:val="0"/>
          <w:szCs w:val="21"/>
          <w:highlight w:val="none"/>
          <w:u w:val="none"/>
        </w:rPr>
        <w:t>，试运行1个月</w:t>
      </w:r>
      <w:r>
        <w:rPr>
          <w:rFonts w:hint="eastAsia" w:ascii="宋体" w:hAnsi="宋体" w:cs="宋体"/>
          <w:b w:val="0"/>
          <w:bCs w:val="0"/>
          <w:color w:val="auto"/>
          <w:kern w:val="0"/>
          <w:szCs w:val="21"/>
          <w:highlight w:val="none"/>
          <w:u w:val="none"/>
          <w:lang w:val="en-US" w:eastAsia="zh-CN"/>
        </w:rPr>
        <w:t>后</w:t>
      </w:r>
      <w:r>
        <w:rPr>
          <w:rFonts w:hint="eastAsia" w:ascii="宋体" w:hAnsi="宋体" w:cs="宋体"/>
          <w:b w:val="0"/>
          <w:bCs w:val="0"/>
          <w:color w:val="auto"/>
          <w:kern w:val="0"/>
          <w:szCs w:val="21"/>
          <w:highlight w:val="none"/>
          <w:u w:val="none"/>
        </w:rPr>
        <w:t>进行终验。</w:t>
      </w:r>
    </w:p>
    <w:p w14:paraId="4DB3454F">
      <w:pPr>
        <w:tabs>
          <w:tab w:val="left" w:pos="0"/>
        </w:tabs>
        <w:spacing w:line="360" w:lineRule="auto"/>
        <w:ind w:firstLine="482"/>
        <w:rPr>
          <w:rFonts w:ascii="宋体" w:hAnsi="宋体" w:cs="宋体"/>
          <w:color w:val="auto"/>
          <w:kern w:val="0"/>
          <w:szCs w:val="21"/>
          <w:highlight w:val="none"/>
        </w:rPr>
      </w:pPr>
      <w:r>
        <w:rPr>
          <w:rFonts w:hint="eastAsia" w:ascii="宋体" w:hAnsi="宋体" w:cs="宋体"/>
          <w:color w:val="auto"/>
          <w:kern w:val="0"/>
          <w:szCs w:val="21"/>
          <w:highlight w:val="none"/>
        </w:rPr>
        <w:t>验收程序：中标人向采购人提出验收申请，采购人按验收方案组织履约验收。中标人应将项目执行过程及时记录、收集、整理，向采购人递交验收申请资料。验收时提供的材料包括</w:t>
      </w:r>
      <w:r>
        <w:rPr>
          <w:rFonts w:hint="eastAsia" w:ascii="宋体" w:hAnsi="宋体" w:cs="宋体"/>
          <w:color w:val="auto"/>
          <w:kern w:val="0"/>
          <w:szCs w:val="21"/>
          <w:highlight w:val="none"/>
          <w:lang w:eastAsia="zh-CN"/>
        </w:rPr>
        <w:t>但</w:t>
      </w:r>
      <w:r>
        <w:rPr>
          <w:rFonts w:hint="eastAsia" w:ascii="宋体" w:hAnsi="宋体" w:cs="宋体"/>
          <w:color w:val="auto"/>
          <w:kern w:val="0"/>
          <w:szCs w:val="21"/>
          <w:highlight w:val="none"/>
        </w:rPr>
        <w:t>不限于如下：</w:t>
      </w:r>
    </w:p>
    <w:p w14:paraId="3CB4C827">
      <w:pPr>
        <w:tabs>
          <w:tab w:val="left" w:pos="0"/>
        </w:tabs>
        <w:snapToGrid w:val="0"/>
        <w:spacing w:line="360" w:lineRule="auto"/>
        <w:ind w:firstLine="482"/>
        <w:rPr>
          <w:rFonts w:ascii="宋体" w:hAnsi="宋体" w:cs="宋体"/>
          <w:color w:val="auto"/>
          <w:kern w:val="0"/>
          <w:szCs w:val="21"/>
          <w:highlight w:val="none"/>
        </w:rPr>
      </w:pPr>
      <w:r>
        <w:rPr>
          <w:rFonts w:hint="eastAsia" w:ascii="宋体" w:hAnsi="宋体" w:cs="宋体"/>
          <w:color w:val="auto"/>
          <w:kern w:val="0"/>
          <w:szCs w:val="21"/>
          <w:highlight w:val="none"/>
        </w:rPr>
        <w:t>a.项目需求分析；</w:t>
      </w:r>
    </w:p>
    <w:p w14:paraId="35A9F099">
      <w:pPr>
        <w:tabs>
          <w:tab w:val="left" w:pos="0"/>
        </w:tabs>
        <w:snapToGrid w:val="0"/>
        <w:spacing w:line="360" w:lineRule="auto"/>
        <w:ind w:firstLine="482"/>
        <w:rPr>
          <w:rFonts w:ascii="宋体" w:hAnsi="宋体" w:cs="宋体"/>
          <w:color w:val="auto"/>
          <w:kern w:val="0"/>
          <w:szCs w:val="21"/>
          <w:highlight w:val="none"/>
        </w:rPr>
      </w:pPr>
      <w:r>
        <w:rPr>
          <w:rFonts w:hint="eastAsia" w:ascii="宋体" w:hAnsi="宋体" w:cs="宋体"/>
          <w:color w:val="auto"/>
          <w:kern w:val="0"/>
          <w:szCs w:val="21"/>
          <w:highlight w:val="none"/>
        </w:rPr>
        <w:t>b.实施方案；</w:t>
      </w:r>
    </w:p>
    <w:p w14:paraId="6CCEB68D">
      <w:pPr>
        <w:tabs>
          <w:tab w:val="left" w:pos="0"/>
        </w:tabs>
        <w:snapToGrid w:val="0"/>
        <w:spacing w:line="360" w:lineRule="auto"/>
        <w:ind w:firstLine="482"/>
        <w:rPr>
          <w:rFonts w:ascii="宋体" w:hAnsi="宋体" w:cs="宋体"/>
          <w:color w:val="auto"/>
          <w:kern w:val="0"/>
          <w:szCs w:val="21"/>
          <w:highlight w:val="none"/>
        </w:rPr>
      </w:pPr>
      <w:r>
        <w:rPr>
          <w:rFonts w:hint="eastAsia" w:ascii="宋体" w:hAnsi="宋体" w:cs="宋体"/>
          <w:color w:val="auto"/>
          <w:kern w:val="0"/>
          <w:szCs w:val="21"/>
          <w:highlight w:val="none"/>
        </w:rPr>
        <w:t>c.运维保障方案；</w:t>
      </w:r>
    </w:p>
    <w:p w14:paraId="62A22751">
      <w:pPr>
        <w:tabs>
          <w:tab w:val="left" w:pos="0"/>
        </w:tabs>
        <w:snapToGrid w:val="0"/>
        <w:spacing w:line="360" w:lineRule="auto"/>
        <w:ind w:firstLine="482"/>
        <w:rPr>
          <w:rFonts w:ascii="宋体" w:hAnsi="宋体" w:cs="宋体"/>
          <w:color w:val="auto"/>
          <w:kern w:val="0"/>
          <w:szCs w:val="21"/>
          <w:highlight w:val="none"/>
        </w:rPr>
      </w:pPr>
      <w:r>
        <w:rPr>
          <w:rFonts w:hint="eastAsia" w:ascii="宋体" w:hAnsi="宋体" w:cs="宋体"/>
          <w:color w:val="auto"/>
          <w:kern w:val="0"/>
          <w:szCs w:val="21"/>
          <w:highlight w:val="none"/>
        </w:rPr>
        <w:t>d.培训内容及成果；</w:t>
      </w:r>
    </w:p>
    <w:p w14:paraId="1F6EAED0">
      <w:pPr>
        <w:tabs>
          <w:tab w:val="left" w:pos="0"/>
        </w:tabs>
        <w:snapToGrid w:val="0"/>
        <w:spacing w:line="360" w:lineRule="auto"/>
        <w:ind w:firstLine="482"/>
        <w:rPr>
          <w:rFonts w:ascii="宋体" w:hAnsi="宋体" w:cs="宋体"/>
          <w:color w:val="auto"/>
          <w:kern w:val="0"/>
          <w:szCs w:val="21"/>
          <w:highlight w:val="none"/>
        </w:rPr>
      </w:pPr>
      <w:r>
        <w:rPr>
          <w:rFonts w:hint="eastAsia" w:ascii="宋体" w:hAnsi="宋体" w:cs="宋体"/>
          <w:color w:val="auto"/>
          <w:kern w:val="0"/>
          <w:szCs w:val="21"/>
          <w:highlight w:val="none"/>
        </w:rPr>
        <w:t>e.项目总结及建议；</w:t>
      </w:r>
    </w:p>
    <w:p w14:paraId="7CBE7BAA">
      <w:pPr>
        <w:tabs>
          <w:tab w:val="left" w:pos="0"/>
        </w:tabs>
        <w:spacing w:line="360" w:lineRule="auto"/>
        <w:ind w:firstLine="482"/>
        <w:rPr>
          <w:rFonts w:ascii="宋体" w:hAnsi="宋体" w:cs="宋体"/>
          <w:color w:val="auto"/>
          <w:kern w:val="0"/>
          <w:szCs w:val="21"/>
          <w:highlight w:val="none"/>
        </w:rPr>
      </w:pPr>
      <w:r>
        <w:rPr>
          <w:rFonts w:hint="eastAsia" w:ascii="宋体" w:hAnsi="宋体" w:cs="宋体"/>
          <w:color w:val="auto"/>
          <w:kern w:val="0"/>
          <w:szCs w:val="21"/>
          <w:highlight w:val="none"/>
        </w:rPr>
        <w:t>验收内容：中标人实际完成的情况是否符合采购文件要求和中标人在投标响应文件中的商务、技术承诺。</w:t>
      </w:r>
    </w:p>
    <w:p w14:paraId="70F1D6BF">
      <w:pPr>
        <w:tabs>
          <w:tab w:val="left" w:pos="0"/>
        </w:tabs>
        <w:spacing w:line="360" w:lineRule="auto"/>
        <w:ind w:firstLine="482"/>
        <w:rPr>
          <w:rFonts w:ascii="宋体" w:hAnsi="宋体" w:cs="宋体"/>
          <w:color w:val="auto"/>
          <w:kern w:val="0"/>
          <w:szCs w:val="21"/>
          <w:highlight w:val="none"/>
        </w:rPr>
      </w:pPr>
      <w:r>
        <w:rPr>
          <w:rFonts w:hint="eastAsia" w:ascii="宋体" w:hAnsi="宋体" w:cs="宋体"/>
          <w:color w:val="auto"/>
          <w:kern w:val="0"/>
          <w:szCs w:val="21"/>
          <w:highlight w:val="none"/>
        </w:rPr>
        <w:t>验收标准：中标人已经按采购文件要求和中标人在投标响应文件中的商务、技术承诺完成项目执行。</w:t>
      </w:r>
    </w:p>
    <w:p w14:paraId="7CE4EEBA">
      <w:pPr>
        <w:tabs>
          <w:tab w:val="left" w:pos="0"/>
        </w:tabs>
        <w:spacing w:line="360" w:lineRule="auto"/>
        <w:ind w:firstLine="482"/>
        <w:rPr>
          <w:rFonts w:ascii="宋体" w:hAnsi="宋体" w:cs="宋体"/>
          <w:color w:val="auto"/>
          <w:kern w:val="0"/>
          <w:szCs w:val="21"/>
          <w:highlight w:val="none"/>
        </w:rPr>
      </w:pPr>
      <w:r>
        <w:rPr>
          <w:rFonts w:hint="eastAsia" w:ascii="宋体" w:hAnsi="宋体" w:cs="宋体"/>
          <w:color w:val="auto"/>
          <w:kern w:val="0"/>
          <w:szCs w:val="21"/>
          <w:highlight w:val="none"/>
        </w:rPr>
        <w:t>验收时中标人应在现场，验收完毕后做出验收结果报告。</w:t>
      </w:r>
    </w:p>
    <w:p w14:paraId="4118CD23">
      <w:pPr>
        <w:tabs>
          <w:tab w:val="left" w:pos="0"/>
        </w:tabs>
        <w:snapToGrid w:val="0"/>
        <w:spacing w:line="360" w:lineRule="auto"/>
        <w:ind w:firstLine="482" w:firstLineChars="0"/>
        <w:rPr>
          <w:rFonts w:hint="eastAsia" w:ascii="宋体" w:hAnsi="宋体" w:eastAsia="宋体" w:cs="宋体"/>
          <w:color w:val="auto"/>
          <w:sz w:val="21"/>
          <w:szCs w:val="21"/>
          <w:highlight w:val="none"/>
          <w:lang w:val="en-US" w:eastAsia="zh-CN"/>
        </w:rPr>
      </w:pPr>
      <w:r>
        <w:rPr>
          <w:rFonts w:hint="eastAsia" w:ascii="宋体" w:hAnsi="宋体" w:cs="宋体"/>
          <w:color w:val="auto"/>
          <w:kern w:val="0"/>
          <w:szCs w:val="21"/>
          <w:highlight w:val="none"/>
        </w:rPr>
        <w:t>经验收后，中标人服务成果不合格的（或未通过评审的），采购人有权要求中标人进行整改，相关费用由中标人承担；如整改后仍不合格的，采购人有权解除合同，并可以拒绝支付未支付的款项，中标人已经收取的款项应退还给采购人。</w:t>
      </w:r>
    </w:p>
    <w:p w14:paraId="0EB10163">
      <w:pPr>
        <w:pStyle w:val="23"/>
        <w:widowControl/>
        <w:numPr>
          <w:ilvl w:val="1"/>
          <w:numId w:val="2"/>
        </w:numPr>
        <w:adjustRightInd/>
        <w:spacing w:before="100" w:after="100"/>
        <w:ind w:firstLine="422" w:firstLineChars="200"/>
        <w:jc w:val="left"/>
        <w:outlineLvl w:val="1"/>
        <w:rPr>
          <w:rFonts w:hAnsi="宋体" w:cs="宋体"/>
          <w:b/>
          <w:color w:val="auto"/>
          <w:sz w:val="21"/>
          <w:highlight w:val="none"/>
          <w:lang w:val="en-US"/>
        </w:rPr>
      </w:pPr>
      <w:r>
        <w:rPr>
          <w:rFonts w:hint="eastAsia" w:hAnsi="宋体" w:cs="宋体"/>
          <w:b/>
          <w:color w:val="auto"/>
          <w:sz w:val="21"/>
          <w:highlight w:val="none"/>
          <w:lang w:val="en-US"/>
        </w:rPr>
        <w:t>其他</w:t>
      </w:r>
    </w:p>
    <w:p w14:paraId="6AC1B2C8">
      <w:pPr>
        <w:snapToGrid w:val="0"/>
        <w:spacing w:line="360" w:lineRule="auto"/>
        <w:ind w:firstLine="420" w:firstLineChars="200"/>
        <w:rPr>
          <w:rFonts w:ascii="宋体" w:hAnsi="宋体" w:cs="宋体"/>
          <w:color w:val="auto"/>
          <w:szCs w:val="21"/>
          <w:highlight w:val="none"/>
        </w:rPr>
      </w:pPr>
      <w:r>
        <w:rPr>
          <w:rFonts w:hint="eastAsia" w:ascii="宋体" w:hAnsi="宋体" w:cs="宋体"/>
          <w:bCs/>
          <w:color w:val="auto"/>
          <w:szCs w:val="21"/>
          <w:highlight w:val="none"/>
        </w:rPr>
        <w:t>1.</w:t>
      </w:r>
      <w:r>
        <w:rPr>
          <w:rFonts w:hint="eastAsia" w:ascii="宋体" w:hAnsi="宋体" w:cs="宋体"/>
          <w:color w:val="auto"/>
          <w:kern w:val="0"/>
          <w:szCs w:val="21"/>
          <w:highlight w:val="none"/>
        </w:rPr>
        <w:t>投标人对于AI余杭</w:t>
      </w:r>
      <w:r>
        <w:rPr>
          <w:rFonts w:hint="eastAsia" w:ascii="宋体" w:hAnsi="宋体" w:cs="宋体"/>
          <w:color w:val="auto"/>
          <w:kern w:val="0"/>
          <w:szCs w:val="21"/>
          <w:highlight w:val="none"/>
          <w:lang w:val="en-US" w:eastAsia="zh-CN"/>
        </w:rPr>
        <w:t>需求分析</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提供具体的建设方案</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提供对应的售后服务方案、组织实施措施及进度措施等</w:t>
      </w:r>
      <w:r>
        <w:rPr>
          <w:rFonts w:hint="eastAsia" w:ascii="宋体" w:hAnsi="宋体" w:cs="宋体"/>
          <w:color w:val="auto"/>
          <w:kern w:val="0"/>
          <w:szCs w:val="21"/>
          <w:highlight w:val="none"/>
        </w:rPr>
        <w:t>。</w:t>
      </w:r>
    </w:p>
    <w:p w14:paraId="53CF75E8">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w:t>
      </w:r>
      <w:r>
        <w:rPr>
          <w:rFonts w:hint="eastAsia" w:ascii="宋体" w:hAnsi="宋体" w:cs="宋体"/>
          <w:color w:val="auto"/>
          <w:szCs w:val="21"/>
          <w:highlight w:val="none"/>
          <w:lang w:val="zh-CN"/>
        </w:rPr>
        <w:t>投标人具有完备的管理组织、项目实施规范和管理制度，具有完善的质量管理体系</w:t>
      </w:r>
      <w:r>
        <w:rPr>
          <w:rFonts w:hint="eastAsia" w:ascii="宋体" w:hAnsi="宋体" w:cs="宋体"/>
          <w:color w:val="auto"/>
          <w:szCs w:val="21"/>
          <w:highlight w:val="none"/>
          <w:lang w:val="en-US" w:eastAsia="zh-CN"/>
        </w:rPr>
        <w:t>等</w:t>
      </w:r>
      <w:r>
        <w:rPr>
          <w:rFonts w:hint="eastAsia" w:ascii="宋体" w:hAnsi="宋体" w:cs="宋体"/>
          <w:color w:val="auto"/>
          <w:szCs w:val="21"/>
          <w:highlight w:val="none"/>
          <w:lang w:val="zh-CN"/>
        </w:rPr>
        <w:t>，</w:t>
      </w:r>
      <w:r>
        <w:rPr>
          <w:rFonts w:hint="eastAsia" w:ascii="宋体" w:hAnsi="宋体" w:cs="宋体"/>
          <w:color w:val="auto"/>
          <w:szCs w:val="21"/>
          <w:highlight w:val="none"/>
          <w:lang w:val="en-US" w:eastAsia="zh-CN"/>
        </w:rPr>
        <w:t>具有相关的大模型建设能力</w:t>
      </w:r>
      <w:r>
        <w:rPr>
          <w:rFonts w:hint="eastAsia" w:ascii="宋体" w:hAnsi="宋体" w:cs="宋体"/>
          <w:color w:val="auto"/>
          <w:szCs w:val="21"/>
          <w:highlight w:val="none"/>
          <w:lang w:val="zh-CN"/>
        </w:rPr>
        <w:t>。</w:t>
      </w:r>
    </w:p>
    <w:p w14:paraId="47892CE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w:t>
      </w:r>
      <w:r>
        <w:rPr>
          <w:rFonts w:hint="eastAsia" w:ascii="宋体" w:hAnsi="宋体" w:cs="宋体"/>
          <w:color w:val="auto"/>
          <w:szCs w:val="21"/>
          <w:highlight w:val="none"/>
          <w:lang w:val="zh-CN"/>
        </w:rPr>
        <w:t>人员要求：</w:t>
      </w:r>
      <w:r>
        <w:rPr>
          <w:rFonts w:hint="eastAsia" w:ascii="宋体" w:hAnsi="宋体" w:cs="宋体"/>
          <w:color w:val="auto"/>
          <w:szCs w:val="21"/>
          <w:highlight w:val="none"/>
        </w:rPr>
        <w:t>根据情况要求组建项目团队，具体要求详见评分办法。</w:t>
      </w:r>
    </w:p>
    <w:p w14:paraId="0DDB374D">
      <w:pPr>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lang w:val="en-US" w:eastAsia="zh-CN"/>
        </w:rPr>
        <w:t>4</w:t>
      </w:r>
      <w:r>
        <w:rPr>
          <w:rFonts w:hint="eastAsia" w:ascii="宋体" w:hAnsi="宋体" w:cs="宋体"/>
          <w:color w:val="auto"/>
          <w:szCs w:val="21"/>
          <w:highlight w:val="none"/>
        </w:rPr>
        <w:t>.</w:t>
      </w:r>
      <w:r>
        <w:rPr>
          <w:rFonts w:hint="eastAsia" w:ascii="宋体" w:hAnsi="宋体" w:cs="宋体"/>
          <w:snapToGrid w:val="0"/>
          <w:color w:val="auto"/>
          <w:kern w:val="0"/>
          <w:szCs w:val="21"/>
          <w:highlight w:val="none"/>
        </w:rPr>
        <w:t>招标文件第四部分评分办法中评审因素相应的其他要求及第五部分采购合同中相应的其他要求。</w:t>
      </w:r>
    </w:p>
    <w:p w14:paraId="7AA57B67">
      <w:pPr>
        <w:pStyle w:val="23"/>
        <w:widowControl/>
        <w:numPr>
          <w:ilvl w:val="1"/>
          <w:numId w:val="2"/>
        </w:numPr>
        <w:adjustRightInd/>
        <w:spacing w:before="100" w:after="100"/>
        <w:ind w:firstLine="422" w:firstLineChars="200"/>
        <w:jc w:val="left"/>
        <w:outlineLvl w:val="1"/>
        <w:rPr>
          <w:rFonts w:hAnsi="宋体" w:cs="宋体"/>
          <w:b/>
          <w:color w:val="auto"/>
          <w:sz w:val="21"/>
          <w:highlight w:val="none"/>
          <w:lang w:val="en-US"/>
        </w:rPr>
      </w:pPr>
      <w:r>
        <w:rPr>
          <w:rFonts w:hint="eastAsia" w:hAnsi="宋体" w:cs="宋体"/>
          <w:b/>
          <w:color w:val="auto"/>
          <w:sz w:val="21"/>
          <w:highlight w:val="none"/>
          <w:lang w:val="en-US"/>
        </w:rPr>
        <w:t>商务要求</w:t>
      </w:r>
    </w:p>
    <w:p w14:paraId="5B11AC5E">
      <w:pPr>
        <w:pStyle w:val="23"/>
        <w:numPr>
          <w:ilvl w:val="255"/>
          <w:numId w:val="0"/>
        </w:numPr>
        <w:snapToGrid w:val="0"/>
        <w:ind w:firstLine="422" w:firstLineChars="200"/>
        <w:outlineLvl w:val="2"/>
        <w:rPr>
          <w:rFonts w:hAnsi="宋体" w:cs="宋体"/>
          <w:b/>
          <w:bCs/>
          <w:color w:val="auto"/>
          <w:sz w:val="21"/>
          <w:highlight w:val="none"/>
        </w:rPr>
      </w:pPr>
      <w:r>
        <w:rPr>
          <w:rFonts w:hint="eastAsia" w:hAnsi="宋体" w:cs="宋体"/>
          <w:b/>
          <w:bCs/>
          <w:color w:val="auto"/>
          <w:sz w:val="21"/>
          <w:highlight w:val="none"/>
          <w:lang w:val="en-US"/>
        </w:rPr>
        <w:t>1.</w:t>
      </w:r>
      <w:r>
        <w:rPr>
          <w:rFonts w:hint="eastAsia" w:hAnsi="宋体" w:cs="宋体"/>
          <w:b/>
          <w:bCs/>
          <w:color w:val="auto"/>
          <w:sz w:val="21"/>
          <w:highlight w:val="none"/>
        </w:rPr>
        <w:t>投标报价</w:t>
      </w:r>
    </w:p>
    <w:p w14:paraId="6191A8F5">
      <w:pPr>
        <w:pStyle w:val="23"/>
        <w:ind w:firstLine="420" w:firstLineChars="200"/>
        <w:rPr>
          <w:rFonts w:hAnsi="宋体" w:cs="宋体"/>
          <w:color w:val="auto"/>
          <w:sz w:val="21"/>
          <w:highlight w:val="none"/>
        </w:rPr>
      </w:pPr>
      <w:r>
        <w:rPr>
          <w:rFonts w:hint="eastAsia" w:hAnsi="宋体" w:cs="宋体"/>
          <w:color w:val="auto"/>
          <w:sz w:val="21"/>
          <w:highlight w:val="none"/>
        </w:rPr>
        <w:t>报价应包括完成本项目工作所需的人力物力成本、管理费、其他费用、利润、税金等所有费用。</w:t>
      </w:r>
    </w:p>
    <w:p w14:paraId="300AC676">
      <w:pPr>
        <w:pStyle w:val="23"/>
        <w:ind w:firstLine="420" w:firstLineChars="200"/>
        <w:rPr>
          <w:rFonts w:hAnsi="宋体" w:cs="宋体"/>
          <w:color w:val="auto"/>
          <w:sz w:val="21"/>
          <w:highlight w:val="none"/>
        </w:rPr>
      </w:pPr>
      <w:r>
        <w:rPr>
          <w:rFonts w:hint="eastAsia" w:hAnsi="宋体" w:cs="宋体"/>
          <w:color w:val="auto"/>
          <w:sz w:val="21"/>
          <w:highlight w:val="none"/>
        </w:rPr>
        <w:t>本次报价为人民币价。</w:t>
      </w:r>
    </w:p>
    <w:p w14:paraId="310C14DC">
      <w:pPr>
        <w:pStyle w:val="23"/>
        <w:snapToGrid w:val="0"/>
        <w:ind w:firstLine="422" w:firstLineChars="200"/>
        <w:outlineLvl w:val="2"/>
        <w:rPr>
          <w:rFonts w:hAnsi="宋体" w:cs="宋体"/>
          <w:b/>
          <w:bCs/>
          <w:color w:val="auto"/>
          <w:sz w:val="21"/>
          <w:highlight w:val="none"/>
        </w:rPr>
      </w:pPr>
      <w:r>
        <w:rPr>
          <w:rFonts w:hint="eastAsia" w:hAnsi="宋体" w:cs="宋体"/>
          <w:b/>
          <w:bCs/>
          <w:color w:val="auto"/>
          <w:sz w:val="21"/>
          <w:highlight w:val="none"/>
          <w:lang w:val="en-US"/>
        </w:rPr>
        <w:t>2.</w:t>
      </w:r>
      <w:r>
        <w:rPr>
          <w:rFonts w:hint="eastAsia" w:hAnsi="宋体" w:cs="宋体"/>
          <w:b/>
          <w:bCs/>
          <w:color w:val="auto"/>
          <w:sz w:val="21"/>
          <w:highlight w:val="none"/>
        </w:rPr>
        <w:t>履约保证金</w:t>
      </w:r>
    </w:p>
    <w:p w14:paraId="1D016D0D">
      <w:pPr>
        <w:pStyle w:val="23"/>
        <w:snapToGrid w:val="0"/>
        <w:ind w:firstLine="420" w:firstLineChars="200"/>
        <w:rPr>
          <w:rFonts w:hAnsi="宋体" w:cs="宋体"/>
          <w:color w:val="auto"/>
          <w:sz w:val="21"/>
          <w:highlight w:val="none"/>
        </w:rPr>
      </w:pPr>
      <w:r>
        <w:rPr>
          <w:rFonts w:hint="eastAsia" w:hAnsi="宋体" w:cs="宋体"/>
          <w:color w:val="auto"/>
          <w:sz w:val="21"/>
          <w:highlight w:val="none"/>
        </w:rPr>
        <w:t>无。如有违约，从应付合同款中扣除。</w:t>
      </w:r>
    </w:p>
    <w:p w14:paraId="17B0BCFF">
      <w:pPr>
        <w:pStyle w:val="23"/>
        <w:snapToGrid w:val="0"/>
        <w:ind w:firstLine="422" w:firstLineChars="200"/>
        <w:outlineLvl w:val="2"/>
        <w:rPr>
          <w:rFonts w:hAnsi="宋体" w:cs="宋体"/>
          <w:b/>
          <w:bCs/>
          <w:color w:val="auto"/>
          <w:sz w:val="21"/>
          <w:highlight w:val="none"/>
        </w:rPr>
      </w:pPr>
      <w:r>
        <w:rPr>
          <w:rFonts w:hint="eastAsia" w:hAnsi="宋体" w:cs="宋体"/>
          <w:b/>
          <w:bCs/>
          <w:color w:val="auto"/>
          <w:sz w:val="21"/>
          <w:highlight w:val="none"/>
          <w:lang w:val="en-US"/>
        </w:rPr>
        <w:t>3.</w:t>
      </w:r>
      <w:r>
        <w:rPr>
          <w:rFonts w:hint="eastAsia" w:hAnsi="宋体" w:cs="宋体"/>
          <w:b/>
          <w:bCs/>
          <w:color w:val="auto"/>
          <w:sz w:val="21"/>
          <w:highlight w:val="none"/>
        </w:rPr>
        <w:t>付款方式</w:t>
      </w:r>
    </w:p>
    <w:p w14:paraId="3A95BFF2">
      <w:pPr>
        <w:pStyle w:val="23"/>
        <w:snapToGrid w:val="0"/>
        <w:ind w:firstLine="420"/>
        <w:rPr>
          <w:rFonts w:hAnsi="宋体" w:cs="宋体"/>
          <w:color w:val="auto"/>
          <w:sz w:val="21"/>
          <w:highlight w:val="none"/>
        </w:rPr>
      </w:pPr>
      <w:r>
        <w:rPr>
          <w:rFonts w:hint="eastAsia" w:hAnsi="宋体" w:cs="宋体"/>
          <w:color w:val="auto"/>
          <w:sz w:val="21"/>
          <w:highlight w:val="none"/>
        </w:rPr>
        <w:t>详见合同条款。</w:t>
      </w:r>
    </w:p>
    <w:p w14:paraId="584C4FC4">
      <w:pPr>
        <w:pStyle w:val="23"/>
        <w:widowControl/>
        <w:numPr>
          <w:ilvl w:val="1"/>
          <w:numId w:val="2"/>
        </w:numPr>
        <w:adjustRightInd/>
        <w:spacing w:before="100" w:after="100"/>
        <w:ind w:firstLine="422" w:firstLineChars="200"/>
        <w:jc w:val="left"/>
        <w:outlineLvl w:val="1"/>
        <w:rPr>
          <w:rFonts w:hAnsi="宋体" w:cs="宋体"/>
          <w:b/>
          <w:color w:val="auto"/>
          <w:sz w:val="21"/>
          <w:highlight w:val="none"/>
          <w:lang w:val="en-US"/>
        </w:rPr>
      </w:pPr>
      <w:r>
        <w:rPr>
          <w:rFonts w:hint="eastAsia" w:hAnsi="宋体" w:cs="宋体"/>
          <w:b/>
          <w:color w:val="auto"/>
          <w:sz w:val="21"/>
          <w:highlight w:val="none"/>
          <w:lang w:val="en-US"/>
        </w:rPr>
        <w:t>说明</w:t>
      </w:r>
    </w:p>
    <w:p w14:paraId="0C3ED540">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1.本章中所有带▲的内容是采购人提出的实质性要求，投标文件响应内容若不满足实质性要求，该投标文件将被评标委员会认定为无效。本章中所有带★的内容的是采购人提出的关键条款，投标</w:t>
      </w:r>
      <w:r>
        <w:rPr>
          <w:rFonts w:hint="eastAsia" w:ascii="宋体" w:hAnsi="宋体" w:cs="宋体"/>
          <w:b/>
          <w:color w:val="auto"/>
          <w:szCs w:val="21"/>
          <w:highlight w:val="none"/>
          <w:lang w:val="en-US" w:eastAsia="zh-CN"/>
        </w:rPr>
        <w:t>时需提供系统截图</w:t>
      </w:r>
      <w:r>
        <w:rPr>
          <w:rFonts w:hint="eastAsia" w:ascii="宋体" w:hAnsi="宋体" w:cs="宋体"/>
          <w:b/>
          <w:color w:val="auto"/>
          <w:szCs w:val="21"/>
          <w:highlight w:val="none"/>
        </w:rPr>
        <w:t>，若未提供视为负偏离。</w:t>
      </w:r>
    </w:p>
    <w:p w14:paraId="32531452">
      <w:pPr>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2.如技术要求中未特别注明需执行的国家相关标准、行业标准、地方标准或者其他标准、规范，则统一执行最新标准、规范。</w:t>
      </w:r>
    </w:p>
    <w:p w14:paraId="640FD84A">
      <w:pPr>
        <w:pStyle w:val="23"/>
        <w:widowControl/>
        <w:numPr>
          <w:ilvl w:val="1"/>
          <w:numId w:val="2"/>
        </w:numPr>
        <w:adjustRightInd/>
        <w:spacing w:before="100" w:after="100"/>
        <w:ind w:firstLine="422" w:firstLineChars="200"/>
        <w:jc w:val="left"/>
        <w:outlineLvl w:val="1"/>
        <w:rPr>
          <w:rFonts w:hAnsi="宋体" w:cs="宋体"/>
          <w:b/>
          <w:color w:val="auto"/>
          <w:sz w:val="21"/>
          <w:highlight w:val="none"/>
          <w:lang w:val="en-US"/>
        </w:rPr>
      </w:pPr>
      <w:r>
        <w:rPr>
          <w:rFonts w:hint="eastAsia" w:hAnsi="宋体" w:cs="宋体"/>
          <w:b/>
          <w:color w:val="auto"/>
          <w:sz w:val="21"/>
          <w:highlight w:val="none"/>
          <w:lang w:val="en-US"/>
        </w:rPr>
        <w:t>项目演示</w:t>
      </w:r>
    </w:p>
    <w:p w14:paraId="05E5037F">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需提供本项目系统演示及讲解视频，演示视频时间控制在15分钟以内，视频格式要求为MP4等常用格式，以U盘为存储介质邮寄方式送至采购代理机构。以响应文件解密时间先后次序为准，系统演示单独密封并标记供应商全称、相关联系人及其联系方式、项目名称、项目编号、“系统演示”字样。</w:t>
      </w:r>
    </w:p>
    <w:p w14:paraId="7F01B6CF">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2.演示顺序以响应文件解密时间先后次序为准。</w:t>
      </w:r>
    </w:p>
    <w:p w14:paraId="76F78134">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3.演示内容详见评标办法。</w:t>
      </w:r>
    </w:p>
    <w:p w14:paraId="49B78D13">
      <w:pPr>
        <w:adjustRightInd/>
        <w:spacing w:line="360" w:lineRule="auto"/>
        <w:ind w:firstLine="420" w:firstLineChars="200"/>
        <w:rPr>
          <w:rFonts w:ascii="宋体" w:hAnsi="宋体" w:cs="宋体"/>
          <w:snapToGrid w:val="0"/>
          <w:color w:val="auto"/>
          <w:kern w:val="0"/>
          <w:szCs w:val="21"/>
          <w:highlight w:val="none"/>
        </w:rPr>
      </w:pPr>
      <w:r>
        <w:rPr>
          <w:rFonts w:hint="eastAsia" w:ascii="宋体" w:hAnsi="宋体" w:cs="宋体"/>
          <w:color w:val="auto"/>
          <w:szCs w:val="21"/>
          <w:highlight w:val="none"/>
        </w:rPr>
        <w:t>4.</w:t>
      </w:r>
      <w:r>
        <w:rPr>
          <w:rFonts w:hint="eastAsia" w:ascii="宋体" w:hAnsi="宋体" w:cs="宋体"/>
          <w:snapToGrid w:val="0"/>
          <w:color w:val="auto"/>
          <w:kern w:val="0"/>
          <w:szCs w:val="21"/>
          <w:highlight w:val="none"/>
        </w:rPr>
        <w:t>演示视频递交截止时间：同投标截止时间，未提供或逾期送达将会造成不利评审。</w:t>
      </w:r>
    </w:p>
    <w:p w14:paraId="233E170B">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snapToGrid w:val="0"/>
          <w:color w:val="auto"/>
          <w:kern w:val="0"/>
          <w:szCs w:val="21"/>
          <w:highlight w:val="none"/>
        </w:rPr>
        <w:t>邮寄地址：</w:t>
      </w:r>
      <w:r>
        <w:rPr>
          <w:rFonts w:hint="eastAsia" w:ascii="宋体" w:hAnsi="宋体" w:cs="宋体"/>
          <w:color w:val="auto"/>
          <w:szCs w:val="21"/>
          <w:highlight w:val="none"/>
        </w:rPr>
        <w:t>杭州市文晖路42号现代置业大厦西楼17层1704室</w:t>
      </w:r>
      <w:r>
        <w:rPr>
          <w:rFonts w:hint="eastAsia" w:ascii="宋体" w:hAnsi="宋体" w:cs="宋体"/>
          <w:snapToGrid w:val="0"/>
          <w:color w:val="auto"/>
          <w:kern w:val="0"/>
          <w:szCs w:val="21"/>
          <w:highlight w:val="none"/>
        </w:rPr>
        <w:t>；收件人：何颖楹 ；联系电话：15700073181。</w:t>
      </w:r>
    </w:p>
    <w:p w14:paraId="7D25B31B">
      <w:pPr>
        <w:rPr>
          <w:color w:val="auto"/>
          <w:highlight w:val="none"/>
        </w:rPr>
      </w:pPr>
      <w:r>
        <w:rPr>
          <w:rFonts w:hint="eastAsia"/>
          <w:color w:val="auto"/>
          <w:highlight w:val="none"/>
        </w:rPr>
        <w:br w:type="page"/>
      </w:r>
    </w:p>
    <w:p w14:paraId="58F1AED8">
      <w:pPr>
        <w:pStyle w:val="2"/>
        <w:rPr>
          <w:color w:val="auto"/>
          <w:highlight w:val="none"/>
        </w:rPr>
      </w:pPr>
      <w:bookmarkStart w:id="39" w:name="_Toc29694"/>
      <w:r>
        <w:rPr>
          <w:rFonts w:hint="eastAsia"/>
          <w:color w:val="auto"/>
          <w:highlight w:val="none"/>
        </w:rPr>
        <w:t xml:space="preserve">第四部分 </w:t>
      </w:r>
      <w:bookmarkStart w:id="40" w:name="_Toc184308068"/>
      <w:bookmarkEnd w:id="40"/>
      <w:bookmarkStart w:id="41" w:name="_Toc184312086"/>
      <w:bookmarkEnd w:id="41"/>
      <w:bookmarkStart w:id="42" w:name="_Toc184314472"/>
      <w:bookmarkEnd w:id="42"/>
      <w:bookmarkStart w:id="43" w:name="_Toc184310341"/>
      <w:bookmarkEnd w:id="43"/>
      <w:bookmarkStart w:id="44" w:name="_Toc184308070"/>
      <w:bookmarkEnd w:id="44"/>
      <w:bookmarkStart w:id="45" w:name="_Toc184314423"/>
      <w:bookmarkEnd w:id="45"/>
      <w:bookmarkStart w:id="46" w:name="_Toc184314411"/>
      <w:bookmarkEnd w:id="46"/>
      <w:bookmarkStart w:id="47" w:name="_Toc184308053"/>
      <w:bookmarkEnd w:id="47"/>
      <w:bookmarkStart w:id="48" w:name="_Toc184312073"/>
      <w:bookmarkEnd w:id="48"/>
      <w:bookmarkStart w:id="49" w:name="_Toc184314410"/>
      <w:bookmarkEnd w:id="49"/>
      <w:bookmarkStart w:id="50" w:name="_Toc184308096"/>
      <w:bookmarkEnd w:id="50"/>
      <w:bookmarkStart w:id="51" w:name="_Toc184310326"/>
      <w:bookmarkEnd w:id="51"/>
      <w:bookmarkStart w:id="52" w:name="_Toc184308097"/>
      <w:bookmarkEnd w:id="52"/>
      <w:bookmarkStart w:id="53" w:name="_Toc184314466"/>
      <w:bookmarkEnd w:id="53"/>
      <w:bookmarkStart w:id="54" w:name="_Toc184308041"/>
      <w:bookmarkEnd w:id="54"/>
      <w:bookmarkStart w:id="55" w:name="_Toc184314415"/>
      <w:bookmarkEnd w:id="55"/>
      <w:bookmarkStart w:id="56" w:name="_Toc184313261"/>
      <w:bookmarkEnd w:id="56"/>
      <w:bookmarkStart w:id="57" w:name="_Toc184313240"/>
      <w:bookmarkEnd w:id="57"/>
      <w:bookmarkStart w:id="58" w:name="_Toc184310334"/>
      <w:bookmarkEnd w:id="58"/>
      <w:bookmarkStart w:id="59" w:name="_Toc184313267"/>
      <w:bookmarkEnd w:id="59"/>
      <w:bookmarkStart w:id="60" w:name="_Toc184312084"/>
      <w:bookmarkEnd w:id="60"/>
      <w:bookmarkStart w:id="61" w:name="_Toc184310344"/>
      <w:bookmarkEnd w:id="61"/>
      <w:bookmarkStart w:id="62" w:name="_Toc184314416"/>
      <w:bookmarkEnd w:id="62"/>
      <w:bookmarkStart w:id="63" w:name="_Toc184310335"/>
      <w:bookmarkEnd w:id="63"/>
      <w:bookmarkStart w:id="64" w:name="_Toc184308066"/>
      <w:bookmarkEnd w:id="64"/>
      <w:bookmarkStart w:id="65" w:name="_Toc184313246"/>
      <w:bookmarkEnd w:id="65"/>
      <w:bookmarkStart w:id="66" w:name="_Toc184312092"/>
      <w:bookmarkEnd w:id="66"/>
      <w:bookmarkStart w:id="67" w:name="_Toc184312075"/>
      <w:bookmarkEnd w:id="67"/>
      <w:bookmarkStart w:id="68" w:name="_Toc184310327"/>
      <w:bookmarkEnd w:id="68"/>
      <w:bookmarkStart w:id="69" w:name="_Toc184314467"/>
      <w:bookmarkEnd w:id="69"/>
      <w:bookmarkStart w:id="70" w:name="_Toc184314435"/>
      <w:bookmarkEnd w:id="70"/>
      <w:bookmarkStart w:id="71" w:name="_Toc184310337"/>
      <w:bookmarkEnd w:id="71"/>
      <w:bookmarkStart w:id="72" w:name="_Toc184308050"/>
      <w:bookmarkEnd w:id="72"/>
      <w:bookmarkStart w:id="73" w:name="_Toc184314425"/>
      <w:bookmarkEnd w:id="73"/>
      <w:bookmarkStart w:id="74" w:name="_Toc184314422"/>
      <w:bookmarkEnd w:id="74"/>
      <w:bookmarkStart w:id="75" w:name="_Toc184308049"/>
      <w:bookmarkEnd w:id="75"/>
      <w:bookmarkStart w:id="76" w:name="_Toc184313244"/>
      <w:bookmarkEnd w:id="76"/>
      <w:bookmarkStart w:id="77" w:name="_Toc184308104"/>
      <w:bookmarkEnd w:id="77"/>
      <w:bookmarkStart w:id="78" w:name="_Toc184314479"/>
      <w:bookmarkEnd w:id="78"/>
      <w:bookmarkStart w:id="79" w:name="_Toc184310286"/>
      <w:bookmarkEnd w:id="79"/>
      <w:bookmarkStart w:id="80" w:name="_Toc184313256"/>
      <w:bookmarkEnd w:id="80"/>
      <w:bookmarkStart w:id="81" w:name="_Toc184314444"/>
      <w:bookmarkEnd w:id="81"/>
      <w:bookmarkStart w:id="82" w:name="_Toc184314424"/>
      <w:bookmarkEnd w:id="82"/>
      <w:bookmarkStart w:id="83" w:name="_Toc184308037"/>
      <w:bookmarkEnd w:id="83"/>
      <w:bookmarkStart w:id="84" w:name="_Toc184312106"/>
      <w:bookmarkEnd w:id="84"/>
      <w:bookmarkStart w:id="85" w:name="_Toc184312104"/>
      <w:bookmarkEnd w:id="85"/>
      <w:bookmarkStart w:id="86" w:name="_Toc184308099"/>
      <w:bookmarkEnd w:id="86"/>
      <w:bookmarkStart w:id="87" w:name="_Toc184308059"/>
      <w:bookmarkEnd w:id="87"/>
      <w:bookmarkStart w:id="88" w:name="_Toc184312103"/>
      <w:bookmarkEnd w:id="88"/>
      <w:bookmarkStart w:id="89" w:name="_Toc184310289"/>
      <w:bookmarkEnd w:id="89"/>
      <w:bookmarkStart w:id="90" w:name="_Toc184310339"/>
      <w:bookmarkEnd w:id="90"/>
      <w:bookmarkStart w:id="91" w:name="_Toc184314465"/>
      <w:bookmarkEnd w:id="91"/>
      <w:bookmarkStart w:id="92" w:name="_Toc184313283"/>
      <w:bookmarkEnd w:id="92"/>
      <w:bookmarkStart w:id="93" w:name="_Toc184308048"/>
      <w:bookmarkEnd w:id="93"/>
      <w:bookmarkStart w:id="94" w:name="_Toc184314432"/>
      <w:bookmarkEnd w:id="94"/>
      <w:bookmarkStart w:id="95" w:name="_Toc184313303"/>
      <w:bookmarkEnd w:id="95"/>
      <w:bookmarkStart w:id="96" w:name="_Toc184308043"/>
      <w:bookmarkEnd w:id="96"/>
      <w:bookmarkStart w:id="97" w:name="_Toc184312133"/>
      <w:bookmarkEnd w:id="97"/>
      <w:bookmarkStart w:id="98" w:name="_Toc184313238"/>
      <w:bookmarkEnd w:id="98"/>
      <w:bookmarkStart w:id="99" w:name="_Toc184308079"/>
      <w:bookmarkEnd w:id="99"/>
      <w:bookmarkStart w:id="100" w:name="_Toc184310320"/>
      <w:bookmarkEnd w:id="100"/>
      <w:bookmarkStart w:id="101" w:name="_Toc184312109"/>
      <w:bookmarkEnd w:id="101"/>
      <w:bookmarkStart w:id="102" w:name="_Toc184312088"/>
      <w:bookmarkEnd w:id="102"/>
      <w:bookmarkStart w:id="103" w:name="_Toc184308055"/>
      <w:bookmarkEnd w:id="103"/>
      <w:bookmarkStart w:id="104" w:name="_Toc184310293"/>
      <w:bookmarkEnd w:id="104"/>
      <w:bookmarkStart w:id="105" w:name="_Toc184308108"/>
      <w:bookmarkEnd w:id="105"/>
      <w:bookmarkStart w:id="106" w:name="_Toc184312099"/>
      <w:bookmarkEnd w:id="106"/>
      <w:bookmarkStart w:id="107" w:name="_Toc184308107"/>
      <w:bookmarkEnd w:id="107"/>
      <w:bookmarkStart w:id="108" w:name="_Toc184312132"/>
      <w:bookmarkEnd w:id="108"/>
      <w:bookmarkStart w:id="109" w:name="_Toc184308060"/>
      <w:bookmarkEnd w:id="109"/>
      <w:bookmarkStart w:id="110" w:name="_Toc184313262"/>
      <w:bookmarkEnd w:id="110"/>
      <w:bookmarkStart w:id="111" w:name="_Toc184312125"/>
      <w:bookmarkEnd w:id="111"/>
      <w:bookmarkStart w:id="112" w:name="_Toc184314445"/>
      <w:bookmarkEnd w:id="112"/>
      <w:bookmarkStart w:id="113" w:name="_Toc184313296"/>
      <w:bookmarkEnd w:id="113"/>
      <w:bookmarkStart w:id="114" w:name="_Toc184312105"/>
      <w:bookmarkEnd w:id="114"/>
      <w:bookmarkStart w:id="115" w:name="_Toc184308036"/>
      <w:bookmarkEnd w:id="115"/>
      <w:bookmarkStart w:id="116" w:name="_Toc184314476"/>
      <w:bookmarkEnd w:id="116"/>
      <w:bookmarkStart w:id="117" w:name="_Toc184314412"/>
      <w:bookmarkEnd w:id="117"/>
      <w:bookmarkStart w:id="118" w:name="_Toc184310336"/>
      <w:bookmarkEnd w:id="118"/>
      <w:bookmarkStart w:id="119" w:name="_Toc184313293"/>
      <w:bookmarkEnd w:id="119"/>
      <w:bookmarkStart w:id="120" w:name="_Toc184310281"/>
      <w:bookmarkEnd w:id="120"/>
      <w:bookmarkStart w:id="121" w:name="_Toc184312085"/>
      <w:bookmarkEnd w:id="121"/>
      <w:bookmarkStart w:id="122" w:name="_Toc184312093"/>
      <w:bookmarkEnd w:id="122"/>
      <w:bookmarkStart w:id="123" w:name="_Toc184308092"/>
      <w:bookmarkEnd w:id="123"/>
      <w:bookmarkStart w:id="124" w:name="_Toc184312071"/>
      <w:bookmarkEnd w:id="124"/>
      <w:bookmarkStart w:id="125" w:name="_Toc184313271"/>
      <w:bookmarkEnd w:id="125"/>
      <w:bookmarkStart w:id="126" w:name="_Toc184310332"/>
      <w:bookmarkEnd w:id="126"/>
      <w:bookmarkStart w:id="127" w:name="_Toc184312137"/>
      <w:bookmarkEnd w:id="127"/>
      <w:bookmarkStart w:id="128" w:name="_Toc184313306"/>
      <w:bookmarkEnd w:id="128"/>
      <w:bookmarkStart w:id="129" w:name="_Toc184312089"/>
      <w:bookmarkEnd w:id="129"/>
      <w:bookmarkStart w:id="130" w:name="_Toc184313250"/>
      <w:bookmarkEnd w:id="130"/>
      <w:bookmarkStart w:id="131" w:name="_Toc184314440"/>
      <w:bookmarkEnd w:id="131"/>
      <w:bookmarkStart w:id="132" w:name="_Toc184310291"/>
      <w:bookmarkEnd w:id="132"/>
      <w:bookmarkStart w:id="133" w:name="_Toc184308042"/>
      <w:bookmarkEnd w:id="133"/>
      <w:bookmarkStart w:id="134" w:name="_Toc184310308"/>
      <w:bookmarkEnd w:id="134"/>
      <w:bookmarkStart w:id="135" w:name="_Toc184308056"/>
      <w:bookmarkEnd w:id="135"/>
      <w:bookmarkStart w:id="136" w:name="_Toc184310302"/>
      <w:bookmarkEnd w:id="136"/>
      <w:bookmarkStart w:id="137" w:name="_Toc184310311"/>
      <w:bookmarkEnd w:id="137"/>
      <w:bookmarkStart w:id="138" w:name="_Toc184308090"/>
      <w:bookmarkEnd w:id="138"/>
      <w:bookmarkStart w:id="139" w:name="_Toc184310343"/>
      <w:bookmarkEnd w:id="139"/>
      <w:bookmarkStart w:id="140" w:name="_Toc184314478"/>
      <w:bookmarkEnd w:id="140"/>
      <w:bookmarkStart w:id="141" w:name="_Toc184313301"/>
      <w:bookmarkEnd w:id="141"/>
      <w:bookmarkStart w:id="142" w:name="_Toc184310328"/>
      <w:bookmarkEnd w:id="142"/>
      <w:bookmarkStart w:id="143" w:name="_Toc184310303"/>
      <w:bookmarkEnd w:id="143"/>
      <w:bookmarkStart w:id="144" w:name="_Toc184313278"/>
      <w:bookmarkEnd w:id="144"/>
      <w:bookmarkStart w:id="145" w:name="_Toc184314430"/>
      <w:bookmarkEnd w:id="145"/>
      <w:bookmarkStart w:id="146" w:name="_Toc184310324"/>
      <w:bookmarkEnd w:id="146"/>
      <w:bookmarkStart w:id="147" w:name="_Toc184312135"/>
      <w:bookmarkEnd w:id="147"/>
      <w:bookmarkStart w:id="148" w:name="_Toc184314433"/>
      <w:bookmarkEnd w:id="148"/>
      <w:bookmarkStart w:id="149" w:name="_Toc184312129"/>
      <w:bookmarkEnd w:id="149"/>
      <w:bookmarkStart w:id="150" w:name="_Toc184312100"/>
      <w:bookmarkEnd w:id="150"/>
      <w:bookmarkStart w:id="151" w:name="_Toc184310316"/>
      <w:bookmarkEnd w:id="151"/>
      <w:bookmarkStart w:id="152" w:name="_Toc184313269"/>
      <w:bookmarkEnd w:id="152"/>
      <w:bookmarkStart w:id="153" w:name="_Toc184310314"/>
      <w:bookmarkEnd w:id="153"/>
      <w:bookmarkStart w:id="154" w:name="_Toc184308091"/>
      <w:bookmarkEnd w:id="154"/>
      <w:bookmarkStart w:id="155" w:name="_Toc184312102"/>
      <w:bookmarkEnd w:id="155"/>
      <w:bookmarkStart w:id="156" w:name="_Toc184310319"/>
      <w:bookmarkEnd w:id="156"/>
      <w:bookmarkStart w:id="157" w:name="_Toc184308063"/>
      <w:bookmarkEnd w:id="157"/>
      <w:bookmarkStart w:id="158" w:name="_Toc184313274"/>
      <w:bookmarkEnd w:id="158"/>
      <w:bookmarkStart w:id="159" w:name="_Toc184314427"/>
      <w:bookmarkEnd w:id="159"/>
      <w:bookmarkStart w:id="160" w:name="_Toc184308106"/>
      <w:bookmarkEnd w:id="160"/>
      <w:bookmarkStart w:id="161" w:name="_Toc184313285"/>
      <w:bookmarkEnd w:id="161"/>
      <w:bookmarkStart w:id="162" w:name="_Toc184312118"/>
      <w:bookmarkEnd w:id="162"/>
      <w:bookmarkStart w:id="163" w:name="_Toc184313251"/>
      <w:bookmarkEnd w:id="163"/>
      <w:bookmarkStart w:id="164" w:name="_Toc184310325"/>
      <w:bookmarkEnd w:id="164"/>
      <w:bookmarkStart w:id="165" w:name="_Toc184313252"/>
      <w:bookmarkEnd w:id="165"/>
      <w:bookmarkStart w:id="166" w:name="_Toc184313290"/>
      <w:bookmarkEnd w:id="166"/>
      <w:bookmarkStart w:id="167" w:name="_Toc184308081"/>
      <w:bookmarkEnd w:id="167"/>
      <w:bookmarkStart w:id="168" w:name="_Toc184313239"/>
      <w:bookmarkEnd w:id="168"/>
      <w:bookmarkStart w:id="169" w:name="_Toc184313281"/>
      <w:bookmarkEnd w:id="169"/>
      <w:bookmarkStart w:id="170" w:name="_Toc184308064"/>
      <w:bookmarkEnd w:id="170"/>
      <w:bookmarkStart w:id="171" w:name="_Toc184310275"/>
      <w:bookmarkEnd w:id="171"/>
      <w:bookmarkStart w:id="172" w:name="_Toc184314431"/>
      <w:bookmarkEnd w:id="172"/>
      <w:bookmarkStart w:id="173" w:name="_Toc184308061"/>
      <w:bookmarkEnd w:id="173"/>
      <w:bookmarkStart w:id="174" w:name="_Toc184308039"/>
      <w:bookmarkEnd w:id="174"/>
      <w:bookmarkStart w:id="175" w:name="_Toc184308089"/>
      <w:bookmarkEnd w:id="175"/>
      <w:bookmarkStart w:id="176" w:name="_Toc184313310"/>
      <w:bookmarkEnd w:id="176"/>
      <w:bookmarkStart w:id="177" w:name="_Toc184312080"/>
      <w:bookmarkEnd w:id="177"/>
      <w:bookmarkStart w:id="178" w:name="_Toc184314480"/>
      <w:bookmarkEnd w:id="178"/>
      <w:bookmarkStart w:id="179" w:name="_Toc184308103"/>
      <w:bookmarkEnd w:id="179"/>
      <w:bookmarkStart w:id="180" w:name="_Toc184314448"/>
      <w:bookmarkEnd w:id="180"/>
      <w:bookmarkStart w:id="181" w:name="_Toc184310300"/>
      <w:bookmarkEnd w:id="181"/>
      <w:bookmarkStart w:id="182" w:name="_Toc184314473"/>
      <w:bookmarkEnd w:id="182"/>
      <w:bookmarkStart w:id="183" w:name="_Toc184308040"/>
      <w:bookmarkEnd w:id="183"/>
      <w:bookmarkStart w:id="184" w:name="_Toc184312119"/>
      <w:bookmarkEnd w:id="184"/>
      <w:bookmarkStart w:id="185" w:name="_Toc184313309"/>
      <w:bookmarkEnd w:id="185"/>
      <w:bookmarkStart w:id="186" w:name="_Toc184312134"/>
      <w:bookmarkEnd w:id="186"/>
      <w:bookmarkStart w:id="187" w:name="_Toc184314439"/>
      <w:bookmarkEnd w:id="187"/>
      <w:bookmarkStart w:id="188" w:name="_Toc184312131"/>
      <w:bookmarkEnd w:id="188"/>
      <w:bookmarkStart w:id="189" w:name="_Toc184313272"/>
      <w:bookmarkEnd w:id="189"/>
      <w:bookmarkStart w:id="190" w:name="_Toc184314447"/>
      <w:bookmarkEnd w:id="190"/>
      <w:bookmarkStart w:id="191" w:name="_Toc184313291"/>
      <w:bookmarkEnd w:id="191"/>
      <w:bookmarkStart w:id="192" w:name="_Toc184312121"/>
      <w:bookmarkEnd w:id="192"/>
      <w:bookmarkStart w:id="193" w:name="_Toc184308102"/>
      <w:bookmarkEnd w:id="193"/>
      <w:bookmarkStart w:id="194" w:name="_Toc184312083"/>
      <w:bookmarkEnd w:id="194"/>
      <w:bookmarkStart w:id="195" w:name="_Toc184308094"/>
      <w:bookmarkEnd w:id="195"/>
      <w:bookmarkStart w:id="196" w:name="_Toc184314442"/>
      <w:bookmarkEnd w:id="196"/>
      <w:bookmarkStart w:id="197" w:name="_Toc184314463"/>
      <w:bookmarkEnd w:id="197"/>
      <w:bookmarkStart w:id="198" w:name="_Toc184313279"/>
      <w:bookmarkEnd w:id="198"/>
      <w:bookmarkStart w:id="199" w:name="_Toc184308078"/>
      <w:bookmarkEnd w:id="199"/>
      <w:bookmarkStart w:id="200" w:name="_Toc184312128"/>
      <w:bookmarkEnd w:id="200"/>
      <w:bookmarkStart w:id="201" w:name="_Toc184312101"/>
      <w:bookmarkEnd w:id="201"/>
      <w:bookmarkStart w:id="202" w:name="_Toc184312096"/>
      <w:bookmarkEnd w:id="202"/>
      <w:bookmarkStart w:id="203" w:name="_Toc184308075"/>
      <w:bookmarkEnd w:id="203"/>
      <w:bookmarkStart w:id="204" w:name="_Toc184314418"/>
      <w:bookmarkEnd w:id="204"/>
      <w:bookmarkStart w:id="205" w:name="_Toc184310296"/>
      <w:bookmarkEnd w:id="205"/>
      <w:bookmarkStart w:id="206" w:name="_Toc184314441"/>
      <w:bookmarkEnd w:id="206"/>
      <w:bookmarkStart w:id="207" w:name="_Toc184310315"/>
      <w:bookmarkEnd w:id="207"/>
      <w:bookmarkStart w:id="208" w:name="_Toc184313307"/>
      <w:bookmarkEnd w:id="208"/>
      <w:bookmarkStart w:id="209" w:name="_Toc184312091"/>
      <w:bookmarkEnd w:id="209"/>
      <w:bookmarkStart w:id="210" w:name="_Toc184312124"/>
      <w:bookmarkEnd w:id="210"/>
      <w:bookmarkStart w:id="211" w:name="_Toc184314462"/>
      <w:bookmarkEnd w:id="211"/>
      <w:bookmarkStart w:id="212" w:name="_Toc184313304"/>
      <w:bookmarkEnd w:id="212"/>
      <w:bookmarkStart w:id="213" w:name="_Toc184314438"/>
      <w:bookmarkEnd w:id="213"/>
      <w:bookmarkStart w:id="214" w:name="_Toc184308077"/>
      <w:bookmarkEnd w:id="214"/>
      <w:bookmarkStart w:id="215" w:name="_Toc184313254"/>
      <w:bookmarkEnd w:id="215"/>
      <w:bookmarkStart w:id="216" w:name="_Toc184308105"/>
      <w:bookmarkEnd w:id="216"/>
      <w:bookmarkStart w:id="217" w:name="_Toc184314477"/>
      <w:bookmarkEnd w:id="217"/>
      <w:bookmarkStart w:id="218" w:name="_Toc184308047"/>
      <w:bookmarkEnd w:id="218"/>
      <w:bookmarkStart w:id="219" w:name="_Toc184313253"/>
      <w:bookmarkEnd w:id="219"/>
      <w:bookmarkStart w:id="220" w:name="_Toc184312095"/>
      <w:bookmarkEnd w:id="220"/>
      <w:bookmarkStart w:id="221" w:name="_Toc184312076"/>
      <w:bookmarkEnd w:id="221"/>
      <w:bookmarkStart w:id="222" w:name="_Toc184310274"/>
      <w:bookmarkEnd w:id="222"/>
      <w:bookmarkStart w:id="223" w:name="_Toc184310299"/>
      <w:bookmarkEnd w:id="223"/>
      <w:bookmarkStart w:id="224" w:name="_Toc184308058"/>
      <w:bookmarkEnd w:id="224"/>
      <w:bookmarkStart w:id="225" w:name="_Toc184308087"/>
      <w:bookmarkEnd w:id="225"/>
      <w:bookmarkStart w:id="226" w:name="_Toc184312069"/>
      <w:bookmarkEnd w:id="226"/>
      <w:bookmarkStart w:id="227" w:name="_Toc184314436"/>
      <w:bookmarkEnd w:id="227"/>
      <w:bookmarkStart w:id="228" w:name="_Toc184312139"/>
      <w:bookmarkEnd w:id="228"/>
      <w:bookmarkStart w:id="229" w:name="_Toc184308069"/>
      <w:bookmarkEnd w:id="229"/>
      <w:bookmarkStart w:id="230" w:name="_Toc184312074"/>
      <w:bookmarkEnd w:id="230"/>
      <w:bookmarkStart w:id="231" w:name="_Toc184310283"/>
      <w:bookmarkEnd w:id="231"/>
      <w:bookmarkStart w:id="232" w:name="_Toc184312122"/>
      <w:bookmarkEnd w:id="232"/>
      <w:bookmarkStart w:id="233" w:name="_Toc184312114"/>
      <w:bookmarkEnd w:id="233"/>
      <w:bookmarkStart w:id="234" w:name="_Toc184313300"/>
      <w:bookmarkEnd w:id="234"/>
      <w:bookmarkStart w:id="235" w:name="_Toc184308072"/>
      <w:bookmarkEnd w:id="235"/>
      <w:bookmarkStart w:id="236" w:name="_Toc184310338"/>
      <w:bookmarkEnd w:id="236"/>
      <w:bookmarkStart w:id="237" w:name="_Toc184314421"/>
      <w:bookmarkEnd w:id="237"/>
      <w:bookmarkStart w:id="238" w:name="_Toc184310305"/>
      <w:bookmarkEnd w:id="238"/>
      <w:bookmarkStart w:id="239" w:name="_Toc184308038"/>
      <w:bookmarkEnd w:id="239"/>
      <w:bookmarkStart w:id="240" w:name="_Toc184312070"/>
      <w:bookmarkEnd w:id="240"/>
      <w:bookmarkStart w:id="241" w:name="_Toc184312078"/>
      <w:bookmarkEnd w:id="241"/>
      <w:bookmarkStart w:id="242" w:name="_Toc184314457"/>
      <w:bookmarkEnd w:id="242"/>
      <w:bookmarkStart w:id="243" w:name="_Toc184312068"/>
      <w:bookmarkEnd w:id="243"/>
      <w:bookmarkStart w:id="244" w:name="_Toc184313299"/>
      <w:bookmarkEnd w:id="244"/>
      <w:bookmarkStart w:id="245" w:name="_Toc184313263"/>
      <w:bookmarkEnd w:id="245"/>
      <w:bookmarkStart w:id="246" w:name="_Toc184314455"/>
      <w:bookmarkEnd w:id="246"/>
      <w:bookmarkStart w:id="247" w:name="_Toc184313287"/>
      <w:bookmarkEnd w:id="247"/>
      <w:bookmarkStart w:id="248" w:name="_Toc184314453"/>
      <w:bookmarkEnd w:id="248"/>
      <w:bookmarkStart w:id="249" w:name="_Toc184313270"/>
      <w:bookmarkEnd w:id="249"/>
      <w:bookmarkStart w:id="250" w:name="_Toc184313298"/>
      <w:bookmarkEnd w:id="250"/>
      <w:bookmarkStart w:id="251" w:name="_Toc184313258"/>
      <w:bookmarkEnd w:id="251"/>
      <w:bookmarkStart w:id="252" w:name="_Toc184312077"/>
      <w:bookmarkEnd w:id="252"/>
      <w:bookmarkStart w:id="253" w:name="_Toc184310279"/>
      <w:bookmarkEnd w:id="253"/>
      <w:bookmarkStart w:id="254" w:name="_Toc184313242"/>
      <w:bookmarkEnd w:id="254"/>
      <w:bookmarkStart w:id="255" w:name="_Toc184312130"/>
      <w:bookmarkEnd w:id="255"/>
      <w:bookmarkStart w:id="256" w:name="_Toc184308073"/>
      <w:bookmarkEnd w:id="256"/>
      <w:bookmarkStart w:id="257" w:name="_Toc184313276"/>
      <w:bookmarkEnd w:id="257"/>
      <w:bookmarkStart w:id="258" w:name="_Toc184312079"/>
      <w:bookmarkEnd w:id="258"/>
      <w:bookmarkStart w:id="259" w:name="_Toc184308074"/>
      <w:bookmarkEnd w:id="259"/>
      <w:bookmarkStart w:id="260" w:name="_Toc184313266"/>
      <w:bookmarkEnd w:id="260"/>
      <w:bookmarkStart w:id="261" w:name="_Toc184314474"/>
      <w:bookmarkEnd w:id="261"/>
      <w:bookmarkStart w:id="262" w:name="_Toc184310278"/>
      <w:bookmarkEnd w:id="262"/>
      <w:bookmarkStart w:id="263" w:name="_Toc184313297"/>
      <w:bookmarkEnd w:id="263"/>
      <w:bookmarkStart w:id="264" w:name="_Toc184314428"/>
      <w:bookmarkEnd w:id="264"/>
      <w:bookmarkStart w:id="265" w:name="_Toc184310313"/>
      <w:bookmarkEnd w:id="265"/>
      <w:bookmarkStart w:id="266" w:name="_Toc184308046"/>
      <w:bookmarkEnd w:id="266"/>
      <w:bookmarkStart w:id="267" w:name="_Toc184314471"/>
      <w:bookmarkEnd w:id="267"/>
      <w:bookmarkStart w:id="268" w:name="_Toc184313294"/>
      <w:bookmarkEnd w:id="268"/>
      <w:bookmarkStart w:id="269" w:name="_Toc184308067"/>
      <w:bookmarkEnd w:id="269"/>
      <w:bookmarkStart w:id="270" w:name="_Toc184313302"/>
      <w:bookmarkEnd w:id="270"/>
      <w:bookmarkStart w:id="271" w:name="_Toc184310292"/>
      <w:bookmarkEnd w:id="271"/>
      <w:bookmarkStart w:id="272" w:name="_Toc184310298"/>
      <w:bookmarkEnd w:id="272"/>
      <w:bookmarkStart w:id="273" w:name="_Toc184313259"/>
      <w:bookmarkEnd w:id="273"/>
      <w:bookmarkStart w:id="274" w:name="_Toc184314454"/>
      <w:bookmarkEnd w:id="274"/>
      <w:bookmarkStart w:id="275" w:name="_Toc184313308"/>
      <w:bookmarkEnd w:id="275"/>
      <w:bookmarkStart w:id="276" w:name="_Toc184312072"/>
      <w:bookmarkEnd w:id="276"/>
      <w:bookmarkStart w:id="277" w:name="_Toc184310329"/>
      <w:bookmarkEnd w:id="277"/>
      <w:bookmarkStart w:id="278" w:name="_Toc184312098"/>
      <w:bookmarkEnd w:id="278"/>
      <w:bookmarkStart w:id="279" w:name="_Toc184308045"/>
      <w:bookmarkEnd w:id="279"/>
      <w:bookmarkStart w:id="280" w:name="_Toc184313265"/>
      <w:bookmarkEnd w:id="280"/>
      <w:bookmarkStart w:id="281" w:name="_Toc184310307"/>
      <w:bookmarkEnd w:id="281"/>
      <w:bookmarkStart w:id="282" w:name="_Toc184312110"/>
      <w:bookmarkEnd w:id="282"/>
      <w:bookmarkStart w:id="283" w:name="_Toc184312081"/>
      <w:bookmarkEnd w:id="283"/>
      <w:bookmarkStart w:id="284" w:name="_Toc184314481"/>
      <w:bookmarkEnd w:id="284"/>
      <w:bookmarkStart w:id="285" w:name="_Toc184313305"/>
      <w:bookmarkEnd w:id="285"/>
      <w:bookmarkStart w:id="286" w:name="_Toc184314456"/>
      <w:bookmarkEnd w:id="286"/>
      <w:bookmarkStart w:id="287" w:name="_Toc184310282"/>
      <w:bookmarkEnd w:id="287"/>
      <w:bookmarkStart w:id="288" w:name="_Toc184314451"/>
      <w:bookmarkEnd w:id="288"/>
      <w:bookmarkStart w:id="289" w:name="_Toc184310342"/>
      <w:bookmarkEnd w:id="289"/>
      <w:bookmarkStart w:id="290" w:name="_Toc184310323"/>
      <w:bookmarkEnd w:id="290"/>
      <w:bookmarkStart w:id="291" w:name="_Toc184314464"/>
      <w:bookmarkEnd w:id="291"/>
      <w:bookmarkStart w:id="292" w:name="_Toc184314460"/>
      <w:bookmarkEnd w:id="292"/>
      <w:bookmarkStart w:id="293" w:name="_Toc184310317"/>
      <w:bookmarkEnd w:id="293"/>
      <w:bookmarkStart w:id="294" w:name="_Toc184310318"/>
      <w:bookmarkEnd w:id="294"/>
      <w:bookmarkStart w:id="295" w:name="_Toc184308088"/>
      <w:bookmarkEnd w:id="295"/>
      <w:bookmarkStart w:id="296" w:name="_Toc184310280"/>
      <w:bookmarkEnd w:id="296"/>
      <w:bookmarkStart w:id="297" w:name="_Toc184312108"/>
      <w:bookmarkEnd w:id="297"/>
      <w:bookmarkStart w:id="298" w:name="_Toc184308071"/>
      <w:bookmarkEnd w:id="298"/>
      <w:bookmarkStart w:id="299" w:name="_Toc184313288"/>
      <w:bookmarkEnd w:id="299"/>
      <w:bookmarkStart w:id="300" w:name="_Toc184314414"/>
      <w:bookmarkEnd w:id="300"/>
      <w:bookmarkStart w:id="301" w:name="_Toc184314434"/>
      <w:bookmarkEnd w:id="301"/>
      <w:bookmarkStart w:id="302" w:name="_Toc184310331"/>
      <w:bookmarkEnd w:id="302"/>
      <w:bookmarkStart w:id="303" w:name="_Toc184314469"/>
      <w:bookmarkEnd w:id="303"/>
      <w:bookmarkStart w:id="304" w:name="_Toc184313295"/>
      <w:bookmarkEnd w:id="304"/>
      <w:bookmarkStart w:id="305" w:name="_Toc184310272"/>
      <w:bookmarkEnd w:id="305"/>
      <w:bookmarkStart w:id="306" w:name="_Toc184314426"/>
      <w:bookmarkEnd w:id="306"/>
      <w:bookmarkStart w:id="307" w:name="_Toc184314452"/>
      <w:bookmarkEnd w:id="307"/>
      <w:bookmarkStart w:id="308" w:name="_Toc184310273"/>
      <w:bookmarkEnd w:id="308"/>
      <w:bookmarkStart w:id="309" w:name="_Toc184314459"/>
      <w:bookmarkEnd w:id="309"/>
      <w:bookmarkStart w:id="310" w:name="_Toc184314475"/>
      <w:bookmarkEnd w:id="310"/>
      <w:bookmarkStart w:id="311" w:name="_Toc184314461"/>
      <w:bookmarkEnd w:id="311"/>
      <w:bookmarkStart w:id="312" w:name="_Toc184312094"/>
      <w:bookmarkEnd w:id="312"/>
      <w:bookmarkStart w:id="313" w:name="_Toc184313268"/>
      <w:bookmarkEnd w:id="313"/>
      <w:bookmarkStart w:id="314" w:name="_Toc184308084"/>
      <w:bookmarkEnd w:id="314"/>
      <w:bookmarkStart w:id="315" w:name="_Toc184310294"/>
      <w:bookmarkEnd w:id="315"/>
      <w:bookmarkStart w:id="316" w:name="_Toc184313264"/>
      <w:bookmarkEnd w:id="316"/>
      <w:bookmarkStart w:id="317" w:name="_Toc184310276"/>
      <w:bookmarkEnd w:id="317"/>
      <w:bookmarkStart w:id="318" w:name="_Toc184313245"/>
      <w:bookmarkEnd w:id="318"/>
      <w:bookmarkStart w:id="319" w:name="_Toc184312116"/>
      <w:bookmarkEnd w:id="319"/>
      <w:bookmarkStart w:id="320" w:name="_Toc184308083"/>
      <w:bookmarkEnd w:id="320"/>
      <w:bookmarkStart w:id="321" w:name="_Toc184310297"/>
      <w:bookmarkEnd w:id="321"/>
      <w:bookmarkStart w:id="322" w:name="_Toc184312120"/>
      <w:bookmarkEnd w:id="322"/>
      <w:bookmarkStart w:id="323" w:name="_Toc184314482"/>
      <w:bookmarkEnd w:id="323"/>
      <w:bookmarkStart w:id="324" w:name="_Toc184314413"/>
      <w:bookmarkEnd w:id="324"/>
      <w:bookmarkStart w:id="325" w:name="_Toc184308098"/>
      <w:bookmarkEnd w:id="325"/>
      <w:bookmarkStart w:id="326" w:name="_Toc184312115"/>
      <w:bookmarkEnd w:id="326"/>
      <w:bookmarkStart w:id="327" w:name="_Toc184310284"/>
      <w:bookmarkEnd w:id="327"/>
      <w:bookmarkStart w:id="328" w:name="_Toc184314443"/>
      <w:bookmarkEnd w:id="328"/>
      <w:bookmarkStart w:id="329" w:name="_Toc184312087"/>
      <w:bookmarkEnd w:id="329"/>
      <w:bookmarkStart w:id="330" w:name="_Toc184313243"/>
      <w:bookmarkEnd w:id="330"/>
      <w:bookmarkStart w:id="331" w:name="_Toc184312111"/>
      <w:bookmarkEnd w:id="331"/>
      <w:bookmarkStart w:id="332" w:name="_Toc184310312"/>
      <w:bookmarkEnd w:id="332"/>
      <w:bookmarkStart w:id="333" w:name="_Toc184310306"/>
      <w:bookmarkEnd w:id="333"/>
      <w:bookmarkStart w:id="334" w:name="_Toc184314417"/>
      <w:bookmarkEnd w:id="334"/>
      <w:bookmarkStart w:id="335" w:name="_Toc184310295"/>
      <w:bookmarkEnd w:id="335"/>
      <w:bookmarkStart w:id="336" w:name="_Toc184313249"/>
      <w:bookmarkEnd w:id="336"/>
      <w:bookmarkStart w:id="337" w:name="_Toc184314419"/>
      <w:bookmarkEnd w:id="337"/>
      <w:bookmarkStart w:id="338" w:name="_Toc184308080"/>
      <w:bookmarkEnd w:id="338"/>
      <w:bookmarkStart w:id="339" w:name="_Toc184312107"/>
      <w:bookmarkEnd w:id="339"/>
      <w:bookmarkStart w:id="340" w:name="_Toc184308095"/>
      <w:bookmarkEnd w:id="340"/>
      <w:bookmarkStart w:id="341" w:name="_Toc184312126"/>
      <w:bookmarkEnd w:id="341"/>
      <w:bookmarkStart w:id="342" w:name="_Toc184310285"/>
      <w:bookmarkEnd w:id="342"/>
      <w:bookmarkStart w:id="343" w:name="_Toc184313273"/>
      <w:bookmarkEnd w:id="343"/>
      <w:bookmarkStart w:id="344" w:name="_Toc184308100"/>
      <w:bookmarkEnd w:id="344"/>
      <w:bookmarkStart w:id="345" w:name="_Toc184312123"/>
      <w:bookmarkEnd w:id="345"/>
      <w:bookmarkStart w:id="346" w:name="_Toc184310304"/>
      <w:bookmarkEnd w:id="346"/>
      <w:bookmarkStart w:id="347" w:name="_Toc184310309"/>
      <w:bookmarkEnd w:id="347"/>
      <w:bookmarkStart w:id="348" w:name="_Toc184312117"/>
      <w:bookmarkEnd w:id="348"/>
      <w:bookmarkStart w:id="349" w:name="_Toc184310310"/>
      <w:bookmarkEnd w:id="349"/>
      <w:bookmarkStart w:id="350" w:name="_Toc184308052"/>
      <w:bookmarkEnd w:id="350"/>
      <w:bookmarkStart w:id="351" w:name="_Toc184310340"/>
      <w:bookmarkEnd w:id="351"/>
      <w:bookmarkStart w:id="352" w:name="_Toc184313260"/>
      <w:bookmarkEnd w:id="352"/>
      <w:bookmarkStart w:id="353" w:name="_Toc184308054"/>
      <w:bookmarkEnd w:id="353"/>
      <w:bookmarkStart w:id="354" w:name="_Toc184313289"/>
      <w:bookmarkEnd w:id="354"/>
      <w:bookmarkStart w:id="355" w:name="_Toc184314446"/>
      <w:bookmarkEnd w:id="355"/>
      <w:bookmarkStart w:id="356" w:name="_Toc184312138"/>
      <w:bookmarkEnd w:id="356"/>
      <w:bookmarkStart w:id="357" w:name="_Toc184314468"/>
      <w:bookmarkEnd w:id="357"/>
      <w:bookmarkStart w:id="358" w:name="_Toc184314470"/>
      <w:bookmarkEnd w:id="358"/>
      <w:bookmarkStart w:id="359" w:name="_Toc184308044"/>
      <w:bookmarkEnd w:id="359"/>
      <w:bookmarkStart w:id="360" w:name="_Toc184313284"/>
      <w:bookmarkEnd w:id="360"/>
      <w:bookmarkStart w:id="361" w:name="_Toc184308093"/>
      <w:bookmarkEnd w:id="361"/>
      <w:bookmarkStart w:id="362" w:name="_Toc184310277"/>
      <w:bookmarkEnd w:id="362"/>
      <w:bookmarkStart w:id="363" w:name="_Toc184312136"/>
      <w:bookmarkEnd w:id="363"/>
      <w:bookmarkStart w:id="364" w:name="_Toc184314449"/>
      <w:bookmarkEnd w:id="364"/>
      <w:bookmarkStart w:id="365" w:name="_Toc184313286"/>
      <w:bookmarkEnd w:id="365"/>
      <w:bookmarkStart w:id="366" w:name="_Toc184310287"/>
      <w:bookmarkEnd w:id="366"/>
      <w:bookmarkStart w:id="367" w:name="_Toc184310321"/>
      <w:bookmarkEnd w:id="367"/>
      <w:bookmarkStart w:id="368" w:name="_Toc184310290"/>
      <w:bookmarkEnd w:id="368"/>
      <w:bookmarkStart w:id="369" w:name="_Toc184313248"/>
      <w:bookmarkEnd w:id="369"/>
      <w:bookmarkStart w:id="370" w:name="_Toc184312090"/>
      <w:bookmarkEnd w:id="370"/>
      <w:bookmarkStart w:id="371" w:name="_Toc184312113"/>
      <w:bookmarkEnd w:id="371"/>
      <w:bookmarkStart w:id="372" w:name="_Toc184314450"/>
      <w:bookmarkEnd w:id="372"/>
      <w:bookmarkStart w:id="373" w:name="_Toc184312112"/>
      <w:bookmarkEnd w:id="373"/>
      <w:bookmarkStart w:id="374" w:name="_Toc184313257"/>
      <w:bookmarkEnd w:id="374"/>
      <w:bookmarkStart w:id="375" w:name="_Toc184313247"/>
      <w:bookmarkEnd w:id="375"/>
      <w:bookmarkStart w:id="376" w:name="_Toc184308085"/>
      <w:bookmarkEnd w:id="376"/>
      <w:bookmarkStart w:id="377" w:name="_Toc184314429"/>
      <w:bookmarkEnd w:id="377"/>
      <w:bookmarkStart w:id="378" w:name="_Toc184314458"/>
      <w:bookmarkEnd w:id="378"/>
      <w:bookmarkStart w:id="379" w:name="_Toc184310322"/>
      <w:bookmarkEnd w:id="379"/>
      <w:bookmarkStart w:id="380" w:name="_Toc184310301"/>
      <w:bookmarkEnd w:id="380"/>
      <w:bookmarkStart w:id="381" w:name="_Toc184314437"/>
      <w:bookmarkEnd w:id="381"/>
      <w:bookmarkStart w:id="382" w:name="_Toc184310333"/>
      <w:bookmarkEnd w:id="382"/>
      <w:bookmarkStart w:id="383" w:name="_Toc184312097"/>
      <w:bookmarkEnd w:id="383"/>
      <w:bookmarkStart w:id="384" w:name="_Toc184313292"/>
      <w:bookmarkEnd w:id="384"/>
      <w:bookmarkStart w:id="385" w:name="_Toc184312082"/>
      <w:bookmarkEnd w:id="385"/>
      <w:bookmarkStart w:id="386" w:name="_Toc184308051"/>
      <w:bookmarkEnd w:id="386"/>
      <w:bookmarkStart w:id="387" w:name="_Toc184313275"/>
      <w:bookmarkEnd w:id="387"/>
      <w:bookmarkStart w:id="388" w:name="_Toc184312127"/>
      <w:bookmarkEnd w:id="388"/>
      <w:bookmarkStart w:id="389" w:name="_Toc184314420"/>
      <w:bookmarkEnd w:id="389"/>
      <w:bookmarkStart w:id="390" w:name="_Toc184308057"/>
      <w:bookmarkEnd w:id="390"/>
      <w:bookmarkStart w:id="391" w:name="_Toc184308082"/>
      <w:bookmarkEnd w:id="391"/>
      <w:bookmarkStart w:id="392" w:name="_Toc184313255"/>
      <w:bookmarkEnd w:id="392"/>
      <w:bookmarkStart w:id="393" w:name="_Toc184308076"/>
      <w:bookmarkEnd w:id="393"/>
      <w:bookmarkStart w:id="394" w:name="_Toc184313282"/>
      <w:bookmarkEnd w:id="394"/>
      <w:bookmarkStart w:id="395" w:name="_Toc184313280"/>
      <w:bookmarkEnd w:id="395"/>
      <w:bookmarkStart w:id="396" w:name="_Toc184313277"/>
      <w:bookmarkEnd w:id="396"/>
      <w:bookmarkStart w:id="397" w:name="_Toc184308101"/>
      <w:bookmarkEnd w:id="397"/>
      <w:bookmarkStart w:id="398" w:name="_Toc184308065"/>
      <w:bookmarkEnd w:id="398"/>
      <w:bookmarkStart w:id="399" w:name="_Toc184310330"/>
      <w:bookmarkEnd w:id="399"/>
      <w:bookmarkStart w:id="400" w:name="_Toc184313241"/>
      <w:bookmarkEnd w:id="400"/>
      <w:bookmarkStart w:id="401" w:name="_Toc184308086"/>
      <w:bookmarkEnd w:id="401"/>
      <w:bookmarkStart w:id="402" w:name="_Toc184310288"/>
      <w:bookmarkEnd w:id="402"/>
      <w:bookmarkStart w:id="403" w:name="_Toc184312067"/>
      <w:bookmarkEnd w:id="403"/>
      <w:bookmarkStart w:id="404" w:name="_Toc184308062"/>
      <w:bookmarkEnd w:id="404"/>
      <w:r>
        <w:rPr>
          <w:rFonts w:hint="eastAsia"/>
          <w:color w:val="auto"/>
          <w:highlight w:val="none"/>
        </w:rPr>
        <w:t>评标办法</w:t>
      </w:r>
      <w:bookmarkEnd w:id="39"/>
    </w:p>
    <w:tbl>
      <w:tblPr>
        <w:tblStyle w:val="62"/>
        <w:tblW w:w="5270" w:type="pct"/>
        <w:tblInd w:w="-147"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764"/>
        <w:gridCol w:w="6086"/>
        <w:gridCol w:w="829"/>
        <w:gridCol w:w="1028"/>
        <w:gridCol w:w="1084"/>
      </w:tblGrid>
      <w:tr w14:paraId="68618F0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60" w:hRule="atLeast"/>
        </w:trPr>
        <w:tc>
          <w:tcPr>
            <w:tcW w:w="764" w:type="dxa"/>
            <w:tcBorders>
              <w:tl2br w:val="nil"/>
              <w:tr2bl w:val="nil"/>
            </w:tcBorders>
            <w:vAlign w:val="center"/>
          </w:tcPr>
          <w:p w14:paraId="38604CA6">
            <w:pPr>
              <w:widowControl/>
              <w:adjustRightInd/>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评标因素</w:t>
            </w:r>
          </w:p>
        </w:tc>
        <w:tc>
          <w:tcPr>
            <w:tcW w:w="6086" w:type="dxa"/>
            <w:tcBorders>
              <w:tl2br w:val="nil"/>
              <w:tr2bl w:val="nil"/>
            </w:tcBorders>
            <w:vAlign w:val="center"/>
          </w:tcPr>
          <w:p w14:paraId="1367886A">
            <w:pPr>
              <w:widowControl/>
              <w:adjustRightInd/>
              <w:spacing w:line="360" w:lineRule="auto"/>
              <w:jc w:val="center"/>
              <w:rPr>
                <w:rFonts w:ascii="宋体" w:hAnsi="宋体" w:cs="宋体"/>
                <w:b/>
                <w:bCs/>
                <w:color w:val="auto"/>
                <w:szCs w:val="21"/>
                <w:highlight w:val="none"/>
              </w:rPr>
            </w:pPr>
            <w:r>
              <w:rPr>
                <w:rFonts w:hint="eastAsia" w:ascii="宋体" w:hAnsi="宋体" w:cs="宋体"/>
                <w:b/>
                <w:bCs/>
                <w:color w:val="auto"/>
                <w:kern w:val="0"/>
                <w:szCs w:val="21"/>
                <w:highlight w:val="none"/>
              </w:rPr>
              <w:t>评标标准</w:t>
            </w:r>
          </w:p>
        </w:tc>
        <w:tc>
          <w:tcPr>
            <w:tcW w:w="829" w:type="dxa"/>
            <w:tcBorders>
              <w:tl2br w:val="nil"/>
              <w:tr2bl w:val="nil"/>
            </w:tcBorders>
            <w:vAlign w:val="center"/>
          </w:tcPr>
          <w:p w14:paraId="3FD69C02">
            <w:pPr>
              <w:widowControl/>
              <w:adjustRightInd/>
              <w:spacing w:line="360" w:lineRule="auto"/>
              <w:jc w:val="center"/>
              <w:rPr>
                <w:rFonts w:ascii="宋体" w:hAnsi="宋体" w:cs="宋体"/>
                <w:b/>
                <w:bCs/>
                <w:color w:val="auto"/>
                <w:szCs w:val="21"/>
                <w:highlight w:val="none"/>
              </w:rPr>
            </w:pPr>
            <w:r>
              <w:rPr>
                <w:rFonts w:hint="eastAsia" w:ascii="宋体" w:hAnsi="宋体" w:cs="宋体"/>
                <w:b/>
                <w:bCs/>
                <w:color w:val="auto"/>
                <w:kern w:val="0"/>
                <w:szCs w:val="21"/>
                <w:highlight w:val="none"/>
              </w:rPr>
              <w:t>最高分值</w:t>
            </w:r>
          </w:p>
        </w:tc>
        <w:tc>
          <w:tcPr>
            <w:tcW w:w="1028" w:type="dxa"/>
            <w:tcBorders>
              <w:tl2br w:val="nil"/>
              <w:tr2bl w:val="nil"/>
            </w:tcBorders>
            <w:vAlign w:val="center"/>
          </w:tcPr>
          <w:p w14:paraId="7F289B94">
            <w:pPr>
              <w:widowControl/>
              <w:adjustRightInd/>
              <w:spacing w:line="360" w:lineRule="auto"/>
              <w:jc w:val="center"/>
              <w:rPr>
                <w:rFonts w:ascii="宋体" w:hAnsi="宋体" w:cs="宋体"/>
                <w:b/>
                <w:bCs/>
                <w:color w:val="auto"/>
                <w:szCs w:val="21"/>
                <w:highlight w:val="none"/>
              </w:rPr>
            </w:pPr>
            <w:r>
              <w:rPr>
                <w:rFonts w:hint="eastAsia" w:ascii="宋体" w:hAnsi="宋体" w:cs="宋体"/>
                <w:b/>
                <w:bCs/>
                <w:color w:val="auto"/>
                <w:kern w:val="0"/>
                <w:szCs w:val="21"/>
                <w:highlight w:val="none"/>
              </w:rPr>
              <w:t>主观分/客观分属性</w:t>
            </w:r>
          </w:p>
        </w:tc>
        <w:tc>
          <w:tcPr>
            <w:tcW w:w="1084" w:type="dxa"/>
            <w:tcBorders>
              <w:tl2br w:val="nil"/>
              <w:tr2bl w:val="nil"/>
            </w:tcBorders>
            <w:vAlign w:val="center"/>
          </w:tcPr>
          <w:p w14:paraId="24C678B0">
            <w:pPr>
              <w:widowControl/>
              <w:adjustRightInd/>
              <w:spacing w:line="360" w:lineRule="auto"/>
              <w:jc w:val="center"/>
              <w:rPr>
                <w:rFonts w:ascii="宋体" w:hAnsi="宋体" w:cs="宋体"/>
                <w:b/>
                <w:bCs/>
                <w:color w:val="auto"/>
                <w:szCs w:val="21"/>
                <w:highlight w:val="none"/>
              </w:rPr>
            </w:pPr>
            <w:r>
              <w:rPr>
                <w:rFonts w:hint="eastAsia" w:ascii="宋体" w:hAnsi="宋体" w:cs="宋体"/>
                <w:b/>
                <w:bCs/>
                <w:color w:val="auto"/>
                <w:kern w:val="0"/>
                <w:szCs w:val="21"/>
                <w:highlight w:val="none"/>
              </w:rPr>
              <w:t>投标文件中评标标准相应的商务技术资料目录*</w:t>
            </w:r>
          </w:p>
        </w:tc>
      </w:tr>
      <w:tr w14:paraId="6E272C3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60" w:hRule="atLeast"/>
        </w:trPr>
        <w:tc>
          <w:tcPr>
            <w:tcW w:w="764" w:type="dxa"/>
            <w:tcBorders>
              <w:tl2br w:val="nil"/>
              <w:tr2bl w:val="nil"/>
            </w:tcBorders>
            <w:vAlign w:val="center"/>
          </w:tcPr>
          <w:p w14:paraId="480DCF46">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同类</w:t>
            </w:r>
            <w:r>
              <w:rPr>
                <w:rFonts w:hint="eastAsia" w:ascii="宋体" w:hAnsi="宋体" w:cs="宋体"/>
                <w:color w:val="auto"/>
                <w:kern w:val="0"/>
                <w:szCs w:val="21"/>
                <w:highlight w:val="none"/>
                <w:lang w:bidi="ar"/>
              </w:rPr>
              <w:t>业绩</w:t>
            </w:r>
          </w:p>
        </w:tc>
        <w:tc>
          <w:tcPr>
            <w:tcW w:w="6086" w:type="dxa"/>
            <w:tcBorders>
              <w:tl2br w:val="nil"/>
              <w:tr2bl w:val="nil"/>
            </w:tcBorders>
            <w:vAlign w:val="center"/>
          </w:tcPr>
          <w:p w14:paraId="68406067">
            <w:pPr>
              <w:widowControl/>
              <w:spacing w:line="360" w:lineRule="auto"/>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2022年1月1日以来（以合同签订时间为准），具有AI建设或大模型场景建设等类似业绩，每个得0.5分，最高得1分。</w:t>
            </w:r>
          </w:p>
          <w:p w14:paraId="2217B710">
            <w:pPr>
              <w:widowControl/>
              <w:spacing w:line="360" w:lineRule="auto"/>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证明材料：提供合同扫描件，合同扫描</w:t>
            </w:r>
            <w:r>
              <w:rPr>
                <w:rFonts w:hint="eastAsia" w:ascii="宋体" w:hAnsi="宋体" w:cs="宋体"/>
                <w:color w:val="auto"/>
                <w:kern w:val="0"/>
                <w:szCs w:val="21"/>
                <w:highlight w:val="none"/>
                <w:lang w:eastAsia="zh-CN" w:bidi="ar"/>
              </w:rPr>
              <w:t>件需</w:t>
            </w:r>
            <w:r>
              <w:rPr>
                <w:rFonts w:hint="eastAsia" w:ascii="宋体" w:hAnsi="宋体" w:cs="宋体"/>
                <w:color w:val="auto"/>
                <w:kern w:val="0"/>
                <w:szCs w:val="21"/>
                <w:highlight w:val="none"/>
                <w:lang w:bidi="ar"/>
              </w:rPr>
              <w:t>含项目名称、项目时间、项目内容、签订双方（公章）。提供的资料未含以上信息或信息不全不得得分。</w:t>
            </w:r>
          </w:p>
        </w:tc>
        <w:tc>
          <w:tcPr>
            <w:tcW w:w="829" w:type="dxa"/>
            <w:tcBorders>
              <w:tl2br w:val="nil"/>
              <w:tr2bl w:val="nil"/>
            </w:tcBorders>
            <w:vAlign w:val="center"/>
          </w:tcPr>
          <w:p w14:paraId="21A69A60">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1028" w:type="dxa"/>
            <w:tcBorders>
              <w:tl2br w:val="nil"/>
              <w:tr2bl w:val="nil"/>
            </w:tcBorders>
            <w:vAlign w:val="center"/>
          </w:tcPr>
          <w:p w14:paraId="036E4FED">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客观分</w:t>
            </w:r>
          </w:p>
        </w:tc>
        <w:tc>
          <w:tcPr>
            <w:tcW w:w="1084" w:type="dxa"/>
            <w:tcBorders>
              <w:tl2br w:val="nil"/>
              <w:tr2bl w:val="nil"/>
            </w:tcBorders>
            <w:vAlign w:val="center"/>
          </w:tcPr>
          <w:p w14:paraId="2CABDD08">
            <w:pPr>
              <w:widowControl/>
              <w:spacing w:line="360" w:lineRule="auto"/>
              <w:jc w:val="center"/>
              <w:textAlignment w:val="center"/>
              <w:rPr>
                <w:rFonts w:ascii="宋体" w:hAnsi="宋体" w:cs="宋体"/>
                <w:color w:val="auto"/>
                <w:szCs w:val="21"/>
                <w:highlight w:val="none"/>
              </w:rPr>
            </w:pPr>
          </w:p>
        </w:tc>
      </w:tr>
      <w:tr w14:paraId="73E4841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627" w:hRule="atLeast"/>
        </w:trPr>
        <w:tc>
          <w:tcPr>
            <w:tcW w:w="764" w:type="dxa"/>
            <w:tcBorders>
              <w:tl2br w:val="nil"/>
              <w:tr2bl w:val="nil"/>
            </w:tcBorders>
            <w:vAlign w:val="center"/>
          </w:tcPr>
          <w:p w14:paraId="7FF9D70E">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szCs w:val="21"/>
                <w:highlight w:val="none"/>
              </w:rPr>
              <w:t>企业资质</w:t>
            </w:r>
          </w:p>
        </w:tc>
        <w:tc>
          <w:tcPr>
            <w:tcW w:w="6086" w:type="dxa"/>
            <w:tcBorders>
              <w:tl2br w:val="nil"/>
              <w:tr2bl w:val="nil"/>
            </w:tcBorders>
            <w:vAlign w:val="center"/>
          </w:tcPr>
          <w:p w14:paraId="19FC0A3E">
            <w:pPr>
              <w:widowControl/>
              <w:spacing w:line="360" w:lineRule="auto"/>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投标人具有①信息安全管理体系认证</w:t>
            </w:r>
            <w:r>
              <w:rPr>
                <w:rFonts w:hint="eastAsia" w:ascii="宋体" w:hAnsi="宋体" w:cs="宋体"/>
                <w:color w:val="auto"/>
                <w:kern w:val="0"/>
                <w:szCs w:val="21"/>
                <w:highlight w:val="none"/>
                <w:lang w:val="en-US" w:eastAsia="zh-CN" w:bidi="ar"/>
              </w:rPr>
              <w:t>证书</w:t>
            </w:r>
            <w:r>
              <w:rPr>
                <w:rFonts w:hint="eastAsia" w:ascii="宋体" w:hAnsi="宋体" w:cs="宋体"/>
                <w:color w:val="auto"/>
                <w:kern w:val="0"/>
                <w:szCs w:val="21"/>
                <w:highlight w:val="none"/>
                <w:lang w:bidi="ar"/>
              </w:rPr>
              <w:t>；②质量管理体系认证证书；③云安全管理体系认证</w:t>
            </w:r>
            <w:r>
              <w:rPr>
                <w:rFonts w:hint="eastAsia" w:ascii="宋体" w:hAnsi="宋体" w:cs="宋体"/>
                <w:color w:val="auto"/>
                <w:kern w:val="0"/>
                <w:szCs w:val="21"/>
                <w:highlight w:val="none"/>
                <w:lang w:val="en-US" w:eastAsia="zh-CN" w:bidi="ar"/>
              </w:rPr>
              <w:t>证书</w:t>
            </w:r>
            <w:r>
              <w:rPr>
                <w:rFonts w:hint="eastAsia" w:ascii="宋体" w:hAnsi="宋体" w:cs="宋体"/>
                <w:color w:val="auto"/>
                <w:kern w:val="0"/>
                <w:szCs w:val="21"/>
                <w:highlight w:val="none"/>
                <w:lang w:bidi="ar"/>
              </w:rPr>
              <w:t>；④信息技术服务管理体系</w:t>
            </w:r>
            <w:r>
              <w:rPr>
                <w:rFonts w:hint="eastAsia" w:ascii="宋体" w:hAnsi="宋体" w:cs="宋体"/>
                <w:color w:val="auto"/>
                <w:kern w:val="0"/>
                <w:szCs w:val="21"/>
                <w:highlight w:val="none"/>
                <w:lang w:val="en-US" w:eastAsia="zh-CN" w:bidi="ar"/>
              </w:rPr>
              <w:t>认证</w:t>
            </w:r>
            <w:r>
              <w:rPr>
                <w:rFonts w:hint="eastAsia" w:ascii="宋体" w:hAnsi="宋体" w:cs="宋体"/>
                <w:color w:val="auto"/>
                <w:kern w:val="0"/>
                <w:szCs w:val="21"/>
                <w:highlight w:val="none"/>
                <w:lang w:bidi="ar"/>
              </w:rPr>
              <w:t>证书的，每个得1分，最高得4分。</w:t>
            </w:r>
          </w:p>
          <w:p w14:paraId="25063646">
            <w:pPr>
              <w:widowControl/>
              <w:spacing w:line="360" w:lineRule="auto"/>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证明材料：</w:t>
            </w:r>
            <w:r>
              <w:rPr>
                <w:rFonts w:hint="eastAsia" w:ascii="宋体" w:hAnsi="宋体" w:cs="宋体"/>
                <w:color w:val="auto"/>
                <w:highlight w:val="none"/>
              </w:rPr>
              <w:t>投标文件中提供证书</w:t>
            </w:r>
            <w:r>
              <w:rPr>
                <w:rFonts w:hint="eastAsia" w:ascii="宋体" w:hAnsi="宋体" w:cs="宋体"/>
                <w:color w:val="auto"/>
                <w:highlight w:val="none"/>
                <w:lang w:eastAsia="zh-CN"/>
              </w:rPr>
              <w:t>扫描件</w:t>
            </w:r>
            <w:r>
              <w:rPr>
                <w:rFonts w:hint="eastAsia" w:ascii="宋体" w:hAnsi="宋体" w:cs="宋体"/>
                <w:color w:val="auto"/>
                <w:highlight w:val="none"/>
              </w:rPr>
              <w:t>及全国认证认可信息公共服务平台（http://cx.cnca.cn/）查询截图并加盖公章。</w:t>
            </w:r>
          </w:p>
        </w:tc>
        <w:tc>
          <w:tcPr>
            <w:tcW w:w="829" w:type="dxa"/>
            <w:tcBorders>
              <w:tl2br w:val="nil"/>
              <w:tr2bl w:val="nil"/>
            </w:tcBorders>
            <w:vAlign w:val="center"/>
          </w:tcPr>
          <w:p w14:paraId="75FB6C3A">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szCs w:val="21"/>
                <w:highlight w:val="none"/>
              </w:rPr>
              <w:t>4</w:t>
            </w:r>
          </w:p>
        </w:tc>
        <w:tc>
          <w:tcPr>
            <w:tcW w:w="1028" w:type="dxa"/>
            <w:tcBorders>
              <w:bottom w:val="single" w:color="auto" w:sz="4" w:space="0"/>
              <w:tl2br w:val="nil"/>
              <w:tr2bl w:val="nil"/>
            </w:tcBorders>
            <w:vAlign w:val="center"/>
          </w:tcPr>
          <w:p w14:paraId="267DF821">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客观分</w:t>
            </w:r>
          </w:p>
        </w:tc>
        <w:tc>
          <w:tcPr>
            <w:tcW w:w="1084" w:type="dxa"/>
            <w:tcBorders>
              <w:bottom w:val="single" w:color="auto" w:sz="4" w:space="0"/>
              <w:tl2br w:val="nil"/>
              <w:tr2bl w:val="nil"/>
            </w:tcBorders>
            <w:vAlign w:val="center"/>
          </w:tcPr>
          <w:p w14:paraId="7ABDC3BB">
            <w:pPr>
              <w:spacing w:line="360" w:lineRule="auto"/>
              <w:jc w:val="center"/>
              <w:rPr>
                <w:rFonts w:ascii="宋体" w:hAnsi="宋体" w:cs="宋体"/>
                <w:color w:val="auto"/>
                <w:szCs w:val="21"/>
                <w:highlight w:val="none"/>
              </w:rPr>
            </w:pPr>
          </w:p>
        </w:tc>
      </w:tr>
      <w:tr w14:paraId="3196EFF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621" w:hRule="atLeast"/>
        </w:trPr>
        <w:tc>
          <w:tcPr>
            <w:tcW w:w="764" w:type="dxa"/>
            <w:tcBorders>
              <w:tl2br w:val="nil"/>
              <w:tr2bl w:val="nil"/>
            </w:tcBorders>
            <w:vAlign w:val="center"/>
          </w:tcPr>
          <w:p w14:paraId="1B06527E">
            <w:pPr>
              <w:widowControl/>
              <w:spacing w:line="360" w:lineRule="auto"/>
              <w:jc w:val="center"/>
              <w:textAlignment w:val="center"/>
              <w:rPr>
                <w:color w:val="auto"/>
                <w:highlight w:val="none"/>
              </w:rPr>
            </w:pPr>
            <w:r>
              <w:rPr>
                <w:rFonts w:hint="eastAsia"/>
                <w:color w:val="auto"/>
                <w:highlight w:val="none"/>
              </w:rPr>
              <w:t>相关能力</w:t>
            </w:r>
          </w:p>
        </w:tc>
        <w:tc>
          <w:tcPr>
            <w:tcW w:w="6086" w:type="dxa"/>
            <w:tcBorders>
              <w:tl2br w:val="nil"/>
              <w:tr2bl w:val="nil"/>
            </w:tcBorders>
            <w:vAlign w:val="center"/>
          </w:tcPr>
          <w:p w14:paraId="58066AA7">
            <w:pPr>
              <w:widowControl/>
              <w:spacing w:line="360" w:lineRule="auto"/>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投标人具有包含“大模型”</w:t>
            </w:r>
            <w:r>
              <w:rPr>
                <w:rFonts w:hint="eastAsia" w:ascii="宋体" w:hAnsi="宋体" w:cs="宋体"/>
                <w:color w:val="auto"/>
                <w:kern w:val="0"/>
                <w:szCs w:val="21"/>
                <w:highlight w:val="none"/>
                <w:lang w:val="en-US" w:eastAsia="zh-CN" w:bidi="ar"/>
              </w:rPr>
              <w:t>或</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val="en-US" w:eastAsia="zh-CN" w:bidi="ar"/>
              </w:rPr>
              <w:t>AI</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val="en-US" w:eastAsia="zh-CN" w:bidi="ar"/>
              </w:rPr>
              <w:t>或</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val="en-US" w:eastAsia="zh-CN" w:bidi="ar"/>
              </w:rPr>
              <w:t>人工智能</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等</w:t>
            </w:r>
            <w:r>
              <w:rPr>
                <w:rFonts w:hint="eastAsia" w:ascii="宋体" w:hAnsi="宋体" w:cs="宋体"/>
                <w:color w:val="auto"/>
                <w:kern w:val="0"/>
                <w:szCs w:val="21"/>
                <w:highlight w:val="none"/>
                <w:lang w:val="en-US" w:eastAsia="zh-CN" w:bidi="ar"/>
              </w:rPr>
              <w:t>和本项目</w:t>
            </w:r>
            <w:r>
              <w:rPr>
                <w:rFonts w:hint="eastAsia" w:ascii="宋体" w:hAnsi="宋体" w:cs="宋体"/>
                <w:color w:val="auto"/>
                <w:kern w:val="0"/>
                <w:szCs w:val="21"/>
                <w:highlight w:val="none"/>
                <w:lang w:bidi="ar"/>
              </w:rPr>
              <w:t>相关字眼的国家版权局颁发的计算机软件著作权登记证书情况：投标人提供的相关计算机软件著作权登记证书每个得 0.5分，满分2分。</w:t>
            </w:r>
          </w:p>
          <w:p w14:paraId="0B2CB26F">
            <w:pPr>
              <w:widowControl/>
              <w:spacing w:line="360" w:lineRule="auto"/>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证明材料提供要求：投标人须提供相关证书的</w:t>
            </w:r>
            <w:r>
              <w:rPr>
                <w:rFonts w:hint="eastAsia" w:ascii="宋体" w:hAnsi="宋体" w:cs="宋体"/>
                <w:color w:val="auto"/>
                <w:kern w:val="0"/>
                <w:szCs w:val="21"/>
                <w:highlight w:val="none"/>
                <w:lang w:eastAsia="zh-CN" w:bidi="ar"/>
              </w:rPr>
              <w:t>扫描件</w:t>
            </w:r>
            <w:r>
              <w:rPr>
                <w:rFonts w:hint="eastAsia" w:ascii="宋体" w:hAnsi="宋体" w:cs="宋体"/>
                <w:color w:val="auto"/>
                <w:kern w:val="0"/>
                <w:szCs w:val="21"/>
                <w:highlight w:val="none"/>
                <w:lang w:bidi="ar"/>
              </w:rPr>
              <w:t>并加盖投标人公章。否则不得分。</w:t>
            </w:r>
          </w:p>
        </w:tc>
        <w:tc>
          <w:tcPr>
            <w:tcW w:w="829" w:type="dxa"/>
            <w:tcBorders>
              <w:tl2br w:val="nil"/>
              <w:tr2bl w:val="nil"/>
            </w:tcBorders>
            <w:vAlign w:val="center"/>
          </w:tcPr>
          <w:p w14:paraId="4F159164">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szCs w:val="21"/>
                <w:highlight w:val="none"/>
              </w:rPr>
              <w:t>2</w:t>
            </w:r>
          </w:p>
        </w:tc>
        <w:tc>
          <w:tcPr>
            <w:tcW w:w="1028" w:type="dxa"/>
            <w:tcBorders>
              <w:top w:val="single" w:color="auto" w:sz="4" w:space="0"/>
              <w:tl2br w:val="nil"/>
              <w:tr2bl w:val="nil"/>
            </w:tcBorders>
            <w:vAlign w:val="center"/>
          </w:tcPr>
          <w:p w14:paraId="4D1BF3B2">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客观分</w:t>
            </w:r>
          </w:p>
        </w:tc>
        <w:tc>
          <w:tcPr>
            <w:tcW w:w="1084" w:type="dxa"/>
            <w:tcBorders>
              <w:top w:val="single" w:color="auto" w:sz="4" w:space="0"/>
              <w:tl2br w:val="nil"/>
              <w:tr2bl w:val="nil"/>
            </w:tcBorders>
            <w:vAlign w:val="center"/>
          </w:tcPr>
          <w:p w14:paraId="5A6ACA79">
            <w:pPr>
              <w:widowControl/>
              <w:spacing w:line="360" w:lineRule="auto"/>
              <w:textAlignment w:val="center"/>
              <w:rPr>
                <w:rFonts w:ascii="宋体" w:hAnsi="宋体" w:cs="宋体"/>
                <w:color w:val="auto"/>
                <w:szCs w:val="21"/>
                <w:highlight w:val="none"/>
              </w:rPr>
            </w:pPr>
          </w:p>
        </w:tc>
      </w:tr>
      <w:tr w14:paraId="514678C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641" w:hRule="atLeast"/>
        </w:trPr>
        <w:tc>
          <w:tcPr>
            <w:tcW w:w="764" w:type="dxa"/>
            <w:tcBorders>
              <w:tl2br w:val="nil"/>
              <w:tr2bl w:val="nil"/>
            </w:tcBorders>
            <w:vAlign w:val="center"/>
          </w:tcPr>
          <w:p w14:paraId="392D5E2D">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szCs w:val="21"/>
                <w:highlight w:val="none"/>
              </w:rPr>
              <w:t>项目经理</w:t>
            </w:r>
          </w:p>
        </w:tc>
        <w:tc>
          <w:tcPr>
            <w:tcW w:w="6086" w:type="dxa"/>
            <w:tcBorders>
              <w:tl2br w:val="nil"/>
              <w:tr2bl w:val="nil"/>
            </w:tcBorders>
            <w:vAlign w:val="center"/>
          </w:tcPr>
          <w:p w14:paraId="0E4369F3">
            <w:pPr>
              <w:widowControl/>
              <w:spacing w:line="360" w:lineRule="auto"/>
              <w:jc w:val="left"/>
              <w:textAlignment w:val="center"/>
              <w:rPr>
                <w:rFonts w:ascii="宋体" w:hAnsi="宋体" w:cs="宋体"/>
                <w:color w:val="auto"/>
                <w:szCs w:val="21"/>
                <w:highlight w:val="none"/>
              </w:rPr>
            </w:pPr>
            <w:r>
              <w:rPr>
                <w:rFonts w:hint="eastAsia" w:ascii="宋体" w:hAnsi="宋体" w:cs="宋体"/>
                <w:color w:val="auto"/>
                <w:szCs w:val="21"/>
                <w:highlight w:val="none"/>
              </w:rPr>
              <w:t>项目经理具有类似项目</w:t>
            </w:r>
            <w:r>
              <w:rPr>
                <w:rFonts w:hint="eastAsia" w:ascii="宋体" w:hAnsi="宋体" w:cs="宋体"/>
                <w:color w:val="auto"/>
                <w:szCs w:val="21"/>
                <w:highlight w:val="none"/>
                <w:lang w:val="en-US" w:eastAsia="zh-CN"/>
              </w:rPr>
              <w:t>经验</w:t>
            </w:r>
            <w:r>
              <w:rPr>
                <w:rFonts w:hint="eastAsia" w:ascii="宋体" w:hAnsi="宋体" w:cs="宋体"/>
                <w:color w:val="auto"/>
                <w:szCs w:val="21"/>
                <w:highlight w:val="none"/>
              </w:rPr>
              <w:t>且具有人社部门颁发的高级信息系统项目管理师证</w:t>
            </w:r>
            <w:r>
              <w:rPr>
                <w:rFonts w:hint="eastAsia" w:ascii="宋体" w:hAnsi="宋体" w:cs="宋体"/>
                <w:color w:val="auto"/>
                <w:kern w:val="0"/>
                <w:szCs w:val="21"/>
                <w:highlight w:val="none"/>
                <w:lang w:bidi="ar"/>
              </w:rPr>
              <w:t>（软考证书）</w:t>
            </w:r>
            <w:r>
              <w:rPr>
                <w:rFonts w:hint="eastAsia" w:ascii="宋体" w:hAnsi="宋体" w:cs="宋体"/>
                <w:color w:val="auto"/>
                <w:szCs w:val="21"/>
                <w:highlight w:val="none"/>
              </w:rPr>
              <w:t>得3分，否则不得分；</w:t>
            </w:r>
          </w:p>
          <w:p w14:paraId="025E8D13">
            <w:pPr>
              <w:widowControl/>
              <w:spacing w:line="360" w:lineRule="auto"/>
              <w:jc w:val="left"/>
              <w:textAlignment w:val="center"/>
              <w:rPr>
                <w:rFonts w:ascii="宋体" w:hAnsi="宋体" w:cs="宋体"/>
                <w:color w:val="auto"/>
                <w:szCs w:val="21"/>
                <w:highlight w:val="none"/>
              </w:rPr>
            </w:pPr>
            <w:r>
              <w:rPr>
                <w:rFonts w:hint="eastAsia" w:ascii="宋体" w:hAnsi="宋体" w:cs="宋体"/>
                <w:color w:val="auto"/>
                <w:szCs w:val="21"/>
                <w:highlight w:val="none"/>
              </w:rPr>
              <w:t>证明材料：身份证扫描件、高级信息系统项目管理师证书扫描件和含软件开发项目经理岗位信息的劳动合同或单位证明、本单位为其缴纳的近开标日三个月内任意一个月的社保缴纳证明，证明材料不全不得分。</w:t>
            </w:r>
          </w:p>
        </w:tc>
        <w:tc>
          <w:tcPr>
            <w:tcW w:w="829" w:type="dxa"/>
            <w:tcBorders>
              <w:tl2br w:val="nil"/>
              <w:tr2bl w:val="nil"/>
            </w:tcBorders>
            <w:vAlign w:val="center"/>
          </w:tcPr>
          <w:p w14:paraId="351A6A5D">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1028" w:type="dxa"/>
            <w:tcBorders>
              <w:bottom w:val="single" w:color="auto" w:sz="4" w:space="0"/>
              <w:tl2br w:val="nil"/>
              <w:tr2bl w:val="nil"/>
            </w:tcBorders>
            <w:vAlign w:val="center"/>
          </w:tcPr>
          <w:p w14:paraId="5A95DB55">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客观分</w:t>
            </w:r>
          </w:p>
        </w:tc>
        <w:tc>
          <w:tcPr>
            <w:tcW w:w="1084" w:type="dxa"/>
            <w:tcBorders>
              <w:bottom w:val="single" w:color="auto" w:sz="4" w:space="0"/>
              <w:tl2br w:val="nil"/>
              <w:tr2bl w:val="nil"/>
            </w:tcBorders>
            <w:vAlign w:val="center"/>
          </w:tcPr>
          <w:p w14:paraId="225F7E39">
            <w:pPr>
              <w:widowControl/>
              <w:spacing w:line="360" w:lineRule="auto"/>
              <w:jc w:val="center"/>
              <w:textAlignment w:val="center"/>
              <w:rPr>
                <w:rFonts w:ascii="宋体" w:hAnsi="宋体" w:cs="宋体"/>
                <w:color w:val="auto"/>
                <w:szCs w:val="21"/>
                <w:highlight w:val="none"/>
              </w:rPr>
            </w:pPr>
          </w:p>
        </w:tc>
      </w:tr>
      <w:tr w14:paraId="5A1B4E8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62" w:hRule="atLeast"/>
        </w:trPr>
        <w:tc>
          <w:tcPr>
            <w:tcW w:w="764" w:type="dxa"/>
            <w:tcBorders>
              <w:tl2br w:val="nil"/>
              <w:tr2bl w:val="nil"/>
            </w:tcBorders>
            <w:vAlign w:val="center"/>
          </w:tcPr>
          <w:p w14:paraId="59557C9C">
            <w:pPr>
              <w:widowControl/>
              <w:spacing w:line="360" w:lineRule="auto"/>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项目组成员</w:t>
            </w:r>
          </w:p>
        </w:tc>
        <w:tc>
          <w:tcPr>
            <w:tcW w:w="6086" w:type="dxa"/>
            <w:tcBorders>
              <w:tl2br w:val="nil"/>
              <w:tr2bl w:val="nil"/>
            </w:tcBorders>
            <w:vAlign w:val="center"/>
          </w:tcPr>
          <w:p w14:paraId="456C1F33">
            <w:pPr>
              <w:widowControl/>
              <w:spacing w:line="360" w:lineRule="auto"/>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组内人员（不含项目经理）具有</w:t>
            </w:r>
            <w:r>
              <w:rPr>
                <w:rFonts w:hint="eastAsia" w:ascii="宋体" w:hAnsi="宋体" w:cs="宋体"/>
                <w:color w:val="auto"/>
                <w:szCs w:val="21"/>
                <w:highlight w:val="none"/>
              </w:rPr>
              <w:t>人社部门颁发的</w:t>
            </w:r>
            <w:r>
              <w:rPr>
                <w:rFonts w:hint="eastAsia" w:ascii="宋体" w:hAnsi="宋体" w:cs="宋体"/>
                <w:color w:val="auto"/>
                <w:kern w:val="0"/>
                <w:szCs w:val="21"/>
                <w:highlight w:val="none"/>
                <w:lang w:bidi="ar"/>
              </w:rPr>
              <w:t>信息系统项目管理师证（软考证书）、系统架构设计师证（软考证书）、系统分析师证（软考证书）、网络规划设计师证（软考证书）、系统规划与管理师证（软考证书），每提供1本证书得1.5分（如同一人员同时具备多项证书则最高按2本证书计分），最多得6分。</w:t>
            </w:r>
          </w:p>
          <w:p w14:paraId="570224AC">
            <w:pPr>
              <w:widowControl/>
              <w:spacing w:line="360" w:lineRule="auto"/>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证明材料：身份证扫描件、上述证书扫描件加盖公章，并提供本单位为其缴纳的</w:t>
            </w:r>
            <w:r>
              <w:rPr>
                <w:rFonts w:hint="eastAsia" w:ascii="宋体" w:hAnsi="宋体" w:cs="宋体"/>
                <w:color w:val="auto"/>
                <w:szCs w:val="21"/>
                <w:highlight w:val="none"/>
              </w:rPr>
              <w:t>近开标日三个月内任意一个月的</w:t>
            </w:r>
            <w:r>
              <w:rPr>
                <w:rFonts w:hint="eastAsia" w:ascii="宋体" w:hAnsi="宋体" w:cs="宋体"/>
                <w:color w:val="auto"/>
                <w:kern w:val="0"/>
                <w:szCs w:val="21"/>
                <w:highlight w:val="none"/>
                <w:lang w:bidi="ar"/>
              </w:rPr>
              <w:t>社保缴纳证明</w:t>
            </w:r>
            <w:r>
              <w:rPr>
                <w:rFonts w:hint="eastAsia" w:ascii="宋体" w:hAnsi="宋体" w:cs="宋体"/>
                <w:color w:val="auto"/>
                <w:szCs w:val="21"/>
                <w:highlight w:val="none"/>
              </w:rPr>
              <w:t>，证明材料不全不得分</w:t>
            </w:r>
            <w:r>
              <w:rPr>
                <w:rFonts w:hint="eastAsia" w:ascii="宋体" w:hAnsi="宋体" w:cs="宋体"/>
                <w:color w:val="auto"/>
                <w:kern w:val="0"/>
                <w:szCs w:val="21"/>
                <w:highlight w:val="none"/>
                <w:lang w:bidi="ar"/>
              </w:rPr>
              <w:t>。软考证书是指通过计算机技术与软件专业技术资格（水平）考试获取的职业资格证书。</w:t>
            </w:r>
          </w:p>
        </w:tc>
        <w:tc>
          <w:tcPr>
            <w:tcW w:w="829" w:type="dxa"/>
            <w:tcBorders>
              <w:tl2br w:val="nil"/>
              <w:tr2bl w:val="nil"/>
            </w:tcBorders>
            <w:vAlign w:val="center"/>
          </w:tcPr>
          <w:p w14:paraId="5363DA75">
            <w:pPr>
              <w:widowControl/>
              <w:spacing w:line="360" w:lineRule="auto"/>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6</w:t>
            </w:r>
          </w:p>
        </w:tc>
        <w:tc>
          <w:tcPr>
            <w:tcW w:w="1028" w:type="dxa"/>
            <w:tcBorders>
              <w:top w:val="single" w:color="auto" w:sz="4" w:space="0"/>
              <w:tl2br w:val="nil"/>
              <w:tr2bl w:val="nil"/>
            </w:tcBorders>
            <w:vAlign w:val="center"/>
          </w:tcPr>
          <w:p w14:paraId="716F5A13">
            <w:pPr>
              <w:widowControl/>
              <w:spacing w:line="360" w:lineRule="auto"/>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客观分</w:t>
            </w:r>
          </w:p>
        </w:tc>
        <w:tc>
          <w:tcPr>
            <w:tcW w:w="1084" w:type="dxa"/>
            <w:tcBorders>
              <w:top w:val="single" w:color="auto" w:sz="4" w:space="0"/>
              <w:tl2br w:val="nil"/>
              <w:tr2bl w:val="nil"/>
            </w:tcBorders>
            <w:vAlign w:val="center"/>
          </w:tcPr>
          <w:p w14:paraId="43D83DC3">
            <w:pPr>
              <w:widowControl/>
              <w:spacing w:line="360" w:lineRule="auto"/>
              <w:jc w:val="left"/>
              <w:textAlignment w:val="center"/>
              <w:rPr>
                <w:rFonts w:ascii="宋体" w:hAnsi="宋体" w:cs="宋体"/>
                <w:color w:val="auto"/>
                <w:kern w:val="0"/>
                <w:szCs w:val="21"/>
                <w:highlight w:val="none"/>
                <w:lang w:bidi="ar"/>
              </w:rPr>
            </w:pPr>
          </w:p>
        </w:tc>
      </w:tr>
      <w:tr w14:paraId="345F03F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620" w:hRule="atLeast"/>
        </w:trPr>
        <w:tc>
          <w:tcPr>
            <w:tcW w:w="764" w:type="dxa"/>
            <w:tcBorders>
              <w:tl2br w:val="nil"/>
              <w:tr2bl w:val="nil"/>
            </w:tcBorders>
            <w:vAlign w:val="center"/>
          </w:tcPr>
          <w:p w14:paraId="3589D065">
            <w:pPr>
              <w:widowControl/>
              <w:spacing w:line="360" w:lineRule="auto"/>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需求分析</w:t>
            </w:r>
          </w:p>
        </w:tc>
        <w:tc>
          <w:tcPr>
            <w:tcW w:w="6086" w:type="dxa"/>
            <w:tcBorders>
              <w:tl2br w:val="nil"/>
              <w:tr2bl w:val="nil"/>
            </w:tcBorders>
            <w:vAlign w:val="center"/>
          </w:tcPr>
          <w:p w14:paraId="0CFDC157">
            <w:pPr>
              <w:widowControl/>
              <w:spacing w:line="360" w:lineRule="auto"/>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投标人需从大模型发展背景、政务大模型行业需求、政务大模型的发展目标、政务大模型预期成效等方面，对项目背景进行深入阐述、整体目标需求等进行评分。</w:t>
            </w:r>
            <w:r>
              <w:rPr>
                <w:rFonts w:hint="eastAsia" w:ascii="宋体" w:hAnsi="宋体" w:cs="宋体"/>
                <w:color w:val="auto"/>
                <w:szCs w:val="21"/>
                <w:highlight w:val="none"/>
              </w:rPr>
              <w:t>分析全面、针对性强且合理的得5分；</w:t>
            </w:r>
            <w:r>
              <w:rPr>
                <w:rFonts w:hint="eastAsia"/>
                <w:color w:val="auto"/>
                <w:highlight w:val="none"/>
              </w:rPr>
              <w:t>其他情形按4分、3分、2分、1分计分；内容未提供的不得分。</w:t>
            </w:r>
          </w:p>
        </w:tc>
        <w:tc>
          <w:tcPr>
            <w:tcW w:w="829" w:type="dxa"/>
            <w:tcBorders>
              <w:tl2br w:val="nil"/>
              <w:tr2bl w:val="nil"/>
            </w:tcBorders>
            <w:vAlign w:val="center"/>
          </w:tcPr>
          <w:p w14:paraId="500F5733">
            <w:pPr>
              <w:widowControl/>
              <w:spacing w:line="360" w:lineRule="auto"/>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5</w:t>
            </w:r>
          </w:p>
        </w:tc>
        <w:tc>
          <w:tcPr>
            <w:tcW w:w="1028" w:type="dxa"/>
            <w:tcBorders>
              <w:tl2br w:val="nil"/>
              <w:tr2bl w:val="nil"/>
            </w:tcBorders>
            <w:vAlign w:val="center"/>
          </w:tcPr>
          <w:p w14:paraId="282E2885">
            <w:pPr>
              <w:widowControl/>
              <w:spacing w:line="360" w:lineRule="auto"/>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主观分</w:t>
            </w:r>
          </w:p>
        </w:tc>
        <w:tc>
          <w:tcPr>
            <w:tcW w:w="1084" w:type="dxa"/>
            <w:tcBorders>
              <w:bottom w:val="single" w:color="auto" w:sz="4" w:space="0"/>
              <w:tl2br w:val="nil"/>
              <w:tr2bl w:val="nil"/>
            </w:tcBorders>
            <w:vAlign w:val="center"/>
          </w:tcPr>
          <w:p w14:paraId="475DFD03">
            <w:pPr>
              <w:widowControl/>
              <w:spacing w:line="360" w:lineRule="auto"/>
              <w:jc w:val="center"/>
              <w:textAlignment w:val="center"/>
              <w:rPr>
                <w:rFonts w:ascii="宋体" w:hAnsi="宋体" w:cs="宋体"/>
                <w:color w:val="auto"/>
                <w:szCs w:val="21"/>
                <w:highlight w:val="none"/>
              </w:rPr>
            </w:pPr>
          </w:p>
        </w:tc>
      </w:tr>
      <w:tr w14:paraId="01045BC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64" w:type="dxa"/>
            <w:vMerge w:val="restart"/>
            <w:tcBorders>
              <w:tl2br w:val="nil"/>
              <w:tr2bl w:val="nil"/>
            </w:tcBorders>
            <w:vAlign w:val="center"/>
          </w:tcPr>
          <w:p w14:paraId="3CBA5B13">
            <w:pPr>
              <w:widowControl/>
              <w:spacing w:line="360" w:lineRule="auto"/>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建设方案</w:t>
            </w:r>
          </w:p>
        </w:tc>
        <w:tc>
          <w:tcPr>
            <w:tcW w:w="6086" w:type="dxa"/>
            <w:tcBorders>
              <w:tl2br w:val="nil"/>
              <w:tr2bl w:val="nil"/>
            </w:tcBorders>
            <w:vAlign w:val="center"/>
          </w:tcPr>
          <w:p w14:paraId="4B8B5AF8">
            <w:pPr>
              <w:widowControl/>
              <w:spacing w:line="360" w:lineRule="auto"/>
              <w:jc w:val="left"/>
              <w:textAlignment w:val="center"/>
              <w:rPr>
                <w:rFonts w:ascii="宋体" w:hAnsi="宋体" w:cs="宋体"/>
                <w:color w:val="auto"/>
                <w:kern w:val="0"/>
                <w:szCs w:val="21"/>
                <w:highlight w:val="none"/>
                <w:lang w:bidi="ar"/>
              </w:rPr>
            </w:pPr>
            <w:r>
              <w:rPr>
                <w:rFonts w:ascii="宋体" w:hAnsi="宋体" w:cs="宋体"/>
                <w:color w:val="auto"/>
                <w:kern w:val="0"/>
                <w:szCs w:val="21"/>
                <w:highlight w:val="none"/>
                <w:lang w:bidi="ar"/>
              </w:rPr>
              <w:t>投标人提供的建设方案中，需包含核心业务相关角色和运行场景的业务流程分析。业务流程包括智慧办公、政务业务智能助手、智能助手搭建、垂类模型训练和AI数据处理流程，需提供完整的业务流程图和流程介绍。内容完整、流程清晰的得5分；其他情形按4分、3分、2分、1分计分；内容未提供的不得分。</w:t>
            </w:r>
          </w:p>
        </w:tc>
        <w:tc>
          <w:tcPr>
            <w:tcW w:w="829" w:type="dxa"/>
            <w:tcBorders>
              <w:tl2br w:val="nil"/>
              <w:tr2bl w:val="nil"/>
            </w:tcBorders>
            <w:vAlign w:val="center"/>
          </w:tcPr>
          <w:p w14:paraId="209B01AE">
            <w:pPr>
              <w:widowControl/>
              <w:spacing w:line="360" w:lineRule="auto"/>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5</w:t>
            </w:r>
          </w:p>
        </w:tc>
        <w:tc>
          <w:tcPr>
            <w:tcW w:w="1028" w:type="dxa"/>
            <w:tcBorders>
              <w:tl2br w:val="nil"/>
              <w:tr2bl w:val="nil"/>
            </w:tcBorders>
            <w:vAlign w:val="center"/>
          </w:tcPr>
          <w:p w14:paraId="5EE6C048">
            <w:pPr>
              <w:widowControl/>
              <w:spacing w:line="360" w:lineRule="auto"/>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主观分</w:t>
            </w:r>
          </w:p>
        </w:tc>
        <w:tc>
          <w:tcPr>
            <w:tcW w:w="1084" w:type="dxa"/>
            <w:vMerge w:val="restart"/>
            <w:tcBorders>
              <w:top w:val="single" w:color="auto" w:sz="4" w:space="0"/>
              <w:tl2br w:val="nil"/>
              <w:tr2bl w:val="nil"/>
            </w:tcBorders>
            <w:vAlign w:val="center"/>
          </w:tcPr>
          <w:p w14:paraId="66D57FDE">
            <w:pPr>
              <w:widowControl/>
              <w:spacing w:line="360" w:lineRule="auto"/>
              <w:jc w:val="left"/>
              <w:textAlignment w:val="center"/>
              <w:rPr>
                <w:rFonts w:ascii="宋体" w:hAnsi="宋体" w:cs="宋体"/>
                <w:color w:val="auto"/>
                <w:kern w:val="0"/>
                <w:szCs w:val="21"/>
                <w:highlight w:val="none"/>
                <w:lang w:bidi="ar"/>
              </w:rPr>
            </w:pPr>
          </w:p>
        </w:tc>
      </w:tr>
      <w:tr w14:paraId="2428FA9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89" w:hRule="atLeast"/>
        </w:trPr>
        <w:tc>
          <w:tcPr>
            <w:tcW w:w="764" w:type="dxa"/>
            <w:vMerge w:val="continue"/>
            <w:tcBorders>
              <w:tl2br w:val="nil"/>
              <w:tr2bl w:val="nil"/>
            </w:tcBorders>
            <w:vAlign w:val="center"/>
          </w:tcPr>
          <w:p w14:paraId="19EAAA99">
            <w:pPr>
              <w:widowControl/>
              <w:spacing w:line="360" w:lineRule="auto"/>
              <w:jc w:val="center"/>
              <w:textAlignment w:val="center"/>
              <w:rPr>
                <w:rFonts w:ascii="宋体" w:hAnsi="宋体" w:cs="宋体"/>
                <w:color w:val="auto"/>
                <w:szCs w:val="21"/>
                <w:highlight w:val="none"/>
              </w:rPr>
            </w:pPr>
          </w:p>
        </w:tc>
        <w:tc>
          <w:tcPr>
            <w:tcW w:w="6086" w:type="dxa"/>
            <w:tcBorders>
              <w:tl2br w:val="nil"/>
              <w:tr2bl w:val="nil"/>
            </w:tcBorders>
            <w:vAlign w:val="center"/>
          </w:tcPr>
          <w:p w14:paraId="4AC4720A">
            <w:pPr>
              <w:widowControl/>
              <w:spacing w:line="360" w:lineRule="auto"/>
              <w:textAlignment w:val="center"/>
              <w:rPr>
                <w:rFonts w:ascii="宋体" w:hAnsi="宋体" w:cs="宋体"/>
                <w:color w:val="auto"/>
                <w:szCs w:val="21"/>
                <w:highlight w:val="none"/>
              </w:rPr>
            </w:pPr>
            <w:r>
              <w:rPr>
                <w:rFonts w:hint="eastAsia" w:ascii="宋体" w:hAnsi="宋体" w:cs="宋体"/>
                <w:color w:val="auto"/>
                <w:szCs w:val="21"/>
                <w:highlight w:val="none"/>
              </w:rPr>
              <w:t>对系统整体架构进行阐述，包括总体框架图、系统网络拓扑图、部署环境、功能模块规划、技术路线等，提出切实可行的方案。</w:t>
            </w:r>
            <w:r>
              <w:rPr>
                <w:rFonts w:hint="eastAsia" w:ascii="宋体" w:hAnsi="宋体" w:cs="宋体"/>
                <w:color w:val="auto"/>
                <w:kern w:val="0"/>
                <w:szCs w:val="21"/>
                <w:highlight w:val="none"/>
              </w:rPr>
              <w:t>内容详细，科学合理，逻辑缜密，具有针对性的</w:t>
            </w:r>
            <w:r>
              <w:rPr>
                <w:color w:val="auto"/>
                <w:highlight w:val="none"/>
              </w:rPr>
              <w:t>得</w:t>
            </w:r>
            <w:r>
              <w:rPr>
                <w:rFonts w:hint="eastAsia"/>
                <w:color w:val="auto"/>
                <w:highlight w:val="none"/>
              </w:rPr>
              <w:t>4</w:t>
            </w:r>
            <w:r>
              <w:rPr>
                <w:color w:val="auto"/>
                <w:highlight w:val="none"/>
              </w:rPr>
              <w:t>分</w:t>
            </w:r>
            <w:r>
              <w:rPr>
                <w:rFonts w:hint="eastAsia"/>
                <w:color w:val="auto"/>
                <w:highlight w:val="none"/>
              </w:rPr>
              <w:t>；其他情形按3分、2分、1分计分；内容未提供的不得分。</w:t>
            </w:r>
          </w:p>
        </w:tc>
        <w:tc>
          <w:tcPr>
            <w:tcW w:w="829" w:type="dxa"/>
            <w:tcBorders>
              <w:tl2br w:val="nil"/>
              <w:tr2bl w:val="nil"/>
            </w:tcBorders>
            <w:vAlign w:val="center"/>
          </w:tcPr>
          <w:p w14:paraId="7CE81C1C">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1028" w:type="dxa"/>
            <w:tcBorders>
              <w:tl2br w:val="nil"/>
              <w:tr2bl w:val="nil"/>
            </w:tcBorders>
            <w:vAlign w:val="center"/>
          </w:tcPr>
          <w:p w14:paraId="64720C59">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主观分</w:t>
            </w:r>
          </w:p>
        </w:tc>
        <w:tc>
          <w:tcPr>
            <w:tcW w:w="1084" w:type="dxa"/>
            <w:vMerge w:val="continue"/>
            <w:tcBorders>
              <w:tl2br w:val="nil"/>
              <w:tr2bl w:val="nil"/>
            </w:tcBorders>
            <w:vAlign w:val="center"/>
          </w:tcPr>
          <w:p w14:paraId="67842AEE">
            <w:pPr>
              <w:widowControl/>
              <w:spacing w:line="360" w:lineRule="auto"/>
              <w:jc w:val="center"/>
              <w:textAlignment w:val="center"/>
              <w:rPr>
                <w:rFonts w:ascii="宋体" w:hAnsi="宋体" w:cs="宋体"/>
                <w:color w:val="auto"/>
                <w:szCs w:val="21"/>
                <w:highlight w:val="none"/>
              </w:rPr>
            </w:pPr>
          </w:p>
        </w:tc>
      </w:tr>
      <w:tr w14:paraId="2A2C008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108" w:hRule="atLeast"/>
        </w:trPr>
        <w:tc>
          <w:tcPr>
            <w:tcW w:w="764" w:type="dxa"/>
            <w:vMerge w:val="continue"/>
            <w:tcBorders>
              <w:tl2br w:val="nil"/>
              <w:tr2bl w:val="nil"/>
            </w:tcBorders>
            <w:vAlign w:val="center"/>
          </w:tcPr>
          <w:p w14:paraId="3D866E3D">
            <w:pPr>
              <w:spacing w:line="360" w:lineRule="auto"/>
              <w:jc w:val="center"/>
              <w:rPr>
                <w:rFonts w:ascii="宋体" w:hAnsi="宋体" w:cs="宋体"/>
                <w:color w:val="auto"/>
                <w:szCs w:val="21"/>
                <w:highlight w:val="none"/>
              </w:rPr>
            </w:pPr>
          </w:p>
        </w:tc>
        <w:tc>
          <w:tcPr>
            <w:tcW w:w="6086" w:type="dxa"/>
            <w:tcBorders>
              <w:tl2br w:val="nil"/>
              <w:tr2bl w:val="nil"/>
            </w:tcBorders>
            <w:vAlign w:val="center"/>
          </w:tcPr>
          <w:p w14:paraId="3C0063BE">
            <w:pPr>
              <w:widowControl/>
              <w:spacing w:line="360" w:lineRule="auto"/>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对</w:t>
            </w:r>
            <w:bookmarkStart w:id="405" w:name="_Hlk176169339"/>
            <w:r>
              <w:rPr>
                <w:rFonts w:hint="eastAsia" w:ascii="宋体" w:hAnsi="宋体" w:cs="宋体"/>
                <w:color w:val="auto"/>
                <w:kern w:val="0"/>
                <w:szCs w:val="21"/>
                <w:highlight w:val="none"/>
                <w:lang w:bidi="ar"/>
              </w:rPr>
              <w:t>AI余杭AI数据处理平台、政务大模型服务平台、政务垂类大模型专家调优服务、智能业务集成开放平台</w:t>
            </w:r>
            <w:bookmarkEnd w:id="405"/>
            <w:r>
              <w:rPr>
                <w:rFonts w:hint="eastAsia" w:ascii="宋体" w:hAnsi="宋体" w:cs="宋体"/>
                <w:color w:val="auto"/>
                <w:kern w:val="0"/>
                <w:szCs w:val="21"/>
                <w:highlight w:val="none"/>
                <w:lang w:bidi="ar"/>
              </w:rPr>
              <w:t>、浙政钉底座智能化升级5个模块的建设内容进行方案设计和产品功能描述。每块内容针对性强，符合采购需求视为满足。</w:t>
            </w:r>
          </w:p>
          <w:p w14:paraId="1A08231C">
            <w:pPr>
              <w:widowControl/>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满足得1分/项，部分满足得0.5分/项，不满足不得分。</w:t>
            </w:r>
          </w:p>
        </w:tc>
        <w:tc>
          <w:tcPr>
            <w:tcW w:w="829" w:type="dxa"/>
            <w:tcBorders>
              <w:tl2br w:val="nil"/>
              <w:tr2bl w:val="nil"/>
            </w:tcBorders>
            <w:vAlign w:val="center"/>
          </w:tcPr>
          <w:p w14:paraId="32470204">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w:t>
            </w:r>
          </w:p>
        </w:tc>
        <w:tc>
          <w:tcPr>
            <w:tcW w:w="1028" w:type="dxa"/>
            <w:tcBorders>
              <w:tl2br w:val="nil"/>
              <w:tr2bl w:val="nil"/>
            </w:tcBorders>
            <w:vAlign w:val="center"/>
          </w:tcPr>
          <w:p w14:paraId="490B5686">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主观分</w:t>
            </w:r>
          </w:p>
        </w:tc>
        <w:tc>
          <w:tcPr>
            <w:tcW w:w="1084" w:type="dxa"/>
            <w:vMerge w:val="continue"/>
            <w:tcBorders>
              <w:tl2br w:val="nil"/>
              <w:tr2bl w:val="nil"/>
            </w:tcBorders>
            <w:vAlign w:val="center"/>
          </w:tcPr>
          <w:p w14:paraId="2B5CA414">
            <w:pPr>
              <w:spacing w:line="360" w:lineRule="auto"/>
              <w:jc w:val="center"/>
              <w:rPr>
                <w:rFonts w:ascii="宋体" w:hAnsi="宋体" w:cs="宋体"/>
                <w:color w:val="auto"/>
                <w:szCs w:val="21"/>
                <w:highlight w:val="none"/>
              </w:rPr>
            </w:pPr>
          </w:p>
        </w:tc>
      </w:tr>
      <w:tr w14:paraId="3D0B7DC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764" w:type="dxa"/>
            <w:vMerge w:val="continue"/>
            <w:tcBorders>
              <w:tl2br w:val="nil"/>
              <w:tr2bl w:val="nil"/>
            </w:tcBorders>
            <w:vAlign w:val="center"/>
          </w:tcPr>
          <w:p w14:paraId="3016D815">
            <w:pPr>
              <w:spacing w:line="360" w:lineRule="auto"/>
              <w:jc w:val="center"/>
              <w:rPr>
                <w:rFonts w:ascii="宋体" w:hAnsi="宋体" w:cs="宋体"/>
                <w:color w:val="auto"/>
                <w:szCs w:val="21"/>
                <w:highlight w:val="none"/>
              </w:rPr>
            </w:pPr>
          </w:p>
        </w:tc>
        <w:tc>
          <w:tcPr>
            <w:tcW w:w="6086" w:type="dxa"/>
            <w:tcBorders>
              <w:tl2br w:val="nil"/>
              <w:tr2bl w:val="nil"/>
            </w:tcBorders>
            <w:vAlign w:val="center"/>
          </w:tcPr>
          <w:p w14:paraId="13EA0EC3">
            <w:pPr>
              <w:widowControl/>
              <w:spacing w:line="360" w:lineRule="auto"/>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对AI余杭政务业务智能助手模块的建设内容进行方案设计和产品功能描述。内容全面、针对性强得</w:t>
            </w:r>
            <w:r>
              <w:rPr>
                <w:rFonts w:hint="eastAsia" w:ascii="宋体" w:hAnsi="宋体" w:cs="宋体"/>
                <w:color w:val="auto"/>
                <w:kern w:val="0"/>
                <w:szCs w:val="21"/>
                <w:highlight w:val="none"/>
                <w:lang w:val="en-US" w:eastAsia="zh-CN" w:bidi="ar"/>
              </w:rPr>
              <w:t>4</w:t>
            </w:r>
            <w:r>
              <w:rPr>
                <w:rFonts w:hint="eastAsia" w:ascii="宋体" w:hAnsi="宋体" w:cs="宋体"/>
                <w:color w:val="auto"/>
                <w:kern w:val="0"/>
                <w:szCs w:val="21"/>
                <w:highlight w:val="none"/>
                <w:lang w:bidi="ar"/>
              </w:rPr>
              <w:t>分；</w:t>
            </w:r>
            <w:r>
              <w:rPr>
                <w:rFonts w:hint="eastAsia"/>
                <w:color w:val="auto"/>
                <w:highlight w:val="none"/>
              </w:rPr>
              <w:t>其他情形按</w:t>
            </w:r>
            <w:r>
              <w:rPr>
                <w:rFonts w:hint="eastAsia"/>
                <w:color w:val="auto"/>
                <w:highlight w:val="none"/>
                <w:lang w:val="en-US" w:eastAsia="zh-CN"/>
              </w:rPr>
              <w:t>3分、</w:t>
            </w:r>
            <w:r>
              <w:rPr>
                <w:rFonts w:hint="eastAsia"/>
                <w:color w:val="auto"/>
                <w:highlight w:val="none"/>
              </w:rPr>
              <w:t>2分、1分计分；内容未提供的不得分。</w:t>
            </w:r>
          </w:p>
        </w:tc>
        <w:tc>
          <w:tcPr>
            <w:tcW w:w="829" w:type="dxa"/>
            <w:tcBorders>
              <w:tl2br w:val="nil"/>
              <w:tr2bl w:val="nil"/>
            </w:tcBorders>
            <w:vAlign w:val="center"/>
          </w:tcPr>
          <w:p w14:paraId="51FD144E">
            <w:pPr>
              <w:widowControl/>
              <w:spacing w:line="360" w:lineRule="auto"/>
              <w:jc w:val="center"/>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val="en-US" w:eastAsia="zh-CN" w:bidi="ar"/>
              </w:rPr>
              <w:t>4</w:t>
            </w:r>
          </w:p>
        </w:tc>
        <w:tc>
          <w:tcPr>
            <w:tcW w:w="1028" w:type="dxa"/>
            <w:tcBorders>
              <w:tl2br w:val="nil"/>
              <w:tr2bl w:val="nil"/>
            </w:tcBorders>
            <w:vAlign w:val="center"/>
          </w:tcPr>
          <w:p w14:paraId="5F6F4DC0">
            <w:pPr>
              <w:widowControl/>
              <w:spacing w:line="360" w:lineRule="auto"/>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主观分</w:t>
            </w:r>
          </w:p>
        </w:tc>
        <w:tc>
          <w:tcPr>
            <w:tcW w:w="1084" w:type="dxa"/>
            <w:vMerge w:val="continue"/>
            <w:tcBorders>
              <w:tl2br w:val="nil"/>
              <w:tr2bl w:val="nil"/>
            </w:tcBorders>
            <w:vAlign w:val="center"/>
          </w:tcPr>
          <w:p w14:paraId="4301E8CE">
            <w:pPr>
              <w:spacing w:line="360" w:lineRule="auto"/>
              <w:jc w:val="center"/>
              <w:rPr>
                <w:rFonts w:ascii="宋体" w:hAnsi="宋体" w:cs="宋体"/>
                <w:color w:val="auto"/>
                <w:szCs w:val="21"/>
                <w:highlight w:val="none"/>
              </w:rPr>
            </w:pPr>
          </w:p>
        </w:tc>
      </w:tr>
      <w:tr w14:paraId="15AD382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764" w:type="dxa"/>
            <w:vMerge w:val="continue"/>
            <w:tcBorders>
              <w:tl2br w:val="nil"/>
              <w:tr2bl w:val="nil"/>
            </w:tcBorders>
            <w:vAlign w:val="center"/>
          </w:tcPr>
          <w:p w14:paraId="37D5A081">
            <w:pPr>
              <w:spacing w:line="360" w:lineRule="auto"/>
              <w:jc w:val="center"/>
              <w:rPr>
                <w:rFonts w:ascii="宋体" w:hAnsi="宋体" w:cs="宋体"/>
                <w:color w:val="auto"/>
                <w:szCs w:val="21"/>
                <w:highlight w:val="none"/>
              </w:rPr>
            </w:pPr>
          </w:p>
        </w:tc>
        <w:tc>
          <w:tcPr>
            <w:tcW w:w="6086" w:type="dxa"/>
            <w:tcBorders>
              <w:tl2br w:val="nil"/>
              <w:tr2bl w:val="nil"/>
            </w:tcBorders>
            <w:vAlign w:val="center"/>
          </w:tcPr>
          <w:p w14:paraId="0F008BE4">
            <w:pPr>
              <w:widowControl/>
              <w:spacing w:line="360" w:lineRule="auto"/>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对智能辅助创作平台模块的建设内容进行方案设计和产品功能描述。内容全面、针对性强得</w:t>
            </w:r>
            <w:r>
              <w:rPr>
                <w:rFonts w:hint="eastAsia" w:ascii="宋体" w:hAnsi="宋体" w:cs="宋体"/>
                <w:color w:val="auto"/>
                <w:kern w:val="0"/>
                <w:szCs w:val="21"/>
                <w:highlight w:val="none"/>
                <w:lang w:val="en-US" w:eastAsia="zh-CN" w:bidi="ar"/>
              </w:rPr>
              <w:t>4</w:t>
            </w:r>
            <w:r>
              <w:rPr>
                <w:rFonts w:hint="eastAsia" w:ascii="宋体" w:hAnsi="宋体" w:cs="宋体"/>
                <w:color w:val="auto"/>
                <w:kern w:val="0"/>
                <w:szCs w:val="21"/>
                <w:highlight w:val="none"/>
                <w:lang w:bidi="ar"/>
              </w:rPr>
              <w:t>分；</w:t>
            </w:r>
            <w:r>
              <w:rPr>
                <w:rFonts w:hint="eastAsia"/>
                <w:color w:val="auto"/>
                <w:highlight w:val="none"/>
              </w:rPr>
              <w:t>其他情形按</w:t>
            </w:r>
            <w:r>
              <w:rPr>
                <w:rFonts w:hint="eastAsia"/>
                <w:color w:val="auto"/>
                <w:highlight w:val="none"/>
                <w:lang w:val="en-US" w:eastAsia="zh-CN"/>
              </w:rPr>
              <w:t>3分、</w:t>
            </w:r>
            <w:r>
              <w:rPr>
                <w:rFonts w:hint="eastAsia"/>
                <w:color w:val="auto"/>
                <w:highlight w:val="none"/>
              </w:rPr>
              <w:t>2分、1分计分；内容未提供的不得分。</w:t>
            </w:r>
          </w:p>
        </w:tc>
        <w:tc>
          <w:tcPr>
            <w:tcW w:w="829" w:type="dxa"/>
            <w:tcBorders>
              <w:tl2br w:val="nil"/>
              <w:tr2bl w:val="nil"/>
            </w:tcBorders>
            <w:vAlign w:val="center"/>
          </w:tcPr>
          <w:p w14:paraId="68DEA53B">
            <w:pPr>
              <w:widowControl/>
              <w:spacing w:line="360" w:lineRule="auto"/>
              <w:jc w:val="center"/>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val="en-US" w:eastAsia="zh-CN" w:bidi="ar"/>
              </w:rPr>
              <w:t>4</w:t>
            </w:r>
          </w:p>
        </w:tc>
        <w:tc>
          <w:tcPr>
            <w:tcW w:w="1028" w:type="dxa"/>
            <w:tcBorders>
              <w:tl2br w:val="nil"/>
              <w:tr2bl w:val="nil"/>
            </w:tcBorders>
            <w:vAlign w:val="center"/>
          </w:tcPr>
          <w:p w14:paraId="30A846D5">
            <w:pPr>
              <w:widowControl/>
              <w:spacing w:line="360" w:lineRule="auto"/>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主观分</w:t>
            </w:r>
          </w:p>
        </w:tc>
        <w:tc>
          <w:tcPr>
            <w:tcW w:w="1084" w:type="dxa"/>
            <w:vMerge w:val="continue"/>
            <w:tcBorders>
              <w:tl2br w:val="nil"/>
              <w:tr2bl w:val="nil"/>
            </w:tcBorders>
            <w:vAlign w:val="center"/>
          </w:tcPr>
          <w:p w14:paraId="469850C1">
            <w:pPr>
              <w:spacing w:line="360" w:lineRule="auto"/>
              <w:jc w:val="center"/>
              <w:rPr>
                <w:rFonts w:ascii="宋体" w:hAnsi="宋体" w:cs="宋体"/>
                <w:color w:val="auto"/>
                <w:szCs w:val="21"/>
                <w:highlight w:val="none"/>
              </w:rPr>
            </w:pPr>
          </w:p>
        </w:tc>
      </w:tr>
      <w:tr w14:paraId="7B0EF3C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764" w:type="dxa"/>
            <w:vMerge w:val="continue"/>
            <w:tcBorders>
              <w:tl2br w:val="nil"/>
              <w:tr2bl w:val="nil"/>
            </w:tcBorders>
            <w:vAlign w:val="center"/>
          </w:tcPr>
          <w:p w14:paraId="5B1DB9A2">
            <w:pPr>
              <w:spacing w:line="360" w:lineRule="auto"/>
              <w:jc w:val="center"/>
              <w:rPr>
                <w:rFonts w:ascii="宋体" w:hAnsi="宋体" w:cs="宋体"/>
                <w:color w:val="auto"/>
                <w:szCs w:val="21"/>
                <w:highlight w:val="none"/>
              </w:rPr>
            </w:pPr>
          </w:p>
        </w:tc>
        <w:tc>
          <w:tcPr>
            <w:tcW w:w="6086" w:type="dxa"/>
            <w:tcBorders>
              <w:tl2br w:val="nil"/>
              <w:tr2bl w:val="nil"/>
            </w:tcBorders>
            <w:vAlign w:val="center"/>
          </w:tcPr>
          <w:p w14:paraId="2B6569E5">
            <w:pPr>
              <w:widowControl/>
              <w:spacing w:line="360" w:lineRule="auto"/>
              <w:jc w:val="left"/>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对智慧办公场景应用模块的建设内容进行方案设计和产品功能描述。内容全面、针对性强得</w:t>
            </w:r>
            <w:r>
              <w:rPr>
                <w:rFonts w:hint="eastAsia" w:ascii="宋体" w:hAnsi="宋体" w:cs="宋体"/>
                <w:b w:val="0"/>
                <w:bCs w:val="0"/>
                <w:color w:val="auto"/>
                <w:kern w:val="0"/>
                <w:sz w:val="21"/>
                <w:szCs w:val="21"/>
                <w:highlight w:val="none"/>
                <w:lang w:val="en-US" w:eastAsia="zh-CN"/>
              </w:rPr>
              <w:t>4</w:t>
            </w:r>
            <w:r>
              <w:rPr>
                <w:rFonts w:hint="eastAsia" w:ascii="宋体" w:hAnsi="宋体" w:eastAsia="宋体" w:cs="宋体"/>
                <w:b w:val="0"/>
                <w:bCs w:val="0"/>
                <w:color w:val="auto"/>
                <w:kern w:val="0"/>
                <w:sz w:val="21"/>
                <w:szCs w:val="21"/>
                <w:highlight w:val="none"/>
                <w:lang w:val="en-US" w:eastAsia="zh-CN"/>
              </w:rPr>
              <w:t>分；其他情形按</w:t>
            </w:r>
            <w:r>
              <w:rPr>
                <w:rFonts w:hint="eastAsia" w:ascii="宋体" w:hAnsi="宋体" w:cs="宋体"/>
                <w:b w:val="0"/>
                <w:bCs w:val="0"/>
                <w:color w:val="auto"/>
                <w:kern w:val="0"/>
                <w:sz w:val="21"/>
                <w:szCs w:val="21"/>
                <w:highlight w:val="none"/>
                <w:lang w:val="en-US" w:eastAsia="zh-CN"/>
              </w:rPr>
              <w:t>3分、</w:t>
            </w:r>
            <w:r>
              <w:rPr>
                <w:rFonts w:hint="eastAsia" w:ascii="宋体" w:hAnsi="宋体" w:eastAsia="宋体" w:cs="宋体"/>
                <w:b w:val="0"/>
                <w:bCs w:val="0"/>
                <w:color w:val="auto"/>
                <w:kern w:val="0"/>
                <w:sz w:val="21"/>
                <w:szCs w:val="21"/>
                <w:highlight w:val="none"/>
                <w:lang w:val="en-US" w:eastAsia="zh-CN"/>
              </w:rPr>
              <w:t>2分、1分计分；内容未提供的不得分。</w:t>
            </w:r>
          </w:p>
        </w:tc>
        <w:tc>
          <w:tcPr>
            <w:tcW w:w="829" w:type="dxa"/>
            <w:tcBorders>
              <w:tl2br w:val="nil"/>
              <w:tr2bl w:val="nil"/>
            </w:tcBorders>
            <w:vAlign w:val="center"/>
          </w:tcPr>
          <w:p w14:paraId="4802FB3B">
            <w:pPr>
              <w:widowControl/>
              <w:spacing w:line="360" w:lineRule="auto"/>
              <w:jc w:val="center"/>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val="en-US" w:eastAsia="zh-CN" w:bidi="ar"/>
              </w:rPr>
              <w:t>4</w:t>
            </w:r>
          </w:p>
        </w:tc>
        <w:tc>
          <w:tcPr>
            <w:tcW w:w="1028" w:type="dxa"/>
            <w:tcBorders>
              <w:tl2br w:val="nil"/>
              <w:tr2bl w:val="nil"/>
            </w:tcBorders>
            <w:vAlign w:val="center"/>
          </w:tcPr>
          <w:p w14:paraId="4AB7ECE1">
            <w:pPr>
              <w:widowControl/>
              <w:spacing w:line="360" w:lineRule="auto"/>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主观分</w:t>
            </w:r>
          </w:p>
        </w:tc>
        <w:tc>
          <w:tcPr>
            <w:tcW w:w="1084" w:type="dxa"/>
            <w:vMerge w:val="continue"/>
            <w:tcBorders>
              <w:tl2br w:val="nil"/>
              <w:tr2bl w:val="nil"/>
            </w:tcBorders>
            <w:vAlign w:val="center"/>
          </w:tcPr>
          <w:p w14:paraId="3E250029">
            <w:pPr>
              <w:spacing w:line="360" w:lineRule="auto"/>
              <w:jc w:val="center"/>
              <w:rPr>
                <w:rFonts w:ascii="宋体" w:hAnsi="宋体" w:cs="宋体"/>
                <w:color w:val="auto"/>
                <w:szCs w:val="21"/>
                <w:highlight w:val="none"/>
              </w:rPr>
            </w:pPr>
          </w:p>
        </w:tc>
      </w:tr>
      <w:tr w14:paraId="09FF401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972" w:hRule="atLeast"/>
        </w:trPr>
        <w:tc>
          <w:tcPr>
            <w:tcW w:w="764" w:type="dxa"/>
            <w:tcBorders>
              <w:tl2br w:val="nil"/>
              <w:tr2bl w:val="nil"/>
            </w:tcBorders>
            <w:vAlign w:val="center"/>
          </w:tcPr>
          <w:p w14:paraId="4B7F089D">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szCs w:val="21"/>
                <w:highlight w:val="none"/>
              </w:rPr>
              <w:t>需求符合性</w:t>
            </w:r>
          </w:p>
        </w:tc>
        <w:tc>
          <w:tcPr>
            <w:tcW w:w="6086" w:type="dxa"/>
            <w:tcBorders>
              <w:tl2br w:val="nil"/>
              <w:tr2bl w:val="nil"/>
            </w:tcBorders>
            <w:vAlign w:val="center"/>
          </w:tcPr>
          <w:p w14:paraId="77F54898">
            <w:pPr>
              <w:widowControl/>
              <w:spacing w:line="360" w:lineRule="auto"/>
              <w:jc w:val="left"/>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对</w:t>
            </w:r>
            <w:r>
              <w:rPr>
                <w:rFonts w:hint="eastAsia" w:ascii="宋体" w:hAnsi="宋体" w:eastAsia="宋体" w:cs="宋体"/>
                <w:b w:val="0"/>
                <w:bCs w:val="0"/>
                <w:color w:val="auto"/>
                <w:kern w:val="0"/>
                <w:sz w:val="21"/>
                <w:szCs w:val="21"/>
                <w:highlight w:val="none"/>
              </w:rPr>
              <w:t>招标文件第三部分 采购需求</w:t>
            </w:r>
            <w:r>
              <w:rPr>
                <w:rFonts w:hint="eastAsia" w:ascii="宋体" w:hAnsi="宋体" w:eastAsia="宋体" w:cs="宋体"/>
                <w:b w:val="0"/>
                <w:bCs w:val="0"/>
                <w:color w:val="auto"/>
                <w:kern w:val="0"/>
                <w:sz w:val="21"/>
                <w:szCs w:val="21"/>
                <w:highlight w:val="none"/>
                <w:lang w:val="en-US" w:eastAsia="zh-CN"/>
              </w:rPr>
              <w:t>中</w:t>
            </w: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lang w:val="en-US" w:eastAsia="zh-CN"/>
              </w:rPr>
              <w:t>二、</w:t>
            </w:r>
            <w:r>
              <w:rPr>
                <w:rFonts w:hint="eastAsia" w:ascii="宋体" w:hAnsi="宋体" w:eastAsia="宋体" w:cs="宋体"/>
                <w:b w:val="0"/>
                <w:bCs w:val="0"/>
                <w:color w:val="auto"/>
                <w:kern w:val="0"/>
                <w:sz w:val="21"/>
                <w:szCs w:val="21"/>
                <w:highlight w:val="none"/>
                <w:lang w:eastAsia="zh-CN"/>
              </w:rPr>
              <w:t>模型底座”</w:t>
            </w:r>
            <w:r>
              <w:rPr>
                <w:rFonts w:hint="eastAsia" w:ascii="宋体" w:hAnsi="宋体" w:cs="宋体"/>
                <w:b w:val="0"/>
                <w:bCs w:val="0"/>
                <w:color w:val="auto"/>
                <w:kern w:val="0"/>
                <w:sz w:val="21"/>
                <w:szCs w:val="21"/>
                <w:highlight w:val="none"/>
                <w:lang w:val="en-US" w:eastAsia="zh-CN"/>
              </w:rPr>
              <w:t>和</w:t>
            </w: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lang w:val="en-US" w:eastAsia="zh-CN"/>
              </w:rPr>
              <w:t>三、大模型业务支撑平台</w:t>
            </w:r>
            <w:r>
              <w:rPr>
                <w:rFonts w:hint="eastAsia" w:ascii="宋体" w:hAnsi="宋体" w:eastAsia="宋体" w:cs="宋体"/>
                <w:b w:val="0"/>
                <w:bCs w:val="0"/>
                <w:color w:val="auto"/>
                <w:kern w:val="0"/>
                <w:sz w:val="21"/>
                <w:szCs w:val="21"/>
                <w:highlight w:val="none"/>
                <w:lang w:eastAsia="zh-CN"/>
              </w:rPr>
              <w:t>”</w:t>
            </w:r>
            <w:r>
              <w:rPr>
                <w:rFonts w:hint="eastAsia" w:ascii="宋体" w:hAnsi="宋体" w:cs="宋体"/>
                <w:b w:val="0"/>
                <w:bCs w:val="0"/>
                <w:color w:val="auto"/>
                <w:kern w:val="0"/>
                <w:sz w:val="21"/>
                <w:szCs w:val="21"/>
                <w:highlight w:val="none"/>
                <w:lang w:val="en-US" w:eastAsia="zh-CN"/>
              </w:rPr>
              <w:t>及</w:t>
            </w:r>
            <w:r>
              <w:rPr>
                <w:rFonts w:hint="eastAsia" w:ascii="宋体" w:hAnsi="宋体" w:eastAsia="宋体" w:cs="宋体"/>
                <w:b w:val="0"/>
                <w:bCs w:val="0"/>
                <w:color w:val="auto"/>
                <w:kern w:val="0"/>
                <w:sz w:val="21"/>
                <w:szCs w:val="21"/>
                <w:highlight w:val="none"/>
                <w:lang w:eastAsia="zh-CN"/>
              </w:rPr>
              <w:t>“</w:t>
            </w:r>
            <w:r>
              <w:rPr>
                <w:rFonts w:hint="eastAsia" w:ascii="宋体" w:hAnsi="宋体" w:cs="宋体"/>
                <w:b w:val="0"/>
                <w:bCs w:val="0"/>
                <w:color w:val="auto"/>
                <w:kern w:val="0"/>
                <w:sz w:val="21"/>
                <w:szCs w:val="21"/>
                <w:highlight w:val="none"/>
                <w:lang w:val="en-US" w:eastAsia="zh-CN"/>
              </w:rPr>
              <w:t>四</w:t>
            </w:r>
            <w:r>
              <w:rPr>
                <w:rFonts w:hint="eastAsia" w:ascii="宋体" w:hAnsi="宋体" w:eastAsia="宋体" w:cs="宋体"/>
                <w:b w:val="0"/>
                <w:bCs w:val="0"/>
                <w:color w:val="auto"/>
                <w:kern w:val="0"/>
                <w:sz w:val="21"/>
                <w:szCs w:val="21"/>
                <w:highlight w:val="none"/>
                <w:lang w:val="en-US" w:eastAsia="zh-CN"/>
              </w:rPr>
              <w:t>、智慧化场景应用层</w:t>
            </w: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rPr>
              <w:t>的</w:t>
            </w:r>
            <w:r>
              <w:rPr>
                <w:rFonts w:hint="eastAsia" w:ascii="宋体" w:hAnsi="宋体" w:eastAsia="宋体" w:cs="宋体"/>
                <w:b w:val="0"/>
                <w:bCs w:val="0"/>
                <w:color w:val="auto"/>
                <w:kern w:val="0"/>
                <w:sz w:val="21"/>
                <w:szCs w:val="21"/>
                <w:highlight w:val="none"/>
                <w:lang w:val="en-US" w:eastAsia="zh-CN"/>
              </w:rPr>
              <w:t>符合性情况进行评分：</w:t>
            </w:r>
          </w:p>
          <w:p w14:paraId="343B6EB8">
            <w:pPr>
              <w:widowControl/>
              <w:spacing w:line="360" w:lineRule="auto"/>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1.</w:t>
            </w:r>
            <w:r>
              <w:rPr>
                <w:rFonts w:hint="eastAsia" w:ascii="宋体" w:hAnsi="宋体" w:cs="宋体"/>
                <w:color w:val="auto"/>
                <w:kern w:val="0"/>
                <w:szCs w:val="21"/>
                <w:highlight w:val="none"/>
                <w:lang w:bidi="ar"/>
              </w:rPr>
              <w:t>普通技术指标负偏离每一项减1分，扣完为止；</w:t>
            </w:r>
          </w:p>
          <w:p w14:paraId="4D11F0E1">
            <w:pPr>
              <w:widowControl/>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val="en-US" w:eastAsia="zh-CN" w:bidi="ar"/>
              </w:rPr>
              <w:t>2.</w:t>
            </w:r>
            <w:r>
              <w:rPr>
                <w:rFonts w:hint="eastAsia" w:ascii="宋体" w:hAnsi="宋体" w:cs="宋体"/>
                <w:color w:val="auto"/>
                <w:kern w:val="0"/>
                <w:szCs w:val="21"/>
                <w:highlight w:val="none"/>
                <w:lang w:bidi="ar"/>
              </w:rPr>
              <w:t>标“★”项重要技术指标负偏离每一项扣减2分（投标时提供系统截图，未提供或提供资料不符合要求视为偏离）</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扣完为止。</w:t>
            </w:r>
          </w:p>
        </w:tc>
        <w:tc>
          <w:tcPr>
            <w:tcW w:w="829" w:type="dxa"/>
            <w:tcBorders>
              <w:tl2br w:val="nil"/>
              <w:tr2bl w:val="nil"/>
            </w:tcBorders>
            <w:vAlign w:val="center"/>
          </w:tcPr>
          <w:p w14:paraId="581464A3">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val="en-US" w:eastAsia="zh-CN" w:bidi="ar"/>
              </w:rPr>
              <w:t>4</w:t>
            </w:r>
          </w:p>
        </w:tc>
        <w:tc>
          <w:tcPr>
            <w:tcW w:w="1028" w:type="dxa"/>
            <w:tcBorders>
              <w:tl2br w:val="nil"/>
              <w:tr2bl w:val="nil"/>
            </w:tcBorders>
            <w:vAlign w:val="center"/>
          </w:tcPr>
          <w:p w14:paraId="18B9FB8C">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客观分</w:t>
            </w:r>
          </w:p>
        </w:tc>
        <w:tc>
          <w:tcPr>
            <w:tcW w:w="1084" w:type="dxa"/>
            <w:vMerge w:val="continue"/>
            <w:tcBorders>
              <w:tl2br w:val="nil"/>
              <w:tr2bl w:val="nil"/>
            </w:tcBorders>
            <w:vAlign w:val="center"/>
          </w:tcPr>
          <w:p w14:paraId="251F1689">
            <w:pPr>
              <w:widowControl/>
              <w:spacing w:line="360" w:lineRule="auto"/>
              <w:jc w:val="center"/>
              <w:textAlignment w:val="center"/>
              <w:rPr>
                <w:rFonts w:ascii="宋体" w:hAnsi="宋体" w:cs="宋体"/>
                <w:color w:val="auto"/>
                <w:szCs w:val="21"/>
                <w:highlight w:val="none"/>
              </w:rPr>
            </w:pPr>
          </w:p>
        </w:tc>
      </w:tr>
      <w:tr w14:paraId="2900C83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630" w:hRule="atLeast"/>
        </w:trPr>
        <w:tc>
          <w:tcPr>
            <w:tcW w:w="764" w:type="dxa"/>
            <w:vMerge w:val="restart"/>
            <w:tcBorders>
              <w:tl2br w:val="nil"/>
              <w:tr2bl w:val="nil"/>
            </w:tcBorders>
            <w:vAlign w:val="center"/>
          </w:tcPr>
          <w:p w14:paraId="2B09F78F">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szCs w:val="21"/>
                <w:highlight w:val="none"/>
              </w:rPr>
              <w:t>售后服务</w:t>
            </w:r>
          </w:p>
        </w:tc>
        <w:tc>
          <w:tcPr>
            <w:tcW w:w="6086" w:type="dxa"/>
            <w:tcBorders>
              <w:tl2br w:val="nil"/>
              <w:tr2bl w:val="nil"/>
            </w:tcBorders>
            <w:vAlign w:val="center"/>
          </w:tcPr>
          <w:p w14:paraId="3F58D957">
            <w:pPr>
              <w:widowControl/>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提供项目售后的详细服务方案，包括在售后维保期间的应急服务、服务方式、系统升级等内容。主要针对售后服务措施、系统维护服务、响应时间等方面进行评分。</w:t>
            </w:r>
            <w:r>
              <w:rPr>
                <w:rFonts w:hint="eastAsia" w:ascii="宋体" w:hAnsi="宋体" w:cs="宋体"/>
                <w:color w:val="auto"/>
                <w:kern w:val="0"/>
                <w:szCs w:val="21"/>
                <w:highlight w:val="none"/>
              </w:rPr>
              <w:t>内容详细，科学合理，逻辑缜密，具有针对性的</w:t>
            </w:r>
            <w:r>
              <w:rPr>
                <w:color w:val="auto"/>
                <w:highlight w:val="none"/>
              </w:rPr>
              <w:t>得</w:t>
            </w:r>
            <w:r>
              <w:rPr>
                <w:rFonts w:hint="eastAsia"/>
                <w:color w:val="auto"/>
                <w:highlight w:val="none"/>
              </w:rPr>
              <w:t>5</w:t>
            </w:r>
            <w:r>
              <w:rPr>
                <w:color w:val="auto"/>
                <w:highlight w:val="none"/>
              </w:rPr>
              <w:t>分</w:t>
            </w:r>
            <w:r>
              <w:rPr>
                <w:rFonts w:hint="eastAsia"/>
                <w:color w:val="auto"/>
                <w:highlight w:val="none"/>
              </w:rPr>
              <w:t>；其他情形按4分、3分、2分、1分计分；内容未提供的不得分。</w:t>
            </w:r>
          </w:p>
        </w:tc>
        <w:tc>
          <w:tcPr>
            <w:tcW w:w="829" w:type="dxa"/>
            <w:tcBorders>
              <w:tl2br w:val="nil"/>
              <w:tr2bl w:val="nil"/>
            </w:tcBorders>
            <w:vAlign w:val="center"/>
          </w:tcPr>
          <w:p w14:paraId="2E6F1AF7">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w:t>
            </w:r>
          </w:p>
        </w:tc>
        <w:tc>
          <w:tcPr>
            <w:tcW w:w="1028" w:type="dxa"/>
            <w:tcBorders>
              <w:tl2br w:val="nil"/>
              <w:tr2bl w:val="nil"/>
            </w:tcBorders>
            <w:vAlign w:val="center"/>
          </w:tcPr>
          <w:p w14:paraId="30058991">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主观分</w:t>
            </w:r>
          </w:p>
        </w:tc>
        <w:tc>
          <w:tcPr>
            <w:tcW w:w="1084" w:type="dxa"/>
            <w:vMerge w:val="restart"/>
            <w:tcBorders>
              <w:tl2br w:val="nil"/>
              <w:tr2bl w:val="nil"/>
            </w:tcBorders>
            <w:vAlign w:val="center"/>
          </w:tcPr>
          <w:p w14:paraId="6BC4AEDA">
            <w:pPr>
              <w:widowControl/>
              <w:spacing w:line="360" w:lineRule="auto"/>
              <w:jc w:val="center"/>
              <w:textAlignment w:val="center"/>
              <w:rPr>
                <w:rFonts w:ascii="宋体" w:hAnsi="宋体" w:cs="宋体"/>
                <w:color w:val="auto"/>
                <w:szCs w:val="21"/>
                <w:highlight w:val="none"/>
              </w:rPr>
            </w:pPr>
          </w:p>
        </w:tc>
      </w:tr>
      <w:tr w14:paraId="20E09F1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764" w:type="dxa"/>
            <w:vMerge w:val="continue"/>
            <w:tcBorders>
              <w:bottom w:val="single" w:color="auto" w:sz="4" w:space="0"/>
              <w:tl2br w:val="nil"/>
              <w:tr2bl w:val="nil"/>
            </w:tcBorders>
            <w:vAlign w:val="center"/>
          </w:tcPr>
          <w:p w14:paraId="530B4053">
            <w:pPr>
              <w:widowControl/>
              <w:spacing w:line="360" w:lineRule="auto"/>
              <w:jc w:val="center"/>
              <w:textAlignment w:val="center"/>
              <w:rPr>
                <w:rFonts w:ascii="宋体" w:hAnsi="宋体" w:cs="宋体"/>
                <w:color w:val="auto"/>
                <w:kern w:val="0"/>
                <w:szCs w:val="21"/>
                <w:highlight w:val="none"/>
                <w:lang w:bidi="ar"/>
              </w:rPr>
            </w:pPr>
          </w:p>
        </w:tc>
        <w:tc>
          <w:tcPr>
            <w:tcW w:w="6086" w:type="dxa"/>
            <w:tcBorders>
              <w:tl2br w:val="nil"/>
              <w:tr2bl w:val="nil"/>
            </w:tcBorders>
            <w:vAlign w:val="center"/>
          </w:tcPr>
          <w:p w14:paraId="21B0F308">
            <w:pPr>
              <w:widowControl/>
              <w:spacing w:line="360" w:lineRule="auto"/>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对提供的质量保证措施（包括是否有明确的质量保证目标，完善的质量保证承诺措施等）进行评分。</w:t>
            </w:r>
            <w:r>
              <w:rPr>
                <w:rFonts w:hint="eastAsia" w:ascii="宋体" w:hAnsi="宋体" w:cs="宋体"/>
                <w:color w:val="auto"/>
                <w:kern w:val="0"/>
                <w:szCs w:val="21"/>
                <w:highlight w:val="none"/>
              </w:rPr>
              <w:t>内容详细，科学合理，逻辑缜密，具有针对性的</w:t>
            </w:r>
            <w:r>
              <w:rPr>
                <w:color w:val="auto"/>
                <w:highlight w:val="none"/>
              </w:rPr>
              <w:t>得</w:t>
            </w:r>
            <w:r>
              <w:rPr>
                <w:rFonts w:hint="eastAsia"/>
                <w:color w:val="auto"/>
                <w:highlight w:val="none"/>
                <w:lang w:val="en-US" w:eastAsia="zh-CN"/>
              </w:rPr>
              <w:t>5</w:t>
            </w:r>
            <w:r>
              <w:rPr>
                <w:color w:val="auto"/>
                <w:highlight w:val="none"/>
              </w:rPr>
              <w:t>分</w:t>
            </w:r>
            <w:r>
              <w:rPr>
                <w:rFonts w:hint="eastAsia"/>
                <w:color w:val="auto"/>
                <w:highlight w:val="none"/>
              </w:rPr>
              <w:t>；其他情形按</w:t>
            </w:r>
            <w:r>
              <w:rPr>
                <w:rFonts w:hint="eastAsia"/>
                <w:color w:val="auto"/>
                <w:highlight w:val="none"/>
                <w:lang w:val="en-US" w:eastAsia="zh-CN"/>
              </w:rPr>
              <w:t>4分、</w:t>
            </w:r>
            <w:r>
              <w:rPr>
                <w:rFonts w:hint="eastAsia"/>
                <w:color w:val="auto"/>
                <w:highlight w:val="none"/>
              </w:rPr>
              <w:t>3分、2分、1分计分；内容未提供的不得分。</w:t>
            </w:r>
          </w:p>
        </w:tc>
        <w:tc>
          <w:tcPr>
            <w:tcW w:w="829" w:type="dxa"/>
            <w:tcBorders>
              <w:tl2br w:val="nil"/>
              <w:tr2bl w:val="nil"/>
            </w:tcBorders>
            <w:vAlign w:val="center"/>
          </w:tcPr>
          <w:p w14:paraId="05E32339">
            <w:pPr>
              <w:widowControl/>
              <w:spacing w:line="360" w:lineRule="auto"/>
              <w:jc w:val="center"/>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val="en-US" w:eastAsia="zh-CN" w:bidi="ar"/>
              </w:rPr>
              <w:t>5</w:t>
            </w:r>
          </w:p>
        </w:tc>
        <w:tc>
          <w:tcPr>
            <w:tcW w:w="1028" w:type="dxa"/>
            <w:tcBorders>
              <w:tl2br w:val="nil"/>
              <w:tr2bl w:val="nil"/>
            </w:tcBorders>
            <w:vAlign w:val="center"/>
          </w:tcPr>
          <w:p w14:paraId="6988AD46">
            <w:pPr>
              <w:widowControl/>
              <w:spacing w:line="360" w:lineRule="auto"/>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主观分</w:t>
            </w:r>
          </w:p>
        </w:tc>
        <w:tc>
          <w:tcPr>
            <w:tcW w:w="1084" w:type="dxa"/>
            <w:vMerge w:val="continue"/>
            <w:tcBorders>
              <w:tl2br w:val="nil"/>
              <w:tr2bl w:val="nil"/>
            </w:tcBorders>
            <w:vAlign w:val="center"/>
          </w:tcPr>
          <w:p w14:paraId="3B71D200">
            <w:pPr>
              <w:widowControl/>
              <w:spacing w:line="360" w:lineRule="auto"/>
              <w:jc w:val="center"/>
              <w:textAlignment w:val="center"/>
              <w:rPr>
                <w:rFonts w:ascii="宋体" w:hAnsi="宋体" w:cs="宋体"/>
                <w:color w:val="auto"/>
                <w:kern w:val="0"/>
                <w:szCs w:val="21"/>
                <w:highlight w:val="none"/>
                <w:lang w:bidi="ar"/>
              </w:rPr>
            </w:pPr>
          </w:p>
        </w:tc>
      </w:tr>
      <w:tr w14:paraId="505E02B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64" w:type="dxa"/>
            <w:tcBorders>
              <w:tl2br w:val="nil"/>
              <w:tr2bl w:val="nil"/>
            </w:tcBorders>
            <w:vAlign w:val="center"/>
          </w:tcPr>
          <w:p w14:paraId="3C6F6C6F">
            <w:pPr>
              <w:widowControl/>
              <w:spacing w:line="360" w:lineRule="auto"/>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培训方案</w:t>
            </w:r>
          </w:p>
        </w:tc>
        <w:tc>
          <w:tcPr>
            <w:tcW w:w="6086" w:type="dxa"/>
            <w:tcBorders>
              <w:tl2br w:val="nil"/>
              <w:tr2bl w:val="nil"/>
            </w:tcBorders>
            <w:vAlign w:val="center"/>
          </w:tcPr>
          <w:p w14:paraId="3DB4A388">
            <w:pPr>
              <w:widowControl/>
              <w:spacing w:line="360" w:lineRule="auto"/>
              <w:jc w:val="left"/>
              <w:textAlignment w:val="center"/>
              <w:rPr>
                <w:rFonts w:ascii="宋体" w:hAnsi="宋体" w:cs="宋体"/>
                <w:color w:val="auto"/>
                <w:kern w:val="0"/>
                <w:szCs w:val="21"/>
                <w:highlight w:val="none"/>
                <w:lang w:bidi="ar"/>
              </w:rPr>
            </w:pPr>
            <w:r>
              <w:rPr>
                <w:rFonts w:hint="eastAsia" w:ascii="宋体" w:hAnsi="宋体" w:cs="宋体"/>
                <w:color w:val="auto"/>
                <w:highlight w:val="none"/>
              </w:rPr>
              <w:t>按照需求制定培训方案，提供完整的项目培训方案，能提供完整的培训流程、培训内容、培训质量保障。</w:t>
            </w:r>
            <w:r>
              <w:rPr>
                <w:rFonts w:hint="eastAsia" w:ascii="宋体" w:hAnsi="宋体" w:cs="宋体"/>
                <w:color w:val="auto"/>
                <w:kern w:val="0"/>
                <w:szCs w:val="21"/>
                <w:highlight w:val="none"/>
              </w:rPr>
              <w:t>内容详细，科学合理，具有针对性的</w:t>
            </w:r>
            <w:r>
              <w:rPr>
                <w:color w:val="auto"/>
                <w:highlight w:val="none"/>
              </w:rPr>
              <w:t>得</w:t>
            </w:r>
            <w:r>
              <w:rPr>
                <w:rFonts w:hint="eastAsia"/>
                <w:color w:val="auto"/>
                <w:highlight w:val="none"/>
                <w:lang w:val="en-US" w:eastAsia="zh-CN"/>
              </w:rPr>
              <w:t>3</w:t>
            </w:r>
            <w:r>
              <w:rPr>
                <w:color w:val="auto"/>
                <w:highlight w:val="none"/>
              </w:rPr>
              <w:t>分</w:t>
            </w:r>
            <w:r>
              <w:rPr>
                <w:rFonts w:hint="eastAsia"/>
                <w:color w:val="auto"/>
                <w:highlight w:val="none"/>
              </w:rPr>
              <w:t>；其他情形按2分、1分计分；内容未提供的不得分。</w:t>
            </w:r>
          </w:p>
        </w:tc>
        <w:tc>
          <w:tcPr>
            <w:tcW w:w="829" w:type="dxa"/>
            <w:tcBorders>
              <w:tl2br w:val="nil"/>
              <w:tr2bl w:val="nil"/>
            </w:tcBorders>
            <w:vAlign w:val="center"/>
          </w:tcPr>
          <w:p w14:paraId="060C6FDE">
            <w:pPr>
              <w:widowControl/>
              <w:spacing w:line="360" w:lineRule="auto"/>
              <w:jc w:val="center"/>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val="en-US" w:eastAsia="zh-CN" w:bidi="ar"/>
              </w:rPr>
              <w:t>3</w:t>
            </w:r>
          </w:p>
        </w:tc>
        <w:tc>
          <w:tcPr>
            <w:tcW w:w="1028" w:type="dxa"/>
            <w:tcBorders>
              <w:tl2br w:val="nil"/>
              <w:tr2bl w:val="nil"/>
            </w:tcBorders>
            <w:vAlign w:val="center"/>
          </w:tcPr>
          <w:p w14:paraId="3EA75E4E">
            <w:pPr>
              <w:widowControl/>
              <w:spacing w:line="360" w:lineRule="auto"/>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主观分</w:t>
            </w:r>
          </w:p>
        </w:tc>
        <w:tc>
          <w:tcPr>
            <w:tcW w:w="1084" w:type="dxa"/>
            <w:tcBorders>
              <w:bottom w:val="single" w:color="auto" w:sz="4" w:space="0"/>
              <w:tl2br w:val="nil"/>
              <w:tr2bl w:val="nil"/>
            </w:tcBorders>
            <w:vAlign w:val="center"/>
          </w:tcPr>
          <w:p w14:paraId="1A04C660">
            <w:pPr>
              <w:widowControl/>
              <w:spacing w:line="360" w:lineRule="auto"/>
              <w:jc w:val="center"/>
              <w:textAlignment w:val="center"/>
              <w:rPr>
                <w:rFonts w:ascii="宋体" w:hAnsi="宋体" w:cs="宋体"/>
                <w:color w:val="auto"/>
                <w:kern w:val="0"/>
                <w:szCs w:val="21"/>
                <w:highlight w:val="none"/>
                <w:lang w:bidi="ar"/>
              </w:rPr>
            </w:pPr>
          </w:p>
        </w:tc>
      </w:tr>
      <w:tr w14:paraId="1B6E2CB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64" w:type="dxa"/>
            <w:tcBorders>
              <w:tl2br w:val="nil"/>
              <w:tr2bl w:val="nil"/>
            </w:tcBorders>
            <w:vAlign w:val="center"/>
          </w:tcPr>
          <w:p w14:paraId="76B58FBF">
            <w:pPr>
              <w:widowControl/>
              <w:spacing w:line="360" w:lineRule="auto"/>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组织实施</w:t>
            </w:r>
          </w:p>
        </w:tc>
        <w:tc>
          <w:tcPr>
            <w:tcW w:w="6086" w:type="dxa"/>
            <w:tcBorders>
              <w:tl2br w:val="nil"/>
              <w:tr2bl w:val="nil"/>
            </w:tcBorders>
            <w:vAlign w:val="center"/>
          </w:tcPr>
          <w:p w14:paraId="7F856DC8">
            <w:pPr>
              <w:widowControl/>
              <w:spacing w:line="360" w:lineRule="auto"/>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根据提供的项目组织实施方案的科学性、合理性、规范性和可操作性进行评价打分，包括需求调研与实现、项目试运行等内容。</w:t>
            </w:r>
            <w:r>
              <w:rPr>
                <w:rFonts w:hint="eastAsia" w:ascii="宋体" w:hAnsi="宋体" w:cs="宋体"/>
                <w:color w:val="auto"/>
                <w:kern w:val="0"/>
                <w:szCs w:val="21"/>
                <w:highlight w:val="none"/>
              </w:rPr>
              <w:t>内容详细，科学合理，逻辑缜密，具有针对性的</w:t>
            </w:r>
            <w:r>
              <w:rPr>
                <w:color w:val="auto"/>
                <w:highlight w:val="none"/>
              </w:rPr>
              <w:t>得</w:t>
            </w:r>
            <w:r>
              <w:rPr>
                <w:rFonts w:hint="eastAsia"/>
                <w:color w:val="auto"/>
                <w:highlight w:val="none"/>
                <w:lang w:val="en-US" w:eastAsia="zh-CN"/>
              </w:rPr>
              <w:t>3</w:t>
            </w:r>
            <w:r>
              <w:rPr>
                <w:color w:val="auto"/>
                <w:highlight w:val="none"/>
              </w:rPr>
              <w:t>分</w:t>
            </w:r>
            <w:r>
              <w:rPr>
                <w:rFonts w:hint="eastAsia"/>
                <w:color w:val="auto"/>
                <w:highlight w:val="none"/>
              </w:rPr>
              <w:t>；其他情形按2分、1分计分；内容未提供的不得分。</w:t>
            </w:r>
          </w:p>
        </w:tc>
        <w:tc>
          <w:tcPr>
            <w:tcW w:w="829" w:type="dxa"/>
            <w:tcBorders>
              <w:tl2br w:val="nil"/>
              <w:tr2bl w:val="nil"/>
            </w:tcBorders>
            <w:vAlign w:val="center"/>
          </w:tcPr>
          <w:p w14:paraId="4788F7AE">
            <w:pPr>
              <w:widowControl/>
              <w:spacing w:line="360" w:lineRule="auto"/>
              <w:jc w:val="center"/>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val="en-US" w:eastAsia="zh-CN" w:bidi="ar"/>
              </w:rPr>
              <w:t>3</w:t>
            </w:r>
          </w:p>
        </w:tc>
        <w:tc>
          <w:tcPr>
            <w:tcW w:w="1028" w:type="dxa"/>
            <w:tcBorders>
              <w:tl2br w:val="nil"/>
              <w:tr2bl w:val="nil"/>
            </w:tcBorders>
            <w:vAlign w:val="center"/>
          </w:tcPr>
          <w:p w14:paraId="0A969019">
            <w:pPr>
              <w:widowControl/>
              <w:spacing w:line="360" w:lineRule="auto"/>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主观分</w:t>
            </w:r>
          </w:p>
        </w:tc>
        <w:tc>
          <w:tcPr>
            <w:tcW w:w="1084" w:type="dxa"/>
            <w:tcBorders>
              <w:bottom w:val="single" w:color="auto" w:sz="4" w:space="0"/>
              <w:tl2br w:val="nil"/>
              <w:tr2bl w:val="nil"/>
            </w:tcBorders>
            <w:vAlign w:val="center"/>
          </w:tcPr>
          <w:p w14:paraId="3B4D6EE0">
            <w:pPr>
              <w:widowControl/>
              <w:spacing w:line="360" w:lineRule="auto"/>
              <w:jc w:val="center"/>
              <w:textAlignment w:val="center"/>
              <w:rPr>
                <w:rFonts w:ascii="宋体" w:hAnsi="宋体" w:cs="宋体"/>
                <w:color w:val="auto"/>
                <w:kern w:val="0"/>
                <w:szCs w:val="21"/>
                <w:highlight w:val="none"/>
                <w:lang w:bidi="ar"/>
              </w:rPr>
            </w:pPr>
          </w:p>
        </w:tc>
      </w:tr>
      <w:tr w14:paraId="0A02EB7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45" w:hRule="atLeast"/>
        </w:trPr>
        <w:tc>
          <w:tcPr>
            <w:tcW w:w="764" w:type="dxa"/>
            <w:tcBorders>
              <w:tl2br w:val="nil"/>
              <w:tr2bl w:val="nil"/>
            </w:tcBorders>
            <w:vAlign w:val="center"/>
          </w:tcPr>
          <w:p w14:paraId="7480D8A7">
            <w:pPr>
              <w:widowControl/>
              <w:spacing w:line="360" w:lineRule="auto"/>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进度措施</w:t>
            </w:r>
          </w:p>
        </w:tc>
        <w:tc>
          <w:tcPr>
            <w:tcW w:w="6086" w:type="dxa"/>
            <w:tcBorders>
              <w:tl2br w:val="nil"/>
              <w:tr2bl w:val="nil"/>
            </w:tcBorders>
            <w:vAlign w:val="center"/>
          </w:tcPr>
          <w:p w14:paraId="40F25C02">
            <w:pPr>
              <w:widowControl/>
              <w:spacing w:line="360" w:lineRule="auto"/>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根据提供的项目进度安排的合理性（包括项目建设期、实施进度计划等）进行打分。</w:t>
            </w:r>
            <w:r>
              <w:rPr>
                <w:rFonts w:hint="eastAsia" w:ascii="宋体" w:hAnsi="宋体" w:cs="宋体"/>
                <w:color w:val="auto"/>
                <w:kern w:val="0"/>
                <w:szCs w:val="21"/>
                <w:highlight w:val="none"/>
              </w:rPr>
              <w:t>内容详细，科学合理，逻辑缜密，具有针对性的</w:t>
            </w:r>
            <w:r>
              <w:rPr>
                <w:color w:val="auto"/>
                <w:highlight w:val="none"/>
              </w:rPr>
              <w:t>得</w:t>
            </w:r>
            <w:r>
              <w:rPr>
                <w:rFonts w:hint="eastAsia"/>
                <w:color w:val="auto"/>
                <w:highlight w:val="none"/>
                <w:lang w:val="en-US" w:eastAsia="zh-CN"/>
              </w:rPr>
              <w:t>3</w:t>
            </w:r>
            <w:r>
              <w:rPr>
                <w:color w:val="auto"/>
                <w:highlight w:val="none"/>
              </w:rPr>
              <w:t>分</w:t>
            </w:r>
            <w:r>
              <w:rPr>
                <w:rFonts w:hint="eastAsia"/>
                <w:color w:val="auto"/>
                <w:highlight w:val="none"/>
              </w:rPr>
              <w:t>；其他情形按2分、1分计分；内容未提供的不得分。</w:t>
            </w:r>
          </w:p>
        </w:tc>
        <w:tc>
          <w:tcPr>
            <w:tcW w:w="829" w:type="dxa"/>
            <w:tcBorders>
              <w:tl2br w:val="nil"/>
              <w:tr2bl w:val="nil"/>
            </w:tcBorders>
            <w:vAlign w:val="center"/>
          </w:tcPr>
          <w:p w14:paraId="0A8BA61E">
            <w:pPr>
              <w:widowControl/>
              <w:spacing w:line="360" w:lineRule="auto"/>
              <w:jc w:val="center"/>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val="en-US" w:eastAsia="zh-CN" w:bidi="ar"/>
              </w:rPr>
              <w:t>3</w:t>
            </w:r>
          </w:p>
        </w:tc>
        <w:tc>
          <w:tcPr>
            <w:tcW w:w="1028" w:type="dxa"/>
            <w:tcBorders>
              <w:tl2br w:val="nil"/>
              <w:tr2bl w:val="nil"/>
            </w:tcBorders>
            <w:vAlign w:val="center"/>
          </w:tcPr>
          <w:p w14:paraId="45D0E22E">
            <w:pPr>
              <w:widowControl/>
              <w:spacing w:line="360" w:lineRule="auto"/>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主观分</w:t>
            </w:r>
          </w:p>
        </w:tc>
        <w:tc>
          <w:tcPr>
            <w:tcW w:w="1084" w:type="dxa"/>
            <w:tcBorders>
              <w:top w:val="single" w:color="auto" w:sz="4" w:space="0"/>
              <w:tl2br w:val="nil"/>
              <w:tr2bl w:val="nil"/>
            </w:tcBorders>
            <w:vAlign w:val="center"/>
          </w:tcPr>
          <w:p w14:paraId="79A84634">
            <w:pPr>
              <w:widowControl/>
              <w:spacing w:line="360" w:lineRule="auto"/>
              <w:jc w:val="center"/>
              <w:textAlignment w:val="center"/>
              <w:rPr>
                <w:rFonts w:ascii="宋体" w:hAnsi="宋体" w:cs="宋体"/>
                <w:color w:val="auto"/>
                <w:kern w:val="0"/>
                <w:szCs w:val="21"/>
                <w:highlight w:val="none"/>
                <w:lang w:bidi="ar"/>
              </w:rPr>
            </w:pPr>
          </w:p>
        </w:tc>
      </w:tr>
      <w:tr w14:paraId="0FAE09F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142" w:hRule="atLeast"/>
        </w:trPr>
        <w:tc>
          <w:tcPr>
            <w:tcW w:w="764" w:type="dxa"/>
            <w:tcBorders>
              <w:tl2br w:val="nil"/>
              <w:tr2bl w:val="nil"/>
            </w:tcBorders>
            <w:vAlign w:val="center"/>
          </w:tcPr>
          <w:p w14:paraId="10CAAFE2">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演示</w:t>
            </w:r>
          </w:p>
        </w:tc>
        <w:tc>
          <w:tcPr>
            <w:tcW w:w="6086" w:type="dxa"/>
            <w:tcBorders>
              <w:tl2br w:val="nil"/>
              <w:tr2bl w:val="nil"/>
            </w:tcBorders>
            <w:vAlign w:val="center"/>
          </w:tcPr>
          <w:p w14:paraId="595131CE">
            <w:pPr>
              <w:pStyle w:val="15"/>
              <w:spacing w:line="360" w:lineRule="auto"/>
              <w:ind w:firstLine="0"/>
              <w:rPr>
                <w:rFonts w:hint="eastAsia" w:ascii="宋体" w:hAnsi="宋体" w:eastAsia="宋体" w:cs="宋体"/>
                <w:snapToGrid/>
                <w:color w:val="auto"/>
                <w:kern w:val="0"/>
                <w:sz w:val="21"/>
                <w:szCs w:val="21"/>
                <w:highlight w:val="none"/>
                <w:lang w:val="en-US" w:eastAsia="zh-CN" w:bidi="ar"/>
              </w:rPr>
            </w:pPr>
            <w:r>
              <w:rPr>
                <w:rFonts w:hint="eastAsia" w:ascii="宋体" w:hAnsi="宋体" w:eastAsia="宋体" w:cs="宋体"/>
                <w:snapToGrid/>
                <w:color w:val="auto"/>
                <w:kern w:val="0"/>
                <w:sz w:val="21"/>
                <w:szCs w:val="21"/>
                <w:highlight w:val="none"/>
                <w:lang w:val="en-US" w:eastAsia="zh-CN" w:bidi="ar"/>
              </w:rPr>
              <w:t>（1）演示智能数据要素数据接入。智能数据要素数据接入提供多方系统数据源的连接管理和数据同步能力。提供数据源连接状态监控与管理能力，提供数据源连接调试预览能力，支持对多种格式的数据源的配置后预览。</w:t>
            </w:r>
          </w:p>
          <w:p w14:paraId="251010BE">
            <w:pPr>
              <w:adjustRightInd/>
              <w:spacing w:line="360" w:lineRule="auto"/>
              <w:jc w:val="left"/>
              <w:rPr>
                <w:rFonts w:hint="eastAsia" w:ascii="宋体" w:hAnsi="宋体" w:eastAsia="宋体" w:cs="宋体"/>
                <w:snapToGrid/>
                <w:color w:val="auto"/>
                <w:kern w:val="0"/>
                <w:sz w:val="21"/>
                <w:szCs w:val="21"/>
                <w:highlight w:val="none"/>
                <w:lang w:val="en-US" w:eastAsia="zh-CN" w:bidi="ar"/>
              </w:rPr>
            </w:pPr>
            <w:r>
              <w:rPr>
                <w:rFonts w:hint="eastAsia" w:ascii="宋体" w:hAnsi="宋体" w:eastAsia="宋体" w:cs="宋体"/>
                <w:snapToGrid/>
                <w:color w:val="auto"/>
                <w:kern w:val="0"/>
                <w:sz w:val="21"/>
                <w:szCs w:val="21"/>
                <w:highlight w:val="none"/>
                <w:lang w:val="en-US" w:eastAsia="zh-CN" w:bidi="ar"/>
              </w:rPr>
              <w:t>（2）演示智能应用管理。通过系统可以创建、发布智能应用，管理智能应用的入驻、上架、下架和发布，也包括智能应用基本信息（名称、图标、简介）、权限、API的管理与配置。</w:t>
            </w:r>
          </w:p>
          <w:p w14:paraId="745F17FF">
            <w:pPr>
              <w:widowControl/>
              <w:adjustRightInd/>
              <w:spacing w:line="360" w:lineRule="auto"/>
              <w:jc w:val="left"/>
              <w:textAlignment w:val="auto"/>
              <w:rPr>
                <w:rFonts w:hint="eastAsia" w:ascii="宋体" w:hAnsi="宋体" w:eastAsia="宋体" w:cs="宋体"/>
                <w:snapToGrid/>
                <w:color w:val="auto"/>
                <w:kern w:val="0"/>
                <w:sz w:val="21"/>
                <w:szCs w:val="21"/>
                <w:highlight w:val="none"/>
                <w:lang w:val="en-US" w:eastAsia="zh-CN" w:bidi="ar"/>
              </w:rPr>
            </w:pPr>
            <w:r>
              <w:rPr>
                <w:rFonts w:hint="eastAsia" w:ascii="宋体" w:hAnsi="宋体" w:eastAsia="宋体" w:cs="宋体"/>
                <w:snapToGrid/>
                <w:color w:val="auto"/>
                <w:kern w:val="0"/>
                <w:sz w:val="21"/>
                <w:szCs w:val="21"/>
                <w:highlight w:val="none"/>
                <w:lang w:val="en-US" w:eastAsia="zh-CN" w:bidi="ar"/>
              </w:rPr>
              <w:t>（3）演示智能助手搭建。通过系统可以进行智能助手的创建，包括名称、头像、能力信息、欢迎语的设置。可以进行AI技能的选择编排，并进行预览测试。</w:t>
            </w:r>
          </w:p>
          <w:p w14:paraId="7F287CB5">
            <w:pPr>
              <w:widowControl/>
              <w:adjustRightInd/>
              <w:spacing w:line="360" w:lineRule="auto"/>
              <w:jc w:val="left"/>
              <w:textAlignment w:val="auto"/>
              <w:rPr>
                <w:rFonts w:hint="eastAsia" w:ascii="宋体" w:hAnsi="宋体" w:eastAsia="宋体" w:cs="宋体"/>
                <w:snapToGrid/>
                <w:color w:val="auto"/>
                <w:kern w:val="0"/>
                <w:sz w:val="21"/>
                <w:szCs w:val="21"/>
                <w:highlight w:val="none"/>
                <w:lang w:val="en-US" w:eastAsia="zh-CN" w:bidi="ar"/>
              </w:rPr>
            </w:pPr>
            <w:r>
              <w:rPr>
                <w:rFonts w:hint="eastAsia" w:ascii="宋体" w:hAnsi="宋体" w:eastAsia="宋体" w:cs="宋体"/>
                <w:snapToGrid/>
                <w:color w:val="auto"/>
                <w:kern w:val="0"/>
                <w:sz w:val="21"/>
                <w:szCs w:val="21"/>
                <w:highlight w:val="none"/>
                <w:lang w:val="en-US" w:eastAsia="zh-CN" w:bidi="ar"/>
              </w:rPr>
              <w:t>（4）演示智能助手技能中心。通过系统可以进行问答技能、接口技能、工作流技能的创建编排，可以进行提示词的设置、安全内容审查设置、模型选择、知识集的挂载以及技能的调试，可以查看AI技能运行的历史日志。</w:t>
            </w:r>
          </w:p>
          <w:p w14:paraId="4F451B52">
            <w:pPr>
              <w:widowControl/>
              <w:adjustRightInd/>
              <w:spacing w:line="360" w:lineRule="auto"/>
              <w:jc w:val="left"/>
              <w:textAlignment w:val="auto"/>
              <w:rPr>
                <w:rFonts w:hint="eastAsia" w:ascii="宋体" w:hAnsi="宋体" w:eastAsia="宋体" w:cs="宋体"/>
                <w:snapToGrid/>
                <w:color w:val="auto"/>
                <w:kern w:val="0"/>
                <w:sz w:val="21"/>
                <w:szCs w:val="21"/>
                <w:highlight w:val="none"/>
                <w:lang w:val="en-US" w:eastAsia="zh-CN" w:bidi="ar"/>
              </w:rPr>
            </w:pPr>
            <w:r>
              <w:rPr>
                <w:rFonts w:hint="eastAsia" w:ascii="宋体" w:hAnsi="宋体" w:eastAsia="宋体" w:cs="宋体"/>
                <w:snapToGrid/>
                <w:color w:val="auto"/>
                <w:kern w:val="0"/>
                <w:sz w:val="21"/>
                <w:szCs w:val="21"/>
                <w:highlight w:val="none"/>
                <w:lang w:val="en-US" w:eastAsia="zh-CN" w:bidi="ar"/>
              </w:rPr>
              <w:t>（5）演示智能搜索。通过系统可以进行自然语言的模糊搜索，进行输入意图的分析拆解、检索任务的规划、相关内容的检索，完成搜索的总结内容生成，可以展示推荐的相关问题，可以展示内容大纲、思维导图，可以导出为公文创作等其他AI创作应用进行后续操作。</w:t>
            </w:r>
          </w:p>
          <w:p w14:paraId="29360476">
            <w:pPr>
              <w:widowControl/>
              <w:adjustRightInd/>
              <w:spacing w:line="360" w:lineRule="auto"/>
              <w:jc w:val="left"/>
              <w:textAlignment w:val="auto"/>
              <w:rPr>
                <w:rFonts w:ascii="宋体" w:hAnsi="宋体" w:cs="宋体"/>
                <w:color w:val="auto"/>
                <w:szCs w:val="21"/>
                <w:highlight w:val="none"/>
              </w:rPr>
            </w:pPr>
            <w:r>
              <w:rPr>
                <w:rFonts w:hint="eastAsia" w:ascii="宋体" w:hAnsi="宋体" w:eastAsia="宋体" w:cs="宋体"/>
                <w:snapToGrid/>
                <w:color w:val="auto"/>
                <w:kern w:val="0"/>
                <w:sz w:val="21"/>
                <w:szCs w:val="21"/>
                <w:highlight w:val="none"/>
                <w:lang w:val="en-US" w:eastAsia="zh-CN" w:bidi="ar"/>
              </w:rPr>
              <w:t>演示内容须与投标文件中书面阐述相印证，单项内容</w:t>
            </w:r>
            <w:r>
              <w:rPr>
                <w:rFonts w:hint="eastAsia" w:ascii="宋体" w:hAnsi="宋体" w:eastAsia="宋体" w:cs="宋体"/>
                <w:snapToGrid/>
                <w:color w:val="auto"/>
                <w:kern w:val="0"/>
                <w:sz w:val="21"/>
                <w:szCs w:val="21"/>
                <w:highlight w:val="none"/>
                <w:lang w:val="zh-TW" w:eastAsia="zh-CN" w:bidi="ar"/>
              </w:rPr>
              <w:t>功能完善、</w:t>
            </w:r>
            <w:r>
              <w:rPr>
                <w:rFonts w:hint="eastAsia" w:ascii="宋体" w:hAnsi="宋体" w:eastAsia="宋体" w:cs="宋体"/>
                <w:snapToGrid/>
                <w:color w:val="auto"/>
                <w:kern w:val="0"/>
                <w:sz w:val="21"/>
                <w:szCs w:val="21"/>
                <w:highlight w:val="none"/>
                <w:lang w:val="en-US" w:eastAsia="zh-CN" w:bidi="ar"/>
              </w:rPr>
              <w:t>可行、界面划分清晰</w:t>
            </w:r>
            <w:r>
              <w:rPr>
                <w:rFonts w:hint="eastAsia" w:ascii="宋体" w:hAnsi="宋体" w:eastAsia="宋体" w:cs="宋体"/>
                <w:snapToGrid/>
                <w:color w:val="auto"/>
                <w:kern w:val="0"/>
                <w:sz w:val="21"/>
                <w:szCs w:val="21"/>
                <w:highlight w:val="none"/>
                <w:lang w:val="zh-TW" w:eastAsia="zh-CN" w:bidi="ar"/>
              </w:rPr>
              <w:t>得</w:t>
            </w:r>
            <w:r>
              <w:rPr>
                <w:rFonts w:hint="eastAsia" w:ascii="宋体" w:hAnsi="宋体" w:eastAsia="宋体" w:cs="宋体"/>
                <w:snapToGrid/>
                <w:color w:val="auto"/>
                <w:kern w:val="0"/>
                <w:sz w:val="21"/>
                <w:szCs w:val="21"/>
                <w:highlight w:val="none"/>
                <w:lang w:val="en-US" w:eastAsia="zh-CN" w:bidi="ar"/>
              </w:rPr>
              <w:t>2</w:t>
            </w:r>
            <w:r>
              <w:rPr>
                <w:rFonts w:hint="eastAsia" w:ascii="宋体" w:hAnsi="宋体" w:eastAsia="宋体" w:cs="宋体"/>
                <w:snapToGrid/>
                <w:color w:val="auto"/>
                <w:kern w:val="0"/>
                <w:sz w:val="21"/>
                <w:szCs w:val="21"/>
                <w:highlight w:val="none"/>
                <w:lang w:val="zh-TW" w:eastAsia="zh-CN" w:bidi="ar"/>
              </w:rPr>
              <w:t>分；产品功能</w:t>
            </w:r>
            <w:r>
              <w:rPr>
                <w:rFonts w:hint="eastAsia" w:ascii="宋体" w:hAnsi="宋体" w:eastAsia="宋体" w:cs="宋体"/>
                <w:snapToGrid/>
                <w:color w:val="auto"/>
                <w:kern w:val="0"/>
                <w:sz w:val="21"/>
                <w:szCs w:val="21"/>
                <w:highlight w:val="none"/>
                <w:lang w:val="en-US" w:eastAsia="zh-CN" w:bidi="ar"/>
              </w:rPr>
              <w:t>缺失、功能界面划分不清晰的得1分</w:t>
            </w:r>
            <w:r>
              <w:rPr>
                <w:rFonts w:hint="eastAsia" w:ascii="宋体" w:hAnsi="宋体" w:eastAsia="宋体" w:cs="宋体"/>
                <w:snapToGrid/>
                <w:color w:val="auto"/>
                <w:kern w:val="0"/>
                <w:sz w:val="21"/>
                <w:szCs w:val="21"/>
                <w:highlight w:val="none"/>
                <w:lang w:val="zh-TW" w:eastAsia="zh-CN" w:bidi="ar"/>
              </w:rPr>
              <w:t>，未演示或演示不成功不得分。</w:t>
            </w:r>
          </w:p>
        </w:tc>
        <w:tc>
          <w:tcPr>
            <w:tcW w:w="829" w:type="dxa"/>
            <w:tcBorders>
              <w:tl2br w:val="nil"/>
              <w:tr2bl w:val="nil"/>
            </w:tcBorders>
            <w:vAlign w:val="center"/>
          </w:tcPr>
          <w:p w14:paraId="086B00CB">
            <w:pPr>
              <w:widowControl/>
              <w:spacing w:line="360" w:lineRule="auto"/>
              <w:jc w:val="center"/>
              <w:textAlignment w:val="center"/>
              <w:rPr>
                <w:rFonts w:ascii="宋体" w:hAnsi="宋体" w:cs="宋体"/>
                <w:color w:val="auto"/>
                <w:szCs w:val="21"/>
                <w:highlight w:val="none"/>
              </w:rPr>
            </w:pPr>
            <w:r>
              <w:rPr>
                <w:rFonts w:ascii="宋体" w:hAnsi="宋体" w:cs="宋体"/>
                <w:color w:val="auto"/>
                <w:kern w:val="0"/>
                <w:szCs w:val="21"/>
                <w:highlight w:val="none"/>
                <w:lang w:bidi="ar"/>
              </w:rPr>
              <w:t>1</w:t>
            </w:r>
            <w:r>
              <w:rPr>
                <w:rFonts w:hint="eastAsia" w:ascii="宋体" w:hAnsi="宋体" w:cs="宋体"/>
                <w:color w:val="auto"/>
                <w:kern w:val="0"/>
                <w:szCs w:val="21"/>
                <w:highlight w:val="none"/>
                <w:lang w:bidi="ar"/>
              </w:rPr>
              <w:t>0</w:t>
            </w:r>
          </w:p>
        </w:tc>
        <w:tc>
          <w:tcPr>
            <w:tcW w:w="1028" w:type="dxa"/>
            <w:tcBorders>
              <w:tl2br w:val="nil"/>
              <w:tr2bl w:val="nil"/>
            </w:tcBorders>
            <w:vAlign w:val="center"/>
          </w:tcPr>
          <w:p w14:paraId="531222EA">
            <w:pPr>
              <w:widowControl/>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主观分</w:t>
            </w:r>
          </w:p>
        </w:tc>
        <w:tc>
          <w:tcPr>
            <w:tcW w:w="1084" w:type="dxa"/>
            <w:tcBorders>
              <w:tl2br w:val="nil"/>
              <w:tr2bl w:val="nil"/>
            </w:tcBorders>
            <w:vAlign w:val="center"/>
          </w:tcPr>
          <w:p w14:paraId="278D4AAE">
            <w:pPr>
              <w:widowControl/>
              <w:spacing w:line="360" w:lineRule="auto"/>
              <w:jc w:val="center"/>
              <w:textAlignment w:val="center"/>
              <w:rPr>
                <w:rFonts w:ascii="宋体" w:hAnsi="宋体" w:cs="宋体"/>
                <w:color w:val="auto"/>
                <w:szCs w:val="21"/>
                <w:highlight w:val="none"/>
              </w:rPr>
            </w:pPr>
          </w:p>
        </w:tc>
      </w:tr>
      <w:tr w14:paraId="329595D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283" w:hRule="atLeast"/>
        </w:trPr>
        <w:tc>
          <w:tcPr>
            <w:tcW w:w="764" w:type="dxa"/>
            <w:tcBorders>
              <w:tl2br w:val="nil"/>
              <w:tr2bl w:val="nil"/>
            </w:tcBorders>
            <w:vAlign w:val="center"/>
          </w:tcPr>
          <w:p w14:paraId="18397D90">
            <w:pPr>
              <w:widowControl/>
              <w:adjustRightInd/>
              <w:spacing w:line="360" w:lineRule="auto"/>
              <w:jc w:val="center"/>
              <w:rPr>
                <w:rFonts w:ascii="宋体" w:hAnsi="宋体" w:cs="宋体"/>
                <w:color w:val="auto"/>
                <w:szCs w:val="21"/>
                <w:highlight w:val="none"/>
              </w:rPr>
            </w:pPr>
            <w:r>
              <w:rPr>
                <w:rFonts w:hint="eastAsia" w:ascii="宋体" w:hAnsi="宋体" w:cs="宋体"/>
                <w:color w:val="auto"/>
                <w:kern w:val="0"/>
                <w:szCs w:val="21"/>
                <w:highlight w:val="none"/>
              </w:rPr>
              <w:t>价格分</w:t>
            </w:r>
          </w:p>
        </w:tc>
        <w:tc>
          <w:tcPr>
            <w:tcW w:w="6086" w:type="dxa"/>
            <w:tcBorders>
              <w:tl2br w:val="nil"/>
              <w:tr2bl w:val="nil"/>
            </w:tcBorders>
            <w:vAlign w:val="center"/>
          </w:tcPr>
          <w:p w14:paraId="4C8A6299">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有效投标报价的最低价作为评标基准价，其最低报价为满分；按［投标报价得分=（评标基准价/投标报价）*10］的计算公式计算。</w:t>
            </w:r>
          </w:p>
          <w:p w14:paraId="1FCB8CC0">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评标过程中，不得去掉报价中的最高报价和最低报价。</w:t>
            </w:r>
          </w:p>
          <w:p w14:paraId="7C762656">
            <w:pPr>
              <w:widowControl/>
              <w:adjustRightInd/>
              <w:spacing w:line="360" w:lineRule="auto"/>
              <w:jc w:val="left"/>
              <w:rPr>
                <w:rFonts w:ascii="宋体" w:hAnsi="宋体" w:cs="宋体"/>
                <w:color w:val="auto"/>
                <w:szCs w:val="21"/>
                <w:highlight w:val="none"/>
              </w:rPr>
            </w:pPr>
            <w:r>
              <w:rPr>
                <w:rFonts w:hint="eastAsia" w:ascii="宋体" w:hAnsi="宋体" w:cs="宋体"/>
                <w:color w:val="auto"/>
                <w:szCs w:val="21"/>
                <w:highlight w:val="none"/>
              </w:rPr>
              <w:t>因落实政府采购政策需要进行价格调整的，以调整后的价格计算评标基准价和投标报价。</w:t>
            </w:r>
          </w:p>
        </w:tc>
        <w:tc>
          <w:tcPr>
            <w:tcW w:w="829" w:type="dxa"/>
            <w:tcBorders>
              <w:tl2br w:val="nil"/>
              <w:tr2bl w:val="nil"/>
            </w:tcBorders>
            <w:vAlign w:val="center"/>
          </w:tcPr>
          <w:p w14:paraId="7710C25C">
            <w:pPr>
              <w:widowControl/>
              <w:adjustRightInd/>
              <w:spacing w:line="360" w:lineRule="auto"/>
              <w:jc w:val="center"/>
              <w:rPr>
                <w:rFonts w:ascii="宋体" w:hAnsi="宋体" w:cs="宋体"/>
                <w:color w:val="auto"/>
                <w:szCs w:val="21"/>
                <w:highlight w:val="none"/>
              </w:rPr>
            </w:pPr>
            <w:r>
              <w:rPr>
                <w:rFonts w:hint="eastAsia" w:ascii="宋体" w:hAnsi="宋体" w:cs="宋体"/>
                <w:color w:val="auto"/>
                <w:kern w:val="0"/>
                <w:szCs w:val="21"/>
                <w:highlight w:val="none"/>
              </w:rPr>
              <w:t>10</w:t>
            </w:r>
          </w:p>
        </w:tc>
        <w:tc>
          <w:tcPr>
            <w:tcW w:w="1028" w:type="dxa"/>
            <w:tcBorders>
              <w:tl2br w:val="nil"/>
              <w:tr2bl w:val="nil"/>
            </w:tcBorders>
            <w:vAlign w:val="center"/>
          </w:tcPr>
          <w:p w14:paraId="2546D745">
            <w:pPr>
              <w:widowControl/>
              <w:adjustRightInd/>
              <w:spacing w:line="360" w:lineRule="auto"/>
              <w:jc w:val="center"/>
              <w:rPr>
                <w:rFonts w:ascii="宋体" w:hAnsi="宋体" w:cs="宋体"/>
                <w:color w:val="auto"/>
                <w:szCs w:val="21"/>
                <w:highlight w:val="none"/>
              </w:rPr>
            </w:pPr>
            <w:r>
              <w:rPr>
                <w:rFonts w:hint="eastAsia" w:ascii="宋体" w:hAnsi="宋体" w:cs="宋体"/>
                <w:color w:val="auto"/>
                <w:kern w:val="0"/>
                <w:szCs w:val="21"/>
                <w:highlight w:val="none"/>
              </w:rPr>
              <w:t>客观分</w:t>
            </w:r>
          </w:p>
        </w:tc>
        <w:tc>
          <w:tcPr>
            <w:tcW w:w="1084" w:type="dxa"/>
            <w:tcBorders>
              <w:tl2br w:val="nil"/>
              <w:tr2bl w:val="nil"/>
            </w:tcBorders>
            <w:noWrap/>
            <w:vAlign w:val="center"/>
          </w:tcPr>
          <w:p w14:paraId="742FA156">
            <w:pPr>
              <w:spacing w:line="360" w:lineRule="auto"/>
              <w:rPr>
                <w:rFonts w:ascii="宋体" w:hAnsi="宋体" w:cs="宋体"/>
                <w:color w:val="auto"/>
                <w:szCs w:val="21"/>
                <w:highlight w:val="none"/>
              </w:rPr>
            </w:pPr>
            <w:r>
              <w:rPr>
                <w:rFonts w:hint="eastAsia" w:ascii="宋体" w:hAnsi="宋体" w:cs="宋体"/>
                <w:color w:val="auto"/>
                <w:szCs w:val="21"/>
                <w:highlight w:val="none"/>
              </w:rPr>
              <w:t>/</w:t>
            </w:r>
          </w:p>
        </w:tc>
      </w:tr>
    </w:tbl>
    <w:p w14:paraId="1DDC9E2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备注：</w:t>
      </w:r>
    </w:p>
    <w:p w14:paraId="351E2A8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1.投标人编制投标文件（商务技术文件部分）时，建议按此目录（序号和内容）提供评标标准相应的商务技术资料。</w:t>
      </w:r>
    </w:p>
    <w:p w14:paraId="588010F0">
      <w:pPr>
        <w:snapToGrid w:val="0"/>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2.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r>
        <w:rPr>
          <w:rFonts w:hint="eastAsia" w:ascii="宋体" w:hAnsi="宋体" w:cs="宋体"/>
          <w:b/>
          <w:color w:val="auto"/>
          <w:szCs w:val="21"/>
          <w:highlight w:val="none"/>
        </w:rPr>
        <w:br w:type="page"/>
      </w:r>
    </w:p>
    <w:p w14:paraId="1D7CFFFF">
      <w:pPr>
        <w:pStyle w:val="3"/>
        <w:ind w:firstLine="428"/>
        <w:rPr>
          <w:color w:val="auto"/>
          <w:szCs w:val="21"/>
          <w:highlight w:val="none"/>
        </w:rPr>
      </w:pPr>
      <w:r>
        <w:rPr>
          <w:rFonts w:hint="eastAsia"/>
          <w:color w:val="auto"/>
          <w:szCs w:val="21"/>
          <w:highlight w:val="none"/>
        </w:rPr>
        <w:t>一、评标方法</w:t>
      </w:r>
    </w:p>
    <w:p w14:paraId="71E718CD">
      <w:pPr>
        <w:adjustRightInd/>
        <w:spacing w:line="360" w:lineRule="auto"/>
        <w:ind w:firstLine="413" w:firstLineChars="196"/>
        <w:rPr>
          <w:rFonts w:ascii="宋体" w:hAnsi="宋体" w:cs="宋体"/>
          <w:color w:val="auto"/>
          <w:kern w:val="0"/>
          <w:szCs w:val="21"/>
          <w:highlight w:val="none"/>
        </w:rPr>
      </w:pPr>
      <w:r>
        <w:rPr>
          <w:rFonts w:hint="eastAsia" w:ascii="宋体" w:hAnsi="宋体" w:cs="宋体"/>
          <w:b/>
          <w:color w:val="auto"/>
          <w:kern w:val="0"/>
          <w:szCs w:val="21"/>
          <w:highlight w:val="none"/>
        </w:rPr>
        <w:t>1.本项目采用综合评分法。</w:t>
      </w:r>
      <w:r>
        <w:rPr>
          <w:rFonts w:hint="eastAsia" w:ascii="宋体" w:hAnsi="宋体" w:cs="宋体"/>
          <w:color w:val="auto"/>
          <w:kern w:val="0"/>
          <w:szCs w:val="21"/>
          <w:highlight w:val="none"/>
        </w:rPr>
        <w:t>综合评分法，是指投标文件满足招标文件全部实质性要求，且按照评审因素的量化指标评审得分最高的投标人为中标候选人的评标方法。</w:t>
      </w:r>
    </w:p>
    <w:p w14:paraId="0CCE64BC">
      <w:pPr>
        <w:pStyle w:val="3"/>
        <w:ind w:firstLine="428"/>
        <w:rPr>
          <w:color w:val="auto"/>
          <w:szCs w:val="21"/>
          <w:highlight w:val="none"/>
        </w:rPr>
      </w:pPr>
      <w:r>
        <w:rPr>
          <w:rFonts w:hint="eastAsia"/>
          <w:color w:val="auto"/>
          <w:szCs w:val="21"/>
          <w:highlight w:val="none"/>
        </w:rPr>
        <w:t>二、评标标准</w:t>
      </w:r>
    </w:p>
    <w:p w14:paraId="408E52FF">
      <w:pPr>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2.评标标准：</w:t>
      </w:r>
      <w:r>
        <w:rPr>
          <w:rFonts w:hint="eastAsia" w:ascii="宋体" w:hAnsi="宋体" w:cs="宋体"/>
          <w:color w:val="auto"/>
          <w:kern w:val="0"/>
          <w:szCs w:val="21"/>
          <w:highlight w:val="none"/>
        </w:rPr>
        <w:t>见评标办法前附表。</w:t>
      </w:r>
    </w:p>
    <w:p w14:paraId="31B4D3D3">
      <w:pPr>
        <w:pStyle w:val="3"/>
        <w:ind w:firstLine="428"/>
        <w:rPr>
          <w:color w:val="auto"/>
          <w:szCs w:val="21"/>
          <w:highlight w:val="none"/>
        </w:rPr>
      </w:pPr>
      <w:r>
        <w:rPr>
          <w:rFonts w:hint="eastAsia"/>
          <w:color w:val="auto"/>
          <w:szCs w:val="21"/>
          <w:highlight w:val="none"/>
        </w:rPr>
        <w:t>三、评标程序</w:t>
      </w:r>
    </w:p>
    <w:p w14:paraId="054BE35F">
      <w:pPr>
        <w:adjustRightInd/>
        <w:spacing w:line="360" w:lineRule="auto"/>
        <w:ind w:firstLine="411" w:firstLineChars="196"/>
        <w:rPr>
          <w:rFonts w:ascii="宋体" w:hAnsi="宋体" w:cs="宋体"/>
          <w:bCs/>
          <w:color w:val="auto"/>
          <w:kern w:val="0"/>
          <w:szCs w:val="21"/>
          <w:highlight w:val="none"/>
        </w:rPr>
      </w:pPr>
      <w:r>
        <w:rPr>
          <w:rFonts w:hint="eastAsia" w:ascii="宋体" w:hAnsi="宋体" w:cs="宋体"/>
          <w:bCs/>
          <w:color w:val="auto"/>
          <w:kern w:val="0"/>
          <w:szCs w:val="21"/>
          <w:highlight w:val="none"/>
        </w:rPr>
        <w:t>3.1符合性审查。评标委员会应当对符合资格的投标人的投标文件进行符合性审查，以确定其是否满足招标文件的实质性要求。不满足招标文件的实质性要求的，投标无效。</w:t>
      </w:r>
    </w:p>
    <w:p w14:paraId="5915C3AC">
      <w:pPr>
        <w:adjustRightInd/>
        <w:spacing w:line="360" w:lineRule="auto"/>
        <w:ind w:firstLine="411" w:firstLineChars="196"/>
        <w:rPr>
          <w:rFonts w:ascii="宋体" w:hAnsi="宋体" w:cs="宋体"/>
          <w:bCs/>
          <w:color w:val="auto"/>
          <w:kern w:val="0"/>
          <w:szCs w:val="21"/>
          <w:highlight w:val="none"/>
        </w:rPr>
      </w:pPr>
      <w:r>
        <w:rPr>
          <w:rFonts w:hint="eastAsia" w:ascii="宋体" w:hAnsi="宋体" w:cs="宋体"/>
          <w:bCs/>
          <w:color w:val="auto"/>
          <w:kern w:val="0"/>
          <w:szCs w:val="21"/>
          <w:highlight w:val="none"/>
        </w:rPr>
        <w:t>3.2 比较与评价。评标委员会应当按照招标文件中规定的评标方法和标准，对符合性审查合格的投标文件进行商务和技术评估，综合比较与评价。</w:t>
      </w:r>
    </w:p>
    <w:p w14:paraId="515B8A84">
      <w:pPr>
        <w:adjustRightInd/>
        <w:spacing w:line="360" w:lineRule="auto"/>
        <w:ind w:firstLine="411" w:firstLineChars="196"/>
        <w:rPr>
          <w:rFonts w:ascii="宋体" w:hAnsi="宋体" w:cs="宋体"/>
          <w:bCs/>
          <w:color w:val="auto"/>
          <w:kern w:val="0"/>
          <w:szCs w:val="21"/>
          <w:highlight w:val="none"/>
        </w:rPr>
      </w:pPr>
      <w:r>
        <w:rPr>
          <w:rFonts w:hint="eastAsia" w:ascii="宋体" w:hAnsi="宋体" w:cs="宋体"/>
          <w:bCs/>
          <w:color w:val="auto"/>
          <w:kern w:val="0"/>
          <w:szCs w:val="21"/>
          <w:highlight w:val="none"/>
        </w:rPr>
        <w:t>3.3汇总商务技术得分。评标委员会各成员应当独立对每个投标人的商务和技术文件进行评价，并汇总商务技术得分情况。</w:t>
      </w:r>
    </w:p>
    <w:p w14:paraId="2951D45D">
      <w:pPr>
        <w:adjustRightInd/>
        <w:spacing w:line="360" w:lineRule="auto"/>
        <w:ind w:firstLine="411" w:firstLineChars="196"/>
        <w:rPr>
          <w:rFonts w:ascii="宋体" w:hAnsi="宋体" w:cs="宋体"/>
          <w:bCs/>
          <w:color w:val="auto"/>
          <w:kern w:val="0"/>
          <w:szCs w:val="21"/>
          <w:highlight w:val="none"/>
        </w:rPr>
      </w:pPr>
      <w:r>
        <w:rPr>
          <w:rFonts w:hint="eastAsia" w:ascii="宋体" w:hAnsi="宋体" w:cs="宋体"/>
          <w:bCs/>
          <w:color w:val="auto"/>
          <w:kern w:val="0"/>
          <w:szCs w:val="21"/>
          <w:highlight w:val="none"/>
        </w:rPr>
        <w:t>3.4报价评审。</w:t>
      </w:r>
    </w:p>
    <w:p w14:paraId="2EDE9B9E">
      <w:pPr>
        <w:adjustRightInd/>
        <w:spacing w:line="360" w:lineRule="auto"/>
        <w:ind w:firstLine="411" w:firstLineChars="196"/>
        <w:rPr>
          <w:rFonts w:ascii="宋体" w:hAnsi="宋体" w:cs="宋体"/>
          <w:bCs/>
          <w:color w:val="auto"/>
          <w:kern w:val="0"/>
          <w:szCs w:val="21"/>
          <w:highlight w:val="none"/>
        </w:rPr>
      </w:pPr>
      <w:r>
        <w:rPr>
          <w:rFonts w:hint="eastAsia" w:ascii="宋体" w:hAnsi="宋体" w:cs="宋体"/>
          <w:bCs/>
          <w:color w:val="auto"/>
          <w:kern w:val="0"/>
          <w:szCs w:val="21"/>
          <w:highlight w:val="none"/>
        </w:rPr>
        <w:t>3.4.1投标文件报价出现前后不一致的，按照下列规定修正：</w:t>
      </w:r>
    </w:p>
    <w:p w14:paraId="5205AEB3">
      <w:pPr>
        <w:adjustRightInd/>
        <w:spacing w:line="360" w:lineRule="auto"/>
        <w:ind w:firstLine="411" w:firstLineChars="196"/>
        <w:rPr>
          <w:rFonts w:ascii="宋体" w:hAnsi="宋体" w:cs="宋体"/>
          <w:bCs/>
          <w:color w:val="auto"/>
          <w:kern w:val="0"/>
          <w:szCs w:val="21"/>
          <w:highlight w:val="none"/>
        </w:rPr>
      </w:pPr>
      <w:r>
        <w:rPr>
          <w:rFonts w:hint="eastAsia" w:ascii="宋体" w:hAnsi="宋体" w:cs="宋体"/>
          <w:bCs/>
          <w:color w:val="auto"/>
          <w:kern w:val="0"/>
          <w:szCs w:val="21"/>
          <w:highlight w:val="none"/>
        </w:rPr>
        <w:t>3.4.1.1投标文件中开标一览表（报价表）内容与投标文件中相应内容不一致的，以开标一览表（报价表）为准；</w:t>
      </w:r>
    </w:p>
    <w:p w14:paraId="1ECE58C5">
      <w:pPr>
        <w:adjustRightInd/>
        <w:spacing w:line="360" w:lineRule="auto"/>
        <w:ind w:firstLine="411" w:firstLineChars="196"/>
        <w:rPr>
          <w:rFonts w:ascii="宋体" w:hAnsi="宋体" w:cs="宋体"/>
          <w:bCs/>
          <w:color w:val="auto"/>
          <w:kern w:val="0"/>
          <w:szCs w:val="21"/>
          <w:highlight w:val="none"/>
        </w:rPr>
      </w:pPr>
      <w:r>
        <w:rPr>
          <w:rFonts w:hint="eastAsia" w:ascii="宋体" w:hAnsi="宋体" w:cs="宋体"/>
          <w:bCs/>
          <w:color w:val="auto"/>
          <w:kern w:val="0"/>
          <w:szCs w:val="21"/>
          <w:highlight w:val="none"/>
        </w:rPr>
        <w:t>3.4.1.2大写金额和小写金额不一致的，以大写金额为准；</w:t>
      </w:r>
    </w:p>
    <w:p w14:paraId="22CDC529">
      <w:pPr>
        <w:adjustRightInd/>
        <w:spacing w:line="360" w:lineRule="auto"/>
        <w:ind w:firstLine="411" w:firstLineChars="196"/>
        <w:rPr>
          <w:rFonts w:ascii="宋体" w:hAnsi="宋体" w:cs="宋体"/>
          <w:bCs/>
          <w:color w:val="auto"/>
          <w:kern w:val="0"/>
          <w:szCs w:val="21"/>
          <w:highlight w:val="none"/>
        </w:rPr>
      </w:pPr>
      <w:r>
        <w:rPr>
          <w:rFonts w:hint="eastAsia" w:ascii="宋体" w:hAnsi="宋体" w:cs="宋体"/>
          <w:bCs/>
          <w:color w:val="auto"/>
          <w:kern w:val="0"/>
          <w:szCs w:val="21"/>
          <w:highlight w:val="none"/>
        </w:rPr>
        <w:t>3.4.1.3单价金额小数点或者百分比有明显错位的，以开标一览表的总价为准，并修改单价；</w:t>
      </w:r>
    </w:p>
    <w:p w14:paraId="2DD3250C">
      <w:pPr>
        <w:adjustRightInd/>
        <w:spacing w:line="360" w:lineRule="auto"/>
        <w:ind w:firstLine="411" w:firstLineChars="196"/>
        <w:rPr>
          <w:rFonts w:ascii="宋体" w:hAnsi="宋体" w:cs="宋体"/>
          <w:bCs/>
          <w:color w:val="auto"/>
          <w:kern w:val="0"/>
          <w:szCs w:val="21"/>
          <w:highlight w:val="none"/>
        </w:rPr>
      </w:pPr>
      <w:r>
        <w:rPr>
          <w:rFonts w:hint="eastAsia" w:ascii="宋体" w:hAnsi="宋体" w:cs="宋体"/>
          <w:bCs/>
          <w:color w:val="auto"/>
          <w:kern w:val="0"/>
          <w:szCs w:val="21"/>
          <w:highlight w:val="none"/>
        </w:rPr>
        <w:t>3.4.1.4总价金额与按单价汇总金额不一致的，以单价金额计算结果为准。</w:t>
      </w:r>
    </w:p>
    <w:p w14:paraId="56693F77">
      <w:pPr>
        <w:adjustRightInd/>
        <w:spacing w:line="360" w:lineRule="auto"/>
        <w:ind w:firstLine="411" w:firstLineChars="196"/>
        <w:rPr>
          <w:rFonts w:ascii="宋体" w:hAnsi="宋体" w:cs="宋体"/>
          <w:bCs/>
          <w:color w:val="auto"/>
          <w:kern w:val="0"/>
          <w:szCs w:val="21"/>
          <w:highlight w:val="none"/>
        </w:rPr>
      </w:pPr>
      <w:r>
        <w:rPr>
          <w:rFonts w:hint="eastAsia" w:ascii="宋体" w:hAnsi="宋体" w:cs="宋体"/>
          <w:bCs/>
          <w:color w:val="auto"/>
          <w:kern w:val="0"/>
          <w:szCs w:val="21"/>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2F7DB05D">
      <w:pPr>
        <w:adjustRightInd/>
        <w:spacing w:line="360" w:lineRule="auto"/>
        <w:ind w:firstLine="411" w:firstLineChars="196"/>
        <w:rPr>
          <w:rFonts w:ascii="宋体" w:hAnsi="宋体" w:cs="宋体"/>
          <w:bCs/>
          <w:color w:val="auto"/>
          <w:kern w:val="0"/>
          <w:szCs w:val="21"/>
          <w:highlight w:val="none"/>
        </w:rPr>
      </w:pPr>
      <w:r>
        <w:rPr>
          <w:rFonts w:hint="eastAsia" w:ascii="宋体" w:hAnsi="宋体" w:cs="宋体"/>
          <w:bCs/>
          <w:color w:val="auto"/>
          <w:kern w:val="0"/>
          <w:szCs w:val="21"/>
          <w:highlight w:val="none"/>
        </w:rPr>
        <w:t>3.4.2投标文件出现不是唯一的、有选择性投标报价的，投标无效。</w:t>
      </w:r>
    </w:p>
    <w:p w14:paraId="5A59C75D">
      <w:pPr>
        <w:adjustRightInd/>
        <w:spacing w:line="360" w:lineRule="auto"/>
        <w:ind w:firstLine="411" w:firstLineChars="196"/>
        <w:rPr>
          <w:rFonts w:ascii="宋体" w:hAnsi="宋体" w:cs="宋体"/>
          <w:bCs/>
          <w:color w:val="auto"/>
          <w:kern w:val="0"/>
          <w:szCs w:val="21"/>
          <w:highlight w:val="none"/>
        </w:rPr>
      </w:pPr>
      <w:r>
        <w:rPr>
          <w:rFonts w:hint="eastAsia" w:ascii="宋体" w:hAnsi="宋体" w:cs="宋体"/>
          <w:bCs/>
          <w:color w:val="auto"/>
          <w:kern w:val="0"/>
          <w:szCs w:val="21"/>
          <w:highlight w:val="none"/>
        </w:rPr>
        <w:t>3.4.3投标报价超过招标文件中规定的预算金额或者最高限价的，投标无效。</w:t>
      </w:r>
    </w:p>
    <w:p w14:paraId="44356F61">
      <w:pPr>
        <w:adjustRightInd/>
        <w:spacing w:line="360" w:lineRule="auto"/>
        <w:ind w:firstLine="411" w:firstLineChars="196"/>
        <w:rPr>
          <w:rFonts w:ascii="宋体" w:hAnsi="宋体" w:cs="宋体"/>
          <w:bCs/>
          <w:color w:val="auto"/>
          <w:kern w:val="0"/>
          <w:szCs w:val="21"/>
          <w:highlight w:val="none"/>
        </w:rPr>
      </w:pPr>
      <w:r>
        <w:rPr>
          <w:rFonts w:hint="eastAsia" w:ascii="宋体" w:hAnsi="宋体" w:cs="宋体"/>
          <w:bCs/>
          <w:color w:val="auto"/>
          <w:kern w:val="0"/>
          <w:szCs w:val="21"/>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AFE19CB">
      <w:pPr>
        <w:adjustRightInd/>
        <w:spacing w:line="360" w:lineRule="auto"/>
        <w:ind w:firstLine="411" w:firstLineChars="196"/>
        <w:rPr>
          <w:rFonts w:ascii="宋体" w:hAnsi="宋体" w:cs="宋体"/>
          <w:bCs/>
          <w:color w:val="auto"/>
          <w:kern w:val="0"/>
          <w:szCs w:val="21"/>
          <w:highlight w:val="none"/>
        </w:rPr>
      </w:pPr>
      <w:r>
        <w:rPr>
          <w:rFonts w:hint="eastAsia" w:ascii="宋体" w:hAnsi="宋体" w:cs="宋体"/>
          <w:bCs/>
          <w:color w:val="auto"/>
          <w:kern w:val="0"/>
          <w:szCs w:val="21"/>
          <w:highlight w:val="none"/>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5614B5B0">
      <w:pPr>
        <w:adjustRightInd/>
        <w:spacing w:line="360" w:lineRule="auto"/>
        <w:ind w:firstLine="411" w:firstLineChars="196"/>
        <w:rPr>
          <w:rFonts w:ascii="宋体" w:hAnsi="宋体" w:cs="宋体"/>
          <w:bCs/>
          <w:color w:val="auto"/>
          <w:kern w:val="0"/>
          <w:szCs w:val="21"/>
          <w:highlight w:val="none"/>
        </w:rPr>
      </w:pPr>
      <w:r>
        <w:rPr>
          <w:rFonts w:hint="eastAsia" w:ascii="宋体" w:hAnsi="宋体" w:cs="宋体"/>
          <w:bCs/>
          <w:color w:val="auto"/>
          <w:kern w:val="0"/>
          <w:szCs w:val="21"/>
          <w:highlight w:val="none"/>
        </w:rPr>
        <w:t>3.5排序与推荐。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4E3A4A3">
      <w:pPr>
        <w:adjustRightInd/>
        <w:spacing w:line="360" w:lineRule="auto"/>
        <w:ind w:firstLine="411" w:firstLineChars="196"/>
        <w:rPr>
          <w:rFonts w:ascii="宋体" w:hAnsi="宋体" w:cs="宋体"/>
          <w:bCs/>
          <w:color w:val="auto"/>
          <w:kern w:val="0"/>
          <w:szCs w:val="21"/>
          <w:highlight w:val="none"/>
        </w:rPr>
      </w:pPr>
      <w:r>
        <w:rPr>
          <w:rFonts w:hint="eastAsia" w:ascii="宋体" w:hAnsi="宋体" w:cs="宋体"/>
          <w:bCs/>
          <w:color w:val="auto"/>
          <w:kern w:val="0"/>
          <w:szCs w:val="21"/>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E2F1ABE">
      <w:pPr>
        <w:adjustRightInd/>
        <w:spacing w:line="360" w:lineRule="auto"/>
        <w:ind w:firstLine="411" w:firstLineChars="196"/>
        <w:rPr>
          <w:rFonts w:ascii="宋体" w:hAnsi="宋体" w:cs="宋体"/>
          <w:bCs/>
          <w:color w:val="auto"/>
          <w:kern w:val="0"/>
          <w:szCs w:val="21"/>
          <w:highlight w:val="none"/>
        </w:rPr>
      </w:pPr>
      <w:r>
        <w:rPr>
          <w:rFonts w:hint="eastAsia" w:ascii="宋体" w:hAnsi="宋体" w:cs="宋体"/>
          <w:bCs/>
          <w:color w:val="auto"/>
          <w:kern w:val="0"/>
          <w:szCs w:val="21"/>
          <w:highlight w:val="none"/>
        </w:rPr>
        <w:t>3.6编写评标报告。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2B21DE9">
      <w:pPr>
        <w:pStyle w:val="3"/>
        <w:ind w:firstLine="428"/>
        <w:rPr>
          <w:color w:val="auto"/>
          <w:szCs w:val="21"/>
          <w:highlight w:val="none"/>
        </w:rPr>
      </w:pPr>
      <w:r>
        <w:rPr>
          <w:rFonts w:hint="eastAsia"/>
          <w:color w:val="auto"/>
          <w:szCs w:val="21"/>
          <w:highlight w:val="none"/>
        </w:rPr>
        <w:t>四、评标中的其他事项</w:t>
      </w:r>
    </w:p>
    <w:p w14:paraId="2DC0C028">
      <w:pPr>
        <w:adjustRightInd/>
        <w:spacing w:line="360" w:lineRule="auto"/>
        <w:ind w:firstLine="411" w:firstLineChars="196"/>
        <w:rPr>
          <w:rFonts w:ascii="宋体" w:hAnsi="宋体" w:cs="宋体"/>
          <w:bCs/>
          <w:color w:val="auto"/>
          <w:kern w:val="0"/>
          <w:szCs w:val="21"/>
          <w:highlight w:val="none"/>
        </w:rPr>
      </w:pPr>
      <w:r>
        <w:rPr>
          <w:rFonts w:hint="eastAsia" w:ascii="宋体" w:hAnsi="宋体" w:cs="宋体"/>
          <w:bCs/>
          <w:color w:val="auto"/>
          <w:kern w:val="0"/>
          <w:szCs w:val="21"/>
          <w:highlight w:val="none"/>
        </w:rPr>
        <w:t>4.1投标人澄清、说明或者补正。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DB67651">
      <w:pPr>
        <w:adjustRightInd/>
        <w:spacing w:line="360" w:lineRule="auto"/>
        <w:ind w:firstLine="411" w:firstLineChars="196"/>
        <w:rPr>
          <w:rFonts w:ascii="宋体" w:hAnsi="宋体" w:cs="宋体"/>
          <w:bCs/>
          <w:color w:val="auto"/>
          <w:kern w:val="0"/>
          <w:szCs w:val="21"/>
          <w:highlight w:val="none"/>
        </w:rPr>
      </w:pPr>
      <w:r>
        <w:rPr>
          <w:rFonts w:hint="eastAsia" w:ascii="宋体" w:hAnsi="宋体" w:cs="宋体"/>
          <w:bCs/>
          <w:color w:val="auto"/>
          <w:kern w:val="0"/>
          <w:szCs w:val="21"/>
          <w:highlight w:val="none"/>
        </w:rPr>
        <w:t>4.2投标无效。有下列情形之一的，投标无效：</w:t>
      </w:r>
    </w:p>
    <w:p w14:paraId="3BA29794">
      <w:pPr>
        <w:adjustRightInd/>
        <w:spacing w:line="360" w:lineRule="auto"/>
        <w:ind w:firstLine="411" w:firstLineChars="196"/>
        <w:rPr>
          <w:rFonts w:ascii="宋体" w:hAnsi="宋体" w:cs="宋体"/>
          <w:bCs/>
          <w:color w:val="auto"/>
          <w:kern w:val="0"/>
          <w:szCs w:val="21"/>
          <w:highlight w:val="none"/>
        </w:rPr>
      </w:pPr>
      <w:r>
        <w:rPr>
          <w:rFonts w:hint="eastAsia" w:ascii="宋体" w:hAnsi="宋体" w:cs="宋体"/>
          <w:bCs/>
          <w:color w:val="auto"/>
          <w:kern w:val="0"/>
          <w:szCs w:val="21"/>
          <w:highlight w:val="none"/>
        </w:rPr>
        <w:t>4.2.1投标人不具备招标文件中规定的资格要求的（投标人未提供有效的资格文件的，视为投标人不具备招标文件中规定的资格要求）；</w:t>
      </w:r>
    </w:p>
    <w:p w14:paraId="181F7BEA">
      <w:pPr>
        <w:adjustRightInd/>
        <w:spacing w:line="360" w:lineRule="auto"/>
        <w:ind w:firstLine="411" w:firstLineChars="196"/>
        <w:rPr>
          <w:rFonts w:ascii="宋体" w:hAnsi="宋体" w:cs="宋体"/>
          <w:bCs/>
          <w:color w:val="auto"/>
          <w:kern w:val="0"/>
          <w:szCs w:val="21"/>
          <w:highlight w:val="none"/>
        </w:rPr>
      </w:pPr>
      <w:r>
        <w:rPr>
          <w:rFonts w:hint="eastAsia" w:ascii="宋体" w:hAnsi="宋体" w:cs="宋体"/>
          <w:bCs/>
          <w:color w:val="auto"/>
          <w:kern w:val="0"/>
          <w:szCs w:val="21"/>
          <w:highlight w:val="none"/>
        </w:rPr>
        <w:t>4.2.2投标文件未按照招标文件要求签署、盖章的；</w:t>
      </w:r>
    </w:p>
    <w:p w14:paraId="1773F6AA">
      <w:pPr>
        <w:adjustRightInd/>
        <w:spacing w:line="360" w:lineRule="auto"/>
        <w:ind w:firstLine="411" w:firstLineChars="196"/>
        <w:rPr>
          <w:rFonts w:ascii="宋体" w:hAnsi="宋体" w:cs="宋体"/>
          <w:bCs/>
          <w:color w:val="auto"/>
          <w:kern w:val="0"/>
          <w:szCs w:val="21"/>
          <w:highlight w:val="none"/>
        </w:rPr>
      </w:pPr>
      <w:r>
        <w:rPr>
          <w:rFonts w:hint="eastAsia" w:ascii="宋体" w:hAnsi="宋体" w:cs="宋体"/>
          <w:bCs/>
          <w:color w:val="auto"/>
          <w:kern w:val="0"/>
          <w:szCs w:val="21"/>
          <w:highlight w:val="none"/>
        </w:rPr>
        <w:t>4.2.3采购人拟采购的产品属于政府强制采购的节能产品品目清单范围的，投标人相应的投标产品未获得国家确定的认证机构出具的、处于有效期之内的节能产品认证证书的；</w:t>
      </w:r>
    </w:p>
    <w:p w14:paraId="359E855D">
      <w:pPr>
        <w:adjustRightInd/>
        <w:spacing w:line="360" w:lineRule="auto"/>
        <w:ind w:firstLine="411" w:firstLineChars="196"/>
        <w:rPr>
          <w:rFonts w:ascii="宋体" w:hAnsi="宋体" w:cs="宋体"/>
          <w:bCs/>
          <w:color w:val="auto"/>
          <w:kern w:val="0"/>
          <w:szCs w:val="21"/>
          <w:highlight w:val="none"/>
        </w:rPr>
      </w:pPr>
      <w:r>
        <w:rPr>
          <w:rFonts w:hint="eastAsia" w:ascii="宋体" w:hAnsi="宋体" w:cs="宋体"/>
          <w:bCs/>
          <w:color w:val="auto"/>
          <w:kern w:val="0"/>
          <w:szCs w:val="21"/>
          <w:highlight w:val="none"/>
        </w:rPr>
        <w:t>4.2.4投标文件含有采购人不能接受的附加条件的；</w:t>
      </w:r>
    </w:p>
    <w:p w14:paraId="7E9F55A5">
      <w:pPr>
        <w:adjustRightInd/>
        <w:spacing w:line="360" w:lineRule="auto"/>
        <w:ind w:firstLine="411" w:firstLineChars="196"/>
        <w:rPr>
          <w:rFonts w:ascii="宋体" w:hAnsi="宋体" w:cs="宋体"/>
          <w:bCs/>
          <w:color w:val="auto"/>
          <w:kern w:val="0"/>
          <w:szCs w:val="21"/>
          <w:highlight w:val="none"/>
        </w:rPr>
      </w:pPr>
      <w:r>
        <w:rPr>
          <w:rFonts w:hint="eastAsia" w:ascii="宋体" w:hAnsi="宋体" w:cs="宋体"/>
          <w:bCs/>
          <w:color w:val="auto"/>
          <w:kern w:val="0"/>
          <w:szCs w:val="21"/>
          <w:highlight w:val="none"/>
        </w:rPr>
        <w:t>4.2.5投标文件中承诺的投标有效期少于招标文件中载明的投标有效期的；</w:t>
      </w:r>
    </w:p>
    <w:p w14:paraId="155415F1">
      <w:pPr>
        <w:adjustRightInd/>
        <w:spacing w:line="360" w:lineRule="auto"/>
        <w:ind w:firstLine="411" w:firstLineChars="196"/>
        <w:rPr>
          <w:rFonts w:ascii="宋体" w:hAnsi="宋体" w:cs="宋体"/>
          <w:bCs/>
          <w:color w:val="auto"/>
          <w:kern w:val="0"/>
          <w:szCs w:val="21"/>
          <w:highlight w:val="none"/>
        </w:rPr>
      </w:pPr>
      <w:r>
        <w:rPr>
          <w:rFonts w:hint="eastAsia" w:ascii="宋体" w:hAnsi="宋体" w:cs="宋体"/>
          <w:bCs/>
          <w:color w:val="auto"/>
          <w:kern w:val="0"/>
          <w:szCs w:val="21"/>
          <w:highlight w:val="none"/>
        </w:rPr>
        <w:t>4.2.6投标文件出现不是唯一的、有选择性投标报价的；</w:t>
      </w:r>
    </w:p>
    <w:p w14:paraId="3603EC54">
      <w:pPr>
        <w:adjustRightInd/>
        <w:spacing w:line="360" w:lineRule="auto"/>
        <w:ind w:firstLine="411" w:firstLineChars="196"/>
        <w:rPr>
          <w:rFonts w:ascii="宋体" w:hAnsi="宋体" w:cs="宋体"/>
          <w:bCs/>
          <w:color w:val="auto"/>
          <w:kern w:val="0"/>
          <w:szCs w:val="21"/>
          <w:highlight w:val="none"/>
        </w:rPr>
      </w:pPr>
      <w:r>
        <w:rPr>
          <w:rFonts w:hint="eastAsia" w:ascii="宋体" w:hAnsi="宋体" w:cs="宋体"/>
          <w:bCs/>
          <w:color w:val="auto"/>
          <w:kern w:val="0"/>
          <w:szCs w:val="21"/>
          <w:highlight w:val="none"/>
        </w:rPr>
        <w:t>4.2.7投标报价超过招标文件中规定的预算金额或者最高限价的；</w:t>
      </w:r>
    </w:p>
    <w:p w14:paraId="74705DD7">
      <w:pPr>
        <w:adjustRightInd/>
        <w:spacing w:line="360" w:lineRule="auto"/>
        <w:ind w:firstLine="411" w:firstLineChars="196"/>
        <w:rPr>
          <w:rFonts w:ascii="宋体" w:hAnsi="宋体" w:cs="宋体"/>
          <w:bCs/>
          <w:color w:val="auto"/>
          <w:kern w:val="0"/>
          <w:szCs w:val="21"/>
          <w:highlight w:val="none"/>
        </w:rPr>
      </w:pPr>
      <w:r>
        <w:rPr>
          <w:rFonts w:hint="eastAsia" w:ascii="宋体" w:hAnsi="宋体" w:cs="宋体"/>
          <w:bCs/>
          <w:color w:val="auto"/>
          <w:kern w:val="0"/>
          <w:szCs w:val="21"/>
          <w:highlight w:val="none"/>
        </w:rPr>
        <w:t>4.2.8《中小企业声明函》填写企业类型错误或者未填写企业类型的，投标无效。</w:t>
      </w:r>
    </w:p>
    <w:p w14:paraId="14B688D3">
      <w:pPr>
        <w:adjustRightInd/>
        <w:spacing w:line="360" w:lineRule="auto"/>
        <w:ind w:firstLine="411" w:firstLineChars="196"/>
        <w:rPr>
          <w:rFonts w:ascii="宋体" w:hAnsi="宋体" w:cs="宋体"/>
          <w:bCs/>
          <w:color w:val="auto"/>
          <w:kern w:val="0"/>
          <w:szCs w:val="21"/>
          <w:highlight w:val="none"/>
        </w:rPr>
      </w:pPr>
      <w:r>
        <w:rPr>
          <w:rFonts w:hint="eastAsia" w:ascii="宋体" w:hAnsi="宋体" w:cs="宋体"/>
          <w:bCs/>
          <w:color w:val="auto"/>
          <w:kern w:val="0"/>
          <w:szCs w:val="21"/>
          <w:highlight w:val="none"/>
        </w:rPr>
        <w:t>4.2.9投标人对根据修正原则修正后的报价不确认的；</w:t>
      </w:r>
    </w:p>
    <w:p w14:paraId="2E2ED4F7">
      <w:pPr>
        <w:adjustRightInd/>
        <w:spacing w:line="360" w:lineRule="auto"/>
        <w:ind w:firstLine="411" w:firstLineChars="196"/>
        <w:rPr>
          <w:rFonts w:ascii="宋体" w:hAnsi="宋体" w:cs="宋体"/>
          <w:bCs/>
          <w:color w:val="auto"/>
          <w:kern w:val="0"/>
          <w:szCs w:val="21"/>
          <w:highlight w:val="none"/>
        </w:rPr>
      </w:pPr>
      <w:r>
        <w:rPr>
          <w:rFonts w:hint="eastAsia" w:ascii="宋体" w:hAnsi="宋体" w:cs="宋体"/>
          <w:bCs/>
          <w:color w:val="auto"/>
          <w:kern w:val="0"/>
          <w:szCs w:val="21"/>
          <w:highlight w:val="none"/>
        </w:rPr>
        <w:t>4.2.10投标人提供虚假材料投标的；</w:t>
      </w:r>
    </w:p>
    <w:p w14:paraId="1C1B5124">
      <w:pPr>
        <w:adjustRightInd/>
        <w:spacing w:line="360" w:lineRule="auto"/>
        <w:ind w:firstLine="411" w:firstLineChars="196"/>
        <w:rPr>
          <w:rFonts w:ascii="宋体" w:hAnsi="宋体" w:cs="宋体"/>
          <w:bCs/>
          <w:color w:val="auto"/>
          <w:kern w:val="0"/>
          <w:szCs w:val="21"/>
          <w:highlight w:val="none"/>
        </w:rPr>
      </w:pPr>
      <w:r>
        <w:rPr>
          <w:rFonts w:hint="eastAsia" w:ascii="宋体" w:hAnsi="宋体" w:cs="宋体"/>
          <w:bCs/>
          <w:color w:val="auto"/>
          <w:kern w:val="0"/>
          <w:szCs w:val="21"/>
          <w:highlight w:val="none"/>
        </w:rPr>
        <w:t>4.2.11投标人有恶意串通、妨碍其他投标人的竞争行为、损害采购人或者其他投标人的合法权益情形的；</w:t>
      </w:r>
    </w:p>
    <w:p w14:paraId="080A6892">
      <w:pPr>
        <w:adjustRightInd/>
        <w:spacing w:line="360" w:lineRule="auto"/>
        <w:ind w:firstLine="411" w:firstLineChars="196"/>
        <w:rPr>
          <w:rFonts w:ascii="宋体" w:hAnsi="宋体" w:cs="宋体"/>
          <w:bCs/>
          <w:color w:val="auto"/>
          <w:kern w:val="0"/>
          <w:szCs w:val="21"/>
          <w:highlight w:val="none"/>
        </w:rPr>
      </w:pPr>
      <w:r>
        <w:rPr>
          <w:rFonts w:hint="eastAsia" w:ascii="宋体" w:hAnsi="宋体" w:cs="宋体"/>
          <w:bCs/>
          <w:color w:val="auto"/>
          <w:kern w:val="0"/>
          <w:szCs w:val="21"/>
          <w:highlight w:val="none"/>
        </w:rPr>
        <w:t>4.2.12 参与同一个采购包（标段）的供应商存在下列情形之一的，其投标（响应）文件无效：（1）不同供应商的电子投标（响应）文件上传计算机的网卡MAC地址、IP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24B2D113">
      <w:pPr>
        <w:adjustRightInd/>
        <w:spacing w:line="360" w:lineRule="auto"/>
        <w:ind w:firstLine="411" w:firstLineChars="196"/>
        <w:rPr>
          <w:rFonts w:ascii="宋体" w:hAnsi="宋体" w:cs="宋体"/>
          <w:bCs/>
          <w:color w:val="auto"/>
          <w:kern w:val="0"/>
          <w:szCs w:val="21"/>
          <w:highlight w:val="none"/>
        </w:rPr>
      </w:pPr>
      <w:r>
        <w:rPr>
          <w:rFonts w:hint="eastAsia" w:ascii="宋体" w:hAnsi="宋体" w:cs="宋体"/>
          <w:bCs/>
          <w:color w:val="auto"/>
          <w:kern w:val="0"/>
          <w:szCs w:val="21"/>
          <w:highlight w:val="none"/>
        </w:rPr>
        <w:t>4.2.13投标人仅提交备份投标文件，未在电子交易平台传输递交投标文件的，投标无效；</w:t>
      </w:r>
    </w:p>
    <w:p w14:paraId="64C497FC">
      <w:pPr>
        <w:adjustRightInd/>
        <w:spacing w:line="360" w:lineRule="auto"/>
        <w:ind w:firstLine="411" w:firstLineChars="196"/>
        <w:rPr>
          <w:rFonts w:ascii="宋体" w:hAnsi="宋体" w:cs="宋体"/>
          <w:bCs/>
          <w:color w:val="auto"/>
          <w:kern w:val="0"/>
          <w:szCs w:val="21"/>
          <w:highlight w:val="none"/>
        </w:rPr>
      </w:pPr>
      <w:r>
        <w:rPr>
          <w:rFonts w:hint="eastAsia" w:ascii="宋体" w:hAnsi="宋体" w:cs="宋体"/>
          <w:bCs/>
          <w:color w:val="auto"/>
          <w:kern w:val="0"/>
          <w:szCs w:val="21"/>
          <w:highlight w:val="none"/>
        </w:rPr>
        <w:t>4.2.14 投标文件不满足招标文件的其他实质性要求的；</w:t>
      </w:r>
    </w:p>
    <w:p w14:paraId="1CE7DD31">
      <w:pPr>
        <w:adjustRightInd/>
        <w:spacing w:line="360" w:lineRule="auto"/>
        <w:ind w:firstLine="411" w:firstLineChars="196"/>
        <w:rPr>
          <w:rFonts w:ascii="宋体" w:hAnsi="宋体" w:cs="宋体"/>
          <w:bCs/>
          <w:color w:val="auto"/>
          <w:kern w:val="0"/>
          <w:szCs w:val="21"/>
          <w:highlight w:val="none"/>
        </w:rPr>
      </w:pPr>
      <w:r>
        <w:rPr>
          <w:rFonts w:hint="eastAsia" w:ascii="宋体" w:hAnsi="宋体" w:cs="宋体"/>
          <w:bCs/>
          <w:color w:val="auto"/>
          <w:kern w:val="0"/>
          <w:szCs w:val="21"/>
          <w:highlight w:val="none"/>
        </w:rPr>
        <w:t>4.2.15法律、法规、规章（适用本市的）及省级以上规范性文件（适用本市的）规定的其他无效情形。</w:t>
      </w:r>
    </w:p>
    <w:p w14:paraId="66276ECD">
      <w:pPr>
        <w:adjustRightInd/>
        <w:spacing w:line="360" w:lineRule="auto"/>
        <w:ind w:firstLine="411" w:firstLineChars="196"/>
        <w:rPr>
          <w:rFonts w:ascii="宋体" w:hAnsi="宋体" w:cs="宋体"/>
          <w:bCs/>
          <w:color w:val="auto"/>
          <w:kern w:val="0"/>
          <w:szCs w:val="21"/>
          <w:highlight w:val="none"/>
        </w:rPr>
      </w:pPr>
      <w:r>
        <w:rPr>
          <w:rFonts w:hint="eastAsia" w:ascii="宋体" w:hAnsi="宋体" w:cs="宋体"/>
          <w:bCs/>
          <w:color w:val="auto"/>
          <w:kern w:val="0"/>
          <w:szCs w:val="21"/>
          <w:highlight w:val="none"/>
        </w:rPr>
        <w:t>5.废标。根据《中华人民共和国政府采购法》第三十六条之规定，在采购中，出现下列情形之一的，应予废标：</w:t>
      </w:r>
    </w:p>
    <w:p w14:paraId="4FF01394">
      <w:pPr>
        <w:adjustRightInd/>
        <w:spacing w:line="360" w:lineRule="auto"/>
        <w:ind w:firstLine="411" w:firstLineChars="196"/>
        <w:rPr>
          <w:rFonts w:ascii="宋体" w:hAnsi="宋体" w:cs="宋体"/>
          <w:bCs/>
          <w:color w:val="auto"/>
          <w:kern w:val="0"/>
          <w:szCs w:val="21"/>
          <w:highlight w:val="none"/>
        </w:rPr>
      </w:pPr>
      <w:r>
        <w:rPr>
          <w:rFonts w:hint="eastAsia" w:ascii="宋体" w:hAnsi="宋体" w:cs="宋体"/>
          <w:bCs/>
          <w:color w:val="auto"/>
          <w:kern w:val="0"/>
          <w:szCs w:val="21"/>
          <w:highlight w:val="none"/>
        </w:rPr>
        <w:t>5.1符合专业条件的供应商或者对招标文件做实质响应的供应商不足3家的；</w:t>
      </w:r>
    </w:p>
    <w:p w14:paraId="7500E961">
      <w:pPr>
        <w:adjustRightInd/>
        <w:spacing w:line="360" w:lineRule="auto"/>
        <w:ind w:firstLine="411" w:firstLineChars="196"/>
        <w:rPr>
          <w:rFonts w:ascii="宋体" w:hAnsi="宋体" w:cs="宋体"/>
          <w:bCs/>
          <w:color w:val="auto"/>
          <w:kern w:val="0"/>
          <w:szCs w:val="21"/>
          <w:highlight w:val="none"/>
        </w:rPr>
      </w:pPr>
      <w:r>
        <w:rPr>
          <w:rFonts w:hint="eastAsia" w:ascii="宋体" w:hAnsi="宋体" w:cs="宋体"/>
          <w:bCs/>
          <w:color w:val="auto"/>
          <w:kern w:val="0"/>
          <w:szCs w:val="21"/>
          <w:highlight w:val="none"/>
        </w:rPr>
        <w:t>5.2出现影响采购公正的违法、违规行为的；</w:t>
      </w:r>
    </w:p>
    <w:p w14:paraId="669E2E3E">
      <w:pPr>
        <w:adjustRightInd/>
        <w:spacing w:line="360" w:lineRule="auto"/>
        <w:ind w:firstLine="411" w:firstLineChars="196"/>
        <w:rPr>
          <w:rFonts w:ascii="宋体" w:hAnsi="宋体" w:cs="宋体"/>
          <w:bCs/>
          <w:color w:val="auto"/>
          <w:kern w:val="0"/>
          <w:szCs w:val="21"/>
          <w:highlight w:val="none"/>
        </w:rPr>
      </w:pPr>
      <w:r>
        <w:rPr>
          <w:rFonts w:hint="eastAsia" w:ascii="宋体" w:hAnsi="宋体" w:cs="宋体"/>
          <w:bCs/>
          <w:color w:val="auto"/>
          <w:kern w:val="0"/>
          <w:szCs w:val="21"/>
          <w:highlight w:val="none"/>
        </w:rPr>
        <w:t>5.3投标人的报价均超过了采购预算，采购人不能支付的；</w:t>
      </w:r>
    </w:p>
    <w:p w14:paraId="39230B9B">
      <w:pPr>
        <w:adjustRightInd/>
        <w:spacing w:line="360" w:lineRule="auto"/>
        <w:ind w:firstLine="411" w:firstLineChars="196"/>
        <w:rPr>
          <w:rFonts w:ascii="宋体" w:hAnsi="宋体" w:cs="宋体"/>
          <w:bCs/>
          <w:color w:val="auto"/>
          <w:kern w:val="0"/>
          <w:szCs w:val="21"/>
          <w:highlight w:val="none"/>
        </w:rPr>
      </w:pPr>
      <w:r>
        <w:rPr>
          <w:rFonts w:hint="eastAsia" w:ascii="宋体" w:hAnsi="宋体" w:cs="宋体"/>
          <w:bCs/>
          <w:color w:val="auto"/>
          <w:kern w:val="0"/>
          <w:szCs w:val="21"/>
          <w:highlight w:val="none"/>
        </w:rPr>
        <w:t>5.4因重大变故，采购任务取消的。</w:t>
      </w:r>
    </w:p>
    <w:p w14:paraId="465E0B06">
      <w:pPr>
        <w:adjustRightInd/>
        <w:spacing w:line="360" w:lineRule="auto"/>
        <w:ind w:firstLine="411" w:firstLineChars="196"/>
        <w:rPr>
          <w:rFonts w:ascii="宋体" w:hAnsi="宋体" w:cs="宋体"/>
          <w:bCs/>
          <w:color w:val="auto"/>
          <w:kern w:val="0"/>
          <w:szCs w:val="21"/>
          <w:highlight w:val="none"/>
        </w:rPr>
      </w:pPr>
      <w:r>
        <w:rPr>
          <w:rFonts w:hint="eastAsia" w:ascii="宋体" w:hAnsi="宋体" w:cs="宋体"/>
          <w:bCs/>
          <w:color w:val="auto"/>
          <w:kern w:val="0"/>
          <w:szCs w:val="21"/>
          <w:highlight w:val="none"/>
        </w:rPr>
        <w:t>废标后，采购代理机构应当将废标理由通知所有投标人。</w:t>
      </w:r>
    </w:p>
    <w:p w14:paraId="7D444A10">
      <w:pPr>
        <w:adjustRightInd/>
        <w:spacing w:line="360" w:lineRule="auto"/>
        <w:ind w:firstLine="411" w:firstLineChars="196"/>
        <w:rPr>
          <w:rFonts w:ascii="宋体" w:hAnsi="宋体" w:cs="宋体"/>
          <w:bCs/>
          <w:color w:val="auto"/>
          <w:kern w:val="0"/>
          <w:szCs w:val="21"/>
          <w:highlight w:val="none"/>
        </w:rPr>
      </w:pPr>
      <w:r>
        <w:rPr>
          <w:rFonts w:hint="eastAsia" w:ascii="宋体" w:hAnsi="宋体" w:cs="宋体"/>
          <w:bCs/>
          <w:color w:val="auto"/>
          <w:kern w:val="0"/>
          <w:szCs w:val="21"/>
          <w:highlight w:val="none"/>
        </w:rPr>
        <w:t>6.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9C8D4D2">
      <w:pPr>
        <w:adjustRightInd/>
        <w:spacing w:line="360" w:lineRule="auto"/>
        <w:ind w:firstLine="411" w:firstLineChars="196"/>
        <w:rPr>
          <w:rFonts w:ascii="宋体" w:hAnsi="宋体" w:cs="宋体"/>
          <w:bCs/>
          <w:color w:val="auto"/>
          <w:kern w:val="0"/>
          <w:szCs w:val="21"/>
          <w:highlight w:val="none"/>
        </w:rPr>
      </w:pPr>
      <w:r>
        <w:rPr>
          <w:rFonts w:hint="eastAsia" w:ascii="宋体" w:hAnsi="宋体" w:cs="宋体"/>
          <w:bCs/>
          <w:color w:val="auto"/>
          <w:kern w:val="0"/>
          <w:szCs w:val="21"/>
          <w:highlight w:val="none"/>
        </w:rPr>
        <w:t>7.重新开展采购。有政府采购法第七十一条、第七十二条规定的违法行为之一，影响或者可能影响中标、成交结果的，依照下列规定处理：</w:t>
      </w:r>
    </w:p>
    <w:p w14:paraId="6AE1DDC7">
      <w:pPr>
        <w:adjustRightInd/>
        <w:spacing w:line="360" w:lineRule="auto"/>
        <w:ind w:firstLine="411" w:firstLineChars="196"/>
        <w:rPr>
          <w:rFonts w:ascii="宋体" w:hAnsi="宋体" w:cs="宋体"/>
          <w:bCs/>
          <w:color w:val="auto"/>
          <w:kern w:val="0"/>
          <w:szCs w:val="21"/>
          <w:highlight w:val="none"/>
        </w:rPr>
      </w:pPr>
      <w:r>
        <w:rPr>
          <w:rFonts w:hint="eastAsia" w:ascii="宋体" w:hAnsi="宋体" w:cs="宋体"/>
          <w:bCs/>
          <w:color w:val="auto"/>
          <w:kern w:val="0"/>
          <w:szCs w:val="21"/>
          <w:highlight w:val="none"/>
        </w:rPr>
        <w:t>7.1未确定中标或者中标人的，终止本次政府采购活动，重新开展政府采购活动。</w:t>
      </w:r>
    </w:p>
    <w:p w14:paraId="7FAA5D9A">
      <w:pPr>
        <w:adjustRightInd/>
        <w:spacing w:line="360" w:lineRule="auto"/>
        <w:ind w:firstLine="411" w:firstLineChars="196"/>
        <w:rPr>
          <w:rFonts w:ascii="宋体" w:hAnsi="宋体" w:cs="宋体"/>
          <w:bCs/>
          <w:color w:val="auto"/>
          <w:kern w:val="0"/>
          <w:szCs w:val="21"/>
          <w:highlight w:val="none"/>
        </w:rPr>
      </w:pPr>
      <w:r>
        <w:rPr>
          <w:rFonts w:hint="eastAsia" w:ascii="宋体" w:hAnsi="宋体" w:cs="宋体"/>
          <w:bCs/>
          <w:color w:val="auto"/>
          <w:kern w:val="0"/>
          <w:szCs w:val="21"/>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14:paraId="0BB0EB31">
      <w:pPr>
        <w:adjustRightInd/>
        <w:spacing w:line="360" w:lineRule="auto"/>
        <w:ind w:firstLine="411" w:firstLineChars="196"/>
        <w:rPr>
          <w:rFonts w:ascii="宋体" w:hAnsi="宋体" w:cs="宋体"/>
          <w:bCs/>
          <w:color w:val="auto"/>
          <w:kern w:val="0"/>
          <w:szCs w:val="21"/>
          <w:highlight w:val="none"/>
        </w:rPr>
      </w:pPr>
      <w:r>
        <w:rPr>
          <w:rFonts w:hint="eastAsia" w:ascii="宋体" w:hAnsi="宋体" w:cs="宋体"/>
          <w:bCs/>
          <w:color w:val="auto"/>
          <w:kern w:val="0"/>
          <w:szCs w:val="21"/>
          <w:highlight w:val="none"/>
        </w:rPr>
        <w:t>7.3政府采购合同已签订但尚未履行的，撤销合同，从合格的中标或者成交候选人中另行确定中标或者中标人；没有合格的中标或者成交候选人的，重新开展政府采购活动。</w:t>
      </w:r>
    </w:p>
    <w:p w14:paraId="5A333A6E">
      <w:pPr>
        <w:adjustRightInd/>
        <w:spacing w:line="360" w:lineRule="auto"/>
        <w:ind w:firstLine="411" w:firstLineChars="196"/>
        <w:rPr>
          <w:rFonts w:ascii="宋体" w:hAnsi="宋体" w:cs="宋体"/>
          <w:bCs/>
          <w:color w:val="auto"/>
          <w:kern w:val="0"/>
          <w:szCs w:val="21"/>
          <w:highlight w:val="none"/>
        </w:rPr>
      </w:pPr>
      <w:r>
        <w:rPr>
          <w:rFonts w:hint="eastAsia" w:ascii="宋体" w:hAnsi="宋体" w:cs="宋体"/>
          <w:bCs/>
          <w:color w:val="auto"/>
          <w:kern w:val="0"/>
          <w:szCs w:val="21"/>
          <w:highlight w:val="none"/>
        </w:rPr>
        <w:t>7.4政府采购合同已经履行，给采购人、供应商造成损失的，由责任人承担赔偿责任。</w:t>
      </w:r>
    </w:p>
    <w:p w14:paraId="28A0B114">
      <w:pPr>
        <w:adjustRightInd/>
        <w:spacing w:line="360" w:lineRule="auto"/>
        <w:ind w:firstLine="411" w:firstLineChars="196"/>
        <w:rPr>
          <w:rFonts w:ascii="宋体" w:hAnsi="宋体" w:cs="宋体"/>
          <w:b/>
          <w:color w:val="auto"/>
          <w:szCs w:val="21"/>
          <w:highlight w:val="none"/>
        </w:rPr>
      </w:pPr>
      <w:r>
        <w:rPr>
          <w:rFonts w:hint="eastAsia" w:ascii="宋体" w:hAnsi="宋体" w:cs="宋体"/>
          <w:bCs/>
          <w:color w:val="auto"/>
          <w:kern w:val="0"/>
          <w:szCs w:val="21"/>
          <w:highlight w:val="none"/>
        </w:rPr>
        <w:t>7.5政府采购当事人有其他违反政府采购法或者政府采购法实施条例等法律法规规定的行为，经改正后仍然影响或者可能影响中标、成交结果或者依法被认定为中标、成交无效的，依照7.1-7.4规定处理。</w:t>
      </w:r>
      <w:bookmarkEnd w:id="32"/>
      <w:bookmarkStart w:id="406" w:name="第五部分"/>
      <w:bookmarkStart w:id="407" w:name="_Toc86217003"/>
      <w:r>
        <w:rPr>
          <w:rFonts w:hint="eastAsia" w:ascii="宋体" w:hAnsi="宋体" w:cs="宋体"/>
          <w:b/>
          <w:color w:val="auto"/>
          <w:szCs w:val="21"/>
          <w:highlight w:val="none"/>
        </w:rPr>
        <w:br w:type="page"/>
      </w:r>
    </w:p>
    <w:p w14:paraId="1923838D">
      <w:pPr>
        <w:pStyle w:val="2"/>
        <w:rPr>
          <w:color w:val="auto"/>
          <w:highlight w:val="none"/>
        </w:rPr>
      </w:pPr>
      <w:bookmarkStart w:id="408" w:name="_Toc2146"/>
      <w:r>
        <w:rPr>
          <w:rFonts w:hint="eastAsia"/>
          <w:color w:val="auto"/>
          <w:highlight w:val="none"/>
        </w:rPr>
        <w:t>第五部分 拟签订的合同文本</w:t>
      </w:r>
      <w:bookmarkEnd w:id="408"/>
    </w:p>
    <w:p w14:paraId="58BA799D">
      <w:pPr>
        <w:rPr>
          <w:rFonts w:ascii="宋体" w:hAnsi="宋体" w:cs="宋体"/>
          <w:color w:val="auto"/>
          <w:sz w:val="24"/>
          <w:highlight w:val="none"/>
          <w:u w:val="single"/>
        </w:rPr>
      </w:pPr>
      <w:r>
        <w:rPr>
          <w:rFonts w:hint="eastAsia" w:ascii="宋体" w:hAnsi="宋体" w:cs="宋体"/>
          <w:color w:val="auto"/>
          <w:sz w:val="24"/>
          <w:highlight w:val="none"/>
        </w:rPr>
        <w:t>合同编号：</w:t>
      </w:r>
    </w:p>
    <w:p w14:paraId="7D9F205D">
      <w:pPr>
        <w:spacing w:line="480" w:lineRule="auto"/>
        <w:jc w:val="center"/>
        <w:rPr>
          <w:rFonts w:ascii="宋体" w:hAnsi="宋体" w:cs="宋体"/>
          <w:b/>
          <w:color w:val="auto"/>
          <w:sz w:val="28"/>
          <w:szCs w:val="28"/>
          <w:highlight w:val="none"/>
        </w:rPr>
      </w:pPr>
    </w:p>
    <w:p w14:paraId="21A2EB08">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3007DD5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3BA25DCE">
      <w:pPr>
        <w:pStyle w:val="702"/>
        <w:rPr>
          <w:rFonts w:ascii="宋体" w:hAnsi="宋体" w:cs="宋体"/>
          <w:color w:val="auto"/>
          <w:szCs w:val="24"/>
          <w:highlight w:val="none"/>
        </w:rPr>
      </w:pPr>
    </w:p>
    <w:p w14:paraId="28E1A5B1">
      <w:pPr>
        <w:pStyle w:val="702"/>
        <w:jc w:val="center"/>
        <w:rPr>
          <w:rFonts w:ascii="宋体" w:hAnsi="宋体" w:cs="宋体"/>
          <w:color w:val="auto"/>
          <w:szCs w:val="24"/>
          <w:highlight w:val="none"/>
        </w:rPr>
      </w:pPr>
    </w:p>
    <w:p w14:paraId="02F1C31C">
      <w:pPr>
        <w:pStyle w:val="702"/>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4B5D3F32">
      <w:pPr>
        <w:pStyle w:val="702"/>
        <w:rPr>
          <w:rFonts w:ascii="宋体" w:hAnsi="宋体" w:cs="宋体"/>
          <w:color w:val="auto"/>
          <w:szCs w:val="24"/>
          <w:highlight w:val="none"/>
        </w:rPr>
      </w:pPr>
    </w:p>
    <w:p w14:paraId="6541BFF9">
      <w:pPr>
        <w:spacing w:before="120" w:line="22" w:lineRule="atLeast"/>
        <w:rPr>
          <w:rFonts w:ascii="宋体" w:hAnsi="宋体" w:cs="宋体"/>
          <w:color w:val="auto"/>
          <w:sz w:val="24"/>
          <w:highlight w:val="none"/>
        </w:rPr>
      </w:pPr>
    </w:p>
    <w:p w14:paraId="15506B2F">
      <w:pPr>
        <w:spacing w:before="120" w:line="22" w:lineRule="atLeast"/>
        <w:ind w:left="960"/>
        <w:rPr>
          <w:rFonts w:ascii="宋体" w:hAnsi="宋体" w:cs="宋体"/>
          <w:color w:val="auto"/>
          <w:szCs w:val="21"/>
          <w:highlight w:val="none"/>
          <w:u w:val="singl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p>
    <w:p w14:paraId="58995C28">
      <w:pPr>
        <w:spacing w:before="120" w:line="22" w:lineRule="atLeast"/>
        <w:ind w:left="960"/>
        <w:rPr>
          <w:rFonts w:ascii="宋体" w:hAnsi="宋体" w:cs="宋体"/>
          <w:color w:val="auto"/>
          <w:szCs w:val="21"/>
          <w:highlight w:val="none"/>
          <w:u w:val="single"/>
        </w:rPr>
      </w:pPr>
      <w:r>
        <w:rPr>
          <w:rFonts w:hint="eastAsia" w:ascii="宋体" w:hAnsi="宋体" w:cs="宋体"/>
          <w:color w:val="auto"/>
          <w:szCs w:val="21"/>
          <w:highlight w:val="none"/>
        </w:rPr>
        <w:t>标项名称：</w:t>
      </w:r>
      <w:r>
        <w:rPr>
          <w:rFonts w:hint="eastAsia" w:ascii="宋体" w:hAnsi="宋体" w:cs="宋体"/>
          <w:color w:val="auto"/>
          <w:szCs w:val="21"/>
          <w:highlight w:val="none"/>
          <w:u w:val="single"/>
        </w:rPr>
        <w:t xml:space="preserve">                                   </w:t>
      </w:r>
    </w:p>
    <w:p w14:paraId="76EC8BCB">
      <w:pPr>
        <w:pStyle w:val="25"/>
        <w:rPr>
          <w:color w:val="auto"/>
          <w:highlight w:val="none"/>
        </w:rPr>
      </w:pPr>
    </w:p>
    <w:p w14:paraId="66DD3E74">
      <w:pPr>
        <w:pStyle w:val="599"/>
        <w:spacing w:before="120" w:line="22" w:lineRule="atLeast"/>
        <w:rPr>
          <w:rFonts w:ascii="宋体" w:hAnsi="宋体" w:eastAsia="宋体" w:cs="宋体"/>
          <w:color w:val="auto"/>
          <w:sz w:val="21"/>
          <w:szCs w:val="21"/>
          <w:highlight w:val="none"/>
        </w:rPr>
      </w:pPr>
    </w:p>
    <w:p w14:paraId="13F10E52">
      <w:pPr>
        <w:pStyle w:val="599"/>
        <w:spacing w:before="120" w:line="22" w:lineRule="atLeast"/>
        <w:rPr>
          <w:rFonts w:ascii="宋体" w:hAnsi="宋体" w:eastAsia="宋体" w:cs="宋体"/>
          <w:color w:val="auto"/>
          <w:sz w:val="21"/>
          <w:szCs w:val="21"/>
          <w:highlight w:val="none"/>
        </w:rPr>
      </w:pPr>
    </w:p>
    <w:p w14:paraId="09FF6690">
      <w:pPr>
        <w:rPr>
          <w:rFonts w:ascii="宋体" w:hAnsi="宋体" w:cs="宋体"/>
          <w:color w:val="auto"/>
          <w:szCs w:val="21"/>
          <w:highlight w:val="none"/>
        </w:rPr>
      </w:pPr>
    </w:p>
    <w:p w14:paraId="089F092D">
      <w:pPr>
        <w:spacing w:before="120" w:line="22" w:lineRule="atLeast"/>
        <w:ind w:left="960"/>
        <w:rPr>
          <w:rFonts w:ascii="宋体" w:hAnsi="宋体" w:cs="宋体"/>
          <w:color w:val="auto"/>
          <w:szCs w:val="21"/>
          <w:highlight w:val="none"/>
          <w:u w:val="single"/>
        </w:rPr>
      </w:pPr>
      <w:r>
        <w:rPr>
          <w:rFonts w:hint="eastAsia" w:ascii="宋体" w:hAnsi="宋体" w:cs="宋体"/>
          <w:color w:val="auto"/>
          <w:szCs w:val="21"/>
          <w:highlight w:val="none"/>
        </w:rPr>
        <w:t>甲方：</w:t>
      </w:r>
      <w:r>
        <w:rPr>
          <w:rFonts w:hint="eastAsia" w:ascii="宋体" w:hAnsi="宋体" w:cs="宋体"/>
          <w:color w:val="auto"/>
          <w:szCs w:val="21"/>
          <w:highlight w:val="none"/>
          <w:u w:val="single"/>
        </w:rPr>
        <w:t xml:space="preserve">                                       </w:t>
      </w:r>
    </w:p>
    <w:p w14:paraId="4B348B7A">
      <w:pPr>
        <w:spacing w:before="120" w:line="22" w:lineRule="atLeast"/>
        <w:rPr>
          <w:rFonts w:ascii="宋体" w:hAnsi="宋体" w:cs="宋体"/>
          <w:color w:val="auto"/>
          <w:szCs w:val="21"/>
          <w:highlight w:val="none"/>
        </w:rPr>
      </w:pPr>
    </w:p>
    <w:p w14:paraId="1B64A186">
      <w:pPr>
        <w:spacing w:before="120" w:line="22" w:lineRule="atLeast"/>
        <w:ind w:left="960"/>
        <w:rPr>
          <w:rFonts w:ascii="宋体" w:hAnsi="宋体" w:cs="宋体"/>
          <w:color w:val="auto"/>
          <w:szCs w:val="21"/>
          <w:highlight w:val="none"/>
          <w:u w:val="single"/>
        </w:rPr>
      </w:pPr>
      <w:r>
        <w:rPr>
          <w:rFonts w:hint="eastAsia" w:ascii="宋体" w:hAnsi="宋体" w:cs="宋体"/>
          <w:color w:val="auto"/>
          <w:szCs w:val="21"/>
          <w:highlight w:val="none"/>
        </w:rPr>
        <w:t>乙方：</w:t>
      </w:r>
      <w:r>
        <w:rPr>
          <w:rFonts w:hint="eastAsia" w:ascii="宋体" w:hAnsi="宋体" w:cs="宋体"/>
          <w:color w:val="auto"/>
          <w:szCs w:val="21"/>
          <w:highlight w:val="none"/>
          <w:u w:val="single"/>
        </w:rPr>
        <w:t xml:space="preserve">                                       </w:t>
      </w:r>
    </w:p>
    <w:p w14:paraId="7EDF12F2">
      <w:pPr>
        <w:spacing w:before="120" w:line="22" w:lineRule="atLeast"/>
        <w:rPr>
          <w:rFonts w:ascii="宋体" w:hAnsi="宋体" w:cs="宋体"/>
          <w:color w:val="auto"/>
          <w:szCs w:val="21"/>
          <w:highlight w:val="none"/>
        </w:rPr>
      </w:pPr>
    </w:p>
    <w:p w14:paraId="43D8991F">
      <w:pPr>
        <w:spacing w:before="120" w:line="22" w:lineRule="atLeast"/>
        <w:ind w:firstLine="840" w:firstLineChars="400"/>
        <w:rPr>
          <w:rFonts w:ascii="宋体" w:hAnsi="宋体" w:cs="宋体"/>
          <w:color w:val="auto"/>
          <w:szCs w:val="21"/>
          <w:highlight w:val="none"/>
          <w:u w:val="single"/>
        </w:rPr>
      </w:pPr>
      <w:r>
        <w:rPr>
          <w:rFonts w:hint="eastAsia" w:ascii="宋体" w:hAnsi="宋体" w:cs="宋体"/>
          <w:color w:val="auto"/>
          <w:szCs w:val="21"/>
          <w:highlight w:val="none"/>
        </w:rPr>
        <w:t>签订地：</w:t>
      </w:r>
      <w:r>
        <w:rPr>
          <w:rFonts w:hint="eastAsia" w:ascii="宋体" w:hAnsi="宋体" w:cs="宋体"/>
          <w:color w:val="auto"/>
          <w:szCs w:val="21"/>
          <w:highlight w:val="none"/>
          <w:u w:val="single"/>
        </w:rPr>
        <w:t xml:space="preserve">                                     </w:t>
      </w:r>
    </w:p>
    <w:p w14:paraId="42DD95FD">
      <w:pPr>
        <w:spacing w:before="120" w:line="22" w:lineRule="atLeast"/>
        <w:rPr>
          <w:rFonts w:ascii="宋体" w:hAnsi="宋体" w:cs="宋体"/>
          <w:color w:val="auto"/>
          <w:szCs w:val="21"/>
          <w:highlight w:val="none"/>
        </w:rPr>
      </w:pPr>
    </w:p>
    <w:p w14:paraId="27055DC9">
      <w:pPr>
        <w:spacing w:before="120" w:line="22" w:lineRule="atLeast"/>
        <w:ind w:firstLine="840" w:firstLineChars="400"/>
        <w:rPr>
          <w:rFonts w:ascii="宋体" w:hAnsi="宋体" w:cs="宋体"/>
          <w:color w:val="auto"/>
          <w:szCs w:val="21"/>
          <w:highlight w:val="none"/>
          <w:u w:val="single"/>
        </w:rPr>
      </w:pPr>
      <w:r>
        <w:rPr>
          <w:rFonts w:hint="eastAsia" w:ascii="宋体" w:hAnsi="宋体" w:cs="宋体"/>
          <w:color w:val="auto"/>
          <w:szCs w:val="21"/>
          <w:highlight w:val="none"/>
        </w:rPr>
        <w:t>签订日期：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6E89C83A">
      <w:pPr>
        <w:widowControl/>
        <w:jc w:val="left"/>
        <w:rPr>
          <w:rFonts w:ascii="宋体" w:hAnsi="宋体" w:cs="宋体"/>
          <w:color w:val="auto"/>
          <w:kern w:val="0"/>
          <w:sz w:val="24"/>
          <w:highlight w:val="none"/>
        </w:rPr>
        <w:sectPr>
          <w:headerReference r:id="rId9" w:type="default"/>
          <w:footerReference r:id="rId10" w:type="default"/>
          <w:pgSz w:w="11907" w:h="16840"/>
          <w:pgMar w:top="680" w:right="1417" w:bottom="471" w:left="1417" w:header="851" w:footer="851" w:gutter="0"/>
          <w:cols w:space="720" w:num="1"/>
        </w:sectPr>
      </w:pPr>
    </w:p>
    <w:p w14:paraId="5F0FC2F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lang w:val="zh-CN"/>
        </w:rPr>
        <w:t>年</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lang w:val="zh-CN"/>
        </w:rPr>
        <w:t>月</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lang w:val="zh-CN"/>
        </w:rPr>
        <w:t>日</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杭州市余杭区数据资源管理局</w:t>
      </w:r>
      <w:r>
        <w:rPr>
          <w:rFonts w:hint="eastAsia" w:ascii="宋体" w:hAnsi="宋体" w:cs="宋体"/>
          <w:color w:val="auto"/>
          <w:szCs w:val="21"/>
          <w:highlight w:val="none"/>
        </w:rPr>
        <w:t>以</w:t>
      </w:r>
      <w:r>
        <w:rPr>
          <w:rFonts w:hint="eastAsia" w:ascii="宋体" w:hAnsi="宋体" w:cs="宋体"/>
          <w:color w:val="auto"/>
          <w:szCs w:val="21"/>
          <w:highlight w:val="none"/>
          <w:u w:val="single"/>
        </w:rPr>
        <w:t>公开招标</w:t>
      </w:r>
      <w:r>
        <w:rPr>
          <w:rFonts w:hint="eastAsia" w:ascii="宋体" w:hAnsi="宋体" w:cs="宋体"/>
          <w:color w:val="auto"/>
          <w:szCs w:val="21"/>
          <w:highlight w:val="none"/>
        </w:rPr>
        <w:t>对</w:t>
      </w:r>
      <w:r>
        <w:rPr>
          <w:rFonts w:hint="eastAsia" w:ascii="宋体" w:hAnsi="宋体" w:cs="宋体"/>
          <w:color w:val="auto"/>
          <w:szCs w:val="21"/>
          <w:highlight w:val="none"/>
          <w:u w:val="single"/>
        </w:rPr>
        <w:t>AI余杭建设项目</w:t>
      </w:r>
      <w:r>
        <w:rPr>
          <w:rFonts w:hint="eastAsia" w:ascii="宋体" w:hAnsi="宋体" w:cs="宋体"/>
          <w:color w:val="auto"/>
          <w:szCs w:val="21"/>
          <w:highlight w:val="none"/>
        </w:rPr>
        <w:t>进行了采购。经</w:t>
      </w:r>
      <w:r>
        <w:rPr>
          <w:rFonts w:hint="eastAsia" w:ascii="宋体" w:hAnsi="宋体" w:cs="宋体"/>
          <w:color w:val="auto"/>
          <w:szCs w:val="21"/>
          <w:highlight w:val="none"/>
          <w:u w:val="single"/>
        </w:rPr>
        <w:t>AI余杭建设项目评审小组</w:t>
      </w:r>
      <w:r>
        <w:rPr>
          <w:rFonts w:hint="eastAsia" w:ascii="宋体" w:hAnsi="宋体" w:cs="宋体"/>
          <w:color w:val="auto"/>
          <w:szCs w:val="21"/>
          <w:highlight w:val="none"/>
        </w:rPr>
        <w:t>评定，</w:t>
      </w:r>
      <w:r>
        <w:rPr>
          <w:rFonts w:hint="eastAsia" w:ascii="宋体" w:hAnsi="宋体" w:cs="宋体"/>
          <w:color w:val="auto"/>
          <w:szCs w:val="21"/>
          <w:highlight w:val="none"/>
          <w:u w:val="single"/>
        </w:rPr>
        <w:t>（中标供应商名称）</w:t>
      </w:r>
      <w:r>
        <w:rPr>
          <w:rFonts w:hint="eastAsia" w:ascii="宋体" w:hAnsi="宋体" w:cs="宋体"/>
          <w:color w:val="auto"/>
          <w:szCs w:val="21"/>
          <w:highlight w:val="none"/>
        </w:rPr>
        <w:t>为该项目</w:t>
      </w:r>
      <w:r>
        <w:rPr>
          <w:rFonts w:hint="eastAsia" w:ascii="宋体" w:hAnsi="宋体" w:cs="宋体"/>
          <w:color w:val="auto"/>
          <w:szCs w:val="21"/>
          <w:highlight w:val="none"/>
          <w:u w:val="single"/>
        </w:rPr>
        <w:t xml:space="preserve">  （标项名称）  </w:t>
      </w:r>
      <w:r>
        <w:rPr>
          <w:rFonts w:hint="eastAsia" w:ascii="宋体" w:hAnsi="宋体" w:cs="宋体"/>
          <w:color w:val="auto"/>
          <w:szCs w:val="21"/>
          <w:highlight w:val="none"/>
        </w:rPr>
        <w:t>中标供应商。现于中标通知书发出之日起三十日内，按照招标文件确定的事项签订本合同。</w:t>
      </w:r>
    </w:p>
    <w:p w14:paraId="4B7F84E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zh-CN"/>
        </w:rPr>
        <w:t>根据《中华人民共和国民法典》《中华人民共和国政府采购法》等相关法律法规之规定，按照平等、自愿、公平</w:t>
      </w:r>
      <w:r>
        <w:rPr>
          <w:rFonts w:hint="eastAsia" w:ascii="宋体" w:hAnsi="宋体" w:cs="宋体"/>
          <w:color w:val="auto"/>
          <w:szCs w:val="21"/>
          <w:highlight w:val="none"/>
        </w:rPr>
        <w:t>和</w:t>
      </w:r>
      <w:r>
        <w:rPr>
          <w:rFonts w:hint="eastAsia" w:ascii="宋体" w:hAnsi="宋体" w:cs="宋体"/>
          <w:color w:val="auto"/>
          <w:szCs w:val="21"/>
          <w:highlight w:val="none"/>
          <w:lang w:val="zh-CN"/>
        </w:rPr>
        <w:t>诚实信用的原则，经</w:t>
      </w:r>
      <w:r>
        <w:rPr>
          <w:rFonts w:hint="eastAsia" w:ascii="宋体" w:hAnsi="宋体" w:cs="宋体"/>
          <w:color w:val="auto"/>
          <w:szCs w:val="21"/>
          <w:highlight w:val="none"/>
          <w:u w:val="single"/>
        </w:rPr>
        <w:t>杭州市余杭区数据资源管理局（</w:t>
      </w:r>
      <w:r>
        <w:rPr>
          <w:rFonts w:hint="eastAsia" w:ascii="宋体" w:hAnsi="宋体" w:cs="宋体"/>
          <w:color w:val="auto"/>
          <w:szCs w:val="21"/>
          <w:highlight w:val="none"/>
          <w:lang w:val="zh-CN"/>
        </w:rPr>
        <w:t>以下简称：甲方）和</w:t>
      </w:r>
      <w:r>
        <w:rPr>
          <w:rFonts w:hint="eastAsia" w:ascii="宋体" w:hAnsi="宋体" w:cs="宋体"/>
          <w:color w:val="auto"/>
          <w:szCs w:val="21"/>
          <w:highlight w:val="none"/>
          <w:u w:val="single"/>
        </w:rPr>
        <w:t>（中标供应商名称）（</w:t>
      </w:r>
      <w:r>
        <w:rPr>
          <w:rFonts w:hint="eastAsia" w:ascii="宋体" w:hAnsi="宋体" w:cs="宋体"/>
          <w:color w:val="auto"/>
          <w:szCs w:val="21"/>
          <w:highlight w:val="none"/>
          <w:lang w:val="zh-CN"/>
        </w:rPr>
        <w:t>以下简称：乙方）协商一致，约定以下合同</w:t>
      </w:r>
      <w:r>
        <w:rPr>
          <w:rFonts w:hint="eastAsia" w:ascii="宋体" w:hAnsi="宋体" w:cs="宋体"/>
          <w:color w:val="auto"/>
          <w:szCs w:val="21"/>
          <w:highlight w:val="none"/>
        </w:rPr>
        <w:t>条款，以兹共同遵守、全面履行。</w:t>
      </w:r>
    </w:p>
    <w:p w14:paraId="6398EC72">
      <w:pPr>
        <w:pStyle w:val="4"/>
        <w:ind w:firstLine="428"/>
        <w:rPr>
          <w:color w:val="auto"/>
          <w:szCs w:val="21"/>
          <w:highlight w:val="none"/>
        </w:rPr>
      </w:pPr>
      <w:r>
        <w:rPr>
          <w:rFonts w:hint="eastAsia"/>
          <w:color w:val="auto"/>
          <w:szCs w:val="21"/>
          <w:highlight w:val="none"/>
        </w:rPr>
        <w:t>1.1合同组成部分</w:t>
      </w:r>
    </w:p>
    <w:p w14:paraId="7678B52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下列文件为本合同的组成部分，并构成一个整体，需综合解释、相互补充。如果下列文件内容出现不一致的情形，那么在保证按照招标文件确定的事项的前提下，组成本合同的多份文件的优先适用顺序如下：</w:t>
      </w:r>
    </w:p>
    <w:p w14:paraId="1A62130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1.1.1本合同及其补充合同、变更协议；</w:t>
      </w:r>
    </w:p>
    <w:p w14:paraId="15C204E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1.1.2中标通知书；</w:t>
      </w:r>
    </w:p>
    <w:p w14:paraId="1FC0360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1.1.3招标文件（含澄清或者修改文件）；</w:t>
      </w:r>
    </w:p>
    <w:p w14:paraId="5DCF905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1.1.4投标文件（含澄清或者说明文件）；</w:t>
      </w:r>
    </w:p>
    <w:p w14:paraId="2C06ECC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1.1.5其他相关招标文件。</w:t>
      </w:r>
    </w:p>
    <w:p w14:paraId="47DD5FD5">
      <w:pPr>
        <w:pStyle w:val="4"/>
        <w:ind w:firstLine="428"/>
        <w:rPr>
          <w:color w:val="auto"/>
          <w:szCs w:val="21"/>
          <w:highlight w:val="none"/>
        </w:rPr>
      </w:pPr>
      <w:bookmarkStart w:id="409" w:name="_Toc24300"/>
      <w:bookmarkStart w:id="410" w:name="_Toc21295"/>
      <w:bookmarkStart w:id="411" w:name="_Toc27126"/>
      <w:r>
        <w:rPr>
          <w:rFonts w:hint="eastAsia"/>
          <w:color w:val="auto"/>
          <w:szCs w:val="21"/>
          <w:highlight w:val="none"/>
        </w:rPr>
        <w:t>1.2</w:t>
      </w:r>
      <w:bookmarkEnd w:id="409"/>
      <w:bookmarkEnd w:id="410"/>
      <w:bookmarkEnd w:id="411"/>
      <w:r>
        <w:rPr>
          <w:rFonts w:hint="eastAsia"/>
          <w:color w:val="auto"/>
          <w:szCs w:val="21"/>
          <w:highlight w:val="none"/>
        </w:rPr>
        <w:t>标的</w:t>
      </w:r>
    </w:p>
    <w:p w14:paraId="7A672F3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1.2.1服务内容：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EF7EE6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1.2.2服务标准：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47FAB2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1.2.3技术保障：</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80F1942">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1.2.4服务人员组成：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C02733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1.2.5合同</w:t>
      </w:r>
      <w:r>
        <w:rPr>
          <w:rFonts w:hint="eastAsia" w:ascii="宋体" w:hAnsi="宋体" w:cs="宋体"/>
          <w:color w:val="auto"/>
          <w:szCs w:val="21"/>
          <w:highlight w:val="none"/>
          <w:u w:val="single"/>
        </w:rPr>
        <w:t>否</w:t>
      </w:r>
      <w:r>
        <w:rPr>
          <w:rFonts w:hint="eastAsia" w:ascii="宋体" w:hAnsi="宋体" w:cs="宋体"/>
          <w:color w:val="auto"/>
          <w:szCs w:val="21"/>
          <w:highlight w:val="none"/>
        </w:rPr>
        <w:t>（是/否）涉及货物。若涉及货物的，则：</w:t>
      </w:r>
    </w:p>
    <w:p w14:paraId="2DC9E5E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1.2.5.1货物名称、品牌、规格型号、花色：</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894162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1.2.5.2货物数量：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64FB46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1.2.5.3货物质量：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B1BA272">
      <w:pPr>
        <w:pStyle w:val="4"/>
        <w:ind w:firstLine="428"/>
        <w:rPr>
          <w:color w:val="auto"/>
          <w:szCs w:val="21"/>
          <w:highlight w:val="none"/>
        </w:rPr>
      </w:pPr>
      <w:r>
        <w:rPr>
          <w:rFonts w:hint="eastAsia"/>
          <w:color w:val="auto"/>
          <w:szCs w:val="21"/>
          <w:highlight w:val="none"/>
        </w:rPr>
        <w:t>1.3 价款</w:t>
      </w:r>
    </w:p>
    <w:p w14:paraId="28BA400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本合同总价（含税）为：￥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元人民币）。</w:t>
      </w:r>
    </w:p>
    <w:p w14:paraId="43BE1F60">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明细附后：</w:t>
      </w:r>
    </w:p>
    <w:p w14:paraId="0CFB691E">
      <w:pPr>
        <w:spacing w:line="360" w:lineRule="auto"/>
        <w:ind w:firstLine="422" w:firstLineChars="200"/>
        <w:rPr>
          <w:rFonts w:ascii="宋体" w:hAnsi="宋体" w:cs="宋体"/>
          <w:b/>
          <w:bCs/>
          <w:color w:val="auto"/>
          <w:szCs w:val="21"/>
          <w:highlight w:val="none"/>
        </w:rPr>
      </w:pPr>
    </w:p>
    <w:p w14:paraId="5884B298">
      <w:pPr>
        <w:pStyle w:val="4"/>
        <w:ind w:firstLine="428"/>
        <w:rPr>
          <w:rFonts w:hint="eastAsia" w:ascii="Arial" w:hAnsi="Arial" w:eastAsia="宋体" w:cs="Times New Roman"/>
          <w:b/>
          <w:color w:val="auto"/>
          <w:szCs w:val="21"/>
          <w:highlight w:val="none"/>
        </w:rPr>
      </w:pPr>
      <w:bookmarkStart w:id="412" w:name="_Toc10496"/>
      <w:r>
        <w:rPr>
          <w:rFonts w:hint="eastAsia" w:ascii="Arial" w:hAnsi="Arial" w:eastAsia="宋体" w:cs="Times New Roman"/>
          <w:b/>
          <w:color w:val="auto"/>
          <w:szCs w:val="21"/>
          <w:highlight w:val="none"/>
        </w:rPr>
        <w:t>1.4履约保证金</w:t>
      </w:r>
      <w:bookmarkEnd w:id="412"/>
    </w:p>
    <w:p w14:paraId="194FE1BC">
      <w:pPr>
        <w:spacing w:line="360" w:lineRule="auto"/>
        <w:ind w:firstLine="420" w:firstLineChars="200"/>
        <w:rPr>
          <w:color w:val="auto"/>
          <w:highlight w:val="none"/>
        </w:rPr>
      </w:pPr>
      <w:r>
        <w:rPr>
          <w:rFonts w:hint="eastAsia"/>
          <w:color w:val="auto"/>
          <w:szCs w:val="21"/>
          <w:highlight w:val="none"/>
        </w:rPr>
        <w:t>乙方</w:t>
      </w:r>
      <w:r>
        <w:rPr>
          <w:rFonts w:hint="eastAsia"/>
          <w:color w:val="auto"/>
          <w:szCs w:val="21"/>
          <w:highlight w:val="none"/>
          <w:u w:val="single"/>
        </w:rPr>
        <w:t xml:space="preserve">  否  </w:t>
      </w:r>
      <w:r>
        <w:rPr>
          <w:rFonts w:hint="eastAsia"/>
          <w:color w:val="auto"/>
          <w:szCs w:val="21"/>
          <w:highlight w:val="none"/>
        </w:rPr>
        <w:t>（是/否）需要支付履约保证金。</w:t>
      </w:r>
    </w:p>
    <w:p w14:paraId="14A7E61A">
      <w:pPr>
        <w:pStyle w:val="4"/>
        <w:ind w:firstLine="428"/>
        <w:rPr>
          <w:rFonts w:hint="eastAsia" w:ascii="Arial" w:hAnsi="Arial" w:eastAsia="宋体" w:cs="Times New Roman"/>
          <w:b/>
          <w:color w:val="auto"/>
          <w:szCs w:val="21"/>
          <w:highlight w:val="none"/>
        </w:rPr>
      </w:pPr>
      <w:bookmarkStart w:id="413" w:name="_Toc5938"/>
      <w:r>
        <w:rPr>
          <w:rFonts w:hint="eastAsia" w:ascii="Arial" w:hAnsi="Arial" w:eastAsia="宋体" w:cs="Times New Roman"/>
          <w:b/>
          <w:color w:val="auto"/>
          <w:szCs w:val="21"/>
          <w:highlight w:val="none"/>
        </w:rPr>
        <w:t>1.5预付款</w:t>
      </w:r>
      <w:bookmarkEnd w:id="413"/>
    </w:p>
    <w:p w14:paraId="7CCB1BC4">
      <w:pPr>
        <w:pStyle w:val="958"/>
        <w:spacing w:before="0" w:beforeAutospacing="0" w:after="0" w:afterAutospacing="0" w:line="360" w:lineRule="auto"/>
        <w:ind w:firstLine="480"/>
        <w:rPr>
          <w:color w:val="auto"/>
          <w:sz w:val="21"/>
          <w:szCs w:val="21"/>
          <w:highlight w:val="none"/>
        </w:rPr>
      </w:pPr>
      <w:r>
        <w:rPr>
          <w:rFonts w:hint="eastAsia"/>
          <w:color w:val="auto"/>
          <w:sz w:val="21"/>
          <w:szCs w:val="21"/>
          <w:highlight w:val="none"/>
        </w:rPr>
        <w:t>甲方</w:t>
      </w:r>
      <w:r>
        <w:rPr>
          <w:rFonts w:hint="eastAsia"/>
          <w:color w:val="auto"/>
          <w:sz w:val="21"/>
          <w:szCs w:val="21"/>
          <w:highlight w:val="none"/>
          <w:u w:val="single"/>
        </w:rPr>
        <w:t>是</w:t>
      </w:r>
      <w:r>
        <w:rPr>
          <w:rFonts w:hint="eastAsia"/>
          <w:color w:val="auto"/>
          <w:sz w:val="21"/>
          <w:szCs w:val="21"/>
          <w:highlight w:val="none"/>
        </w:rPr>
        <w:t>（是/否）需要支付预付款。若需要支付预付款的，则：</w:t>
      </w:r>
    </w:p>
    <w:p w14:paraId="597216EC">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1.5.1预付款比例、支付方式、时间详见</w:t>
      </w:r>
      <w:r>
        <w:rPr>
          <w:rFonts w:hint="eastAsia" w:ascii="宋体" w:hAnsi="宋体" w:cs="宋体"/>
          <w:b/>
          <w:i/>
          <w:color w:val="auto"/>
          <w:szCs w:val="21"/>
          <w:highlight w:val="none"/>
          <w:u w:val="single"/>
        </w:rPr>
        <w:t>合同专用条款</w:t>
      </w:r>
      <w:r>
        <w:rPr>
          <w:rFonts w:hint="eastAsia" w:ascii="宋体" w:hAnsi="宋体" w:cs="宋体"/>
          <w:color w:val="auto"/>
          <w:kern w:val="0"/>
          <w:szCs w:val="21"/>
          <w:highlight w:val="none"/>
        </w:rPr>
        <w:t>；</w:t>
      </w:r>
    </w:p>
    <w:p w14:paraId="0473E198">
      <w:pPr>
        <w:pStyle w:val="958"/>
        <w:spacing w:before="0" w:beforeAutospacing="0" w:after="0" w:afterAutospacing="0" w:line="360" w:lineRule="auto"/>
        <w:ind w:firstLine="480"/>
        <w:rPr>
          <w:color w:val="auto"/>
          <w:sz w:val="21"/>
          <w:szCs w:val="21"/>
          <w:highlight w:val="none"/>
        </w:rPr>
      </w:pPr>
      <w:r>
        <w:rPr>
          <w:rFonts w:hint="eastAsia"/>
          <w:color w:val="auto"/>
          <w:sz w:val="21"/>
          <w:szCs w:val="21"/>
          <w:highlight w:val="none"/>
        </w:rPr>
        <w:t>1.5.2预付款的扣回方式详见</w:t>
      </w:r>
      <w:r>
        <w:rPr>
          <w:rFonts w:hint="eastAsia"/>
          <w:b/>
          <w:i/>
          <w:color w:val="auto"/>
          <w:sz w:val="21"/>
          <w:szCs w:val="21"/>
          <w:highlight w:val="none"/>
          <w:u w:val="single"/>
        </w:rPr>
        <w:t>合同专用条款</w:t>
      </w:r>
      <w:r>
        <w:rPr>
          <w:rFonts w:hint="eastAsia"/>
          <w:color w:val="auto"/>
          <w:sz w:val="21"/>
          <w:szCs w:val="21"/>
          <w:highlight w:val="none"/>
        </w:rPr>
        <w:t>；</w:t>
      </w:r>
    </w:p>
    <w:p w14:paraId="67E319AA">
      <w:pPr>
        <w:pStyle w:val="958"/>
        <w:spacing w:before="0" w:beforeAutospacing="0" w:after="0" w:afterAutospacing="0" w:line="360" w:lineRule="auto"/>
        <w:ind w:firstLine="480"/>
        <w:rPr>
          <w:color w:val="auto"/>
          <w:sz w:val="21"/>
          <w:szCs w:val="21"/>
          <w:highlight w:val="none"/>
          <w:u w:val="single"/>
        </w:rPr>
      </w:pPr>
      <w:r>
        <w:rPr>
          <w:rFonts w:hint="eastAsia"/>
          <w:color w:val="auto"/>
          <w:sz w:val="21"/>
          <w:szCs w:val="21"/>
          <w:highlight w:val="none"/>
        </w:rPr>
        <w:t>1.5.3预付款的担保措施详见</w:t>
      </w:r>
      <w:r>
        <w:rPr>
          <w:rFonts w:hint="eastAsia"/>
          <w:b/>
          <w:i/>
          <w:color w:val="auto"/>
          <w:sz w:val="21"/>
          <w:szCs w:val="21"/>
          <w:highlight w:val="none"/>
          <w:u w:val="single"/>
        </w:rPr>
        <w:t>合同专用条款</w:t>
      </w:r>
      <w:r>
        <w:rPr>
          <w:rFonts w:hint="eastAsia"/>
          <w:color w:val="auto"/>
          <w:sz w:val="21"/>
          <w:szCs w:val="21"/>
          <w:highlight w:val="none"/>
        </w:rPr>
        <w:t>。</w:t>
      </w:r>
    </w:p>
    <w:p w14:paraId="27D4DC12">
      <w:pPr>
        <w:pStyle w:val="4"/>
        <w:ind w:firstLine="428"/>
        <w:rPr>
          <w:rFonts w:hint="eastAsia" w:ascii="Arial" w:hAnsi="Arial" w:eastAsia="宋体" w:cs="Times New Roman"/>
          <w:b/>
          <w:color w:val="auto"/>
          <w:szCs w:val="21"/>
          <w:highlight w:val="none"/>
        </w:rPr>
      </w:pPr>
      <w:r>
        <w:rPr>
          <w:rFonts w:hint="eastAsia" w:ascii="Arial" w:hAnsi="Arial" w:eastAsia="宋体" w:cs="Times New Roman"/>
          <w:b/>
          <w:color w:val="auto"/>
          <w:szCs w:val="21"/>
          <w:highlight w:val="none"/>
        </w:rPr>
        <w:t>1.6资金支付</w:t>
      </w:r>
    </w:p>
    <w:p w14:paraId="1135D890">
      <w:pPr>
        <w:pStyle w:val="958"/>
        <w:spacing w:before="0" w:beforeAutospacing="0" w:after="0" w:afterAutospacing="0"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甲方应严格履行合同，及时组织上线运行签字确认，上线运行使用情况确认合格后及时一次性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5D4EA22">
      <w:pPr>
        <w:pStyle w:val="958"/>
        <w:spacing w:before="0" w:beforeAutospacing="0" w:after="0" w:afterAutospacing="0" w:line="360" w:lineRule="auto"/>
        <w:ind w:firstLine="480"/>
        <w:rPr>
          <w:rFonts w:hint="eastAsia" w:ascii="宋体" w:hAnsi="宋体" w:eastAsia="宋体" w:cs="宋体"/>
          <w:color w:val="auto"/>
          <w:sz w:val="21"/>
          <w:szCs w:val="21"/>
          <w:highlight w:val="none"/>
        </w:rPr>
      </w:pPr>
      <w:bookmarkStart w:id="414" w:name="_Toc24613"/>
      <w:r>
        <w:rPr>
          <w:rFonts w:hint="eastAsia" w:ascii="宋体" w:hAnsi="宋体" w:eastAsia="宋体" w:cs="宋体"/>
          <w:color w:val="auto"/>
          <w:sz w:val="21"/>
          <w:szCs w:val="21"/>
          <w:highlight w:val="none"/>
          <w:lang w:val="en-US" w:eastAsia="zh-CN"/>
        </w:rPr>
        <w:t>1.6.2资金支付的方式、时间</w:t>
      </w:r>
      <w:r>
        <w:rPr>
          <w:rFonts w:hint="eastAsia" w:ascii="宋体" w:hAnsi="宋体" w:eastAsia="宋体" w:cs="宋体"/>
          <w:color w:val="auto"/>
          <w:sz w:val="21"/>
          <w:szCs w:val="21"/>
          <w:highlight w:val="none"/>
        </w:rPr>
        <w:t>和条件详见</w:t>
      </w:r>
      <w:r>
        <w:rPr>
          <w:rFonts w:hint="eastAsia" w:ascii="宋体" w:hAnsi="宋体" w:eastAsia="宋体" w:cs="宋体"/>
          <w:b/>
          <w:i/>
          <w:color w:val="auto"/>
          <w:kern w:val="2"/>
          <w:sz w:val="21"/>
          <w:szCs w:val="21"/>
          <w:highlight w:val="none"/>
          <w:u w:val="single"/>
          <w:lang w:val="en-US" w:eastAsia="zh-CN" w:bidi="ar-SA"/>
        </w:rPr>
        <w:t>合同专用条款。</w:t>
      </w:r>
      <w:bookmarkEnd w:id="414"/>
    </w:p>
    <w:p w14:paraId="2472D085">
      <w:pPr>
        <w:pStyle w:val="4"/>
        <w:ind w:firstLine="428"/>
        <w:rPr>
          <w:rFonts w:hint="eastAsia" w:ascii="Arial" w:hAnsi="Arial" w:eastAsia="宋体" w:cs="Times New Roman"/>
          <w:b/>
          <w:color w:val="auto"/>
          <w:szCs w:val="21"/>
          <w:highlight w:val="none"/>
        </w:rPr>
      </w:pPr>
      <w:bookmarkStart w:id="415" w:name="_Toc32676"/>
      <w:r>
        <w:rPr>
          <w:rFonts w:hint="eastAsia" w:ascii="Arial" w:hAnsi="Arial" w:eastAsia="宋体" w:cs="Times New Roman"/>
          <w:b/>
          <w:color w:val="auto"/>
          <w:szCs w:val="21"/>
          <w:highlight w:val="none"/>
        </w:rPr>
        <w:t>1.7履行期限、地点和方式</w:t>
      </w:r>
      <w:bookmarkEnd w:id="415"/>
    </w:p>
    <w:p w14:paraId="2341069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1.7.1服务交付（实施）的时间（期限）：</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w:t>
      </w:r>
    </w:p>
    <w:p w14:paraId="6343F58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1.7.2服务交付（实施）的地点（地域范围）：</w:t>
      </w:r>
      <w:r>
        <w:rPr>
          <w:rFonts w:hint="eastAsia" w:ascii="宋体" w:hAnsi="宋体" w:eastAsia="宋体" w:cs="宋体"/>
          <w:b/>
          <w:i/>
          <w:color w:val="auto"/>
          <w:szCs w:val="21"/>
          <w:highlight w:val="none"/>
          <w:u w:val="single"/>
        </w:rPr>
        <w:t>合同专用条款；</w:t>
      </w:r>
    </w:p>
    <w:p w14:paraId="5CDF0C33">
      <w:pPr>
        <w:spacing w:line="360" w:lineRule="auto"/>
        <w:ind w:firstLine="420" w:firstLineChars="200"/>
        <w:rPr>
          <w:rFonts w:hint="eastAsia" w:ascii="宋体" w:hAnsi="宋体" w:eastAsia="宋体" w:cs="宋体"/>
          <w:color w:val="auto"/>
          <w:szCs w:val="21"/>
          <w:highlight w:val="none"/>
        </w:rPr>
      </w:pPr>
      <w:bookmarkStart w:id="416" w:name="_Toc21332"/>
      <w:r>
        <w:rPr>
          <w:rFonts w:hint="eastAsia" w:ascii="宋体" w:hAnsi="宋体" w:eastAsia="宋体" w:cs="宋体"/>
          <w:color w:val="auto"/>
          <w:szCs w:val="21"/>
          <w:highlight w:val="none"/>
        </w:rPr>
        <w:t>1.7.3服务交付（实施）的方式：</w:t>
      </w:r>
      <w:r>
        <w:rPr>
          <w:rFonts w:hint="eastAsia" w:ascii="宋体" w:hAnsi="宋体" w:eastAsia="宋体" w:cs="宋体"/>
          <w:b/>
          <w:i/>
          <w:color w:val="auto"/>
          <w:szCs w:val="21"/>
          <w:highlight w:val="none"/>
          <w:u w:val="single"/>
        </w:rPr>
        <w:t>合同专用条款。</w:t>
      </w:r>
      <w:bookmarkEnd w:id="416"/>
    </w:p>
    <w:p w14:paraId="32085E69">
      <w:pPr>
        <w:spacing w:line="360" w:lineRule="auto"/>
        <w:ind w:firstLine="420" w:firstLineChars="200"/>
        <w:rPr>
          <w:rFonts w:hint="eastAsia" w:ascii="宋体" w:hAnsi="宋体" w:eastAsia="宋体" w:cs="宋体"/>
          <w:color w:val="auto"/>
          <w:szCs w:val="21"/>
          <w:highlight w:val="none"/>
        </w:rPr>
      </w:pPr>
      <w:bookmarkStart w:id="417" w:name="_Toc7725"/>
      <w:r>
        <w:rPr>
          <w:rFonts w:hint="eastAsia" w:ascii="宋体" w:hAnsi="宋体" w:eastAsia="宋体" w:cs="宋体"/>
          <w:color w:val="auto"/>
          <w:szCs w:val="21"/>
          <w:highlight w:val="none"/>
        </w:rPr>
        <w:t>1.7.4若服务涉及货物的，则货物的：</w:t>
      </w:r>
      <w:bookmarkEnd w:id="417"/>
    </w:p>
    <w:p w14:paraId="76116EF9">
      <w:pPr>
        <w:spacing w:line="360" w:lineRule="auto"/>
        <w:ind w:firstLine="420" w:firstLineChars="200"/>
        <w:rPr>
          <w:rFonts w:ascii="宋体" w:hAnsi="宋体" w:cs="宋体"/>
          <w:color w:val="auto"/>
          <w:szCs w:val="21"/>
          <w:highlight w:val="none"/>
          <w:u w:val="single"/>
        </w:rPr>
      </w:pPr>
      <w:bookmarkStart w:id="418" w:name="_Toc8772"/>
      <w:bookmarkStart w:id="419" w:name="_Toc31421"/>
      <w:bookmarkStart w:id="420" w:name="_Toc4760"/>
      <w:bookmarkStart w:id="421" w:name="_Toc3625"/>
      <w:bookmarkStart w:id="422" w:name="_Toc11108"/>
      <w:r>
        <w:rPr>
          <w:rFonts w:hint="eastAsia" w:ascii="宋体" w:hAnsi="宋体" w:cs="宋体"/>
          <w:bCs/>
          <w:color w:val="auto"/>
          <w:szCs w:val="21"/>
          <w:highlight w:val="none"/>
        </w:rPr>
        <w:t>1.</w:t>
      </w:r>
      <w:bookmarkEnd w:id="418"/>
      <w:bookmarkEnd w:id="419"/>
      <w:bookmarkEnd w:id="420"/>
      <w:bookmarkEnd w:id="421"/>
      <w:bookmarkEnd w:id="422"/>
      <w:r>
        <w:rPr>
          <w:rFonts w:hint="eastAsia" w:ascii="宋体" w:hAnsi="宋体" w:cs="宋体"/>
          <w:bCs/>
          <w:color w:val="auto"/>
          <w:szCs w:val="21"/>
          <w:highlight w:val="none"/>
        </w:rPr>
        <w:t>7.4.</w:t>
      </w:r>
      <w:r>
        <w:rPr>
          <w:rFonts w:hint="eastAsia" w:ascii="宋体" w:hAnsi="宋体" w:cs="宋体"/>
          <w:color w:val="auto"/>
          <w:szCs w:val="21"/>
          <w:highlight w:val="none"/>
        </w:rPr>
        <w:t>1交付期限：详见</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w:t>
      </w:r>
    </w:p>
    <w:p w14:paraId="58862F3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1.7.4.2交付地点：</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w:t>
      </w:r>
    </w:p>
    <w:p w14:paraId="04F2851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1.7.4.3交付方式：</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w:t>
      </w:r>
    </w:p>
    <w:p w14:paraId="489F63C7">
      <w:pPr>
        <w:pStyle w:val="4"/>
        <w:ind w:firstLine="428"/>
        <w:rPr>
          <w:rFonts w:hint="eastAsia" w:ascii="Arial" w:hAnsi="Arial" w:eastAsia="宋体" w:cs="Times New Roman"/>
          <w:b/>
          <w:color w:val="auto"/>
          <w:szCs w:val="21"/>
          <w:highlight w:val="none"/>
        </w:rPr>
      </w:pPr>
      <w:bookmarkStart w:id="423" w:name="_Toc3079"/>
      <w:bookmarkStart w:id="424" w:name="_Toc5778"/>
      <w:bookmarkStart w:id="425" w:name="_Toc8586"/>
      <w:bookmarkStart w:id="426" w:name="_Toc2375"/>
      <w:bookmarkStart w:id="427" w:name="_Toc24662"/>
      <w:bookmarkStart w:id="428" w:name="_Toc5698"/>
      <w:r>
        <w:rPr>
          <w:rFonts w:hint="eastAsia" w:ascii="Arial" w:hAnsi="Arial" w:eastAsia="宋体" w:cs="Times New Roman"/>
          <w:b/>
          <w:color w:val="auto"/>
          <w:szCs w:val="21"/>
          <w:highlight w:val="none"/>
        </w:rPr>
        <w:t>1.8违约责任</w:t>
      </w:r>
      <w:bookmarkEnd w:id="423"/>
      <w:bookmarkEnd w:id="424"/>
      <w:bookmarkEnd w:id="425"/>
      <w:bookmarkEnd w:id="426"/>
      <w:bookmarkEnd w:id="427"/>
      <w:bookmarkEnd w:id="428"/>
    </w:p>
    <w:p w14:paraId="2A4D29E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1.8.1除不可抗力外，如果乙方没有按照本合同约定的期限、地点和方式交付服务成果或者实施服务，那么甲方可要求乙方支付违约金，迟延履行违约金按每迟延履行一日的应提供而未提供服务价格的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cs="宋体"/>
          <w:color w:val="auto"/>
          <w:szCs w:val="21"/>
          <w:highlight w:val="none"/>
          <w:u w:val="single"/>
        </w:rPr>
        <w:t>0.5</w:t>
      </w:r>
      <w:r>
        <w:rPr>
          <w:rFonts w:hint="eastAsia" w:ascii="宋体" w:hAnsi="宋体" w:cs="宋体"/>
          <w:color w:val="auto"/>
          <w:szCs w:val="21"/>
          <w:highlight w:val="none"/>
        </w:rPr>
        <w:t>%计算，最高限额为本合同总价的</w:t>
      </w:r>
      <w:r>
        <w:rPr>
          <w:rFonts w:hint="eastAsia" w:ascii="宋体" w:hAnsi="宋体" w:cs="宋体"/>
          <w:color w:val="auto"/>
          <w:szCs w:val="21"/>
          <w:highlight w:val="none"/>
          <w:u w:val="single"/>
        </w:rPr>
        <w:t>20</w:t>
      </w:r>
      <w:r>
        <w:rPr>
          <w:rFonts w:hint="eastAsia" w:ascii="宋体" w:hAnsi="宋体" w:cs="宋体"/>
          <w:color w:val="auto"/>
          <w:szCs w:val="21"/>
          <w:highlight w:val="none"/>
        </w:rPr>
        <w:t>%；迟延履行的违约金计算数额达到前述最高限额之日起，甲方有权在要求乙方支付违约金的同时，书面通知乙方解除本合同；</w:t>
      </w:r>
    </w:p>
    <w:p w14:paraId="28834BE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Cs w:val="21"/>
          <w:highlight w:val="none"/>
          <w:u w:val="single"/>
        </w:rPr>
        <w:t>0.5</w:t>
      </w:r>
      <w:r>
        <w:rPr>
          <w:rFonts w:hint="eastAsia" w:ascii="宋体" w:hAnsi="宋体" w:cs="宋体"/>
          <w:color w:val="auto"/>
          <w:szCs w:val="21"/>
          <w:highlight w:val="none"/>
        </w:rPr>
        <w:t>%计算，最高限额为本合同总价的</w:t>
      </w:r>
      <w:r>
        <w:rPr>
          <w:rFonts w:hint="eastAsia" w:ascii="宋体" w:hAnsi="宋体" w:cs="宋体"/>
          <w:color w:val="auto"/>
          <w:szCs w:val="21"/>
          <w:highlight w:val="none"/>
          <w:u w:val="single"/>
        </w:rPr>
        <w:t>20</w:t>
      </w:r>
      <w:r>
        <w:rPr>
          <w:rFonts w:hint="eastAsia" w:ascii="宋体" w:hAnsi="宋体" w:cs="宋体"/>
          <w:color w:val="auto"/>
          <w:szCs w:val="21"/>
          <w:highlight w:val="none"/>
        </w:rPr>
        <w:t>%；迟延交付货物的违约金计算数额达到前述最高限额之日起，甲方有权在要求乙方支付违约金的同时，书面通知乙方解除本合同；</w:t>
      </w:r>
    </w:p>
    <w:p w14:paraId="10CED3C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1.8.3除不可抗力外，如果甲方没有按照本合同约定的付款方式付款，那么乙方可要求甲方支付违约金，违约金按每迟延付款一日的应付而未付款的</w:t>
      </w:r>
      <w:r>
        <w:rPr>
          <w:rFonts w:hint="eastAsia" w:ascii="宋体" w:hAnsi="宋体" w:cs="宋体"/>
          <w:color w:val="auto"/>
          <w:szCs w:val="21"/>
          <w:highlight w:val="none"/>
          <w:u w:val="single"/>
        </w:rPr>
        <w:t>0.05</w:t>
      </w:r>
      <w:r>
        <w:rPr>
          <w:rFonts w:hint="eastAsia" w:ascii="宋体" w:hAnsi="宋体" w:cs="宋体"/>
          <w:color w:val="auto"/>
          <w:szCs w:val="21"/>
          <w:highlight w:val="none"/>
        </w:rPr>
        <w:t>%计算，最高限额为本合同总价的</w:t>
      </w:r>
      <w:r>
        <w:rPr>
          <w:rFonts w:hint="eastAsia" w:ascii="宋体" w:hAnsi="宋体" w:cs="宋体"/>
          <w:color w:val="auto"/>
          <w:szCs w:val="21"/>
          <w:highlight w:val="none"/>
          <w:u w:val="single"/>
        </w:rPr>
        <w:t>5</w:t>
      </w:r>
      <w:r>
        <w:rPr>
          <w:rFonts w:hint="eastAsia" w:ascii="宋体" w:hAnsi="宋体" w:cs="宋体"/>
          <w:color w:val="auto"/>
          <w:szCs w:val="21"/>
          <w:highlight w:val="none"/>
        </w:rPr>
        <w:t>%；迟延付款的违约金计算数额达到前述最高限额之日起，乙方有权在要求甲方支付违约金的同时，书面通知甲方解除本合同；</w:t>
      </w:r>
    </w:p>
    <w:p w14:paraId="1CDC2D7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1.8.4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27B88C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1.8.5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14DF86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09D2509E">
      <w:pPr>
        <w:spacing w:line="360" w:lineRule="auto"/>
        <w:ind w:left="-420" w:leftChars="-200" w:right="-420" w:rightChars="-200" w:firstLine="630" w:firstLineChars="300"/>
        <w:rPr>
          <w:rFonts w:ascii="宋体" w:hAnsi="宋体" w:cs="宋体"/>
          <w:color w:val="auto"/>
          <w:szCs w:val="21"/>
          <w:highlight w:val="none"/>
        </w:rPr>
      </w:pPr>
      <w:r>
        <w:rPr>
          <w:rFonts w:hint="eastAsia" w:ascii="宋体" w:hAnsi="宋体" w:cs="宋体"/>
          <w:color w:val="auto"/>
          <w:szCs w:val="21"/>
          <w:highlight w:val="none"/>
        </w:rPr>
        <w:t>1.8.7违约责任</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另有约定的，从其约定。</w:t>
      </w:r>
      <w:bookmarkStart w:id="429" w:name="_Toc30329"/>
      <w:bookmarkStart w:id="430" w:name="_Toc18683"/>
      <w:bookmarkStart w:id="431" w:name="_Toc32454"/>
      <w:bookmarkStart w:id="432" w:name="_Toc9497"/>
      <w:bookmarkStart w:id="433" w:name="_Toc26807"/>
    </w:p>
    <w:p w14:paraId="19A4B6FD">
      <w:pPr>
        <w:pStyle w:val="4"/>
        <w:ind w:firstLine="428"/>
        <w:rPr>
          <w:rFonts w:hint="eastAsia" w:ascii="Arial" w:hAnsi="Arial" w:eastAsia="宋体" w:cs="Times New Roman"/>
          <w:b/>
          <w:color w:val="auto"/>
          <w:szCs w:val="21"/>
          <w:highlight w:val="none"/>
        </w:rPr>
      </w:pPr>
      <w:r>
        <w:rPr>
          <w:rFonts w:hint="eastAsia" w:ascii="Arial" w:hAnsi="Arial" w:eastAsia="宋体" w:cs="Times New Roman"/>
          <w:b/>
          <w:color w:val="auto"/>
          <w:szCs w:val="21"/>
          <w:highlight w:val="none"/>
        </w:rPr>
        <w:t>1.9合同争议的解决</w:t>
      </w:r>
      <w:bookmarkEnd w:id="429"/>
      <w:bookmarkEnd w:id="430"/>
      <w:bookmarkEnd w:id="431"/>
      <w:bookmarkEnd w:id="432"/>
      <w:bookmarkEnd w:id="433"/>
    </w:p>
    <w:p w14:paraId="559DA91A">
      <w:pPr>
        <w:spacing w:line="360" w:lineRule="auto"/>
        <w:ind w:left="-61" w:leftChars="-29" w:right="-420" w:rightChars="-200" w:firstLine="210" w:firstLineChars="100"/>
        <w:rPr>
          <w:rFonts w:ascii="宋体" w:hAnsi="宋体" w:cs="宋体"/>
          <w:color w:val="auto"/>
          <w:szCs w:val="21"/>
          <w:highlight w:val="none"/>
        </w:rPr>
      </w:pPr>
      <w:r>
        <w:rPr>
          <w:rFonts w:hint="eastAsia" w:ascii="宋体" w:hAnsi="宋体" w:cs="宋体"/>
          <w:color w:val="auto"/>
          <w:szCs w:val="21"/>
          <w:highlight w:val="none"/>
        </w:rPr>
        <w:t>本合同履行过程中发生的任何争议，双方当事人均可通过和解或者调解解决；不愿和解、调解或者和解、调解不成的，可以选择以下第</w:t>
      </w:r>
      <w:r>
        <w:rPr>
          <w:rFonts w:hint="eastAsia" w:ascii="宋体" w:hAnsi="宋体" w:cs="宋体"/>
          <w:b/>
          <w:bCs/>
          <w:color w:val="auto"/>
          <w:szCs w:val="21"/>
          <w:highlight w:val="none"/>
          <w:u w:val="single"/>
        </w:rPr>
        <w:t>1.9.2条款</w:t>
      </w:r>
      <w:r>
        <w:rPr>
          <w:rFonts w:hint="eastAsia" w:ascii="宋体" w:hAnsi="宋体" w:cs="宋体"/>
          <w:color w:val="auto"/>
          <w:szCs w:val="21"/>
          <w:highlight w:val="none"/>
        </w:rPr>
        <w:t>规定的方式解决：</w:t>
      </w:r>
    </w:p>
    <w:p w14:paraId="5AA518CA">
      <w:pPr>
        <w:spacing w:line="360" w:lineRule="auto"/>
        <w:ind w:left="-420" w:leftChars="-200" w:right="-420" w:rightChars="-200" w:firstLine="525" w:firstLineChars="250"/>
        <w:rPr>
          <w:rFonts w:ascii="宋体" w:hAnsi="宋体" w:cs="宋体"/>
          <w:color w:val="auto"/>
          <w:szCs w:val="21"/>
          <w:highlight w:val="none"/>
        </w:rPr>
      </w:pPr>
      <w:r>
        <w:rPr>
          <w:rFonts w:hint="eastAsia" w:ascii="宋体" w:hAnsi="宋体" w:cs="宋体"/>
          <w:color w:val="auto"/>
          <w:szCs w:val="21"/>
          <w:highlight w:val="none"/>
        </w:rPr>
        <w:t>1.9.1将争议提交</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仲裁委员会依申请仲裁时其现行有效的仲裁规则裁决；</w:t>
      </w:r>
    </w:p>
    <w:p w14:paraId="2C75E870">
      <w:pPr>
        <w:spacing w:line="360" w:lineRule="auto"/>
        <w:ind w:left="-420" w:leftChars="-200" w:right="-420" w:rightChars="-200" w:firstLine="525" w:firstLineChars="250"/>
        <w:rPr>
          <w:rFonts w:ascii="宋体" w:hAnsi="宋体" w:cs="宋体"/>
          <w:color w:val="auto"/>
          <w:szCs w:val="21"/>
          <w:highlight w:val="none"/>
        </w:rPr>
      </w:pPr>
      <w:r>
        <w:rPr>
          <w:rFonts w:hint="eastAsia" w:ascii="宋体" w:hAnsi="宋体" w:cs="宋体"/>
          <w:color w:val="auto"/>
          <w:szCs w:val="21"/>
          <w:highlight w:val="none"/>
        </w:rPr>
        <w:t>1.9.2向</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人民法院起诉。</w:t>
      </w:r>
    </w:p>
    <w:p w14:paraId="02A3B0C7">
      <w:pPr>
        <w:pStyle w:val="4"/>
        <w:ind w:firstLine="428"/>
        <w:rPr>
          <w:rFonts w:hint="eastAsia" w:ascii="Arial" w:hAnsi="Arial" w:eastAsia="宋体" w:cs="Times New Roman"/>
          <w:b/>
          <w:color w:val="auto"/>
          <w:szCs w:val="21"/>
          <w:highlight w:val="none"/>
        </w:rPr>
      </w:pPr>
      <w:bookmarkStart w:id="434" w:name="_Toc25220"/>
      <w:bookmarkStart w:id="435" w:name="_Toc15827"/>
      <w:bookmarkStart w:id="436" w:name="_Toc26227"/>
      <w:bookmarkStart w:id="437" w:name="_Toc16417"/>
      <w:bookmarkStart w:id="438" w:name="_Toc12273"/>
      <w:bookmarkStart w:id="439" w:name="_Toc23784"/>
      <w:r>
        <w:rPr>
          <w:rFonts w:hint="eastAsia" w:ascii="Arial" w:hAnsi="Arial" w:eastAsia="宋体" w:cs="Times New Roman"/>
          <w:b/>
          <w:color w:val="auto"/>
          <w:szCs w:val="21"/>
          <w:highlight w:val="none"/>
        </w:rPr>
        <w:t>2.0 合同生效</w:t>
      </w:r>
      <w:bookmarkEnd w:id="434"/>
      <w:bookmarkEnd w:id="435"/>
      <w:bookmarkEnd w:id="436"/>
      <w:bookmarkEnd w:id="437"/>
      <w:bookmarkEnd w:id="438"/>
      <w:bookmarkEnd w:id="439"/>
    </w:p>
    <w:p w14:paraId="639FA43F">
      <w:pPr>
        <w:spacing w:line="360" w:lineRule="auto"/>
        <w:ind w:firstLine="420" w:firstLineChars="200"/>
        <w:rPr>
          <w:color w:val="auto"/>
          <w:highlight w:val="none"/>
          <w:lang w:val="zh-CN"/>
        </w:rPr>
      </w:pPr>
      <w:r>
        <w:rPr>
          <w:rFonts w:hint="eastAsia" w:ascii="宋体" w:hAnsi="宋体" w:cs="宋体"/>
          <w:color w:val="auto"/>
          <w:szCs w:val="21"/>
          <w:highlight w:val="none"/>
        </w:rPr>
        <w:t>本合同自双方当事人盖章签字时生效。</w:t>
      </w:r>
    </w:p>
    <w:p w14:paraId="48571717">
      <w:pPr>
        <w:autoSpaceDE w:val="0"/>
        <w:autoSpaceDN w:val="0"/>
        <w:spacing w:line="360" w:lineRule="auto"/>
        <w:rPr>
          <w:rFonts w:ascii="宋体" w:hAnsi="宋体" w:cs="宋体"/>
          <w:color w:val="auto"/>
          <w:szCs w:val="21"/>
          <w:highlight w:val="none"/>
          <w:lang w:val="zh-CN"/>
        </w:rPr>
      </w:pPr>
      <w:r>
        <w:rPr>
          <w:rFonts w:hint="eastAsia" w:ascii="宋体" w:hAnsi="宋体" w:cs="宋体"/>
          <w:b/>
          <w:color w:val="auto"/>
          <w:szCs w:val="21"/>
          <w:highlight w:val="none"/>
          <w:lang w:val="zh-CN"/>
        </w:rPr>
        <w:t>甲方</w:t>
      </w:r>
      <w:r>
        <w:rPr>
          <w:rFonts w:hint="eastAsia" w:ascii="宋体" w:hAnsi="宋体" w:cs="宋体"/>
          <w:color w:val="auto"/>
          <w:szCs w:val="21"/>
          <w:highlight w:val="none"/>
          <w:lang w:val="zh-CN"/>
        </w:rPr>
        <w:t xml:space="preserve">：                             </w:t>
      </w:r>
      <w:r>
        <w:rPr>
          <w:rFonts w:hint="eastAsia" w:ascii="宋体" w:hAnsi="宋体" w:cs="宋体"/>
          <w:b/>
          <w:color w:val="auto"/>
          <w:szCs w:val="21"/>
          <w:highlight w:val="none"/>
          <w:lang w:val="zh-CN"/>
        </w:rPr>
        <w:t xml:space="preserve">      乙方</w:t>
      </w:r>
      <w:r>
        <w:rPr>
          <w:rFonts w:hint="eastAsia" w:ascii="宋体" w:hAnsi="宋体" w:cs="宋体"/>
          <w:color w:val="auto"/>
          <w:szCs w:val="21"/>
          <w:highlight w:val="none"/>
          <w:lang w:val="zh-CN"/>
        </w:rPr>
        <w:t>：</w:t>
      </w:r>
    </w:p>
    <w:p w14:paraId="16F36F4D">
      <w:pPr>
        <w:autoSpaceDE w:val="0"/>
        <w:autoSpaceDN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统一社会信用代码：                        统一社会信用代码或身份证号码：</w:t>
      </w:r>
    </w:p>
    <w:p w14:paraId="0D995AAF">
      <w:pPr>
        <w:autoSpaceDE w:val="0"/>
        <w:autoSpaceDN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住所：                                   住所：</w:t>
      </w:r>
    </w:p>
    <w:p w14:paraId="4A72B583">
      <w:pPr>
        <w:autoSpaceDE w:val="0"/>
        <w:autoSpaceDN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法定代表人或                             法定代表人</w:t>
      </w:r>
    </w:p>
    <w:p w14:paraId="49D6F156">
      <w:pPr>
        <w:autoSpaceDE w:val="0"/>
        <w:autoSpaceDN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 xml:space="preserve">授权代表（签字）：                        或授权代表（签字）： </w:t>
      </w:r>
    </w:p>
    <w:p w14:paraId="3C080A07">
      <w:pPr>
        <w:autoSpaceDE w:val="0"/>
        <w:autoSpaceDN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联系人：                                 联系人：</w:t>
      </w:r>
    </w:p>
    <w:p w14:paraId="46FFED3D">
      <w:pPr>
        <w:autoSpaceDE w:val="0"/>
        <w:autoSpaceDN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约定送达地址：                           约定送达地址：</w:t>
      </w:r>
    </w:p>
    <w:p w14:paraId="4C6AC62E">
      <w:pPr>
        <w:autoSpaceDE w:val="0"/>
        <w:autoSpaceDN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邮政编码：                               邮政编码：</w:t>
      </w:r>
    </w:p>
    <w:p w14:paraId="0A5F746C">
      <w:pPr>
        <w:autoSpaceDE w:val="0"/>
        <w:autoSpaceDN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 xml:space="preserve">电话：                                    电话： </w:t>
      </w:r>
    </w:p>
    <w:p w14:paraId="017FB9E3">
      <w:pPr>
        <w:autoSpaceDE w:val="0"/>
        <w:autoSpaceDN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传真：                                    传真：</w:t>
      </w:r>
    </w:p>
    <w:p w14:paraId="58F829D4">
      <w:pPr>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lang w:val="zh-CN"/>
        </w:rPr>
        <w:t>电子邮箱：                               电子邮箱：</w:t>
      </w:r>
    </w:p>
    <w:p w14:paraId="28016D2C">
      <w:pPr>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开户银行：                               开户银行： </w:t>
      </w:r>
    </w:p>
    <w:p w14:paraId="5FE541D2">
      <w:pPr>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开户名称：                               开户名称： </w:t>
      </w:r>
    </w:p>
    <w:p w14:paraId="75BD5069">
      <w:pPr>
        <w:autoSpaceDE w:val="0"/>
        <w:autoSpaceDN w:val="0"/>
        <w:spacing w:line="360" w:lineRule="auto"/>
        <w:rPr>
          <w:rFonts w:ascii="宋体" w:hAnsi="宋体" w:cs="宋体"/>
          <w:b/>
          <w:color w:val="auto"/>
          <w:sz w:val="24"/>
          <w:highlight w:val="none"/>
        </w:rPr>
      </w:pPr>
      <w:r>
        <w:rPr>
          <w:rFonts w:hint="eastAsia" w:ascii="宋体" w:hAnsi="宋体" w:cs="宋体"/>
          <w:color w:val="auto"/>
          <w:szCs w:val="21"/>
          <w:highlight w:val="none"/>
        </w:rPr>
        <w:t>开户账号：</w:t>
      </w:r>
      <w:r>
        <w:rPr>
          <w:rFonts w:hint="eastAsia" w:ascii="宋体" w:hAnsi="宋体" w:cs="宋体"/>
          <w:color w:val="auto"/>
          <w:szCs w:val="21"/>
          <w:highlight w:val="none"/>
          <w:lang w:val="zh-CN"/>
        </w:rPr>
        <w:t xml:space="preserve">                               </w:t>
      </w:r>
      <w:r>
        <w:rPr>
          <w:rFonts w:hint="eastAsia" w:ascii="宋体" w:hAnsi="宋体" w:cs="宋体"/>
          <w:color w:val="auto"/>
          <w:szCs w:val="21"/>
          <w:highlight w:val="none"/>
        </w:rPr>
        <w:t>开户账号：</w:t>
      </w:r>
      <w:bookmarkStart w:id="440" w:name="_Toc331685783"/>
      <w:r>
        <w:rPr>
          <w:rFonts w:hint="eastAsia" w:ascii="宋体" w:hAnsi="宋体" w:cs="宋体"/>
          <w:b/>
          <w:color w:val="auto"/>
          <w:highlight w:val="none"/>
        </w:rPr>
        <w:br w:type="page"/>
      </w:r>
    </w:p>
    <w:p w14:paraId="698A0564">
      <w:pPr>
        <w:pStyle w:val="702"/>
        <w:spacing w:line="560" w:lineRule="exact"/>
        <w:ind w:firstLine="489"/>
        <w:jc w:val="center"/>
        <w:rPr>
          <w:rFonts w:ascii="宋体" w:hAnsi="宋体" w:cs="宋体"/>
          <w:b/>
          <w:color w:val="auto"/>
          <w:szCs w:val="24"/>
          <w:highlight w:val="none"/>
        </w:rPr>
      </w:pPr>
      <w:r>
        <w:rPr>
          <w:rFonts w:hint="eastAsia" w:ascii="宋体" w:hAnsi="宋体" w:cs="宋体"/>
          <w:b/>
          <w:color w:val="auto"/>
          <w:szCs w:val="24"/>
          <w:highlight w:val="none"/>
        </w:rPr>
        <w:t>第二部分 合同一般条款</w:t>
      </w:r>
      <w:bookmarkEnd w:id="440"/>
    </w:p>
    <w:p w14:paraId="01B60DBE">
      <w:pPr>
        <w:pStyle w:val="4"/>
        <w:ind w:firstLine="428"/>
        <w:rPr>
          <w:color w:val="auto"/>
          <w:highlight w:val="none"/>
        </w:rPr>
      </w:pPr>
      <w:r>
        <w:rPr>
          <w:rFonts w:hint="eastAsia"/>
          <w:color w:val="auto"/>
          <w:highlight w:val="none"/>
        </w:rPr>
        <w:t>2.1定义</w:t>
      </w:r>
    </w:p>
    <w:p w14:paraId="1EC7501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本合同中的下列词语应按以下内容进行解释：</w:t>
      </w:r>
    </w:p>
    <w:p w14:paraId="19CAE29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2.1.1“合同”系指采购人和中标或成交供应商签订的载明双方当事人所达成的协议，并包括所有的附件、附录和构成合同的其他文件。</w:t>
      </w:r>
    </w:p>
    <w:p w14:paraId="45A7A5B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2.1.2“合同价”系指根据合同约定，中标或成交供应商在完全履行合同义务后，采购人应支付给中标或成交供应商的价格。</w:t>
      </w:r>
    </w:p>
    <w:p w14:paraId="3E36CD8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2.1.3“服务”系指中标或成交供应商根据合同约定应向采购人履行的除货物和工程以外的其他政府采购对象，包括采购人自身需要的服务和向社会公众提供的公共服务。</w:t>
      </w:r>
    </w:p>
    <w:p w14:paraId="4E33F88D">
      <w:pPr>
        <w:spacing w:line="360" w:lineRule="auto"/>
        <w:ind w:firstLine="420" w:firstLineChars="200"/>
        <w:rPr>
          <w:rFonts w:ascii="宋体" w:hAnsi="宋体" w:cs="宋体"/>
          <w:color w:val="auto"/>
          <w:szCs w:val="21"/>
          <w:highlight w:val="none"/>
        </w:rPr>
      </w:pPr>
      <w:bookmarkStart w:id="441" w:name="_Ref467378840"/>
      <w:r>
        <w:rPr>
          <w:rFonts w:hint="eastAsia" w:ascii="宋体" w:hAnsi="宋体" w:cs="宋体"/>
          <w:color w:val="auto"/>
          <w:szCs w:val="21"/>
          <w:highlight w:val="none"/>
        </w:rPr>
        <w:t>2.1.4“甲方”系指与中标或成交供应商签署合同的采购人</w:t>
      </w:r>
      <w:bookmarkEnd w:id="441"/>
      <w:r>
        <w:rPr>
          <w:rFonts w:hint="eastAsia" w:ascii="宋体" w:hAnsi="宋体" w:cs="宋体"/>
          <w:color w:val="auto"/>
          <w:szCs w:val="21"/>
          <w:highlight w:val="none"/>
        </w:rPr>
        <w:t>；采购人委托采购代理机构代表其与乙方签订合同的，采购人的授权委托书作为合同附件。</w:t>
      </w:r>
    </w:p>
    <w:p w14:paraId="2DF113B2">
      <w:pPr>
        <w:spacing w:line="360" w:lineRule="auto"/>
        <w:ind w:firstLine="420" w:firstLineChars="200"/>
        <w:rPr>
          <w:rFonts w:ascii="宋体" w:hAnsi="宋体" w:cs="宋体"/>
          <w:color w:val="auto"/>
          <w:szCs w:val="21"/>
          <w:highlight w:val="none"/>
        </w:rPr>
      </w:pPr>
      <w:bookmarkStart w:id="442" w:name="_Ref467379400"/>
      <w:r>
        <w:rPr>
          <w:rFonts w:hint="eastAsia" w:ascii="宋体" w:hAnsi="宋体" w:cs="宋体"/>
          <w:color w:val="auto"/>
          <w:szCs w:val="21"/>
          <w:highlight w:val="none"/>
        </w:rPr>
        <w:t>2.1.5“乙方”系指根据合同约定提供服务的中标或成交供应商</w:t>
      </w:r>
      <w:bookmarkEnd w:id="442"/>
      <w:r>
        <w:rPr>
          <w:rFonts w:hint="eastAsia" w:ascii="宋体" w:hAnsi="宋体" w:cs="宋体"/>
          <w:color w:val="auto"/>
          <w:szCs w:val="21"/>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6E3D812">
      <w:pPr>
        <w:spacing w:line="360" w:lineRule="auto"/>
        <w:ind w:firstLine="420" w:firstLineChars="200"/>
        <w:rPr>
          <w:rFonts w:ascii="宋体" w:hAnsi="宋体" w:cs="宋体"/>
          <w:color w:val="auto"/>
          <w:szCs w:val="21"/>
          <w:highlight w:val="none"/>
        </w:rPr>
      </w:pPr>
      <w:bookmarkStart w:id="443" w:name="_Ref467379436"/>
      <w:r>
        <w:rPr>
          <w:rFonts w:hint="eastAsia" w:ascii="宋体" w:hAnsi="宋体" w:cs="宋体"/>
          <w:color w:val="auto"/>
          <w:szCs w:val="21"/>
          <w:highlight w:val="none"/>
        </w:rPr>
        <w:t>2.1.6“现场”系指合同约定提供服务的地点。</w:t>
      </w:r>
      <w:bookmarkEnd w:id="443"/>
    </w:p>
    <w:p w14:paraId="17CCCDD8">
      <w:pPr>
        <w:pStyle w:val="4"/>
        <w:ind w:firstLine="428"/>
        <w:rPr>
          <w:color w:val="auto"/>
          <w:highlight w:val="none"/>
        </w:rPr>
      </w:pPr>
      <w:bookmarkStart w:id="444" w:name="_Toc32504"/>
      <w:bookmarkStart w:id="445" w:name="_Toc487900350"/>
      <w:bookmarkStart w:id="446" w:name="_Toc27635"/>
      <w:bookmarkStart w:id="447" w:name="_Toc279701241"/>
      <w:bookmarkStart w:id="448" w:name="_Toc13336"/>
      <w:bookmarkStart w:id="449" w:name="_Toc259093670"/>
      <w:r>
        <w:rPr>
          <w:rFonts w:hint="eastAsia"/>
          <w:color w:val="auto"/>
          <w:highlight w:val="none"/>
        </w:rPr>
        <w:t>2.2技术规范</w:t>
      </w:r>
      <w:bookmarkEnd w:id="444"/>
      <w:bookmarkEnd w:id="445"/>
      <w:bookmarkEnd w:id="446"/>
      <w:bookmarkEnd w:id="447"/>
      <w:bookmarkEnd w:id="448"/>
      <w:bookmarkEnd w:id="449"/>
    </w:p>
    <w:p w14:paraId="53DE617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0C0EA590">
      <w:pPr>
        <w:pStyle w:val="4"/>
        <w:ind w:firstLine="428"/>
        <w:rPr>
          <w:color w:val="auto"/>
          <w:highlight w:val="none"/>
        </w:rPr>
      </w:pPr>
      <w:bookmarkStart w:id="450" w:name="_Toc31634"/>
      <w:bookmarkStart w:id="451" w:name="_Toc27853"/>
      <w:bookmarkStart w:id="452" w:name="_Toc487900351"/>
      <w:bookmarkStart w:id="453" w:name="_Toc259093671"/>
      <w:bookmarkStart w:id="454" w:name="_Toc9829"/>
      <w:bookmarkStart w:id="455" w:name="_Toc279701242"/>
      <w:r>
        <w:rPr>
          <w:rFonts w:hint="eastAsia"/>
          <w:color w:val="auto"/>
          <w:highlight w:val="none"/>
        </w:rPr>
        <w:t>2.3知识产权</w:t>
      </w:r>
      <w:bookmarkEnd w:id="450"/>
      <w:bookmarkEnd w:id="451"/>
      <w:bookmarkEnd w:id="452"/>
      <w:bookmarkEnd w:id="453"/>
      <w:bookmarkEnd w:id="454"/>
      <w:bookmarkEnd w:id="455"/>
    </w:p>
    <w:p w14:paraId="70F5BA5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2.3.1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739D9A8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2.3.2合同涉及技术成果的归属和收益的分成办法的，详见</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w:t>
      </w:r>
    </w:p>
    <w:p w14:paraId="7FC11CBD">
      <w:pPr>
        <w:pStyle w:val="4"/>
        <w:ind w:firstLine="428"/>
        <w:rPr>
          <w:color w:val="auto"/>
          <w:highlight w:val="none"/>
        </w:rPr>
      </w:pPr>
      <w:bookmarkStart w:id="456" w:name="_Ref467379527"/>
      <w:bookmarkStart w:id="457" w:name="_Ref467379536"/>
      <w:bookmarkStart w:id="458" w:name="_Toc279701245"/>
      <w:bookmarkStart w:id="459" w:name="_Ref467379542"/>
      <w:bookmarkStart w:id="460" w:name="_Toc487900354"/>
      <w:bookmarkStart w:id="461" w:name="_Ref467378591"/>
      <w:bookmarkStart w:id="462" w:name="_Toc259093674"/>
      <w:bookmarkStart w:id="463" w:name="_Ref467378541"/>
      <w:bookmarkStart w:id="464" w:name="_Toc26182"/>
      <w:bookmarkStart w:id="465" w:name="_Toc19074"/>
      <w:bookmarkStart w:id="466" w:name="_Toc30272"/>
      <w:r>
        <w:rPr>
          <w:rFonts w:hint="eastAsia"/>
          <w:color w:val="auto"/>
          <w:highlight w:val="none"/>
        </w:rPr>
        <w:t>2.</w:t>
      </w:r>
      <w:bookmarkEnd w:id="456"/>
      <w:bookmarkEnd w:id="457"/>
      <w:bookmarkEnd w:id="458"/>
      <w:bookmarkEnd w:id="459"/>
      <w:bookmarkEnd w:id="460"/>
      <w:bookmarkEnd w:id="461"/>
      <w:bookmarkEnd w:id="462"/>
      <w:bookmarkEnd w:id="463"/>
      <w:r>
        <w:rPr>
          <w:rFonts w:hint="eastAsia"/>
          <w:color w:val="auto"/>
          <w:highlight w:val="none"/>
        </w:rPr>
        <w:t>4履约检查和问题反馈</w:t>
      </w:r>
      <w:bookmarkEnd w:id="464"/>
      <w:bookmarkEnd w:id="465"/>
      <w:bookmarkEnd w:id="466"/>
    </w:p>
    <w:p w14:paraId="0A945D8C">
      <w:pPr>
        <w:spacing w:line="360" w:lineRule="auto"/>
        <w:ind w:firstLine="420" w:firstLineChars="200"/>
        <w:rPr>
          <w:rFonts w:ascii="宋体" w:hAnsi="宋体" w:cs="宋体"/>
          <w:color w:val="auto"/>
          <w:szCs w:val="21"/>
          <w:highlight w:val="none"/>
        </w:rPr>
      </w:pPr>
      <w:bookmarkStart w:id="467" w:name="_Ref467379657"/>
      <w:r>
        <w:rPr>
          <w:rFonts w:hint="eastAsia" w:ascii="宋体" w:hAnsi="宋体" w:cs="宋体"/>
          <w:color w:val="auto"/>
          <w:szCs w:val="21"/>
          <w:highlight w:val="none"/>
        </w:rPr>
        <w:t>2.</w:t>
      </w:r>
      <w:bookmarkEnd w:id="467"/>
      <w:bookmarkStart w:id="468" w:name="_Toc186431854"/>
      <w:bookmarkStart w:id="469" w:name="_Toc259093676"/>
      <w:bookmarkStart w:id="470" w:name="_Ref467379807"/>
      <w:bookmarkStart w:id="471" w:name="_Toc279701247"/>
      <w:bookmarkStart w:id="472" w:name="_Ref467379793"/>
      <w:bookmarkStart w:id="473" w:name="_Toc487900357"/>
      <w:r>
        <w:rPr>
          <w:rFonts w:hint="eastAsia" w:ascii="宋体" w:hAnsi="宋体" w:cs="宋体"/>
          <w:color w:val="auto"/>
          <w:szCs w:val="21"/>
          <w:highlight w:val="none"/>
        </w:rPr>
        <w:t>4.1甲方有权在其认为必要时，对乙方是否能够按照合同约定提供服务进行履约检查，以确保乙方所提供的服务能够依约满足甲方之项目需求，但不得因履约检查妨碍乙方的正常工作，乙方应予积极配合；</w:t>
      </w:r>
    </w:p>
    <w:p w14:paraId="19B344A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2.4.2合同履行期间，甲方有权将履行过程中出现的问题反馈给乙方，双方当事人应以书面形式约定需要完善和改进的内容</w:t>
      </w:r>
      <w:bookmarkEnd w:id="468"/>
      <w:bookmarkStart w:id="474" w:name="_Toc186431855"/>
      <w:r>
        <w:rPr>
          <w:rFonts w:hint="eastAsia" w:ascii="宋体" w:hAnsi="宋体" w:cs="宋体"/>
          <w:color w:val="auto"/>
          <w:szCs w:val="21"/>
          <w:highlight w:val="none"/>
        </w:rPr>
        <w:t>。</w:t>
      </w:r>
    </w:p>
    <w:p w14:paraId="23BCE801">
      <w:pPr>
        <w:pStyle w:val="4"/>
        <w:ind w:firstLine="428"/>
        <w:rPr>
          <w:color w:val="auto"/>
          <w:highlight w:val="none"/>
        </w:rPr>
      </w:pPr>
      <w:bookmarkStart w:id="475" w:name="_Toc26555"/>
      <w:bookmarkStart w:id="476" w:name="_Toc31233"/>
      <w:bookmarkStart w:id="477" w:name="_Toc15447"/>
      <w:bookmarkStart w:id="478" w:name="_Toc22011"/>
      <w:bookmarkStart w:id="479" w:name="_Toc32670"/>
      <w:r>
        <w:rPr>
          <w:rFonts w:hint="eastAsia"/>
          <w:color w:val="auto"/>
          <w:highlight w:val="none"/>
        </w:rPr>
        <w:t>2.5结算方式和付款条件</w:t>
      </w:r>
      <w:bookmarkEnd w:id="475"/>
      <w:bookmarkEnd w:id="476"/>
      <w:bookmarkEnd w:id="477"/>
      <w:bookmarkEnd w:id="478"/>
      <w:bookmarkEnd w:id="479"/>
    </w:p>
    <w:p w14:paraId="31BCDF2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详见</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w:t>
      </w:r>
    </w:p>
    <w:bookmarkEnd w:id="469"/>
    <w:bookmarkEnd w:id="470"/>
    <w:bookmarkEnd w:id="471"/>
    <w:bookmarkEnd w:id="472"/>
    <w:bookmarkEnd w:id="473"/>
    <w:bookmarkEnd w:id="474"/>
    <w:p w14:paraId="1E605434">
      <w:pPr>
        <w:pStyle w:val="4"/>
        <w:ind w:firstLine="428"/>
        <w:rPr>
          <w:color w:val="auto"/>
          <w:highlight w:val="none"/>
        </w:rPr>
      </w:pPr>
      <w:bookmarkStart w:id="480" w:name="_Toc279701248"/>
      <w:bookmarkStart w:id="481" w:name="_Toc259093677"/>
      <w:bookmarkStart w:id="482" w:name="_Ref467379852"/>
      <w:bookmarkStart w:id="483" w:name="_Ref467379923"/>
      <w:bookmarkStart w:id="484" w:name="_Toc487900358"/>
      <w:bookmarkStart w:id="485" w:name="_Ref467379863"/>
      <w:bookmarkStart w:id="486" w:name="_Toc16110"/>
      <w:bookmarkStart w:id="487" w:name="_Toc774"/>
      <w:bookmarkStart w:id="488" w:name="_Toc3225"/>
      <w:r>
        <w:rPr>
          <w:rFonts w:hint="eastAsia"/>
          <w:color w:val="auto"/>
          <w:highlight w:val="none"/>
        </w:rPr>
        <w:t>2.6技术资料</w:t>
      </w:r>
      <w:bookmarkEnd w:id="480"/>
      <w:bookmarkEnd w:id="481"/>
      <w:bookmarkEnd w:id="482"/>
      <w:bookmarkEnd w:id="483"/>
      <w:bookmarkEnd w:id="484"/>
      <w:bookmarkEnd w:id="485"/>
      <w:r>
        <w:rPr>
          <w:rFonts w:hint="eastAsia"/>
          <w:color w:val="auto"/>
          <w:highlight w:val="none"/>
        </w:rPr>
        <w:t>和保密义务</w:t>
      </w:r>
      <w:bookmarkEnd w:id="486"/>
      <w:bookmarkEnd w:id="487"/>
      <w:bookmarkEnd w:id="488"/>
    </w:p>
    <w:p w14:paraId="6F2F817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2.6.1乙方有权依据合同约定和项目需要，向甲方了解有关情况，调阅有关资料等，甲方应予积极配合；</w:t>
      </w:r>
    </w:p>
    <w:p w14:paraId="52BA22D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2.6.2乙方有义务妥善保管和保护由甲方提供的前款信息和资料等；</w:t>
      </w:r>
    </w:p>
    <w:p w14:paraId="01BC83D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52D41CC">
      <w:pPr>
        <w:pStyle w:val="4"/>
        <w:ind w:firstLine="428"/>
        <w:rPr>
          <w:color w:val="auto"/>
          <w:highlight w:val="none"/>
        </w:rPr>
      </w:pPr>
      <w:bookmarkStart w:id="489" w:name="_Toc7860"/>
      <w:r>
        <w:rPr>
          <w:rFonts w:hint="eastAsia"/>
          <w:color w:val="auto"/>
          <w:highlight w:val="none"/>
        </w:rPr>
        <w:t>2.7质量保证</w:t>
      </w:r>
      <w:bookmarkEnd w:id="489"/>
    </w:p>
    <w:p w14:paraId="02245D4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2.7.1乙方应建立和完善履行合同的内部质量保证体系，并提供相关内部规章制度给甲方，以便甲方进行监督检查；</w:t>
      </w:r>
    </w:p>
    <w:p w14:paraId="2A07AD6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2.7.2乙方应保证履行合同的人员数量和素质、软件和硬件设备的配置、场地、环境和设施等满足全面履行合同的要求，并应接受甲方的监督检查。</w:t>
      </w:r>
    </w:p>
    <w:p w14:paraId="5392AABD">
      <w:pPr>
        <w:pStyle w:val="4"/>
        <w:ind w:firstLine="428"/>
        <w:rPr>
          <w:color w:val="auto"/>
          <w:highlight w:val="none"/>
        </w:rPr>
      </w:pPr>
      <w:bookmarkStart w:id="490" w:name="_Toc17244"/>
      <w:bookmarkStart w:id="491" w:name="_Toc279701252"/>
      <w:bookmarkStart w:id="492" w:name="_Toc487900362"/>
      <w:bookmarkStart w:id="493" w:name="_Toc259093681"/>
      <w:r>
        <w:rPr>
          <w:rFonts w:hint="eastAsia"/>
          <w:color w:val="auto"/>
          <w:highlight w:val="none"/>
        </w:rPr>
        <w:t>2.8</w:t>
      </w:r>
      <w:bookmarkEnd w:id="490"/>
      <w:bookmarkStart w:id="494" w:name="_Toc14055"/>
      <w:r>
        <w:rPr>
          <w:rFonts w:hint="eastAsia"/>
          <w:color w:val="auto"/>
          <w:highlight w:val="none"/>
        </w:rPr>
        <w:t>延迟</w:t>
      </w:r>
      <w:bookmarkEnd w:id="491"/>
      <w:bookmarkEnd w:id="492"/>
      <w:bookmarkEnd w:id="493"/>
      <w:bookmarkEnd w:id="494"/>
      <w:r>
        <w:rPr>
          <w:rFonts w:hint="eastAsia"/>
          <w:color w:val="auto"/>
          <w:highlight w:val="none"/>
        </w:rPr>
        <w:t>履行</w:t>
      </w:r>
    </w:p>
    <w:p w14:paraId="57966AF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12D09561">
      <w:pPr>
        <w:pStyle w:val="4"/>
        <w:ind w:firstLine="428"/>
        <w:rPr>
          <w:color w:val="auto"/>
          <w:highlight w:val="none"/>
        </w:rPr>
      </w:pPr>
      <w:bookmarkStart w:id="495" w:name="_Toc7502"/>
      <w:bookmarkStart w:id="496" w:name="_Toc259093683"/>
      <w:bookmarkStart w:id="497" w:name="_Toc279701254"/>
      <w:bookmarkStart w:id="498" w:name="_Ref467378121"/>
      <w:bookmarkStart w:id="499" w:name="_Toc487900364"/>
      <w:r>
        <w:rPr>
          <w:rFonts w:hint="eastAsia"/>
          <w:color w:val="auto"/>
          <w:highlight w:val="none"/>
        </w:rPr>
        <w:t>2.9合同变更</w:t>
      </w:r>
      <w:bookmarkEnd w:id="495"/>
    </w:p>
    <w:p w14:paraId="1E03268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合同继续履行将损害国家利益和社会公共利益的，双方当事人应当以书面形式变更合同。有过错的一方应当承担赔偿责任，双方当事人都有过错的，各自承担相应的责任。</w:t>
      </w:r>
      <w:bookmarkStart w:id="500" w:name="_Toc259093688"/>
      <w:bookmarkStart w:id="501" w:name="_Toc279701259"/>
      <w:bookmarkStart w:id="502" w:name="_Toc487900369"/>
    </w:p>
    <w:p w14:paraId="7F1A001F">
      <w:pPr>
        <w:pStyle w:val="4"/>
        <w:ind w:firstLine="428"/>
        <w:rPr>
          <w:color w:val="auto"/>
          <w:highlight w:val="none"/>
        </w:rPr>
      </w:pPr>
      <w:bookmarkStart w:id="503" w:name="_Toc15237"/>
      <w:bookmarkStart w:id="504" w:name="_Toc10366"/>
      <w:bookmarkStart w:id="505" w:name="_Toc22955"/>
      <w:r>
        <w:rPr>
          <w:rFonts w:hint="eastAsia"/>
          <w:color w:val="auto"/>
          <w:highlight w:val="none"/>
        </w:rPr>
        <w:t>2.10合同转让</w:t>
      </w:r>
      <w:bookmarkEnd w:id="500"/>
      <w:bookmarkEnd w:id="501"/>
      <w:bookmarkEnd w:id="502"/>
      <w:r>
        <w:rPr>
          <w:rFonts w:hint="eastAsia"/>
          <w:color w:val="auto"/>
          <w:highlight w:val="none"/>
        </w:rPr>
        <w:t>和分包</w:t>
      </w:r>
      <w:bookmarkEnd w:id="503"/>
      <w:bookmarkEnd w:id="504"/>
      <w:bookmarkEnd w:id="505"/>
    </w:p>
    <w:p w14:paraId="753AC0E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CA4247C">
      <w:pPr>
        <w:pStyle w:val="4"/>
        <w:ind w:firstLine="428"/>
        <w:rPr>
          <w:rFonts w:ascii="宋体" w:hAnsi="宋体" w:cs="宋体"/>
          <w:color w:val="auto"/>
          <w:szCs w:val="21"/>
          <w:highlight w:val="none"/>
        </w:rPr>
      </w:pPr>
      <w:r>
        <w:rPr>
          <w:rFonts w:hint="eastAsia" w:ascii="宋体" w:hAnsi="宋体" w:cs="宋体"/>
          <w:color w:val="auto"/>
          <w:szCs w:val="21"/>
          <w:highlight w:val="none"/>
        </w:rPr>
        <w:t>2.</w:t>
      </w:r>
      <w:bookmarkStart w:id="506" w:name="_Toc14066"/>
      <w:bookmarkStart w:id="507" w:name="_Toc13566"/>
      <w:bookmarkStart w:id="508" w:name="_Toc16508"/>
      <w:r>
        <w:rPr>
          <w:rFonts w:hint="eastAsia" w:ascii="宋体" w:hAnsi="宋体" w:cs="宋体"/>
          <w:color w:val="auto"/>
          <w:szCs w:val="21"/>
          <w:highlight w:val="none"/>
        </w:rPr>
        <w:t>11不可抗力</w:t>
      </w:r>
      <w:bookmarkEnd w:id="506"/>
      <w:bookmarkEnd w:id="507"/>
      <w:bookmarkEnd w:id="508"/>
    </w:p>
    <w:p w14:paraId="6291A65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2.11.1如果任何一方遭遇法律规定的不可抗力，致使合同履行受阻时，履行合同的期限应予延长，延长的期限应相当于不可抗力所影响的时间；</w:t>
      </w:r>
    </w:p>
    <w:p w14:paraId="5971F73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2.11.2因不可抗力致使不能实现合同目的的，当事人可以解除合同；</w:t>
      </w:r>
    </w:p>
    <w:p w14:paraId="29A31FC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2.11.3因不可抗力致使合同有变更必要的，双方当事人应在</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约定时间内以书面形式变更合同；</w:t>
      </w:r>
    </w:p>
    <w:p w14:paraId="4C31C94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2.11.4受不可抗力影响的一方在不可抗力发生后，应在</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约定时间内以书面形式通知对方当事人，并在</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约定时间内，将有关部门出具的证明文件送达对方当事人。</w:t>
      </w:r>
    </w:p>
    <w:p w14:paraId="23CAABD1">
      <w:pPr>
        <w:pStyle w:val="4"/>
        <w:ind w:firstLine="428"/>
        <w:rPr>
          <w:color w:val="auto"/>
          <w:highlight w:val="none"/>
        </w:rPr>
      </w:pPr>
      <w:bookmarkStart w:id="509" w:name="_Toc279701255"/>
      <w:bookmarkStart w:id="510" w:name="_Toc487900365"/>
      <w:bookmarkStart w:id="511" w:name="_Toc689"/>
      <w:bookmarkStart w:id="512" w:name="_Toc259093684"/>
      <w:bookmarkStart w:id="513" w:name="_Toc30676"/>
      <w:bookmarkStart w:id="514" w:name="_Toc6969"/>
      <w:r>
        <w:rPr>
          <w:rFonts w:hint="eastAsia"/>
          <w:color w:val="auto"/>
          <w:highlight w:val="none"/>
        </w:rPr>
        <w:t>2.12 税费</w:t>
      </w:r>
      <w:bookmarkEnd w:id="509"/>
      <w:bookmarkEnd w:id="510"/>
      <w:bookmarkEnd w:id="511"/>
      <w:bookmarkEnd w:id="512"/>
      <w:bookmarkEnd w:id="513"/>
      <w:bookmarkEnd w:id="514"/>
    </w:p>
    <w:p w14:paraId="0AEDD9B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与合同有关的一切税费，均按照中华人民共和国法律的相关规定缴纳。</w:t>
      </w:r>
    </w:p>
    <w:p w14:paraId="343B86F7">
      <w:pPr>
        <w:pStyle w:val="4"/>
        <w:ind w:firstLine="428"/>
        <w:rPr>
          <w:color w:val="auto"/>
          <w:highlight w:val="none"/>
        </w:rPr>
      </w:pPr>
      <w:bookmarkStart w:id="515" w:name="_Toc279701258"/>
      <w:bookmarkStart w:id="516" w:name="_Toc16959"/>
      <w:bookmarkStart w:id="517" w:name="_Toc259093687"/>
      <w:bookmarkStart w:id="518" w:name="_Toc7102"/>
      <w:bookmarkStart w:id="519" w:name="_Toc487900368"/>
      <w:bookmarkStart w:id="520" w:name="_Toc8298"/>
      <w:r>
        <w:rPr>
          <w:rFonts w:hint="eastAsia"/>
          <w:color w:val="auto"/>
          <w:highlight w:val="none"/>
        </w:rPr>
        <w:t>2.13乙方破产</w:t>
      </w:r>
      <w:bookmarkEnd w:id="515"/>
      <w:bookmarkEnd w:id="516"/>
      <w:bookmarkEnd w:id="517"/>
      <w:bookmarkEnd w:id="518"/>
      <w:bookmarkEnd w:id="519"/>
      <w:bookmarkEnd w:id="520"/>
    </w:p>
    <w:p w14:paraId="2598866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9810816">
      <w:pPr>
        <w:pStyle w:val="4"/>
        <w:ind w:firstLine="428"/>
        <w:rPr>
          <w:color w:val="auto"/>
          <w:highlight w:val="none"/>
        </w:rPr>
      </w:pPr>
      <w:bookmarkStart w:id="521" w:name="_Toc29333"/>
      <w:bookmarkStart w:id="522" w:name="_Toc15387"/>
      <w:bookmarkStart w:id="523" w:name="_Toc6134"/>
      <w:r>
        <w:rPr>
          <w:rFonts w:hint="eastAsia"/>
          <w:color w:val="auto"/>
          <w:highlight w:val="none"/>
        </w:rPr>
        <w:t>2.14合同中止、终止</w:t>
      </w:r>
      <w:bookmarkEnd w:id="521"/>
      <w:bookmarkEnd w:id="522"/>
      <w:bookmarkEnd w:id="523"/>
    </w:p>
    <w:p w14:paraId="3D9A4B3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2.14.1双方当事人不得擅自中止或者终止合同；</w:t>
      </w:r>
    </w:p>
    <w:p w14:paraId="7CE22C9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2.14.2合同继续履行将损害国家利益和社会公共利益的，双方当事人应当中止或者终止合同。有过错的一方应当承担赔偿责任，双方当事人都有过错的，各自承担相应的责任。</w:t>
      </w:r>
    </w:p>
    <w:p w14:paraId="73D62D6F">
      <w:pPr>
        <w:pStyle w:val="4"/>
        <w:ind w:firstLine="428"/>
        <w:rPr>
          <w:color w:val="auto"/>
          <w:highlight w:val="none"/>
        </w:rPr>
      </w:pPr>
      <w:bookmarkStart w:id="524" w:name="_Toc6596"/>
      <w:bookmarkStart w:id="525" w:name="_Toc1125"/>
      <w:bookmarkStart w:id="526" w:name="_Toc14563"/>
      <w:r>
        <w:rPr>
          <w:rFonts w:hint="eastAsia"/>
          <w:color w:val="auto"/>
          <w:highlight w:val="none"/>
        </w:rPr>
        <w:t>2.15检验和验收</w:t>
      </w:r>
      <w:bookmarkEnd w:id="524"/>
      <w:bookmarkEnd w:id="525"/>
      <w:bookmarkEnd w:id="526"/>
    </w:p>
    <w:p w14:paraId="7CC0E9C3">
      <w:pPr>
        <w:tabs>
          <w:tab w:val="left" w:pos="360"/>
          <w:tab w:val="left" w:pos="540"/>
          <w:tab w:val="left" w:pos="108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2.15.1乙方按照合同</w:t>
      </w:r>
      <w:r>
        <w:rPr>
          <w:rFonts w:hint="eastAsia" w:ascii="宋体" w:hAnsi="宋体" w:cs="宋体"/>
          <w:b/>
          <w:i/>
          <w:color w:val="auto"/>
          <w:szCs w:val="21"/>
          <w:highlight w:val="none"/>
          <w:u w:val="single"/>
        </w:rPr>
        <w:t>专用条款</w:t>
      </w:r>
      <w:r>
        <w:rPr>
          <w:rFonts w:hint="eastAsia" w:ascii="宋体" w:hAnsi="宋体" w:cs="宋体"/>
          <w:color w:val="auto"/>
          <w:szCs w:val="21"/>
          <w:highlight w:val="none"/>
        </w:rPr>
        <w:t>的约定，定期提交服务报告，甲方按照</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的约定进行定期验收；</w:t>
      </w:r>
    </w:p>
    <w:p w14:paraId="31690483">
      <w:pPr>
        <w:tabs>
          <w:tab w:val="left" w:pos="360"/>
          <w:tab w:val="left" w:pos="540"/>
          <w:tab w:val="left" w:pos="108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389C43B">
      <w:pPr>
        <w:tabs>
          <w:tab w:val="left" w:pos="360"/>
          <w:tab w:val="left" w:pos="540"/>
          <w:tab w:val="left" w:pos="108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2.15.3检验和验收标准、程序等具体内容以及前述验收书的效力详见</w:t>
      </w:r>
      <w:r>
        <w:rPr>
          <w:rFonts w:hint="eastAsia" w:ascii="宋体" w:hAnsi="宋体" w:cs="宋体"/>
          <w:b/>
          <w:i/>
          <w:color w:val="auto"/>
          <w:szCs w:val="21"/>
          <w:highlight w:val="none"/>
          <w:u w:val="single"/>
        </w:rPr>
        <w:t>合同专用条款</w:t>
      </w:r>
      <w:r>
        <w:rPr>
          <w:rFonts w:hint="eastAsia" w:ascii="宋体" w:hAnsi="宋体" w:cs="宋体"/>
          <w:i/>
          <w:color w:val="auto"/>
          <w:szCs w:val="21"/>
          <w:highlight w:val="none"/>
        </w:rPr>
        <w:t>。</w:t>
      </w:r>
    </w:p>
    <w:bookmarkEnd w:id="496"/>
    <w:bookmarkEnd w:id="497"/>
    <w:bookmarkEnd w:id="498"/>
    <w:bookmarkEnd w:id="499"/>
    <w:p w14:paraId="1B994EC3">
      <w:pPr>
        <w:pStyle w:val="4"/>
        <w:ind w:firstLine="428"/>
        <w:rPr>
          <w:color w:val="auto"/>
          <w:highlight w:val="none"/>
        </w:rPr>
      </w:pPr>
      <w:bookmarkStart w:id="527" w:name="_Toc259093690"/>
      <w:bookmarkStart w:id="528" w:name="_Toc487900371"/>
      <w:bookmarkStart w:id="529" w:name="_Toc279701261"/>
      <w:bookmarkStart w:id="530" w:name="_Toc11284"/>
      <w:bookmarkStart w:id="531" w:name="_Toc19604"/>
      <w:bookmarkStart w:id="532" w:name="_Toc25182"/>
      <w:r>
        <w:rPr>
          <w:rFonts w:hint="eastAsia"/>
          <w:color w:val="auto"/>
          <w:highlight w:val="none"/>
        </w:rPr>
        <w:t>2.16通知</w:t>
      </w:r>
      <w:bookmarkEnd w:id="527"/>
      <w:bookmarkEnd w:id="528"/>
      <w:bookmarkEnd w:id="529"/>
      <w:r>
        <w:rPr>
          <w:rFonts w:hint="eastAsia"/>
          <w:color w:val="auto"/>
          <w:highlight w:val="none"/>
        </w:rPr>
        <w:t>和送达</w:t>
      </w:r>
      <w:bookmarkEnd w:id="530"/>
      <w:bookmarkEnd w:id="531"/>
      <w:bookmarkEnd w:id="532"/>
    </w:p>
    <w:p w14:paraId="3FC5F537">
      <w:pPr>
        <w:spacing w:line="360" w:lineRule="auto"/>
        <w:ind w:firstLine="420" w:firstLineChars="200"/>
        <w:rPr>
          <w:rFonts w:ascii="宋体" w:hAnsi="宋体" w:cs="宋体"/>
          <w:color w:val="auto"/>
          <w:szCs w:val="21"/>
          <w:highlight w:val="none"/>
        </w:rPr>
      </w:pPr>
      <w:bookmarkStart w:id="533" w:name="_Toc3135"/>
      <w:bookmarkStart w:id="534" w:name="_Toc6698"/>
      <w:bookmarkStart w:id="535" w:name="_Toc279701262"/>
      <w:bookmarkStart w:id="536" w:name="_Toc487900372"/>
      <w:bookmarkStart w:id="537" w:name="_Toc259093691"/>
      <w:r>
        <w:rPr>
          <w:rFonts w:hint="eastAsia" w:ascii="宋体" w:hAnsi="宋体" w:cs="宋体"/>
          <w:color w:val="auto"/>
          <w:szCs w:val="21"/>
          <w:highlight w:val="none"/>
        </w:rPr>
        <w:t xml:space="preserve">2.17.1任何一方因履行合同而以合同第一部分尾部所列明的传真或电子邮件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发出的所有通知、文件、材料，均视为已向对方当事人送达；任何一方变更上述送达方式或者地址的，应于</w:t>
      </w:r>
      <w:r>
        <w:rPr>
          <w:rFonts w:hint="eastAsia" w:ascii="宋体" w:hAnsi="宋体" w:cs="宋体"/>
          <w:color w:val="auto"/>
          <w:szCs w:val="21"/>
          <w:highlight w:val="none"/>
          <w:u w:val="single"/>
        </w:rPr>
        <w:t>3</w:t>
      </w:r>
      <w:r>
        <w:rPr>
          <w:rFonts w:hint="eastAsia" w:ascii="宋体" w:hAnsi="宋体" w:cs="宋体"/>
          <w:color w:val="auto"/>
          <w:szCs w:val="21"/>
          <w:highlight w:val="none"/>
        </w:rPr>
        <w:t>个工作日内书面通知对方当事人，在对方当事人收到有关变更通知之前，变更前的约定送达方式或者地址仍视为有效。</w:t>
      </w:r>
      <w:bookmarkEnd w:id="533"/>
      <w:bookmarkEnd w:id="534"/>
    </w:p>
    <w:p w14:paraId="14011A64">
      <w:pPr>
        <w:spacing w:line="360" w:lineRule="auto"/>
        <w:ind w:firstLine="420" w:firstLineChars="200"/>
        <w:rPr>
          <w:rFonts w:ascii="宋体" w:hAnsi="宋体" w:cs="宋体"/>
          <w:color w:val="auto"/>
          <w:szCs w:val="21"/>
          <w:highlight w:val="none"/>
        </w:rPr>
      </w:pPr>
      <w:bookmarkStart w:id="538" w:name="_Toc23294"/>
      <w:bookmarkStart w:id="539" w:name="_Toc23128"/>
      <w:r>
        <w:rPr>
          <w:rFonts w:hint="eastAsia" w:ascii="宋体" w:hAnsi="宋体" w:cs="宋体"/>
          <w:color w:val="auto"/>
          <w:szCs w:val="21"/>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8"/>
      <w:bookmarkEnd w:id="539"/>
    </w:p>
    <w:p w14:paraId="616BB862">
      <w:pPr>
        <w:pStyle w:val="4"/>
        <w:ind w:firstLine="428"/>
        <w:rPr>
          <w:rFonts w:ascii="宋体" w:hAnsi="宋体" w:cs="宋体"/>
          <w:color w:val="auto"/>
          <w:szCs w:val="21"/>
          <w:highlight w:val="none"/>
        </w:rPr>
      </w:pPr>
      <w:bookmarkStart w:id="540" w:name="_Toc30599"/>
      <w:bookmarkStart w:id="541" w:name="_Toc4355"/>
      <w:bookmarkStart w:id="542" w:name="_Toc18540"/>
      <w:r>
        <w:rPr>
          <w:rFonts w:hint="eastAsia" w:ascii="宋体" w:hAnsi="宋体" w:cs="宋体"/>
          <w:color w:val="auto"/>
          <w:szCs w:val="21"/>
          <w:highlight w:val="none"/>
        </w:rPr>
        <w:t>2.</w:t>
      </w:r>
      <w:bookmarkEnd w:id="535"/>
      <w:bookmarkEnd w:id="536"/>
      <w:bookmarkEnd w:id="537"/>
      <w:bookmarkEnd w:id="540"/>
      <w:bookmarkEnd w:id="541"/>
      <w:bookmarkEnd w:id="542"/>
      <w:r>
        <w:rPr>
          <w:rFonts w:hint="eastAsia" w:ascii="宋体" w:hAnsi="宋体" w:cs="宋体"/>
          <w:color w:val="auto"/>
          <w:szCs w:val="21"/>
          <w:highlight w:val="none"/>
        </w:rPr>
        <w:t>17合同使用</w:t>
      </w:r>
      <w:bookmarkStart w:id="543" w:name="_Toc10330"/>
      <w:bookmarkStart w:id="544" w:name="_Toc12773"/>
      <w:bookmarkStart w:id="545" w:name="_Toc259093692"/>
      <w:bookmarkStart w:id="546" w:name="_Toc18567"/>
      <w:bookmarkStart w:id="547" w:name="_Toc487900373"/>
      <w:bookmarkStart w:id="548" w:name="_Toc279701263"/>
      <w:r>
        <w:rPr>
          <w:rFonts w:hint="eastAsia" w:ascii="宋体" w:hAnsi="宋体" w:cs="宋体"/>
          <w:color w:val="auto"/>
          <w:szCs w:val="21"/>
          <w:highlight w:val="none"/>
        </w:rPr>
        <w:t>的文字和适用的法律</w:t>
      </w:r>
      <w:bookmarkEnd w:id="543"/>
      <w:bookmarkEnd w:id="544"/>
      <w:bookmarkEnd w:id="545"/>
      <w:bookmarkEnd w:id="546"/>
      <w:bookmarkEnd w:id="547"/>
      <w:bookmarkEnd w:id="548"/>
    </w:p>
    <w:p w14:paraId="2DEC495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2.17.1合同使用汉语书写、变更和解释；</w:t>
      </w:r>
    </w:p>
    <w:p w14:paraId="14A4772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2.17.2合同适用中华人民共和国法律。</w:t>
      </w:r>
    </w:p>
    <w:p w14:paraId="76A05505">
      <w:pPr>
        <w:pStyle w:val="4"/>
        <w:ind w:firstLine="428"/>
        <w:rPr>
          <w:rFonts w:ascii="宋体" w:hAnsi="宋体" w:cs="宋体"/>
          <w:color w:val="auto"/>
          <w:szCs w:val="21"/>
          <w:highlight w:val="none"/>
        </w:rPr>
      </w:pPr>
      <w:bookmarkStart w:id="549" w:name="_Toc27403"/>
      <w:bookmarkStart w:id="550" w:name="_Toc27127"/>
      <w:bookmarkStart w:id="551" w:name="_Toc30096"/>
      <w:bookmarkStart w:id="552" w:name="_Toc1492"/>
      <w:bookmarkStart w:id="553" w:name="_Toc22266"/>
      <w:bookmarkStart w:id="554" w:name="_Toc487900374"/>
      <w:bookmarkStart w:id="555" w:name="_Toc259093693"/>
      <w:bookmarkStart w:id="556" w:name="_Toc12004"/>
      <w:bookmarkStart w:id="557" w:name="_Toc279701264"/>
      <w:bookmarkStart w:id="558" w:name="_Toc16673"/>
      <w:bookmarkStart w:id="559" w:name="_Toc3148"/>
      <w:r>
        <w:rPr>
          <w:rFonts w:hint="eastAsia" w:ascii="宋体" w:hAnsi="宋体" w:cs="宋体"/>
          <w:color w:val="auto"/>
          <w:szCs w:val="21"/>
          <w:highlight w:val="none"/>
        </w:rPr>
        <w:t xml:space="preserve">2.18 </w:t>
      </w:r>
      <w:bookmarkEnd w:id="549"/>
      <w:bookmarkEnd w:id="550"/>
      <w:bookmarkEnd w:id="551"/>
      <w:bookmarkEnd w:id="552"/>
      <w:bookmarkEnd w:id="553"/>
      <w:r>
        <w:rPr>
          <w:rFonts w:hint="eastAsia" w:ascii="宋体" w:hAnsi="宋体" w:cs="宋体"/>
          <w:color w:val="auto"/>
          <w:szCs w:val="21"/>
          <w:highlight w:val="none"/>
        </w:rPr>
        <w:t>计量单位</w:t>
      </w:r>
    </w:p>
    <w:p w14:paraId="5C20F33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除技术规范中另有规定外，合同的计量单位均使用国家法定计量单位。</w:t>
      </w:r>
    </w:p>
    <w:p w14:paraId="3738E961">
      <w:pPr>
        <w:pStyle w:val="4"/>
        <w:ind w:firstLine="428"/>
        <w:rPr>
          <w:rFonts w:ascii="宋体" w:hAnsi="宋体" w:cs="宋体"/>
          <w:color w:val="auto"/>
          <w:szCs w:val="21"/>
          <w:highlight w:val="none"/>
        </w:rPr>
      </w:pPr>
      <w:r>
        <w:rPr>
          <w:rFonts w:hint="eastAsia" w:ascii="宋体" w:hAnsi="宋体" w:cs="宋体"/>
          <w:color w:val="auto"/>
          <w:szCs w:val="21"/>
          <w:highlight w:val="none"/>
        </w:rPr>
        <w:t>2.19合同份数</w:t>
      </w:r>
    </w:p>
    <w:p w14:paraId="48445B4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合同份数按</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规定，每份均具有同等法律效力。</w:t>
      </w:r>
    </w:p>
    <w:bookmarkEnd w:id="554"/>
    <w:bookmarkEnd w:id="555"/>
    <w:bookmarkEnd w:id="556"/>
    <w:bookmarkEnd w:id="557"/>
    <w:bookmarkEnd w:id="558"/>
    <w:bookmarkEnd w:id="559"/>
    <w:p w14:paraId="04051122">
      <w:pPr>
        <w:spacing w:line="360" w:lineRule="auto"/>
        <w:ind w:firstLine="420" w:firstLineChars="200"/>
        <w:rPr>
          <w:rFonts w:ascii="宋体" w:hAnsi="宋体" w:cs="宋体"/>
          <w:color w:val="auto"/>
          <w:szCs w:val="21"/>
          <w:highlight w:val="none"/>
        </w:rPr>
      </w:pPr>
    </w:p>
    <w:p w14:paraId="061698F6">
      <w:pPr>
        <w:pStyle w:val="968"/>
        <w:rPr>
          <w:color w:val="auto"/>
          <w:highlight w:val="none"/>
        </w:rPr>
      </w:pPr>
    </w:p>
    <w:p w14:paraId="2247C5B0">
      <w:pPr>
        <w:pStyle w:val="702"/>
        <w:spacing w:line="560" w:lineRule="exact"/>
        <w:ind w:left="0" w:leftChars="0" w:firstLine="0" w:firstLineChars="0"/>
        <w:jc w:val="center"/>
        <w:rPr>
          <w:rFonts w:ascii="宋体" w:hAnsi="宋体" w:cs="宋体"/>
          <w:b/>
          <w:color w:val="auto"/>
          <w:szCs w:val="24"/>
          <w:highlight w:val="none"/>
        </w:rPr>
      </w:pPr>
      <w:r>
        <w:rPr>
          <w:rFonts w:hint="eastAsia" w:ascii="宋体" w:hAnsi="宋体" w:cs="宋体"/>
          <w:color w:val="auto"/>
          <w:kern w:val="0"/>
          <w:szCs w:val="24"/>
          <w:highlight w:val="none"/>
        </w:rPr>
        <w:br w:type="page"/>
      </w:r>
      <w:r>
        <w:rPr>
          <w:rFonts w:hint="eastAsia" w:ascii="宋体" w:hAnsi="宋体" w:cs="宋体"/>
          <w:b/>
          <w:color w:val="auto"/>
          <w:szCs w:val="24"/>
          <w:highlight w:val="none"/>
        </w:rPr>
        <w:t>第三部分 合同专用条款</w:t>
      </w:r>
    </w:p>
    <w:p w14:paraId="30F401D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989"/>
        <w:gridCol w:w="8137"/>
      </w:tblGrid>
      <w:tr w14:paraId="5593A1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1" w:hRule="atLeast"/>
        </w:trPr>
        <w:tc>
          <w:tcPr>
            <w:tcW w:w="989" w:type="dxa"/>
            <w:tcBorders>
              <w:tl2br w:val="nil"/>
              <w:tr2bl w:val="nil"/>
            </w:tcBorders>
            <w:vAlign w:val="center"/>
          </w:tcPr>
          <w:p w14:paraId="6ABA714A">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8137" w:type="dxa"/>
            <w:tcBorders>
              <w:tl2br w:val="nil"/>
              <w:tr2bl w:val="nil"/>
            </w:tcBorders>
            <w:vAlign w:val="center"/>
          </w:tcPr>
          <w:p w14:paraId="6707EAAA">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约定内容</w:t>
            </w:r>
          </w:p>
        </w:tc>
      </w:tr>
      <w:tr w14:paraId="7131F9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989" w:type="dxa"/>
            <w:tcBorders>
              <w:tl2br w:val="nil"/>
              <w:tr2bl w:val="nil"/>
            </w:tcBorders>
            <w:vAlign w:val="center"/>
          </w:tcPr>
          <w:p w14:paraId="6AE6693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1.5.1</w:t>
            </w:r>
          </w:p>
        </w:tc>
        <w:tc>
          <w:tcPr>
            <w:tcW w:w="8137" w:type="dxa"/>
            <w:tcBorders>
              <w:tl2br w:val="nil"/>
              <w:tr2bl w:val="nil"/>
            </w:tcBorders>
            <w:vAlign w:val="center"/>
          </w:tcPr>
          <w:p w14:paraId="557F8353">
            <w:pPr>
              <w:spacing w:line="360" w:lineRule="auto"/>
              <w:rPr>
                <w:color w:val="auto"/>
                <w:highlight w:val="none"/>
              </w:rPr>
            </w:pPr>
            <w:r>
              <w:rPr>
                <w:rFonts w:hint="eastAsia" w:ascii="宋体" w:hAnsi="宋体" w:cs="宋体"/>
                <w:b/>
                <w:color w:val="auto"/>
                <w:szCs w:val="21"/>
                <w:highlight w:val="none"/>
              </w:rPr>
              <w:t>预付款付款比例、支付方式、时间：</w:t>
            </w:r>
            <w:r>
              <w:rPr>
                <w:rFonts w:hint="eastAsia"/>
                <w:color w:val="auto"/>
                <w:szCs w:val="21"/>
                <w:highlight w:val="none"/>
              </w:rPr>
              <w:t>合同生效并具备实施条件后5个工作日内，</w:t>
            </w:r>
            <w:r>
              <w:rPr>
                <w:rFonts w:hint="eastAsia"/>
                <w:color w:val="auto"/>
                <w:szCs w:val="21"/>
                <w:highlight w:val="none"/>
                <w:lang w:eastAsia="zh-CN"/>
              </w:rPr>
              <w:t>甲方</w:t>
            </w:r>
            <w:r>
              <w:rPr>
                <w:rFonts w:hint="eastAsia"/>
                <w:color w:val="auto"/>
                <w:szCs w:val="21"/>
                <w:highlight w:val="none"/>
              </w:rPr>
              <w:t>向</w:t>
            </w:r>
            <w:r>
              <w:rPr>
                <w:rFonts w:hint="eastAsia"/>
                <w:color w:val="auto"/>
                <w:szCs w:val="21"/>
                <w:highlight w:val="none"/>
                <w:lang w:eastAsia="zh-CN"/>
              </w:rPr>
              <w:t>乙方</w:t>
            </w:r>
            <w:r>
              <w:rPr>
                <w:rFonts w:hint="eastAsia"/>
                <w:color w:val="auto"/>
                <w:szCs w:val="21"/>
                <w:highlight w:val="none"/>
              </w:rPr>
              <w:t>支付项目合同总价的50%作为预付款，在签订合同时，</w:t>
            </w:r>
            <w:r>
              <w:rPr>
                <w:rFonts w:hint="eastAsia"/>
                <w:color w:val="auto"/>
                <w:szCs w:val="21"/>
                <w:highlight w:val="none"/>
                <w:lang w:eastAsia="zh-CN"/>
              </w:rPr>
              <w:t>乙方</w:t>
            </w:r>
            <w:r>
              <w:rPr>
                <w:rFonts w:hint="eastAsia"/>
                <w:color w:val="auto"/>
                <w:szCs w:val="21"/>
                <w:highlight w:val="none"/>
              </w:rPr>
              <w:t>明确表示无需预付款或者主动要求降低预付款比例的，</w:t>
            </w:r>
            <w:r>
              <w:rPr>
                <w:rFonts w:hint="eastAsia"/>
                <w:color w:val="auto"/>
                <w:szCs w:val="21"/>
                <w:highlight w:val="none"/>
                <w:lang w:eastAsia="zh-CN"/>
              </w:rPr>
              <w:t>甲方</w:t>
            </w:r>
            <w:r>
              <w:rPr>
                <w:rFonts w:hint="eastAsia"/>
                <w:color w:val="auto"/>
                <w:szCs w:val="21"/>
                <w:highlight w:val="none"/>
              </w:rPr>
              <w:t>可不适用前述规定。</w:t>
            </w:r>
          </w:p>
        </w:tc>
      </w:tr>
      <w:tr w14:paraId="7B31E0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989" w:type="dxa"/>
            <w:tcBorders>
              <w:tl2br w:val="nil"/>
              <w:tr2bl w:val="nil"/>
            </w:tcBorders>
            <w:vAlign w:val="center"/>
          </w:tcPr>
          <w:p w14:paraId="1B4606C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1.5.2</w:t>
            </w:r>
          </w:p>
        </w:tc>
        <w:tc>
          <w:tcPr>
            <w:tcW w:w="8137" w:type="dxa"/>
            <w:tcBorders>
              <w:tl2br w:val="nil"/>
              <w:tr2bl w:val="nil"/>
            </w:tcBorders>
            <w:vAlign w:val="center"/>
          </w:tcPr>
          <w:p w14:paraId="13EDA5F7">
            <w:pPr>
              <w:spacing w:line="360" w:lineRule="auto"/>
              <w:rPr>
                <w:color w:val="auto"/>
                <w:szCs w:val="21"/>
                <w:highlight w:val="none"/>
              </w:rPr>
            </w:pPr>
            <w:r>
              <w:rPr>
                <w:rFonts w:hint="eastAsia"/>
                <w:b/>
                <w:bCs/>
                <w:color w:val="auto"/>
                <w:szCs w:val="21"/>
                <w:highlight w:val="none"/>
              </w:rPr>
              <w:t>付款的扣回方式：</w:t>
            </w:r>
            <w:r>
              <w:rPr>
                <w:rFonts w:hint="eastAsia"/>
                <w:color w:val="auto"/>
                <w:szCs w:val="21"/>
                <w:highlight w:val="none"/>
              </w:rPr>
              <w:t>/</w:t>
            </w:r>
          </w:p>
        </w:tc>
      </w:tr>
      <w:tr w14:paraId="3AEB9B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989" w:type="dxa"/>
            <w:tcBorders>
              <w:tl2br w:val="nil"/>
              <w:tr2bl w:val="nil"/>
            </w:tcBorders>
            <w:vAlign w:val="center"/>
          </w:tcPr>
          <w:p w14:paraId="06D4845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1.5.3</w:t>
            </w:r>
          </w:p>
        </w:tc>
        <w:tc>
          <w:tcPr>
            <w:tcW w:w="8137" w:type="dxa"/>
            <w:tcBorders>
              <w:tl2br w:val="nil"/>
              <w:tr2bl w:val="nil"/>
            </w:tcBorders>
            <w:vAlign w:val="center"/>
          </w:tcPr>
          <w:p w14:paraId="4B099FA0">
            <w:pPr>
              <w:spacing w:line="360" w:lineRule="auto"/>
              <w:rPr>
                <w:color w:val="auto"/>
                <w:szCs w:val="21"/>
                <w:highlight w:val="none"/>
              </w:rPr>
            </w:pPr>
            <w:r>
              <w:rPr>
                <w:rFonts w:hint="eastAsia"/>
                <w:b/>
                <w:bCs/>
                <w:color w:val="auto"/>
                <w:szCs w:val="21"/>
                <w:highlight w:val="none"/>
              </w:rPr>
              <w:t>付款的担保措施：</w:t>
            </w:r>
            <w:r>
              <w:rPr>
                <w:rFonts w:hint="eastAsia"/>
                <w:color w:val="auto"/>
                <w:szCs w:val="21"/>
                <w:highlight w:val="none"/>
              </w:rPr>
              <w:t>/</w:t>
            </w:r>
          </w:p>
        </w:tc>
      </w:tr>
      <w:tr w14:paraId="5C5893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989" w:type="dxa"/>
            <w:tcBorders>
              <w:tl2br w:val="nil"/>
              <w:tr2bl w:val="nil"/>
            </w:tcBorders>
            <w:vAlign w:val="center"/>
          </w:tcPr>
          <w:p w14:paraId="38E448A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1.6.2</w:t>
            </w:r>
          </w:p>
        </w:tc>
        <w:tc>
          <w:tcPr>
            <w:tcW w:w="8137" w:type="dxa"/>
            <w:tcBorders>
              <w:tl2br w:val="nil"/>
              <w:tr2bl w:val="nil"/>
            </w:tcBorders>
            <w:vAlign w:val="center"/>
          </w:tcPr>
          <w:p w14:paraId="0BE14E32">
            <w:pPr>
              <w:spacing w:line="360" w:lineRule="auto"/>
              <w:rPr>
                <w:b/>
                <w:bCs/>
                <w:color w:val="auto"/>
                <w:szCs w:val="21"/>
                <w:highlight w:val="none"/>
              </w:rPr>
            </w:pPr>
            <w:r>
              <w:rPr>
                <w:rFonts w:hint="eastAsia"/>
                <w:b/>
                <w:bCs/>
                <w:color w:val="auto"/>
                <w:szCs w:val="21"/>
                <w:highlight w:val="none"/>
              </w:rPr>
              <w:t>资金支付的方式、时间和条件：</w:t>
            </w:r>
          </w:p>
          <w:p w14:paraId="61F63E1C">
            <w:pPr>
              <w:spacing w:line="360" w:lineRule="auto"/>
              <w:rPr>
                <w:color w:val="auto"/>
                <w:szCs w:val="21"/>
                <w:highlight w:val="none"/>
              </w:rPr>
            </w:pPr>
            <w:r>
              <w:rPr>
                <w:rFonts w:hint="eastAsia"/>
                <w:b/>
                <w:bCs/>
                <w:color w:val="auto"/>
                <w:szCs w:val="21"/>
                <w:highlight w:val="none"/>
                <w:lang w:val="en-US" w:eastAsia="zh-CN"/>
              </w:rPr>
              <w:t>第</w:t>
            </w:r>
            <w:r>
              <w:rPr>
                <w:rFonts w:hint="eastAsia"/>
                <w:b/>
                <w:bCs/>
                <w:color w:val="auto"/>
                <w:szCs w:val="21"/>
                <w:highlight w:val="none"/>
              </w:rPr>
              <w:t>一次付款:</w:t>
            </w:r>
            <w:r>
              <w:rPr>
                <w:rFonts w:hint="eastAsia"/>
                <w:color w:val="auto"/>
                <w:szCs w:val="21"/>
                <w:highlight w:val="none"/>
              </w:rPr>
              <w:t>合同生效并具备实施条件后5个工作日内，</w:t>
            </w:r>
            <w:r>
              <w:rPr>
                <w:rFonts w:hint="eastAsia"/>
                <w:color w:val="auto"/>
                <w:szCs w:val="21"/>
                <w:highlight w:val="none"/>
                <w:lang w:eastAsia="zh-CN"/>
              </w:rPr>
              <w:t>甲方</w:t>
            </w:r>
            <w:r>
              <w:rPr>
                <w:rFonts w:hint="eastAsia"/>
                <w:color w:val="auto"/>
                <w:szCs w:val="21"/>
                <w:highlight w:val="none"/>
              </w:rPr>
              <w:t>向</w:t>
            </w:r>
            <w:r>
              <w:rPr>
                <w:rFonts w:hint="eastAsia"/>
                <w:color w:val="auto"/>
                <w:szCs w:val="21"/>
                <w:highlight w:val="none"/>
                <w:lang w:eastAsia="zh-CN"/>
              </w:rPr>
              <w:t>乙方</w:t>
            </w:r>
            <w:r>
              <w:rPr>
                <w:rFonts w:hint="eastAsia"/>
                <w:color w:val="auto"/>
                <w:szCs w:val="21"/>
                <w:highlight w:val="none"/>
              </w:rPr>
              <w:t>支付合同总价的50%作为预付款，在签订合同时，</w:t>
            </w:r>
            <w:r>
              <w:rPr>
                <w:rFonts w:hint="eastAsia"/>
                <w:color w:val="auto"/>
                <w:szCs w:val="21"/>
                <w:highlight w:val="none"/>
                <w:lang w:eastAsia="zh-CN"/>
              </w:rPr>
              <w:t>乙方</w:t>
            </w:r>
            <w:r>
              <w:rPr>
                <w:rFonts w:hint="eastAsia"/>
                <w:color w:val="auto"/>
                <w:szCs w:val="21"/>
                <w:highlight w:val="none"/>
              </w:rPr>
              <w:t>明确表示无需预付款或者主动要求降低预付款比例的，</w:t>
            </w:r>
            <w:r>
              <w:rPr>
                <w:rFonts w:hint="eastAsia"/>
                <w:color w:val="auto"/>
                <w:szCs w:val="21"/>
                <w:highlight w:val="none"/>
                <w:lang w:eastAsia="zh-CN"/>
              </w:rPr>
              <w:t>甲方</w:t>
            </w:r>
            <w:r>
              <w:rPr>
                <w:rFonts w:hint="eastAsia"/>
                <w:color w:val="auto"/>
                <w:szCs w:val="21"/>
                <w:highlight w:val="none"/>
              </w:rPr>
              <w:t>可不适用前述规定。</w:t>
            </w:r>
          </w:p>
          <w:p w14:paraId="1D1A1A6D">
            <w:pPr>
              <w:spacing w:line="360" w:lineRule="auto"/>
              <w:rPr>
                <w:color w:val="auto"/>
                <w:szCs w:val="21"/>
                <w:highlight w:val="none"/>
              </w:rPr>
            </w:pPr>
            <w:r>
              <w:rPr>
                <w:rFonts w:hint="eastAsia"/>
                <w:b/>
                <w:bCs/>
                <w:color w:val="auto"/>
                <w:szCs w:val="21"/>
                <w:highlight w:val="none"/>
              </w:rPr>
              <w:t>第二次付款:</w:t>
            </w:r>
            <w:r>
              <w:rPr>
                <w:rFonts w:hint="eastAsia"/>
                <w:color w:val="auto"/>
                <w:szCs w:val="21"/>
                <w:highlight w:val="none"/>
                <w:lang w:val="en-US" w:eastAsia="zh-CN"/>
              </w:rPr>
              <w:t>阶段性验收</w:t>
            </w:r>
            <w:r>
              <w:rPr>
                <w:rFonts w:hint="eastAsia"/>
                <w:color w:val="auto"/>
                <w:szCs w:val="21"/>
                <w:highlight w:val="none"/>
              </w:rPr>
              <w:t>通过后，</w:t>
            </w:r>
            <w:r>
              <w:rPr>
                <w:rFonts w:hint="eastAsia"/>
                <w:color w:val="auto"/>
                <w:szCs w:val="21"/>
                <w:highlight w:val="none"/>
                <w:lang w:eastAsia="zh-CN"/>
              </w:rPr>
              <w:t>乙方</w:t>
            </w:r>
            <w:r>
              <w:rPr>
                <w:rFonts w:hint="eastAsia"/>
                <w:color w:val="auto"/>
                <w:szCs w:val="21"/>
                <w:highlight w:val="none"/>
              </w:rPr>
              <w:t>向</w:t>
            </w:r>
            <w:r>
              <w:rPr>
                <w:rFonts w:hint="eastAsia"/>
                <w:color w:val="auto"/>
                <w:szCs w:val="21"/>
                <w:highlight w:val="none"/>
                <w:lang w:eastAsia="zh-CN"/>
              </w:rPr>
              <w:t>甲方</w:t>
            </w:r>
            <w:r>
              <w:rPr>
                <w:rFonts w:hint="eastAsia"/>
                <w:color w:val="auto"/>
                <w:szCs w:val="21"/>
                <w:highlight w:val="none"/>
              </w:rPr>
              <w:t>提出付款申请，</w:t>
            </w:r>
            <w:r>
              <w:rPr>
                <w:rFonts w:hint="eastAsia"/>
                <w:color w:val="auto"/>
                <w:szCs w:val="21"/>
                <w:highlight w:val="none"/>
                <w:lang w:eastAsia="zh-CN"/>
              </w:rPr>
              <w:t>甲方</w:t>
            </w:r>
            <w:r>
              <w:rPr>
                <w:rFonts w:hint="eastAsia"/>
                <w:color w:val="auto"/>
                <w:szCs w:val="21"/>
                <w:highlight w:val="none"/>
              </w:rPr>
              <w:t>在收到</w:t>
            </w:r>
            <w:r>
              <w:rPr>
                <w:rFonts w:hint="eastAsia"/>
                <w:color w:val="auto"/>
                <w:szCs w:val="21"/>
                <w:highlight w:val="none"/>
                <w:lang w:eastAsia="zh-CN"/>
              </w:rPr>
              <w:t>乙方</w:t>
            </w:r>
            <w:r>
              <w:rPr>
                <w:rFonts w:hint="eastAsia"/>
                <w:color w:val="auto"/>
                <w:szCs w:val="21"/>
                <w:highlight w:val="none"/>
              </w:rPr>
              <w:t>提供的付款申请材料后5个工作日内支付合同金额的30%。</w:t>
            </w:r>
          </w:p>
          <w:p w14:paraId="28E73CA3">
            <w:pPr>
              <w:spacing w:line="360" w:lineRule="auto"/>
              <w:rPr>
                <w:color w:val="auto"/>
                <w:szCs w:val="21"/>
                <w:highlight w:val="none"/>
              </w:rPr>
            </w:pPr>
            <w:r>
              <w:rPr>
                <w:rFonts w:hint="eastAsia"/>
                <w:b/>
                <w:bCs/>
                <w:color w:val="auto"/>
                <w:szCs w:val="21"/>
                <w:highlight w:val="none"/>
              </w:rPr>
              <w:t>第三次付款：</w:t>
            </w:r>
            <w:r>
              <w:rPr>
                <w:rFonts w:hint="eastAsia"/>
                <w:color w:val="auto"/>
                <w:szCs w:val="21"/>
                <w:highlight w:val="none"/>
              </w:rPr>
              <w:t>服务到期且项目终验通过后，</w:t>
            </w:r>
            <w:r>
              <w:rPr>
                <w:rFonts w:hint="eastAsia"/>
                <w:color w:val="auto"/>
                <w:szCs w:val="21"/>
                <w:highlight w:val="none"/>
                <w:lang w:eastAsia="zh-CN"/>
              </w:rPr>
              <w:t>乙方</w:t>
            </w:r>
            <w:r>
              <w:rPr>
                <w:rFonts w:hint="eastAsia"/>
                <w:color w:val="auto"/>
                <w:szCs w:val="21"/>
                <w:highlight w:val="none"/>
              </w:rPr>
              <w:t>向</w:t>
            </w:r>
            <w:r>
              <w:rPr>
                <w:rFonts w:hint="eastAsia"/>
                <w:color w:val="auto"/>
                <w:szCs w:val="21"/>
                <w:highlight w:val="none"/>
                <w:lang w:eastAsia="zh-CN"/>
              </w:rPr>
              <w:t>甲方</w:t>
            </w:r>
            <w:r>
              <w:rPr>
                <w:rFonts w:hint="eastAsia"/>
                <w:color w:val="auto"/>
                <w:szCs w:val="21"/>
                <w:highlight w:val="none"/>
              </w:rPr>
              <w:t>提出付款申请，</w:t>
            </w:r>
            <w:r>
              <w:rPr>
                <w:rFonts w:hint="eastAsia"/>
                <w:color w:val="auto"/>
                <w:szCs w:val="21"/>
                <w:highlight w:val="none"/>
                <w:lang w:eastAsia="zh-CN"/>
              </w:rPr>
              <w:t>甲方</w:t>
            </w:r>
            <w:r>
              <w:rPr>
                <w:rFonts w:hint="eastAsia"/>
                <w:color w:val="auto"/>
                <w:szCs w:val="21"/>
                <w:highlight w:val="none"/>
              </w:rPr>
              <w:t>在收到</w:t>
            </w:r>
            <w:r>
              <w:rPr>
                <w:rFonts w:hint="eastAsia"/>
                <w:color w:val="auto"/>
                <w:szCs w:val="21"/>
                <w:highlight w:val="none"/>
                <w:lang w:eastAsia="zh-CN"/>
              </w:rPr>
              <w:t>乙方</w:t>
            </w:r>
            <w:r>
              <w:rPr>
                <w:rFonts w:hint="eastAsia"/>
                <w:color w:val="auto"/>
                <w:szCs w:val="21"/>
                <w:highlight w:val="none"/>
              </w:rPr>
              <w:t>提供的付款申请材料后5个工作日内支付合同金额的15%。</w:t>
            </w:r>
          </w:p>
          <w:p w14:paraId="3EACA6E8">
            <w:pPr>
              <w:spacing w:line="360" w:lineRule="auto"/>
              <w:rPr>
                <w:color w:val="auto"/>
                <w:szCs w:val="21"/>
                <w:highlight w:val="none"/>
              </w:rPr>
            </w:pPr>
            <w:r>
              <w:rPr>
                <w:rFonts w:hint="eastAsia"/>
                <w:b/>
                <w:bCs/>
                <w:color w:val="auto"/>
                <w:szCs w:val="21"/>
                <w:highlight w:val="none"/>
              </w:rPr>
              <w:t>第四次付款：</w:t>
            </w:r>
            <w:r>
              <w:rPr>
                <w:rFonts w:hint="eastAsia"/>
                <w:color w:val="auto"/>
                <w:szCs w:val="21"/>
                <w:highlight w:val="none"/>
              </w:rPr>
              <w:t>一年免费运维服务期满后，</w:t>
            </w:r>
            <w:r>
              <w:rPr>
                <w:rFonts w:hint="eastAsia"/>
                <w:color w:val="auto"/>
                <w:szCs w:val="21"/>
                <w:highlight w:val="none"/>
                <w:lang w:eastAsia="zh-CN"/>
              </w:rPr>
              <w:t>乙方</w:t>
            </w:r>
            <w:r>
              <w:rPr>
                <w:rFonts w:hint="eastAsia"/>
                <w:color w:val="auto"/>
                <w:szCs w:val="21"/>
                <w:highlight w:val="none"/>
              </w:rPr>
              <w:t>向</w:t>
            </w:r>
            <w:r>
              <w:rPr>
                <w:rFonts w:hint="eastAsia"/>
                <w:color w:val="auto"/>
                <w:szCs w:val="21"/>
                <w:highlight w:val="none"/>
                <w:lang w:eastAsia="zh-CN"/>
              </w:rPr>
              <w:t>甲方</w:t>
            </w:r>
            <w:r>
              <w:rPr>
                <w:rFonts w:hint="eastAsia"/>
                <w:color w:val="auto"/>
                <w:szCs w:val="21"/>
                <w:highlight w:val="none"/>
              </w:rPr>
              <w:t>提出付款申请，</w:t>
            </w:r>
            <w:r>
              <w:rPr>
                <w:rFonts w:hint="eastAsia"/>
                <w:color w:val="auto"/>
                <w:szCs w:val="21"/>
                <w:highlight w:val="none"/>
                <w:lang w:eastAsia="zh-CN"/>
              </w:rPr>
              <w:t>甲方</w:t>
            </w:r>
            <w:r>
              <w:rPr>
                <w:rFonts w:hint="eastAsia"/>
                <w:color w:val="auto"/>
                <w:szCs w:val="21"/>
                <w:highlight w:val="none"/>
              </w:rPr>
              <w:t>在收到</w:t>
            </w:r>
            <w:r>
              <w:rPr>
                <w:rFonts w:hint="eastAsia"/>
                <w:color w:val="auto"/>
                <w:szCs w:val="21"/>
                <w:highlight w:val="none"/>
                <w:lang w:eastAsia="zh-CN"/>
              </w:rPr>
              <w:t>乙方</w:t>
            </w:r>
            <w:r>
              <w:rPr>
                <w:rFonts w:hint="eastAsia"/>
                <w:color w:val="auto"/>
                <w:szCs w:val="21"/>
                <w:highlight w:val="none"/>
              </w:rPr>
              <w:t>提供的付款申请材料后5个工作日内支付扣除罚款后的（若有）剩余合同款。</w:t>
            </w:r>
          </w:p>
          <w:p w14:paraId="6AA49634">
            <w:pPr>
              <w:spacing w:line="360" w:lineRule="auto"/>
              <w:rPr>
                <w:color w:val="auto"/>
                <w:szCs w:val="21"/>
                <w:highlight w:val="none"/>
              </w:rPr>
            </w:pPr>
            <w:r>
              <w:rPr>
                <w:rFonts w:hint="eastAsia"/>
                <w:color w:val="auto"/>
                <w:szCs w:val="21"/>
                <w:highlight w:val="none"/>
              </w:rPr>
              <w:t>以上款项支付前，乙方应当出具等额正式发票。支付按照财政政策执行，因乙方提交的发票等请款材料不符合要求、存在违约行为或财政拨款等原因造成甲方不能及时支付项目经费款项的，甲方不承担责任，乙方不得以此为由怠于履行本合同义务。</w:t>
            </w:r>
          </w:p>
        </w:tc>
      </w:tr>
      <w:tr w14:paraId="2F353F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989" w:type="dxa"/>
            <w:tcBorders>
              <w:tl2br w:val="nil"/>
              <w:tr2bl w:val="nil"/>
            </w:tcBorders>
            <w:vAlign w:val="center"/>
          </w:tcPr>
          <w:p w14:paraId="67CE4CB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1.7.1</w:t>
            </w:r>
          </w:p>
        </w:tc>
        <w:tc>
          <w:tcPr>
            <w:tcW w:w="8137" w:type="dxa"/>
            <w:tcBorders>
              <w:tl2br w:val="nil"/>
              <w:tr2bl w:val="nil"/>
            </w:tcBorders>
            <w:vAlign w:val="center"/>
          </w:tcPr>
          <w:p w14:paraId="38985DA6">
            <w:pPr>
              <w:pStyle w:val="713"/>
              <w:numPr>
                <w:ilvl w:val="255"/>
                <w:numId w:val="0"/>
              </w:numPr>
              <w:rPr>
                <w:rFonts w:eastAsia="宋体"/>
                <w:b/>
                <w:bCs/>
                <w:color w:val="auto"/>
                <w:sz w:val="21"/>
                <w:highlight w:val="none"/>
              </w:rPr>
            </w:pPr>
            <w:r>
              <w:rPr>
                <w:rFonts w:hint="eastAsia" w:eastAsia="宋体"/>
                <w:b/>
                <w:bCs/>
                <w:color w:val="auto"/>
                <w:sz w:val="21"/>
                <w:highlight w:val="none"/>
              </w:rPr>
              <w:t>服务交付（实施）的时间（期限）：</w:t>
            </w:r>
            <w:r>
              <w:rPr>
                <w:rFonts w:hint="eastAsia" w:eastAsia="宋体"/>
                <w:color w:val="auto"/>
                <w:sz w:val="21"/>
                <w:highlight w:val="none"/>
              </w:rPr>
              <w:t>项目总工期为6个月。自合同签订之日起5个月内完成系统部署上线</w:t>
            </w:r>
            <w:r>
              <w:rPr>
                <w:rFonts w:hint="eastAsia" w:eastAsia="宋体"/>
                <w:color w:val="auto"/>
                <w:sz w:val="21"/>
                <w:highlight w:val="none"/>
                <w:lang w:eastAsia="zh-CN"/>
              </w:rPr>
              <w:t>，</w:t>
            </w:r>
            <w:r>
              <w:rPr>
                <w:rFonts w:hint="eastAsia" w:eastAsia="宋体"/>
                <w:color w:val="auto"/>
                <w:sz w:val="21"/>
                <w:highlight w:val="none"/>
              </w:rPr>
              <w:t>1个月试运行。</w:t>
            </w:r>
          </w:p>
        </w:tc>
      </w:tr>
      <w:tr w14:paraId="6F27CE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989" w:type="dxa"/>
            <w:tcBorders>
              <w:tl2br w:val="nil"/>
              <w:tr2bl w:val="nil"/>
            </w:tcBorders>
            <w:vAlign w:val="center"/>
          </w:tcPr>
          <w:p w14:paraId="5E711C6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1.7.2</w:t>
            </w:r>
          </w:p>
        </w:tc>
        <w:tc>
          <w:tcPr>
            <w:tcW w:w="8137" w:type="dxa"/>
            <w:tcBorders>
              <w:tl2br w:val="nil"/>
              <w:tr2bl w:val="nil"/>
            </w:tcBorders>
            <w:vAlign w:val="center"/>
          </w:tcPr>
          <w:p w14:paraId="05C1DAC7">
            <w:pPr>
              <w:spacing w:line="360" w:lineRule="auto"/>
              <w:rPr>
                <w:color w:val="auto"/>
                <w:szCs w:val="21"/>
                <w:highlight w:val="none"/>
              </w:rPr>
            </w:pPr>
            <w:r>
              <w:rPr>
                <w:rFonts w:hint="eastAsia"/>
                <w:b/>
                <w:bCs/>
                <w:color w:val="auto"/>
                <w:szCs w:val="21"/>
                <w:highlight w:val="none"/>
              </w:rPr>
              <w:t>服务交付（实施）的地点（地域范围）：</w:t>
            </w:r>
            <w:r>
              <w:rPr>
                <w:rFonts w:hint="eastAsia"/>
                <w:color w:val="auto"/>
                <w:szCs w:val="21"/>
                <w:highlight w:val="none"/>
              </w:rPr>
              <w:t>杭州市余杭区数据资源管理局及其指定地点。</w:t>
            </w:r>
          </w:p>
        </w:tc>
      </w:tr>
      <w:tr w14:paraId="288F84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989" w:type="dxa"/>
            <w:tcBorders>
              <w:tl2br w:val="nil"/>
              <w:tr2bl w:val="nil"/>
            </w:tcBorders>
            <w:vAlign w:val="center"/>
          </w:tcPr>
          <w:p w14:paraId="53D9E3D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1.7.3</w:t>
            </w:r>
          </w:p>
        </w:tc>
        <w:tc>
          <w:tcPr>
            <w:tcW w:w="8137" w:type="dxa"/>
            <w:tcBorders>
              <w:tl2br w:val="nil"/>
              <w:tr2bl w:val="nil"/>
            </w:tcBorders>
            <w:vAlign w:val="center"/>
          </w:tcPr>
          <w:p w14:paraId="4F157430">
            <w:pPr>
              <w:spacing w:line="360" w:lineRule="auto"/>
              <w:rPr>
                <w:color w:val="auto"/>
                <w:szCs w:val="21"/>
                <w:highlight w:val="none"/>
              </w:rPr>
            </w:pPr>
            <w:r>
              <w:rPr>
                <w:rFonts w:hint="eastAsia"/>
                <w:b/>
                <w:bCs/>
                <w:color w:val="auto"/>
                <w:szCs w:val="21"/>
                <w:highlight w:val="none"/>
              </w:rPr>
              <w:t>服务交付（实施）的方式：</w:t>
            </w:r>
            <w:r>
              <w:rPr>
                <w:rFonts w:hint="eastAsia"/>
                <w:color w:val="auto"/>
                <w:szCs w:val="21"/>
                <w:highlight w:val="none"/>
              </w:rPr>
              <w:t>按照招标文件及合同要求进行交付。</w:t>
            </w:r>
          </w:p>
        </w:tc>
      </w:tr>
      <w:tr w14:paraId="04820A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989" w:type="dxa"/>
            <w:tcBorders>
              <w:tl2br w:val="nil"/>
              <w:tr2bl w:val="nil"/>
            </w:tcBorders>
            <w:vAlign w:val="center"/>
          </w:tcPr>
          <w:p w14:paraId="3CCE5C3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1.7.4.1</w:t>
            </w:r>
          </w:p>
        </w:tc>
        <w:tc>
          <w:tcPr>
            <w:tcW w:w="8137" w:type="dxa"/>
            <w:tcBorders>
              <w:tl2br w:val="nil"/>
              <w:tr2bl w:val="nil"/>
            </w:tcBorders>
            <w:vAlign w:val="center"/>
          </w:tcPr>
          <w:p w14:paraId="689CA710">
            <w:pPr>
              <w:spacing w:line="360" w:lineRule="auto"/>
              <w:rPr>
                <w:color w:val="auto"/>
                <w:szCs w:val="21"/>
                <w:highlight w:val="none"/>
              </w:rPr>
            </w:pPr>
            <w:r>
              <w:rPr>
                <w:rFonts w:hint="eastAsia"/>
                <w:b/>
                <w:bCs/>
                <w:color w:val="auto"/>
                <w:szCs w:val="21"/>
                <w:highlight w:val="none"/>
              </w:rPr>
              <w:t>服务配套货物的交付期限：</w:t>
            </w:r>
            <w:r>
              <w:rPr>
                <w:rFonts w:hint="eastAsia"/>
                <w:color w:val="auto"/>
                <w:szCs w:val="21"/>
                <w:highlight w:val="none"/>
              </w:rPr>
              <w:t>/</w:t>
            </w:r>
          </w:p>
        </w:tc>
      </w:tr>
      <w:tr w14:paraId="22183A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989" w:type="dxa"/>
            <w:tcBorders>
              <w:tl2br w:val="nil"/>
              <w:tr2bl w:val="nil"/>
            </w:tcBorders>
            <w:vAlign w:val="center"/>
          </w:tcPr>
          <w:p w14:paraId="1E30D51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1.7.4.2</w:t>
            </w:r>
          </w:p>
        </w:tc>
        <w:tc>
          <w:tcPr>
            <w:tcW w:w="8137" w:type="dxa"/>
            <w:tcBorders>
              <w:tl2br w:val="nil"/>
              <w:tr2bl w:val="nil"/>
            </w:tcBorders>
            <w:vAlign w:val="center"/>
          </w:tcPr>
          <w:p w14:paraId="786E8DBE">
            <w:pPr>
              <w:spacing w:line="360" w:lineRule="auto"/>
              <w:rPr>
                <w:color w:val="auto"/>
                <w:szCs w:val="21"/>
                <w:highlight w:val="none"/>
              </w:rPr>
            </w:pPr>
            <w:r>
              <w:rPr>
                <w:rFonts w:hint="eastAsia"/>
                <w:b/>
                <w:bCs/>
                <w:color w:val="auto"/>
                <w:szCs w:val="21"/>
                <w:highlight w:val="none"/>
              </w:rPr>
              <w:t>服务配套货物的交付地点</w:t>
            </w:r>
            <w:r>
              <w:rPr>
                <w:rFonts w:hint="eastAsia"/>
                <w:color w:val="auto"/>
                <w:szCs w:val="21"/>
                <w:highlight w:val="none"/>
              </w:rPr>
              <w:t>：/</w:t>
            </w:r>
          </w:p>
        </w:tc>
      </w:tr>
      <w:tr w14:paraId="36C32B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989" w:type="dxa"/>
            <w:tcBorders>
              <w:tl2br w:val="nil"/>
              <w:tr2bl w:val="nil"/>
            </w:tcBorders>
            <w:vAlign w:val="center"/>
          </w:tcPr>
          <w:p w14:paraId="6CE1C0D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1.7.4.3</w:t>
            </w:r>
          </w:p>
        </w:tc>
        <w:tc>
          <w:tcPr>
            <w:tcW w:w="8137" w:type="dxa"/>
            <w:tcBorders>
              <w:tl2br w:val="nil"/>
              <w:tr2bl w:val="nil"/>
            </w:tcBorders>
            <w:vAlign w:val="center"/>
          </w:tcPr>
          <w:p w14:paraId="0DC1DE02">
            <w:pPr>
              <w:spacing w:line="360" w:lineRule="auto"/>
              <w:rPr>
                <w:color w:val="auto"/>
                <w:szCs w:val="21"/>
                <w:highlight w:val="none"/>
              </w:rPr>
            </w:pPr>
            <w:r>
              <w:rPr>
                <w:rFonts w:hint="eastAsia"/>
                <w:b/>
                <w:bCs/>
                <w:color w:val="auto"/>
                <w:szCs w:val="21"/>
                <w:highlight w:val="none"/>
              </w:rPr>
              <w:t>服务配套货物的交付方式：</w:t>
            </w:r>
            <w:r>
              <w:rPr>
                <w:rFonts w:hint="eastAsia"/>
                <w:color w:val="auto"/>
                <w:szCs w:val="21"/>
                <w:highlight w:val="none"/>
              </w:rPr>
              <w:t>/</w:t>
            </w:r>
          </w:p>
        </w:tc>
      </w:tr>
      <w:tr w14:paraId="729C29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989" w:type="dxa"/>
            <w:tcBorders>
              <w:tl2br w:val="nil"/>
              <w:tr2bl w:val="nil"/>
            </w:tcBorders>
            <w:vAlign w:val="center"/>
          </w:tcPr>
          <w:p w14:paraId="50B7950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1.8.7</w:t>
            </w:r>
          </w:p>
        </w:tc>
        <w:tc>
          <w:tcPr>
            <w:tcW w:w="8137" w:type="dxa"/>
            <w:tcBorders>
              <w:tl2br w:val="nil"/>
              <w:tr2bl w:val="nil"/>
            </w:tcBorders>
            <w:vAlign w:val="center"/>
          </w:tcPr>
          <w:p w14:paraId="745F1ED7">
            <w:pPr>
              <w:spacing w:line="360" w:lineRule="auto"/>
              <w:rPr>
                <w:rFonts w:hint="eastAsia"/>
                <w:b/>
                <w:bCs/>
                <w:color w:val="auto"/>
                <w:szCs w:val="21"/>
                <w:highlight w:val="none"/>
              </w:rPr>
            </w:pPr>
            <w:r>
              <w:rPr>
                <w:rFonts w:hint="eastAsia"/>
                <w:b/>
                <w:bCs/>
                <w:color w:val="auto"/>
                <w:szCs w:val="21"/>
                <w:highlight w:val="none"/>
              </w:rPr>
              <w:t>违约责任：</w:t>
            </w:r>
          </w:p>
          <w:p w14:paraId="4C4DD377">
            <w:pPr>
              <w:spacing w:line="360" w:lineRule="auto"/>
              <w:ind w:firstLine="420" w:firstLineChars="200"/>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（一）考核要求</w:t>
            </w:r>
          </w:p>
          <w:p w14:paraId="2B671DA8">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eastAsia="zh-CN" w:bidi="ar"/>
              </w:rPr>
              <w:t>甲方</w:t>
            </w:r>
            <w:r>
              <w:rPr>
                <w:rFonts w:hint="eastAsia" w:ascii="宋体" w:hAnsi="宋体" w:eastAsia="宋体" w:cs="宋体"/>
                <w:color w:val="auto"/>
                <w:kern w:val="0"/>
                <w:sz w:val="21"/>
                <w:szCs w:val="21"/>
                <w:highlight w:val="none"/>
                <w:lang w:bidi="ar"/>
              </w:rPr>
              <w:t>根据项目</w:t>
            </w:r>
            <w:r>
              <w:rPr>
                <w:rFonts w:hint="eastAsia" w:ascii="宋体" w:hAnsi="宋体" w:cs="宋体"/>
                <w:color w:val="auto"/>
                <w:kern w:val="0"/>
                <w:sz w:val="21"/>
                <w:szCs w:val="21"/>
                <w:highlight w:val="none"/>
                <w:lang w:eastAsia="zh-CN" w:bidi="ar"/>
              </w:rPr>
              <w:t>乙方</w:t>
            </w:r>
            <w:r>
              <w:rPr>
                <w:rFonts w:hint="eastAsia" w:ascii="宋体" w:hAnsi="宋体" w:eastAsia="宋体" w:cs="宋体"/>
                <w:color w:val="auto"/>
                <w:kern w:val="0"/>
                <w:sz w:val="21"/>
                <w:szCs w:val="21"/>
                <w:highlight w:val="none"/>
                <w:lang w:bidi="ar"/>
              </w:rPr>
              <w:t>提供的服务情况</w:t>
            </w:r>
            <w:r>
              <w:rPr>
                <w:rFonts w:hint="eastAsia" w:ascii="宋体" w:hAnsi="宋体" w:eastAsia="宋体" w:cs="宋体"/>
                <w:color w:val="auto"/>
                <w:kern w:val="0"/>
                <w:sz w:val="21"/>
                <w:szCs w:val="21"/>
                <w:highlight w:val="none"/>
                <w:lang w:eastAsia="zh-CN" w:bidi="ar"/>
              </w:rPr>
              <w:t>进行</w:t>
            </w:r>
            <w:r>
              <w:rPr>
                <w:rFonts w:hint="eastAsia" w:ascii="宋体" w:hAnsi="宋体" w:eastAsia="宋体" w:cs="宋体"/>
                <w:color w:val="auto"/>
                <w:kern w:val="0"/>
                <w:sz w:val="21"/>
                <w:szCs w:val="21"/>
                <w:highlight w:val="none"/>
                <w:lang w:bidi="ar"/>
              </w:rPr>
              <w:t>网络数据安全方面的考核，具体要求如下：</w:t>
            </w:r>
          </w:p>
          <w:p w14:paraId="56009F14">
            <w:pPr>
              <w:spacing w:line="360" w:lineRule="auto"/>
              <w:ind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w:t>
            </w:r>
            <w:r>
              <w:rPr>
                <w:rFonts w:hint="eastAsia" w:ascii="宋体" w:hAnsi="宋体" w:cs="宋体"/>
                <w:color w:val="auto"/>
                <w:sz w:val="21"/>
                <w:szCs w:val="21"/>
                <w:highlight w:val="none"/>
                <w:lang w:eastAsia="zh-CN" w:bidi="ar"/>
              </w:rPr>
              <w:t>乙方</w:t>
            </w:r>
            <w:r>
              <w:rPr>
                <w:rFonts w:hint="eastAsia" w:ascii="宋体" w:hAnsi="宋体" w:eastAsia="宋体" w:cs="宋体"/>
                <w:color w:val="auto"/>
                <w:sz w:val="21"/>
                <w:szCs w:val="21"/>
                <w:highlight w:val="none"/>
                <w:lang w:bidi="ar"/>
              </w:rPr>
              <w:t>应按照《中华人民共和国网络安全法</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中华人民共和国数据安全法</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中华人民共和国个人信息保护法》等法律法规及规章制度的要求，履行网络和数据安全保护义务。</w:t>
            </w:r>
          </w:p>
          <w:p w14:paraId="5B3BBD19">
            <w:pPr>
              <w:spacing w:line="360" w:lineRule="auto"/>
              <w:ind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2.本项目所涉及的</w:t>
            </w:r>
            <w:r>
              <w:rPr>
                <w:rFonts w:hint="eastAsia" w:ascii="宋体" w:hAnsi="宋体" w:cs="宋体"/>
                <w:color w:val="auto"/>
                <w:sz w:val="21"/>
                <w:szCs w:val="21"/>
                <w:highlight w:val="none"/>
                <w:lang w:eastAsia="zh-CN" w:bidi="ar"/>
              </w:rPr>
              <w:t>乙方</w:t>
            </w:r>
            <w:r>
              <w:rPr>
                <w:rFonts w:hint="eastAsia" w:ascii="宋体" w:hAnsi="宋体" w:eastAsia="宋体" w:cs="宋体"/>
                <w:color w:val="auto"/>
                <w:sz w:val="21"/>
                <w:szCs w:val="21"/>
                <w:highlight w:val="none"/>
                <w:lang w:bidi="ar"/>
              </w:rPr>
              <w:t>工作人员均需签订《保密承诺书》，且</w:t>
            </w:r>
            <w:r>
              <w:rPr>
                <w:rFonts w:hint="eastAsia" w:ascii="宋体" w:hAnsi="宋体" w:cs="宋体"/>
                <w:color w:val="auto"/>
                <w:sz w:val="21"/>
                <w:szCs w:val="21"/>
                <w:highlight w:val="none"/>
                <w:lang w:eastAsia="zh-CN" w:bidi="ar"/>
              </w:rPr>
              <w:t>乙方</w:t>
            </w:r>
            <w:r>
              <w:rPr>
                <w:rFonts w:hint="eastAsia" w:ascii="宋体" w:hAnsi="宋体" w:eastAsia="宋体" w:cs="宋体"/>
                <w:color w:val="auto"/>
                <w:sz w:val="21"/>
                <w:szCs w:val="21"/>
                <w:highlight w:val="none"/>
                <w:lang w:bidi="ar"/>
              </w:rPr>
              <w:t>应对项目涉及工作人员进行背景审查，存在泄密风险的</w:t>
            </w:r>
            <w:r>
              <w:rPr>
                <w:rFonts w:hint="eastAsia" w:ascii="宋体" w:hAnsi="宋体" w:cs="宋体"/>
                <w:color w:val="auto"/>
                <w:sz w:val="21"/>
                <w:szCs w:val="21"/>
                <w:highlight w:val="none"/>
                <w:lang w:eastAsia="zh-CN" w:bidi="ar"/>
              </w:rPr>
              <w:t>乙方</w:t>
            </w:r>
            <w:r>
              <w:rPr>
                <w:rFonts w:hint="eastAsia" w:ascii="宋体" w:hAnsi="宋体" w:eastAsia="宋体" w:cs="宋体"/>
                <w:color w:val="auto"/>
                <w:sz w:val="21"/>
                <w:szCs w:val="21"/>
                <w:highlight w:val="none"/>
                <w:lang w:bidi="ar"/>
              </w:rPr>
              <w:t>工作人员不得接触项目。</w:t>
            </w:r>
            <w:r>
              <w:rPr>
                <w:rFonts w:hint="eastAsia" w:ascii="宋体" w:hAnsi="宋体" w:cs="宋体"/>
                <w:color w:val="auto"/>
                <w:sz w:val="21"/>
                <w:szCs w:val="21"/>
                <w:highlight w:val="none"/>
                <w:lang w:eastAsia="zh-CN" w:bidi="ar"/>
              </w:rPr>
              <w:t>乙方</w:t>
            </w:r>
            <w:r>
              <w:rPr>
                <w:rFonts w:hint="eastAsia" w:ascii="宋体" w:hAnsi="宋体" w:eastAsia="宋体" w:cs="宋体"/>
                <w:color w:val="auto"/>
                <w:sz w:val="21"/>
                <w:szCs w:val="21"/>
                <w:highlight w:val="none"/>
                <w:lang w:bidi="ar"/>
              </w:rPr>
              <w:t>应做好人员保密教育工作。</w:t>
            </w:r>
          </w:p>
          <w:p w14:paraId="03408B79">
            <w:pPr>
              <w:spacing w:line="360" w:lineRule="auto"/>
              <w:ind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3.</w:t>
            </w:r>
            <w:r>
              <w:rPr>
                <w:rFonts w:hint="eastAsia" w:ascii="宋体" w:hAnsi="宋体" w:cs="宋体"/>
                <w:color w:val="auto"/>
                <w:sz w:val="21"/>
                <w:szCs w:val="21"/>
                <w:highlight w:val="none"/>
                <w:lang w:eastAsia="zh-CN" w:bidi="ar"/>
              </w:rPr>
              <w:t>乙方</w:t>
            </w:r>
            <w:r>
              <w:rPr>
                <w:rFonts w:hint="eastAsia" w:ascii="宋体" w:hAnsi="宋体" w:eastAsia="宋体" w:cs="宋体"/>
                <w:color w:val="auto"/>
                <w:sz w:val="21"/>
                <w:szCs w:val="21"/>
                <w:highlight w:val="none"/>
                <w:lang w:bidi="ar"/>
              </w:rPr>
              <w:t>应当采取技术措施和其他必要措施，确保其网络和数据安全，防止出现信息泄露、毁损、丢失等风险。在发生或者可能发生信息泄露、毁损、丢失等情况时，应当立即采取补救措施，并将相关情况及时告知</w:t>
            </w:r>
            <w:r>
              <w:rPr>
                <w:rFonts w:hint="eastAsia" w:ascii="宋体" w:hAnsi="宋体" w:cs="宋体"/>
                <w:color w:val="auto"/>
                <w:sz w:val="21"/>
                <w:szCs w:val="21"/>
                <w:highlight w:val="none"/>
                <w:lang w:eastAsia="zh-CN" w:bidi="ar"/>
              </w:rPr>
              <w:t>甲方</w:t>
            </w:r>
            <w:r>
              <w:rPr>
                <w:rFonts w:hint="eastAsia" w:ascii="宋体" w:hAnsi="宋体" w:eastAsia="宋体" w:cs="宋体"/>
                <w:color w:val="auto"/>
                <w:sz w:val="21"/>
                <w:szCs w:val="21"/>
                <w:highlight w:val="none"/>
                <w:lang w:bidi="ar"/>
              </w:rPr>
              <w:t>。</w:t>
            </w:r>
          </w:p>
          <w:p w14:paraId="49DE7644">
            <w:pPr>
              <w:spacing w:line="360" w:lineRule="auto"/>
              <w:ind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4.项目中所包含的建设、运营、运维的信息系统、应用、数据库等，</w:t>
            </w:r>
            <w:r>
              <w:rPr>
                <w:rFonts w:hint="eastAsia" w:ascii="宋体" w:hAnsi="宋体" w:cs="宋体"/>
                <w:color w:val="auto"/>
                <w:sz w:val="21"/>
                <w:szCs w:val="21"/>
                <w:highlight w:val="none"/>
                <w:lang w:eastAsia="zh-CN" w:bidi="ar"/>
              </w:rPr>
              <w:t>乙方</w:t>
            </w:r>
            <w:r>
              <w:rPr>
                <w:rFonts w:hint="eastAsia" w:ascii="宋体" w:hAnsi="宋体" w:eastAsia="宋体" w:cs="宋体"/>
                <w:color w:val="auto"/>
                <w:sz w:val="21"/>
                <w:szCs w:val="21"/>
                <w:highlight w:val="none"/>
                <w:lang w:bidi="ar"/>
              </w:rPr>
              <w:t>开通相关账号、权限等必须经过</w:t>
            </w:r>
            <w:r>
              <w:rPr>
                <w:rFonts w:hint="eastAsia" w:ascii="宋体" w:hAnsi="宋体" w:cs="宋体"/>
                <w:color w:val="auto"/>
                <w:sz w:val="21"/>
                <w:szCs w:val="21"/>
                <w:highlight w:val="none"/>
                <w:lang w:eastAsia="zh-CN" w:bidi="ar"/>
              </w:rPr>
              <w:t>甲方</w:t>
            </w:r>
            <w:r>
              <w:rPr>
                <w:rFonts w:hint="eastAsia" w:ascii="宋体" w:hAnsi="宋体" w:eastAsia="宋体" w:cs="宋体"/>
                <w:color w:val="auto"/>
                <w:sz w:val="21"/>
                <w:szCs w:val="21"/>
                <w:highlight w:val="none"/>
                <w:lang w:bidi="ar"/>
              </w:rPr>
              <w:t>审批允许，不得私开账号、擅自更改权限等。</w:t>
            </w:r>
          </w:p>
          <w:p w14:paraId="1651EEBD">
            <w:pPr>
              <w:spacing w:line="360" w:lineRule="auto"/>
              <w:ind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5.</w:t>
            </w:r>
            <w:r>
              <w:rPr>
                <w:rFonts w:hint="eastAsia" w:ascii="宋体" w:hAnsi="宋体" w:cs="宋体"/>
                <w:color w:val="auto"/>
                <w:sz w:val="21"/>
                <w:szCs w:val="21"/>
                <w:highlight w:val="none"/>
                <w:lang w:eastAsia="zh-CN" w:bidi="ar"/>
              </w:rPr>
              <w:t>乙方</w:t>
            </w:r>
            <w:r>
              <w:rPr>
                <w:rFonts w:hint="eastAsia" w:ascii="宋体" w:hAnsi="宋体" w:eastAsia="宋体" w:cs="宋体"/>
                <w:color w:val="auto"/>
                <w:sz w:val="21"/>
                <w:szCs w:val="21"/>
                <w:highlight w:val="none"/>
                <w:lang w:bidi="ar"/>
              </w:rPr>
              <w:t>应合理使用操作账号，严禁</w:t>
            </w:r>
            <w:r>
              <w:rPr>
                <w:rFonts w:hint="eastAsia" w:ascii="宋体" w:hAnsi="宋体" w:cs="宋体"/>
                <w:color w:val="auto"/>
                <w:sz w:val="21"/>
                <w:szCs w:val="21"/>
                <w:highlight w:val="none"/>
                <w:lang w:eastAsia="zh-CN" w:bidi="ar"/>
              </w:rPr>
              <w:t>乙方</w:t>
            </w:r>
            <w:r>
              <w:rPr>
                <w:rFonts w:hint="eastAsia" w:ascii="宋体" w:hAnsi="宋体" w:eastAsia="宋体" w:cs="宋体"/>
                <w:color w:val="auto"/>
                <w:sz w:val="21"/>
                <w:szCs w:val="21"/>
                <w:highlight w:val="none"/>
                <w:lang w:bidi="ar"/>
              </w:rPr>
              <w:t>存在多名工作人员</w:t>
            </w:r>
            <w:r>
              <w:rPr>
                <w:rFonts w:hint="eastAsia" w:ascii="宋体" w:hAnsi="宋体" w:eastAsia="宋体" w:cs="宋体"/>
                <w:color w:val="auto"/>
                <w:sz w:val="21"/>
                <w:szCs w:val="21"/>
                <w:highlight w:val="none"/>
              </w:rPr>
              <w:t>（2人及以上）</w:t>
            </w:r>
            <w:r>
              <w:rPr>
                <w:rFonts w:hint="eastAsia" w:ascii="宋体" w:hAnsi="宋体" w:eastAsia="宋体" w:cs="宋体"/>
                <w:color w:val="auto"/>
                <w:sz w:val="21"/>
                <w:szCs w:val="21"/>
                <w:highlight w:val="none"/>
                <w:lang w:bidi="ar"/>
              </w:rPr>
              <w:t>共用一个操作账号的情形，同时操作账号应采用高强度的密码，</w:t>
            </w:r>
            <w:r>
              <w:rPr>
                <w:rFonts w:hint="eastAsia" w:ascii="宋体" w:hAnsi="宋体" w:cs="宋体"/>
                <w:color w:val="auto"/>
                <w:sz w:val="21"/>
                <w:szCs w:val="21"/>
                <w:highlight w:val="none"/>
                <w:lang w:eastAsia="zh-CN" w:bidi="ar"/>
              </w:rPr>
              <w:t>乙方</w:t>
            </w:r>
            <w:r>
              <w:rPr>
                <w:rFonts w:hint="eastAsia" w:ascii="宋体" w:hAnsi="宋体" w:eastAsia="宋体" w:cs="宋体"/>
                <w:color w:val="auto"/>
                <w:sz w:val="21"/>
                <w:szCs w:val="21"/>
                <w:highlight w:val="none"/>
                <w:lang w:bidi="ar"/>
              </w:rPr>
              <w:t>应妥善保管密码并定期更新账号密码。</w:t>
            </w:r>
          </w:p>
          <w:p w14:paraId="4605CA7A">
            <w:pPr>
              <w:spacing w:line="360" w:lineRule="auto"/>
              <w:ind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6.未经</w:t>
            </w:r>
            <w:r>
              <w:rPr>
                <w:rFonts w:hint="eastAsia" w:ascii="宋体" w:hAnsi="宋体" w:cs="宋体"/>
                <w:color w:val="auto"/>
                <w:sz w:val="21"/>
                <w:szCs w:val="21"/>
                <w:highlight w:val="none"/>
                <w:lang w:eastAsia="zh-CN" w:bidi="ar"/>
              </w:rPr>
              <w:t>甲方</w:t>
            </w:r>
            <w:r>
              <w:rPr>
                <w:rFonts w:hint="eastAsia" w:ascii="宋体" w:hAnsi="宋体" w:eastAsia="宋体" w:cs="宋体"/>
                <w:color w:val="auto"/>
                <w:sz w:val="21"/>
                <w:szCs w:val="21"/>
                <w:highlight w:val="none"/>
                <w:lang w:bidi="ar"/>
              </w:rPr>
              <w:t>允许，</w:t>
            </w:r>
            <w:r>
              <w:rPr>
                <w:rFonts w:hint="eastAsia" w:ascii="宋体" w:hAnsi="宋体" w:cs="宋体"/>
                <w:color w:val="auto"/>
                <w:sz w:val="21"/>
                <w:szCs w:val="21"/>
                <w:highlight w:val="none"/>
                <w:lang w:eastAsia="zh-CN" w:bidi="ar"/>
              </w:rPr>
              <w:t>乙方</w:t>
            </w:r>
            <w:r>
              <w:rPr>
                <w:rFonts w:hint="eastAsia" w:ascii="宋体" w:hAnsi="宋体" w:eastAsia="宋体" w:cs="宋体"/>
                <w:color w:val="auto"/>
                <w:sz w:val="21"/>
                <w:szCs w:val="21"/>
                <w:highlight w:val="none"/>
                <w:lang w:bidi="ar"/>
              </w:rPr>
              <w:t>不得对项目云资源私开端口，不得利用项目资源进行与该项目无关的工作，不得将政务外网和互联网私自打通。</w:t>
            </w:r>
          </w:p>
          <w:p w14:paraId="6D8FB0C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应严格按照相关要求收集、归集、存储、加工、传输、共享、开放、利用数据资源。做好数据落地相应的数据保护工作，严格执行数据安全技术标准和安全管理措施，避免相关数据出现篡改、破坏、泄露、丢失、非法利用等风险。</w:t>
            </w:r>
          </w:p>
          <w:p w14:paraId="2E78ECAB">
            <w:pPr>
              <w:spacing w:line="360" w:lineRule="auto"/>
              <w:ind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8.</w:t>
            </w:r>
            <w:r>
              <w:rPr>
                <w:rFonts w:hint="eastAsia" w:ascii="宋体" w:hAnsi="宋体" w:cs="宋体"/>
                <w:color w:val="auto"/>
                <w:sz w:val="21"/>
                <w:szCs w:val="21"/>
                <w:highlight w:val="none"/>
                <w:lang w:eastAsia="zh-CN" w:bidi="ar"/>
              </w:rPr>
              <w:t>乙方</w:t>
            </w:r>
            <w:r>
              <w:rPr>
                <w:rFonts w:hint="eastAsia" w:ascii="宋体" w:hAnsi="宋体" w:eastAsia="宋体" w:cs="宋体"/>
                <w:color w:val="auto"/>
                <w:sz w:val="21"/>
                <w:szCs w:val="21"/>
                <w:highlight w:val="none"/>
                <w:lang w:bidi="ar"/>
              </w:rPr>
              <w:t>应认真组织开展各项数据处理活动，查找项目数据安全隐患和漏洞，对薄弱环节和潜在威胁采取有力措施并进行及时整改，避免和消除数据安全风险，履行数据安全保护义务。</w:t>
            </w:r>
          </w:p>
          <w:p w14:paraId="658906AF">
            <w:pPr>
              <w:spacing w:line="360" w:lineRule="auto"/>
              <w:ind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9.</w:t>
            </w:r>
            <w:r>
              <w:rPr>
                <w:rFonts w:hint="eastAsia" w:ascii="宋体" w:hAnsi="宋体" w:cs="宋体"/>
                <w:color w:val="auto"/>
                <w:sz w:val="21"/>
                <w:szCs w:val="21"/>
                <w:highlight w:val="none"/>
                <w:lang w:eastAsia="zh-CN" w:bidi="ar"/>
              </w:rPr>
              <w:t>乙方</w:t>
            </w:r>
            <w:r>
              <w:rPr>
                <w:rFonts w:hint="eastAsia" w:ascii="宋体" w:hAnsi="宋体" w:eastAsia="宋体" w:cs="宋体"/>
                <w:color w:val="auto"/>
                <w:sz w:val="21"/>
                <w:szCs w:val="21"/>
                <w:highlight w:val="none"/>
                <w:lang w:bidi="ar"/>
              </w:rPr>
              <w:t>应加强网络和数据安全风险监测，制定网络与数据安全应急预案，完善应急机制。一旦发现数据安全缺陷、漏洞等风险时，立即采取补救措施；发生数据安全事件时，立即采取处置措施。确保第一时间监测发现，第一时间应急处置，第一时间向</w:t>
            </w:r>
            <w:r>
              <w:rPr>
                <w:rFonts w:hint="eastAsia" w:ascii="宋体" w:hAnsi="宋体" w:cs="宋体"/>
                <w:color w:val="auto"/>
                <w:sz w:val="21"/>
                <w:szCs w:val="21"/>
                <w:highlight w:val="none"/>
                <w:lang w:eastAsia="zh-CN" w:bidi="ar"/>
              </w:rPr>
              <w:t>甲方</w:t>
            </w:r>
            <w:r>
              <w:rPr>
                <w:rFonts w:hint="eastAsia" w:ascii="宋体" w:hAnsi="宋体" w:eastAsia="宋体" w:cs="宋体"/>
                <w:color w:val="auto"/>
                <w:sz w:val="21"/>
                <w:szCs w:val="21"/>
                <w:highlight w:val="none"/>
                <w:lang w:bidi="ar"/>
              </w:rPr>
              <w:t>报告。</w:t>
            </w:r>
          </w:p>
          <w:p w14:paraId="6125D3B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应及时响应、处置</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布置的安全工作，对其主管的系统、组件、云资源等所属安全事件、隐患及时发现、阻断、排查、处置、溯源（包括但不限于攻防演练等相关活动中发现的）。</w:t>
            </w:r>
          </w:p>
          <w:p w14:paraId="3374CB3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11.项目中所建设的系统、提供的基础设施服务等，</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应无偿提供操作、告警等安全日志以及资产清单，并且按照规范要求与</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审计平台实现对接，并且提供相关解析服务（如日志字典等）供</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进行安全审计。</w:t>
            </w:r>
          </w:p>
          <w:p w14:paraId="74F4524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派驻的驻场人员应按照</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要求办理入场、离场等手续，并且遵守</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劳动、工作纪律，按照</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要求的工作时间进行出勤。</w:t>
            </w:r>
          </w:p>
          <w:p w14:paraId="35694EA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13. </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应配合</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对项目涉及的资源、系统等常态化安全漏洞扫描，并且及时修复漏洞。</w:t>
            </w:r>
          </w:p>
          <w:p w14:paraId="12895F5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应配合</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完成项目中所建设、运营的应用系统、服务等的网络数据安全检查，并且按要求及时完成检查中发现问题的整改。</w:t>
            </w:r>
          </w:p>
          <w:p w14:paraId="7C63C4A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15.未经</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允许，</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不得擅自将项目中涉及的数据拷贝、转移出指定数据区域外进行开发、调试等，包括不限于</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公司、第三方公司的服务器等。</w:t>
            </w:r>
          </w:p>
          <w:p w14:paraId="2B5A1BC4">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16．每次通报后，</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应当及时解决并向</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提交整改报告并根据整改报告内容进行及时整改。</w:t>
            </w:r>
          </w:p>
          <w:p w14:paraId="09208B0D">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在项目中所承建信息系统的开发、测试环境，不允许出现</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及项目相关的标识名称，并且在项目建成后及时下架测试环境。</w:t>
            </w:r>
          </w:p>
          <w:p w14:paraId="659EDA17">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应承担在项目运维期中的安全责任，履行运维期的项目、应用系统、云资源的安全义务。</w:t>
            </w:r>
          </w:p>
          <w:p w14:paraId="15CED49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驻场人员应在重要活动、会议期间，根据</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安全保障要求，参与重保值班值守工作。</w:t>
            </w:r>
          </w:p>
          <w:p w14:paraId="36F15FF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应按照</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业务要求，围绕项目内容，提供</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所需要的业务相关进展及数据，最迟须在24小时内提供准确的信息。</w:t>
            </w:r>
          </w:p>
          <w:p w14:paraId="09A1C01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在项目中所建设、运营的应用系统、应用服务等涉及鉴权登录的，应使用浙政钉/浙里办扫码方式，若使用账号口令方式的，需要经</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允许后，并且采用二次验证的方式。</w:t>
            </w:r>
          </w:p>
          <w:p w14:paraId="6174CD9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驻场人员原则上需按照</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要求，专人专项开展项目中约定的驻场工作，未经</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允许，不得同时参与其他项目，不得从事项目中已单独支付费用的其他工作。</w:t>
            </w:r>
          </w:p>
          <w:p w14:paraId="38D0E68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（二）安全部分违约责任</w:t>
            </w:r>
          </w:p>
          <w:p w14:paraId="101F858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1.由于</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原因，受到国家级安全问题通报的</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rPr>
              <w:t>造成特别重大事故的，每通报一个问题或发生一次事故，每次扣除合同总价的0.5%。</w:t>
            </w:r>
          </w:p>
          <w:p w14:paraId="23B5A90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2.由于</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原因，受到省级安全问题通报的</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rPr>
              <w:t>造成重大事故的，每通报一个问题或发生一次事故，每次扣合同总价的0.25%。</w:t>
            </w:r>
          </w:p>
          <w:p w14:paraId="0DD6742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3.由于</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原因，受到市级安全问题通报的</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rPr>
              <w:t>造成较大事故（一般事故）的，每通报一个问题或发生一次事故，每次扣除合同总价的0.125%。</w:t>
            </w:r>
          </w:p>
          <w:p w14:paraId="52353B6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未按照</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要求及时处置所属安全事件、隐患的，每通报一个问题或发生一次事故，每次扣除合同总价的0.125%。</w:t>
            </w:r>
          </w:p>
          <w:p w14:paraId="138573F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存在多名（2人及以上）工作人员共用一个操作账户的，或所主管的系统、云资源等账号出现弱口令的（强口令需至少包含数字、大小写字母、特殊字符等，且无明显规律），每出现1次，每次扣除合同总价的0.05%。</w:t>
            </w:r>
          </w:p>
          <w:p w14:paraId="237A434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6.未经</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审批允许，</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不得私开账号、擅自更改权限，不得对项目云资源私开端口，不得利用项目资源进行与该项目无关的工作，不得将政务外网和互联网私自打通的。每出现一次，扣除合同总价的0.125%。</w:t>
            </w:r>
          </w:p>
          <w:p w14:paraId="07D1D1A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发现数据安全缺陷、漏洞等风险时，未立即采取补救措施的；或发生</w:t>
            </w:r>
            <w:r>
              <w:rPr>
                <w:rFonts w:hint="eastAsia" w:ascii="宋体" w:hAnsi="宋体" w:eastAsia="宋体" w:cs="宋体"/>
                <w:color w:val="auto"/>
                <w:sz w:val="21"/>
                <w:szCs w:val="21"/>
                <w:highlight w:val="none"/>
                <w:lang w:eastAsia="zh-CN"/>
              </w:rPr>
              <w:t>网络数据安全事件</w:t>
            </w:r>
            <w:r>
              <w:rPr>
                <w:rFonts w:hint="eastAsia" w:ascii="宋体" w:hAnsi="宋体" w:eastAsia="宋体" w:cs="宋体"/>
                <w:color w:val="auto"/>
                <w:sz w:val="21"/>
                <w:szCs w:val="21"/>
                <w:highlight w:val="none"/>
              </w:rPr>
              <w:t>时，未立即采取处置措施的；相关情况未第一时间向</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报告的；每出现一次，每次扣除合同总价的0.125%。</w:t>
            </w:r>
          </w:p>
          <w:p w14:paraId="0316F58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拒不配合网络数据安全检查或经检查后拒不进行整改的，每出现一次，扣除合同总价的0.125%。</w:t>
            </w:r>
          </w:p>
          <w:p w14:paraId="646547D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.项目结束后，</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未按约删除其在项目过程中获取的数据资料并擅自使用或许可他人使用的，须承担项目合同总金额10%的违约金处罚，若给甲方造成损失的，还须承担赔偿责任。</w:t>
            </w:r>
          </w:p>
          <w:p w14:paraId="2900C3B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未配合</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对项目涉及的资源、系统等常态化安全漏洞扫描，或未及时修复漏洞的，每出现一次，扣除合同总价的0.125%。</w:t>
            </w:r>
          </w:p>
          <w:p w14:paraId="5481532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未配合</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完成项目中所建设、运营的应用系统、服务等的网络数据安全检查，并且按要求及时完成检查中发现问题的整改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每出现一次，扣除合同总价的0.125%。</w:t>
            </w:r>
          </w:p>
          <w:p w14:paraId="1233932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未按照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杭州市信息技术服务外包网络安全管理办法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杭委网</w:t>
            </w:r>
            <w:r>
              <w:rPr>
                <w:rFonts w:hint="eastAsia" w:ascii="宋体" w:hAnsi="宋体" w:cs="宋体"/>
                <w:color w:val="auto"/>
                <w:sz w:val="21"/>
                <w:szCs w:val="21"/>
                <w:highlight w:val="none"/>
                <w:lang w:val="en-US" w:eastAsia="zh-CN"/>
              </w:rPr>
              <w:t>〔2022〕2号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等</w:t>
            </w:r>
            <w:r>
              <w:rPr>
                <w:rFonts w:hint="eastAsia" w:ascii="宋体" w:hAnsi="宋体" w:eastAsia="宋体" w:cs="宋体"/>
                <w:color w:val="auto"/>
                <w:sz w:val="21"/>
                <w:szCs w:val="21"/>
                <w:highlight w:val="none"/>
              </w:rPr>
              <w:t>相关</w:t>
            </w:r>
            <w:r>
              <w:rPr>
                <w:rFonts w:hint="eastAsia" w:ascii="宋体" w:hAnsi="宋体" w:eastAsia="宋体" w:cs="宋体"/>
                <w:color w:val="auto"/>
                <w:sz w:val="21"/>
                <w:szCs w:val="21"/>
                <w:highlight w:val="none"/>
                <w:lang w:val="en-US" w:eastAsia="zh-CN"/>
              </w:rPr>
              <w:t>文件</w:t>
            </w:r>
            <w:r>
              <w:rPr>
                <w:rFonts w:hint="eastAsia" w:ascii="宋体" w:hAnsi="宋体" w:eastAsia="宋体" w:cs="宋体"/>
                <w:color w:val="auto"/>
                <w:sz w:val="21"/>
                <w:szCs w:val="21"/>
                <w:highlight w:val="none"/>
              </w:rPr>
              <w:t>要求，</w:t>
            </w:r>
            <w:r>
              <w:rPr>
                <w:rFonts w:hint="eastAsia" w:ascii="宋体" w:hAnsi="宋体" w:eastAsia="宋体" w:cs="宋体"/>
                <w:color w:val="auto"/>
                <w:sz w:val="21"/>
                <w:szCs w:val="21"/>
                <w:highlight w:val="none"/>
                <w:lang w:val="en-US" w:eastAsia="zh-CN"/>
              </w:rPr>
              <w:t>如</w:t>
            </w:r>
            <w:r>
              <w:rPr>
                <w:rFonts w:hint="eastAsia" w:ascii="宋体" w:hAnsi="宋体" w:eastAsia="宋体" w:cs="宋体"/>
                <w:color w:val="auto"/>
                <w:sz w:val="21"/>
                <w:szCs w:val="21"/>
                <w:highlight w:val="none"/>
              </w:rPr>
              <w:t>签订《保密承诺书》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办理入场、离场手续</w:t>
            </w:r>
            <w:r>
              <w:rPr>
                <w:rFonts w:hint="eastAsia" w:ascii="宋体" w:hAnsi="宋体" w:eastAsia="宋体" w:cs="宋体"/>
                <w:color w:val="auto"/>
                <w:sz w:val="21"/>
                <w:szCs w:val="21"/>
                <w:highlight w:val="none"/>
                <w:lang w:val="en-US" w:eastAsia="zh-CN"/>
              </w:rPr>
              <w:t>等</w:t>
            </w:r>
            <w:r>
              <w:rPr>
                <w:rFonts w:hint="eastAsia" w:ascii="宋体" w:hAnsi="宋体" w:eastAsia="宋体" w:cs="宋体"/>
                <w:color w:val="auto"/>
                <w:sz w:val="21"/>
                <w:szCs w:val="21"/>
                <w:highlight w:val="none"/>
              </w:rPr>
              <w:t>的，出现1人次，扣除合同总价的0.01%。</w:t>
            </w:r>
          </w:p>
          <w:p w14:paraId="099C92C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派驻的驻场人员</w:t>
            </w:r>
            <w:r>
              <w:rPr>
                <w:rFonts w:hint="eastAsia" w:ascii="宋体" w:hAnsi="宋体" w:eastAsia="宋体" w:cs="宋体"/>
                <w:color w:val="auto"/>
                <w:sz w:val="21"/>
                <w:szCs w:val="21"/>
                <w:highlight w:val="none"/>
                <w:lang w:eastAsia="zh-CN"/>
              </w:rPr>
              <w:t>未按照管理规范进行出勤</w:t>
            </w:r>
            <w:r>
              <w:rPr>
                <w:rFonts w:hint="eastAsia" w:ascii="宋体" w:hAnsi="宋体" w:eastAsia="宋体" w:cs="宋体"/>
                <w:color w:val="auto"/>
                <w:sz w:val="21"/>
                <w:szCs w:val="21"/>
                <w:highlight w:val="none"/>
              </w:rPr>
              <w:t>，每出现1人次从合同金额扣除</w:t>
            </w:r>
            <w:r>
              <w:rPr>
                <w:rFonts w:hint="eastAsia" w:ascii="宋体" w:hAnsi="宋体" w:eastAsia="宋体" w:cs="宋体"/>
                <w:color w:val="auto"/>
                <w:sz w:val="21"/>
                <w:szCs w:val="21"/>
                <w:highlight w:val="none"/>
                <w:lang w:val="en-US" w:eastAsia="zh-CN"/>
              </w:rPr>
              <w:t>不少于2000</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lang w:eastAsia="zh-CN"/>
              </w:rPr>
              <w:t>，具体视情况严重性判定，总额不超过合同总价的0.125%</w:t>
            </w:r>
            <w:r>
              <w:rPr>
                <w:rFonts w:hint="eastAsia" w:ascii="宋体" w:hAnsi="宋体" w:cs="宋体"/>
                <w:color w:val="auto"/>
                <w:sz w:val="21"/>
                <w:szCs w:val="21"/>
                <w:highlight w:val="none"/>
                <w:lang w:eastAsia="zh-CN"/>
              </w:rPr>
              <w:t>。</w:t>
            </w:r>
          </w:p>
          <w:p w14:paraId="42EB1A7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不得擅自将项目中涉及的数据拷贝、转移出指定数据区域外进行开发、调试等，包括不限于</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公司、第三方公司的服务器等，每出现一次，扣除合同总价的0.125%。</w:t>
            </w:r>
          </w:p>
          <w:p w14:paraId="7D736C0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 每次通报后，若</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未及时提供整改报告的；或未根据通报内容及时进行整改的，每出现一次，扣除合同总价的0.125%。</w:t>
            </w:r>
          </w:p>
          <w:p w14:paraId="23E3D88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在项目中所承建信息系统的开发、测试环境，出现</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及项目相关的标识名称，或在项目建成后未及时下架测试环境，每出现一次，扣除合同总价的0.125%。</w:t>
            </w:r>
          </w:p>
          <w:p w14:paraId="32F606B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 在重要活动、会议期间，</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未按照</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安全保障要求，安排保障人员参与重保值班值守工作，每出现一人次天，</w:t>
            </w:r>
            <w:r>
              <w:rPr>
                <w:rFonts w:hint="eastAsia" w:ascii="宋体" w:hAnsi="宋体" w:eastAsia="宋体" w:cs="宋体"/>
                <w:color w:val="auto"/>
                <w:sz w:val="21"/>
                <w:szCs w:val="21"/>
                <w:highlight w:val="none"/>
                <w:lang w:eastAsia="zh-CN"/>
              </w:rPr>
              <w:t>从合同金额扣除不少于10000元，具体视情况严重性判定，总额不超过合同总价的0.125%</w:t>
            </w:r>
            <w:r>
              <w:rPr>
                <w:rFonts w:hint="eastAsia" w:ascii="宋体" w:hAnsi="宋体" w:eastAsia="宋体" w:cs="宋体"/>
                <w:color w:val="auto"/>
                <w:sz w:val="21"/>
                <w:szCs w:val="21"/>
                <w:highlight w:val="none"/>
              </w:rPr>
              <w:t>。</w:t>
            </w:r>
          </w:p>
          <w:p w14:paraId="3C912A4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未按照</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业务要求，围绕项目内容，未及时提供</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所需要的业务相关进展及数据，每出现一次，</w:t>
            </w:r>
            <w:r>
              <w:rPr>
                <w:rFonts w:hint="eastAsia" w:ascii="宋体" w:hAnsi="宋体" w:eastAsia="宋体" w:cs="宋体"/>
                <w:color w:val="auto"/>
                <w:sz w:val="21"/>
                <w:szCs w:val="21"/>
                <w:highlight w:val="none"/>
                <w:lang w:eastAsia="zh-CN"/>
              </w:rPr>
              <w:t>从合同金额扣除不少于10000元，具体视情况严重性判定，总额不超过合同总价的0.125%</w:t>
            </w:r>
            <w:r>
              <w:rPr>
                <w:rFonts w:hint="eastAsia" w:ascii="宋体" w:hAnsi="宋体" w:eastAsia="宋体" w:cs="宋体"/>
                <w:color w:val="auto"/>
                <w:sz w:val="21"/>
                <w:szCs w:val="21"/>
                <w:highlight w:val="none"/>
              </w:rPr>
              <w:t>。</w:t>
            </w:r>
          </w:p>
          <w:p w14:paraId="5527C4E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19</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在项目中所建设、运营的应用系统、应用服务等涉及鉴权登录的，未使用浙政钉/浙里办扫码方式、二次验证的方式的，每发现一次，</w:t>
            </w:r>
            <w:r>
              <w:rPr>
                <w:rFonts w:hint="eastAsia" w:ascii="宋体" w:hAnsi="宋体" w:eastAsia="宋体" w:cs="宋体"/>
                <w:color w:val="auto"/>
                <w:sz w:val="21"/>
                <w:szCs w:val="21"/>
                <w:highlight w:val="none"/>
                <w:lang w:eastAsia="zh-CN"/>
              </w:rPr>
              <w:t>从合同金额扣除不少于10000元，具体视情况严重性判定，总额不超过合同总价的0.125%</w:t>
            </w:r>
            <w:r>
              <w:rPr>
                <w:rFonts w:hint="eastAsia" w:ascii="宋体" w:hAnsi="宋体" w:eastAsia="宋体" w:cs="宋体"/>
                <w:color w:val="auto"/>
                <w:sz w:val="21"/>
                <w:szCs w:val="21"/>
                <w:highlight w:val="none"/>
              </w:rPr>
              <w:t>。</w:t>
            </w:r>
          </w:p>
          <w:p w14:paraId="613357E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应当按照合同约定开展工作，并严格遵守《中华人民共和国网络安全法》《中华人民共和国数据安全法》《中华人民共和国个人信息保护法》等法律法规和规章制度，对于</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不履行合同义务或者履行合同义务不符合约定的，应当承担相应责任。</w:t>
            </w:r>
          </w:p>
          <w:p w14:paraId="261BC9DF">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.除上述情况外，若出现其他</w:t>
            </w:r>
            <w:r>
              <w:rPr>
                <w:rFonts w:hint="eastAsia" w:ascii="宋体" w:hAnsi="宋体" w:eastAsia="宋体" w:cs="宋体"/>
                <w:color w:val="auto"/>
                <w:sz w:val="21"/>
                <w:szCs w:val="21"/>
                <w:highlight w:val="none"/>
              </w:rPr>
              <w:t>安全事件、隐患给</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造成损失的，</w:t>
            </w:r>
            <w:r>
              <w:rPr>
                <w:rFonts w:hint="eastAsia" w:ascii="宋体" w:hAnsi="宋体" w:eastAsia="宋体" w:cs="宋体"/>
                <w:color w:val="auto"/>
                <w:sz w:val="21"/>
                <w:szCs w:val="21"/>
                <w:highlight w:val="none"/>
                <w:lang w:val="en-US" w:eastAsia="zh-CN"/>
              </w:rPr>
              <w:t>视情节</w:t>
            </w:r>
            <w:r>
              <w:rPr>
                <w:rFonts w:hint="eastAsia" w:ascii="宋体" w:hAnsi="宋体" w:cs="宋体"/>
                <w:color w:val="auto"/>
                <w:sz w:val="21"/>
                <w:szCs w:val="21"/>
                <w:highlight w:val="none"/>
                <w:lang w:val="en-US" w:eastAsia="zh-CN"/>
              </w:rPr>
              <w:t>乙方</w:t>
            </w:r>
            <w:r>
              <w:rPr>
                <w:rFonts w:hint="eastAsia" w:ascii="宋体" w:hAnsi="宋体" w:eastAsia="宋体" w:cs="宋体"/>
                <w:color w:val="auto"/>
                <w:sz w:val="21"/>
                <w:szCs w:val="21"/>
                <w:highlight w:val="none"/>
              </w:rPr>
              <w:t>承担赔偿</w:t>
            </w:r>
            <w:r>
              <w:rPr>
                <w:rFonts w:hint="eastAsia" w:ascii="宋体" w:hAnsi="宋体" w:eastAsia="宋体" w:cs="宋体"/>
                <w:color w:val="auto"/>
                <w:sz w:val="21"/>
                <w:szCs w:val="21"/>
                <w:highlight w:val="none"/>
                <w:lang w:val="en-US" w:eastAsia="zh-CN"/>
              </w:rPr>
              <w:t>责任，</w:t>
            </w:r>
            <w:r>
              <w:rPr>
                <w:rFonts w:hint="eastAsia" w:ascii="宋体" w:hAnsi="宋体" w:eastAsia="宋体" w:cs="宋体"/>
                <w:color w:val="auto"/>
                <w:sz w:val="21"/>
                <w:szCs w:val="21"/>
                <w:highlight w:val="none"/>
              </w:rPr>
              <w:t>每出现一次，扣除合同总价的0.</w:t>
            </w:r>
            <w:r>
              <w:rPr>
                <w:rFonts w:hint="eastAsia" w:ascii="宋体" w:hAnsi="宋体" w:eastAsia="宋体" w:cs="宋体"/>
                <w:color w:val="auto"/>
                <w:sz w:val="21"/>
                <w:szCs w:val="21"/>
                <w:highlight w:val="none"/>
                <w:lang w:eastAsia="zh-CN"/>
              </w:rPr>
              <w:t>0</w:t>
            </w:r>
            <w:r>
              <w:rPr>
                <w:rFonts w:hint="eastAsia" w:ascii="宋体" w:hAnsi="宋体" w:eastAsia="宋体" w:cs="宋体"/>
                <w:color w:val="auto"/>
                <w:sz w:val="21"/>
                <w:szCs w:val="21"/>
                <w:highlight w:val="none"/>
              </w:rPr>
              <w:t>25%</w:t>
            </w:r>
            <w:r>
              <w:rPr>
                <w:rFonts w:hint="eastAsia" w:ascii="宋体" w:hAnsi="宋体" w:eastAsia="宋体" w:cs="宋体"/>
                <w:color w:val="auto"/>
                <w:sz w:val="21"/>
                <w:szCs w:val="21"/>
                <w:highlight w:val="none"/>
                <w:lang w:val="en-US" w:eastAsia="zh-CN"/>
              </w:rPr>
              <w:t>以上。</w:t>
            </w:r>
          </w:p>
          <w:p w14:paraId="2A173EC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（三）服务部分违约责任</w:t>
            </w:r>
          </w:p>
          <w:p w14:paraId="1069741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1.由于</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 xml:space="preserve">原因，涉及服务被社会媒体曝光、收到多方投诉情况，出现1次，每次扣除合同总价的0.5%。 </w:t>
            </w:r>
          </w:p>
          <w:p w14:paraId="672BE94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2.未经</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授权，</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擅自将服务系统的操作管理权限、账号、视频影像资料、数据及分析应用成果、电脑截图或照片等泄露外传。出现1次，每次扣除不</w:t>
            </w:r>
            <w:r>
              <w:rPr>
                <w:rFonts w:hint="eastAsia" w:ascii="宋体" w:hAnsi="宋体" w:eastAsia="宋体" w:cs="宋体"/>
                <w:color w:val="auto"/>
                <w:sz w:val="21"/>
                <w:szCs w:val="21"/>
                <w:highlight w:val="none"/>
                <w:lang w:eastAsia="zh-CN"/>
              </w:rPr>
              <w:t>超过</w:t>
            </w:r>
            <w:r>
              <w:rPr>
                <w:rFonts w:hint="eastAsia" w:ascii="宋体" w:hAnsi="宋体" w:eastAsia="宋体" w:cs="宋体"/>
                <w:color w:val="auto"/>
                <w:sz w:val="21"/>
                <w:szCs w:val="21"/>
                <w:highlight w:val="none"/>
              </w:rPr>
              <w:t>合同总价的0.5%。</w:t>
            </w:r>
          </w:p>
          <w:p w14:paraId="58AC69D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3.根据一体化智能化公共数据平台考核指标的要求，</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需配合</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进行服务的完善。未按一体化智能化公共数据平台考核指标进行或完成服务完善的，出现一次，每次扣除合同总价的0.125%。</w:t>
            </w:r>
          </w:p>
          <w:p w14:paraId="24EAC13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未按照</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相关要求及时梳理更新资产信息，各类服务的IP、账号等资产信息欠缺、归属不清晰，每发生一次，</w:t>
            </w:r>
            <w:r>
              <w:rPr>
                <w:rFonts w:hint="eastAsia" w:ascii="宋体" w:hAnsi="宋体" w:eastAsia="宋体" w:cs="宋体"/>
                <w:color w:val="auto"/>
                <w:sz w:val="21"/>
                <w:szCs w:val="21"/>
                <w:highlight w:val="none"/>
                <w:lang w:eastAsia="zh-CN"/>
              </w:rPr>
              <w:t>从合同金额扣除不少于10000元，具体视情况严重性判定，总额不超过合同总价的0.125%</w:t>
            </w:r>
            <w:r>
              <w:rPr>
                <w:rFonts w:hint="eastAsia" w:ascii="宋体" w:hAnsi="宋体" w:eastAsia="宋体" w:cs="宋体"/>
                <w:color w:val="auto"/>
                <w:sz w:val="21"/>
                <w:szCs w:val="21"/>
                <w:highlight w:val="none"/>
              </w:rPr>
              <w:t>。</w:t>
            </w:r>
          </w:p>
          <w:p w14:paraId="442D544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应根据招标文件或合同在规定时间内提交的文档资料、工作台账、领导交办的文档资料等，应按时完成。如未完成的，出现1次，每次扣除合同总价的0.125%。</w:t>
            </w:r>
          </w:p>
          <w:p w14:paraId="2065C57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派驻的驻场人员</w:t>
            </w:r>
            <w:r>
              <w:rPr>
                <w:rFonts w:hint="eastAsia" w:ascii="宋体" w:hAnsi="宋体" w:eastAsia="宋体" w:cs="宋体"/>
                <w:color w:val="auto"/>
                <w:sz w:val="21"/>
                <w:szCs w:val="21"/>
                <w:highlight w:val="none"/>
                <w:lang w:eastAsia="zh-CN"/>
              </w:rPr>
              <w:t>未按照管理规范进行出勤</w:t>
            </w:r>
            <w:r>
              <w:rPr>
                <w:rFonts w:hint="eastAsia" w:ascii="宋体" w:hAnsi="宋体" w:eastAsia="宋体" w:cs="宋体"/>
                <w:color w:val="auto"/>
                <w:sz w:val="21"/>
                <w:szCs w:val="21"/>
                <w:highlight w:val="none"/>
              </w:rPr>
              <w:t>，每出现1人次从合同金额扣除</w:t>
            </w:r>
            <w:r>
              <w:rPr>
                <w:rFonts w:hint="eastAsia" w:ascii="宋体" w:hAnsi="宋体" w:eastAsia="宋体" w:cs="宋体"/>
                <w:color w:val="auto"/>
                <w:sz w:val="21"/>
                <w:szCs w:val="21"/>
                <w:highlight w:val="none"/>
                <w:lang w:val="en-US" w:eastAsia="zh-CN"/>
              </w:rPr>
              <w:t>不少于2000</w:t>
            </w:r>
            <w:r>
              <w:rPr>
                <w:rFonts w:hint="eastAsia" w:ascii="宋体" w:hAnsi="宋体" w:eastAsia="宋体" w:cs="宋体"/>
                <w:color w:val="auto"/>
                <w:sz w:val="21"/>
                <w:szCs w:val="21"/>
                <w:highlight w:val="none"/>
              </w:rPr>
              <w:t>元。</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驻场人员服务响应未满足要求的，每发生1人次，扣款</w:t>
            </w:r>
            <w:r>
              <w:rPr>
                <w:rFonts w:hint="eastAsia" w:ascii="宋体" w:hAnsi="宋体" w:eastAsia="宋体" w:cs="宋体"/>
                <w:color w:val="auto"/>
                <w:sz w:val="21"/>
                <w:szCs w:val="21"/>
                <w:highlight w:val="none"/>
                <w:lang w:val="en-US" w:eastAsia="zh-CN"/>
              </w:rPr>
              <w:t>不少于2000</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lang w:eastAsia="zh-CN"/>
              </w:rPr>
              <w:t>。具体视情况严重性判定，总额不超过合同总价的0.125%</w:t>
            </w:r>
            <w:r>
              <w:rPr>
                <w:rFonts w:hint="eastAsia" w:ascii="宋体" w:hAnsi="宋体" w:eastAsia="宋体" w:cs="宋体"/>
                <w:color w:val="auto"/>
                <w:sz w:val="21"/>
                <w:szCs w:val="21"/>
                <w:highlight w:val="none"/>
              </w:rPr>
              <w:t>。</w:t>
            </w:r>
          </w:p>
          <w:p w14:paraId="05F74A7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.若发生扣款事由，</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在通知</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后可直接进行扣款，最终解释权归</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所有。除因第11、12条发生的扣款外，服务部分当年累计扣款不超过合同总价的20%。</w:t>
            </w:r>
          </w:p>
          <w:p w14:paraId="41D4A7F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驻场人员或专人专职人员未按照合同约定或未经</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允许，同时参与其他项目工作或本项目中已单独支付服务费的相关工作，出现第一次，扣除</w:t>
            </w:r>
            <w:r>
              <w:rPr>
                <w:rFonts w:hint="eastAsia" w:ascii="宋体" w:hAnsi="宋体" w:eastAsia="宋体" w:cs="宋体"/>
                <w:color w:val="auto"/>
                <w:sz w:val="21"/>
                <w:szCs w:val="21"/>
                <w:highlight w:val="none"/>
                <w:lang w:val="en-US" w:eastAsia="zh-CN"/>
              </w:rPr>
              <w:t>不少于</w:t>
            </w:r>
            <w:r>
              <w:rPr>
                <w:rFonts w:hint="eastAsia" w:ascii="宋体" w:hAnsi="宋体" w:eastAsia="宋体" w:cs="宋体"/>
                <w:color w:val="auto"/>
                <w:sz w:val="21"/>
                <w:szCs w:val="21"/>
                <w:highlight w:val="none"/>
              </w:rPr>
              <w:t>10000元，</w:t>
            </w:r>
            <w:r>
              <w:rPr>
                <w:rFonts w:hint="eastAsia" w:ascii="宋体" w:hAnsi="宋体" w:eastAsia="宋体" w:cs="宋体"/>
                <w:color w:val="auto"/>
                <w:sz w:val="21"/>
                <w:szCs w:val="21"/>
                <w:highlight w:val="none"/>
                <w:lang w:eastAsia="zh-CN"/>
              </w:rPr>
              <w:t>具体视情况严重性判定，总额不超过合同总价的0.125%</w:t>
            </w:r>
            <w:r>
              <w:rPr>
                <w:rFonts w:hint="eastAsia" w:ascii="宋体" w:hAnsi="宋体" w:eastAsia="宋体" w:cs="宋体"/>
                <w:color w:val="auto"/>
                <w:sz w:val="21"/>
                <w:szCs w:val="21"/>
                <w:highlight w:val="none"/>
              </w:rPr>
              <w:t>。并要求</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恢复专人专职服务；之后再出现，每次扣除金额为上一次扣除金额的2倍，并要求</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恢复专人专职服务。</w:t>
            </w:r>
          </w:p>
          <w:p w14:paraId="71AD1888">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.按照投标文件承诺时间完成迁移工作，</w:t>
            </w:r>
            <w:r>
              <w:rPr>
                <w:rFonts w:hint="eastAsia" w:ascii="宋体" w:hAnsi="宋体" w:eastAsia="宋体" w:cs="宋体"/>
                <w:color w:val="auto"/>
                <w:kern w:val="0"/>
                <w:sz w:val="21"/>
                <w:szCs w:val="21"/>
                <w:highlight w:val="none"/>
              </w:rPr>
              <w:t>迁移工作时间以</w:t>
            </w:r>
            <w:r>
              <w:rPr>
                <w:rFonts w:hint="eastAsia" w:ascii="宋体" w:hAnsi="宋体" w:eastAsia="宋体" w:cs="宋体"/>
                <w:color w:val="auto"/>
                <w:kern w:val="0"/>
                <w:sz w:val="21"/>
                <w:szCs w:val="21"/>
                <w:highlight w:val="none"/>
                <w:lang w:val="en-US" w:eastAsia="zh-CN"/>
              </w:rPr>
              <w:t>合同签订时间开始计算，</w:t>
            </w:r>
            <w:r>
              <w:rPr>
                <w:rFonts w:hint="eastAsia" w:ascii="宋体" w:hAnsi="宋体" w:eastAsia="宋体" w:cs="宋体"/>
                <w:color w:val="auto"/>
                <w:kern w:val="0"/>
                <w:sz w:val="21"/>
                <w:szCs w:val="21"/>
                <w:highlight w:val="none"/>
              </w:rPr>
              <w:t>若存在超期，每天扣款</w:t>
            </w:r>
            <w:r>
              <w:rPr>
                <w:rFonts w:hint="eastAsia" w:ascii="宋体" w:hAnsi="宋体" w:eastAsia="宋体" w:cs="宋体"/>
                <w:color w:val="auto"/>
                <w:kern w:val="0"/>
                <w:sz w:val="21"/>
                <w:szCs w:val="21"/>
                <w:highlight w:val="none"/>
                <w:lang w:val="en-US" w:eastAsia="zh-CN"/>
              </w:rPr>
              <w:t>合同金额</w:t>
            </w:r>
            <w:r>
              <w:rPr>
                <w:rFonts w:hint="eastAsia" w:ascii="宋体" w:hAnsi="宋体" w:eastAsia="宋体" w:cs="宋体"/>
                <w:color w:val="auto"/>
                <w:kern w:val="0"/>
                <w:sz w:val="21"/>
                <w:szCs w:val="21"/>
                <w:highlight w:val="none"/>
              </w:rPr>
              <w:t>的0.2%</w:t>
            </w:r>
            <w:r>
              <w:rPr>
                <w:rFonts w:hint="eastAsia" w:ascii="宋体" w:hAnsi="宋体" w:eastAsia="宋体" w:cs="宋体"/>
                <w:color w:val="auto"/>
                <w:kern w:val="0"/>
                <w:sz w:val="21"/>
                <w:szCs w:val="21"/>
                <w:highlight w:val="none"/>
                <w:lang w:eastAsia="zh-CN"/>
              </w:rPr>
              <w:t>。</w:t>
            </w:r>
          </w:p>
          <w:p w14:paraId="7E23B5DC">
            <w:pPr>
              <w:spacing w:line="360" w:lineRule="auto"/>
              <w:ind w:firstLine="420" w:firstLineChars="200"/>
              <w:rPr>
                <w:rFonts w:hint="eastAsia"/>
                <w:b/>
                <w:bCs/>
                <w:color w:val="auto"/>
                <w:szCs w:val="21"/>
                <w:highlight w:val="none"/>
              </w:rPr>
            </w:pP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.除上述情况外，若出现其他</w:t>
            </w:r>
            <w:r>
              <w:rPr>
                <w:rFonts w:hint="eastAsia" w:ascii="宋体" w:hAnsi="宋体" w:eastAsia="宋体" w:cs="宋体"/>
                <w:color w:val="auto"/>
                <w:sz w:val="21"/>
                <w:szCs w:val="21"/>
                <w:highlight w:val="none"/>
              </w:rPr>
              <w:t>安全事件、隐患给</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造成损失的，</w:t>
            </w:r>
            <w:r>
              <w:rPr>
                <w:rFonts w:hint="eastAsia" w:ascii="宋体" w:hAnsi="宋体" w:eastAsia="宋体" w:cs="宋体"/>
                <w:color w:val="auto"/>
                <w:sz w:val="21"/>
                <w:szCs w:val="21"/>
                <w:highlight w:val="none"/>
                <w:lang w:val="en-US" w:eastAsia="zh-CN"/>
              </w:rPr>
              <w:t>视情节</w:t>
            </w:r>
            <w:r>
              <w:rPr>
                <w:rFonts w:hint="eastAsia" w:ascii="宋体" w:hAnsi="宋体" w:cs="宋体"/>
                <w:color w:val="auto"/>
                <w:sz w:val="21"/>
                <w:szCs w:val="21"/>
                <w:highlight w:val="none"/>
                <w:lang w:val="en-US" w:eastAsia="zh-CN"/>
              </w:rPr>
              <w:t>乙方</w:t>
            </w:r>
            <w:r>
              <w:rPr>
                <w:rFonts w:hint="eastAsia" w:ascii="宋体" w:hAnsi="宋体" w:eastAsia="宋体" w:cs="宋体"/>
                <w:color w:val="auto"/>
                <w:sz w:val="21"/>
                <w:szCs w:val="21"/>
                <w:highlight w:val="none"/>
              </w:rPr>
              <w:t>承担赔偿</w:t>
            </w:r>
            <w:r>
              <w:rPr>
                <w:rFonts w:hint="eastAsia" w:ascii="宋体" w:hAnsi="宋体" w:eastAsia="宋体" w:cs="宋体"/>
                <w:color w:val="auto"/>
                <w:sz w:val="21"/>
                <w:szCs w:val="21"/>
                <w:highlight w:val="none"/>
                <w:lang w:val="en-US" w:eastAsia="zh-CN"/>
              </w:rPr>
              <w:t>责任，</w:t>
            </w:r>
            <w:r>
              <w:rPr>
                <w:rFonts w:hint="eastAsia" w:ascii="宋体" w:hAnsi="宋体" w:eastAsia="宋体" w:cs="宋体"/>
                <w:color w:val="auto"/>
                <w:sz w:val="21"/>
                <w:szCs w:val="21"/>
                <w:highlight w:val="none"/>
              </w:rPr>
              <w:t>每出现一次，扣除合同总价的0.</w:t>
            </w:r>
            <w:r>
              <w:rPr>
                <w:rFonts w:hint="eastAsia" w:ascii="宋体" w:hAnsi="宋体" w:eastAsia="宋体" w:cs="宋体"/>
                <w:color w:val="auto"/>
                <w:sz w:val="21"/>
                <w:szCs w:val="21"/>
                <w:highlight w:val="none"/>
                <w:lang w:eastAsia="zh-CN"/>
              </w:rPr>
              <w:t>0</w:t>
            </w:r>
            <w:r>
              <w:rPr>
                <w:rFonts w:hint="eastAsia" w:ascii="宋体" w:hAnsi="宋体" w:eastAsia="宋体" w:cs="宋体"/>
                <w:color w:val="auto"/>
                <w:sz w:val="21"/>
                <w:szCs w:val="21"/>
                <w:highlight w:val="none"/>
              </w:rPr>
              <w:t>25%</w:t>
            </w:r>
            <w:r>
              <w:rPr>
                <w:rFonts w:hint="eastAsia" w:ascii="宋体" w:hAnsi="宋体" w:eastAsia="宋体" w:cs="宋体"/>
                <w:color w:val="auto"/>
                <w:sz w:val="21"/>
                <w:szCs w:val="21"/>
                <w:highlight w:val="none"/>
                <w:lang w:val="en-US" w:eastAsia="zh-CN"/>
              </w:rPr>
              <w:t>以上。</w:t>
            </w:r>
          </w:p>
          <w:p w14:paraId="4D8AD721">
            <w:pPr>
              <w:spacing w:line="360" w:lineRule="auto"/>
              <w:rPr>
                <w:color w:val="auto"/>
                <w:szCs w:val="21"/>
                <w:highlight w:val="none"/>
              </w:rPr>
            </w:pPr>
            <w:r>
              <w:rPr>
                <w:rFonts w:hint="eastAsia"/>
                <w:color w:val="auto"/>
                <w:szCs w:val="21"/>
                <w:highlight w:val="none"/>
                <w:lang w:eastAsia="zh-Hans"/>
              </w:rPr>
              <w:t>本合同项下所有乙方应支付的违约金</w:t>
            </w:r>
            <w:r>
              <w:rPr>
                <w:color w:val="auto"/>
                <w:szCs w:val="21"/>
                <w:highlight w:val="none"/>
                <w:lang w:eastAsia="zh-Hans"/>
              </w:rPr>
              <w:t>，</w:t>
            </w:r>
            <w:r>
              <w:rPr>
                <w:rFonts w:hint="eastAsia"/>
                <w:color w:val="auto"/>
                <w:szCs w:val="21"/>
                <w:highlight w:val="none"/>
                <w:lang w:eastAsia="zh-Hans"/>
              </w:rPr>
              <w:t>甲方有权直接从未支付的合同金额中予以扣除</w:t>
            </w:r>
            <w:r>
              <w:rPr>
                <w:color w:val="auto"/>
                <w:szCs w:val="21"/>
                <w:highlight w:val="none"/>
                <w:lang w:eastAsia="zh-Hans"/>
              </w:rPr>
              <w:t>，</w:t>
            </w:r>
            <w:r>
              <w:rPr>
                <w:rFonts w:hint="eastAsia"/>
                <w:color w:val="auto"/>
                <w:szCs w:val="21"/>
                <w:highlight w:val="none"/>
                <w:lang w:eastAsia="zh-Hans"/>
              </w:rPr>
              <w:t>若未支付的合同金额不足以支付违约金的</w:t>
            </w:r>
            <w:r>
              <w:rPr>
                <w:color w:val="auto"/>
                <w:szCs w:val="21"/>
                <w:highlight w:val="none"/>
                <w:lang w:eastAsia="zh-Hans"/>
              </w:rPr>
              <w:t>，</w:t>
            </w:r>
            <w:r>
              <w:rPr>
                <w:rFonts w:hint="eastAsia"/>
                <w:color w:val="auto"/>
                <w:szCs w:val="21"/>
                <w:highlight w:val="none"/>
                <w:lang w:eastAsia="zh-Hans"/>
              </w:rPr>
              <w:t>则由乙方另行补足</w:t>
            </w:r>
            <w:r>
              <w:rPr>
                <w:color w:val="auto"/>
                <w:szCs w:val="21"/>
                <w:highlight w:val="none"/>
                <w:lang w:eastAsia="zh-Hans"/>
              </w:rPr>
              <w:t>。</w:t>
            </w:r>
          </w:p>
        </w:tc>
      </w:tr>
      <w:tr w14:paraId="3C89C5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989" w:type="dxa"/>
            <w:tcBorders>
              <w:tl2br w:val="nil"/>
              <w:tr2bl w:val="nil"/>
            </w:tcBorders>
            <w:vAlign w:val="center"/>
          </w:tcPr>
          <w:p w14:paraId="2BDC0BF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1.9.1</w:t>
            </w:r>
          </w:p>
        </w:tc>
        <w:tc>
          <w:tcPr>
            <w:tcW w:w="8137" w:type="dxa"/>
            <w:tcBorders>
              <w:tl2br w:val="nil"/>
              <w:tr2bl w:val="nil"/>
            </w:tcBorders>
            <w:vAlign w:val="center"/>
          </w:tcPr>
          <w:p w14:paraId="4959DA1D">
            <w:pPr>
              <w:spacing w:line="360" w:lineRule="auto"/>
              <w:rPr>
                <w:color w:val="auto"/>
                <w:szCs w:val="21"/>
                <w:highlight w:val="none"/>
              </w:rPr>
            </w:pPr>
            <w:r>
              <w:rPr>
                <w:rFonts w:hint="eastAsia" w:ascii="宋体" w:hAnsi="宋体" w:cs="宋体"/>
                <w:bCs/>
                <w:color w:val="auto"/>
                <w:szCs w:val="21"/>
                <w:highlight w:val="none"/>
              </w:rPr>
              <w:t>/</w:t>
            </w:r>
          </w:p>
        </w:tc>
      </w:tr>
      <w:tr w14:paraId="4F1EFE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989" w:type="dxa"/>
            <w:tcBorders>
              <w:tl2br w:val="nil"/>
              <w:tr2bl w:val="nil"/>
            </w:tcBorders>
            <w:vAlign w:val="center"/>
          </w:tcPr>
          <w:p w14:paraId="61DEE92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1.9.2</w:t>
            </w:r>
          </w:p>
        </w:tc>
        <w:tc>
          <w:tcPr>
            <w:tcW w:w="8137" w:type="dxa"/>
            <w:tcBorders>
              <w:tl2br w:val="nil"/>
              <w:tr2bl w:val="nil"/>
            </w:tcBorders>
            <w:vAlign w:val="center"/>
          </w:tcPr>
          <w:p w14:paraId="1C4D8F97">
            <w:pPr>
              <w:spacing w:line="360" w:lineRule="auto"/>
              <w:rPr>
                <w:color w:val="auto"/>
                <w:szCs w:val="21"/>
                <w:highlight w:val="none"/>
              </w:rPr>
            </w:pPr>
            <w:r>
              <w:rPr>
                <w:rFonts w:hint="eastAsia" w:ascii="宋体" w:hAnsi="宋体" w:cs="宋体"/>
                <w:b/>
                <w:color w:val="auto"/>
                <w:szCs w:val="21"/>
                <w:highlight w:val="none"/>
              </w:rPr>
              <w:t>合同争议：</w:t>
            </w:r>
            <w:r>
              <w:rPr>
                <w:rFonts w:hint="eastAsia" w:ascii="宋体" w:hAnsi="宋体" w:cs="宋体"/>
                <w:bCs/>
                <w:color w:val="auto"/>
                <w:szCs w:val="21"/>
                <w:highlight w:val="none"/>
              </w:rPr>
              <w:t>向甲方住所地人民法院起诉。</w:t>
            </w:r>
          </w:p>
        </w:tc>
      </w:tr>
      <w:tr w14:paraId="46252C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989" w:type="dxa"/>
            <w:tcBorders>
              <w:tl2br w:val="nil"/>
              <w:tr2bl w:val="nil"/>
            </w:tcBorders>
            <w:vAlign w:val="center"/>
          </w:tcPr>
          <w:p w14:paraId="02015C5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2.3.2</w:t>
            </w:r>
          </w:p>
        </w:tc>
        <w:tc>
          <w:tcPr>
            <w:tcW w:w="8137" w:type="dxa"/>
            <w:tcBorders>
              <w:tl2br w:val="nil"/>
              <w:tr2bl w:val="nil"/>
            </w:tcBorders>
            <w:vAlign w:val="center"/>
          </w:tcPr>
          <w:p w14:paraId="326699AC">
            <w:pPr>
              <w:spacing w:line="360" w:lineRule="auto"/>
              <w:rPr>
                <w:color w:val="auto"/>
                <w:szCs w:val="21"/>
                <w:highlight w:val="none"/>
              </w:rPr>
            </w:pPr>
            <w:r>
              <w:rPr>
                <w:rFonts w:hint="eastAsia"/>
                <w:b/>
                <w:bCs/>
                <w:color w:val="auto"/>
                <w:szCs w:val="21"/>
                <w:highlight w:val="none"/>
              </w:rPr>
              <w:t>知识产权：</w:t>
            </w:r>
            <w:r>
              <w:rPr>
                <w:rFonts w:hint="eastAsia"/>
                <w:color w:val="auto"/>
                <w:szCs w:val="21"/>
                <w:highlight w:val="none"/>
              </w:rPr>
              <w:t>乙方应保证提供服务过程中不会侵犯任何第三方的知识产权，如发生侵权产生的相应法律责任（包括但不限于赔偿责任等）均由乙方承担。若因此给甲方造成损失的，应赔偿包括但不限于直接损失和维权产生的律师费、诉讼费等各项费用。</w:t>
            </w:r>
          </w:p>
        </w:tc>
      </w:tr>
      <w:tr w14:paraId="775847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989" w:type="dxa"/>
            <w:tcBorders>
              <w:tl2br w:val="nil"/>
              <w:tr2bl w:val="nil"/>
            </w:tcBorders>
            <w:vAlign w:val="center"/>
          </w:tcPr>
          <w:p w14:paraId="5729425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5</w:t>
            </w:r>
          </w:p>
        </w:tc>
        <w:tc>
          <w:tcPr>
            <w:tcW w:w="8137" w:type="dxa"/>
            <w:tcBorders>
              <w:tl2br w:val="nil"/>
              <w:tr2bl w:val="nil"/>
            </w:tcBorders>
            <w:vAlign w:val="center"/>
          </w:tcPr>
          <w:p w14:paraId="1E102FE6">
            <w:pPr>
              <w:spacing w:line="360" w:lineRule="auto"/>
              <w:rPr>
                <w:b/>
                <w:bCs/>
                <w:color w:val="auto"/>
                <w:szCs w:val="21"/>
                <w:highlight w:val="none"/>
              </w:rPr>
            </w:pPr>
            <w:r>
              <w:rPr>
                <w:rFonts w:hint="eastAsia"/>
                <w:b/>
                <w:bCs/>
                <w:color w:val="auto"/>
                <w:szCs w:val="21"/>
                <w:highlight w:val="none"/>
              </w:rPr>
              <w:t>结算方式和付款条件：</w:t>
            </w:r>
          </w:p>
          <w:p w14:paraId="3AADCA9A">
            <w:pPr>
              <w:spacing w:line="360" w:lineRule="auto"/>
              <w:rPr>
                <w:color w:val="auto"/>
                <w:szCs w:val="21"/>
                <w:highlight w:val="none"/>
              </w:rPr>
            </w:pPr>
            <w:r>
              <w:rPr>
                <w:rFonts w:hint="eastAsia"/>
                <w:color w:val="auto"/>
                <w:szCs w:val="21"/>
                <w:highlight w:val="none"/>
                <w:lang w:eastAsia="zh-Hans"/>
              </w:rPr>
              <w:t>见</w:t>
            </w:r>
            <w:r>
              <w:rPr>
                <w:rFonts w:hint="eastAsia"/>
                <w:color w:val="auto"/>
                <w:szCs w:val="21"/>
                <w:highlight w:val="none"/>
              </w:rPr>
              <w:t>合同专用条款</w:t>
            </w:r>
            <w:r>
              <w:rPr>
                <w:color w:val="auto"/>
                <w:szCs w:val="21"/>
                <w:highlight w:val="none"/>
                <w:lang w:eastAsia="zh-Hans"/>
              </w:rPr>
              <w:t>1</w:t>
            </w:r>
            <w:r>
              <w:rPr>
                <w:rFonts w:hint="eastAsia"/>
                <w:color w:val="auto"/>
                <w:szCs w:val="21"/>
                <w:highlight w:val="none"/>
                <w:lang w:eastAsia="zh-Hans"/>
              </w:rPr>
              <w:t>.</w:t>
            </w:r>
            <w:r>
              <w:rPr>
                <w:rFonts w:hint="eastAsia"/>
                <w:color w:val="auto"/>
                <w:szCs w:val="21"/>
                <w:highlight w:val="none"/>
              </w:rPr>
              <w:t>6.2</w:t>
            </w:r>
          </w:p>
        </w:tc>
      </w:tr>
      <w:tr w14:paraId="734385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989" w:type="dxa"/>
            <w:tcBorders>
              <w:tl2br w:val="nil"/>
              <w:tr2bl w:val="nil"/>
            </w:tcBorders>
            <w:vAlign w:val="center"/>
          </w:tcPr>
          <w:p w14:paraId="7FC939E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11</w:t>
            </w:r>
            <w:r>
              <w:rPr>
                <w:rFonts w:hint="eastAsia" w:ascii="宋体" w:hAnsi="宋体" w:cs="宋体"/>
                <w:color w:val="auto"/>
                <w:szCs w:val="21"/>
                <w:highlight w:val="none"/>
              </w:rPr>
              <w:t>.</w:t>
            </w:r>
            <w:r>
              <w:rPr>
                <w:rFonts w:ascii="宋体" w:hAnsi="宋体" w:cs="宋体"/>
                <w:color w:val="auto"/>
                <w:szCs w:val="21"/>
                <w:highlight w:val="none"/>
              </w:rPr>
              <w:t>3</w:t>
            </w:r>
          </w:p>
        </w:tc>
        <w:tc>
          <w:tcPr>
            <w:tcW w:w="8137" w:type="dxa"/>
            <w:tcBorders>
              <w:tl2br w:val="nil"/>
              <w:tr2bl w:val="nil"/>
            </w:tcBorders>
            <w:vAlign w:val="center"/>
          </w:tcPr>
          <w:p w14:paraId="1EA6077B">
            <w:pPr>
              <w:spacing w:line="360" w:lineRule="auto"/>
              <w:rPr>
                <w:color w:val="auto"/>
                <w:szCs w:val="21"/>
                <w:highlight w:val="none"/>
              </w:rPr>
            </w:pPr>
            <w:r>
              <w:rPr>
                <w:rFonts w:hint="eastAsia"/>
                <w:color w:val="auto"/>
                <w:szCs w:val="21"/>
                <w:highlight w:val="none"/>
              </w:rPr>
              <w:t>因不可抗力致使合同有变更必要的，双方当事人应在7个工作日内以书面形式变更合同；</w:t>
            </w:r>
          </w:p>
        </w:tc>
      </w:tr>
      <w:tr w14:paraId="38CD60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989" w:type="dxa"/>
            <w:tcBorders>
              <w:tl2br w:val="nil"/>
              <w:tr2bl w:val="nil"/>
            </w:tcBorders>
          </w:tcPr>
          <w:p w14:paraId="3C582F6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11.4</w:t>
            </w:r>
          </w:p>
        </w:tc>
        <w:tc>
          <w:tcPr>
            <w:tcW w:w="8137" w:type="dxa"/>
            <w:tcBorders>
              <w:tl2br w:val="nil"/>
              <w:tr2bl w:val="nil"/>
            </w:tcBorders>
          </w:tcPr>
          <w:p w14:paraId="1F8C8479">
            <w:pPr>
              <w:spacing w:line="360" w:lineRule="auto"/>
              <w:rPr>
                <w:color w:val="auto"/>
                <w:szCs w:val="21"/>
                <w:highlight w:val="none"/>
              </w:rPr>
            </w:pPr>
            <w:r>
              <w:rPr>
                <w:rFonts w:hint="eastAsia"/>
                <w:color w:val="auto"/>
                <w:szCs w:val="21"/>
                <w:highlight w:val="none"/>
              </w:rPr>
              <w:t>受不可抗力影响的一方在不可抗力发生后，应在3个工作日内以书面形式通知对方当事人，并在3个工作日内将有关部门出具的证明文件送达对方当事人。</w:t>
            </w:r>
          </w:p>
        </w:tc>
      </w:tr>
      <w:tr w14:paraId="2FB46E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989" w:type="dxa"/>
            <w:tcBorders>
              <w:tl2br w:val="nil"/>
              <w:tr2bl w:val="nil"/>
            </w:tcBorders>
            <w:vAlign w:val="center"/>
          </w:tcPr>
          <w:p w14:paraId="11B4727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15</w:t>
            </w:r>
            <w:r>
              <w:rPr>
                <w:rFonts w:hint="eastAsia" w:ascii="宋体" w:hAnsi="宋体" w:cs="宋体"/>
                <w:color w:val="auto"/>
                <w:szCs w:val="21"/>
                <w:highlight w:val="none"/>
              </w:rPr>
              <w:t>.</w:t>
            </w:r>
            <w:r>
              <w:rPr>
                <w:rFonts w:ascii="宋体" w:hAnsi="宋体" w:cs="宋体"/>
                <w:color w:val="auto"/>
                <w:szCs w:val="21"/>
                <w:highlight w:val="none"/>
              </w:rPr>
              <w:t>1</w:t>
            </w:r>
          </w:p>
        </w:tc>
        <w:tc>
          <w:tcPr>
            <w:tcW w:w="8137" w:type="dxa"/>
            <w:tcBorders>
              <w:tl2br w:val="nil"/>
              <w:tr2bl w:val="nil"/>
            </w:tcBorders>
            <w:vAlign w:val="center"/>
          </w:tcPr>
          <w:p w14:paraId="01764D93">
            <w:pPr>
              <w:spacing w:line="360" w:lineRule="auto"/>
              <w:rPr>
                <w:color w:val="auto"/>
                <w:szCs w:val="21"/>
                <w:highlight w:val="none"/>
              </w:rPr>
            </w:pPr>
            <w:r>
              <w:rPr>
                <w:rFonts w:hint="eastAsia"/>
                <w:b/>
                <w:bCs/>
                <w:color w:val="auto"/>
                <w:szCs w:val="21"/>
                <w:highlight w:val="none"/>
              </w:rPr>
              <w:t>检验和验收：</w:t>
            </w:r>
            <w:r>
              <w:rPr>
                <w:rFonts w:hint="eastAsia"/>
                <w:color w:val="auto"/>
                <w:szCs w:val="21"/>
                <w:highlight w:val="none"/>
              </w:rPr>
              <w:t>按照招标文件和合同进行验收。</w:t>
            </w:r>
          </w:p>
        </w:tc>
      </w:tr>
      <w:tr w14:paraId="79582A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989" w:type="dxa"/>
            <w:tcBorders>
              <w:tl2br w:val="nil"/>
              <w:tr2bl w:val="nil"/>
            </w:tcBorders>
            <w:vAlign w:val="center"/>
          </w:tcPr>
          <w:p w14:paraId="7A9B3F5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15</w:t>
            </w:r>
            <w:r>
              <w:rPr>
                <w:rFonts w:hint="eastAsia" w:ascii="宋体" w:hAnsi="宋体" w:cs="宋体"/>
                <w:color w:val="auto"/>
                <w:szCs w:val="21"/>
                <w:highlight w:val="none"/>
              </w:rPr>
              <w:t>.</w:t>
            </w:r>
            <w:r>
              <w:rPr>
                <w:rFonts w:ascii="宋体" w:hAnsi="宋体" w:cs="宋体"/>
                <w:color w:val="auto"/>
                <w:szCs w:val="21"/>
                <w:highlight w:val="none"/>
              </w:rPr>
              <w:t>3</w:t>
            </w:r>
          </w:p>
        </w:tc>
        <w:tc>
          <w:tcPr>
            <w:tcW w:w="8137" w:type="dxa"/>
            <w:tcBorders>
              <w:tl2br w:val="nil"/>
              <w:tr2bl w:val="nil"/>
            </w:tcBorders>
            <w:vAlign w:val="center"/>
          </w:tcPr>
          <w:p w14:paraId="2FA84748">
            <w:pPr>
              <w:spacing w:line="360" w:lineRule="auto"/>
              <w:rPr>
                <w:color w:val="auto"/>
                <w:szCs w:val="21"/>
                <w:highlight w:val="none"/>
              </w:rPr>
            </w:pPr>
            <w:r>
              <w:rPr>
                <w:rFonts w:hint="eastAsia"/>
                <w:b/>
                <w:bCs/>
                <w:color w:val="auto"/>
                <w:szCs w:val="21"/>
                <w:highlight w:val="none"/>
              </w:rPr>
              <w:t>检验和验收：</w:t>
            </w:r>
            <w:r>
              <w:rPr>
                <w:rFonts w:hint="eastAsia"/>
                <w:color w:val="auto"/>
                <w:szCs w:val="21"/>
                <w:highlight w:val="none"/>
              </w:rPr>
              <w:t>根据合同规定范围提供服务并通过甲方确认后，甲方凭乙方开具的正规发票和甲方认可的各项记录复印件，办理服务费用的支付手续。</w:t>
            </w:r>
          </w:p>
        </w:tc>
      </w:tr>
      <w:tr w14:paraId="292293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52" w:hRule="atLeast"/>
        </w:trPr>
        <w:tc>
          <w:tcPr>
            <w:tcW w:w="989" w:type="dxa"/>
            <w:tcBorders>
              <w:tl2br w:val="nil"/>
              <w:tr2bl w:val="nil"/>
            </w:tcBorders>
          </w:tcPr>
          <w:p w14:paraId="211A12D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2.19</w:t>
            </w:r>
          </w:p>
        </w:tc>
        <w:tc>
          <w:tcPr>
            <w:tcW w:w="8137" w:type="dxa"/>
            <w:tcBorders>
              <w:tl2br w:val="nil"/>
              <w:tr2bl w:val="nil"/>
            </w:tcBorders>
          </w:tcPr>
          <w:p w14:paraId="1612E143">
            <w:pPr>
              <w:spacing w:line="360" w:lineRule="auto"/>
              <w:rPr>
                <w:color w:val="auto"/>
                <w:szCs w:val="21"/>
                <w:highlight w:val="none"/>
              </w:rPr>
            </w:pPr>
            <w:r>
              <w:rPr>
                <w:rFonts w:hint="eastAsia" w:ascii="宋体" w:hAnsi="宋体" w:cs="宋体"/>
                <w:b/>
                <w:color w:val="auto"/>
                <w:szCs w:val="21"/>
                <w:highlight w:val="none"/>
              </w:rPr>
              <w:t>合同份数：</w:t>
            </w:r>
            <w:r>
              <w:rPr>
                <w:rFonts w:hint="eastAsia"/>
                <w:color w:val="auto"/>
                <w:szCs w:val="21"/>
                <w:highlight w:val="none"/>
              </w:rPr>
              <w:t>本合同一式肆份，甲方执贰份、乙方执贰份，每份均具有同等法律效力。</w:t>
            </w:r>
          </w:p>
        </w:tc>
      </w:tr>
    </w:tbl>
    <w:p w14:paraId="730AD3E6">
      <w:pPr>
        <w:rPr>
          <w:color w:val="auto"/>
          <w:highlight w:val="none"/>
        </w:rPr>
      </w:pPr>
    </w:p>
    <w:p w14:paraId="7BC3EF1C">
      <w:pPr>
        <w:rPr>
          <w:rFonts w:ascii="宋体" w:hAnsi="宋体" w:cs="宋体"/>
          <w:bCs/>
          <w:color w:val="auto"/>
          <w:szCs w:val="21"/>
          <w:highlight w:val="none"/>
        </w:rPr>
      </w:pPr>
    </w:p>
    <w:p w14:paraId="24FCE1E7">
      <w:pPr>
        <w:rPr>
          <w:color w:val="auto"/>
          <w:highlight w:val="none"/>
        </w:rPr>
      </w:pPr>
      <w:bookmarkStart w:id="560" w:name="_Toc24439"/>
      <w:r>
        <w:rPr>
          <w:rFonts w:hint="eastAsia"/>
          <w:color w:val="auto"/>
          <w:highlight w:val="none"/>
        </w:rPr>
        <w:br w:type="page"/>
      </w:r>
    </w:p>
    <w:p w14:paraId="0AF73006">
      <w:pPr>
        <w:pStyle w:val="2"/>
        <w:rPr>
          <w:color w:val="auto"/>
          <w:highlight w:val="none"/>
        </w:rPr>
      </w:pPr>
      <w:r>
        <w:rPr>
          <w:rFonts w:hint="eastAsia"/>
          <w:color w:val="auto"/>
          <w:highlight w:val="none"/>
        </w:rPr>
        <w:t>第六部分</w:t>
      </w:r>
      <w:bookmarkEnd w:id="406"/>
      <w:r>
        <w:rPr>
          <w:rFonts w:hint="eastAsia"/>
          <w:color w:val="auto"/>
          <w:highlight w:val="none"/>
        </w:rPr>
        <w:t xml:space="preserve"> </w:t>
      </w:r>
      <w:bookmarkEnd w:id="407"/>
      <w:r>
        <w:rPr>
          <w:rFonts w:hint="eastAsia"/>
          <w:color w:val="auto"/>
          <w:highlight w:val="none"/>
        </w:rPr>
        <w:t>应提交的有关格式范例</w:t>
      </w:r>
      <w:bookmarkEnd w:id="560"/>
    </w:p>
    <w:p w14:paraId="2676D458">
      <w:pPr>
        <w:spacing w:line="360" w:lineRule="auto"/>
        <w:jc w:val="center"/>
        <w:rPr>
          <w:rFonts w:ascii="宋体" w:hAnsi="宋体" w:cs="宋体"/>
          <w:b/>
          <w:color w:val="auto"/>
          <w:kern w:val="0"/>
          <w:szCs w:val="21"/>
          <w:highlight w:val="none"/>
        </w:rPr>
      </w:pPr>
    </w:p>
    <w:p w14:paraId="040937CD">
      <w:pPr>
        <w:pStyle w:val="3"/>
        <w:ind w:firstLine="0" w:firstLineChars="0"/>
        <w:jc w:val="center"/>
        <w:rPr>
          <w:color w:val="auto"/>
          <w:szCs w:val="21"/>
          <w:highlight w:val="none"/>
        </w:rPr>
      </w:pPr>
      <w:r>
        <w:rPr>
          <w:rFonts w:hint="eastAsia"/>
          <w:color w:val="auto"/>
          <w:szCs w:val="21"/>
          <w:highlight w:val="none"/>
        </w:rPr>
        <w:t>资格文件部分</w:t>
      </w:r>
    </w:p>
    <w:p w14:paraId="2C1F4301">
      <w:pPr>
        <w:spacing w:line="360" w:lineRule="auto"/>
        <w:jc w:val="center"/>
        <w:outlineLvl w:val="2"/>
        <w:rPr>
          <w:rFonts w:ascii="宋体" w:hAnsi="宋体" w:cs="宋体"/>
          <w:b/>
          <w:color w:val="auto"/>
          <w:kern w:val="0"/>
          <w:szCs w:val="21"/>
          <w:highlight w:val="none"/>
        </w:rPr>
      </w:pPr>
      <w:r>
        <w:rPr>
          <w:rFonts w:hint="eastAsia" w:ascii="宋体" w:hAnsi="宋体" w:cs="宋体"/>
          <w:b/>
          <w:color w:val="auto"/>
          <w:kern w:val="0"/>
          <w:szCs w:val="21"/>
          <w:highlight w:val="none"/>
        </w:rPr>
        <w:t>目录</w:t>
      </w:r>
    </w:p>
    <w:p w14:paraId="5098B17D">
      <w:pPr>
        <w:spacing w:line="360" w:lineRule="auto"/>
        <w:jc w:val="center"/>
        <w:rPr>
          <w:rFonts w:ascii="宋体" w:hAnsi="宋体" w:cs="宋体"/>
          <w:b/>
          <w:color w:val="auto"/>
          <w:kern w:val="0"/>
          <w:szCs w:val="21"/>
          <w:highlight w:val="none"/>
        </w:rPr>
      </w:pPr>
    </w:p>
    <w:p w14:paraId="7FD0F819">
      <w:pPr>
        <w:numPr>
          <w:ilvl w:val="0"/>
          <w:numId w:val="8"/>
        </w:num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符合参加政府采购活动应当具备的一般条件的承诺函……………（页码）</w:t>
      </w:r>
    </w:p>
    <w:p w14:paraId="442D147F">
      <w:pPr>
        <w:numPr>
          <w:ilvl w:val="0"/>
          <w:numId w:val="8"/>
        </w:num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联合体协议……………………………………………………………（页码）</w:t>
      </w:r>
    </w:p>
    <w:p w14:paraId="11B5DD52">
      <w:pPr>
        <w:numPr>
          <w:ilvl w:val="0"/>
          <w:numId w:val="8"/>
        </w:num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落实政府采购政策需满足的资格要求………………………………（页码）</w:t>
      </w:r>
    </w:p>
    <w:p w14:paraId="5F5A9E6D">
      <w:pPr>
        <w:numPr>
          <w:ilvl w:val="0"/>
          <w:numId w:val="8"/>
        </w:num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本项目的特定资格要求………………………………………………（页码）</w:t>
      </w:r>
    </w:p>
    <w:p w14:paraId="70B9A60B">
      <w:pPr>
        <w:snapToGrid w:val="0"/>
        <w:spacing w:line="360" w:lineRule="auto"/>
        <w:ind w:firstLine="420" w:firstLineChars="200"/>
        <w:rPr>
          <w:rFonts w:ascii="宋体" w:hAnsi="宋体" w:cs="宋体"/>
          <w:color w:val="auto"/>
          <w:szCs w:val="21"/>
          <w:highlight w:val="none"/>
        </w:rPr>
      </w:pPr>
    </w:p>
    <w:p w14:paraId="37A0E8D0">
      <w:pPr>
        <w:spacing w:line="360" w:lineRule="auto"/>
        <w:ind w:firstLine="420" w:firstLineChars="200"/>
        <w:rPr>
          <w:rFonts w:ascii="宋体" w:hAnsi="宋体" w:cs="宋体"/>
          <w:color w:val="auto"/>
          <w:szCs w:val="21"/>
          <w:highlight w:val="none"/>
        </w:rPr>
      </w:pPr>
    </w:p>
    <w:p w14:paraId="06C1FF48">
      <w:pPr>
        <w:pStyle w:val="4"/>
        <w:numPr>
          <w:ilvl w:val="0"/>
          <w:numId w:val="9"/>
        </w:numPr>
        <w:ind w:firstLine="428"/>
        <w:rPr>
          <w:rFonts w:ascii="宋体" w:hAnsi="宋体" w:cs="宋体"/>
          <w:color w:val="auto"/>
          <w:kern w:val="0"/>
          <w:szCs w:val="21"/>
          <w:highlight w:val="none"/>
        </w:rPr>
      </w:pPr>
      <w:r>
        <w:rPr>
          <w:rFonts w:hint="eastAsia" w:ascii="宋体" w:hAnsi="宋体" w:cs="宋体"/>
          <w:color w:val="auto"/>
          <w:kern w:val="0"/>
          <w:szCs w:val="21"/>
          <w:highlight w:val="none"/>
        </w:rPr>
        <w:br w:type="page"/>
      </w:r>
      <w:r>
        <w:rPr>
          <w:rFonts w:hint="eastAsia" w:ascii="宋体" w:hAnsi="宋体" w:cs="宋体"/>
          <w:color w:val="auto"/>
          <w:kern w:val="0"/>
          <w:szCs w:val="21"/>
          <w:highlight w:val="none"/>
        </w:rPr>
        <w:t>符合参加政府采购活动应当具备的一般条件的承诺函</w:t>
      </w:r>
    </w:p>
    <w:p w14:paraId="6D85EA52">
      <w:pPr>
        <w:pStyle w:val="15"/>
        <w:spacing w:line="360" w:lineRule="auto"/>
        <w:rPr>
          <w:color w:val="auto"/>
          <w:sz w:val="21"/>
          <w:szCs w:val="21"/>
          <w:highlight w:val="none"/>
        </w:rPr>
      </w:pPr>
    </w:p>
    <w:p w14:paraId="0A1979B3">
      <w:pPr>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符合参加政府采购活动应当具备的一般条件的承诺函</w:t>
      </w:r>
    </w:p>
    <w:p w14:paraId="08834587">
      <w:pPr>
        <w:spacing w:line="360" w:lineRule="auto"/>
        <w:rPr>
          <w:color w:val="auto"/>
          <w:szCs w:val="21"/>
          <w:highlight w:val="none"/>
        </w:rPr>
      </w:pPr>
    </w:p>
    <w:p w14:paraId="156F6896">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杭州市余杭区数据资源管理局、浙江省成套招标代理有限公司：</w:t>
      </w:r>
    </w:p>
    <w:p w14:paraId="6F86050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我方参与AI余杭建设项目【招标编号：</w:t>
      </w:r>
      <w:r>
        <w:rPr>
          <w:rFonts w:hint="eastAsia" w:ascii="宋体" w:hAnsi="宋体" w:cs="宋体"/>
          <w:color w:val="auto"/>
          <w:szCs w:val="21"/>
          <w:highlight w:val="none"/>
          <w:lang w:eastAsia="zh-CN"/>
        </w:rPr>
        <w:t>CTZB-2025010049</w:t>
      </w:r>
      <w:r>
        <w:rPr>
          <w:rFonts w:hint="eastAsia" w:ascii="宋体" w:hAnsi="宋体" w:cs="宋体"/>
          <w:color w:val="auto"/>
          <w:szCs w:val="21"/>
          <w:highlight w:val="none"/>
        </w:rPr>
        <w:t>】政府采购活动，郑重承诺：</w:t>
      </w:r>
    </w:p>
    <w:p w14:paraId="6CB4CAD7">
      <w:pPr>
        <w:snapToGrid w:val="0"/>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（一）具备《中华人民共和国政府采购法》第二十二条第一款规定的条件：</w:t>
      </w:r>
    </w:p>
    <w:p w14:paraId="0E0D591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1、具有独立承担民事责任的能力；</w:t>
      </w:r>
    </w:p>
    <w:p w14:paraId="32129E7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2、具有良好的商业信誉和健全的财务会计制度； </w:t>
      </w:r>
    </w:p>
    <w:p w14:paraId="307A38D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3、具有履行合同所必需的设备和专业技术能力；</w:t>
      </w:r>
    </w:p>
    <w:p w14:paraId="24A5B63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4、有依法缴纳税收和社会保障资金的良好记录；</w:t>
      </w:r>
    </w:p>
    <w:p w14:paraId="3B9A0B1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5、参加政府采购活动前三年内，在经营活动中没有重大违法记录；</w:t>
      </w:r>
    </w:p>
    <w:p w14:paraId="4906D4D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6、具有法律、行政法规规定的其他条件。</w:t>
      </w:r>
    </w:p>
    <w:p w14:paraId="1A55C20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（二）未被信用中国（www.creditchina.gov.cn）、中国政府采购网（www.ccgp.gov.cn）列入失信被执行人、重大税收违法案件当事人名单、政府采购严重违法失信行为记录名单。</w:t>
      </w:r>
    </w:p>
    <w:p w14:paraId="65A8E48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（三）不存在以下情况：</w:t>
      </w:r>
    </w:p>
    <w:p w14:paraId="718A17A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1、单位负责人为同一人或者存在直接控股、管理关系的不同供应商参加同一合同项下的政府采购活动的；</w:t>
      </w:r>
    </w:p>
    <w:p w14:paraId="3DF32E5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2、为采购项目提供整体设计、规范编制或者项目管理、监理、检测等服务后再参加该采购项目的其他采购活动的。</w:t>
      </w:r>
    </w:p>
    <w:p w14:paraId="460687E9">
      <w:pPr>
        <w:snapToGrid w:val="0"/>
        <w:spacing w:line="360" w:lineRule="auto"/>
        <w:ind w:firstLine="4830" w:firstLineChars="2300"/>
        <w:rPr>
          <w:rFonts w:ascii="宋体" w:hAnsi="宋体" w:cs="宋体"/>
          <w:color w:val="auto"/>
          <w:kern w:val="0"/>
          <w:szCs w:val="21"/>
          <w:highlight w:val="none"/>
        </w:rPr>
      </w:pPr>
      <w:r>
        <w:rPr>
          <w:rFonts w:hint="eastAsia" w:ascii="宋体" w:hAnsi="宋体" w:cs="宋体"/>
          <w:color w:val="auto"/>
          <w:kern w:val="0"/>
          <w:szCs w:val="21"/>
          <w:highlight w:val="none"/>
          <w:lang w:val="zh-CN"/>
        </w:rPr>
        <w:t>投标人名称（电子签名）：</w:t>
      </w:r>
    </w:p>
    <w:p w14:paraId="4DE4A873">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lang w:val="zh-CN"/>
        </w:rPr>
        <w:t xml:space="preserve">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日期</w:t>
      </w:r>
      <w:r>
        <w:rPr>
          <w:rFonts w:hint="eastAsia" w:ascii="宋体" w:hAnsi="宋体" w:cs="宋体"/>
          <w:color w:val="auto"/>
          <w:kern w:val="0"/>
          <w:szCs w:val="21"/>
          <w:highlight w:val="none"/>
        </w:rPr>
        <w:t xml:space="preserve">：  年  </w:t>
      </w:r>
      <w:r>
        <w:rPr>
          <w:rFonts w:hint="eastAsia" w:ascii="宋体" w:hAnsi="宋体" w:cs="宋体"/>
          <w:color w:val="auto"/>
          <w:kern w:val="0"/>
          <w:szCs w:val="21"/>
          <w:highlight w:val="none"/>
          <w:lang w:val="zh-CN"/>
        </w:rPr>
        <w:t>月</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日</w:t>
      </w:r>
    </w:p>
    <w:p w14:paraId="14C3AC3D">
      <w:pPr>
        <w:snapToGrid w:val="0"/>
        <w:spacing w:line="360" w:lineRule="auto"/>
        <w:ind w:firstLine="420" w:firstLineChars="200"/>
        <w:rPr>
          <w:rFonts w:ascii="宋体" w:hAnsi="宋体" w:cs="宋体"/>
          <w:color w:val="auto"/>
          <w:szCs w:val="21"/>
          <w:highlight w:val="none"/>
        </w:rPr>
      </w:pPr>
    </w:p>
    <w:p w14:paraId="158017A2">
      <w:pPr>
        <w:snapToGrid w:val="0"/>
        <w:spacing w:line="360" w:lineRule="auto"/>
        <w:ind w:firstLine="420" w:firstLineChars="200"/>
        <w:rPr>
          <w:rFonts w:ascii="宋体" w:hAnsi="宋体" w:cs="宋体"/>
          <w:b/>
          <w:bCs/>
          <w:color w:val="auto"/>
          <w:szCs w:val="21"/>
          <w:highlight w:val="none"/>
        </w:rPr>
      </w:pPr>
      <w:r>
        <w:rPr>
          <w:rFonts w:hint="eastAsia" w:ascii="宋体" w:hAnsi="宋体" w:cs="宋体"/>
          <w:color w:val="auto"/>
          <w:szCs w:val="21"/>
          <w:highlight w:val="none"/>
        </w:rPr>
        <w:t>注：金融、保险、通讯等特定行业的全国性企业所设立的区域性分支机构，以及个体工商户、个人独资企业、合伙企业，如果已经依法办理了工商、税务和社保登记手续，须提供总机构授权书或房产权证或其他有效财产证明材料，证明其具备实际承担责任的能力和法定的缔结合同能力，可以允许其独立参加政府采购活动。</w:t>
      </w:r>
      <w:r>
        <w:rPr>
          <w:rFonts w:hint="eastAsia" w:ascii="宋体" w:hAnsi="宋体" w:cs="宋体"/>
          <w:b/>
          <w:bCs/>
          <w:color w:val="auto"/>
          <w:szCs w:val="21"/>
          <w:highlight w:val="none"/>
        </w:rPr>
        <w:t>相关证明材料附后。</w:t>
      </w:r>
    </w:p>
    <w:p w14:paraId="6C0EADF0">
      <w:pPr>
        <w:snapToGrid w:val="0"/>
        <w:spacing w:line="360" w:lineRule="auto"/>
        <w:ind w:firstLine="420" w:firstLineChars="200"/>
        <w:rPr>
          <w:rFonts w:ascii="宋体" w:hAnsi="宋体" w:cs="宋体"/>
          <w:color w:val="auto"/>
          <w:szCs w:val="21"/>
          <w:highlight w:val="none"/>
        </w:rPr>
      </w:pPr>
    </w:p>
    <w:p w14:paraId="7136F71B">
      <w:pPr>
        <w:snapToGrid w:val="0"/>
        <w:spacing w:line="360" w:lineRule="auto"/>
        <w:ind w:firstLine="420" w:firstLineChars="200"/>
        <w:rPr>
          <w:rFonts w:ascii="宋体" w:hAnsi="宋体" w:cs="宋体"/>
          <w:color w:val="auto"/>
          <w:szCs w:val="21"/>
          <w:highlight w:val="none"/>
        </w:rPr>
      </w:pPr>
    </w:p>
    <w:p w14:paraId="76B0B795">
      <w:pPr>
        <w:pStyle w:val="4"/>
        <w:ind w:firstLine="428"/>
        <w:rPr>
          <w:color w:val="auto"/>
          <w:szCs w:val="21"/>
          <w:highlight w:val="none"/>
        </w:rPr>
      </w:pPr>
      <w:r>
        <w:rPr>
          <w:rFonts w:hint="eastAsia"/>
          <w:color w:val="auto"/>
          <w:szCs w:val="21"/>
          <w:highlight w:val="none"/>
        </w:rPr>
        <w:t>二、联合协议（如果有）</w:t>
      </w:r>
    </w:p>
    <w:p w14:paraId="48FB783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[以联合体形式投标的，提供联合协议（附件5）；本项目不接受联合体投标或者投标人不以联合体形式投标的，则不需要提供）]</w:t>
      </w:r>
    </w:p>
    <w:p w14:paraId="01B2CF05">
      <w:pPr>
        <w:snapToGrid w:val="0"/>
        <w:spacing w:line="360" w:lineRule="auto"/>
        <w:ind w:firstLine="420" w:firstLineChars="200"/>
        <w:rPr>
          <w:rFonts w:ascii="宋体" w:hAnsi="宋体" w:cs="宋体"/>
          <w:color w:val="auto"/>
          <w:szCs w:val="21"/>
          <w:highlight w:val="none"/>
        </w:rPr>
      </w:pPr>
    </w:p>
    <w:p w14:paraId="39808929">
      <w:pPr>
        <w:snapToGrid w:val="0"/>
        <w:spacing w:line="360" w:lineRule="auto"/>
        <w:ind w:firstLine="420" w:firstLineChars="200"/>
        <w:rPr>
          <w:rFonts w:ascii="宋体" w:hAnsi="宋体" w:cs="宋体"/>
          <w:color w:val="auto"/>
          <w:szCs w:val="21"/>
          <w:highlight w:val="none"/>
        </w:rPr>
      </w:pPr>
    </w:p>
    <w:p w14:paraId="7141FF62">
      <w:pPr>
        <w:pStyle w:val="4"/>
        <w:ind w:firstLine="428"/>
        <w:rPr>
          <w:color w:val="auto"/>
          <w:szCs w:val="21"/>
          <w:highlight w:val="none"/>
        </w:rPr>
      </w:pPr>
      <w:r>
        <w:rPr>
          <w:rFonts w:hint="eastAsia"/>
          <w:color w:val="auto"/>
          <w:szCs w:val="21"/>
          <w:highlight w:val="none"/>
        </w:rPr>
        <w:t>三、落实政府采购政策需满足的资格要求</w:t>
      </w:r>
    </w:p>
    <w:p w14:paraId="06E0468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（根据招标公告落实政府采购政策需满足的资格要求选择提供相应的材料；未要求的，无需提供）</w:t>
      </w:r>
    </w:p>
    <w:p w14:paraId="2B91F65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A.专门面向中小企业，服务全部由符合政策要求的中小企业（或小微企业）承接的，提供相应的中小企业声明函（附件7）。 </w:t>
      </w:r>
    </w:p>
    <w:p w14:paraId="460D94A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B.要求以联合体形式参加的，提供联合协议（附件5）和中小企业声明函（附件7），联合协议中中小企业合同金额应当达到招标公告载明的比例；如果供应商本身提供所有标的均由中小企业承接的，并相应达到了前述比例要求，视同符合了资格条件，无需再与其他中小企业组成联合体参加政府采购活动，无需提供联合协议。</w:t>
      </w:r>
    </w:p>
    <w:p w14:paraId="408ACE1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C.要求合同分包的，提供分包意向协议（附件6）和中小企业声明函（附件7），分包意向协议中中小企业合同金额应当达到招标公告载明的比例；如果供应商本身提供所有标的均由中小企业承接的，并相应达到了前述比例要求，视同符合了资格条件，无需再向中小企业分包，无需提供分包意向协议。</w:t>
      </w:r>
    </w:p>
    <w:p w14:paraId="023B9E4A">
      <w:pPr>
        <w:snapToGrid w:val="0"/>
        <w:spacing w:line="360" w:lineRule="auto"/>
        <w:ind w:firstLine="420" w:firstLineChars="200"/>
        <w:rPr>
          <w:rFonts w:ascii="宋体" w:hAnsi="宋体" w:cs="宋体"/>
          <w:color w:val="auto"/>
          <w:szCs w:val="21"/>
          <w:highlight w:val="none"/>
        </w:rPr>
      </w:pPr>
    </w:p>
    <w:p w14:paraId="398C68EA">
      <w:pPr>
        <w:pStyle w:val="4"/>
        <w:ind w:firstLine="428"/>
        <w:rPr>
          <w:color w:val="auto"/>
          <w:szCs w:val="21"/>
          <w:highlight w:val="none"/>
        </w:rPr>
      </w:pPr>
      <w:r>
        <w:rPr>
          <w:rFonts w:hint="eastAsia"/>
          <w:color w:val="auto"/>
          <w:szCs w:val="21"/>
          <w:highlight w:val="none"/>
        </w:rPr>
        <w:t>四、本项目的特定资格要求</w:t>
      </w:r>
    </w:p>
    <w:p w14:paraId="34D3973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（根据招标公告本项目的特定资格要求提供相应的材料；未要求的，无需提供）</w:t>
      </w:r>
    </w:p>
    <w:p w14:paraId="0AB63921">
      <w:pPr>
        <w:snapToGrid w:val="0"/>
        <w:spacing w:line="360" w:lineRule="auto"/>
        <w:ind w:right="480"/>
        <w:jc w:val="center"/>
        <w:rPr>
          <w:rFonts w:ascii="宋体" w:hAnsi="宋体" w:cs="宋体"/>
          <w:b/>
          <w:color w:val="auto"/>
          <w:kern w:val="0"/>
          <w:szCs w:val="21"/>
          <w:highlight w:val="none"/>
        </w:rPr>
      </w:pPr>
    </w:p>
    <w:p w14:paraId="638FE1E6">
      <w:pPr>
        <w:spacing w:line="360" w:lineRule="auto"/>
        <w:rPr>
          <w:rFonts w:ascii="宋体" w:hAnsi="宋体" w:cs="宋体"/>
          <w:color w:val="auto"/>
          <w:szCs w:val="21"/>
          <w:highlight w:val="none"/>
        </w:rPr>
      </w:pPr>
    </w:p>
    <w:p w14:paraId="6C30331B">
      <w:pPr>
        <w:snapToGrid w:val="0"/>
        <w:spacing w:line="360" w:lineRule="auto"/>
        <w:ind w:right="480"/>
        <w:jc w:val="center"/>
        <w:rPr>
          <w:rFonts w:ascii="宋体" w:hAnsi="宋体" w:cs="宋体"/>
          <w:b/>
          <w:color w:val="auto"/>
          <w:kern w:val="0"/>
          <w:szCs w:val="21"/>
          <w:highlight w:val="none"/>
        </w:rPr>
      </w:pPr>
    </w:p>
    <w:p w14:paraId="25CEF9B3">
      <w:pPr>
        <w:snapToGrid w:val="0"/>
        <w:spacing w:line="360" w:lineRule="auto"/>
        <w:ind w:right="480"/>
        <w:jc w:val="center"/>
        <w:rPr>
          <w:rFonts w:ascii="宋体" w:hAnsi="宋体" w:cs="宋体"/>
          <w:b/>
          <w:color w:val="auto"/>
          <w:kern w:val="0"/>
          <w:szCs w:val="21"/>
          <w:highlight w:val="none"/>
        </w:rPr>
      </w:pPr>
    </w:p>
    <w:p w14:paraId="0127719C">
      <w:pPr>
        <w:snapToGrid w:val="0"/>
        <w:spacing w:line="360" w:lineRule="auto"/>
        <w:ind w:right="480"/>
        <w:jc w:val="center"/>
        <w:rPr>
          <w:rFonts w:ascii="宋体" w:hAnsi="宋体" w:cs="宋体"/>
          <w:b/>
          <w:color w:val="auto"/>
          <w:kern w:val="0"/>
          <w:szCs w:val="21"/>
          <w:highlight w:val="none"/>
        </w:rPr>
      </w:pPr>
    </w:p>
    <w:p w14:paraId="1A9865B2">
      <w:pPr>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br w:type="page"/>
      </w:r>
    </w:p>
    <w:p w14:paraId="0262481C">
      <w:pPr>
        <w:spacing w:line="360" w:lineRule="auto"/>
        <w:rPr>
          <w:rFonts w:ascii="宋体" w:hAnsi="宋体" w:cs="宋体"/>
          <w:b/>
          <w:color w:val="auto"/>
          <w:kern w:val="0"/>
          <w:szCs w:val="21"/>
          <w:highlight w:val="none"/>
        </w:rPr>
      </w:pPr>
    </w:p>
    <w:p w14:paraId="20224714">
      <w:pPr>
        <w:pStyle w:val="3"/>
        <w:ind w:firstLine="428"/>
        <w:jc w:val="center"/>
        <w:rPr>
          <w:color w:val="auto"/>
          <w:szCs w:val="21"/>
          <w:highlight w:val="none"/>
        </w:rPr>
      </w:pPr>
      <w:r>
        <w:rPr>
          <w:rFonts w:hint="eastAsia"/>
          <w:color w:val="auto"/>
          <w:szCs w:val="21"/>
          <w:highlight w:val="none"/>
        </w:rPr>
        <w:t>商务技术文件部分</w:t>
      </w:r>
    </w:p>
    <w:p w14:paraId="3784776E">
      <w:pPr>
        <w:spacing w:line="360" w:lineRule="auto"/>
        <w:jc w:val="center"/>
        <w:rPr>
          <w:rFonts w:ascii="宋体" w:hAnsi="宋体" w:cs="宋体"/>
          <w:b/>
          <w:color w:val="auto"/>
          <w:kern w:val="0"/>
          <w:szCs w:val="21"/>
          <w:highlight w:val="none"/>
        </w:rPr>
      </w:pPr>
    </w:p>
    <w:p w14:paraId="0FC08668">
      <w:pPr>
        <w:spacing w:line="360" w:lineRule="auto"/>
        <w:jc w:val="center"/>
        <w:outlineLvl w:val="2"/>
        <w:rPr>
          <w:rFonts w:ascii="宋体" w:hAnsi="宋体" w:cs="宋体"/>
          <w:b/>
          <w:color w:val="auto"/>
          <w:kern w:val="0"/>
          <w:szCs w:val="21"/>
          <w:highlight w:val="none"/>
        </w:rPr>
      </w:pPr>
      <w:r>
        <w:rPr>
          <w:rFonts w:hint="eastAsia" w:ascii="宋体" w:hAnsi="宋体" w:cs="宋体"/>
          <w:b/>
          <w:color w:val="auto"/>
          <w:kern w:val="0"/>
          <w:szCs w:val="21"/>
          <w:highlight w:val="none"/>
        </w:rPr>
        <w:t>目录</w:t>
      </w:r>
    </w:p>
    <w:p w14:paraId="3E33F4D7">
      <w:pPr>
        <w:snapToGrid w:val="0"/>
        <w:spacing w:line="360" w:lineRule="auto"/>
        <w:ind w:left="479" w:leftChars="228"/>
        <w:rPr>
          <w:rFonts w:ascii="宋体" w:hAnsi="宋体" w:cs="宋体"/>
          <w:color w:val="auto"/>
          <w:szCs w:val="21"/>
          <w:highlight w:val="none"/>
        </w:rPr>
      </w:pPr>
      <w:r>
        <w:rPr>
          <w:rFonts w:hint="eastAsia" w:ascii="宋体" w:hAnsi="宋体" w:cs="宋体"/>
          <w:color w:val="auto"/>
          <w:szCs w:val="21"/>
          <w:highlight w:val="none"/>
        </w:rPr>
        <w:t>（1）投标函…………………………………………………………………………………（页码）（2）授权委托书或法定代表人（单位负责人、自然人本人）身份证明………………（页码）</w:t>
      </w:r>
    </w:p>
    <w:p w14:paraId="130CB62B">
      <w:pPr>
        <w:snapToGrid w:val="0"/>
        <w:spacing w:line="360" w:lineRule="auto"/>
        <w:ind w:left="479" w:leftChars="228"/>
        <w:rPr>
          <w:rFonts w:ascii="宋体" w:hAnsi="宋体" w:cs="宋体"/>
          <w:color w:val="auto"/>
          <w:szCs w:val="21"/>
          <w:highlight w:val="none"/>
        </w:rPr>
      </w:pPr>
      <w:r>
        <w:rPr>
          <w:rFonts w:hint="eastAsia" w:ascii="宋体" w:hAnsi="宋体" w:cs="宋体"/>
          <w:color w:val="auto"/>
          <w:szCs w:val="21"/>
          <w:highlight w:val="none"/>
        </w:rPr>
        <w:t>（3）分包意向协议…………………………………………………………………………（页码）</w:t>
      </w:r>
    </w:p>
    <w:p w14:paraId="77A9D8D9">
      <w:pPr>
        <w:snapToGrid w:val="0"/>
        <w:spacing w:line="360" w:lineRule="auto"/>
        <w:ind w:left="479" w:leftChars="228"/>
        <w:rPr>
          <w:rFonts w:ascii="宋体" w:hAnsi="宋体" w:cs="宋体"/>
          <w:color w:val="auto"/>
          <w:szCs w:val="21"/>
          <w:highlight w:val="none"/>
        </w:rPr>
      </w:pPr>
      <w:r>
        <w:rPr>
          <w:rFonts w:hint="eastAsia" w:ascii="宋体" w:hAnsi="宋体" w:cs="宋体"/>
          <w:color w:val="auto"/>
          <w:szCs w:val="21"/>
          <w:highlight w:val="none"/>
        </w:rPr>
        <w:t>（4）符合性审查资料………………………………………………………………………（页码）</w:t>
      </w:r>
    </w:p>
    <w:p w14:paraId="0347462D">
      <w:pPr>
        <w:snapToGrid w:val="0"/>
        <w:spacing w:line="360" w:lineRule="auto"/>
        <w:ind w:left="479" w:leftChars="228"/>
        <w:rPr>
          <w:rFonts w:ascii="宋体" w:hAnsi="宋体" w:cs="宋体"/>
          <w:color w:val="auto"/>
          <w:szCs w:val="21"/>
          <w:highlight w:val="none"/>
        </w:rPr>
      </w:pPr>
      <w:r>
        <w:rPr>
          <w:rFonts w:hint="eastAsia" w:ascii="宋体" w:hAnsi="宋体" w:cs="宋体"/>
          <w:color w:val="auto"/>
          <w:szCs w:val="21"/>
          <w:highlight w:val="none"/>
        </w:rPr>
        <w:t>（5）评标标准相应的商务技术资料………………………………………………………（页码）</w:t>
      </w:r>
    </w:p>
    <w:p w14:paraId="647160A0">
      <w:pPr>
        <w:snapToGrid w:val="0"/>
        <w:spacing w:line="360" w:lineRule="auto"/>
        <w:ind w:left="479" w:leftChars="228"/>
        <w:rPr>
          <w:rFonts w:ascii="宋体" w:hAnsi="宋体" w:cs="宋体"/>
          <w:color w:val="auto"/>
          <w:szCs w:val="21"/>
          <w:highlight w:val="none"/>
        </w:rPr>
      </w:pPr>
      <w:r>
        <w:rPr>
          <w:rFonts w:hint="eastAsia" w:ascii="宋体" w:hAnsi="宋体" w:cs="宋体"/>
          <w:color w:val="auto"/>
          <w:szCs w:val="21"/>
          <w:highlight w:val="none"/>
        </w:rPr>
        <w:t>（6）投标标的清单…………………………………………………………………………（页码）</w:t>
      </w:r>
    </w:p>
    <w:p w14:paraId="3B21C344">
      <w:pPr>
        <w:snapToGrid w:val="0"/>
        <w:spacing w:line="360" w:lineRule="auto"/>
        <w:ind w:left="479" w:leftChars="228"/>
        <w:rPr>
          <w:rFonts w:ascii="宋体" w:hAnsi="宋体" w:cs="宋体"/>
          <w:color w:val="auto"/>
          <w:szCs w:val="21"/>
          <w:highlight w:val="none"/>
        </w:rPr>
      </w:pPr>
      <w:r>
        <w:rPr>
          <w:rFonts w:hint="eastAsia" w:ascii="宋体" w:hAnsi="宋体" w:cs="宋体"/>
          <w:color w:val="auto"/>
          <w:szCs w:val="21"/>
          <w:highlight w:val="none"/>
        </w:rPr>
        <w:t>（7）商务技术偏离表………………………………………………………………………（页码）</w:t>
      </w:r>
    </w:p>
    <w:p w14:paraId="5C29C579">
      <w:pPr>
        <w:snapToGrid w:val="0"/>
        <w:spacing w:line="360" w:lineRule="auto"/>
        <w:ind w:left="479" w:leftChars="228"/>
        <w:rPr>
          <w:rFonts w:ascii="宋体" w:hAnsi="宋体" w:cs="宋体"/>
          <w:color w:val="auto"/>
          <w:szCs w:val="21"/>
          <w:highlight w:val="none"/>
        </w:rPr>
      </w:pPr>
      <w:r>
        <w:rPr>
          <w:rFonts w:hint="eastAsia" w:ascii="宋体" w:hAnsi="宋体" w:cs="宋体"/>
          <w:color w:val="auto"/>
          <w:szCs w:val="21"/>
          <w:highlight w:val="none"/>
          <w:lang w:val="zh-CN"/>
        </w:rPr>
        <w:t>（</w:t>
      </w:r>
      <w:r>
        <w:rPr>
          <w:rFonts w:hint="eastAsia" w:ascii="宋体" w:hAnsi="宋体" w:cs="宋体"/>
          <w:color w:val="auto"/>
          <w:szCs w:val="21"/>
          <w:highlight w:val="none"/>
        </w:rPr>
        <w:t>8</w:t>
      </w:r>
      <w:r>
        <w:rPr>
          <w:rFonts w:hint="eastAsia" w:ascii="宋体" w:hAnsi="宋体" w:cs="宋体"/>
          <w:color w:val="auto"/>
          <w:szCs w:val="21"/>
          <w:highlight w:val="none"/>
          <w:lang w:val="zh-CN"/>
        </w:rPr>
        <w:t>）政府采购供应商廉洁自律承诺书</w:t>
      </w:r>
      <w:r>
        <w:rPr>
          <w:rFonts w:hint="eastAsia" w:ascii="宋体" w:hAnsi="宋体" w:cs="宋体"/>
          <w:color w:val="auto"/>
          <w:szCs w:val="21"/>
          <w:highlight w:val="none"/>
        </w:rPr>
        <w:t>……………………………………………………（页码）</w:t>
      </w:r>
    </w:p>
    <w:p w14:paraId="4C95348E">
      <w:pPr>
        <w:spacing w:line="360" w:lineRule="auto"/>
        <w:rPr>
          <w:color w:val="auto"/>
          <w:szCs w:val="21"/>
          <w:highlight w:val="none"/>
        </w:rPr>
      </w:pPr>
      <w:r>
        <w:rPr>
          <w:rFonts w:hint="eastAsia"/>
          <w:color w:val="auto"/>
          <w:szCs w:val="21"/>
          <w:highlight w:val="none"/>
        </w:rPr>
        <w:br w:type="page"/>
      </w:r>
    </w:p>
    <w:p w14:paraId="1ACA4505">
      <w:pPr>
        <w:pStyle w:val="4"/>
        <w:numPr>
          <w:ilvl w:val="0"/>
          <w:numId w:val="10"/>
        </w:numPr>
        <w:ind w:firstLine="428"/>
        <w:rPr>
          <w:color w:val="auto"/>
          <w:szCs w:val="21"/>
          <w:highlight w:val="none"/>
        </w:rPr>
      </w:pPr>
      <w:r>
        <w:rPr>
          <w:rFonts w:hint="eastAsia"/>
          <w:color w:val="auto"/>
          <w:szCs w:val="21"/>
          <w:highlight w:val="none"/>
        </w:rPr>
        <w:t>投标函</w:t>
      </w:r>
    </w:p>
    <w:p w14:paraId="30E0651C">
      <w:pPr>
        <w:spacing w:line="360" w:lineRule="auto"/>
        <w:jc w:val="center"/>
        <w:rPr>
          <w:b/>
          <w:bCs/>
          <w:color w:val="auto"/>
          <w:szCs w:val="21"/>
          <w:highlight w:val="none"/>
        </w:rPr>
      </w:pPr>
      <w:r>
        <w:rPr>
          <w:rFonts w:hint="eastAsia"/>
          <w:b/>
          <w:bCs/>
          <w:color w:val="auto"/>
          <w:szCs w:val="21"/>
          <w:highlight w:val="none"/>
        </w:rPr>
        <w:t>投标函</w:t>
      </w:r>
    </w:p>
    <w:p w14:paraId="72831A73">
      <w:pPr>
        <w:snapToGrid w:val="0"/>
        <w:spacing w:line="360" w:lineRule="auto"/>
        <w:rPr>
          <w:rFonts w:ascii="宋体" w:hAnsi="宋体" w:cs="宋体"/>
          <w:color w:val="auto"/>
          <w:szCs w:val="21"/>
          <w:highlight w:val="none"/>
        </w:rPr>
      </w:pPr>
    </w:p>
    <w:p w14:paraId="7CB1C241">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杭州市余杭区数据资源管理局、浙江省成套招标代理有限公司：</w:t>
      </w:r>
    </w:p>
    <w:p w14:paraId="7650B0C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我方参加你方组织的AI余杭建设项目【招标编号：</w:t>
      </w:r>
      <w:r>
        <w:rPr>
          <w:rFonts w:hint="eastAsia" w:ascii="宋体" w:hAnsi="宋体" w:cs="宋体"/>
          <w:color w:val="auto"/>
          <w:szCs w:val="21"/>
          <w:highlight w:val="none"/>
          <w:lang w:eastAsia="zh-CN"/>
        </w:rPr>
        <w:t>CTZB-2025010049</w:t>
      </w:r>
      <w:r>
        <w:rPr>
          <w:rFonts w:hint="eastAsia" w:ascii="宋体" w:hAnsi="宋体" w:cs="宋体"/>
          <w:color w:val="auto"/>
          <w:szCs w:val="21"/>
          <w:highlight w:val="none"/>
        </w:rPr>
        <w:t>】招标的有关活动，并对此项目进行投标。为此：</w:t>
      </w:r>
    </w:p>
    <w:p w14:paraId="1414873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1、我方承诺投标有效期从提交投标文件的截止之日起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天（不少于90天），本投标文件在投标有效期满之前均具有约束力。</w:t>
      </w:r>
    </w:p>
    <w:p w14:paraId="71D5BA3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2、我方的投标文件包括以下内容：</w:t>
      </w:r>
    </w:p>
    <w:p w14:paraId="578A0BCF">
      <w:pPr>
        <w:snapToGrid w:val="0"/>
        <w:spacing w:line="360" w:lineRule="auto"/>
        <w:ind w:left="210" w:leftChars="100" w:firstLine="420" w:firstLineChars="200"/>
        <w:rPr>
          <w:rFonts w:ascii="宋体" w:hAnsi="宋体" w:cs="宋体"/>
          <w:color w:val="auto"/>
          <w:szCs w:val="21"/>
          <w:highlight w:val="none"/>
        </w:rPr>
      </w:pPr>
      <w:r>
        <w:rPr>
          <w:rFonts w:hint="eastAsia" w:ascii="宋体" w:hAnsi="宋体" w:cs="宋体"/>
          <w:color w:val="auto"/>
          <w:szCs w:val="21"/>
          <w:highlight w:val="none"/>
        </w:rPr>
        <w:t>2.1资格文件：</w:t>
      </w:r>
    </w:p>
    <w:p w14:paraId="0A7C31A1">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2.1.1承诺函；</w:t>
      </w:r>
    </w:p>
    <w:p w14:paraId="0F003F22">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2.1.2联合协议</w:t>
      </w:r>
      <w:bookmarkStart w:id="561" w:name="_Hlk101257010"/>
      <w:r>
        <w:rPr>
          <w:rFonts w:hint="eastAsia" w:ascii="宋体" w:hAnsi="宋体" w:cs="宋体"/>
          <w:color w:val="auto"/>
          <w:szCs w:val="21"/>
          <w:highlight w:val="none"/>
        </w:rPr>
        <w:t>（如果有）</w:t>
      </w:r>
      <w:bookmarkEnd w:id="561"/>
      <w:r>
        <w:rPr>
          <w:rFonts w:hint="eastAsia" w:ascii="宋体" w:hAnsi="宋体" w:cs="宋体"/>
          <w:color w:val="auto"/>
          <w:szCs w:val="21"/>
          <w:highlight w:val="none"/>
        </w:rPr>
        <w:t>；</w:t>
      </w:r>
    </w:p>
    <w:p w14:paraId="49D595CA">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2.1.3落实政府采购政策需满足的资格要求（如果有）；</w:t>
      </w:r>
    </w:p>
    <w:p w14:paraId="134BB976">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2.1.4本项目的特定资格要求（如果有）。</w:t>
      </w:r>
    </w:p>
    <w:p w14:paraId="7D8F5506">
      <w:pPr>
        <w:snapToGrid w:val="0"/>
        <w:spacing w:line="360" w:lineRule="auto"/>
        <w:ind w:left="420" w:leftChars="200" w:firstLine="420" w:firstLineChars="200"/>
        <w:rPr>
          <w:rFonts w:ascii="宋体" w:hAnsi="宋体" w:cs="宋体"/>
          <w:color w:val="auto"/>
          <w:szCs w:val="21"/>
          <w:highlight w:val="none"/>
          <w:lang w:val="zh-CN"/>
        </w:rPr>
      </w:pPr>
      <w:r>
        <w:rPr>
          <w:rFonts w:hint="eastAsia" w:ascii="宋体" w:hAnsi="宋体" w:cs="宋体"/>
          <w:color w:val="auto"/>
          <w:szCs w:val="21"/>
          <w:highlight w:val="none"/>
        </w:rPr>
        <w:t>2</w:t>
      </w:r>
      <w:r>
        <w:rPr>
          <w:rFonts w:hint="eastAsia" w:ascii="宋体" w:hAnsi="宋体" w:cs="宋体"/>
          <w:color w:val="auto"/>
          <w:szCs w:val="21"/>
          <w:highlight w:val="none"/>
          <w:lang w:val="zh-CN"/>
        </w:rPr>
        <w:t>.</w:t>
      </w:r>
      <w:r>
        <w:rPr>
          <w:rFonts w:hint="eastAsia" w:ascii="宋体" w:hAnsi="宋体" w:cs="宋体"/>
          <w:color w:val="auto"/>
          <w:szCs w:val="21"/>
          <w:highlight w:val="none"/>
        </w:rPr>
        <w:t>2</w:t>
      </w:r>
      <w:r>
        <w:rPr>
          <w:rFonts w:hint="eastAsia" w:ascii="宋体" w:hAnsi="宋体" w:cs="宋体"/>
          <w:color w:val="auto"/>
          <w:szCs w:val="21"/>
          <w:highlight w:val="none"/>
          <w:lang w:val="zh-CN"/>
        </w:rPr>
        <w:t xml:space="preserve"> </w:t>
      </w:r>
      <w:r>
        <w:rPr>
          <w:rFonts w:hint="eastAsia" w:ascii="宋体" w:hAnsi="宋体" w:cs="宋体"/>
          <w:color w:val="auto"/>
          <w:szCs w:val="21"/>
          <w:highlight w:val="none"/>
        </w:rPr>
        <w:t>商务技术</w:t>
      </w:r>
      <w:r>
        <w:rPr>
          <w:rFonts w:hint="eastAsia" w:ascii="宋体" w:hAnsi="宋体" w:cs="宋体"/>
          <w:color w:val="auto"/>
          <w:szCs w:val="21"/>
          <w:highlight w:val="none"/>
          <w:lang w:val="zh-CN"/>
        </w:rPr>
        <w:t>文件：</w:t>
      </w:r>
    </w:p>
    <w:p w14:paraId="5316EC73">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2.2.1投标函；</w:t>
      </w:r>
      <w:r>
        <w:rPr>
          <w:rFonts w:hint="eastAsia" w:ascii="宋体" w:hAnsi="宋体" w:cs="宋体"/>
          <w:color w:val="auto"/>
          <w:szCs w:val="21"/>
          <w:highlight w:val="none"/>
          <w:lang w:val="zh-CN"/>
        </w:rPr>
        <w:t xml:space="preserve"> </w:t>
      </w:r>
    </w:p>
    <w:p w14:paraId="36800D5A">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2.2.2授权委托书或法定代表人（单位负责人）身份证明；</w:t>
      </w:r>
    </w:p>
    <w:p w14:paraId="07821C97">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2.2.3分包意向协议（如果有）；</w:t>
      </w:r>
    </w:p>
    <w:p w14:paraId="022D84BD">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2.2.4符合性审查资料；</w:t>
      </w:r>
    </w:p>
    <w:p w14:paraId="66206443">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2.2.5评标标准相应的商务技术资料；</w:t>
      </w:r>
    </w:p>
    <w:p w14:paraId="16012839">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2.2.6投标标的清单；</w:t>
      </w:r>
    </w:p>
    <w:p w14:paraId="5606149C">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2.2.7商务技术偏离表；</w:t>
      </w:r>
    </w:p>
    <w:p w14:paraId="269A7350">
      <w:pPr>
        <w:snapToGrid w:val="0"/>
        <w:spacing w:line="360" w:lineRule="auto"/>
        <w:ind w:left="420" w:leftChars="200" w:firstLine="420" w:firstLineChars="200"/>
        <w:rPr>
          <w:rFonts w:ascii="宋体" w:hAnsi="宋体" w:cs="宋体"/>
          <w:color w:val="auto"/>
          <w:szCs w:val="21"/>
          <w:highlight w:val="none"/>
          <w:lang w:val="zh-CN"/>
        </w:rPr>
      </w:pPr>
      <w:r>
        <w:rPr>
          <w:rFonts w:hint="eastAsia" w:ascii="宋体" w:hAnsi="宋体" w:cs="宋体"/>
          <w:color w:val="auto"/>
          <w:szCs w:val="21"/>
          <w:highlight w:val="none"/>
        </w:rPr>
        <w:t>2</w:t>
      </w:r>
      <w:r>
        <w:rPr>
          <w:rFonts w:hint="eastAsia" w:ascii="宋体" w:hAnsi="宋体" w:cs="宋体"/>
          <w:color w:val="auto"/>
          <w:szCs w:val="21"/>
          <w:highlight w:val="none"/>
          <w:lang w:val="zh-CN"/>
        </w:rPr>
        <w:t>.</w:t>
      </w:r>
      <w:r>
        <w:rPr>
          <w:rFonts w:hint="eastAsia" w:ascii="宋体" w:hAnsi="宋体" w:cs="宋体"/>
          <w:color w:val="auto"/>
          <w:szCs w:val="21"/>
          <w:highlight w:val="none"/>
        </w:rPr>
        <w:t>2</w:t>
      </w:r>
      <w:r>
        <w:rPr>
          <w:rFonts w:hint="eastAsia" w:ascii="宋体" w:hAnsi="宋体" w:cs="宋体"/>
          <w:color w:val="auto"/>
          <w:szCs w:val="21"/>
          <w:highlight w:val="none"/>
          <w:lang w:val="zh-CN"/>
        </w:rPr>
        <w:t>.</w:t>
      </w:r>
      <w:r>
        <w:rPr>
          <w:rFonts w:hint="eastAsia" w:ascii="宋体" w:hAnsi="宋体" w:cs="宋体"/>
          <w:color w:val="auto"/>
          <w:szCs w:val="21"/>
          <w:highlight w:val="none"/>
        </w:rPr>
        <w:t>8</w:t>
      </w:r>
      <w:r>
        <w:rPr>
          <w:rFonts w:hint="eastAsia" w:ascii="宋体" w:hAnsi="宋体" w:cs="宋体"/>
          <w:color w:val="auto"/>
          <w:szCs w:val="21"/>
          <w:highlight w:val="none"/>
          <w:lang w:val="zh-CN"/>
        </w:rPr>
        <w:t>政府采购供应商廉洁自律承诺书；</w:t>
      </w:r>
    </w:p>
    <w:p w14:paraId="79A7D56A">
      <w:pPr>
        <w:snapToGrid w:val="0"/>
        <w:spacing w:line="360" w:lineRule="auto"/>
        <w:ind w:left="210" w:leftChars="100"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zh-CN"/>
        </w:rPr>
        <w:t>.</w:t>
      </w:r>
      <w:r>
        <w:rPr>
          <w:rFonts w:hint="eastAsia" w:ascii="宋体" w:hAnsi="宋体" w:cs="宋体"/>
          <w:color w:val="auto"/>
          <w:szCs w:val="21"/>
          <w:highlight w:val="none"/>
        </w:rPr>
        <w:t>3报价文件</w:t>
      </w:r>
    </w:p>
    <w:p w14:paraId="60241344">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2.3.1开标一览表（报价表）；</w:t>
      </w:r>
    </w:p>
    <w:p w14:paraId="798A74B2">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2.3.2中小企业声明函（如果有）；</w:t>
      </w:r>
    </w:p>
    <w:p w14:paraId="769A766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3、我方承诺除商务技术偏离表列出的偏离外，我方响应招标文件的全部要求。对投标文件中材料的真实性、合法性负责。</w:t>
      </w:r>
    </w:p>
    <w:p w14:paraId="56667F7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4、如我方中标，我方承诺：</w:t>
      </w:r>
    </w:p>
    <w:p w14:paraId="526F310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4.1在收到中标通知书后，在中标通知书规定的期限内与你方签订合同； </w:t>
      </w:r>
    </w:p>
    <w:p w14:paraId="3245944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4.2在签订合同时不向你方提出附加条件； </w:t>
      </w:r>
    </w:p>
    <w:p w14:paraId="57CF6A4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4.3按照招标文件要求提交履约保证金； </w:t>
      </w:r>
    </w:p>
    <w:p w14:paraId="53AD1BE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4.4在合同约定的期限内完成合同规定的全部义务。 </w:t>
      </w:r>
    </w:p>
    <w:p w14:paraId="3CE61CF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5、我方承诺将通过政采云平台展开质疑、投诉等活动，并确认</w:t>
      </w:r>
      <w:r>
        <w:rPr>
          <w:rFonts w:hint="eastAsia" w:ascii="宋体" w:hAnsi="宋体" w:cs="宋体"/>
          <w:color w:val="auto"/>
          <w:szCs w:val="21"/>
          <w:highlight w:val="none"/>
          <w:lang w:eastAsia="zh-CN"/>
        </w:rPr>
        <w:t>接收</w:t>
      </w:r>
      <w:r>
        <w:rPr>
          <w:rFonts w:hint="eastAsia" w:ascii="宋体" w:hAnsi="宋体" w:cs="宋体"/>
          <w:color w:val="auto"/>
          <w:szCs w:val="21"/>
          <w:highlight w:val="none"/>
        </w:rPr>
        <w:t>平台以电子送达的方式送达相关文书。我方认可电子送达与邮寄送达具有同等法律效力，以文书到达政采云平台日期为送达日期，本公司保证政采云平台账号真实有效。</w:t>
      </w:r>
    </w:p>
    <w:p w14:paraId="6EE3A102">
      <w:pPr>
        <w:snapToGrid w:val="0"/>
        <w:spacing w:line="360" w:lineRule="auto"/>
        <w:ind w:left="210" w:leftChars="100" w:firstLine="420" w:firstLineChars="200"/>
        <w:rPr>
          <w:rFonts w:ascii="宋体" w:hAnsi="宋体" w:cs="宋体"/>
          <w:color w:val="auto"/>
          <w:szCs w:val="21"/>
          <w:highlight w:val="none"/>
        </w:rPr>
      </w:pPr>
      <w:r>
        <w:rPr>
          <w:rFonts w:hint="eastAsia" w:ascii="宋体" w:hAnsi="宋体" w:cs="宋体"/>
          <w:color w:val="auto"/>
          <w:szCs w:val="21"/>
          <w:highlight w:val="none"/>
        </w:rPr>
        <w:t>6、其他补充说明：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5465FBE">
      <w:pPr>
        <w:spacing w:line="360" w:lineRule="auto"/>
        <w:ind w:firstLine="420" w:firstLineChars="200"/>
        <w:rPr>
          <w:rFonts w:ascii="宋体" w:hAnsi="宋体" w:cs="宋体"/>
          <w:b/>
          <w:color w:val="auto"/>
          <w:kern w:val="0"/>
          <w:szCs w:val="21"/>
          <w:highlight w:val="none"/>
          <w:lang w:val="zh-CN"/>
        </w:rPr>
      </w:pPr>
      <w:r>
        <w:rPr>
          <w:rFonts w:hint="eastAsia" w:ascii="宋体" w:hAnsi="宋体" w:cs="宋体"/>
          <w:color w:val="auto"/>
          <w:szCs w:val="21"/>
          <w:highlight w:val="none"/>
        </w:rPr>
        <w:t>投标人名称（电子签名）：                        日期：  年   月   日</w:t>
      </w:r>
      <w:r>
        <w:rPr>
          <w:rFonts w:hint="eastAsia" w:ascii="宋体" w:hAnsi="宋体" w:cs="宋体"/>
          <w:b/>
          <w:color w:val="auto"/>
          <w:kern w:val="0"/>
          <w:szCs w:val="21"/>
          <w:highlight w:val="none"/>
          <w:lang w:val="zh-CN"/>
        </w:rPr>
        <w:br w:type="page"/>
      </w:r>
    </w:p>
    <w:p w14:paraId="6975175B">
      <w:pPr>
        <w:pStyle w:val="4"/>
        <w:ind w:firstLine="428"/>
        <w:rPr>
          <w:color w:val="auto"/>
          <w:szCs w:val="21"/>
          <w:highlight w:val="none"/>
          <w:lang w:val="zh-CN"/>
        </w:rPr>
      </w:pPr>
      <w:r>
        <w:rPr>
          <w:rFonts w:hint="eastAsia"/>
          <w:color w:val="auto"/>
          <w:szCs w:val="21"/>
          <w:highlight w:val="none"/>
          <w:lang w:val="zh-CN"/>
        </w:rPr>
        <w:t>二、授权委托书或法定代表人（单位负责人、自然人本人）身份证明</w:t>
      </w:r>
    </w:p>
    <w:p w14:paraId="3A8BFE0E">
      <w:pPr>
        <w:snapToGrid w:val="0"/>
        <w:spacing w:line="360" w:lineRule="auto"/>
        <w:jc w:val="center"/>
        <w:rPr>
          <w:rFonts w:ascii="宋体" w:hAnsi="宋体" w:cs="宋体"/>
          <w:b/>
          <w:color w:val="auto"/>
          <w:kern w:val="0"/>
          <w:szCs w:val="21"/>
          <w:highlight w:val="none"/>
          <w:lang w:val="zh-CN"/>
        </w:rPr>
      </w:pPr>
    </w:p>
    <w:p w14:paraId="61D40297">
      <w:pPr>
        <w:snapToGrid w:val="0"/>
        <w:spacing w:line="360" w:lineRule="auto"/>
        <w:jc w:val="center"/>
        <w:rPr>
          <w:rFonts w:ascii="宋体" w:hAnsi="宋体" w:cs="宋体"/>
          <w:color w:val="auto"/>
          <w:szCs w:val="21"/>
          <w:highlight w:val="none"/>
        </w:rPr>
      </w:pPr>
      <w:r>
        <w:rPr>
          <w:rFonts w:hint="eastAsia" w:ascii="宋体" w:hAnsi="宋体" w:cs="宋体"/>
          <w:b/>
          <w:color w:val="auto"/>
          <w:kern w:val="0"/>
          <w:szCs w:val="21"/>
          <w:highlight w:val="none"/>
          <w:lang w:val="zh-CN"/>
        </w:rPr>
        <w:t>授权委托书（适用于非联合体投标）</w:t>
      </w:r>
    </w:p>
    <w:p w14:paraId="7E0440C9">
      <w:pPr>
        <w:snapToGrid w:val="0"/>
        <w:spacing w:line="360" w:lineRule="auto"/>
        <w:rPr>
          <w:rFonts w:ascii="宋体" w:hAnsi="宋体" w:cs="宋体"/>
          <w:color w:val="auto"/>
          <w:kern w:val="0"/>
          <w:szCs w:val="21"/>
          <w:highlight w:val="none"/>
        </w:rPr>
      </w:pPr>
      <w:r>
        <w:rPr>
          <w:rFonts w:hint="eastAsia" w:ascii="宋体" w:hAnsi="宋体" w:cs="宋体"/>
          <w:color w:val="auto"/>
          <w:szCs w:val="21"/>
          <w:highlight w:val="none"/>
        </w:rPr>
        <w:t>杭州市余杭区数据资源管理局、浙江省成套招标代理有限公司</w:t>
      </w:r>
      <w:r>
        <w:rPr>
          <w:rFonts w:hint="eastAsia" w:ascii="宋体" w:hAnsi="宋体" w:cs="宋体"/>
          <w:color w:val="auto"/>
          <w:kern w:val="0"/>
          <w:szCs w:val="21"/>
          <w:highlight w:val="none"/>
          <w:lang w:val="zh-CN"/>
        </w:rPr>
        <w:t>：</w:t>
      </w:r>
    </w:p>
    <w:p w14:paraId="2DCE8ED3">
      <w:pPr>
        <w:snapToGrid w:val="0"/>
        <w:spacing w:line="360" w:lineRule="auto"/>
        <w:ind w:firstLine="576"/>
        <w:rPr>
          <w:rFonts w:ascii="宋体" w:hAnsi="宋体" w:cs="宋体"/>
          <w:color w:val="auto"/>
          <w:kern w:val="0"/>
          <w:szCs w:val="21"/>
          <w:highlight w:val="none"/>
        </w:rPr>
      </w:pPr>
      <w:r>
        <w:rPr>
          <w:rFonts w:hint="eastAsia" w:ascii="宋体" w:hAnsi="宋体" w:cs="宋体"/>
          <w:color w:val="auto"/>
          <w:kern w:val="0"/>
          <w:szCs w:val="21"/>
          <w:highlight w:val="none"/>
        </w:rPr>
        <w:t>现</w:t>
      </w:r>
      <w:r>
        <w:rPr>
          <w:rFonts w:hint="eastAsia" w:ascii="宋体" w:hAnsi="宋体" w:cs="宋体"/>
          <w:color w:val="auto"/>
          <w:kern w:val="0"/>
          <w:szCs w:val="21"/>
          <w:highlight w:val="none"/>
          <w:lang w:val="zh-CN"/>
        </w:rPr>
        <w:t>委托</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（姓名）为我方代理人（身份证号码：</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，手机：</w:t>
      </w:r>
      <w:r>
        <w:rPr>
          <w:rFonts w:hint="eastAsia" w:ascii="宋体" w:hAnsi="宋体" w:cs="宋体"/>
          <w:color w:val="auto"/>
          <w:kern w:val="0"/>
          <w:szCs w:val="21"/>
          <w:highlight w:val="none"/>
          <w:u w:val="single"/>
          <w:lang w:val="zh-CN"/>
        </w:rPr>
        <w:t xml:space="preserve">          ，所在单位：</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lang w:val="zh-CN"/>
        </w:rPr>
        <w:t>），以我方名义处理</w:t>
      </w:r>
      <w:r>
        <w:rPr>
          <w:rFonts w:hint="eastAsia" w:ascii="宋体" w:hAnsi="宋体" w:cs="宋体"/>
          <w:color w:val="auto"/>
          <w:szCs w:val="21"/>
          <w:highlight w:val="none"/>
        </w:rPr>
        <w:t>AI余杭建设项目【招标编号：</w:t>
      </w:r>
      <w:r>
        <w:rPr>
          <w:rFonts w:hint="eastAsia" w:ascii="宋体" w:hAnsi="宋体" w:cs="宋体"/>
          <w:color w:val="auto"/>
          <w:szCs w:val="21"/>
          <w:highlight w:val="none"/>
          <w:lang w:eastAsia="zh-CN"/>
        </w:rPr>
        <w:t>CTZB-2025010049</w:t>
      </w:r>
      <w:r>
        <w:rPr>
          <w:rFonts w:hint="eastAsia" w:ascii="宋体" w:hAnsi="宋体" w:cs="宋体"/>
          <w:color w:val="auto"/>
          <w:szCs w:val="21"/>
          <w:highlight w:val="none"/>
        </w:rPr>
        <w:t>】</w:t>
      </w:r>
      <w:r>
        <w:rPr>
          <w:rFonts w:hint="eastAsia" w:ascii="宋体" w:hAnsi="宋体" w:cs="宋体"/>
          <w:color w:val="auto"/>
          <w:kern w:val="0"/>
          <w:szCs w:val="21"/>
          <w:highlight w:val="none"/>
          <w:lang w:val="zh-CN"/>
        </w:rPr>
        <w:t>政府采购投标的一切事项，其法律后果由我方承担。</w:t>
      </w:r>
    </w:p>
    <w:p w14:paraId="6D1C102F">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委托期限</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zh-CN"/>
        </w:rPr>
        <w:t>自</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年</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月</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日起至</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年</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月</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日止。</w:t>
      </w:r>
    </w:p>
    <w:p w14:paraId="78E983BD">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特此告知。</w:t>
      </w:r>
    </w:p>
    <w:p w14:paraId="4751D659">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lang w:val="zh-CN"/>
        </w:rPr>
        <w:t xml:space="preserve">                                                 投标人名称（电子签名）：</w:t>
      </w:r>
    </w:p>
    <w:p w14:paraId="11BE68D3">
      <w:pPr>
        <w:snapToGrid w:val="0"/>
        <w:spacing w:line="360" w:lineRule="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                                                 签发日期：  年  月   日</w:t>
      </w:r>
    </w:p>
    <w:p w14:paraId="5735B0CB">
      <w:pPr>
        <w:snapToGrid w:val="0"/>
        <w:spacing w:line="360" w:lineRule="auto"/>
        <w:rPr>
          <w:rFonts w:ascii="宋体" w:hAnsi="宋体" w:cs="宋体"/>
          <w:color w:val="auto"/>
          <w:szCs w:val="21"/>
          <w:highlight w:val="none"/>
        </w:rPr>
      </w:pPr>
    </w:p>
    <w:p w14:paraId="7B544AB5">
      <w:pPr>
        <w:snapToGrid w:val="0"/>
        <w:spacing w:line="360" w:lineRule="auto"/>
        <w:rPr>
          <w:rFonts w:ascii="宋体" w:hAnsi="宋体" w:cs="宋体"/>
          <w:color w:val="auto"/>
          <w:szCs w:val="21"/>
          <w:highlight w:val="none"/>
        </w:rPr>
      </w:pPr>
    </w:p>
    <w:p w14:paraId="0B2A4B6F">
      <w:pPr>
        <w:snapToGrid w:val="0"/>
        <w:spacing w:line="360" w:lineRule="auto"/>
        <w:jc w:val="center"/>
        <w:rPr>
          <w:rFonts w:ascii="宋体" w:hAnsi="宋体" w:cs="宋体"/>
          <w:b/>
          <w:color w:val="auto"/>
          <w:kern w:val="0"/>
          <w:szCs w:val="21"/>
          <w:highlight w:val="none"/>
          <w:lang w:val="zh-CN"/>
        </w:rPr>
      </w:pPr>
      <w:r>
        <w:rPr>
          <w:rFonts w:hint="eastAsia" w:ascii="宋体" w:hAnsi="宋体" w:cs="宋体"/>
          <w:b/>
          <w:color w:val="auto"/>
          <w:kern w:val="0"/>
          <w:szCs w:val="21"/>
          <w:highlight w:val="none"/>
          <w:lang w:val="zh-CN"/>
        </w:rPr>
        <w:t>授权委托书（适用于联合体投标）</w:t>
      </w:r>
    </w:p>
    <w:p w14:paraId="297BBDAE">
      <w:pPr>
        <w:spacing w:line="360" w:lineRule="auto"/>
        <w:rPr>
          <w:color w:val="auto"/>
          <w:szCs w:val="21"/>
          <w:highlight w:val="none"/>
          <w:lang w:val="zh-CN"/>
        </w:rPr>
      </w:pPr>
    </w:p>
    <w:p w14:paraId="2C6058F9">
      <w:pPr>
        <w:snapToGrid w:val="0"/>
        <w:spacing w:line="360" w:lineRule="auto"/>
        <w:rPr>
          <w:rFonts w:ascii="宋体" w:hAnsi="宋体" w:cs="宋体"/>
          <w:color w:val="auto"/>
          <w:kern w:val="0"/>
          <w:szCs w:val="21"/>
          <w:highlight w:val="none"/>
        </w:rPr>
      </w:pPr>
      <w:r>
        <w:rPr>
          <w:rFonts w:hint="eastAsia" w:ascii="宋体" w:hAnsi="宋体" w:cs="宋体"/>
          <w:color w:val="auto"/>
          <w:szCs w:val="21"/>
          <w:highlight w:val="none"/>
        </w:rPr>
        <w:t>杭州市余杭区数据资源管理局、浙江省成套招标代理有限公司</w:t>
      </w:r>
      <w:r>
        <w:rPr>
          <w:rFonts w:hint="eastAsia" w:ascii="宋体" w:hAnsi="宋体" w:cs="宋体"/>
          <w:color w:val="auto"/>
          <w:kern w:val="0"/>
          <w:szCs w:val="21"/>
          <w:highlight w:val="none"/>
          <w:lang w:val="zh-CN"/>
        </w:rPr>
        <w:t>：</w:t>
      </w:r>
    </w:p>
    <w:p w14:paraId="6E955EB2">
      <w:pPr>
        <w:snapToGrid w:val="0"/>
        <w:spacing w:line="360" w:lineRule="auto"/>
        <w:ind w:firstLine="576"/>
        <w:rPr>
          <w:rFonts w:ascii="宋体" w:hAnsi="宋体" w:cs="宋体"/>
          <w:color w:val="auto"/>
          <w:kern w:val="0"/>
          <w:szCs w:val="21"/>
          <w:highlight w:val="none"/>
        </w:rPr>
      </w:pPr>
      <w:r>
        <w:rPr>
          <w:rFonts w:hint="eastAsia" w:ascii="宋体" w:hAnsi="宋体" w:cs="宋体"/>
          <w:color w:val="auto"/>
          <w:kern w:val="0"/>
          <w:szCs w:val="21"/>
          <w:highlight w:val="none"/>
        </w:rPr>
        <w:t>现</w:t>
      </w:r>
      <w:r>
        <w:rPr>
          <w:rFonts w:hint="eastAsia" w:ascii="宋体" w:hAnsi="宋体" w:cs="宋体"/>
          <w:color w:val="auto"/>
          <w:kern w:val="0"/>
          <w:szCs w:val="21"/>
          <w:highlight w:val="none"/>
          <w:lang w:val="zh-CN"/>
        </w:rPr>
        <w:t>委托</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（姓名）为我方代理人（身份证号码：</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，手机：</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），以我方名义处理</w:t>
      </w:r>
      <w:r>
        <w:rPr>
          <w:rFonts w:hint="eastAsia" w:ascii="宋体" w:hAnsi="宋体" w:cs="宋体"/>
          <w:color w:val="auto"/>
          <w:szCs w:val="21"/>
          <w:highlight w:val="none"/>
        </w:rPr>
        <w:t>AI余杭建设项目【招标编号：</w:t>
      </w:r>
      <w:r>
        <w:rPr>
          <w:rFonts w:hint="eastAsia" w:ascii="宋体" w:hAnsi="宋体" w:cs="宋体"/>
          <w:color w:val="auto"/>
          <w:szCs w:val="21"/>
          <w:highlight w:val="none"/>
          <w:lang w:eastAsia="zh-CN"/>
        </w:rPr>
        <w:t>CTZB-2025010049</w:t>
      </w:r>
      <w:r>
        <w:rPr>
          <w:rFonts w:hint="eastAsia" w:ascii="宋体" w:hAnsi="宋体" w:cs="宋体"/>
          <w:color w:val="auto"/>
          <w:szCs w:val="21"/>
          <w:highlight w:val="none"/>
        </w:rPr>
        <w:t>】</w:t>
      </w:r>
      <w:r>
        <w:rPr>
          <w:rFonts w:hint="eastAsia" w:ascii="宋体" w:hAnsi="宋体" w:cs="宋体"/>
          <w:color w:val="auto"/>
          <w:kern w:val="0"/>
          <w:szCs w:val="21"/>
          <w:highlight w:val="none"/>
          <w:lang w:val="zh-CN"/>
        </w:rPr>
        <w:t>政府采购投标的一切事项，其法律后果由我方承担。</w:t>
      </w:r>
    </w:p>
    <w:p w14:paraId="7F43B26D">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委托期限</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zh-CN"/>
        </w:rPr>
        <w:t>自</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年</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月</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日起至</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年</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月</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日止。</w:t>
      </w:r>
    </w:p>
    <w:p w14:paraId="38ECBB1B">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特此告知。</w:t>
      </w:r>
    </w:p>
    <w:p w14:paraId="3FECB1E0">
      <w:pPr>
        <w:spacing w:line="360" w:lineRule="auto"/>
        <w:rPr>
          <w:rFonts w:ascii="宋体" w:hAnsi="宋体" w:cs="宋体"/>
          <w:b/>
          <w:color w:val="auto"/>
          <w:kern w:val="0"/>
          <w:szCs w:val="21"/>
          <w:highlight w:val="none"/>
        </w:rPr>
      </w:pPr>
    </w:p>
    <w:p w14:paraId="08E1B9A5">
      <w:pPr>
        <w:spacing w:line="360" w:lineRule="auto"/>
        <w:rPr>
          <w:rFonts w:ascii="宋体" w:hAnsi="宋体" w:cs="宋体"/>
          <w:color w:val="auto"/>
          <w:szCs w:val="21"/>
          <w:highlight w:val="none"/>
        </w:rPr>
      </w:pPr>
    </w:p>
    <w:p w14:paraId="68C7CEBF">
      <w:pPr>
        <w:snapToGrid w:val="0"/>
        <w:spacing w:line="360" w:lineRule="auto"/>
        <w:ind w:firstLine="4410" w:firstLineChars="21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联合体成员名称（电子签名/公章）：</w:t>
      </w:r>
    </w:p>
    <w:p w14:paraId="25BB4685">
      <w:pPr>
        <w:snapToGrid w:val="0"/>
        <w:spacing w:line="360" w:lineRule="auto"/>
        <w:ind w:firstLine="4410" w:firstLineChars="21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联合体成员名称（电子签名/公章）：</w:t>
      </w:r>
    </w:p>
    <w:p w14:paraId="7D11D237">
      <w:pPr>
        <w:snapToGrid w:val="0"/>
        <w:spacing w:line="360" w:lineRule="auto"/>
        <w:ind w:firstLine="5040" w:firstLineChars="2400"/>
        <w:rPr>
          <w:rFonts w:ascii="宋体" w:hAnsi="宋体" w:cs="宋体"/>
          <w:color w:val="auto"/>
          <w:szCs w:val="21"/>
          <w:highlight w:val="none"/>
        </w:rPr>
      </w:pPr>
      <w:r>
        <w:rPr>
          <w:rFonts w:hint="eastAsia" w:ascii="宋体" w:hAnsi="宋体" w:cs="宋体"/>
          <w:color w:val="auto"/>
          <w:kern w:val="0"/>
          <w:szCs w:val="21"/>
          <w:highlight w:val="none"/>
          <w:lang w:val="zh-CN"/>
        </w:rPr>
        <w:t>……</w:t>
      </w:r>
    </w:p>
    <w:p w14:paraId="4026497F">
      <w:pPr>
        <w:snapToGrid w:val="0"/>
        <w:spacing w:line="360" w:lineRule="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                                               日期：  年  月   日</w:t>
      </w:r>
    </w:p>
    <w:p w14:paraId="149D4D79">
      <w:pPr>
        <w:spacing w:line="360" w:lineRule="auto"/>
        <w:rPr>
          <w:rFonts w:ascii="宋体" w:hAnsi="宋体" w:cs="宋体"/>
          <w:b/>
          <w:color w:val="auto"/>
          <w:kern w:val="0"/>
          <w:szCs w:val="21"/>
          <w:highlight w:val="none"/>
          <w:lang w:val="zh-CN"/>
        </w:rPr>
      </w:pPr>
      <w:r>
        <w:rPr>
          <w:rFonts w:hint="eastAsia" w:ascii="宋体" w:hAnsi="宋体" w:cs="宋体"/>
          <w:b/>
          <w:color w:val="auto"/>
          <w:kern w:val="0"/>
          <w:szCs w:val="21"/>
          <w:highlight w:val="none"/>
          <w:lang w:val="zh-CN"/>
        </w:rPr>
        <w:br w:type="page"/>
      </w:r>
    </w:p>
    <w:p w14:paraId="07B3190A">
      <w:pPr>
        <w:snapToGrid w:val="0"/>
        <w:spacing w:line="360" w:lineRule="auto"/>
        <w:jc w:val="center"/>
        <w:rPr>
          <w:rFonts w:ascii="宋体" w:hAnsi="宋体" w:cs="宋体"/>
          <w:b/>
          <w:color w:val="auto"/>
          <w:kern w:val="0"/>
          <w:szCs w:val="21"/>
          <w:highlight w:val="none"/>
          <w:lang w:val="zh-CN"/>
        </w:rPr>
      </w:pPr>
      <w:r>
        <w:rPr>
          <w:rFonts w:hint="eastAsia" w:ascii="宋体" w:hAnsi="宋体" w:cs="宋体"/>
          <w:b/>
          <w:color w:val="auto"/>
          <w:kern w:val="0"/>
          <w:szCs w:val="21"/>
          <w:highlight w:val="none"/>
          <w:lang w:val="zh-CN"/>
        </w:rPr>
        <w:t>法定代表人、单位负责人或自然人本人的身份证明（适用于法定代表人、单位负责人或者自然人本人代表投标人参加投标）</w:t>
      </w:r>
    </w:p>
    <w:p w14:paraId="40F74181">
      <w:pPr>
        <w:pStyle w:val="153"/>
        <w:spacing w:line="360" w:lineRule="auto"/>
        <w:rPr>
          <w:rFonts w:hAnsi="宋体" w:cs="宋体"/>
          <w:bCs/>
          <w:color w:val="auto"/>
          <w:highlight w:val="none"/>
        </w:rPr>
      </w:pPr>
    </w:p>
    <w:p w14:paraId="34DE5B63">
      <w:pPr>
        <w:pStyle w:val="153"/>
        <w:spacing w:line="360" w:lineRule="auto"/>
        <w:rPr>
          <w:rFonts w:hAnsi="宋体" w:cs="宋体"/>
          <w:bCs/>
          <w:color w:val="auto"/>
          <w:highlight w:val="none"/>
        </w:rPr>
      </w:pPr>
      <w:r>
        <w:rPr>
          <w:rFonts w:hint="eastAsia" w:hAnsi="宋体" w:cs="宋体"/>
          <w:bCs/>
          <w:color w:val="auto"/>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7D35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A164AA1">
            <w:pPr>
              <w:pStyle w:val="153"/>
              <w:adjustRightInd w:val="0"/>
              <w:spacing w:line="360" w:lineRule="auto"/>
              <w:rPr>
                <w:rFonts w:hAnsi="宋体" w:cs="宋体"/>
                <w:bCs/>
                <w:color w:val="auto"/>
                <w:highlight w:val="none"/>
              </w:rPr>
            </w:pPr>
            <w:r>
              <w:rPr>
                <w:rFonts w:hint="eastAsia" w:hAnsi="宋体" w:cs="宋体"/>
                <w:bCs/>
                <w:color w:val="auto"/>
                <w:highlight w:val="none"/>
              </w:rPr>
              <w:t>正面：                                 反面：</w:t>
            </w:r>
          </w:p>
          <w:p w14:paraId="177D7696">
            <w:pPr>
              <w:pStyle w:val="153"/>
              <w:adjustRightInd w:val="0"/>
              <w:spacing w:line="360" w:lineRule="auto"/>
              <w:rPr>
                <w:rFonts w:hAnsi="宋体" w:cs="宋体"/>
                <w:bCs/>
                <w:color w:val="auto"/>
                <w:highlight w:val="none"/>
              </w:rPr>
            </w:pPr>
          </w:p>
        </w:tc>
      </w:tr>
    </w:tbl>
    <w:p w14:paraId="4284EC6F">
      <w:pPr>
        <w:snapToGrid w:val="0"/>
        <w:spacing w:line="360" w:lineRule="auto"/>
        <w:ind w:firstLine="576"/>
        <w:jc w:val="center"/>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                 </w:t>
      </w:r>
    </w:p>
    <w:p w14:paraId="6D9993DA">
      <w:pPr>
        <w:snapToGrid w:val="0"/>
        <w:spacing w:line="360" w:lineRule="auto"/>
        <w:ind w:firstLine="576"/>
        <w:jc w:val="center"/>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投标人名称（电子签名）：</w:t>
      </w:r>
    </w:p>
    <w:p w14:paraId="19C3C831">
      <w:pPr>
        <w:spacing w:line="360" w:lineRule="auto"/>
        <w:jc w:val="center"/>
        <w:rPr>
          <w:rFonts w:ascii="宋体" w:hAnsi="宋体" w:cs="宋体"/>
          <w:color w:val="auto"/>
          <w:kern w:val="0"/>
          <w:szCs w:val="21"/>
          <w:highlight w:val="none"/>
          <w:lang w:val="zh-CN"/>
        </w:rPr>
      </w:pP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日期：  年  月  日</w:t>
      </w:r>
    </w:p>
    <w:p w14:paraId="5320B63D">
      <w:pPr>
        <w:spacing w:line="360" w:lineRule="auto"/>
        <w:rPr>
          <w:rFonts w:ascii="宋体" w:hAnsi="宋体" w:cs="宋体"/>
          <w:b/>
          <w:color w:val="auto"/>
          <w:kern w:val="0"/>
          <w:szCs w:val="21"/>
          <w:highlight w:val="none"/>
        </w:rPr>
      </w:pPr>
    </w:p>
    <w:p w14:paraId="2A72F12C">
      <w:pPr>
        <w:spacing w:line="360" w:lineRule="auto"/>
        <w:jc w:val="center"/>
        <w:rPr>
          <w:rFonts w:ascii="宋体" w:hAnsi="宋体" w:cs="宋体"/>
          <w:b/>
          <w:color w:val="auto"/>
          <w:kern w:val="0"/>
          <w:szCs w:val="21"/>
          <w:highlight w:val="none"/>
        </w:rPr>
      </w:pPr>
    </w:p>
    <w:p w14:paraId="446E4A48">
      <w:pPr>
        <w:spacing w:line="360" w:lineRule="auto"/>
        <w:jc w:val="center"/>
        <w:rPr>
          <w:rFonts w:ascii="宋体" w:hAnsi="宋体" w:cs="宋体"/>
          <w:b/>
          <w:color w:val="auto"/>
          <w:kern w:val="0"/>
          <w:szCs w:val="21"/>
          <w:highlight w:val="none"/>
        </w:rPr>
      </w:pPr>
    </w:p>
    <w:p w14:paraId="3C94D7AD">
      <w:pPr>
        <w:spacing w:line="360" w:lineRule="auto"/>
        <w:jc w:val="center"/>
        <w:rPr>
          <w:rFonts w:ascii="宋体" w:hAnsi="宋体" w:cs="宋体"/>
          <w:b/>
          <w:color w:val="auto"/>
          <w:kern w:val="0"/>
          <w:szCs w:val="21"/>
          <w:highlight w:val="none"/>
        </w:rPr>
      </w:pPr>
    </w:p>
    <w:p w14:paraId="048D8849">
      <w:pPr>
        <w:pStyle w:val="61"/>
        <w:spacing w:line="360" w:lineRule="auto"/>
        <w:ind w:firstLine="428"/>
        <w:rPr>
          <w:rFonts w:cs="宋体"/>
          <w:b/>
          <w:color w:val="auto"/>
          <w:kern w:val="0"/>
          <w:szCs w:val="21"/>
          <w:highlight w:val="none"/>
        </w:rPr>
      </w:pPr>
    </w:p>
    <w:p w14:paraId="628FC54B">
      <w:pPr>
        <w:pStyle w:val="61"/>
        <w:spacing w:line="360" w:lineRule="auto"/>
        <w:ind w:firstLine="428"/>
        <w:rPr>
          <w:rFonts w:cs="宋体"/>
          <w:b/>
          <w:color w:val="auto"/>
          <w:kern w:val="0"/>
          <w:szCs w:val="21"/>
          <w:highlight w:val="none"/>
        </w:rPr>
      </w:pPr>
    </w:p>
    <w:p w14:paraId="3F4F5BB1">
      <w:pPr>
        <w:pStyle w:val="61"/>
        <w:spacing w:line="360" w:lineRule="auto"/>
        <w:ind w:firstLine="428"/>
        <w:rPr>
          <w:rFonts w:cs="宋体"/>
          <w:b/>
          <w:color w:val="auto"/>
          <w:kern w:val="0"/>
          <w:szCs w:val="21"/>
          <w:highlight w:val="none"/>
        </w:rPr>
      </w:pPr>
    </w:p>
    <w:p w14:paraId="14351EBE">
      <w:pPr>
        <w:pStyle w:val="61"/>
        <w:spacing w:line="360" w:lineRule="auto"/>
        <w:ind w:firstLine="428"/>
        <w:rPr>
          <w:rFonts w:cs="宋体"/>
          <w:b/>
          <w:color w:val="auto"/>
          <w:kern w:val="0"/>
          <w:szCs w:val="21"/>
          <w:highlight w:val="none"/>
        </w:rPr>
      </w:pPr>
    </w:p>
    <w:p w14:paraId="5E127A9D">
      <w:pPr>
        <w:pStyle w:val="61"/>
        <w:spacing w:line="360" w:lineRule="auto"/>
        <w:ind w:firstLine="428"/>
        <w:rPr>
          <w:rFonts w:cs="宋体"/>
          <w:b/>
          <w:color w:val="auto"/>
          <w:kern w:val="0"/>
          <w:szCs w:val="21"/>
          <w:highlight w:val="none"/>
        </w:rPr>
      </w:pPr>
    </w:p>
    <w:p w14:paraId="2F02AB2D">
      <w:pPr>
        <w:pStyle w:val="61"/>
        <w:spacing w:line="360" w:lineRule="auto"/>
        <w:ind w:firstLine="428"/>
        <w:rPr>
          <w:rFonts w:cs="宋体"/>
          <w:b/>
          <w:color w:val="auto"/>
          <w:kern w:val="0"/>
          <w:szCs w:val="21"/>
          <w:highlight w:val="none"/>
        </w:rPr>
      </w:pPr>
    </w:p>
    <w:p w14:paraId="12B3285B">
      <w:pPr>
        <w:pStyle w:val="61"/>
        <w:spacing w:line="360" w:lineRule="auto"/>
        <w:ind w:firstLine="428"/>
        <w:rPr>
          <w:rFonts w:cs="宋体"/>
          <w:b/>
          <w:color w:val="auto"/>
          <w:kern w:val="0"/>
          <w:szCs w:val="21"/>
          <w:highlight w:val="none"/>
        </w:rPr>
      </w:pPr>
    </w:p>
    <w:p w14:paraId="4E41E757">
      <w:pPr>
        <w:spacing w:line="360" w:lineRule="auto"/>
        <w:jc w:val="center"/>
        <w:rPr>
          <w:rFonts w:ascii="宋体" w:hAnsi="宋体" w:cs="宋体"/>
          <w:b/>
          <w:color w:val="auto"/>
          <w:kern w:val="0"/>
          <w:szCs w:val="21"/>
          <w:highlight w:val="none"/>
        </w:rPr>
      </w:pPr>
    </w:p>
    <w:p w14:paraId="0A5EAE79">
      <w:pPr>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br w:type="page"/>
      </w:r>
    </w:p>
    <w:p w14:paraId="49BF7CC0">
      <w:pPr>
        <w:pStyle w:val="4"/>
        <w:ind w:firstLine="428"/>
        <w:rPr>
          <w:color w:val="auto"/>
          <w:szCs w:val="21"/>
          <w:highlight w:val="none"/>
        </w:rPr>
      </w:pPr>
      <w:r>
        <w:rPr>
          <w:rFonts w:hint="eastAsia"/>
          <w:color w:val="auto"/>
          <w:szCs w:val="21"/>
          <w:highlight w:val="none"/>
        </w:rPr>
        <w:t>三、分包意向协议（如果有）</w:t>
      </w:r>
    </w:p>
    <w:p w14:paraId="02BF165B">
      <w:pPr>
        <w:widowControl/>
        <w:spacing w:line="360" w:lineRule="auto"/>
        <w:ind w:firstLine="105" w:firstLineChars="50"/>
        <w:jc w:val="left"/>
        <w:rPr>
          <w:rFonts w:ascii="宋体" w:hAnsi="宋体" w:cs="宋体"/>
          <w:color w:val="auto"/>
          <w:szCs w:val="21"/>
          <w:highlight w:val="none"/>
        </w:rPr>
      </w:pPr>
      <w:r>
        <w:rPr>
          <w:rFonts w:hint="eastAsia" w:ascii="宋体" w:hAnsi="宋体" w:cs="宋体"/>
          <w:color w:val="auto"/>
          <w:szCs w:val="21"/>
          <w:highlight w:val="none"/>
        </w:rPr>
        <w:t>[中标后以分包方式履行合同的，提供分包意向协议（附件6）；采购人不同意分包或者投标人中标后不以分包方式履行合同的，则不需要提供]</w:t>
      </w:r>
    </w:p>
    <w:p w14:paraId="7934FAF5">
      <w:pPr>
        <w:snapToGrid w:val="0"/>
        <w:spacing w:line="360" w:lineRule="auto"/>
        <w:ind w:firstLine="576"/>
        <w:rPr>
          <w:rFonts w:ascii="宋体" w:hAnsi="宋体" w:cs="宋体"/>
          <w:color w:val="auto"/>
          <w:kern w:val="0"/>
          <w:szCs w:val="21"/>
          <w:highlight w:val="none"/>
          <w:lang w:val="zh-CN"/>
        </w:rPr>
      </w:pPr>
    </w:p>
    <w:p w14:paraId="4DE1AB33">
      <w:pPr>
        <w:pStyle w:val="4"/>
        <w:ind w:firstLine="428"/>
        <w:rPr>
          <w:color w:val="auto"/>
          <w:szCs w:val="21"/>
          <w:highlight w:val="none"/>
        </w:rPr>
      </w:pPr>
      <w:r>
        <w:rPr>
          <w:rFonts w:hint="eastAsia"/>
          <w:color w:val="auto"/>
          <w:szCs w:val="21"/>
          <w:highlight w:val="none"/>
        </w:rPr>
        <w:t>四、符合性审查资料</w:t>
      </w:r>
    </w:p>
    <w:p w14:paraId="4FA38C83">
      <w:pPr>
        <w:spacing w:line="360" w:lineRule="auto"/>
        <w:jc w:val="center"/>
        <w:rPr>
          <w:rFonts w:ascii="宋体" w:hAnsi="宋体" w:cs="宋体"/>
          <w:b/>
          <w:color w:val="auto"/>
          <w:kern w:val="0"/>
          <w:szCs w:val="21"/>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614"/>
        <w:gridCol w:w="3383"/>
        <w:gridCol w:w="1963"/>
      </w:tblGrid>
      <w:tr w14:paraId="673DD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1A25E8E">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3614" w:type="dxa"/>
            <w:vAlign w:val="center"/>
          </w:tcPr>
          <w:p w14:paraId="7B681F2E">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实质性要求</w:t>
            </w:r>
          </w:p>
        </w:tc>
        <w:tc>
          <w:tcPr>
            <w:tcW w:w="3383" w:type="dxa"/>
            <w:vAlign w:val="center"/>
          </w:tcPr>
          <w:p w14:paraId="02E0B416">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需要提供的符合性审查资料</w:t>
            </w:r>
          </w:p>
        </w:tc>
        <w:tc>
          <w:tcPr>
            <w:tcW w:w="1963" w:type="dxa"/>
            <w:vAlign w:val="center"/>
          </w:tcPr>
          <w:p w14:paraId="1075F15F">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投标文件中的</w:t>
            </w:r>
          </w:p>
          <w:p w14:paraId="0440B55A">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页码位置</w:t>
            </w:r>
          </w:p>
        </w:tc>
      </w:tr>
      <w:tr w14:paraId="210D6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F466B5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3614" w:type="dxa"/>
            <w:vAlign w:val="center"/>
          </w:tcPr>
          <w:p w14:paraId="4BE5814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投标文件按照招标文件要求签署、盖章。</w:t>
            </w:r>
          </w:p>
        </w:tc>
        <w:tc>
          <w:tcPr>
            <w:tcW w:w="3383" w:type="dxa"/>
            <w:vAlign w:val="center"/>
          </w:tcPr>
          <w:p w14:paraId="08FCF23A">
            <w:pPr>
              <w:spacing w:line="360" w:lineRule="auto"/>
              <w:rPr>
                <w:rFonts w:ascii="宋体" w:hAnsi="宋体" w:cs="宋体"/>
                <w:color w:val="auto"/>
                <w:szCs w:val="21"/>
                <w:highlight w:val="none"/>
              </w:rPr>
            </w:pPr>
            <w:r>
              <w:rPr>
                <w:rFonts w:hint="eastAsia" w:ascii="宋体" w:hAnsi="宋体" w:cs="宋体"/>
                <w:color w:val="auto"/>
                <w:szCs w:val="21"/>
                <w:highlight w:val="none"/>
              </w:rPr>
              <w:t>需要使用电子签名或者签字盖章的投标文件的组成部分</w:t>
            </w:r>
          </w:p>
        </w:tc>
        <w:tc>
          <w:tcPr>
            <w:tcW w:w="1963" w:type="dxa"/>
            <w:vAlign w:val="center"/>
          </w:tcPr>
          <w:p w14:paraId="45C0FC8B">
            <w:pPr>
              <w:spacing w:line="360" w:lineRule="auto"/>
              <w:rPr>
                <w:rFonts w:ascii="宋体" w:hAnsi="宋体" w:cs="宋体"/>
                <w:color w:val="auto"/>
                <w:szCs w:val="21"/>
                <w:highlight w:val="none"/>
              </w:rPr>
            </w:pPr>
            <w:r>
              <w:rPr>
                <w:rFonts w:hint="eastAsia" w:ascii="宋体" w:hAnsi="宋体" w:cs="宋体"/>
                <w:color w:val="auto"/>
                <w:szCs w:val="21"/>
                <w:highlight w:val="none"/>
              </w:rPr>
              <w:t>见投标文件第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页</w:t>
            </w:r>
          </w:p>
        </w:tc>
      </w:tr>
      <w:tr w14:paraId="54509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FE8AC8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3614" w:type="dxa"/>
            <w:vAlign w:val="center"/>
          </w:tcPr>
          <w:p w14:paraId="67114AA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投标文件中承诺的投标有效期不少于招标文件中载明的投标有效期。</w:t>
            </w:r>
          </w:p>
        </w:tc>
        <w:tc>
          <w:tcPr>
            <w:tcW w:w="3383" w:type="dxa"/>
            <w:vAlign w:val="center"/>
          </w:tcPr>
          <w:p w14:paraId="15248EAE">
            <w:pPr>
              <w:spacing w:line="360" w:lineRule="auto"/>
              <w:rPr>
                <w:rFonts w:ascii="宋体" w:hAnsi="宋体" w:cs="宋体"/>
                <w:color w:val="auto"/>
                <w:szCs w:val="21"/>
                <w:highlight w:val="none"/>
              </w:rPr>
            </w:pPr>
            <w:r>
              <w:rPr>
                <w:rFonts w:hint="eastAsia" w:ascii="宋体" w:hAnsi="宋体" w:cs="宋体"/>
                <w:color w:val="auto"/>
                <w:szCs w:val="21"/>
                <w:highlight w:val="none"/>
              </w:rPr>
              <w:t>投标函</w:t>
            </w:r>
          </w:p>
        </w:tc>
        <w:tc>
          <w:tcPr>
            <w:tcW w:w="1963" w:type="dxa"/>
            <w:vAlign w:val="center"/>
          </w:tcPr>
          <w:p w14:paraId="34895D2F">
            <w:pPr>
              <w:pStyle w:val="3"/>
              <w:ind w:firstLine="0" w:firstLineChars="0"/>
              <w:jc w:val="both"/>
              <w:rPr>
                <w:rFonts w:ascii="宋体" w:hAnsi="宋体" w:cs="宋体"/>
                <w:color w:val="auto"/>
                <w:szCs w:val="21"/>
                <w:highlight w:val="none"/>
                <w:lang w:val="en-US"/>
              </w:rPr>
            </w:pPr>
            <w:r>
              <w:rPr>
                <w:rFonts w:hint="eastAsia" w:ascii="宋体" w:hAnsi="宋体" w:cs="宋体"/>
                <w:b w:val="0"/>
                <w:bCs w:val="0"/>
                <w:color w:val="auto"/>
                <w:szCs w:val="21"/>
                <w:highlight w:val="none"/>
              </w:rPr>
              <w:t>见投标文件</w:t>
            </w:r>
            <w:r>
              <w:rPr>
                <w:rFonts w:hint="eastAsia" w:ascii="宋体" w:hAnsi="宋体" w:cs="宋体"/>
                <w:b w:val="0"/>
                <w:bCs w:val="0"/>
                <w:color w:val="auto"/>
                <w:szCs w:val="21"/>
                <w:highlight w:val="none"/>
                <w:lang w:val="en-US"/>
              </w:rPr>
              <w:t>第</w:t>
            </w:r>
            <w:r>
              <w:rPr>
                <w:rFonts w:hint="eastAsia" w:ascii="宋体" w:hAnsi="宋体" w:cs="宋体"/>
                <w:b w:val="0"/>
                <w:bCs w:val="0"/>
                <w:color w:val="auto"/>
                <w:szCs w:val="21"/>
                <w:highlight w:val="none"/>
                <w:u w:val="single"/>
                <w:lang w:val="en-US"/>
              </w:rPr>
              <w:t xml:space="preserve">  </w:t>
            </w:r>
            <w:r>
              <w:rPr>
                <w:rFonts w:hint="eastAsia" w:ascii="宋体" w:hAnsi="宋体" w:cs="宋体"/>
                <w:b w:val="0"/>
                <w:bCs w:val="0"/>
                <w:color w:val="auto"/>
                <w:szCs w:val="21"/>
                <w:highlight w:val="none"/>
                <w:lang w:val="en-US"/>
              </w:rPr>
              <w:t>页</w:t>
            </w:r>
          </w:p>
        </w:tc>
      </w:tr>
      <w:tr w14:paraId="41C7C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4A0381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3614" w:type="dxa"/>
            <w:vAlign w:val="center"/>
          </w:tcPr>
          <w:p w14:paraId="00D2244F">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投标文件满足招标文件的其他实质性要求。▲项目总工期为6个月。自合同签订之日起5个月内完成系统部署上线</w:t>
            </w:r>
            <w:r>
              <w:rPr>
                <w:rFonts w:hint="eastAsia" w:ascii="宋体" w:hAnsi="宋体" w:cs="宋体"/>
                <w:color w:val="auto"/>
                <w:szCs w:val="21"/>
                <w:highlight w:val="none"/>
                <w:lang w:eastAsia="zh-CN"/>
              </w:rPr>
              <w:t>，</w:t>
            </w:r>
            <w:r>
              <w:rPr>
                <w:rFonts w:hint="eastAsia" w:ascii="宋体" w:hAnsi="宋体" w:cs="宋体"/>
                <w:color w:val="auto"/>
                <w:szCs w:val="21"/>
                <w:highlight w:val="none"/>
              </w:rPr>
              <w:t>1个月试运行。</w:t>
            </w:r>
          </w:p>
        </w:tc>
        <w:tc>
          <w:tcPr>
            <w:tcW w:w="3383" w:type="dxa"/>
            <w:vAlign w:val="center"/>
          </w:tcPr>
          <w:p w14:paraId="0A01E92D">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招标文件其他实质性要求相应的材料（“▲” 系指实质性要求条款，招标文件无其他实质性要求的，无需提供）</w:t>
            </w:r>
          </w:p>
        </w:tc>
        <w:tc>
          <w:tcPr>
            <w:tcW w:w="1963" w:type="dxa"/>
            <w:vAlign w:val="center"/>
          </w:tcPr>
          <w:p w14:paraId="3BEE074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见投标文件第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页</w:t>
            </w:r>
          </w:p>
        </w:tc>
      </w:tr>
    </w:tbl>
    <w:p w14:paraId="070F4DD7">
      <w:pPr>
        <w:spacing w:line="360" w:lineRule="auto"/>
        <w:ind w:right="420"/>
        <w:rPr>
          <w:rFonts w:ascii="宋体" w:hAnsi="宋体" w:cs="宋体"/>
          <w:color w:val="auto"/>
          <w:szCs w:val="21"/>
          <w:highlight w:val="none"/>
        </w:rPr>
      </w:pPr>
      <w:r>
        <w:rPr>
          <w:rFonts w:hint="eastAsia" w:ascii="宋体" w:hAnsi="宋体" w:cs="宋体"/>
          <w:color w:val="auto"/>
          <w:szCs w:val="21"/>
          <w:highlight w:val="none"/>
        </w:rPr>
        <w:t>注：按本格式和要求提供。</w:t>
      </w:r>
    </w:p>
    <w:p w14:paraId="1581F23A">
      <w:pPr>
        <w:spacing w:line="360" w:lineRule="auto"/>
        <w:jc w:val="center"/>
        <w:rPr>
          <w:rFonts w:ascii="宋体" w:hAnsi="宋体" w:cs="宋体"/>
          <w:b/>
          <w:color w:val="auto"/>
          <w:kern w:val="0"/>
          <w:szCs w:val="21"/>
          <w:highlight w:val="none"/>
        </w:rPr>
      </w:pPr>
    </w:p>
    <w:p w14:paraId="151CB581">
      <w:pPr>
        <w:spacing w:line="360" w:lineRule="auto"/>
        <w:jc w:val="center"/>
        <w:rPr>
          <w:rFonts w:ascii="宋体" w:hAnsi="宋体" w:cs="宋体"/>
          <w:b/>
          <w:color w:val="auto"/>
          <w:kern w:val="0"/>
          <w:szCs w:val="21"/>
          <w:highlight w:val="none"/>
        </w:rPr>
      </w:pPr>
    </w:p>
    <w:p w14:paraId="270A3818">
      <w:pPr>
        <w:spacing w:line="360" w:lineRule="auto"/>
        <w:jc w:val="center"/>
        <w:rPr>
          <w:rFonts w:ascii="宋体" w:hAnsi="宋体" w:cs="宋体"/>
          <w:b/>
          <w:color w:val="auto"/>
          <w:kern w:val="0"/>
          <w:szCs w:val="21"/>
          <w:highlight w:val="none"/>
        </w:rPr>
      </w:pPr>
    </w:p>
    <w:p w14:paraId="3907F796">
      <w:pPr>
        <w:spacing w:line="360" w:lineRule="auto"/>
        <w:jc w:val="center"/>
        <w:rPr>
          <w:rFonts w:ascii="宋体" w:hAnsi="宋体" w:cs="宋体"/>
          <w:b/>
          <w:color w:val="auto"/>
          <w:kern w:val="0"/>
          <w:szCs w:val="21"/>
          <w:highlight w:val="none"/>
        </w:rPr>
      </w:pPr>
    </w:p>
    <w:p w14:paraId="6ABB834D">
      <w:pPr>
        <w:spacing w:line="360" w:lineRule="auto"/>
        <w:jc w:val="center"/>
        <w:rPr>
          <w:rFonts w:ascii="宋体" w:hAnsi="宋体" w:cs="宋体"/>
          <w:b/>
          <w:color w:val="auto"/>
          <w:kern w:val="0"/>
          <w:szCs w:val="21"/>
          <w:highlight w:val="none"/>
        </w:rPr>
      </w:pPr>
    </w:p>
    <w:p w14:paraId="683358B9">
      <w:pPr>
        <w:spacing w:line="360" w:lineRule="auto"/>
        <w:jc w:val="center"/>
        <w:rPr>
          <w:rFonts w:ascii="宋体" w:hAnsi="宋体" w:cs="宋体"/>
          <w:b/>
          <w:color w:val="auto"/>
          <w:kern w:val="0"/>
          <w:szCs w:val="21"/>
          <w:highlight w:val="none"/>
        </w:rPr>
      </w:pPr>
    </w:p>
    <w:p w14:paraId="41CA5685">
      <w:pPr>
        <w:spacing w:line="360" w:lineRule="auto"/>
        <w:jc w:val="center"/>
        <w:rPr>
          <w:rFonts w:ascii="宋体" w:hAnsi="宋体" w:cs="宋体"/>
          <w:b/>
          <w:color w:val="auto"/>
          <w:kern w:val="0"/>
          <w:szCs w:val="21"/>
          <w:highlight w:val="none"/>
        </w:rPr>
      </w:pPr>
    </w:p>
    <w:p w14:paraId="3E60305D">
      <w:pPr>
        <w:spacing w:line="360" w:lineRule="auto"/>
        <w:jc w:val="center"/>
        <w:rPr>
          <w:rFonts w:ascii="宋体" w:hAnsi="宋体" w:cs="宋体"/>
          <w:b/>
          <w:color w:val="auto"/>
          <w:kern w:val="0"/>
          <w:szCs w:val="21"/>
          <w:highlight w:val="none"/>
        </w:rPr>
      </w:pPr>
    </w:p>
    <w:p w14:paraId="5A13267C">
      <w:pPr>
        <w:spacing w:line="360" w:lineRule="auto"/>
        <w:jc w:val="center"/>
        <w:rPr>
          <w:rFonts w:ascii="宋体" w:hAnsi="宋体" w:cs="宋体"/>
          <w:b/>
          <w:color w:val="auto"/>
          <w:kern w:val="0"/>
          <w:szCs w:val="21"/>
          <w:highlight w:val="none"/>
        </w:rPr>
      </w:pPr>
    </w:p>
    <w:p w14:paraId="1EE0156D">
      <w:pPr>
        <w:spacing w:line="360" w:lineRule="auto"/>
        <w:jc w:val="center"/>
        <w:rPr>
          <w:rFonts w:ascii="宋体" w:hAnsi="宋体" w:cs="宋体"/>
          <w:b/>
          <w:color w:val="auto"/>
          <w:kern w:val="0"/>
          <w:szCs w:val="21"/>
          <w:highlight w:val="none"/>
        </w:rPr>
      </w:pPr>
    </w:p>
    <w:p w14:paraId="6515A8A5">
      <w:pPr>
        <w:spacing w:line="360" w:lineRule="auto"/>
        <w:jc w:val="center"/>
        <w:rPr>
          <w:rFonts w:ascii="宋体" w:hAnsi="宋体" w:cs="宋体"/>
          <w:b/>
          <w:color w:val="auto"/>
          <w:kern w:val="0"/>
          <w:szCs w:val="21"/>
          <w:highlight w:val="none"/>
        </w:rPr>
      </w:pPr>
    </w:p>
    <w:p w14:paraId="2AE64D27">
      <w:pPr>
        <w:spacing w:line="360" w:lineRule="auto"/>
        <w:jc w:val="center"/>
        <w:rPr>
          <w:rFonts w:ascii="宋体" w:hAnsi="宋体" w:cs="宋体"/>
          <w:b/>
          <w:color w:val="auto"/>
          <w:kern w:val="0"/>
          <w:szCs w:val="21"/>
          <w:highlight w:val="none"/>
        </w:rPr>
      </w:pPr>
    </w:p>
    <w:p w14:paraId="47DCA328">
      <w:pPr>
        <w:spacing w:line="360" w:lineRule="auto"/>
        <w:jc w:val="center"/>
        <w:rPr>
          <w:rFonts w:ascii="宋体" w:hAnsi="宋体" w:cs="宋体"/>
          <w:b/>
          <w:color w:val="auto"/>
          <w:kern w:val="0"/>
          <w:szCs w:val="21"/>
          <w:highlight w:val="none"/>
        </w:rPr>
      </w:pPr>
    </w:p>
    <w:p w14:paraId="50407FDA">
      <w:pPr>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br w:type="page"/>
      </w:r>
    </w:p>
    <w:p w14:paraId="297847F1">
      <w:pPr>
        <w:pStyle w:val="4"/>
        <w:ind w:firstLine="428"/>
        <w:rPr>
          <w:color w:val="auto"/>
          <w:szCs w:val="21"/>
          <w:highlight w:val="none"/>
        </w:rPr>
      </w:pPr>
      <w:r>
        <w:rPr>
          <w:rFonts w:hint="eastAsia"/>
          <w:color w:val="auto"/>
          <w:szCs w:val="21"/>
          <w:highlight w:val="none"/>
        </w:rPr>
        <w:t>五、评标标准相应的商务技术资料</w:t>
      </w:r>
    </w:p>
    <w:p w14:paraId="100A297B">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4FA92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0F18EE8">
            <w:pPr>
              <w:snapToGrid w:val="0"/>
              <w:spacing w:line="360" w:lineRule="auto"/>
              <w:jc w:val="center"/>
              <w:rPr>
                <w:rFonts w:ascii="宋体" w:hAnsi="宋体" w:eastAsia="宋体" w:cs="仿宋_GB2312"/>
                <w:bCs/>
                <w:color w:val="auto"/>
                <w:sz w:val="24"/>
                <w:highlight w:val="none"/>
              </w:rPr>
            </w:pPr>
            <w:r>
              <w:rPr>
                <w:rFonts w:hint="eastAsia" w:ascii="宋体" w:hAnsi="宋体" w:eastAsia="宋体" w:cs="仿宋_GB2312"/>
                <w:bCs/>
                <w:color w:val="auto"/>
                <w:sz w:val="24"/>
                <w:highlight w:val="none"/>
              </w:rPr>
              <w:t>序号</w:t>
            </w:r>
          </w:p>
        </w:tc>
        <w:tc>
          <w:tcPr>
            <w:tcW w:w="5465" w:type="dxa"/>
          </w:tcPr>
          <w:p w14:paraId="2CCDAE1C">
            <w:pPr>
              <w:snapToGrid w:val="0"/>
              <w:spacing w:line="360" w:lineRule="auto"/>
              <w:jc w:val="center"/>
              <w:rPr>
                <w:rFonts w:ascii="宋体" w:hAnsi="宋体" w:cs="宋体"/>
                <w:bCs/>
                <w:color w:val="auto"/>
                <w:sz w:val="24"/>
                <w:highlight w:val="none"/>
              </w:rPr>
            </w:pPr>
            <w:r>
              <w:rPr>
                <w:rFonts w:hint="eastAsia" w:ascii="宋体" w:hAnsi="宋体" w:eastAsia="宋体" w:cs="仿宋_GB2312"/>
                <w:bCs/>
                <w:color w:val="auto"/>
                <w:sz w:val="24"/>
                <w:highlight w:val="none"/>
              </w:rPr>
              <w:t>投标文件中评标标准相应的商务技术资料目录*</w:t>
            </w:r>
          </w:p>
        </w:tc>
        <w:tc>
          <w:tcPr>
            <w:tcW w:w="3046" w:type="dxa"/>
          </w:tcPr>
          <w:p w14:paraId="0A5DD707">
            <w:pPr>
              <w:snapToGrid w:val="0"/>
              <w:spacing w:line="240" w:lineRule="atLeast"/>
              <w:jc w:val="center"/>
              <w:rPr>
                <w:rFonts w:ascii="宋体" w:hAnsi="宋体" w:cs="宋体"/>
                <w:bCs/>
                <w:color w:val="auto"/>
                <w:sz w:val="24"/>
                <w:highlight w:val="none"/>
              </w:rPr>
            </w:pPr>
            <w:r>
              <w:rPr>
                <w:rFonts w:hint="eastAsia" w:ascii="宋体" w:hAnsi="宋体" w:cs="宋体"/>
                <w:bCs/>
                <w:color w:val="auto"/>
                <w:sz w:val="24"/>
                <w:highlight w:val="none"/>
              </w:rPr>
              <w:t>投标文件中的页码位置</w:t>
            </w:r>
          </w:p>
        </w:tc>
      </w:tr>
      <w:tr w14:paraId="074F0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9D941A1">
            <w:pPr>
              <w:snapToGrid w:val="0"/>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1</w:t>
            </w:r>
          </w:p>
        </w:tc>
        <w:tc>
          <w:tcPr>
            <w:tcW w:w="5465" w:type="dxa"/>
          </w:tcPr>
          <w:p w14:paraId="09CE841E">
            <w:pPr>
              <w:snapToGrid w:val="0"/>
              <w:spacing w:line="360" w:lineRule="auto"/>
              <w:jc w:val="center"/>
              <w:rPr>
                <w:rFonts w:ascii="宋体" w:hAnsi="宋体" w:cs="宋体"/>
                <w:bCs/>
                <w:color w:val="auto"/>
                <w:sz w:val="24"/>
                <w:highlight w:val="none"/>
              </w:rPr>
            </w:pPr>
          </w:p>
        </w:tc>
        <w:tc>
          <w:tcPr>
            <w:tcW w:w="3046" w:type="dxa"/>
          </w:tcPr>
          <w:p w14:paraId="51DB52EF">
            <w:pPr>
              <w:jc w:val="center"/>
              <w:rPr>
                <w:rFonts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315EE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A7325D6">
            <w:pPr>
              <w:snapToGrid w:val="0"/>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2</w:t>
            </w:r>
          </w:p>
        </w:tc>
        <w:tc>
          <w:tcPr>
            <w:tcW w:w="5465" w:type="dxa"/>
          </w:tcPr>
          <w:p w14:paraId="41276EEE">
            <w:pPr>
              <w:snapToGrid w:val="0"/>
              <w:spacing w:line="360" w:lineRule="auto"/>
              <w:jc w:val="center"/>
              <w:rPr>
                <w:rFonts w:ascii="宋体" w:hAnsi="宋体" w:cs="宋体"/>
                <w:bCs/>
                <w:color w:val="auto"/>
                <w:sz w:val="24"/>
                <w:highlight w:val="none"/>
              </w:rPr>
            </w:pPr>
          </w:p>
        </w:tc>
        <w:tc>
          <w:tcPr>
            <w:tcW w:w="3046" w:type="dxa"/>
          </w:tcPr>
          <w:p w14:paraId="3A32DB21">
            <w:pPr>
              <w:jc w:val="center"/>
              <w:rPr>
                <w:rFonts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2ED6A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797403A">
            <w:pPr>
              <w:snapToGrid w:val="0"/>
              <w:spacing w:line="360" w:lineRule="auto"/>
              <w:jc w:val="center"/>
              <w:rPr>
                <w:rFonts w:ascii="宋体" w:hAnsi="宋体" w:cs="宋体"/>
                <w:bCs/>
                <w:color w:val="auto"/>
                <w:sz w:val="24"/>
                <w:highlight w:val="none"/>
              </w:rPr>
            </w:pPr>
            <w:r>
              <w:rPr>
                <w:rFonts w:hint="eastAsia" w:ascii="宋体" w:hAnsi="宋体" w:cs="宋体"/>
                <w:color w:val="auto"/>
                <w:kern w:val="0"/>
                <w:sz w:val="24"/>
                <w:highlight w:val="none"/>
              </w:rPr>
              <w:t>……</w:t>
            </w:r>
          </w:p>
        </w:tc>
        <w:tc>
          <w:tcPr>
            <w:tcW w:w="5465" w:type="dxa"/>
          </w:tcPr>
          <w:p w14:paraId="606A4E79">
            <w:pPr>
              <w:snapToGrid w:val="0"/>
              <w:spacing w:line="360" w:lineRule="auto"/>
              <w:jc w:val="center"/>
              <w:rPr>
                <w:rFonts w:ascii="宋体" w:hAnsi="宋体" w:cs="宋体"/>
                <w:bCs/>
                <w:color w:val="auto"/>
                <w:sz w:val="24"/>
                <w:highlight w:val="none"/>
              </w:rPr>
            </w:pPr>
          </w:p>
        </w:tc>
        <w:tc>
          <w:tcPr>
            <w:tcW w:w="3046" w:type="dxa"/>
          </w:tcPr>
          <w:p w14:paraId="3E59EAB0">
            <w:pPr>
              <w:jc w:val="center"/>
              <w:rPr>
                <w:rFonts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bl>
    <w:p w14:paraId="02DA651B">
      <w:pPr>
        <w:spacing w:line="360" w:lineRule="auto"/>
        <w:jc w:val="center"/>
        <w:rPr>
          <w:rFonts w:ascii="仿宋_GB2312" w:hAnsi="仿宋" w:eastAsia="仿宋_GB2312" w:cs="仿宋_GB2312"/>
          <w:b/>
          <w:color w:val="auto"/>
          <w:kern w:val="0"/>
          <w:szCs w:val="21"/>
          <w:highlight w:val="none"/>
        </w:rPr>
      </w:pPr>
    </w:p>
    <w:p w14:paraId="28FF5D6B">
      <w:pPr>
        <w:spacing w:line="360" w:lineRule="auto"/>
        <w:jc w:val="center"/>
        <w:rPr>
          <w:rFonts w:ascii="仿宋_GB2312" w:hAnsi="仿宋" w:eastAsia="仿宋_GB2312" w:cs="仿宋_GB2312"/>
          <w:b/>
          <w:color w:val="auto"/>
          <w:kern w:val="0"/>
          <w:szCs w:val="21"/>
          <w:highlight w:val="none"/>
        </w:rPr>
      </w:pPr>
    </w:p>
    <w:p w14:paraId="00838C85">
      <w:pPr>
        <w:pStyle w:val="4"/>
        <w:ind w:firstLine="428"/>
        <w:rPr>
          <w:color w:val="auto"/>
          <w:szCs w:val="21"/>
          <w:highlight w:val="none"/>
        </w:rPr>
      </w:pPr>
      <w:r>
        <w:rPr>
          <w:rFonts w:hint="eastAsia"/>
          <w:color w:val="auto"/>
          <w:szCs w:val="21"/>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5EDFC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2A31C5C">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877C717">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641A1DEC">
            <w:pPr>
              <w:spacing w:line="360" w:lineRule="auto"/>
              <w:jc w:val="center"/>
              <w:rPr>
                <w:rFonts w:ascii="宋体" w:hAnsi="宋体" w:cs="宋体"/>
                <w:b/>
                <w:color w:val="auto"/>
                <w:szCs w:val="21"/>
                <w:highlight w:val="none"/>
              </w:rPr>
            </w:pPr>
          </w:p>
          <w:p w14:paraId="07887A00">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497FF025">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4F3A1B64">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5C14C077">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0D1CE638">
            <w:pPr>
              <w:spacing w:line="360" w:lineRule="auto"/>
              <w:jc w:val="center"/>
              <w:rPr>
                <w:rFonts w:ascii="宋体" w:hAnsi="宋体" w:cs="宋体"/>
                <w:b/>
                <w:color w:val="auto"/>
                <w:szCs w:val="21"/>
                <w:highlight w:val="none"/>
              </w:rPr>
            </w:pPr>
          </w:p>
          <w:p w14:paraId="63DEAC15">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备注（如果有）</w:t>
            </w:r>
          </w:p>
          <w:p w14:paraId="5D18218E">
            <w:pPr>
              <w:spacing w:line="360" w:lineRule="auto"/>
              <w:jc w:val="center"/>
              <w:rPr>
                <w:rFonts w:ascii="宋体" w:hAnsi="宋体" w:cs="宋体"/>
                <w:b/>
                <w:color w:val="auto"/>
                <w:szCs w:val="21"/>
                <w:highlight w:val="none"/>
              </w:rPr>
            </w:pPr>
          </w:p>
        </w:tc>
      </w:tr>
      <w:tr w14:paraId="55E8B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9EE86F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1040F5D8">
            <w:pPr>
              <w:snapToGrid w:val="0"/>
              <w:spacing w:line="360" w:lineRule="auto"/>
              <w:jc w:val="center"/>
              <w:rPr>
                <w:rFonts w:ascii="宋体" w:hAnsi="宋体" w:cs="宋体"/>
                <w:color w:val="auto"/>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D10CA49">
            <w:pPr>
              <w:snapToGrid w:val="0"/>
              <w:spacing w:line="360" w:lineRule="auto"/>
              <w:jc w:val="cente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A4D7BCB">
            <w:pPr>
              <w:snapToGrid w:val="0"/>
              <w:spacing w:line="360" w:lineRule="auto"/>
              <w:jc w:val="center"/>
              <w:rPr>
                <w:rFonts w:ascii="宋体" w:hAnsi="宋体" w:cs="宋体"/>
                <w:color w:val="auto"/>
                <w:szCs w:val="21"/>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F09EC9C">
            <w:pPr>
              <w:spacing w:line="360" w:lineRule="auto"/>
              <w:jc w:val="center"/>
              <w:rPr>
                <w:rFonts w:ascii="宋体" w:hAnsi="宋体" w:cs="宋体"/>
                <w:color w:val="auto"/>
                <w:szCs w:val="21"/>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018C60C">
            <w:pPr>
              <w:spacing w:line="360" w:lineRule="auto"/>
              <w:jc w:val="center"/>
              <w:rPr>
                <w:rFonts w:ascii="宋体" w:hAnsi="宋体" w:cs="宋体"/>
                <w:color w:val="auto"/>
                <w:szCs w:val="21"/>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E0AD2A9">
            <w:pPr>
              <w:spacing w:line="360" w:lineRule="auto"/>
              <w:jc w:val="center"/>
              <w:rPr>
                <w:rFonts w:ascii="宋体" w:hAnsi="宋体" w:cs="宋体"/>
                <w:color w:val="auto"/>
                <w:szCs w:val="21"/>
                <w:highlight w:val="none"/>
              </w:rPr>
            </w:pPr>
          </w:p>
        </w:tc>
      </w:tr>
      <w:tr w14:paraId="505D8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F4BE79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08AB42D9">
            <w:pPr>
              <w:snapToGrid w:val="0"/>
              <w:spacing w:line="360" w:lineRule="auto"/>
              <w:jc w:val="center"/>
              <w:rPr>
                <w:rFonts w:ascii="宋体" w:hAnsi="宋体" w:cs="宋体"/>
                <w:color w:val="auto"/>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2A7F3FF">
            <w:pPr>
              <w:snapToGrid w:val="0"/>
              <w:spacing w:line="360" w:lineRule="auto"/>
              <w:jc w:val="cente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46F96C2">
            <w:pPr>
              <w:snapToGrid w:val="0"/>
              <w:spacing w:line="360" w:lineRule="auto"/>
              <w:jc w:val="center"/>
              <w:rPr>
                <w:rFonts w:ascii="宋体" w:hAnsi="宋体" w:cs="宋体"/>
                <w:color w:val="auto"/>
                <w:szCs w:val="21"/>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084D5F1">
            <w:pPr>
              <w:spacing w:line="360" w:lineRule="auto"/>
              <w:jc w:val="center"/>
              <w:rPr>
                <w:rFonts w:ascii="宋体" w:hAnsi="宋体" w:cs="宋体"/>
                <w:color w:val="auto"/>
                <w:szCs w:val="21"/>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159B066">
            <w:pPr>
              <w:spacing w:line="360" w:lineRule="auto"/>
              <w:jc w:val="center"/>
              <w:rPr>
                <w:rFonts w:ascii="宋体" w:hAnsi="宋体" w:cs="宋体"/>
                <w:color w:val="auto"/>
                <w:szCs w:val="21"/>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6DA05DC">
            <w:pPr>
              <w:spacing w:line="360" w:lineRule="auto"/>
              <w:jc w:val="center"/>
              <w:rPr>
                <w:rFonts w:ascii="宋体" w:hAnsi="宋体" w:cs="宋体"/>
                <w:color w:val="auto"/>
                <w:szCs w:val="21"/>
                <w:highlight w:val="none"/>
              </w:rPr>
            </w:pPr>
          </w:p>
        </w:tc>
      </w:tr>
      <w:tr w14:paraId="7D168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67FB4A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582A784F">
            <w:pPr>
              <w:snapToGrid w:val="0"/>
              <w:spacing w:line="360" w:lineRule="auto"/>
              <w:jc w:val="center"/>
              <w:rPr>
                <w:rFonts w:ascii="宋体" w:hAnsi="宋体" w:cs="宋体"/>
                <w:color w:val="auto"/>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F9704F6">
            <w:pPr>
              <w:snapToGrid w:val="0"/>
              <w:spacing w:line="360" w:lineRule="auto"/>
              <w:jc w:val="cente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B1F1CDC">
            <w:pPr>
              <w:snapToGrid w:val="0"/>
              <w:spacing w:line="360" w:lineRule="auto"/>
              <w:jc w:val="center"/>
              <w:rPr>
                <w:rFonts w:ascii="宋体" w:hAnsi="宋体" w:cs="宋体"/>
                <w:color w:val="auto"/>
                <w:szCs w:val="21"/>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A3300F5">
            <w:pPr>
              <w:spacing w:line="360" w:lineRule="auto"/>
              <w:jc w:val="center"/>
              <w:rPr>
                <w:rFonts w:ascii="宋体" w:hAnsi="宋体" w:cs="宋体"/>
                <w:color w:val="auto"/>
                <w:szCs w:val="21"/>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38298AC">
            <w:pPr>
              <w:spacing w:line="360" w:lineRule="auto"/>
              <w:jc w:val="center"/>
              <w:rPr>
                <w:rFonts w:ascii="宋体" w:hAnsi="宋体" w:cs="宋体"/>
                <w:color w:val="auto"/>
                <w:szCs w:val="21"/>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B5BF806">
            <w:pPr>
              <w:spacing w:line="360" w:lineRule="auto"/>
              <w:jc w:val="center"/>
              <w:rPr>
                <w:rFonts w:ascii="宋体" w:hAnsi="宋体" w:cs="宋体"/>
                <w:color w:val="auto"/>
                <w:szCs w:val="21"/>
                <w:highlight w:val="none"/>
              </w:rPr>
            </w:pPr>
          </w:p>
        </w:tc>
      </w:tr>
    </w:tbl>
    <w:p w14:paraId="16FD1682">
      <w:pPr>
        <w:spacing w:line="360" w:lineRule="auto"/>
        <w:ind w:right="420"/>
        <w:rPr>
          <w:rFonts w:ascii="宋体" w:hAnsi="宋体" w:cs="宋体"/>
          <w:color w:val="auto"/>
          <w:szCs w:val="21"/>
          <w:highlight w:val="none"/>
        </w:rPr>
      </w:pPr>
      <w:r>
        <w:rPr>
          <w:rFonts w:hint="eastAsia" w:ascii="宋体" w:hAnsi="宋体" w:cs="宋体"/>
          <w:color w:val="auto"/>
          <w:szCs w:val="21"/>
          <w:highlight w:val="none"/>
        </w:rPr>
        <w:t>注：按本格式和要求提供。</w:t>
      </w:r>
    </w:p>
    <w:p w14:paraId="3F852EDB">
      <w:pPr>
        <w:spacing w:line="360" w:lineRule="auto"/>
        <w:jc w:val="center"/>
        <w:rPr>
          <w:rFonts w:ascii="宋体" w:hAnsi="宋体" w:cs="宋体"/>
          <w:b/>
          <w:color w:val="auto"/>
          <w:kern w:val="0"/>
          <w:szCs w:val="21"/>
          <w:highlight w:val="none"/>
        </w:rPr>
      </w:pPr>
    </w:p>
    <w:p w14:paraId="2B2854B5">
      <w:pPr>
        <w:pStyle w:val="4"/>
        <w:numPr>
          <w:ilvl w:val="0"/>
          <w:numId w:val="11"/>
        </w:numPr>
        <w:ind w:firstLine="428"/>
        <w:rPr>
          <w:color w:val="auto"/>
          <w:szCs w:val="21"/>
          <w:highlight w:val="none"/>
        </w:rPr>
      </w:pPr>
      <w:r>
        <w:rPr>
          <w:rFonts w:hint="eastAsia"/>
          <w:color w:val="auto"/>
          <w:szCs w:val="21"/>
          <w:highlight w:val="none"/>
        </w:rPr>
        <w:t>商务技术偏离表</w:t>
      </w:r>
    </w:p>
    <w:p w14:paraId="3A7920E4">
      <w:pPr>
        <w:spacing w:line="360" w:lineRule="auto"/>
        <w:rPr>
          <w:color w:val="auto"/>
          <w:szCs w:val="21"/>
          <w:highlight w:val="none"/>
        </w:rPr>
      </w:pPr>
    </w:p>
    <w:tbl>
      <w:tblPr>
        <w:tblStyle w:val="63"/>
        <w:tblW w:w="9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3689"/>
        <w:gridCol w:w="3551"/>
        <w:gridCol w:w="1278"/>
      </w:tblGrid>
      <w:tr w14:paraId="22078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960" w:type="dxa"/>
          </w:tcPr>
          <w:p w14:paraId="588C51BC">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3689" w:type="dxa"/>
          </w:tcPr>
          <w:p w14:paraId="6E1ABD0B">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招标文件章节及具体内容</w:t>
            </w:r>
          </w:p>
        </w:tc>
        <w:tc>
          <w:tcPr>
            <w:tcW w:w="3551" w:type="dxa"/>
          </w:tcPr>
          <w:p w14:paraId="729BEE78">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投标文件章节及具体内容</w:t>
            </w:r>
          </w:p>
        </w:tc>
        <w:tc>
          <w:tcPr>
            <w:tcW w:w="1278" w:type="dxa"/>
          </w:tcPr>
          <w:p w14:paraId="34BB7D12">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偏离说明</w:t>
            </w:r>
          </w:p>
        </w:tc>
      </w:tr>
      <w:tr w14:paraId="69940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960" w:type="dxa"/>
          </w:tcPr>
          <w:p w14:paraId="3EC6AACB">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3689" w:type="dxa"/>
          </w:tcPr>
          <w:p w14:paraId="5B0C8671">
            <w:pPr>
              <w:spacing w:line="360" w:lineRule="auto"/>
              <w:jc w:val="center"/>
              <w:rPr>
                <w:rFonts w:ascii="宋体" w:hAnsi="宋体" w:cs="宋体"/>
                <w:bCs/>
                <w:color w:val="auto"/>
                <w:kern w:val="0"/>
                <w:szCs w:val="21"/>
                <w:highlight w:val="none"/>
              </w:rPr>
            </w:pPr>
          </w:p>
        </w:tc>
        <w:tc>
          <w:tcPr>
            <w:tcW w:w="3551" w:type="dxa"/>
          </w:tcPr>
          <w:p w14:paraId="181C6768">
            <w:pPr>
              <w:spacing w:line="360" w:lineRule="auto"/>
              <w:jc w:val="center"/>
              <w:rPr>
                <w:rFonts w:ascii="宋体" w:hAnsi="宋体" w:cs="宋体"/>
                <w:bCs/>
                <w:color w:val="auto"/>
                <w:kern w:val="0"/>
                <w:szCs w:val="21"/>
                <w:highlight w:val="none"/>
              </w:rPr>
            </w:pPr>
          </w:p>
        </w:tc>
        <w:tc>
          <w:tcPr>
            <w:tcW w:w="1278" w:type="dxa"/>
          </w:tcPr>
          <w:p w14:paraId="02602DF5">
            <w:pPr>
              <w:spacing w:line="360" w:lineRule="auto"/>
              <w:jc w:val="center"/>
              <w:rPr>
                <w:rFonts w:ascii="宋体" w:hAnsi="宋体" w:cs="宋体"/>
                <w:b/>
                <w:color w:val="auto"/>
                <w:kern w:val="0"/>
                <w:szCs w:val="21"/>
                <w:highlight w:val="none"/>
              </w:rPr>
            </w:pPr>
          </w:p>
        </w:tc>
      </w:tr>
      <w:tr w14:paraId="5C4FE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960" w:type="dxa"/>
          </w:tcPr>
          <w:p w14:paraId="3A37573C">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3689" w:type="dxa"/>
          </w:tcPr>
          <w:p w14:paraId="43BB0C99">
            <w:pPr>
              <w:spacing w:line="360" w:lineRule="auto"/>
              <w:jc w:val="center"/>
              <w:rPr>
                <w:rFonts w:ascii="宋体" w:hAnsi="宋体" w:cs="宋体"/>
                <w:bCs/>
                <w:color w:val="auto"/>
                <w:kern w:val="0"/>
                <w:szCs w:val="21"/>
                <w:highlight w:val="none"/>
              </w:rPr>
            </w:pPr>
          </w:p>
        </w:tc>
        <w:tc>
          <w:tcPr>
            <w:tcW w:w="3551" w:type="dxa"/>
          </w:tcPr>
          <w:p w14:paraId="273843AF">
            <w:pPr>
              <w:spacing w:line="360" w:lineRule="auto"/>
              <w:jc w:val="center"/>
              <w:rPr>
                <w:rFonts w:ascii="宋体" w:hAnsi="宋体" w:cs="宋体"/>
                <w:bCs/>
                <w:color w:val="auto"/>
                <w:kern w:val="0"/>
                <w:szCs w:val="21"/>
                <w:highlight w:val="none"/>
              </w:rPr>
            </w:pPr>
          </w:p>
        </w:tc>
        <w:tc>
          <w:tcPr>
            <w:tcW w:w="1278" w:type="dxa"/>
          </w:tcPr>
          <w:p w14:paraId="6D7E1996">
            <w:pPr>
              <w:spacing w:line="360" w:lineRule="auto"/>
              <w:jc w:val="center"/>
              <w:rPr>
                <w:rFonts w:ascii="宋体" w:hAnsi="宋体" w:cs="宋体"/>
                <w:b/>
                <w:color w:val="auto"/>
                <w:kern w:val="0"/>
                <w:szCs w:val="21"/>
                <w:highlight w:val="none"/>
              </w:rPr>
            </w:pPr>
          </w:p>
        </w:tc>
      </w:tr>
      <w:tr w14:paraId="6CDB1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960" w:type="dxa"/>
          </w:tcPr>
          <w:p w14:paraId="0361E80C">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3689" w:type="dxa"/>
          </w:tcPr>
          <w:p w14:paraId="5B5E553A">
            <w:pPr>
              <w:spacing w:line="360" w:lineRule="auto"/>
              <w:jc w:val="center"/>
              <w:rPr>
                <w:rFonts w:ascii="宋体" w:hAnsi="宋体" w:cs="宋体"/>
                <w:b/>
                <w:color w:val="auto"/>
                <w:kern w:val="0"/>
                <w:szCs w:val="21"/>
                <w:highlight w:val="none"/>
              </w:rPr>
            </w:pPr>
          </w:p>
        </w:tc>
        <w:tc>
          <w:tcPr>
            <w:tcW w:w="3551" w:type="dxa"/>
          </w:tcPr>
          <w:p w14:paraId="6F022CFD">
            <w:pPr>
              <w:spacing w:line="360" w:lineRule="auto"/>
              <w:jc w:val="center"/>
              <w:rPr>
                <w:rFonts w:ascii="宋体" w:hAnsi="宋体" w:cs="宋体"/>
                <w:b/>
                <w:color w:val="auto"/>
                <w:kern w:val="0"/>
                <w:szCs w:val="21"/>
                <w:highlight w:val="none"/>
              </w:rPr>
            </w:pPr>
          </w:p>
        </w:tc>
        <w:tc>
          <w:tcPr>
            <w:tcW w:w="1278" w:type="dxa"/>
          </w:tcPr>
          <w:p w14:paraId="1CD7689E">
            <w:pPr>
              <w:spacing w:line="360" w:lineRule="auto"/>
              <w:jc w:val="center"/>
              <w:rPr>
                <w:rFonts w:ascii="宋体" w:hAnsi="宋体" w:cs="宋体"/>
                <w:b/>
                <w:color w:val="auto"/>
                <w:kern w:val="0"/>
                <w:szCs w:val="21"/>
                <w:highlight w:val="none"/>
              </w:rPr>
            </w:pPr>
          </w:p>
        </w:tc>
      </w:tr>
    </w:tbl>
    <w:p w14:paraId="6117E6E2">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注：</w:t>
      </w:r>
    </w:p>
    <w:p w14:paraId="52045A4D">
      <w:pPr>
        <w:spacing w:line="360" w:lineRule="auto"/>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1.</w:t>
      </w:r>
      <w:r>
        <w:rPr>
          <w:rFonts w:hint="eastAsia" w:ascii="宋体" w:hAnsi="宋体" w:cs="宋体"/>
          <w:color w:val="auto"/>
          <w:kern w:val="0"/>
          <w:szCs w:val="21"/>
          <w:highlight w:val="none"/>
        </w:rPr>
        <w:t>按本格式和要求提供。</w:t>
      </w:r>
    </w:p>
    <w:p w14:paraId="05725010">
      <w:pPr>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ascii="宋体" w:hAnsi="宋体" w:cs="宋体"/>
          <w:color w:val="auto"/>
          <w:kern w:val="0"/>
          <w:szCs w:val="21"/>
          <w:highlight w:val="none"/>
        </w:rPr>
        <w:t>本章中所有带▲的内容是采购人提出的实质性要求，投标文件响应内容若不满足实质性要求，该投标文件将被评标委员会认定为无效。本章中所有带★的内容的是采购人提出的关键条款，投标人需按招标文件要求提供相应佐证材料，若未提供视为负偏离。</w:t>
      </w:r>
    </w:p>
    <w:p w14:paraId="00C554CF">
      <w:pPr>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3.本表格所反映的偏离情况与“符合性审查资料”、“评标标准相应的商务技术资料”不一致的，以“符合性审查资料”、“评标标准相应的商务技术资料”为准。</w:t>
      </w:r>
    </w:p>
    <w:p w14:paraId="4C68C974">
      <w:pPr>
        <w:spacing w:line="360" w:lineRule="auto"/>
        <w:ind w:firstLine="420" w:firstLineChars="200"/>
        <w:jc w:val="left"/>
        <w:rPr>
          <w:rFonts w:ascii="宋体" w:hAnsi="宋体" w:cs="宋体"/>
          <w:b/>
          <w:color w:val="auto"/>
          <w:kern w:val="0"/>
          <w:szCs w:val="21"/>
          <w:highlight w:val="none"/>
        </w:rPr>
      </w:pPr>
      <w:r>
        <w:rPr>
          <w:rFonts w:hint="eastAsia" w:ascii="宋体" w:hAnsi="宋体" w:cs="宋体"/>
          <w:color w:val="auto"/>
          <w:kern w:val="0"/>
          <w:szCs w:val="21"/>
          <w:highlight w:val="none"/>
        </w:rPr>
        <w:t>4.投标人须保证：除商务技术偏离表列出的偏离外，投标人响应招标文件的全部非实质性要求。</w:t>
      </w:r>
    </w:p>
    <w:p w14:paraId="6D7D3C44">
      <w:pPr>
        <w:spacing w:line="360" w:lineRule="auto"/>
        <w:rPr>
          <w:color w:val="auto"/>
          <w:szCs w:val="21"/>
          <w:highlight w:val="none"/>
        </w:rPr>
      </w:pPr>
      <w:r>
        <w:rPr>
          <w:rFonts w:hint="eastAsia"/>
          <w:color w:val="auto"/>
          <w:szCs w:val="21"/>
          <w:highlight w:val="none"/>
        </w:rPr>
        <w:br w:type="page"/>
      </w:r>
    </w:p>
    <w:p w14:paraId="5AAA7F58">
      <w:pPr>
        <w:pStyle w:val="4"/>
        <w:ind w:firstLine="428"/>
        <w:rPr>
          <w:color w:val="auto"/>
          <w:szCs w:val="21"/>
          <w:highlight w:val="none"/>
        </w:rPr>
      </w:pPr>
      <w:r>
        <w:rPr>
          <w:rFonts w:hint="eastAsia"/>
          <w:color w:val="auto"/>
          <w:szCs w:val="21"/>
          <w:highlight w:val="none"/>
        </w:rPr>
        <w:t>八、</w:t>
      </w:r>
      <w:r>
        <w:rPr>
          <w:rFonts w:hint="eastAsia"/>
          <w:color w:val="auto"/>
          <w:szCs w:val="21"/>
          <w:highlight w:val="none"/>
          <w:lang w:val="zh-CN"/>
        </w:rPr>
        <w:t>政府采购供应商廉洁自律承诺书</w:t>
      </w:r>
    </w:p>
    <w:p w14:paraId="5580E829">
      <w:pPr>
        <w:snapToGrid w:val="0"/>
        <w:spacing w:line="360" w:lineRule="auto"/>
        <w:jc w:val="center"/>
        <w:rPr>
          <w:b/>
          <w:bCs/>
          <w:color w:val="auto"/>
          <w:szCs w:val="21"/>
          <w:highlight w:val="none"/>
          <w:lang w:val="zh-CN"/>
        </w:rPr>
      </w:pPr>
    </w:p>
    <w:p w14:paraId="53BFC823">
      <w:pPr>
        <w:snapToGrid w:val="0"/>
        <w:spacing w:line="360" w:lineRule="auto"/>
        <w:jc w:val="center"/>
        <w:rPr>
          <w:b/>
          <w:bCs/>
          <w:color w:val="auto"/>
          <w:szCs w:val="21"/>
          <w:highlight w:val="none"/>
          <w:lang w:val="zh-CN"/>
        </w:rPr>
      </w:pPr>
      <w:r>
        <w:rPr>
          <w:rFonts w:hint="eastAsia"/>
          <w:b/>
          <w:bCs/>
          <w:color w:val="auto"/>
          <w:szCs w:val="21"/>
          <w:highlight w:val="none"/>
          <w:lang w:val="zh-CN"/>
        </w:rPr>
        <w:t>政府采购供应商廉洁自律承诺书</w:t>
      </w:r>
    </w:p>
    <w:p w14:paraId="7D2AB22C">
      <w:pPr>
        <w:spacing w:line="360" w:lineRule="auto"/>
        <w:rPr>
          <w:color w:val="auto"/>
          <w:szCs w:val="21"/>
          <w:highlight w:val="none"/>
        </w:rPr>
      </w:pPr>
    </w:p>
    <w:p w14:paraId="36774F0A">
      <w:pPr>
        <w:snapToGrid w:val="0"/>
        <w:spacing w:line="360" w:lineRule="auto"/>
        <w:rPr>
          <w:rFonts w:ascii="宋体" w:hAnsi="宋体" w:cs="宋体"/>
          <w:color w:val="auto"/>
          <w:kern w:val="0"/>
          <w:szCs w:val="21"/>
          <w:highlight w:val="none"/>
        </w:rPr>
      </w:pPr>
      <w:r>
        <w:rPr>
          <w:rFonts w:hint="eastAsia" w:ascii="宋体" w:hAnsi="宋体" w:cs="宋体"/>
          <w:color w:val="auto"/>
          <w:szCs w:val="21"/>
          <w:highlight w:val="none"/>
        </w:rPr>
        <w:t>杭州市余杭区数据资源管理局、浙江省成套招标代理有限公司</w:t>
      </w:r>
      <w:r>
        <w:rPr>
          <w:rFonts w:hint="eastAsia" w:ascii="宋体" w:hAnsi="宋体" w:cs="宋体"/>
          <w:color w:val="auto"/>
          <w:kern w:val="0"/>
          <w:szCs w:val="21"/>
          <w:highlight w:val="none"/>
          <w:lang w:val="zh-CN"/>
        </w:rPr>
        <w:t>：</w:t>
      </w:r>
    </w:p>
    <w:p w14:paraId="32B97E69">
      <w:pPr>
        <w:autoSpaceDE w:val="0"/>
        <w:autoSpaceDN w:val="0"/>
        <w:spacing w:line="360" w:lineRule="auto"/>
        <w:ind w:left="2" w:leftChars="1"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我单位响应你</w:t>
      </w:r>
      <w:r>
        <w:rPr>
          <w:rFonts w:hint="eastAsia" w:ascii="宋体" w:hAnsi="宋体" w:cs="宋体"/>
          <w:color w:val="auto"/>
          <w:szCs w:val="21"/>
          <w:highlight w:val="none"/>
        </w:rPr>
        <w:t>单位</w:t>
      </w:r>
      <w:r>
        <w:rPr>
          <w:rFonts w:hint="eastAsia" w:ascii="宋体" w:hAnsi="宋体" w:cs="宋体"/>
          <w:color w:val="auto"/>
          <w:kern w:val="0"/>
          <w:szCs w:val="21"/>
          <w:highlight w:val="none"/>
          <w:lang w:val="zh-CN"/>
        </w:rPr>
        <w:t>项目招标要求参加投标。在这次投标过程中和中标后，我们将严格遵守国家法律法规要求，并郑重承诺：</w:t>
      </w:r>
    </w:p>
    <w:p w14:paraId="31EBF585">
      <w:pPr>
        <w:autoSpaceDE w:val="0"/>
        <w:autoSpaceDN w:val="0"/>
        <w:spacing w:line="360" w:lineRule="auto"/>
        <w:ind w:left="2" w:leftChars="1"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一、不向项目有关人员及部门赠送礼金礼物、有价证券、回扣以及中介费、介绍费、咨询费等好处费； </w:t>
      </w:r>
    </w:p>
    <w:p w14:paraId="2008B862">
      <w:pPr>
        <w:autoSpaceDE w:val="0"/>
        <w:autoSpaceDN w:val="0"/>
        <w:spacing w:line="360" w:lineRule="auto"/>
        <w:ind w:left="2" w:leftChars="1"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二、不为项目有关人员及部门报销应由你方单位或个人支付的费用； </w:t>
      </w:r>
    </w:p>
    <w:p w14:paraId="4FC7F88D">
      <w:pPr>
        <w:autoSpaceDE w:val="0"/>
        <w:autoSpaceDN w:val="0"/>
        <w:spacing w:line="360" w:lineRule="auto"/>
        <w:ind w:left="2" w:leftChars="1"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三、不向项目有关人员及部门提供有可能影响公正的宴请和健身娱乐等活动； </w:t>
      </w:r>
    </w:p>
    <w:p w14:paraId="6151366A">
      <w:pPr>
        <w:autoSpaceDE w:val="0"/>
        <w:autoSpaceDN w:val="0"/>
        <w:spacing w:line="360" w:lineRule="auto"/>
        <w:ind w:left="2" w:leftChars="1"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四、不为项目有关人员及部门出国（境）、旅游等提供方便；</w:t>
      </w:r>
    </w:p>
    <w:p w14:paraId="3A6575FA">
      <w:pPr>
        <w:autoSpaceDE w:val="0"/>
        <w:autoSpaceDN w:val="0"/>
        <w:spacing w:line="360" w:lineRule="auto"/>
        <w:ind w:left="481" w:leftChars="229"/>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五、不为项目有关人员个人装修住房、婚丧嫁娶、配偶子女工作安排等提供</w:t>
      </w:r>
    </w:p>
    <w:p w14:paraId="54F29C8E">
      <w:pPr>
        <w:autoSpaceDE w:val="0"/>
        <w:autoSpaceDN w:val="0"/>
        <w:spacing w:line="360" w:lineRule="auto"/>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好处；</w:t>
      </w:r>
    </w:p>
    <w:p w14:paraId="448DB0F4">
      <w:pPr>
        <w:autoSpaceDE w:val="0"/>
        <w:autoSpaceDN w:val="0"/>
        <w:spacing w:line="360" w:lineRule="auto"/>
        <w:ind w:left="481" w:leftChars="229"/>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六、严格遵守《</w:t>
      </w:r>
      <w:r>
        <w:rPr>
          <w:rFonts w:hint="eastAsia" w:ascii="宋体" w:hAnsi="宋体" w:cs="宋体"/>
          <w:color w:val="auto"/>
          <w:szCs w:val="21"/>
          <w:highlight w:val="none"/>
          <w:lang w:val="zh-CN"/>
        </w:rPr>
        <w:t>中华人民共和国</w:t>
      </w:r>
      <w:r>
        <w:rPr>
          <w:rFonts w:hint="eastAsia" w:ascii="宋体" w:hAnsi="宋体" w:cs="宋体"/>
          <w:color w:val="auto"/>
          <w:kern w:val="0"/>
          <w:szCs w:val="21"/>
          <w:highlight w:val="none"/>
          <w:lang w:val="zh-CN"/>
        </w:rPr>
        <w:t>政府采购法》《</w:t>
      </w:r>
      <w:r>
        <w:rPr>
          <w:rFonts w:hint="eastAsia" w:ascii="宋体" w:hAnsi="宋体" w:cs="宋体"/>
          <w:color w:val="auto"/>
          <w:szCs w:val="21"/>
          <w:highlight w:val="none"/>
          <w:lang w:val="zh-CN"/>
        </w:rPr>
        <w:t>中华人民共和国</w:t>
      </w:r>
      <w:r>
        <w:rPr>
          <w:rFonts w:hint="eastAsia" w:ascii="宋体" w:hAnsi="宋体" w:cs="宋体"/>
          <w:color w:val="auto"/>
          <w:kern w:val="0"/>
          <w:szCs w:val="21"/>
          <w:highlight w:val="none"/>
          <w:lang w:val="zh-CN"/>
        </w:rPr>
        <w:t>招标投标法》</w:t>
      </w:r>
      <w:r>
        <w:rPr>
          <w:rFonts w:hint="eastAsia" w:ascii="宋体" w:hAnsi="宋体" w:cs="宋体"/>
          <w:color w:val="auto"/>
          <w:szCs w:val="21"/>
          <w:highlight w:val="none"/>
          <w:lang w:val="zh-CN"/>
        </w:rPr>
        <w:t>《中华人民共和国民法典》</w:t>
      </w:r>
      <w:r>
        <w:rPr>
          <w:rFonts w:hint="eastAsia" w:ascii="宋体" w:hAnsi="宋体" w:cs="宋体"/>
          <w:color w:val="auto"/>
          <w:kern w:val="0"/>
          <w:szCs w:val="21"/>
          <w:highlight w:val="none"/>
          <w:lang w:val="zh-CN"/>
        </w:rPr>
        <w:t xml:space="preserve">等法律法规，诚实守信，合法经营，坚决抵制各种违法违纪行为。 </w:t>
      </w:r>
    </w:p>
    <w:p w14:paraId="7F02AACB">
      <w:pPr>
        <w:autoSpaceDE w:val="0"/>
        <w:autoSpaceDN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如违反上述承诺，你</w:t>
      </w:r>
      <w:r>
        <w:rPr>
          <w:rFonts w:hint="eastAsia" w:ascii="宋体" w:hAnsi="宋体" w:cs="宋体"/>
          <w:color w:val="auto"/>
          <w:szCs w:val="21"/>
          <w:highlight w:val="none"/>
        </w:rPr>
        <w:t>单位</w:t>
      </w:r>
      <w:r>
        <w:rPr>
          <w:rFonts w:hint="eastAsia" w:ascii="宋体" w:hAnsi="宋体" w:cs="宋体"/>
          <w:color w:val="auto"/>
          <w:kern w:val="0"/>
          <w:szCs w:val="21"/>
          <w:highlight w:val="none"/>
          <w:lang w:val="zh-CN"/>
        </w:rPr>
        <w:t>有权立即取消我单位投标、中标或在建项目的建设资格，有权拒绝我单位在一定时期内进入你</w:t>
      </w:r>
      <w:r>
        <w:rPr>
          <w:rFonts w:hint="eastAsia" w:ascii="宋体" w:hAnsi="宋体" w:cs="宋体"/>
          <w:color w:val="auto"/>
          <w:szCs w:val="21"/>
          <w:highlight w:val="none"/>
        </w:rPr>
        <w:t>单位</w:t>
      </w:r>
      <w:r>
        <w:rPr>
          <w:rFonts w:hint="eastAsia" w:ascii="宋体" w:hAnsi="宋体" w:cs="宋体"/>
          <w:color w:val="auto"/>
          <w:kern w:val="0"/>
          <w:szCs w:val="21"/>
          <w:highlight w:val="none"/>
          <w:lang w:val="zh-CN"/>
        </w:rPr>
        <w:t>进行项目建设或其他经营活动，并通报</w:t>
      </w:r>
      <w:r>
        <w:rPr>
          <w:rFonts w:hint="eastAsia" w:ascii="宋体" w:hAnsi="宋体" w:cs="宋体"/>
          <w:color w:val="auto"/>
          <w:kern w:val="0"/>
          <w:szCs w:val="21"/>
          <w:highlight w:val="none"/>
        </w:rPr>
        <w:t>省财政厅</w:t>
      </w:r>
      <w:r>
        <w:rPr>
          <w:rFonts w:hint="eastAsia" w:ascii="宋体" w:hAnsi="宋体" w:cs="宋体"/>
          <w:color w:val="auto"/>
          <w:kern w:val="0"/>
          <w:szCs w:val="21"/>
          <w:highlight w:val="none"/>
          <w:lang w:val="zh-CN"/>
        </w:rPr>
        <w:t>。由此引起的相应损失均由我单位承担。</w:t>
      </w:r>
    </w:p>
    <w:p w14:paraId="52613756">
      <w:pPr>
        <w:autoSpaceDE w:val="0"/>
        <w:autoSpaceDN w:val="0"/>
        <w:spacing w:line="360" w:lineRule="auto"/>
        <w:ind w:left="2" w:leftChars="1" w:right="1120" w:firstLine="4620" w:firstLineChars="2200"/>
        <w:jc w:val="left"/>
        <w:rPr>
          <w:rFonts w:ascii="宋体" w:hAnsi="宋体" w:cs="宋体"/>
          <w:color w:val="auto"/>
          <w:kern w:val="0"/>
          <w:szCs w:val="21"/>
          <w:highlight w:val="none"/>
          <w:lang w:val="zh-CN"/>
        </w:rPr>
      </w:pPr>
    </w:p>
    <w:p w14:paraId="251F5679">
      <w:pPr>
        <w:autoSpaceDE w:val="0"/>
        <w:autoSpaceDN w:val="0"/>
        <w:spacing w:line="360" w:lineRule="auto"/>
        <w:ind w:left="2" w:leftChars="1" w:right="1120" w:firstLine="4620" w:firstLineChars="2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投标人名称（</w:t>
      </w:r>
      <w:r>
        <w:rPr>
          <w:rFonts w:hint="eastAsia" w:ascii="宋体" w:hAnsi="宋体" w:cs="宋体"/>
          <w:color w:val="auto"/>
          <w:szCs w:val="21"/>
          <w:highlight w:val="none"/>
        </w:rPr>
        <w:t>电子签名</w:t>
      </w:r>
      <w:r>
        <w:rPr>
          <w:rFonts w:hint="eastAsia" w:ascii="宋体" w:hAnsi="宋体" w:cs="宋体"/>
          <w:color w:val="auto"/>
          <w:kern w:val="0"/>
          <w:szCs w:val="21"/>
          <w:highlight w:val="none"/>
          <w:lang w:val="zh-CN"/>
        </w:rPr>
        <w:t xml:space="preserve">）：                   </w:t>
      </w:r>
    </w:p>
    <w:p w14:paraId="06EDEB1A">
      <w:pPr>
        <w:spacing w:line="360" w:lineRule="auto"/>
        <w:ind w:left="4620" w:leftChars="2200"/>
        <w:rPr>
          <w:rFonts w:ascii="宋体" w:hAnsi="宋体" w:cs="宋体"/>
          <w:color w:val="auto"/>
          <w:szCs w:val="21"/>
          <w:highlight w:val="none"/>
        </w:rPr>
      </w:pPr>
      <w:r>
        <w:rPr>
          <w:rFonts w:hint="eastAsia" w:ascii="宋体" w:hAnsi="宋体" w:cs="宋体"/>
          <w:color w:val="auto"/>
          <w:kern w:val="0"/>
          <w:szCs w:val="21"/>
          <w:highlight w:val="none"/>
          <w:lang w:val="zh-CN"/>
        </w:rPr>
        <w:t>日期</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zh-CN"/>
        </w:rPr>
        <w:t xml:space="preserve">   年   月   日</w:t>
      </w:r>
    </w:p>
    <w:p w14:paraId="51511BCE">
      <w:pPr>
        <w:spacing w:line="360" w:lineRule="auto"/>
        <w:jc w:val="center"/>
        <w:rPr>
          <w:rFonts w:ascii="宋体" w:hAnsi="宋体" w:cs="宋体"/>
          <w:b/>
          <w:bCs/>
          <w:color w:val="auto"/>
          <w:szCs w:val="21"/>
          <w:highlight w:val="none"/>
        </w:rPr>
      </w:pPr>
    </w:p>
    <w:p w14:paraId="0B8C6C43">
      <w:pPr>
        <w:spacing w:line="360" w:lineRule="auto"/>
        <w:jc w:val="center"/>
        <w:rPr>
          <w:rFonts w:ascii="宋体" w:hAnsi="宋体" w:cs="宋体"/>
          <w:b/>
          <w:bCs/>
          <w:color w:val="auto"/>
          <w:szCs w:val="21"/>
          <w:highlight w:val="none"/>
        </w:rPr>
        <w:sectPr>
          <w:footerReference r:id="rId12" w:type="first"/>
          <w:footerReference r:id="rId11" w:type="default"/>
          <w:pgSz w:w="11906" w:h="16838"/>
          <w:pgMar w:top="680" w:right="1418" w:bottom="471" w:left="1418" w:header="851" w:footer="992" w:gutter="0"/>
          <w:cols w:space="720" w:num="1"/>
          <w:titlePg/>
          <w:docGrid w:linePitch="312" w:charSpace="0"/>
        </w:sectPr>
      </w:pPr>
    </w:p>
    <w:p w14:paraId="28BFBF97">
      <w:pPr>
        <w:pStyle w:val="3"/>
        <w:ind w:firstLine="428"/>
        <w:jc w:val="center"/>
        <w:rPr>
          <w:color w:val="auto"/>
          <w:szCs w:val="21"/>
          <w:highlight w:val="none"/>
        </w:rPr>
      </w:pPr>
      <w:r>
        <w:rPr>
          <w:rFonts w:hint="eastAsia"/>
          <w:color w:val="auto"/>
          <w:szCs w:val="21"/>
          <w:highlight w:val="none"/>
        </w:rPr>
        <w:t>报价文件部分</w:t>
      </w:r>
    </w:p>
    <w:p w14:paraId="26B42787">
      <w:pPr>
        <w:spacing w:line="360" w:lineRule="auto"/>
        <w:rPr>
          <w:color w:val="auto"/>
          <w:szCs w:val="21"/>
          <w:highlight w:val="none"/>
        </w:rPr>
      </w:pPr>
    </w:p>
    <w:p w14:paraId="200D0D78">
      <w:pPr>
        <w:spacing w:line="360" w:lineRule="auto"/>
        <w:jc w:val="center"/>
        <w:outlineLvl w:val="2"/>
        <w:rPr>
          <w:rFonts w:ascii="宋体" w:hAnsi="宋体" w:cs="宋体"/>
          <w:b/>
          <w:color w:val="auto"/>
          <w:kern w:val="0"/>
          <w:szCs w:val="21"/>
          <w:highlight w:val="none"/>
        </w:rPr>
      </w:pPr>
      <w:r>
        <w:rPr>
          <w:rFonts w:hint="eastAsia" w:ascii="宋体" w:hAnsi="宋体" w:cs="宋体"/>
          <w:b/>
          <w:color w:val="auto"/>
          <w:kern w:val="0"/>
          <w:szCs w:val="21"/>
          <w:highlight w:val="none"/>
        </w:rPr>
        <w:t>目录</w:t>
      </w:r>
    </w:p>
    <w:p w14:paraId="3B4CB988">
      <w:pPr>
        <w:spacing w:line="360" w:lineRule="auto"/>
        <w:jc w:val="center"/>
        <w:rPr>
          <w:rFonts w:ascii="宋体" w:hAnsi="宋体" w:cs="宋体"/>
          <w:b/>
          <w:color w:val="auto"/>
          <w:kern w:val="0"/>
          <w:szCs w:val="21"/>
          <w:highlight w:val="none"/>
        </w:rPr>
      </w:pPr>
    </w:p>
    <w:p w14:paraId="3354866A">
      <w:pPr>
        <w:numPr>
          <w:ilvl w:val="0"/>
          <w:numId w:val="12"/>
        </w:num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开标一览表（报价表）…………………………………………………………（页码）</w:t>
      </w:r>
    </w:p>
    <w:p w14:paraId="2A09969A">
      <w:pPr>
        <w:numPr>
          <w:ilvl w:val="255"/>
          <w:numId w:val="0"/>
        </w:numPr>
        <w:snapToGrid w:val="0"/>
        <w:spacing w:line="360" w:lineRule="auto"/>
        <w:rPr>
          <w:rFonts w:ascii="宋体" w:hAnsi="宋体" w:cs="宋体"/>
          <w:color w:val="auto"/>
          <w:szCs w:val="21"/>
          <w:highlight w:val="none"/>
        </w:rPr>
      </w:pPr>
    </w:p>
    <w:p w14:paraId="7F78BBA9">
      <w:pPr>
        <w:spacing w:line="360" w:lineRule="auto"/>
        <w:rPr>
          <w:color w:val="auto"/>
          <w:szCs w:val="21"/>
          <w:highlight w:val="none"/>
        </w:rPr>
      </w:pPr>
    </w:p>
    <w:p w14:paraId="22E54909">
      <w:pPr>
        <w:snapToGrid w:val="0"/>
        <w:spacing w:line="360" w:lineRule="auto"/>
        <w:ind w:right="480"/>
        <w:jc w:val="center"/>
        <w:rPr>
          <w:rFonts w:ascii="宋体" w:hAnsi="宋体" w:cs="宋体"/>
          <w:b/>
          <w:color w:val="auto"/>
          <w:kern w:val="0"/>
          <w:szCs w:val="21"/>
          <w:highlight w:val="none"/>
        </w:rPr>
      </w:pPr>
    </w:p>
    <w:p w14:paraId="2242A1FC">
      <w:pPr>
        <w:snapToGrid w:val="0"/>
        <w:spacing w:line="360" w:lineRule="auto"/>
        <w:ind w:right="480"/>
        <w:jc w:val="center"/>
        <w:rPr>
          <w:rFonts w:ascii="宋体" w:hAnsi="宋体" w:cs="宋体"/>
          <w:b/>
          <w:color w:val="auto"/>
          <w:kern w:val="0"/>
          <w:szCs w:val="21"/>
          <w:highlight w:val="none"/>
        </w:rPr>
      </w:pPr>
    </w:p>
    <w:p w14:paraId="1CD8485B">
      <w:pPr>
        <w:snapToGrid w:val="0"/>
        <w:spacing w:line="360" w:lineRule="auto"/>
        <w:ind w:right="480"/>
        <w:jc w:val="center"/>
        <w:rPr>
          <w:rFonts w:ascii="宋体" w:hAnsi="宋体" w:cs="宋体"/>
          <w:b/>
          <w:color w:val="auto"/>
          <w:kern w:val="0"/>
          <w:szCs w:val="21"/>
          <w:highlight w:val="none"/>
        </w:rPr>
      </w:pPr>
    </w:p>
    <w:p w14:paraId="1ED43880">
      <w:pPr>
        <w:snapToGrid w:val="0"/>
        <w:spacing w:line="360" w:lineRule="auto"/>
        <w:ind w:right="480"/>
        <w:jc w:val="center"/>
        <w:rPr>
          <w:rFonts w:ascii="宋体" w:hAnsi="宋体" w:cs="宋体"/>
          <w:b/>
          <w:color w:val="auto"/>
          <w:kern w:val="0"/>
          <w:szCs w:val="21"/>
          <w:highlight w:val="none"/>
        </w:rPr>
      </w:pPr>
    </w:p>
    <w:p w14:paraId="67132E08">
      <w:pPr>
        <w:snapToGrid w:val="0"/>
        <w:spacing w:line="360" w:lineRule="auto"/>
        <w:ind w:right="480"/>
        <w:jc w:val="center"/>
        <w:rPr>
          <w:rFonts w:ascii="宋体" w:hAnsi="宋体" w:cs="宋体"/>
          <w:b/>
          <w:color w:val="auto"/>
          <w:kern w:val="0"/>
          <w:szCs w:val="21"/>
          <w:highlight w:val="none"/>
        </w:rPr>
      </w:pPr>
    </w:p>
    <w:p w14:paraId="05E7DA40">
      <w:pPr>
        <w:snapToGrid w:val="0"/>
        <w:spacing w:line="360" w:lineRule="auto"/>
        <w:ind w:right="480"/>
        <w:jc w:val="center"/>
        <w:rPr>
          <w:rFonts w:ascii="宋体" w:hAnsi="宋体" w:cs="宋体"/>
          <w:b/>
          <w:color w:val="auto"/>
          <w:kern w:val="0"/>
          <w:szCs w:val="21"/>
          <w:highlight w:val="none"/>
        </w:rPr>
      </w:pPr>
    </w:p>
    <w:p w14:paraId="19677BDD">
      <w:pPr>
        <w:snapToGrid w:val="0"/>
        <w:spacing w:line="360" w:lineRule="auto"/>
        <w:ind w:right="480"/>
        <w:jc w:val="center"/>
        <w:rPr>
          <w:rFonts w:ascii="宋体" w:hAnsi="宋体" w:cs="宋体"/>
          <w:b/>
          <w:color w:val="auto"/>
          <w:kern w:val="0"/>
          <w:szCs w:val="21"/>
          <w:highlight w:val="none"/>
        </w:rPr>
      </w:pPr>
    </w:p>
    <w:p w14:paraId="27157A6F">
      <w:pPr>
        <w:snapToGrid w:val="0"/>
        <w:spacing w:line="360" w:lineRule="auto"/>
        <w:ind w:right="480"/>
        <w:jc w:val="center"/>
        <w:rPr>
          <w:rFonts w:ascii="宋体" w:hAnsi="宋体" w:cs="宋体"/>
          <w:b/>
          <w:color w:val="auto"/>
          <w:kern w:val="0"/>
          <w:szCs w:val="21"/>
          <w:highlight w:val="none"/>
        </w:rPr>
      </w:pPr>
    </w:p>
    <w:p w14:paraId="5E0DADA4">
      <w:pPr>
        <w:snapToGrid w:val="0"/>
        <w:spacing w:line="360" w:lineRule="auto"/>
        <w:ind w:right="480"/>
        <w:jc w:val="center"/>
        <w:rPr>
          <w:rFonts w:ascii="宋体" w:hAnsi="宋体" w:cs="宋体"/>
          <w:b/>
          <w:color w:val="auto"/>
          <w:kern w:val="0"/>
          <w:szCs w:val="21"/>
          <w:highlight w:val="none"/>
        </w:rPr>
      </w:pPr>
    </w:p>
    <w:p w14:paraId="1844AC92">
      <w:pPr>
        <w:snapToGrid w:val="0"/>
        <w:spacing w:line="360" w:lineRule="auto"/>
        <w:ind w:right="480"/>
        <w:jc w:val="center"/>
        <w:rPr>
          <w:rFonts w:ascii="宋体" w:hAnsi="宋体" w:cs="宋体"/>
          <w:b/>
          <w:color w:val="auto"/>
          <w:kern w:val="0"/>
          <w:szCs w:val="21"/>
          <w:highlight w:val="none"/>
        </w:rPr>
      </w:pPr>
    </w:p>
    <w:p w14:paraId="33153E6C">
      <w:pPr>
        <w:snapToGrid w:val="0"/>
        <w:spacing w:line="360" w:lineRule="auto"/>
        <w:ind w:right="480"/>
        <w:jc w:val="center"/>
        <w:rPr>
          <w:rFonts w:ascii="宋体" w:hAnsi="宋体" w:cs="宋体"/>
          <w:b/>
          <w:color w:val="auto"/>
          <w:kern w:val="0"/>
          <w:szCs w:val="21"/>
          <w:highlight w:val="none"/>
        </w:rPr>
      </w:pPr>
    </w:p>
    <w:p w14:paraId="17869503">
      <w:pPr>
        <w:snapToGrid w:val="0"/>
        <w:spacing w:line="360" w:lineRule="auto"/>
        <w:ind w:right="480"/>
        <w:jc w:val="center"/>
        <w:rPr>
          <w:rFonts w:ascii="宋体" w:hAnsi="宋体" w:cs="宋体"/>
          <w:b/>
          <w:color w:val="auto"/>
          <w:kern w:val="0"/>
          <w:szCs w:val="21"/>
          <w:highlight w:val="none"/>
        </w:rPr>
      </w:pPr>
    </w:p>
    <w:p w14:paraId="3DB4CFE5">
      <w:pPr>
        <w:snapToGrid w:val="0"/>
        <w:spacing w:line="360" w:lineRule="auto"/>
        <w:ind w:right="480"/>
        <w:jc w:val="center"/>
        <w:rPr>
          <w:rFonts w:ascii="宋体" w:hAnsi="宋体" w:cs="宋体"/>
          <w:b/>
          <w:color w:val="auto"/>
          <w:kern w:val="0"/>
          <w:szCs w:val="21"/>
          <w:highlight w:val="none"/>
        </w:rPr>
      </w:pPr>
    </w:p>
    <w:p w14:paraId="0F2014FC">
      <w:pPr>
        <w:snapToGrid w:val="0"/>
        <w:spacing w:line="360" w:lineRule="auto"/>
        <w:ind w:right="480"/>
        <w:jc w:val="center"/>
        <w:rPr>
          <w:rFonts w:ascii="宋体" w:hAnsi="宋体" w:cs="宋体"/>
          <w:b/>
          <w:color w:val="auto"/>
          <w:kern w:val="0"/>
          <w:szCs w:val="21"/>
          <w:highlight w:val="none"/>
        </w:rPr>
      </w:pPr>
    </w:p>
    <w:p w14:paraId="03F9F719">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21"/>
          <w:szCs w:val="21"/>
          <w:highlight w:val="none"/>
        </w:rPr>
        <w:sectPr>
          <w:footerReference r:id="rId15" w:type="first"/>
          <w:headerReference r:id="rId13" w:type="default"/>
          <w:footerReference r:id="rId14" w:type="default"/>
          <w:pgSz w:w="11906" w:h="16838"/>
          <w:pgMar w:top="1276" w:right="1418" w:bottom="1247" w:left="1418" w:header="851" w:footer="992" w:gutter="0"/>
          <w:cols w:space="720" w:num="1"/>
          <w:titlePg/>
          <w:docGrid w:linePitch="312" w:charSpace="0"/>
        </w:sectPr>
      </w:pPr>
    </w:p>
    <w:p w14:paraId="5DD00E8D">
      <w:pPr>
        <w:pStyle w:val="4"/>
        <w:ind w:firstLine="428"/>
        <w:rPr>
          <w:color w:val="auto"/>
          <w:szCs w:val="21"/>
          <w:highlight w:val="none"/>
        </w:rPr>
      </w:pPr>
      <w:r>
        <w:rPr>
          <w:rFonts w:hint="eastAsia"/>
          <w:color w:val="auto"/>
          <w:szCs w:val="21"/>
          <w:highlight w:val="none"/>
        </w:rPr>
        <w:t>一、开标一览表（报价表）</w:t>
      </w:r>
    </w:p>
    <w:p w14:paraId="5CE54243">
      <w:pPr>
        <w:snapToGrid w:val="0"/>
        <w:spacing w:line="360" w:lineRule="auto"/>
        <w:rPr>
          <w:rFonts w:ascii="宋体" w:hAnsi="宋体" w:cs="宋体"/>
          <w:color w:val="auto"/>
          <w:kern w:val="0"/>
          <w:szCs w:val="21"/>
          <w:highlight w:val="none"/>
        </w:rPr>
      </w:pPr>
      <w:r>
        <w:rPr>
          <w:rFonts w:hint="eastAsia" w:ascii="宋体" w:hAnsi="宋体" w:cs="宋体"/>
          <w:color w:val="auto"/>
          <w:szCs w:val="21"/>
          <w:highlight w:val="none"/>
        </w:rPr>
        <w:t>杭州市余杭区数据资源管理局、浙江省成套招标代理有限公司</w:t>
      </w:r>
      <w:r>
        <w:rPr>
          <w:rFonts w:hint="eastAsia" w:ascii="宋体" w:hAnsi="宋体" w:cs="宋体"/>
          <w:color w:val="auto"/>
          <w:kern w:val="0"/>
          <w:szCs w:val="21"/>
          <w:highlight w:val="none"/>
          <w:lang w:val="zh-CN"/>
        </w:rPr>
        <w:t>：</w:t>
      </w:r>
    </w:p>
    <w:p w14:paraId="693B8A0D">
      <w:pPr>
        <w:snapToGrid w:val="0"/>
        <w:spacing w:line="360" w:lineRule="auto"/>
        <w:ind w:firstLine="482"/>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Cs w:val="21"/>
          <w:highlight w:val="none"/>
        </w:rPr>
        <w:t>AI余杭建设项目</w:t>
      </w:r>
      <w:r>
        <w:rPr>
          <w:rFonts w:hint="eastAsia" w:ascii="宋体" w:hAnsi="宋体" w:cs="宋体"/>
          <w:color w:val="auto"/>
          <w:kern w:val="0"/>
          <w:szCs w:val="21"/>
          <w:highlight w:val="none"/>
          <w:lang w:val="zh-CN"/>
        </w:rPr>
        <w:t>【招标编号：</w:t>
      </w:r>
      <w:r>
        <w:rPr>
          <w:rFonts w:hint="eastAsia" w:ascii="宋体" w:hAnsi="宋体" w:cs="宋体"/>
          <w:color w:val="auto"/>
          <w:szCs w:val="21"/>
          <w:highlight w:val="none"/>
          <w:lang w:eastAsia="zh-CN"/>
        </w:rPr>
        <w:t>CTZB-2025010049</w:t>
      </w:r>
      <w:r>
        <w:rPr>
          <w:rFonts w:hint="eastAsia" w:ascii="宋体" w:hAnsi="宋体" w:cs="宋体"/>
          <w:color w:val="auto"/>
          <w:szCs w:val="21"/>
          <w:highlight w:val="none"/>
        </w:rPr>
        <w:t>】的实施</w:t>
      </w:r>
      <w:r>
        <w:rPr>
          <w:rFonts w:hint="eastAsia" w:ascii="宋体" w:hAnsi="宋体" w:cs="宋体"/>
          <w:color w:val="auto"/>
          <w:kern w:val="0"/>
          <w:szCs w:val="21"/>
          <w:highlight w:val="none"/>
          <w:lang w:val="zh-CN"/>
        </w:rPr>
        <w:t>。</w:t>
      </w:r>
    </w:p>
    <w:p w14:paraId="6D64BE60">
      <w:pPr>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6595B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235B840A">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992" w:type="dxa"/>
            <w:vAlign w:val="center"/>
          </w:tcPr>
          <w:p w14:paraId="6A009A64">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名称</w:t>
            </w:r>
          </w:p>
        </w:tc>
        <w:tc>
          <w:tcPr>
            <w:tcW w:w="2268" w:type="dxa"/>
          </w:tcPr>
          <w:p w14:paraId="7AF7D9BC">
            <w:pPr>
              <w:spacing w:line="360" w:lineRule="auto"/>
              <w:jc w:val="center"/>
              <w:rPr>
                <w:rFonts w:ascii="宋体" w:hAnsi="宋体" w:cs="宋体"/>
                <w:b/>
                <w:color w:val="auto"/>
                <w:szCs w:val="21"/>
                <w:highlight w:val="none"/>
              </w:rPr>
            </w:pPr>
          </w:p>
          <w:p w14:paraId="045D65B2">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服务范围</w:t>
            </w:r>
          </w:p>
        </w:tc>
        <w:tc>
          <w:tcPr>
            <w:tcW w:w="2410" w:type="dxa"/>
            <w:vAlign w:val="center"/>
          </w:tcPr>
          <w:p w14:paraId="3ACBF11F">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服务要求</w:t>
            </w:r>
          </w:p>
        </w:tc>
        <w:tc>
          <w:tcPr>
            <w:tcW w:w="2268" w:type="dxa"/>
            <w:vAlign w:val="center"/>
          </w:tcPr>
          <w:p w14:paraId="647935BD">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服务时间</w:t>
            </w:r>
          </w:p>
        </w:tc>
        <w:tc>
          <w:tcPr>
            <w:tcW w:w="2126" w:type="dxa"/>
            <w:vAlign w:val="center"/>
          </w:tcPr>
          <w:p w14:paraId="5D6A894A">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服务标准</w:t>
            </w:r>
          </w:p>
        </w:tc>
        <w:tc>
          <w:tcPr>
            <w:tcW w:w="2127" w:type="dxa"/>
          </w:tcPr>
          <w:p w14:paraId="046C0230">
            <w:pPr>
              <w:spacing w:line="360" w:lineRule="auto"/>
              <w:jc w:val="center"/>
              <w:rPr>
                <w:rFonts w:ascii="宋体" w:hAnsi="宋体" w:cs="宋体"/>
                <w:b/>
                <w:color w:val="auto"/>
                <w:szCs w:val="21"/>
                <w:highlight w:val="none"/>
              </w:rPr>
            </w:pPr>
          </w:p>
          <w:p w14:paraId="4C49766B">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服务人数</w:t>
            </w:r>
          </w:p>
        </w:tc>
        <w:tc>
          <w:tcPr>
            <w:tcW w:w="2126" w:type="dxa"/>
            <w:vAlign w:val="center"/>
          </w:tcPr>
          <w:p w14:paraId="3AE3DE7B">
            <w:pPr>
              <w:spacing w:line="360" w:lineRule="auto"/>
              <w:jc w:val="center"/>
              <w:rPr>
                <w:rFonts w:ascii="宋体" w:hAnsi="宋体" w:cs="宋体"/>
                <w:b/>
                <w:color w:val="auto"/>
                <w:szCs w:val="21"/>
                <w:highlight w:val="none"/>
              </w:rPr>
            </w:pPr>
          </w:p>
          <w:p w14:paraId="5E7BCDD9">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备注（如果有）</w:t>
            </w:r>
          </w:p>
          <w:p w14:paraId="4A2D66D9">
            <w:pPr>
              <w:spacing w:line="360" w:lineRule="auto"/>
              <w:jc w:val="center"/>
              <w:rPr>
                <w:rFonts w:ascii="宋体" w:hAnsi="宋体" w:cs="宋体"/>
                <w:b/>
                <w:color w:val="auto"/>
                <w:szCs w:val="21"/>
                <w:highlight w:val="none"/>
              </w:rPr>
            </w:pPr>
          </w:p>
        </w:tc>
      </w:tr>
      <w:tr w14:paraId="09501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5F9839DC">
            <w:pPr>
              <w:spacing w:line="360" w:lineRule="auto"/>
              <w:jc w:val="center"/>
              <w:rPr>
                <w:rFonts w:ascii="宋体" w:hAnsi="宋体" w:cs="宋体"/>
                <w:color w:val="auto"/>
                <w:szCs w:val="21"/>
                <w:highlight w:val="none"/>
              </w:rPr>
            </w:pPr>
          </w:p>
        </w:tc>
        <w:tc>
          <w:tcPr>
            <w:tcW w:w="992" w:type="dxa"/>
            <w:vAlign w:val="center"/>
          </w:tcPr>
          <w:p w14:paraId="2ED98C07">
            <w:pPr>
              <w:snapToGrid w:val="0"/>
              <w:spacing w:line="360" w:lineRule="auto"/>
              <w:jc w:val="center"/>
              <w:rPr>
                <w:rFonts w:ascii="宋体" w:hAnsi="宋体" w:cs="宋体"/>
                <w:color w:val="auto"/>
                <w:szCs w:val="21"/>
                <w:highlight w:val="none"/>
              </w:rPr>
            </w:pPr>
          </w:p>
        </w:tc>
        <w:tc>
          <w:tcPr>
            <w:tcW w:w="2268" w:type="dxa"/>
            <w:vAlign w:val="center"/>
          </w:tcPr>
          <w:p w14:paraId="7D735D6C">
            <w:pPr>
              <w:snapToGrid w:val="0"/>
              <w:spacing w:line="360" w:lineRule="auto"/>
              <w:jc w:val="center"/>
              <w:rPr>
                <w:rFonts w:ascii="宋体" w:hAnsi="宋体" w:cs="宋体"/>
                <w:color w:val="auto"/>
                <w:szCs w:val="21"/>
                <w:highlight w:val="none"/>
              </w:rPr>
            </w:pPr>
          </w:p>
        </w:tc>
        <w:tc>
          <w:tcPr>
            <w:tcW w:w="2410" w:type="dxa"/>
            <w:vAlign w:val="center"/>
          </w:tcPr>
          <w:p w14:paraId="6B29DA86">
            <w:pPr>
              <w:snapToGrid w:val="0"/>
              <w:spacing w:line="360" w:lineRule="auto"/>
              <w:jc w:val="center"/>
              <w:rPr>
                <w:rFonts w:ascii="宋体" w:hAnsi="宋体" w:cs="宋体"/>
                <w:color w:val="auto"/>
                <w:szCs w:val="21"/>
                <w:highlight w:val="none"/>
              </w:rPr>
            </w:pPr>
          </w:p>
        </w:tc>
        <w:tc>
          <w:tcPr>
            <w:tcW w:w="2268" w:type="dxa"/>
            <w:vAlign w:val="center"/>
          </w:tcPr>
          <w:p w14:paraId="67D1F1A3">
            <w:pPr>
              <w:snapToGrid w:val="0"/>
              <w:spacing w:line="360" w:lineRule="auto"/>
              <w:jc w:val="center"/>
              <w:rPr>
                <w:rFonts w:ascii="宋体" w:hAnsi="宋体" w:cs="宋体"/>
                <w:color w:val="auto"/>
                <w:szCs w:val="21"/>
                <w:highlight w:val="none"/>
              </w:rPr>
            </w:pPr>
          </w:p>
        </w:tc>
        <w:tc>
          <w:tcPr>
            <w:tcW w:w="2126" w:type="dxa"/>
            <w:vAlign w:val="center"/>
          </w:tcPr>
          <w:p w14:paraId="4CA29C22">
            <w:pPr>
              <w:spacing w:line="360" w:lineRule="auto"/>
              <w:jc w:val="center"/>
              <w:rPr>
                <w:rFonts w:ascii="宋体" w:hAnsi="宋体" w:cs="宋体"/>
                <w:color w:val="auto"/>
                <w:szCs w:val="21"/>
                <w:highlight w:val="none"/>
              </w:rPr>
            </w:pPr>
          </w:p>
        </w:tc>
        <w:tc>
          <w:tcPr>
            <w:tcW w:w="2127" w:type="dxa"/>
          </w:tcPr>
          <w:p w14:paraId="397CCC0C">
            <w:pPr>
              <w:spacing w:line="360" w:lineRule="auto"/>
              <w:jc w:val="center"/>
              <w:rPr>
                <w:rFonts w:ascii="宋体" w:hAnsi="宋体" w:cs="宋体"/>
                <w:color w:val="auto"/>
                <w:szCs w:val="21"/>
                <w:highlight w:val="none"/>
              </w:rPr>
            </w:pPr>
          </w:p>
        </w:tc>
        <w:tc>
          <w:tcPr>
            <w:tcW w:w="2126" w:type="dxa"/>
            <w:vAlign w:val="center"/>
          </w:tcPr>
          <w:p w14:paraId="0688EC74">
            <w:pPr>
              <w:spacing w:line="360" w:lineRule="auto"/>
              <w:jc w:val="center"/>
              <w:rPr>
                <w:rFonts w:ascii="宋体" w:hAnsi="宋体" w:cs="宋体"/>
                <w:color w:val="auto"/>
                <w:szCs w:val="21"/>
                <w:highlight w:val="none"/>
              </w:rPr>
            </w:pPr>
          </w:p>
        </w:tc>
      </w:tr>
      <w:tr w14:paraId="71B61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6285127">
            <w:pPr>
              <w:spacing w:line="360" w:lineRule="auto"/>
              <w:jc w:val="center"/>
              <w:rPr>
                <w:rFonts w:ascii="宋体" w:hAnsi="宋体" w:cs="宋体"/>
                <w:color w:val="auto"/>
                <w:szCs w:val="21"/>
                <w:highlight w:val="none"/>
              </w:rPr>
            </w:pPr>
          </w:p>
        </w:tc>
        <w:tc>
          <w:tcPr>
            <w:tcW w:w="992" w:type="dxa"/>
            <w:vAlign w:val="center"/>
          </w:tcPr>
          <w:p w14:paraId="77DE2603">
            <w:pPr>
              <w:snapToGrid w:val="0"/>
              <w:spacing w:line="360" w:lineRule="auto"/>
              <w:jc w:val="center"/>
              <w:rPr>
                <w:rFonts w:ascii="宋体" w:hAnsi="宋体" w:cs="宋体"/>
                <w:color w:val="auto"/>
                <w:szCs w:val="21"/>
                <w:highlight w:val="none"/>
              </w:rPr>
            </w:pPr>
          </w:p>
        </w:tc>
        <w:tc>
          <w:tcPr>
            <w:tcW w:w="2268" w:type="dxa"/>
            <w:vAlign w:val="center"/>
          </w:tcPr>
          <w:p w14:paraId="2BDC6430">
            <w:pPr>
              <w:snapToGrid w:val="0"/>
              <w:spacing w:line="360" w:lineRule="auto"/>
              <w:jc w:val="center"/>
              <w:rPr>
                <w:rFonts w:ascii="宋体" w:hAnsi="宋体" w:cs="宋体"/>
                <w:color w:val="auto"/>
                <w:szCs w:val="21"/>
                <w:highlight w:val="none"/>
              </w:rPr>
            </w:pPr>
          </w:p>
        </w:tc>
        <w:tc>
          <w:tcPr>
            <w:tcW w:w="2410" w:type="dxa"/>
            <w:vAlign w:val="center"/>
          </w:tcPr>
          <w:p w14:paraId="64ED6710">
            <w:pPr>
              <w:snapToGrid w:val="0"/>
              <w:spacing w:line="360" w:lineRule="auto"/>
              <w:jc w:val="center"/>
              <w:rPr>
                <w:rFonts w:ascii="宋体" w:hAnsi="宋体" w:cs="宋体"/>
                <w:color w:val="auto"/>
                <w:szCs w:val="21"/>
                <w:highlight w:val="none"/>
              </w:rPr>
            </w:pPr>
          </w:p>
        </w:tc>
        <w:tc>
          <w:tcPr>
            <w:tcW w:w="2268" w:type="dxa"/>
            <w:vAlign w:val="center"/>
          </w:tcPr>
          <w:p w14:paraId="0B519CC8">
            <w:pPr>
              <w:snapToGrid w:val="0"/>
              <w:spacing w:line="360" w:lineRule="auto"/>
              <w:jc w:val="center"/>
              <w:rPr>
                <w:rFonts w:ascii="宋体" w:hAnsi="宋体" w:cs="宋体"/>
                <w:color w:val="auto"/>
                <w:szCs w:val="21"/>
                <w:highlight w:val="none"/>
              </w:rPr>
            </w:pPr>
          </w:p>
        </w:tc>
        <w:tc>
          <w:tcPr>
            <w:tcW w:w="2126" w:type="dxa"/>
            <w:vAlign w:val="center"/>
          </w:tcPr>
          <w:p w14:paraId="1A6C0F69">
            <w:pPr>
              <w:spacing w:line="360" w:lineRule="auto"/>
              <w:jc w:val="center"/>
              <w:rPr>
                <w:rFonts w:ascii="宋体" w:hAnsi="宋体" w:cs="宋体"/>
                <w:color w:val="auto"/>
                <w:szCs w:val="21"/>
                <w:highlight w:val="none"/>
              </w:rPr>
            </w:pPr>
          </w:p>
        </w:tc>
        <w:tc>
          <w:tcPr>
            <w:tcW w:w="2127" w:type="dxa"/>
          </w:tcPr>
          <w:p w14:paraId="78B11BF4">
            <w:pPr>
              <w:spacing w:line="360" w:lineRule="auto"/>
              <w:jc w:val="center"/>
              <w:rPr>
                <w:rFonts w:ascii="宋体" w:hAnsi="宋体" w:cs="宋体"/>
                <w:color w:val="auto"/>
                <w:szCs w:val="21"/>
                <w:highlight w:val="none"/>
              </w:rPr>
            </w:pPr>
          </w:p>
        </w:tc>
        <w:tc>
          <w:tcPr>
            <w:tcW w:w="2126" w:type="dxa"/>
            <w:vAlign w:val="center"/>
          </w:tcPr>
          <w:p w14:paraId="5F3E95EB">
            <w:pPr>
              <w:spacing w:line="360" w:lineRule="auto"/>
              <w:jc w:val="center"/>
              <w:rPr>
                <w:rFonts w:ascii="宋体" w:hAnsi="宋体" w:cs="宋体"/>
                <w:color w:val="auto"/>
                <w:szCs w:val="21"/>
                <w:highlight w:val="none"/>
              </w:rPr>
            </w:pPr>
          </w:p>
        </w:tc>
      </w:tr>
      <w:tr w14:paraId="32FFD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ACBA6D4">
            <w:pPr>
              <w:spacing w:line="360" w:lineRule="auto"/>
              <w:jc w:val="center"/>
              <w:rPr>
                <w:rFonts w:ascii="宋体" w:hAnsi="宋体" w:cs="宋体"/>
                <w:color w:val="auto"/>
                <w:szCs w:val="21"/>
                <w:highlight w:val="none"/>
              </w:rPr>
            </w:pPr>
          </w:p>
        </w:tc>
        <w:tc>
          <w:tcPr>
            <w:tcW w:w="992" w:type="dxa"/>
            <w:vAlign w:val="center"/>
          </w:tcPr>
          <w:p w14:paraId="4A9C188E">
            <w:pPr>
              <w:snapToGrid w:val="0"/>
              <w:spacing w:line="360" w:lineRule="auto"/>
              <w:jc w:val="center"/>
              <w:rPr>
                <w:rFonts w:ascii="宋体" w:hAnsi="宋体" w:cs="宋体"/>
                <w:color w:val="auto"/>
                <w:szCs w:val="21"/>
                <w:highlight w:val="none"/>
              </w:rPr>
            </w:pPr>
          </w:p>
        </w:tc>
        <w:tc>
          <w:tcPr>
            <w:tcW w:w="2268" w:type="dxa"/>
            <w:vAlign w:val="center"/>
          </w:tcPr>
          <w:p w14:paraId="59868C4A">
            <w:pPr>
              <w:snapToGrid w:val="0"/>
              <w:spacing w:line="360" w:lineRule="auto"/>
              <w:jc w:val="center"/>
              <w:rPr>
                <w:rFonts w:ascii="宋体" w:hAnsi="宋体" w:cs="宋体"/>
                <w:color w:val="auto"/>
                <w:szCs w:val="21"/>
                <w:highlight w:val="none"/>
              </w:rPr>
            </w:pPr>
          </w:p>
        </w:tc>
        <w:tc>
          <w:tcPr>
            <w:tcW w:w="2410" w:type="dxa"/>
            <w:vAlign w:val="center"/>
          </w:tcPr>
          <w:p w14:paraId="2AF7DF79">
            <w:pPr>
              <w:snapToGrid w:val="0"/>
              <w:spacing w:line="360" w:lineRule="auto"/>
              <w:jc w:val="center"/>
              <w:rPr>
                <w:rFonts w:ascii="宋体" w:hAnsi="宋体" w:cs="宋体"/>
                <w:color w:val="auto"/>
                <w:szCs w:val="21"/>
                <w:highlight w:val="none"/>
              </w:rPr>
            </w:pPr>
          </w:p>
        </w:tc>
        <w:tc>
          <w:tcPr>
            <w:tcW w:w="2268" w:type="dxa"/>
            <w:vAlign w:val="center"/>
          </w:tcPr>
          <w:p w14:paraId="323EC06F">
            <w:pPr>
              <w:snapToGrid w:val="0"/>
              <w:spacing w:line="360" w:lineRule="auto"/>
              <w:jc w:val="center"/>
              <w:rPr>
                <w:rFonts w:ascii="宋体" w:hAnsi="宋体" w:cs="宋体"/>
                <w:color w:val="auto"/>
                <w:szCs w:val="21"/>
                <w:highlight w:val="none"/>
              </w:rPr>
            </w:pPr>
          </w:p>
        </w:tc>
        <w:tc>
          <w:tcPr>
            <w:tcW w:w="2126" w:type="dxa"/>
            <w:vAlign w:val="center"/>
          </w:tcPr>
          <w:p w14:paraId="5A1356C5">
            <w:pPr>
              <w:spacing w:line="360" w:lineRule="auto"/>
              <w:jc w:val="center"/>
              <w:rPr>
                <w:rFonts w:ascii="宋体" w:hAnsi="宋体" w:cs="宋体"/>
                <w:color w:val="auto"/>
                <w:szCs w:val="21"/>
                <w:highlight w:val="none"/>
              </w:rPr>
            </w:pPr>
          </w:p>
        </w:tc>
        <w:tc>
          <w:tcPr>
            <w:tcW w:w="2127" w:type="dxa"/>
          </w:tcPr>
          <w:p w14:paraId="66B9F627">
            <w:pPr>
              <w:spacing w:line="360" w:lineRule="auto"/>
              <w:jc w:val="center"/>
              <w:rPr>
                <w:rFonts w:ascii="宋体" w:hAnsi="宋体" w:cs="宋体"/>
                <w:color w:val="auto"/>
                <w:szCs w:val="21"/>
                <w:highlight w:val="none"/>
              </w:rPr>
            </w:pPr>
          </w:p>
        </w:tc>
        <w:tc>
          <w:tcPr>
            <w:tcW w:w="2126" w:type="dxa"/>
            <w:vAlign w:val="center"/>
          </w:tcPr>
          <w:p w14:paraId="6FA939B4">
            <w:pPr>
              <w:spacing w:line="360" w:lineRule="auto"/>
              <w:jc w:val="center"/>
              <w:rPr>
                <w:rFonts w:ascii="宋体" w:hAnsi="宋体" w:cs="宋体"/>
                <w:color w:val="auto"/>
                <w:szCs w:val="21"/>
                <w:highlight w:val="none"/>
              </w:rPr>
            </w:pPr>
          </w:p>
        </w:tc>
      </w:tr>
      <w:tr w14:paraId="2B658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29A0A36">
            <w:pPr>
              <w:spacing w:line="360" w:lineRule="auto"/>
              <w:jc w:val="center"/>
              <w:rPr>
                <w:rFonts w:ascii="宋体" w:hAnsi="宋体" w:cs="宋体"/>
                <w:color w:val="auto"/>
                <w:szCs w:val="21"/>
                <w:highlight w:val="none"/>
              </w:rPr>
            </w:pPr>
          </w:p>
        </w:tc>
        <w:tc>
          <w:tcPr>
            <w:tcW w:w="992" w:type="dxa"/>
            <w:vAlign w:val="center"/>
          </w:tcPr>
          <w:p w14:paraId="2A49D245">
            <w:pPr>
              <w:snapToGrid w:val="0"/>
              <w:spacing w:line="360" w:lineRule="auto"/>
              <w:jc w:val="center"/>
              <w:rPr>
                <w:rFonts w:ascii="宋体" w:hAnsi="宋体" w:cs="宋体"/>
                <w:color w:val="auto"/>
                <w:szCs w:val="21"/>
                <w:highlight w:val="none"/>
              </w:rPr>
            </w:pPr>
          </w:p>
        </w:tc>
        <w:tc>
          <w:tcPr>
            <w:tcW w:w="2268" w:type="dxa"/>
            <w:vAlign w:val="center"/>
          </w:tcPr>
          <w:p w14:paraId="37C79BD9">
            <w:pPr>
              <w:snapToGrid w:val="0"/>
              <w:spacing w:line="360" w:lineRule="auto"/>
              <w:jc w:val="center"/>
              <w:rPr>
                <w:rFonts w:ascii="宋体" w:hAnsi="宋体" w:cs="宋体"/>
                <w:color w:val="auto"/>
                <w:szCs w:val="21"/>
                <w:highlight w:val="none"/>
              </w:rPr>
            </w:pPr>
          </w:p>
        </w:tc>
        <w:tc>
          <w:tcPr>
            <w:tcW w:w="2410" w:type="dxa"/>
            <w:vAlign w:val="center"/>
          </w:tcPr>
          <w:p w14:paraId="687E8F7A">
            <w:pPr>
              <w:snapToGrid w:val="0"/>
              <w:spacing w:line="360" w:lineRule="auto"/>
              <w:jc w:val="center"/>
              <w:rPr>
                <w:rFonts w:ascii="宋体" w:hAnsi="宋体" w:cs="宋体"/>
                <w:color w:val="auto"/>
                <w:szCs w:val="21"/>
                <w:highlight w:val="none"/>
              </w:rPr>
            </w:pPr>
          </w:p>
        </w:tc>
        <w:tc>
          <w:tcPr>
            <w:tcW w:w="2268" w:type="dxa"/>
            <w:vAlign w:val="center"/>
          </w:tcPr>
          <w:p w14:paraId="33A29E2C">
            <w:pPr>
              <w:snapToGrid w:val="0"/>
              <w:spacing w:line="360" w:lineRule="auto"/>
              <w:jc w:val="center"/>
              <w:rPr>
                <w:rFonts w:ascii="宋体" w:hAnsi="宋体" w:cs="宋体"/>
                <w:color w:val="auto"/>
                <w:szCs w:val="21"/>
                <w:highlight w:val="none"/>
              </w:rPr>
            </w:pPr>
          </w:p>
        </w:tc>
        <w:tc>
          <w:tcPr>
            <w:tcW w:w="2126" w:type="dxa"/>
            <w:vAlign w:val="center"/>
          </w:tcPr>
          <w:p w14:paraId="75FD05E2">
            <w:pPr>
              <w:spacing w:line="360" w:lineRule="auto"/>
              <w:jc w:val="center"/>
              <w:rPr>
                <w:rFonts w:ascii="宋体" w:hAnsi="宋体" w:cs="宋体"/>
                <w:color w:val="auto"/>
                <w:szCs w:val="21"/>
                <w:highlight w:val="none"/>
              </w:rPr>
            </w:pPr>
          </w:p>
        </w:tc>
        <w:tc>
          <w:tcPr>
            <w:tcW w:w="2127" w:type="dxa"/>
          </w:tcPr>
          <w:p w14:paraId="3DB9CDA3">
            <w:pPr>
              <w:spacing w:line="360" w:lineRule="auto"/>
              <w:jc w:val="center"/>
              <w:rPr>
                <w:rFonts w:ascii="宋体" w:hAnsi="宋体" w:cs="宋体"/>
                <w:color w:val="auto"/>
                <w:szCs w:val="21"/>
                <w:highlight w:val="none"/>
              </w:rPr>
            </w:pPr>
          </w:p>
        </w:tc>
        <w:tc>
          <w:tcPr>
            <w:tcW w:w="2126" w:type="dxa"/>
            <w:vAlign w:val="center"/>
          </w:tcPr>
          <w:p w14:paraId="1AAEF085">
            <w:pPr>
              <w:spacing w:line="360" w:lineRule="auto"/>
              <w:jc w:val="center"/>
              <w:rPr>
                <w:rFonts w:ascii="宋体" w:hAnsi="宋体" w:cs="宋体"/>
                <w:color w:val="auto"/>
                <w:szCs w:val="21"/>
                <w:highlight w:val="none"/>
              </w:rPr>
            </w:pPr>
          </w:p>
        </w:tc>
      </w:tr>
      <w:tr w14:paraId="677D1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7302353">
            <w:pPr>
              <w:spacing w:line="360" w:lineRule="auto"/>
              <w:jc w:val="center"/>
              <w:rPr>
                <w:rFonts w:ascii="宋体" w:hAnsi="宋体" w:cs="宋体"/>
                <w:color w:val="auto"/>
                <w:szCs w:val="21"/>
                <w:highlight w:val="none"/>
              </w:rPr>
            </w:pPr>
          </w:p>
        </w:tc>
        <w:tc>
          <w:tcPr>
            <w:tcW w:w="992" w:type="dxa"/>
            <w:vAlign w:val="center"/>
          </w:tcPr>
          <w:p w14:paraId="64773299">
            <w:pPr>
              <w:snapToGrid w:val="0"/>
              <w:spacing w:line="360" w:lineRule="auto"/>
              <w:jc w:val="center"/>
              <w:rPr>
                <w:rFonts w:ascii="宋体" w:hAnsi="宋体" w:cs="宋体"/>
                <w:color w:val="auto"/>
                <w:szCs w:val="21"/>
                <w:highlight w:val="none"/>
              </w:rPr>
            </w:pPr>
          </w:p>
        </w:tc>
        <w:tc>
          <w:tcPr>
            <w:tcW w:w="2268" w:type="dxa"/>
            <w:vAlign w:val="center"/>
          </w:tcPr>
          <w:p w14:paraId="5AD97BC9">
            <w:pPr>
              <w:snapToGrid w:val="0"/>
              <w:spacing w:line="360" w:lineRule="auto"/>
              <w:jc w:val="center"/>
              <w:rPr>
                <w:rFonts w:ascii="宋体" w:hAnsi="宋体" w:cs="宋体"/>
                <w:color w:val="auto"/>
                <w:szCs w:val="21"/>
                <w:highlight w:val="none"/>
              </w:rPr>
            </w:pPr>
          </w:p>
        </w:tc>
        <w:tc>
          <w:tcPr>
            <w:tcW w:w="2410" w:type="dxa"/>
            <w:vAlign w:val="center"/>
          </w:tcPr>
          <w:p w14:paraId="7F4DE221">
            <w:pPr>
              <w:snapToGrid w:val="0"/>
              <w:spacing w:line="360" w:lineRule="auto"/>
              <w:jc w:val="center"/>
              <w:rPr>
                <w:rFonts w:ascii="宋体" w:hAnsi="宋体" w:cs="宋体"/>
                <w:color w:val="auto"/>
                <w:szCs w:val="21"/>
                <w:highlight w:val="none"/>
              </w:rPr>
            </w:pPr>
          </w:p>
        </w:tc>
        <w:tc>
          <w:tcPr>
            <w:tcW w:w="2268" w:type="dxa"/>
            <w:vAlign w:val="center"/>
          </w:tcPr>
          <w:p w14:paraId="2202217E">
            <w:pPr>
              <w:snapToGrid w:val="0"/>
              <w:spacing w:line="360" w:lineRule="auto"/>
              <w:jc w:val="center"/>
              <w:rPr>
                <w:rFonts w:ascii="宋体" w:hAnsi="宋体" w:cs="宋体"/>
                <w:color w:val="auto"/>
                <w:szCs w:val="21"/>
                <w:highlight w:val="none"/>
              </w:rPr>
            </w:pPr>
          </w:p>
        </w:tc>
        <w:tc>
          <w:tcPr>
            <w:tcW w:w="2126" w:type="dxa"/>
            <w:vAlign w:val="center"/>
          </w:tcPr>
          <w:p w14:paraId="3F63B0F7">
            <w:pPr>
              <w:spacing w:line="360" w:lineRule="auto"/>
              <w:jc w:val="center"/>
              <w:rPr>
                <w:rFonts w:ascii="宋体" w:hAnsi="宋体" w:cs="宋体"/>
                <w:color w:val="auto"/>
                <w:szCs w:val="21"/>
                <w:highlight w:val="none"/>
              </w:rPr>
            </w:pPr>
          </w:p>
        </w:tc>
        <w:tc>
          <w:tcPr>
            <w:tcW w:w="2127" w:type="dxa"/>
          </w:tcPr>
          <w:p w14:paraId="31B5B48A">
            <w:pPr>
              <w:spacing w:line="360" w:lineRule="auto"/>
              <w:jc w:val="center"/>
              <w:rPr>
                <w:rFonts w:ascii="宋体" w:hAnsi="宋体" w:cs="宋体"/>
                <w:color w:val="auto"/>
                <w:szCs w:val="21"/>
                <w:highlight w:val="none"/>
              </w:rPr>
            </w:pPr>
          </w:p>
        </w:tc>
        <w:tc>
          <w:tcPr>
            <w:tcW w:w="2126" w:type="dxa"/>
            <w:vAlign w:val="center"/>
          </w:tcPr>
          <w:p w14:paraId="034AE1C2">
            <w:pPr>
              <w:spacing w:line="360" w:lineRule="auto"/>
              <w:jc w:val="center"/>
              <w:rPr>
                <w:rFonts w:ascii="宋体" w:hAnsi="宋体" w:cs="宋体"/>
                <w:color w:val="auto"/>
                <w:szCs w:val="21"/>
                <w:highlight w:val="none"/>
              </w:rPr>
            </w:pPr>
          </w:p>
        </w:tc>
      </w:tr>
      <w:tr w14:paraId="2002C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11BE72B7">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投标报价（小写）</w:t>
            </w:r>
          </w:p>
        </w:tc>
        <w:tc>
          <w:tcPr>
            <w:tcW w:w="8647" w:type="dxa"/>
            <w:gridSpan w:val="4"/>
          </w:tcPr>
          <w:p w14:paraId="1619C7D4">
            <w:pPr>
              <w:spacing w:line="360" w:lineRule="auto"/>
              <w:jc w:val="center"/>
              <w:rPr>
                <w:rFonts w:ascii="宋体" w:hAnsi="宋体" w:cs="宋体"/>
                <w:color w:val="auto"/>
                <w:szCs w:val="21"/>
                <w:highlight w:val="none"/>
              </w:rPr>
            </w:pPr>
          </w:p>
        </w:tc>
      </w:tr>
      <w:tr w14:paraId="0C353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6B8A911D">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投标报价（大写）</w:t>
            </w:r>
          </w:p>
        </w:tc>
        <w:tc>
          <w:tcPr>
            <w:tcW w:w="8647" w:type="dxa"/>
            <w:gridSpan w:val="4"/>
          </w:tcPr>
          <w:p w14:paraId="0ADA354A">
            <w:pPr>
              <w:spacing w:line="360" w:lineRule="auto"/>
              <w:jc w:val="center"/>
              <w:rPr>
                <w:rFonts w:ascii="宋体" w:hAnsi="宋体" w:cs="宋体"/>
                <w:color w:val="auto"/>
                <w:szCs w:val="21"/>
                <w:highlight w:val="none"/>
              </w:rPr>
            </w:pPr>
          </w:p>
        </w:tc>
      </w:tr>
    </w:tbl>
    <w:p w14:paraId="67A04E38">
      <w:pPr>
        <w:spacing w:line="360" w:lineRule="auto"/>
        <w:ind w:firstLine="420" w:firstLineChars="200"/>
        <w:rPr>
          <w:rFonts w:ascii="宋体" w:hAnsi="宋体" w:cs="宋体"/>
          <w:bCs/>
          <w:color w:val="auto"/>
          <w:kern w:val="0"/>
          <w:szCs w:val="21"/>
          <w:highlight w:val="none"/>
          <w:lang w:val="zh-CN"/>
        </w:rPr>
      </w:pPr>
    </w:p>
    <w:p w14:paraId="0B38A3AF">
      <w:pPr>
        <w:spacing w:line="360" w:lineRule="auto"/>
        <w:ind w:firstLine="420" w:firstLineChars="200"/>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注：</w:t>
      </w:r>
    </w:p>
    <w:p w14:paraId="4AA540F9">
      <w:pPr>
        <w:spacing w:line="360" w:lineRule="auto"/>
        <w:ind w:firstLine="420" w:firstLineChars="200"/>
        <w:rPr>
          <w:rFonts w:ascii="宋体" w:hAnsi="宋体" w:cs="宋体"/>
          <w:bCs/>
          <w:color w:val="auto"/>
          <w:kern w:val="0"/>
          <w:szCs w:val="21"/>
          <w:highlight w:val="none"/>
          <w:lang w:val="zh-CN"/>
        </w:rPr>
      </w:pPr>
      <w:r>
        <w:rPr>
          <w:rFonts w:ascii="宋体" w:hAnsi="宋体" w:cs="宋体"/>
          <w:bCs/>
          <w:color w:val="auto"/>
          <w:kern w:val="0"/>
          <w:szCs w:val="21"/>
          <w:highlight w:val="none"/>
          <w:lang w:val="zh-CN"/>
        </w:rPr>
        <w:t>1、投标人需按本表格式填写，</w:t>
      </w:r>
      <w:r>
        <w:rPr>
          <w:rFonts w:hint="eastAsia" w:ascii="宋体" w:hAnsi="宋体" w:cs="宋体"/>
          <w:bCs/>
          <w:color w:val="auto"/>
          <w:kern w:val="0"/>
          <w:szCs w:val="21"/>
          <w:highlight w:val="none"/>
          <w:lang w:val="zh-CN"/>
        </w:rPr>
        <w:t>否则视为投标文件含有采购人不能接受的附加条件，投标无效。</w:t>
      </w:r>
    </w:p>
    <w:p w14:paraId="47F8C2AA">
      <w:pPr>
        <w:spacing w:line="360" w:lineRule="auto"/>
        <w:ind w:firstLine="420" w:firstLineChars="200"/>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2、有关本项目实施所涉及的一切费用均计入报价。</w:t>
      </w:r>
      <w:r>
        <w:rPr>
          <w:rFonts w:hint="eastAsia" w:ascii="宋体" w:hAnsi="宋体" w:cs="宋体"/>
          <w:bCs/>
          <w:color w:val="auto"/>
          <w:kern w:val="0"/>
          <w:szCs w:val="21"/>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宋体" w:hAnsi="宋体" w:cs="宋体"/>
          <w:bCs/>
          <w:color w:val="auto"/>
          <w:kern w:val="0"/>
          <w:szCs w:val="21"/>
          <w:highlight w:val="none"/>
          <w:lang w:val="zh-CN"/>
        </w:rPr>
        <w:t>总价不为零，部分产品、服务单价为零的，视作已包含在总价中。采购内容未包含在《开标一览表（报价表）》名称栏中，投标人不能作出合理解释的，视为投标文件含有采购人不能接受的附加条件的，投标无效。</w:t>
      </w:r>
    </w:p>
    <w:p w14:paraId="64551C12">
      <w:pPr>
        <w:spacing w:line="360" w:lineRule="auto"/>
        <w:ind w:firstLine="420" w:firstLineChars="200"/>
        <w:rPr>
          <w:rFonts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3</w:t>
      </w:r>
      <w:r>
        <w:rPr>
          <w:rFonts w:ascii="宋体" w:hAnsi="宋体" w:cs="宋体"/>
          <w:bCs/>
          <w:color w:val="auto"/>
          <w:kern w:val="0"/>
          <w:szCs w:val="21"/>
          <w:highlight w:val="none"/>
          <w:lang w:val="zh-CN"/>
        </w:rPr>
        <w:t>、特别提示：</w:t>
      </w:r>
      <w:r>
        <w:rPr>
          <w:rFonts w:hint="eastAsia" w:ascii="宋体" w:hAnsi="宋体" w:cs="宋体"/>
          <w:bCs/>
          <w:color w:val="auto"/>
          <w:kern w:val="0"/>
          <w:szCs w:val="21"/>
          <w:highlight w:val="none"/>
          <w:lang w:val="zh-CN"/>
        </w:rPr>
        <w:t>采购代理机构</w:t>
      </w:r>
      <w:r>
        <w:rPr>
          <w:rFonts w:ascii="宋体" w:hAnsi="宋体" w:cs="宋体"/>
          <w:bCs/>
          <w:color w:val="auto"/>
          <w:kern w:val="0"/>
          <w:szCs w:val="21"/>
          <w:highlight w:val="none"/>
          <w:lang w:val="zh-CN"/>
        </w:rPr>
        <w:t>将对项目名称和项目编号，中标供应商名称、地址和中标金额，主要中标标的</w:t>
      </w:r>
      <w:r>
        <w:rPr>
          <w:rFonts w:hint="eastAsia" w:ascii="宋体" w:hAnsi="宋体" w:cs="宋体"/>
          <w:bCs/>
          <w:color w:val="auto"/>
          <w:kern w:val="0"/>
          <w:szCs w:val="21"/>
          <w:highlight w:val="none"/>
          <w:lang w:val="zh-CN"/>
        </w:rPr>
        <w:t>名称、服务范围、服务要求、服务时间、服务标准等予以公示。</w:t>
      </w:r>
    </w:p>
    <w:p w14:paraId="68B327BA">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21"/>
          <w:szCs w:val="21"/>
          <w:highlight w:val="none"/>
        </w:rPr>
        <w:sectPr>
          <w:pgSz w:w="16838" w:h="11906" w:orient="landscape"/>
          <w:pgMar w:top="1418" w:right="1247" w:bottom="1418" w:left="1276" w:header="851" w:footer="992" w:gutter="0"/>
          <w:cols w:space="720" w:num="1"/>
          <w:titlePg/>
          <w:docGrid w:linePitch="312" w:charSpace="0"/>
        </w:sectPr>
      </w:pPr>
    </w:p>
    <w:p w14:paraId="6179BE33">
      <w:pPr>
        <w:spacing w:line="360" w:lineRule="auto"/>
        <w:rPr>
          <w:b/>
          <w:bCs/>
          <w:color w:val="auto"/>
          <w:szCs w:val="21"/>
          <w:highlight w:val="none"/>
        </w:rPr>
      </w:pPr>
      <w:bookmarkStart w:id="562" w:name="_Toc465665161"/>
    </w:p>
    <w:bookmarkEnd w:id="562"/>
    <w:p w14:paraId="115BBEB9">
      <w:pPr>
        <w:pStyle w:val="4"/>
        <w:ind w:firstLine="428"/>
        <w:rPr>
          <w:rFonts w:ascii="宋体" w:hAnsi="宋体" w:cs="宋体"/>
          <w:color w:val="auto"/>
          <w:szCs w:val="21"/>
          <w:highlight w:val="none"/>
        </w:rPr>
      </w:pPr>
      <w:r>
        <w:rPr>
          <w:rFonts w:hint="eastAsia" w:ascii="宋体" w:hAnsi="宋体" w:cs="宋体"/>
          <w:color w:val="auto"/>
          <w:szCs w:val="21"/>
          <w:highlight w:val="none"/>
        </w:rPr>
        <w:t>附件</w:t>
      </w:r>
    </w:p>
    <w:p w14:paraId="3805CF3D">
      <w:pPr>
        <w:pStyle w:val="4"/>
        <w:ind w:firstLine="428"/>
        <w:rPr>
          <w:rFonts w:ascii="宋体" w:hAnsi="宋体" w:cs="宋体"/>
          <w:color w:val="auto"/>
          <w:szCs w:val="21"/>
          <w:highlight w:val="none"/>
        </w:rPr>
      </w:pPr>
      <w:r>
        <w:rPr>
          <w:rFonts w:hint="eastAsia" w:ascii="宋体" w:hAnsi="宋体" w:cs="宋体"/>
          <w:color w:val="auto"/>
          <w:szCs w:val="21"/>
          <w:highlight w:val="none"/>
        </w:rPr>
        <w:t>附件1：残疾人福利性单位声明函</w:t>
      </w:r>
    </w:p>
    <w:p w14:paraId="02DB7DFC">
      <w:pPr>
        <w:spacing w:line="360" w:lineRule="auto"/>
        <w:jc w:val="center"/>
        <w:rPr>
          <w:rFonts w:ascii="宋体" w:hAnsi="宋体" w:cs="宋体"/>
          <w:b/>
          <w:color w:val="auto"/>
          <w:spacing w:val="6"/>
          <w:szCs w:val="21"/>
          <w:highlight w:val="none"/>
        </w:rPr>
      </w:pPr>
      <w:bookmarkStart w:id="563" w:name="OLE_LINK13"/>
      <w:bookmarkStart w:id="564" w:name="OLE_LINK14"/>
      <w:r>
        <w:rPr>
          <w:rFonts w:hint="eastAsia" w:ascii="宋体" w:hAnsi="宋体" w:cs="宋体"/>
          <w:b/>
          <w:color w:val="auto"/>
          <w:spacing w:val="6"/>
          <w:szCs w:val="21"/>
          <w:highlight w:val="none"/>
        </w:rPr>
        <w:t>残疾人福利性单位声明函</w:t>
      </w:r>
    </w:p>
    <w:bookmarkEnd w:id="563"/>
    <w:bookmarkEnd w:id="564"/>
    <w:p w14:paraId="46CCA821">
      <w:pPr>
        <w:spacing w:line="360" w:lineRule="auto"/>
        <w:rPr>
          <w:rFonts w:ascii="宋体" w:hAnsi="宋体" w:cs="宋体"/>
          <w:b/>
          <w:color w:val="auto"/>
          <w:spacing w:val="6"/>
          <w:szCs w:val="21"/>
          <w:highlight w:val="none"/>
        </w:rPr>
      </w:pPr>
    </w:p>
    <w:p w14:paraId="6E33A27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本单位郑重声明，根据《财政部 民政部 中国残疾人联合会关于促进残疾人就业政府采购政策的通知》（财库</w:t>
      </w:r>
      <w:r>
        <w:rPr>
          <w:rFonts w:hint="eastAsia" w:ascii="宋体" w:hAnsi="宋体" w:cs="宋体"/>
          <w:color w:val="auto"/>
          <w:szCs w:val="21"/>
          <w:highlight w:val="none"/>
          <w:lang w:eastAsia="zh-CN"/>
        </w:rPr>
        <w:t>〔2017〕141号</w:t>
      </w:r>
      <w:r>
        <w:rPr>
          <w:rFonts w:hint="eastAsia" w:ascii="宋体" w:hAnsi="宋体" w:cs="宋体"/>
          <w:color w:val="auto"/>
          <w:szCs w:val="21"/>
          <w:highlight w:val="none"/>
        </w:rPr>
        <w:t>）的规定，本单位为符合条件的残疾人福利性单位，且本单位参加</w:t>
      </w:r>
      <w:r>
        <w:rPr>
          <w:rFonts w:hint="eastAsia" w:ascii="宋体" w:hAnsi="宋体" w:cs="宋体"/>
          <w:color w:val="auto"/>
          <w:szCs w:val="21"/>
          <w:highlight w:val="none"/>
          <w:lang w:eastAsia="zh-CN"/>
        </w:rPr>
        <w:t>（</w:t>
      </w:r>
      <w:r>
        <w:rPr>
          <w:rFonts w:hint="eastAsia" w:ascii="宋体" w:hAnsi="宋体" w:cs="宋体"/>
          <w:color w:val="auto"/>
          <w:szCs w:val="21"/>
          <w:highlight w:val="none"/>
          <w:u w:val="single"/>
        </w:rPr>
        <w:t>采）人</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rPr>
        <w:t>单位的</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项目采购活动提供本单位制造的货物（由本单位承担工程/提供服务），或者提供其他残疾人福利性单位制造的货物（不包括使用非残疾人福利性单位注册商标的货物）。</w:t>
      </w:r>
    </w:p>
    <w:p w14:paraId="7210969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本单位对上述声明的真实性负责。如有虚假，将依法承担相应责任。</w:t>
      </w:r>
    </w:p>
    <w:p w14:paraId="70E9E743">
      <w:pPr>
        <w:spacing w:line="360" w:lineRule="auto"/>
        <w:ind w:firstLine="420" w:firstLineChars="200"/>
        <w:rPr>
          <w:rFonts w:ascii="宋体" w:hAnsi="宋体" w:cs="宋体"/>
          <w:color w:val="auto"/>
          <w:szCs w:val="21"/>
          <w:highlight w:val="none"/>
        </w:rPr>
      </w:pPr>
    </w:p>
    <w:p w14:paraId="183F3EA8">
      <w:pPr>
        <w:spacing w:line="360" w:lineRule="auto"/>
        <w:ind w:firstLine="420" w:firstLineChars="200"/>
        <w:rPr>
          <w:rFonts w:ascii="宋体" w:hAnsi="宋体" w:cs="宋体"/>
          <w:color w:val="auto"/>
          <w:szCs w:val="21"/>
          <w:highlight w:val="none"/>
        </w:rPr>
      </w:pPr>
    </w:p>
    <w:p w14:paraId="01F181A3">
      <w:pPr>
        <w:tabs>
          <w:tab w:val="left" w:pos="4860"/>
        </w:tabs>
        <w:spacing w:line="360" w:lineRule="auto"/>
        <w:ind w:right="1560" w:firstLine="420" w:firstLineChars="200"/>
        <w:jc w:val="center"/>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kern w:val="0"/>
          <w:szCs w:val="21"/>
          <w:highlight w:val="none"/>
          <w:lang w:val="zh-CN"/>
        </w:rPr>
        <w:t>投标人名称（电子签名）</w:t>
      </w:r>
      <w:r>
        <w:rPr>
          <w:rFonts w:hint="eastAsia" w:ascii="宋体" w:hAnsi="宋体" w:cs="宋体"/>
          <w:color w:val="auto"/>
          <w:szCs w:val="21"/>
          <w:highlight w:val="none"/>
        </w:rPr>
        <w:t>：</w:t>
      </w:r>
    </w:p>
    <w:p w14:paraId="36ADEC6B">
      <w:pPr>
        <w:tabs>
          <w:tab w:val="left" w:pos="4860"/>
        </w:tabs>
        <w:spacing w:line="360" w:lineRule="auto"/>
        <w:ind w:right="1560" w:firstLine="420" w:firstLineChars="200"/>
        <w:jc w:val="center"/>
        <w:rPr>
          <w:rFonts w:ascii="宋体" w:hAnsi="宋体" w:cs="宋体"/>
          <w:color w:val="auto"/>
          <w:szCs w:val="21"/>
          <w:highlight w:val="none"/>
        </w:rPr>
      </w:pPr>
      <w:r>
        <w:rPr>
          <w:rFonts w:hint="eastAsia" w:ascii="宋体" w:hAnsi="宋体" w:cs="宋体"/>
          <w:color w:val="auto"/>
          <w:szCs w:val="21"/>
          <w:highlight w:val="none"/>
        </w:rPr>
        <w:t xml:space="preserve">       日  期：</w:t>
      </w:r>
    </w:p>
    <w:p w14:paraId="0BC42376">
      <w:pPr>
        <w:spacing w:line="360" w:lineRule="auto"/>
        <w:ind w:firstLine="420" w:firstLineChars="200"/>
        <w:rPr>
          <w:rFonts w:ascii="宋体" w:hAnsi="宋体" w:cs="宋体"/>
          <w:color w:val="auto"/>
          <w:szCs w:val="21"/>
          <w:highlight w:val="none"/>
        </w:rPr>
      </w:pPr>
    </w:p>
    <w:p w14:paraId="3841DEE9">
      <w:pPr>
        <w:spacing w:line="360" w:lineRule="auto"/>
        <w:ind w:firstLine="420" w:firstLineChars="200"/>
        <w:rPr>
          <w:rFonts w:ascii="宋体" w:hAnsi="宋体" w:cs="宋体"/>
          <w:color w:val="auto"/>
          <w:szCs w:val="21"/>
          <w:highlight w:val="none"/>
        </w:rPr>
      </w:pPr>
    </w:p>
    <w:p w14:paraId="6F104AAD">
      <w:pPr>
        <w:spacing w:line="360" w:lineRule="auto"/>
        <w:ind w:firstLine="420" w:firstLineChars="200"/>
        <w:rPr>
          <w:rFonts w:ascii="宋体" w:hAnsi="宋体" w:cs="宋体"/>
          <w:color w:val="auto"/>
          <w:szCs w:val="21"/>
          <w:highlight w:val="none"/>
        </w:rPr>
      </w:pPr>
    </w:p>
    <w:p w14:paraId="41C7E6F4">
      <w:pPr>
        <w:spacing w:line="360" w:lineRule="auto"/>
        <w:ind w:firstLine="420" w:firstLineChars="200"/>
        <w:rPr>
          <w:rFonts w:ascii="宋体" w:hAnsi="宋体" w:cs="宋体"/>
          <w:color w:val="auto"/>
          <w:szCs w:val="21"/>
          <w:highlight w:val="none"/>
        </w:rPr>
      </w:pPr>
    </w:p>
    <w:p w14:paraId="599AFF21">
      <w:pPr>
        <w:spacing w:line="360" w:lineRule="auto"/>
        <w:ind w:firstLine="420" w:firstLineChars="200"/>
        <w:rPr>
          <w:rFonts w:ascii="宋体" w:hAnsi="宋体" w:cs="宋体"/>
          <w:color w:val="auto"/>
          <w:szCs w:val="21"/>
          <w:highlight w:val="none"/>
        </w:rPr>
      </w:pPr>
    </w:p>
    <w:p w14:paraId="6D61A3B1">
      <w:pPr>
        <w:spacing w:line="360" w:lineRule="auto"/>
        <w:rPr>
          <w:rFonts w:ascii="宋体" w:hAnsi="宋体" w:cs="宋体"/>
          <w:b/>
          <w:color w:val="auto"/>
          <w:szCs w:val="21"/>
          <w:highlight w:val="none"/>
        </w:rPr>
      </w:pPr>
    </w:p>
    <w:p w14:paraId="4E18C387">
      <w:pPr>
        <w:spacing w:line="360" w:lineRule="auto"/>
        <w:rPr>
          <w:rFonts w:ascii="宋体" w:hAnsi="宋体" w:cs="宋体"/>
          <w:b/>
          <w:color w:val="auto"/>
          <w:szCs w:val="21"/>
          <w:highlight w:val="none"/>
        </w:rPr>
      </w:pPr>
    </w:p>
    <w:p w14:paraId="139DDB69">
      <w:pPr>
        <w:spacing w:line="360" w:lineRule="auto"/>
        <w:rPr>
          <w:rFonts w:ascii="宋体" w:hAnsi="宋体" w:cs="宋体"/>
          <w:b/>
          <w:color w:val="auto"/>
          <w:szCs w:val="21"/>
          <w:highlight w:val="none"/>
        </w:rPr>
      </w:pPr>
    </w:p>
    <w:p w14:paraId="32ACA72D">
      <w:pPr>
        <w:spacing w:line="360" w:lineRule="auto"/>
        <w:rPr>
          <w:rFonts w:ascii="宋体" w:hAnsi="宋体" w:cs="宋体"/>
          <w:b/>
          <w:color w:val="auto"/>
          <w:szCs w:val="21"/>
          <w:highlight w:val="none"/>
        </w:rPr>
      </w:pPr>
    </w:p>
    <w:p w14:paraId="4E1BE591">
      <w:pPr>
        <w:spacing w:line="360" w:lineRule="auto"/>
        <w:rPr>
          <w:rFonts w:ascii="宋体" w:hAnsi="宋体" w:cs="宋体"/>
          <w:b/>
          <w:color w:val="auto"/>
          <w:szCs w:val="21"/>
          <w:highlight w:val="none"/>
        </w:rPr>
      </w:pPr>
    </w:p>
    <w:p w14:paraId="68824CAC">
      <w:pPr>
        <w:spacing w:line="360" w:lineRule="auto"/>
        <w:rPr>
          <w:rFonts w:ascii="宋体" w:hAnsi="宋体" w:cs="宋体"/>
          <w:b/>
          <w:color w:val="auto"/>
          <w:szCs w:val="21"/>
          <w:highlight w:val="none"/>
        </w:rPr>
      </w:pPr>
    </w:p>
    <w:p w14:paraId="53395F24">
      <w:pPr>
        <w:spacing w:line="360" w:lineRule="auto"/>
        <w:rPr>
          <w:rFonts w:ascii="宋体" w:hAnsi="宋体" w:cs="宋体"/>
          <w:b/>
          <w:color w:val="auto"/>
          <w:szCs w:val="21"/>
          <w:highlight w:val="none"/>
        </w:rPr>
      </w:pPr>
    </w:p>
    <w:p w14:paraId="18AE92CD">
      <w:pPr>
        <w:spacing w:line="360" w:lineRule="auto"/>
        <w:rPr>
          <w:rFonts w:ascii="宋体" w:hAnsi="宋体" w:cs="宋体"/>
          <w:b/>
          <w:color w:val="auto"/>
          <w:szCs w:val="21"/>
          <w:highlight w:val="none"/>
        </w:rPr>
      </w:pPr>
    </w:p>
    <w:p w14:paraId="04C7E285">
      <w:pPr>
        <w:spacing w:line="360" w:lineRule="auto"/>
        <w:rPr>
          <w:rFonts w:ascii="宋体" w:hAnsi="宋体" w:cs="宋体"/>
          <w:b/>
          <w:color w:val="auto"/>
          <w:szCs w:val="21"/>
          <w:highlight w:val="none"/>
        </w:rPr>
      </w:pPr>
    </w:p>
    <w:p w14:paraId="52DB937C">
      <w:pPr>
        <w:spacing w:line="360" w:lineRule="auto"/>
        <w:rPr>
          <w:rFonts w:ascii="宋体" w:hAnsi="宋体" w:cs="宋体"/>
          <w:b/>
          <w:color w:val="auto"/>
          <w:spacing w:val="6"/>
          <w:szCs w:val="21"/>
          <w:highlight w:val="none"/>
        </w:rPr>
      </w:pPr>
      <w:r>
        <w:rPr>
          <w:rFonts w:hint="eastAsia" w:ascii="宋体" w:hAnsi="宋体" w:cs="宋体"/>
          <w:b/>
          <w:color w:val="auto"/>
          <w:spacing w:val="6"/>
          <w:szCs w:val="21"/>
          <w:highlight w:val="none"/>
        </w:rPr>
        <w:br w:type="page"/>
      </w:r>
    </w:p>
    <w:p w14:paraId="1DD8DF6F">
      <w:pPr>
        <w:pStyle w:val="4"/>
        <w:ind w:firstLine="428"/>
        <w:rPr>
          <w:color w:val="auto"/>
          <w:szCs w:val="21"/>
          <w:highlight w:val="none"/>
        </w:rPr>
      </w:pPr>
      <w:r>
        <w:rPr>
          <w:rFonts w:hint="eastAsia"/>
          <w:color w:val="auto"/>
          <w:szCs w:val="21"/>
          <w:highlight w:val="none"/>
        </w:rPr>
        <w:t>附件2：质疑函范本及制作说明</w:t>
      </w:r>
    </w:p>
    <w:p w14:paraId="7BDF7B2E">
      <w:pPr>
        <w:spacing w:line="360" w:lineRule="auto"/>
        <w:jc w:val="center"/>
        <w:rPr>
          <w:rFonts w:ascii="宋体" w:hAnsi="宋体" w:cs="宋体"/>
          <w:b/>
          <w:color w:val="auto"/>
          <w:spacing w:val="6"/>
          <w:szCs w:val="21"/>
          <w:highlight w:val="none"/>
        </w:rPr>
      </w:pPr>
      <w:r>
        <w:rPr>
          <w:rFonts w:hint="eastAsia" w:ascii="宋体" w:hAnsi="宋体" w:cs="宋体"/>
          <w:b/>
          <w:color w:val="auto"/>
          <w:spacing w:val="6"/>
          <w:szCs w:val="21"/>
          <w:highlight w:val="none"/>
        </w:rPr>
        <w:t>质疑函范本</w:t>
      </w:r>
    </w:p>
    <w:p w14:paraId="7088FCB1">
      <w:pPr>
        <w:snapToGrid w:val="0"/>
        <w:spacing w:before="240" w:beforeLines="100" w:line="360" w:lineRule="auto"/>
        <w:rPr>
          <w:rFonts w:ascii="宋体" w:hAnsi="宋体" w:cs="宋体"/>
          <w:bCs/>
          <w:color w:val="auto"/>
          <w:szCs w:val="21"/>
          <w:highlight w:val="none"/>
        </w:rPr>
      </w:pPr>
      <w:r>
        <w:rPr>
          <w:rFonts w:hint="eastAsia" w:ascii="宋体" w:hAnsi="宋体" w:cs="宋体"/>
          <w:bCs/>
          <w:color w:val="auto"/>
          <w:szCs w:val="21"/>
          <w:highlight w:val="none"/>
        </w:rPr>
        <w:t>一、质疑供应商基本信息</w:t>
      </w:r>
    </w:p>
    <w:p w14:paraId="6E2B37FA">
      <w:pPr>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质疑供应商：</w:t>
      </w:r>
      <w:r>
        <w:rPr>
          <w:rFonts w:hint="eastAsia" w:ascii="宋体" w:hAnsi="宋体" w:cs="宋体"/>
          <w:color w:val="auto"/>
          <w:szCs w:val="21"/>
          <w:highlight w:val="none"/>
          <w:u w:val="dotted"/>
        </w:rPr>
        <w:t xml:space="preserve">                                        </w:t>
      </w:r>
    </w:p>
    <w:p w14:paraId="343A9520">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邮编：</w:t>
      </w:r>
      <w:r>
        <w:rPr>
          <w:rFonts w:hint="eastAsia" w:ascii="宋体" w:hAnsi="宋体" w:cs="宋体"/>
          <w:color w:val="auto"/>
          <w:szCs w:val="21"/>
          <w:highlight w:val="none"/>
          <w:u w:val="dotted"/>
        </w:rPr>
        <w:t xml:space="preserve">                                                   </w:t>
      </w:r>
    </w:p>
    <w:p w14:paraId="5BF00581">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联系人：</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联系电话：</w:t>
      </w:r>
      <w:r>
        <w:rPr>
          <w:rFonts w:hint="eastAsia" w:ascii="宋体" w:hAnsi="宋体" w:cs="宋体"/>
          <w:color w:val="auto"/>
          <w:szCs w:val="21"/>
          <w:highlight w:val="none"/>
          <w:u w:val="dotted"/>
        </w:rPr>
        <w:t xml:space="preserve">                              </w:t>
      </w:r>
    </w:p>
    <w:p w14:paraId="0EF8B314">
      <w:pPr>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授权代表：</w:t>
      </w:r>
      <w:r>
        <w:rPr>
          <w:rFonts w:hint="eastAsia" w:ascii="宋体" w:hAnsi="宋体" w:cs="宋体"/>
          <w:color w:val="auto"/>
          <w:szCs w:val="21"/>
          <w:highlight w:val="none"/>
          <w:u w:val="dotted"/>
        </w:rPr>
        <w:t xml:space="preserve">                                          </w:t>
      </w:r>
    </w:p>
    <w:p w14:paraId="7ACAF0B6">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 xml:space="preserve"> </w:t>
      </w:r>
    </w:p>
    <w:p w14:paraId="4EC12CD2">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地址： </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邮编：</w:t>
      </w:r>
      <w:r>
        <w:rPr>
          <w:rFonts w:hint="eastAsia" w:ascii="宋体" w:hAnsi="宋体" w:cs="宋体"/>
          <w:color w:val="auto"/>
          <w:szCs w:val="21"/>
          <w:highlight w:val="none"/>
          <w:u w:val="dotted"/>
        </w:rPr>
        <w:t xml:space="preserve">                                                </w:t>
      </w:r>
    </w:p>
    <w:p w14:paraId="18DEED2A">
      <w:pPr>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二、质疑项目基本情况</w:t>
      </w:r>
    </w:p>
    <w:p w14:paraId="2B3098CF">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质疑项目的名称：</w:t>
      </w:r>
      <w:r>
        <w:rPr>
          <w:rFonts w:hint="eastAsia" w:ascii="宋体" w:hAnsi="宋体" w:cs="宋体"/>
          <w:color w:val="auto"/>
          <w:szCs w:val="21"/>
          <w:highlight w:val="none"/>
          <w:u w:val="dotted"/>
        </w:rPr>
        <w:t xml:space="preserve">                                      </w:t>
      </w:r>
    </w:p>
    <w:p w14:paraId="09EFE67C">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质疑项目的编号：</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包号：</w:t>
      </w:r>
      <w:r>
        <w:rPr>
          <w:rFonts w:hint="eastAsia" w:ascii="宋体" w:hAnsi="宋体" w:cs="宋体"/>
          <w:color w:val="auto"/>
          <w:szCs w:val="21"/>
          <w:highlight w:val="none"/>
          <w:u w:val="dotted"/>
        </w:rPr>
        <w:t xml:space="preserve">                 </w:t>
      </w:r>
    </w:p>
    <w:p w14:paraId="20D4114F">
      <w:pPr>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采购人名称：</w:t>
      </w:r>
      <w:r>
        <w:rPr>
          <w:rFonts w:hint="eastAsia" w:ascii="宋体" w:hAnsi="宋体" w:cs="宋体"/>
          <w:color w:val="auto"/>
          <w:szCs w:val="21"/>
          <w:highlight w:val="none"/>
          <w:u w:val="dotted"/>
        </w:rPr>
        <w:t xml:space="preserve">                                         </w:t>
      </w:r>
    </w:p>
    <w:p w14:paraId="592E1737">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采购文件获取日期：</w:t>
      </w:r>
      <w:r>
        <w:rPr>
          <w:rFonts w:hint="eastAsia" w:ascii="宋体" w:hAnsi="宋体" w:cs="宋体"/>
          <w:color w:val="auto"/>
          <w:szCs w:val="21"/>
          <w:highlight w:val="none"/>
          <w:u w:val="dotted"/>
        </w:rPr>
        <w:t xml:space="preserve">                                           </w:t>
      </w:r>
    </w:p>
    <w:p w14:paraId="758DA44B">
      <w:pPr>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三、质疑事项具体内容</w:t>
      </w:r>
    </w:p>
    <w:p w14:paraId="2D772448">
      <w:pPr>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质疑事项1：</w:t>
      </w:r>
      <w:r>
        <w:rPr>
          <w:rFonts w:hint="eastAsia" w:ascii="宋体" w:hAnsi="宋体" w:cs="宋体"/>
          <w:color w:val="auto"/>
          <w:szCs w:val="21"/>
          <w:highlight w:val="none"/>
          <w:u w:val="dotted"/>
        </w:rPr>
        <w:t xml:space="preserve">                                         </w:t>
      </w:r>
    </w:p>
    <w:p w14:paraId="493FDAE0">
      <w:pPr>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事实依据：</w:t>
      </w:r>
      <w:r>
        <w:rPr>
          <w:rFonts w:hint="eastAsia" w:ascii="宋体" w:hAnsi="宋体" w:cs="宋体"/>
          <w:color w:val="auto"/>
          <w:szCs w:val="21"/>
          <w:highlight w:val="none"/>
          <w:u w:val="dotted"/>
        </w:rPr>
        <w:t xml:space="preserve">                                          </w:t>
      </w:r>
    </w:p>
    <w:p w14:paraId="5D9EF50A">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u w:val="dotted"/>
        </w:rPr>
        <w:t xml:space="preserve">                                                       </w:t>
      </w:r>
    </w:p>
    <w:p w14:paraId="73693706">
      <w:pPr>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法律依据：</w:t>
      </w:r>
      <w:r>
        <w:rPr>
          <w:rFonts w:hint="eastAsia" w:ascii="宋体" w:hAnsi="宋体" w:cs="宋体"/>
          <w:color w:val="auto"/>
          <w:szCs w:val="21"/>
          <w:highlight w:val="none"/>
          <w:u w:val="dotted"/>
        </w:rPr>
        <w:t xml:space="preserve">                                          </w:t>
      </w:r>
    </w:p>
    <w:p w14:paraId="1CDD6356">
      <w:pPr>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u w:val="dotted"/>
        </w:rPr>
        <w:t xml:space="preserve">                                                     </w:t>
      </w:r>
    </w:p>
    <w:p w14:paraId="02E3DBB2">
      <w:pPr>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质疑事项2</w:t>
      </w:r>
    </w:p>
    <w:p w14:paraId="5AD82BFD">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w:t>
      </w:r>
    </w:p>
    <w:p w14:paraId="694EB936">
      <w:pPr>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四、与质疑事项相关的质疑请求</w:t>
      </w:r>
    </w:p>
    <w:p w14:paraId="138D3A9F">
      <w:pPr>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请求：</w:t>
      </w:r>
      <w:r>
        <w:rPr>
          <w:rFonts w:hint="eastAsia" w:ascii="宋体" w:hAnsi="宋体" w:cs="宋体"/>
          <w:color w:val="auto"/>
          <w:szCs w:val="21"/>
          <w:highlight w:val="none"/>
          <w:u w:val="dotted"/>
        </w:rPr>
        <w:t xml:space="preserve">                                               </w:t>
      </w:r>
    </w:p>
    <w:p w14:paraId="20E60EB6">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签字（签章）：                   公章：                      </w:t>
      </w:r>
    </w:p>
    <w:p w14:paraId="0746DA58">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日期：    </w:t>
      </w:r>
    </w:p>
    <w:p w14:paraId="2115FCA0">
      <w:pPr>
        <w:spacing w:line="360" w:lineRule="auto"/>
        <w:rPr>
          <w:rFonts w:ascii="宋体" w:hAnsi="宋体" w:cs="宋体"/>
          <w:b/>
          <w:color w:val="auto"/>
          <w:szCs w:val="21"/>
          <w:highlight w:val="none"/>
        </w:rPr>
      </w:pPr>
    </w:p>
    <w:p w14:paraId="701CD55C">
      <w:pPr>
        <w:spacing w:line="360" w:lineRule="auto"/>
        <w:rPr>
          <w:rFonts w:ascii="宋体" w:hAnsi="宋体" w:cs="宋体"/>
          <w:b/>
          <w:color w:val="auto"/>
          <w:szCs w:val="21"/>
          <w:highlight w:val="none"/>
        </w:rPr>
      </w:pPr>
    </w:p>
    <w:p w14:paraId="266FE82D">
      <w:pPr>
        <w:spacing w:line="360" w:lineRule="auto"/>
        <w:rPr>
          <w:rFonts w:ascii="宋体" w:hAnsi="宋体" w:cs="宋体"/>
          <w:b/>
          <w:color w:val="auto"/>
          <w:szCs w:val="21"/>
          <w:highlight w:val="none"/>
        </w:rPr>
      </w:pPr>
      <w:r>
        <w:rPr>
          <w:rFonts w:hint="eastAsia" w:ascii="宋体" w:hAnsi="宋体" w:cs="宋体"/>
          <w:b/>
          <w:color w:val="auto"/>
          <w:szCs w:val="21"/>
          <w:highlight w:val="none"/>
        </w:rPr>
        <w:t>质疑函制作说明：</w:t>
      </w:r>
    </w:p>
    <w:p w14:paraId="50D4C97E">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1.供应商提出质疑时，应提交质疑函和必要的证明材料。</w:t>
      </w:r>
    </w:p>
    <w:p w14:paraId="525AB7AE">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2.质疑供应商若委托代理人进行质疑的，质疑函应按要求列明“授权代表”的有关内容，并在附件中提交由质疑</w:t>
      </w:r>
      <w:r>
        <w:rPr>
          <w:rFonts w:hint="eastAsia" w:ascii="宋体" w:hAnsi="宋体" w:cs="宋体"/>
          <w:color w:val="auto"/>
          <w:kern w:val="0"/>
          <w:szCs w:val="21"/>
          <w:highlight w:val="none"/>
        </w:rPr>
        <w:t>供应商签署的授权委托书。授权委托书应载明代理人的姓名或者名称、代理事项、具体权限、期限和相关事项。</w:t>
      </w:r>
    </w:p>
    <w:p w14:paraId="7F36EBEB">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3.质疑供应商若对项目的某一分包进行质疑，质疑函中应列明具体分包号。</w:t>
      </w:r>
    </w:p>
    <w:p w14:paraId="4EA844F6">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4.质疑函的质疑事项应具体、明确，并有必要的事实依据和法律依据。</w:t>
      </w:r>
    </w:p>
    <w:p w14:paraId="3F754368">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5.质疑函的质疑请求应与质疑事项相关。</w:t>
      </w:r>
    </w:p>
    <w:p w14:paraId="2A2DBF15">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6.质疑供应商为自然人的，质疑函应由本人签字；质疑供应商为法人或者其他组织的，质疑函应由法定代表人、主要负责人，或者其授权代表签字或者盖章，并加盖公章。</w:t>
      </w:r>
    </w:p>
    <w:p w14:paraId="27DB6C94">
      <w:pPr>
        <w:widowControl/>
        <w:spacing w:line="360" w:lineRule="auto"/>
        <w:ind w:firstLine="420" w:firstLineChars="200"/>
        <w:jc w:val="left"/>
        <w:rPr>
          <w:rFonts w:ascii="宋体" w:hAnsi="宋体" w:cs="宋体"/>
          <w:color w:val="auto"/>
          <w:szCs w:val="21"/>
          <w:highlight w:val="none"/>
        </w:rPr>
      </w:pPr>
    </w:p>
    <w:p w14:paraId="03E49594">
      <w:pPr>
        <w:spacing w:line="360" w:lineRule="auto"/>
        <w:jc w:val="left"/>
        <w:rPr>
          <w:rFonts w:ascii="宋体" w:hAnsi="宋体" w:cs="宋体"/>
          <w:b/>
          <w:color w:val="auto"/>
          <w:spacing w:val="6"/>
          <w:szCs w:val="21"/>
          <w:highlight w:val="none"/>
        </w:rPr>
      </w:pPr>
    </w:p>
    <w:p w14:paraId="79CE11F2">
      <w:pPr>
        <w:pStyle w:val="4"/>
        <w:ind w:firstLine="428"/>
        <w:rPr>
          <w:color w:val="auto"/>
          <w:szCs w:val="21"/>
          <w:highlight w:val="none"/>
        </w:rPr>
      </w:pPr>
      <w:r>
        <w:rPr>
          <w:rFonts w:hint="eastAsia"/>
          <w:color w:val="auto"/>
          <w:szCs w:val="21"/>
          <w:highlight w:val="none"/>
        </w:rPr>
        <w:t>附件3：投诉书范本及制作说明</w:t>
      </w:r>
    </w:p>
    <w:p w14:paraId="17CF352A">
      <w:pPr>
        <w:spacing w:line="360" w:lineRule="auto"/>
        <w:jc w:val="center"/>
        <w:rPr>
          <w:rFonts w:ascii="宋体" w:hAnsi="宋体" w:cs="宋体"/>
          <w:b/>
          <w:color w:val="auto"/>
          <w:szCs w:val="21"/>
          <w:highlight w:val="none"/>
        </w:rPr>
      </w:pPr>
    </w:p>
    <w:p w14:paraId="21EC7E6E">
      <w:pPr>
        <w:spacing w:line="360" w:lineRule="auto"/>
        <w:jc w:val="center"/>
        <w:rPr>
          <w:rFonts w:ascii="宋体" w:hAnsi="宋体" w:cs="宋体"/>
          <w:b/>
          <w:color w:val="auto"/>
          <w:spacing w:val="6"/>
          <w:szCs w:val="21"/>
          <w:highlight w:val="none"/>
        </w:rPr>
      </w:pPr>
      <w:r>
        <w:rPr>
          <w:rFonts w:hint="eastAsia" w:ascii="宋体" w:hAnsi="宋体" w:cs="宋体"/>
          <w:b/>
          <w:color w:val="auto"/>
          <w:spacing w:val="6"/>
          <w:szCs w:val="21"/>
          <w:highlight w:val="none"/>
        </w:rPr>
        <w:t>投诉书范本</w:t>
      </w:r>
    </w:p>
    <w:p w14:paraId="7D4FD1F9">
      <w:pPr>
        <w:spacing w:line="360" w:lineRule="auto"/>
        <w:rPr>
          <w:rFonts w:ascii="宋体" w:hAnsi="宋体" w:cs="宋体"/>
          <w:color w:val="auto"/>
          <w:szCs w:val="21"/>
          <w:highlight w:val="none"/>
        </w:rPr>
      </w:pPr>
      <w:r>
        <w:rPr>
          <w:rFonts w:hint="eastAsia" w:ascii="宋体" w:hAnsi="宋体" w:cs="宋体"/>
          <w:color w:val="auto"/>
          <w:szCs w:val="21"/>
          <w:highlight w:val="none"/>
        </w:rPr>
        <w:t>一、投诉相关主体基本情况</w:t>
      </w:r>
    </w:p>
    <w:p w14:paraId="6EE6C433">
      <w:pPr>
        <w:spacing w:line="360" w:lineRule="auto"/>
        <w:rPr>
          <w:rFonts w:ascii="宋体" w:hAnsi="宋体" w:cs="宋体"/>
          <w:color w:val="auto"/>
          <w:szCs w:val="21"/>
          <w:highlight w:val="none"/>
          <w:u w:val="dotted"/>
        </w:rPr>
      </w:pPr>
      <w:r>
        <w:rPr>
          <w:rFonts w:hint="eastAsia" w:ascii="宋体" w:hAnsi="宋体" w:cs="宋体"/>
          <w:color w:val="auto"/>
          <w:szCs w:val="21"/>
          <w:highlight w:val="none"/>
        </w:rPr>
        <w:t>投诉人：</w:t>
      </w:r>
      <w:r>
        <w:rPr>
          <w:rFonts w:hint="eastAsia" w:ascii="宋体" w:hAnsi="宋体" w:cs="宋体"/>
          <w:color w:val="auto"/>
          <w:szCs w:val="21"/>
          <w:highlight w:val="none"/>
          <w:u w:val="dotted"/>
        </w:rPr>
        <w:t xml:space="preserve">                                               </w:t>
      </w:r>
    </w:p>
    <w:p w14:paraId="73FC51FF">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地     址：</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邮编：</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u w:val="single"/>
        </w:rPr>
        <w:t xml:space="preserve">   </w:t>
      </w:r>
    </w:p>
    <w:p w14:paraId="79E456B6">
      <w:pPr>
        <w:tabs>
          <w:tab w:val="left" w:pos="6510"/>
        </w:tabs>
        <w:spacing w:line="360" w:lineRule="auto"/>
        <w:jc w:val="left"/>
        <w:rPr>
          <w:rFonts w:ascii="宋体" w:hAnsi="宋体" w:cs="宋体"/>
          <w:color w:val="auto"/>
          <w:szCs w:val="21"/>
          <w:highlight w:val="none"/>
        </w:rPr>
      </w:pPr>
      <w:r>
        <w:rPr>
          <w:rFonts w:hint="eastAsia" w:ascii="宋体" w:hAnsi="宋体" w:cs="宋体"/>
          <w:color w:val="auto"/>
          <w:szCs w:val="21"/>
          <w:highlight w:val="none"/>
        </w:rPr>
        <w:t>法定代表人/主要负责人：</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 xml:space="preserve">  </w:t>
      </w:r>
    </w:p>
    <w:p w14:paraId="1EC49404">
      <w:pPr>
        <w:tabs>
          <w:tab w:val="left" w:pos="6510"/>
        </w:tabs>
        <w:spacing w:line="360" w:lineRule="auto"/>
        <w:rPr>
          <w:rFonts w:ascii="宋体" w:hAnsi="宋体" w:cs="宋体"/>
          <w:color w:val="auto"/>
          <w:szCs w:val="21"/>
          <w:highlight w:val="none"/>
          <w:u w:val="dotted"/>
        </w:rPr>
      </w:pPr>
      <w:r>
        <w:rPr>
          <w:rFonts w:hint="eastAsia" w:ascii="宋体" w:hAnsi="宋体" w:cs="宋体"/>
          <w:color w:val="auto"/>
          <w:szCs w:val="21"/>
          <w:highlight w:val="none"/>
        </w:rPr>
        <w:t>联系电话：</w:t>
      </w:r>
      <w:r>
        <w:rPr>
          <w:rFonts w:hint="eastAsia" w:ascii="宋体" w:hAnsi="宋体" w:cs="宋体"/>
          <w:color w:val="auto"/>
          <w:szCs w:val="21"/>
          <w:highlight w:val="none"/>
          <w:u w:val="dotted"/>
        </w:rPr>
        <w:t xml:space="preserve">                                             </w:t>
      </w:r>
    </w:p>
    <w:p w14:paraId="2D534244">
      <w:pPr>
        <w:spacing w:line="360" w:lineRule="auto"/>
        <w:rPr>
          <w:rFonts w:ascii="宋体" w:hAnsi="宋体" w:cs="宋体"/>
          <w:color w:val="auto"/>
          <w:szCs w:val="21"/>
          <w:highlight w:val="none"/>
          <w:u w:val="dotted"/>
        </w:rPr>
      </w:pPr>
      <w:r>
        <w:rPr>
          <w:rFonts w:hint="eastAsia" w:ascii="宋体" w:hAnsi="宋体" w:cs="宋体"/>
          <w:color w:val="auto"/>
          <w:szCs w:val="21"/>
          <w:highlight w:val="none"/>
        </w:rPr>
        <w:t>授权代表：</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联系电话</w:t>
      </w:r>
      <w:r>
        <w:rPr>
          <w:rFonts w:hint="eastAsia" w:ascii="宋体" w:hAnsi="宋体" w:cs="宋体"/>
          <w:color w:val="auto"/>
          <w:szCs w:val="21"/>
          <w:highlight w:val="none"/>
          <w:u w:val="dotted"/>
        </w:rPr>
        <w:t xml:space="preserve">：                  </w:t>
      </w:r>
    </w:p>
    <w:p w14:paraId="38B78F0F">
      <w:pPr>
        <w:spacing w:line="360" w:lineRule="auto"/>
        <w:rPr>
          <w:rFonts w:ascii="宋体" w:hAnsi="宋体" w:cs="宋体"/>
          <w:color w:val="auto"/>
          <w:szCs w:val="21"/>
          <w:highlight w:val="none"/>
          <w:u w:val="dotted"/>
        </w:rPr>
      </w:pPr>
      <w:r>
        <w:rPr>
          <w:rFonts w:hint="eastAsia" w:ascii="宋体" w:hAnsi="宋体" w:cs="宋体"/>
          <w:color w:val="auto"/>
          <w:szCs w:val="21"/>
          <w:highlight w:val="none"/>
        </w:rPr>
        <w:t>地     址：</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邮编：</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dotted"/>
        </w:rPr>
        <w:t xml:space="preserve">                   </w:t>
      </w:r>
    </w:p>
    <w:p w14:paraId="4303C6E7">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被投诉人1：</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u w:val="single"/>
        </w:rPr>
        <w:t xml:space="preserve">  </w:t>
      </w:r>
    </w:p>
    <w:p w14:paraId="33462600">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地     址：</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邮编：</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u w:val="single"/>
        </w:rPr>
        <w:t xml:space="preserve"> </w:t>
      </w:r>
    </w:p>
    <w:p w14:paraId="7E7996DA">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联系人：</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联系电话：</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u w:val="single"/>
        </w:rPr>
        <w:t xml:space="preserve"> </w:t>
      </w:r>
    </w:p>
    <w:p w14:paraId="6EED617A">
      <w:pPr>
        <w:spacing w:line="360" w:lineRule="auto"/>
        <w:rPr>
          <w:rFonts w:ascii="宋体" w:hAnsi="宋体" w:cs="宋体"/>
          <w:color w:val="auto"/>
          <w:szCs w:val="21"/>
          <w:highlight w:val="none"/>
        </w:rPr>
      </w:pPr>
      <w:r>
        <w:rPr>
          <w:rFonts w:hint="eastAsia" w:ascii="宋体" w:hAnsi="宋体" w:cs="宋体"/>
          <w:color w:val="auto"/>
          <w:szCs w:val="21"/>
          <w:highlight w:val="none"/>
        </w:rPr>
        <w:t>被投诉人2</w:t>
      </w:r>
    </w:p>
    <w:p w14:paraId="21755F7B">
      <w:pPr>
        <w:spacing w:line="360" w:lineRule="auto"/>
        <w:rPr>
          <w:rFonts w:ascii="宋体" w:hAnsi="宋体" w:cs="宋体"/>
          <w:color w:val="auto"/>
          <w:szCs w:val="21"/>
          <w:highlight w:val="none"/>
          <w:u w:val="dotted"/>
        </w:rPr>
      </w:pPr>
      <w:r>
        <w:rPr>
          <w:rFonts w:hint="eastAsia" w:ascii="宋体" w:hAnsi="宋体" w:cs="宋体"/>
          <w:color w:val="auto"/>
          <w:szCs w:val="21"/>
          <w:highlight w:val="none"/>
        </w:rPr>
        <w:t>……</w:t>
      </w:r>
    </w:p>
    <w:p w14:paraId="46D62D9C">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相关供应商：</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u w:val="single"/>
        </w:rPr>
        <w:t xml:space="preserve">    </w:t>
      </w:r>
    </w:p>
    <w:p w14:paraId="77142F37">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地     址：</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邮编：</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u w:val="single"/>
        </w:rPr>
        <w:t xml:space="preserve"> </w:t>
      </w:r>
    </w:p>
    <w:p w14:paraId="2EC0DBF0">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联系人：</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联系电话：</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u w:val="single"/>
        </w:rPr>
        <w:t xml:space="preserve">      </w:t>
      </w:r>
    </w:p>
    <w:p w14:paraId="7A549F6F">
      <w:pPr>
        <w:spacing w:line="360" w:lineRule="auto"/>
        <w:rPr>
          <w:rFonts w:ascii="宋体" w:hAnsi="宋体" w:cs="宋体"/>
          <w:color w:val="auto"/>
          <w:szCs w:val="21"/>
          <w:highlight w:val="none"/>
        </w:rPr>
      </w:pPr>
      <w:r>
        <w:rPr>
          <w:rFonts w:hint="eastAsia" w:ascii="宋体" w:hAnsi="宋体" w:cs="宋体"/>
          <w:color w:val="auto"/>
          <w:szCs w:val="21"/>
          <w:highlight w:val="none"/>
        </w:rPr>
        <w:t>二、投诉项目基本情况</w:t>
      </w:r>
    </w:p>
    <w:p w14:paraId="34E95E0B">
      <w:pPr>
        <w:spacing w:line="360" w:lineRule="auto"/>
        <w:rPr>
          <w:rFonts w:ascii="宋体" w:hAnsi="宋体" w:cs="宋体"/>
          <w:color w:val="auto"/>
          <w:szCs w:val="21"/>
          <w:highlight w:val="none"/>
          <w:u w:val="dotted"/>
        </w:rPr>
      </w:pPr>
      <w:r>
        <w:rPr>
          <w:rFonts w:hint="eastAsia" w:ascii="宋体" w:hAnsi="宋体" w:cs="宋体"/>
          <w:color w:val="auto"/>
          <w:szCs w:val="21"/>
          <w:highlight w:val="none"/>
        </w:rPr>
        <w:t>采购项目名称：</w:t>
      </w:r>
      <w:r>
        <w:rPr>
          <w:rFonts w:hint="eastAsia" w:ascii="宋体" w:hAnsi="宋体" w:cs="宋体"/>
          <w:color w:val="auto"/>
          <w:szCs w:val="21"/>
          <w:highlight w:val="none"/>
          <w:u w:val="dotted"/>
        </w:rPr>
        <w:t xml:space="preserve">                                        </w:t>
      </w:r>
    </w:p>
    <w:p w14:paraId="7DC43CF4">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采购项目编号：</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包号：</w:t>
      </w:r>
      <w:r>
        <w:rPr>
          <w:rFonts w:hint="eastAsia" w:ascii="宋体" w:hAnsi="宋体" w:cs="宋体"/>
          <w:color w:val="auto"/>
          <w:szCs w:val="21"/>
          <w:highlight w:val="none"/>
          <w:u w:val="dotted"/>
        </w:rPr>
        <w:t xml:space="preserve">              </w:t>
      </w:r>
    </w:p>
    <w:p w14:paraId="5EE3F3B4">
      <w:pPr>
        <w:spacing w:line="360" w:lineRule="auto"/>
        <w:rPr>
          <w:rFonts w:ascii="宋体" w:hAnsi="宋体" w:cs="宋体"/>
          <w:color w:val="auto"/>
          <w:szCs w:val="21"/>
          <w:highlight w:val="none"/>
        </w:rPr>
      </w:pPr>
      <w:r>
        <w:rPr>
          <w:rFonts w:hint="eastAsia" w:ascii="宋体" w:hAnsi="宋体" w:cs="宋体"/>
          <w:color w:val="auto"/>
          <w:szCs w:val="21"/>
          <w:highlight w:val="none"/>
        </w:rPr>
        <w:t>采购人名称：</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u w:val="single"/>
        </w:rPr>
        <w:t xml:space="preserve">  </w:t>
      </w:r>
    </w:p>
    <w:p w14:paraId="7DADE5FA">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代理机构名称：</w:t>
      </w:r>
      <w:r>
        <w:rPr>
          <w:rFonts w:hint="eastAsia" w:ascii="宋体" w:hAnsi="宋体" w:cs="宋体"/>
          <w:color w:val="auto"/>
          <w:szCs w:val="21"/>
          <w:highlight w:val="none"/>
          <w:u w:val="dotted"/>
        </w:rPr>
        <w:t xml:space="preserve">                                         </w:t>
      </w:r>
    </w:p>
    <w:p w14:paraId="34E958B0">
      <w:pPr>
        <w:spacing w:line="360" w:lineRule="auto"/>
        <w:rPr>
          <w:rFonts w:ascii="宋体" w:hAnsi="宋体" w:cs="宋体"/>
          <w:color w:val="auto"/>
          <w:szCs w:val="21"/>
          <w:highlight w:val="none"/>
          <w:u w:val="dotted"/>
        </w:rPr>
      </w:pPr>
      <w:r>
        <w:rPr>
          <w:rFonts w:hint="eastAsia" w:ascii="宋体" w:hAnsi="宋体" w:cs="宋体"/>
          <w:color w:val="auto"/>
          <w:szCs w:val="21"/>
          <w:highlight w:val="none"/>
        </w:rPr>
        <w:t>采购文件公告：</w:t>
      </w:r>
      <w:r>
        <w:rPr>
          <w:rFonts w:hint="eastAsia" w:ascii="宋体" w:hAnsi="宋体" w:cs="宋体"/>
          <w:color w:val="auto"/>
          <w:szCs w:val="21"/>
          <w:highlight w:val="none"/>
          <w:u w:val="dotted"/>
        </w:rPr>
        <w:t xml:space="preserve">是/否 </w:t>
      </w:r>
      <w:r>
        <w:rPr>
          <w:rFonts w:hint="eastAsia" w:ascii="宋体" w:hAnsi="宋体" w:cs="宋体"/>
          <w:color w:val="auto"/>
          <w:szCs w:val="21"/>
          <w:highlight w:val="none"/>
        </w:rPr>
        <w:t>公告期限：</w:t>
      </w:r>
      <w:r>
        <w:rPr>
          <w:rFonts w:hint="eastAsia" w:ascii="宋体" w:hAnsi="宋体" w:cs="宋体"/>
          <w:color w:val="auto"/>
          <w:szCs w:val="21"/>
          <w:highlight w:val="none"/>
          <w:u w:val="dotted"/>
        </w:rPr>
        <w:t xml:space="preserve">                                 </w:t>
      </w:r>
    </w:p>
    <w:p w14:paraId="462735C5">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采购结果公告：</w:t>
      </w:r>
      <w:r>
        <w:rPr>
          <w:rFonts w:hint="eastAsia" w:ascii="宋体" w:hAnsi="宋体" w:cs="宋体"/>
          <w:color w:val="auto"/>
          <w:szCs w:val="21"/>
          <w:highlight w:val="none"/>
          <w:u w:val="dotted"/>
        </w:rPr>
        <w:t xml:space="preserve">是/否 </w:t>
      </w:r>
      <w:r>
        <w:rPr>
          <w:rFonts w:hint="eastAsia" w:ascii="宋体" w:hAnsi="宋体" w:cs="宋体"/>
          <w:color w:val="auto"/>
          <w:szCs w:val="21"/>
          <w:highlight w:val="none"/>
        </w:rPr>
        <w:t>公告期限：</w:t>
      </w:r>
      <w:r>
        <w:rPr>
          <w:rFonts w:hint="eastAsia" w:ascii="宋体" w:hAnsi="宋体" w:cs="宋体"/>
          <w:color w:val="auto"/>
          <w:szCs w:val="21"/>
          <w:highlight w:val="none"/>
          <w:u w:val="dotted"/>
        </w:rPr>
        <w:t xml:space="preserve">                        </w:t>
      </w:r>
    </w:p>
    <w:p w14:paraId="1236046E">
      <w:pPr>
        <w:spacing w:line="360" w:lineRule="auto"/>
        <w:rPr>
          <w:rFonts w:ascii="宋体" w:hAnsi="宋体" w:cs="宋体"/>
          <w:color w:val="auto"/>
          <w:szCs w:val="21"/>
          <w:highlight w:val="none"/>
        </w:rPr>
      </w:pPr>
      <w:r>
        <w:rPr>
          <w:rFonts w:hint="eastAsia" w:ascii="宋体" w:hAnsi="宋体" w:cs="宋体"/>
          <w:color w:val="auto"/>
          <w:szCs w:val="21"/>
          <w:highlight w:val="none"/>
        </w:rPr>
        <w:t>三、质疑基本情况</w:t>
      </w:r>
    </w:p>
    <w:p w14:paraId="063C2650">
      <w:pPr>
        <w:spacing w:line="360" w:lineRule="auto"/>
        <w:ind w:firstLine="420" w:firstLineChars="200"/>
        <w:rPr>
          <w:rFonts w:ascii="宋体" w:hAnsi="宋体" w:cs="宋体"/>
          <w:color w:val="auto"/>
          <w:szCs w:val="21"/>
          <w:highlight w:val="none"/>
          <w:u w:val="dotted"/>
        </w:rPr>
      </w:pPr>
      <w:r>
        <w:rPr>
          <w:rFonts w:hint="eastAsia" w:ascii="宋体" w:hAnsi="宋体" w:cs="宋体"/>
          <w:color w:val="auto"/>
          <w:szCs w:val="21"/>
          <w:highlight w:val="none"/>
        </w:rPr>
        <w:t>投诉人于</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日</w:t>
      </w:r>
      <w:r>
        <w:rPr>
          <w:rFonts w:hint="eastAsia" w:ascii="宋体" w:hAnsi="宋体" w:cs="宋体"/>
          <w:color w:val="auto"/>
          <w:szCs w:val="21"/>
          <w:highlight w:val="none"/>
          <w:lang w:eastAsia="zh-CN"/>
        </w:rPr>
        <w:t>，</w:t>
      </w:r>
      <w:r>
        <w:rPr>
          <w:rFonts w:hint="eastAsia" w:ascii="宋体" w:hAnsi="宋体" w:cs="宋体"/>
          <w:color w:val="auto"/>
          <w:szCs w:val="21"/>
          <w:highlight w:val="none"/>
        </w:rPr>
        <w:t>向</w:t>
      </w:r>
      <w:r>
        <w:rPr>
          <w:rFonts w:hint="eastAsia" w:ascii="宋体" w:hAnsi="宋体" w:cs="宋体"/>
          <w:color w:val="auto"/>
          <w:szCs w:val="21"/>
          <w:highlight w:val="none"/>
          <w:u w:val="dotted"/>
        </w:rPr>
        <w:t xml:space="preserve">                   质疑</w:t>
      </w:r>
      <w:r>
        <w:rPr>
          <w:rFonts w:hint="eastAsia" w:ascii="宋体" w:hAnsi="宋体" w:cs="宋体"/>
          <w:color w:val="auto"/>
          <w:szCs w:val="21"/>
          <w:highlight w:val="none"/>
        </w:rPr>
        <w:t>，质疑事项为：</w:t>
      </w:r>
      <w:r>
        <w:rPr>
          <w:rFonts w:hint="eastAsia" w:ascii="宋体" w:hAnsi="宋体" w:cs="宋体"/>
          <w:color w:val="auto"/>
          <w:szCs w:val="21"/>
          <w:highlight w:val="none"/>
          <w:u w:val="dotted"/>
        </w:rPr>
        <w:t xml:space="preserve">                </w:t>
      </w:r>
    </w:p>
    <w:p w14:paraId="053439CE">
      <w:pPr>
        <w:spacing w:line="360" w:lineRule="auto"/>
        <w:rPr>
          <w:rFonts w:ascii="宋体" w:hAnsi="宋体" w:cs="宋体"/>
          <w:color w:val="auto"/>
          <w:szCs w:val="21"/>
          <w:highlight w:val="none"/>
          <w:u w:val="dotted"/>
        </w:rPr>
      </w:pP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 xml:space="preserve">  </w:t>
      </w:r>
    </w:p>
    <w:p w14:paraId="7E800696">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u w:val="dotted"/>
        </w:rPr>
        <w:t>采购人/代理机构</w:t>
      </w:r>
      <w:r>
        <w:rPr>
          <w:rFonts w:hint="eastAsia" w:ascii="宋体" w:hAnsi="宋体" w:cs="宋体"/>
          <w:color w:val="auto"/>
          <w:szCs w:val="21"/>
          <w:highlight w:val="none"/>
        </w:rPr>
        <w:t>于</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日，就质疑事项作出了答复/没有在法定期限内作出答复。</w:t>
      </w:r>
    </w:p>
    <w:p w14:paraId="18BC2DD0">
      <w:pPr>
        <w:spacing w:line="360" w:lineRule="auto"/>
        <w:rPr>
          <w:rFonts w:ascii="宋体" w:hAnsi="宋体" w:cs="宋体"/>
          <w:color w:val="auto"/>
          <w:szCs w:val="21"/>
          <w:highlight w:val="none"/>
        </w:rPr>
      </w:pPr>
      <w:r>
        <w:rPr>
          <w:rFonts w:hint="eastAsia" w:ascii="宋体" w:hAnsi="宋体" w:cs="宋体"/>
          <w:color w:val="auto"/>
          <w:szCs w:val="21"/>
          <w:highlight w:val="none"/>
        </w:rPr>
        <w:t>四、投诉事项具体内容</w:t>
      </w:r>
    </w:p>
    <w:p w14:paraId="24A6E7FD">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投诉事项 1：</w:t>
      </w:r>
      <w:r>
        <w:rPr>
          <w:rFonts w:hint="eastAsia" w:ascii="宋体" w:hAnsi="宋体" w:cs="宋体"/>
          <w:color w:val="auto"/>
          <w:szCs w:val="21"/>
          <w:highlight w:val="none"/>
          <w:u w:val="dotted"/>
        </w:rPr>
        <w:t xml:space="preserve">                                       </w:t>
      </w:r>
    </w:p>
    <w:p w14:paraId="6069E7DF">
      <w:pPr>
        <w:spacing w:line="360" w:lineRule="auto"/>
        <w:rPr>
          <w:rFonts w:ascii="宋体" w:hAnsi="宋体" w:cs="宋体"/>
          <w:color w:val="auto"/>
          <w:szCs w:val="21"/>
          <w:highlight w:val="none"/>
        </w:rPr>
      </w:pPr>
      <w:r>
        <w:rPr>
          <w:rFonts w:hint="eastAsia" w:ascii="宋体" w:hAnsi="宋体" w:cs="宋体"/>
          <w:color w:val="auto"/>
          <w:szCs w:val="21"/>
          <w:highlight w:val="none"/>
        </w:rPr>
        <w:t>事实依据：</w:t>
      </w:r>
      <w:r>
        <w:rPr>
          <w:rFonts w:hint="eastAsia" w:ascii="宋体" w:hAnsi="宋体" w:cs="宋体"/>
          <w:color w:val="auto"/>
          <w:szCs w:val="21"/>
          <w:highlight w:val="none"/>
          <w:u w:val="dotted"/>
        </w:rPr>
        <w:t xml:space="preserve">                                         </w:t>
      </w:r>
    </w:p>
    <w:p w14:paraId="6B46602C">
      <w:pPr>
        <w:spacing w:line="360" w:lineRule="auto"/>
        <w:rPr>
          <w:rFonts w:ascii="宋体" w:hAnsi="宋体" w:cs="宋体"/>
          <w:color w:val="auto"/>
          <w:szCs w:val="21"/>
          <w:highlight w:val="none"/>
          <w:u w:val="dotted"/>
        </w:rPr>
      </w:pPr>
      <w:r>
        <w:rPr>
          <w:rFonts w:hint="eastAsia" w:ascii="宋体" w:hAnsi="宋体" w:cs="宋体"/>
          <w:color w:val="auto"/>
          <w:szCs w:val="21"/>
          <w:highlight w:val="none"/>
          <w:u w:val="dotted"/>
        </w:rPr>
        <w:t xml:space="preserve">                                                      </w:t>
      </w:r>
    </w:p>
    <w:p w14:paraId="7BBAC416">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法律依据：</w:t>
      </w:r>
      <w:r>
        <w:rPr>
          <w:rFonts w:hint="eastAsia" w:ascii="宋体" w:hAnsi="宋体" w:cs="宋体"/>
          <w:color w:val="auto"/>
          <w:szCs w:val="21"/>
          <w:highlight w:val="none"/>
          <w:u w:val="dotted"/>
        </w:rPr>
        <w:t xml:space="preserve">                                          </w:t>
      </w:r>
    </w:p>
    <w:p w14:paraId="3CF342E2">
      <w:pPr>
        <w:spacing w:line="360" w:lineRule="auto"/>
        <w:rPr>
          <w:rFonts w:ascii="宋体" w:hAnsi="宋体" w:cs="宋体"/>
          <w:color w:val="auto"/>
          <w:szCs w:val="21"/>
          <w:highlight w:val="none"/>
          <w:u w:val="dotted"/>
        </w:rPr>
      </w:pPr>
      <w:r>
        <w:rPr>
          <w:rFonts w:hint="eastAsia" w:ascii="宋体" w:hAnsi="宋体" w:cs="宋体"/>
          <w:color w:val="auto"/>
          <w:szCs w:val="21"/>
          <w:highlight w:val="none"/>
          <w:u w:val="dotted"/>
        </w:rPr>
        <w:t xml:space="preserve">                                                      </w:t>
      </w:r>
    </w:p>
    <w:p w14:paraId="2B87AAE8">
      <w:pPr>
        <w:spacing w:line="360" w:lineRule="auto"/>
        <w:rPr>
          <w:rFonts w:ascii="宋体" w:hAnsi="宋体" w:cs="宋体"/>
          <w:color w:val="auto"/>
          <w:szCs w:val="21"/>
          <w:highlight w:val="none"/>
        </w:rPr>
      </w:pPr>
      <w:r>
        <w:rPr>
          <w:rFonts w:hint="eastAsia" w:ascii="宋体" w:hAnsi="宋体" w:cs="宋体"/>
          <w:color w:val="auto"/>
          <w:szCs w:val="21"/>
          <w:highlight w:val="none"/>
        </w:rPr>
        <w:t>投诉事项2</w:t>
      </w:r>
    </w:p>
    <w:p w14:paraId="7D54D4E3">
      <w:pPr>
        <w:spacing w:line="360" w:lineRule="auto"/>
        <w:rPr>
          <w:rFonts w:ascii="宋体" w:hAnsi="宋体" w:cs="宋体"/>
          <w:color w:val="auto"/>
          <w:szCs w:val="21"/>
          <w:highlight w:val="none"/>
          <w:u w:val="dotted"/>
        </w:rPr>
      </w:pPr>
      <w:r>
        <w:rPr>
          <w:rFonts w:hint="eastAsia" w:ascii="宋体" w:hAnsi="宋体" w:cs="宋体"/>
          <w:color w:val="auto"/>
          <w:szCs w:val="21"/>
          <w:highlight w:val="none"/>
        </w:rPr>
        <w:t>……</w:t>
      </w:r>
    </w:p>
    <w:p w14:paraId="66850752">
      <w:pPr>
        <w:spacing w:line="360" w:lineRule="auto"/>
        <w:rPr>
          <w:rFonts w:ascii="宋体" w:hAnsi="宋体" w:cs="宋体"/>
          <w:color w:val="auto"/>
          <w:szCs w:val="21"/>
          <w:highlight w:val="none"/>
        </w:rPr>
      </w:pPr>
      <w:r>
        <w:rPr>
          <w:rFonts w:hint="eastAsia" w:ascii="宋体" w:hAnsi="宋体" w:cs="宋体"/>
          <w:color w:val="auto"/>
          <w:szCs w:val="21"/>
          <w:highlight w:val="none"/>
        </w:rPr>
        <w:t>五、与投诉事项相关的投诉请求</w:t>
      </w:r>
    </w:p>
    <w:p w14:paraId="52A3312B">
      <w:pPr>
        <w:spacing w:line="360" w:lineRule="auto"/>
        <w:rPr>
          <w:rFonts w:ascii="宋体" w:hAnsi="宋体" w:cs="宋体"/>
          <w:color w:val="auto"/>
          <w:szCs w:val="21"/>
          <w:highlight w:val="none"/>
        </w:rPr>
      </w:pPr>
      <w:r>
        <w:rPr>
          <w:rFonts w:hint="eastAsia" w:ascii="宋体" w:hAnsi="宋体" w:cs="宋体"/>
          <w:color w:val="auto"/>
          <w:szCs w:val="21"/>
          <w:highlight w:val="none"/>
        </w:rPr>
        <w:t>请求：</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 xml:space="preserve"> </w:t>
      </w:r>
    </w:p>
    <w:p w14:paraId="5B581EB8">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 xml:space="preserve">                                                                      </w:t>
      </w:r>
    </w:p>
    <w:p w14:paraId="47784CB7">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签字（签章）：                   公章：                      </w:t>
      </w:r>
    </w:p>
    <w:p w14:paraId="27743268">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日期：    </w:t>
      </w:r>
    </w:p>
    <w:p w14:paraId="040E524F">
      <w:pPr>
        <w:spacing w:line="360" w:lineRule="auto"/>
        <w:rPr>
          <w:rFonts w:ascii="宋体" w:hAnsi="宋体" w:cs="宋体"/>
          <w:b/>
          <w:color w:val="auto"/>
          <w:szCs w:val="21"/>
          <w:highlight w:val="none"/>
        </w:rPr>
      </w:pPr>
    </w:p>
    <w:p w14:paraId="58788C78">
      <w:pPr>
        <w:spacing w:line="360" w:lineRule="auto"/>
        <w:rPr>
          <w:rFonts w:ascii="宋体" w:hAnsi="宋体" w:cs="宋体"/>
          <w:b/>
          <w:color w:val="auto"/>
          <w:szCs w:val="21"/>
          <w:highlight w:val="none"/>
        </w:rPr>
      </w:pPr>
    </w:p>
    <w:p w14:paraId="7CB25245">
      <w:pPr>
        <w:spacing w:line="360" w:lineRule="auto"/>
        <w:rPr>
          <w:rFonts w:ascii="宋体" w:hAnsi="宋体" w:cs="宋体"/>
          <w:b/>
          <w:color w:val="auto"/>
          <w:szCs w:val="21"/>
          <w:highlight w:val="none"/>
        </w:rPr>
      </w:pPr>
      <w:r>
        <w:rPr>
          <w:rFonts w:hint="eastAsia" w:ascii="宋体" w:hAnsi="宋体" w:cs="宋体"/>
          <w:b/>
          <w:color w:val="auto"/>
          <w:szCs w:val="21"/>
          <w:highlight w:val="none"/>
        </w:rPr>
        <w:t>投诉书制作说明：</w:t>
      </w:r>
    </w:p>
    <w:p w14:paraId="6D13E733">
      <w:pPr>
        <w:widowControl/>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1.投诉人提起投诉时，应当提交投诉书和必要的证明材料，并按照被投诉人和与投诉事项有关的供应商数量提供投诉书副本。</w:t>
      </w:r>
    </w:p>
    <w:p w14:paraId="39113384">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2.投诉人若委托代理人进行投诉的，投诉书应按照要求列明“授权代表”的有关内容，并在附件中提交由</w:t>
      </w:r>
      <w:r>
        <w:rPr>
          <w:rFonts w:hint="eastAsia" w:ascii="宋体" w:hAnsi="宋体" w:cs="宋体"/>
          <w:color w:val="auto"/>
          <w:kern w:val="0"/>
          <w:szCs w:val="21"/>
          <w:highlight w:val="none"/>
        </w:rPr>
        <w:t>投诉人签署的授权委托书。授权委托书应当载明代理人的姓名或者名称、代理事项、具体权限、期限和相关事项。</w:t>
      </w:r>
    </w:p>
    <w:p w14:paraId="224F4E36">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3.投诉人若对项目的某一分包进行投诉，投诉书应列明具体分包号。</w:t>
      </w:r>
    </w:p>
    <w:p w14:paraId="4748C6C7">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4.投诉书应简要列明质疑事项，质疑函、质疑答复等作为附件材料提供。</w:t>
      </w:r>
    </w:p>
    <w:p w14:paraId="2761EED6">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5.投诉书的投诉事项应具体、明确，并有必要的事实依据和法律依据。</w:t>
      </w:r>
    </w:p>
    <w:p w14:paraId="0C456DC9">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6.投诉书的投诉请求应与投诉事项相关。</w:t>
      </w:r>
    </w:p>
    <w:p w14:paraId="2364D5CD">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7.投诉人为自然人的，投诉书应当由本人签字；投诉人为法人或者其他组织的，投诉书应当由法定代表人、主要负责人，或者其授权代表签字或者盖章，并加盖公章。</w:t>
      </w:r>
    </w:p>
    <w:p w14:paraId="59ABD140">
      <w:pPr>
        <w:spacing w:line="360" w:lineRule="auto"/>
        <w:rPr>
          <w:rFonts w:ascii="宋体" w:hAnsi="宋体" w:cs="宋体"/>
          <w:b/>
          <w:color w:val="auto"/>
          <w:szCs w:val="21"/>
          <w:highlight w:val="none"/>
        </w:rPr>
      </w:pPr>
    </w:p>
    <w:p w14:paraId="72DD9C6B">
      <w:pPr>
        <w:autoSpaceDE w:val="0"/>
        <w:autoSpaceDN w:val="0"/>
        <w:spacing w:line="360" w:lineRule="auto"/>
        <w:jc w:val="center"/>
        <w:rPr>
          <w:rFonts w:ascii="宋体" w:hAnsi="宋体" w:cs="宋体"/>
          <w:b/>
          <w:color w:val="auto"/>
          <w:spacing w:val="6"/>
          <w:szCs w:val="21"/>
          <w:highlight w:val="none"/>
        </w:rPr>
      </w:pPr>
    </w:p>
    <w:p w14:paraId="2CA96710">
      <w:pPr>
        <w:autoSpaceDE w:val="0"/>
        <w:autoSpaceDN w:val="0"/>
        <w:spacing w:line="360" w:lineRule="auto"/>
        <w:jc w:val="center"/>
        <w:rPr>
          <w:rFonts w:ascii="宋体" w:hAnsi="宋体" w:cs="宋体"/>
          <w:b/>
          <w:color w:val="auto"/>
          <w:spacing w:val="6"/>
          <w:szCs w:val="21"/>
          <w:highlight w:val="none"/>
        </w:rPr>
      </w:pPr>
    </w:p>
    <w:p w14:paraId="521B291A">
      <w:pPr>
        <w:spacing w:line="360" w:lineRule="auto"/>
        <w:rPr>
          <w:rFonts w:ascii="宋体" w:hAnsi="宋体" w:cs="宋体"/>
          <w:b/>
          <w:color w:val="auto"/>
          <w:spacing w:val="6"/>
          <w:szCs w:val="21"/>
          <w:highlight w:val="none"/>
        </w:rPr>
      </w:pPr>
      <w:r>
        <w:rPr>
          <w:rFonts w:hint="eastAsia" w:ascii="宋体" w:hAnsi="宋体" w:cs="宋体"/>
          <w:b/>
          <w:color w:val="auto"/>
          <w:spacing w:val="6"/>
          <w:szCs w:val="21"/>
          <w:highlight w:val="none"/>
        </w:rPr>
        <w:br w:type="page"/>
      </w:r>
    </w:p>
    <w:p w14:paraId="3510B582">
      <w:pPr>
        <w:pStyle w:val="4"/>
        <w:ind w:firstLine="428"/>
        <w:rPr>
          <w:color w:val="auto"/>
          <w:szCs w:val="21"/>
          <w:highlight w:val="none"/>
        </w:rPr>
      </w:pPr>
      <w:r>
        <w:rPr>
          <w:rFonts w:hint="eastAsia"/>
          <w:color w:val="auto"/>
          <w:szCs w:val="21"/>
          <w:highlight w:val="none"/>
        </w:rPr>
        <w:t>附件4：业务专用章使用说明函</w:t>
      </w:r>
    </w:p>
    <w:p w14:paraId="4C8D65C2">
      <w:pPr>
        <w:spacing w:line="360" w:lineRule="auto"/>
        <w:rPr>
          <w:rFonts w:ascii="宋体" w:hAnsi="宋体" w:cs="宋体"/>
          <w:color w:val="auto"/>
          <w:szCs w:val="21"/>
          <w:highlight w:val="none"/>
          <w:u w:val="single"/>
        </w:rPr>
      </w:pPr>
    </w:p>
    <w:p w14:paraId="63F3F6D6">
      <w:pPr>
        <w:spacing w:line="360" w:lineRule="auto"/>
        <w:rPr>
          <w:rFonts w:ascii="宋体" w:hAnsi="宋体" w:cs="宋体"/>
          <w:color w:val="auto"/>
          <w:szCs w:val="21"/>
          <w:highlight w:val="none"/>
        </w:rPr>
      </w:pPr>
      <w:r>
        <w:rPr>
          <w:rFonts w:hint="eastAsia" w:ascii="宋体" w:hAnsi="宋体" w:cs="宋体"/>
          <w:color w:val="auto"/>
          <w:szCs w:val="21"/>
          <w:highlight w:val="none"/>
          <w:u w:val="single"/>
        </w:rPr>
        <w:t>（采购人）、（采购代理机构）：</w:t>
      </w:r>
    </w:p>
    <w:p w14:paraId="69A86763">
      <w:pPr>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lang w:val="zh-CN"/>
        </w:rPr>
        <w:t>我方</w:t>
      </w:r>
      <w:r>
        <w:rPr>
          <w:rFonts w:hint="eastAsia" w:ascii="宋体" w:hAnsi="宋体" w:cs="宋体"/>
          <w:color w:val="auto"/>
          <w:kern w:val="0"/>
          <w:szCs w:val="21"/>
          <w:highlight w:val="none"/>
          <w:u w:val="single"/>
          <w:lang w:val="zh-CN"/>
        </w:rPr>
        <w:t xml:space="preserve">                         （</w:t>
      </w:r>
      <w:r>
        <w:rPr>
          <w:rFonts w:hint="eastAsia" w:ascii="宋体" w:hAnsi="宋体" w:cs="宋体"/>
          <w:color w:val="auto"/>
          <w:szCs w:val="21"/>
          <w:highlight w:val="none"/>
        </w:rPr>
        <w:t>投标人全称）是中华人民共和国依法登记注册的合法企业，</w:t>
      </w:r>
      <w:r>
        <w:rPr>
          <w:rFonts w:hint="eastAsia" w:ascii="宋体" w:hAnsi="宋体" w:cs="宋体"/>
          <w:bCs/>
          <w:color w:val="auto"/>
          <w:szCs w:val="21"/>
          <w:highlight w:val="none"/>
        </w:rPr>
        <w:t>在参加</w:t>
      </w:r>
      <w:r>
        <w:rPr>
          <w:rFonts w:hint="eastAsia" w:ascii="宋体" w:hAnsi="宋体" w:cs="宋体"/>
          <w:color w:val="auto"/>
          <w:szCs w:val="21"/>
          <w:highlight w:val="none"/>
        </w:rPr>
        <w:t>你方组织的（项目名称）【招标编号：（采购编号）】</w:t>
      </w:r>
      <w:r>
        <w:rPr>
          <w:rFonts w:hint="eastAsia" w:ascii="宋体" w:hAnsi="宋体" w:cs="宋体"/>
          <w:bCs/>
          <w:color w:val="auto"/>
          <w:szCs w:val="21"/>
          <w:highlight w:val="none"/>
        </w:rPr>
        <w:t>投标活动中作如下说明：</w:t>
      </w:r>
      <w:r>
        <w:rPr>
          <w:rFonts w:hint="eastAsia" w:ascii="宋体" w:hAnsi="宋体" w:cs="宋体"/>
          <w:color w:val="auto"/>
          <w:szCs w:val="21"/>
          <w:highlight w:val="none"/>
        </w:rPr>
        <w:t xml:space="preserve">我方所使用的“XX专用章”与法定名称章具有同等的法律效力，对使用“XX专用章”的行为予以完全承认，并愿意承担相应责任。   </w:t>
      </w:r>
    </w:p>
    <w:p w14:paraId="5740471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特此说明。</w:t>
      </w:r>
    </w:p>
    <w:p w14:paraId="71CA3626">
      <w:pPr>
        <w:spacing w:line="360" w:lineRule="auto"/>
        <w:ind w:firstLine="494"/>
        <w:rPr>
          <w:rFonts w:ascii="宋体" w:hAnsi="宋体" w:cs="宋体"/>
          <w:color w:val="auto"/>
          <w:szCs w:val="21"/>
          <w:highlight w:val="none"/>
        </w:rPr>
      </w:pPr>
    </w:p>
    <w:p w14:paraId="68B59C3C">
      <w:pPr>
        <w:spacing w:line="360" w:lineRule="auto"/>
        <w:ind w:firstLine="494"/>
        <w:rPr>
          <w:rFonts w:ascii="宋体" w:hAnsi="宋体" w:cs="宋体"/>
          <w:color w:val="auto"/>
          <w:szCs w:val="21"/>
          <w:highlight w:val="none"/>
        </w:rPr>
      </w:pPr>
    </w:p>
    <w:p w14:paraId="72DE2D44">
      <w:pPr>
        <w:spacing w:line="360" w:lineRule="auto"/>
        <w:ind w:firstLine="494"/>
        <w:rPr>
          <w:rFonts w:ascii="宋体" w:hAnsi="宋体" w:cs="宋体"/>
          <w:color w:val="auto"/>
          <w:szCs w:val="21"/>
          <w:highlight w:val="none"/>
        </w:rPr>
      </w:pPr>
    </w:p>
    <w:p w14:paraId="7734C34A">
      <w:pPr>
        <w:spacing w:line="360" w:lineRule="auto"/>
        <w:ind w:firstLine="494"/>
        <w:rPr>
          <w:rFonts w:ascii="宋体" w:hAnsi="宋体" w:cs="宋体"/>
          <w:color w:val="auto"/>
          <w:szCs w:val="21"/>
          <w:highlight w:val="none"/>
        </w:rPr>
      </w:pPr>
    </w:p>
    <w:p w14:paraId="4A7D6C17">
      <w:pPr>
        <w:spacing w:line="360" w:lineRule="auto"/>
        <w:ind w:right="480" w:firstLine="3570" w:firstLineChars="1700"/>
        <w:rPr>
          <w:rFonts w:ascii="宋体" w:hAnsi="宋体" w:cs="宋体"/>
          <w:color w:val="auto"/>
          <w:szCs w:val="21"/>
          <w:highlight w:val="none"/>
        </w:rPr>
      </w:pPr>
      <w:r>
        <w:rPr>
          <w:rFonts w:hint="eastAsia" w:ascii="宋体" w:hAnsi="宋体" w:cs="宋体"/>
          <w:color w:val="auto"/>
          <w:szCs w:val="21"/>
          <w:highlight w:val="none"/>
        </w:rPr>
        <w:t>投标单位（法定名称章）：</w:t>
      </w:r>
    </w:p>
    <w:p w14:paraId="68836850">
      <w:pPr>
        <w:spacing w:line="360" w:lineRule="auto"/>
        <w:ind w:right="1440" w:firstLine="494"/>
        <w:jc w:val="center"/>
        <w:rPr>
          <w:rFonts w:ascii="宋体" w:hAnsi="宋体" w:cs="宋体"/>
          <w:color w:val="auto"/>
          <w:szCs w:val="21"/>
          <w:highlight w:val="none"/>
        </w:rPr>
      </w:pPr>
      <w:r>
        <w:rPr>
          <w:rFonts w:hint="eastAsia" w:ascii="宋体" w:hAnsi="宋体" w:cs="宋体"/>
          <w:color w:val="auto"/>
          <w:szCs w:val="21"/>
          <w:highlight w:val="none"/>
        </w:rPr>
        <w:t xml:space="preserve">                              日期：       年     月     日</w:t>
      </w:r>
    </w:p>
    <w:p w14:paraId="4D61C252">
      <w:pPr>
        <w:spacing w:line="360" w:lineRule="auto"/>
        <w:rPr>
          <w:rFonts w:ascii="宋体" w:hAnsi="宋体" w:cs="宋体"/>
          <w:color w:val="auto"/>
          <w:szCs w:val="21"/>
          <w:highlight w:val="none"/>
        </w:rPr>
      </w:pPr>
      <w:r>
        <w:rPr>
          <w:rFonts w:hint="eastAsia" w:ascii="宋体" w:hAnsi="宋体" w:cs="宋体"/>
          <w:b/>
          <w:bCs/>
          <w:color w:val="auto"/>
          <w:szCs w:val="21"/>
          <w:highlight w:val="none"/>
        </w:rPr>
        <w:t>附：</w:t>
      </w:r>
    </w:p>
    <w:p w14:paraId="39AE72E0">
      <w:pPr>
        <w:spacing w:line="360" w:lineRule="auto"/>
        <w:rPr>
          <w:rFonts w:ascii="宋体" w:hAnsi="宋体" w:cs="宋体"/>
          <w:bCs/>
          <w:color w:val="auto"/>
          <w:szCs w:val="21"/>
          <w:highlight w:val="none"/>
        </w:rPr>
      </w:pPr>
      <w:r>
        <w:rPr>
          <w:rFonts w:hint="eastAsia" w:ascii="宋体" w:hAnsi="宋体" w:cs="宋体"/>
          <w:b/>
          <w:bCs/>
          <w:color w:val="auto"/>
          <w:szCs w:val="21"/>
          <w:highlight w:val="none"/>
        </w:rPr>
        <mc:AlternateContent>
          <mc:Choice Requires="wps">
            <w:drawing>
              <wp:anchor distT="0" distB="0" distL="114300" distR="114300" simplePos="0" relativeHeight="251665408" behindDoc="1" locked="0" layoutInCell="1" allowOverlap="1">
                <wp:simplePos x="0" y="0"/>
                <wp:positionH relativeFrom="column">
                  <wp:posOffset>3034030</wp:posOffset>
                </wp:positionH>
                <wp:positionV relativeFrom="paragraph">
                  <wp:posOffset>356235</wp:posOffset>
                </wp:positionV>
                <wp:extent cx="2704465" cy="2253615"/>
                <wp:effectExtent l="5080" t="4445" r="5080"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107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b/>
          <w:bCs/>
          <w:color w:val="auto"/>
          <w:szCs w:val="21"/>
          <w:highlight w:val="none"/>
        </w:rPr>
        <mc:AlternateContent>
          <mc:Choice Requires="wps">
            <w:drawing>
              <wp:anchor distT="0" distB="0" distL="114300" distR="114300" simplePos="0" relativeHeight="251666432" behindDoc="1" locked="0" layoutInCell="1" allowOverlap="1">
                <wp:simplePos x="0" y="0"/>
                <wp:positionH relativeFrom="column">
                  <wp:posOffset>-91440</wp:posOffset>
                </wp:positionH>
                <wp:positionV relativeFrom="paragraph">
                  <wp:posOffset>384810</wp:posOffset>
                </wp:positionV>
                <wp:extent cx="2647950" cy="2253615"/>
                <wp:effectExtent l="5080" t="4445" r="4445"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004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color w:val="auto"/>
          <w:szCs w:val="21"/>
          <w:highlight w:val="none"/>
        </w:rPr>
        <w:t>投标单位法定名称章（印模）                       投标单位“XX专用章”（印模）</w:t>
      </w:r>
    </w:p>
    <w:p w14:paraId="2323EDEA">
      <w:pPr>
        <w:autoSpaceDE w:val="0"/>
        <w:autoSpaceDN w:val="0"/>
        <w:spacing w:line="360" w:lineRule="auto"/>
        <w:jc w:val="center"/>
        <w:rPr>
          <w:rFonts w:ascii="宋体" w:hAnsi="宋体" w:cs="宋体"/>
          <w:b/>
          <w:color w:val="auto"/>
          <w:spacing w:val="6"/>
          <w:szCs w:val="21"/>
          <w:highlight w:val="none"/>
        </w:rPr>
      </w:pPr>
    </w:p>
    <w:p w14:paraId="3E8F9F6B">
      <w:pPr>
        <w:autoSpaceDE w:val="0"/>
        <w:autoSpaceDN w:val="0"/>
        <w:spacing w:line="360" w:lineRule="auto"/>
        <w:jc w:val="center"/>
        <w:rPr>
          <w:rFonts w:ascii="宋体" w:hAnsi="宋体" w:cs="宋体"/>
          <w:b/>
          <w:color w:val="auto"/>
          <w:spacing w:val="6"/>
          <w:szCs w:val="21"/>
          <w:highlight w:val="none"/>
        </w:rPr>
      </w:pPr>
    </w:p>
    <w:p w14:paraId="5B6E94C4">
      <w:pPr>
        <w:autoSpaceDE w:val="0"/>
        <w:autoSpaceDN w:val="0"/>
        <w:spacing w:line="360" w:lineRule="auto"/>
        <w:jc w:val="center"/>
        <w:rPr>
          <w:rFonts w:ascii="宋体" w:hAnsi="宋体" w:cs="宋体"/>
          <w:b/>
          <w:color w:val="auto"/>
          <w:spacing w:val="6"/>
          <w:szCs w:val="21"/>
          <w:highlight w:val="none"/>
        </w:rPr>
      </w:pPr>
    </w:p>
    <w:p w14:paraId="43AA260E">
      <w:pPr>
        <w:autoSpaceDE w:val="0"/>
        <w:autoSpaceDN w:val="0"/>
        <w:spacing w:line="360" w:lineRule="auto"/>
        <w:jc w:val="center"/>
        <w:rPr>
          <w:rFonts w:ascii="宋体" w:hAnsi="宋体" w:cs="宋体"/>
          <w:b/>
          <w:color w:val="auto"/>
          <w:spacing w:val="6"/>
          <w:szCs w:val="21"/>
          <w:highlight w:val="none"/>
        </w:rPr>
      </w:pPr>
    </w:p>
    <w:p w14:paraId="6587B6F6">
      <w:pPr>
        <w:autoSpaceDE w:val="0"/>
        <w:autoSpaceDN w:val="0"/>
        <w:spacing w:line="360" w:lineRule="auto"/>
        <w:jc w:val="center"/>
        <w:rPr>
          <w:rFonts w:ascii="宋体" w:hAnsi="宋体" w:cs="宋体"/>
          <w:b/>
          <w:color w:val="auto"/>
          <w:spacing w:val="6"/>
          <w:szCs w:val="21"/>
          <w:highlight w:val="none"/>
        </w:rPr>
      </w:pPr>
    </w:p>
    <w:p w14:paraId="59399B3A">
      <w:pPr>
        <w:autoSpaceDE w:val="0"/>
        <w:autoSpaceDN w:val="0"/>
        <w:spacing w:line="360" w:lineRule="auto"/>
        <w:jc w:val="center"/>
        <w:rPr>
          <w:rFonts w:ascii="宋体" w:hAnsi="宋体" w:cs="宋体"/>
          <w:b/>
          <w:color w:val="auto"/>
          <w:spacing w:val="6"/>
          <w:szCs w:val="21"/>
          <w:highlight w:val="none"/>
        </w:rPr>
      </w:pPr>
    </w:p>
    <w:p w14:paraId="13CB8BC7">
      <w:pPr>
        <w:autoSpaceDE w:val="0"/>
        <w:autoSpaceDN w:val="0"/>
        <w:spacing w:line="360" w:lineRule="auto"/>
        <w:jc w:val="center"/>
        <w:rPr>
          <w:rFonts w:ascii="宋体" w:hAnsi="宋体" w:cs="宋体"/>
          <w:b/>
          <w:color w:val="auto"/>
          <w:spacing w:val="6"/>
          <w:szCs w:val="21"/>
          <w:highlight w:val="none"/>
        </w:rPr>
      </w:pPr>
    </w:p>
    <w:p w14:paraId="0B338750">
      <w:pPr>
        <w:autoSpaceDE w:val="0"/>
        <w:autoSpaceDN w:val="0"/>
        <w:spacing w:line="360" w:lineRule="auto"/>
        <w:jc w:val="center"/>
        <w:rPr>
          <w:rFonts w:ascii="宋体" w:hAnsi="宋体" w:cs="宋体"/>
          <w:b/>
          <w:color w:val="auto"/>
          <w:spacing w:val="6"/>
          <w:szCs w:val="21"/>
          <w:highlight w:val="none"/>
        </w:rPr>
      </w:pPr>
    </w:p>
    <w:p w14:paraId="7A8A57B9">
      <w:pPr>
        <w:autoSpaceDE w:val="0"/>
        <w:autoSpaceDN w:val="0"/>
        <w:spacing w:line="360" w:lineRule="auto"/>
        <w:jc w:val="center"/>
        <w:rPr>
          <w:rFonts w:ascii="宋体" w:hAnsi="宋体" w:cs="宋体"/>
          <w:b/>
          <w:color w:val="auto"/>
          <w:spacing w:val="6"/>
          <w:szCs w:val="21"/>
          <w:highlight w:val="none"/>
        </w:rPr>
      </w:pPr>
    </w:p>
    <w:p w14:paraId="1F9391A3">
      <w:pPr>
        <w:autoSpaceDE w:val="0"/>
        <w:autoSpaceDN w:val="0"/>
        <w:spacing w:line="360" w:lineRule="auto"/>
        <w:jc w:val="center"/>
        <w:rPr>
          <w:rFonts w:ascii="宋体" w:hAnsi="宋体" w:cs="宋体"/>
          <w:b/>
          <w:color w:val="auto"/>
          <w:spacing w:val="6"/>
          <w:szCs w:val="21"/>
          <w:highlight w:val="none"/>
        </w:rPr>
      </w:pPr>
    </w:p>
    <w:p w14:paraId="05B28A08">
      <w:pPr>
        <w:autoSpaceDE w:val="0"/>
        <w:autoSpaceDN w:val="0"/>
        <w:spacing w:line="360" w:lineRule="auto"/>
        <w:jc w:val="center"/>
        <w:rPr>
          <w:rFonts w:ascii="宋体" w:hAnsi="宋体" w:cs="宋体"/>
          <w:b/>
          <w:color w:val="auto"/>
          <w:spacing w:val="6"/>
          <w:szCs w:val="21"/>
          <w:highlight w:val="none"/>
        </w:rPr>
      </w:pPr>
    </w:p>
    <w:p w14:paraId="2D540F34">
      <w:pPr>
        <w:autoSpaceDE w:val="0"/>
        <w:autoSpaceDN w:val="0"/>
        <w:spacing w:line="360" w:lineRule="auto"/>
        <w:jc w:val="center"/>
        <w:rPr>
          <w:rFonts w:ascii="宋体" w:hAnsi="宋体" w:cs="宋体"/>
          <w:b/>
          <w:color w:val="auto"/>
          <w:spacing w:val="6"/>
          <w:szCs w:val="21"/>
          <w:highlight w:val="none"/>
        </w:rPr>
      </w:pPr>
    </w:p>
    <w:p w14:paraId="1B8466D4">
      <w:pPr>
        <w:autoSpaceDE w:val="0"/>
        <w:autoSpaceDN w:val="0"/>
        <w:spacing w:line="360" w:lineRule="auto"/>
        <w:jc w:val="center"/>
        <w:rPr>
          <w:rFonts w:ascii="宋体" w:hAnsi="宋体" w:cs="宋体"/>
          <w:b/>
          <w:color w:val="auto"/>
          <w:spacing w:val="6"/>
          <w:szCs w:val="21"/>
          <w:highlight w:val="none"/>
        </w:rPr>
      </w:pPr>
    </w:p>
    <w:p w14:paraId="45A38914">
      <w:pPr>
        <w:autoSpaceDE w:val="0"/>
        <w:autoSpaceDN w:val="0"/>
        <w:spacing w:line="360" w:lineRule="auto"/>
        <w:jc w:val="center"/>
        <w:rPr>
          <w:rFonts w:ascii="宋体" w:hAnsi="宋体" w:cs="宋体"/>
          <w:b/>
          <w:color w:val="auto"/>
          <w:spacing w:val="6"/>
          <w:szCs w:val="21"/>
          <w:highlight w:val="none"/>
        </w:rPr>
      </w:pPr>
    </w:p>
    <w:p w14:paraId="3C6FF1FF">
      <w:pPr>
        <w:autoSpaceDE w:val="0"/>
        <w:autoSpaceDN w:val="0"/>
        <w:spacing w:line="360" w:lineRule="auto"/>
        <w:jc w:val="center"/>
        <w:rPr>
          <w:rFonts w:ascii="宋体" w:hAnsi="宋体" w:cs="宋体"/>
          <w:b/>
          <w:color w:val="auto"/>
          <w:spacing w:val="6"/>
          <w:szCs w:val="21"/>
          <w:highlight w:val="none"/>
        </w:rPr>
      </w:pPr>
    </w:p>
    <w:p w14:paraId="352B2FF3">
      <w:pPr>
        <w:autoSpaceDE w:val="0"/>
        <w:autoSpaceDN w:val="0"/>
        <w:spacing w:line="360" w:lineRule="auto"/>
        <w:jc w:val="center"/>
        <w:rPr>
          <w:rFonts w:ascii="宋体" w:hAnsi="宋体" w:cs="宋体"/>
          <w:b/>
          <w:color w:val="auto"/>
          <w:spacing w:val="6"/>
          <w:szCs w:val="21"/>
          <w:highlight w:val="none"/>
        </w:rPr>
      </w:pPr>
    </w:p>
    <w:p w14:paraId="6F789371">
      <w:pPr>
        <w:autoSpaceDE w:val="0"/>
        <w:autoSpaceDN w:val="0"/>
        <w:spacing w:line="360" w:lineRule="auto"/>
        <w:jc w:val="center"/>
        <w:rPr>
          <w:rFonts w:ascii="宋体" w:hAnsi="宋体" w:cs="宋体"/>
          <w:b/>
          <w:color w:val="auto"/>
          <w:spacing w:val="6"/>
          <w:szCs w:val="21"/>
          <w:highlight w:val="none"/>
        </w:rPr>
      </w:pPr>
    </w:p>
    <w:p w14:paraId="2F030928">
      <w:pPr>
        <w:spacing w:line="360" w:lineRule="auto"/>
        <w:rPr>
          <w:rFonts w:ascii="宋体" w:hAnsi="宋体" w:cs="宋体"/>
          <w:b/>
          <w:color w:val="auto"/>
          <w:spacing w:val="6"/>
          <w:szCs w:val="21"/>
          <w:highlight w:val="none"/>
        </w:rPr>
      </w:pPr>
      <w:r>
        <w:rPr>
          <w:rFonts w:hint="eastAsia" w:ascii="宋体" w:hAnsi="宋体" w:cs="宋体"/>
          <w:b/>
          <w:color w:val="auto"/>
          <w:spacing w:val="6"/>
          <w:szCs w:val="21"/>
          <w:highlight w:val="none"/>
        </w:rPr>
        <w:br w:type="page"/>
      </w:r>
    </w:p>
    <w:p w14:paraId="79CCE346">
      <w:pPr>
        <w:pStyle w:val="4"/>
        <w:ind w:firstLine="428"/>
        <w:rPr>
          <w:color w:val="auto"/>
          <w:szCs w:val="21"/>
          <w:highlight w:val="none"/>
          <w:lang w:val="zh-CN"/>
        </w:rPr>
      </w:pPr>
      <w:r>
        <w:rPr>
          <w:rFonts w:hint="eastAsia"/>
          <w:color w:val="auto"/>
          <w:szCs w:val="21"/>
          <w:highlight w:val="none"/>
        </w:rPr>
        <w:t>附件5：</w:t>
      </w:r>
      <w:r>
        <w:rPr>
          <w:rFonts w:hint="eastAsia"/>
          <w:color w:val="auto"/>
          <w:szCs w:val="21"/>
          <w:highlight w:val="none"/>
          <w:lang w:val="zh-CN"/>
        </w:rPr>
        <w:t>联合协议</w:t>
      </w:r>
    </w:p>
    <w:p w14:paraId="41BBAA0D">
      <w:pPr>
        <w:widowControl/>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（以联合体形式投标的，提供联合协议；本项目不接受联合体投标或者投标人不以联合体形式投标的，则不需要提供）</w:t>
      </w:r>
    </w:p>
    <w:p w14:paraId="55D032A5">
      <w:pPr>
        <w:snapToGrid w:val="0"/>
        <w:spacing w:line="360" w:lineRule="auto"/>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u w:val="single"/>
        </w:rPr>
        <w:t>（联合体所有成员名称）</w:t>
      </w:r>
      <w:r>
        <w:rPr>
          <w:rFonts w:hint="eastAsia" w:ascii="宋体" w:hAnsi="宋体" w:cs="宋体"/>
          <w:color w:val="auto"/>
          <w:kern w:val="0"/>
          <w:szCs w:val="21"/>
          <w:highlight w:val="none"/>
        </w:rPr>
        <w:t>自愿</w:t>
      </w:r>
      <w:r>
        <w:rPr>
          <w:rFonts w:hint="eastAsia" w:ascii="宋体" w:hAnsi="宋体" w:cs="宋体"/>
          <w:color w:val="auto"/>
          <w:kern w:val="0"/>
          <w:szCs w:val="21"/>
          <w:highlight w:val="none"/>
          <w:lang w:val="zh-CN"/>
        </w:rPr>
        <w:t>组成一个联合体，以一个投标人的身份</w:t>
      </w:r>
      <w:r>
        <w:rPr>
          <w:rFonts w:hint="eastAsia" w:ascii="宋体" w:hAnsi="宋体" w:cs="宋体"/>
          <w:color w:val="auto"/>
          <w:kern w:val="0"/>
          <w:szCs w:val="21"/>
          <w:highlight w:val="none"/>
        </w:rPr>
        <w:t>参加</w:t>
      </w:r>
      <w:r>
        <w:rPr>
          <w:rFonts w:hint="eastAsia" w:ascii="宋体" w:hAnsi="宋体" w:cs="宋体"/>
          <w:color w:val="auto"/>
          <w:szCs w:val="21"/>
          <w:highlight w:val="none"/>
        </w:rPr>
        <w:t>（项目名称）【招标编号：（采购编号）】</w:t>
      </w:r>
      <w:r>
        <w:rPr>
          <w:rFonts w:hint="eastAsia" w:ascii="宋体" w:hAnsi="宋体" w:cs="宋体"/>
          <w:color w:val="auto"/>
          <w:kern w:val="0"/>
          <w:szCs w:val="21"/>
          <w:highlight w:val="none"/>
          <w:lang w:val="zh-CN"/>
        </w:rPr>
        <w:t xml:space="preserve">投标。 </w:t>
      </w:r>
    </w:p>
    <w:p w14:paraId="4BB49AFD">
      <w:pPr>
        <w:snapToGrid w:val="0"/>
        <w:spacing w:line="360" w:lineRule="auto"/>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一、各方一致决定，</w:t>
      </w:r>
      <w:r>
        <w:rPr>
          <w:rFonts w:hint="eastAsia" w:ascii="宋体" w:hAnsi="宋体" w:cs="宋体"/>
          <w:color w:val="auto"/>
          <w:kern w:val="0"/>
          <w:szCs w:val="21"/>
          <w:highlight w:val="none"/>
          <w:u w:val="single"/>
        </w:rPr>
        <w:t>（某联合体成员名称）</w:t>
      </w:r>
      <w:r>
        <w:rPr>
          <w:rFonts w:hint="eastAsia" w:ascii="宋体" w:hAnsi="宋体" w:cs="宋体"/>
          <w:color w:val="auto"/>
          <w:kern w:val="0"/>
          <w:szCs w:val="21"/>
          <w:highlight w:val="none"/>
        </w:rPr>
        <w:t>为联合体</w:t>
      </w:r>
      <w:r>
        <w:rPr>
          <w:rFonts w:hint="eastAsia" w:ascii="宋体" w:hAnsi="宋体" w:cs="宋体"/>
          <w:color w:val="auto"/>
          <w:kern w:val="0"/>
          <w:szCs w:val="21"/>
          <w:highlight w:val="none"/>
          <w:lang w:val="zh-CN"/>
        </w:rPr>
        <w:t>牵头人</w:t>
      </w:r>
      <w:r>
        <w:rPr>
          <w:rFonts w:hint="eastAsia" w:ascii="宋体" w:hAnsi="宋体" w:cs="宋体"/>
          <w:color w:val="auto"/>
          <w:szCs w:val="21"/>
          <w:highlight w:val="none"/>
        </w:rPr>
        <w:t>，代表所有联合体成员负责投标和合同实施阶段的主办、协调工作</w:t>
      </w:r>
      <w:r>
        <w:rPr>
          <w:rFonts w:hint="eastAsia" w:ascii="宋体" w:hAnsi="宋体" w:cs="宋体"/>
          <w:color w:val="auto"/>
          <w:kern w:val="0"/>
          <w:szCs w:val="21"/>
          <w:highlight w:val="none"/>
          <w:lang w:val="zh-CN"/>
        </w:rPr>
        <w:t>。</w:t>
      </w:r>
    </w:p>
    <w:p w14:paraId="77292A2E">
      <w:pPr>
        <w:snapToGrid w:val="0"/>
        <w:spacing w:line="360" w:lineRule="auto"/>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二、</w:t>
      </w:r>
      <w:r>
        <w:rPr>
          <w:rFonts w:hint="eastAsia" w:ascii="宋体" w:hAnsi="宋体" w:cs="宋体"/>
          <w:color w:val="auto"/>
          <w:szCs w:val="21"/>
          <w:highlight w:val="none"/>
        </w:rPr>
        <w:t>所有联合体成员各方签署授权书，授权书载明的</w:t>
      </w:r>
      <w:r>
        <w:rPr>
          <w:rFonts w:hint="eastAsia" w:ascii="宋体" w:hAnsi="宋体" w:cs="宋体"/>
          <w:color w:val="auto"/>
          <w:kern w:val="0"/>
          <w:szCs w:val="21"/>
          <w:highlight w:val="none"/>
          <w:lang w:val="zh-CN"/>
        </w:rPr>
        <w:t>授权代表根据招标文件规定及投标内容而对采购人、采购代理机构所作的任何合法承诺，包括书面澄清及相应等均对联合投标各方产生约束力。</w:t>
      </w:r>
    </w:p>
    <w:p w14:paraId="351FD386">
      <w:pPr>
        <w:snapToGrid w:val="0"/>
        <w:spacing w:line="360" w:lineRule="auto"/>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三、本次联合投标中，分工如下：</w:t>
      </w:r>
    </w:p>
    <w:p w14:paraId="2843FFB9">
      <w:pPr>
        <w:snapToGrid w:val="0"/>
        <w:spacing w:line="360" w:lineRule="auto"/>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u w:val="single"/>
        </w:rPr>
        <w:t>（联合体成员1）</w:t>
      </w:r>
      <w:r>
        <w:rPr>
          <w:rFonts w:hint="eastAsia" w:ascii="宋体" w:hAnsi="宋体" w:cs="宋体"/>
          <w:color w:val="auto"/>
          <w:kern w:val="0"/>
          <w:szCs w:val="21"/>
          <w:highlight w:val="none"/>
          <w:lang w:val="zh-CN"/>
        </w:rPr>
        <w:t>承担的工作和义务为：</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lang w:val="zh-CN"/>
        </w:rPr>
        <w:t>；</w:t>
      </w:r>
    </w:p>
    <w:p w14:paraId="5108C1B8">
      <w:pPr>
        <w:snapToGrid w:val="0"/>
        <w:spacing w:line="360" w:lineRule="auto"/>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u w:val="single"/>
        </w:rPr>
        <w:t>（联合体成员2）</w:t>
      </w:r>
      <w:r>
        <w:rPr>
          <w:rFonts w:hint="eastAsia" w:ascii="宋体" w:hAnsi="宋体" w:cs="宋体"/>
          <w:color w:val="auto"/>
          <w:kern w:val="0"/>
          <w:szCs w:val="21"/>
          <w:highlight w:val="none"/>
          <w:lang w:val="zh-CN"/>
        </w:rPr>
        <w:t>承担的工作和义务为：</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lang w:val="zh-CN"/>
        </w:rPr>
        <w:t>；</w:t>
      </w:r>
    </w:p>
    <w:p w14:paraId="12F526AD">
      <w:pPr>
        <w:snapToGrid w:val="0"/>
        <w:spacing w:line="360" w:lineRule="auto"/>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四、联合体成员中小企业合同份额。</w:t>
      </w:r>
    </w:p>
    <w:p w14:paraId="2CA575D3">
      <w:pPr>
        <w:snapToGrid w:val="0"/>
        <w:spacing w:line="360" w:lineRule="auto"/>
        <w:ind w:firstLine="576"/>
        <w:rPr>
          <w:rFonts w:ascii="宋体" w:hAnsi="宋体" w:cs="宋体"/>
          <w:b/>
          <w:color w:val="auto"/>
          <w:kern w:val="0"/>
          <w:szCs w:val="21"/>
          <w:highlight w:val="none"/>
          <w:lang w:val="zh-CN"/>
        </w:rPr>
      </w:pPr>
      <w:r>
        <w:rPr>
          <w:rFonts w:hint="eastAsia" w:ascii="宋体" w:hAnsi="宋体" w:cs="宋体"/>
          <w:color w:val="auto"/>
          <w:kern w:val="0"/>
          <w:szCs w:val="21"/>
          <w:highlight w:val="none"/>
          <w:lang w:val="zh-CN"/>
        </w:rPr>
        <w:t>1、</w:t>
      </w:r>
      <w:r>
        <w:rPr>
          <w:rFonts w:hint="eastAsia" w:ascii="宋体" w:hAnsi="宋体" w:cs="宋体"/>
          <w:color w:val="auto"/>
          <w:kern w:val="0"/>
          <w:szCs w:val="21"/>
          <w:highlight w:val="none"/>
          <w:u w:val="single"/>
        </w:rPr>
        <w:t>（</w:t>
      </w:r>
      <w:bookmarkStart w:id="565" w:name="_Hlk101131882"/>
      <w:r>
        <w:rPr>
          <w:rFonts w:hint="eastAsia" w:ascii="宋体" w:hAnsi="宋体" w:cs="宋体"/>
          <w:color w:val="auto"/>
          <w:kern w:val="0"/>
          <w:szCs w:val="21"/>
          <w:highlight w:val="none"/>
          <w:u w:val="single"/>
        </w:rPr>
        <w:t>联合体成员X,……</w:t>
      </w:r>
      <w:bookmarkEnd w:id="565"/>
      <w:r>
        <w:rPr>
          <w:rFonts w:hint="eastAsia" w:ascii="宋体" w:hAnsi="宋体" w:cs="宋体"/>
          <w:color w:val="auto"/>
          <w:kern w:val="0"/>
          <w:szCs w:val="21"/>
          <w:highlight w:val="none"/>
          <w:u w:val="single"/>
        </w:rPr>
        <w:t>）</w:t>
      </w:r>
      <w:r>
        <w:rPr>
          <w:rFonts w:hint="eastAsia" w:ascii="宋体" w:hAnsi="宋体" w:cs="宋体"/>
          <w:color w:val="auto"/>
          <w:kern w:val="0"/>
          <w:szCs w:val="21"/>
          <w:highlight w:val="none"/>
        </w:rPr>
        <w:t>提供的服务由小微企业承接，其合同份额占到合同总金额</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%以上</w:t>
      </w:r>
      <w:r>
        <w:rPr>
          <w:rFonts w:hint="eastAsia" w:ascii="宋体" w:hAnsi="宋体" w:cs="宋体"/>
          <w:color w:val="auto"/>
          <w:kern w:val="0"/>
          <w:szCs w:val="21"/>
          <w:highlight w:val="none"/>
          <w:lang w:val="zh-CN"/>
        </w:rPr>
        <w:t>。</w:t>
      </w:r>
      <w:r>
        <w:rPr>
          <w:rFonts w:hint="eastAsia" w:ascii="宋体" w:hAnsi="宋体" w:cs="宋体"/>
          <w:b/>
          <w:color w:val="auto"/>
          <w:kern w:val="0"/>
          <w:szCs w:val="21"/>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Cs w:val="21"/>
          <w:highlight w:val="none"/>
        </w:rPr>
        <w:t>拟享受以上价格扣除政策的，填写有关内容。</w:t>
      </w:r>
      <w:r>
        <w:rPr>
          <w:rFonts w:hint="eastAsia" w:ascii="宋体" w:hAnsi="宋体" w:cs="宋体"/>
          <w:b/>
          <w:color w:val="auto"/>
          <w:kern w:val="0"/>
          <w:szCs w:val="21"/>
          <w:highlight w:val="none"/>
          <w:lang w:val="zh-CN"/>
        </w:rPr>
        <w:t>）</w:t>
      </w:r>
    </w:p>
    <w:p w14:paraId="0256595B">
      <w:pPr>
        <w:spacing w:line="360" w:lineRule="auto"/>
        <w:ind w:firstLine="420" w:firstLineChars="200"/>
        <w:rPr>
          <w:rFonts w:ascii="宋体" w:hAnsi="宋体" w:cs="宋体"/>
          <w:b/>
          <w:bCs/>
          <w:color w:val="auto"/>
          <w:kern w:val="0"/>
          <w:szCs w:val="21"/>
          <w:highlight w:val="none"/>
          <w:lang w:val="zh-CN"/>
        </w:rPr>
      </w:pPr>
      <w:r>
        <w:rPr>
          <w:rFonts w:hint="eastAsia" w:ascii="宋体" w:hAnsi="宋体" w:cs="宋体"/>
          <w:color w:val="auto"/>
          <w:szCs w:val="21"/>
          <w:highlight w:val="none"/>
        </w:rPr>
        <w:t>2、</w:t>
      </w:r>
      <w:bookmarkStart w:id="566" w:name="_Hlk101133173"/>
      <w:r>
        <w:rPr>
          <w:rFonts w:hint="eastAsia" w:ascii="宋体" w:hAnsi="宋体" w:cs="宋体"/>
          <w:color w:val="auto"/>
          <w:szCs w:val="21"/>
          <w:highlight w:val="none"/>
        </w:rPr>
        <w:t>中小企业合同金额达到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%，小微企业合同金额达到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kern w:val="0"/>
          <w:szCs w:val="21"/>
          <w:highlight w:val="none"/>
          <w:lang w:val="zh-CN"/>
        </w:rPr>
        <w:t>。</w:t>
      </w:r>
      <w:r>
        <w:rPr>
          <w:rFonts w:hint="eastAsia" w:ascii="宋体" w:hAnsi="宋体" w:cs="宋体"/>
          <w:b/>
          <w:bCs/>
          <w:color w:val="auto"/>
          <w:kern w:val="0"/>
          <w:szCs w:val="21"/>
          <w:highlight w:val="none"/>
          <w:lang w:val="zh-CN"/>
        </w:rPr>
        <w:t>（</w:t>
      </w:r>
      <w:r>
        <w:rPr>
          <w:rFonts w:hint="eastAsia" w:ascii="宋体" w:hAnsi="宋体" w:cs="宋体"/>
          <w:b/>
          <w:bCs/>
          <w:color w:val="auto"/>
          <w:szCs w:val="21"/>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Cs w:val="21"/>
          <w:highlight w:val="none"/>
          <w:lang w:val="zh-CN"/>
        </w:rPr>
        <w:t>）</w:t>
      </w:r>
      <w:bookmarkEnd w:id="566"/>
    </w:p>
    <w:p w14:paraId="03847391">
      <w:pPr>
        <w:snapToGrid w:val="0"/>
        <w:spacing w:line="360" w:lineRule="auto"/>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五、如果中标，</w:t>
      </w:r>
      <w:r>
        <w:rPr>
          <w:rFonts w:hint="eastAsia" w:ascii="宋体" w:hAnsi="宋体" w:cs="宋体"/>
          <w:color w:val="auto"/>
          <w:szCs w:val="21"/>
          <w:highlight w:val="none"/>
        </w:rPr>
        <w:t>联合体各成员方共同与采购人签订合同，并就采购合同约定的事项对采购人承担连带责任。</w:t>
      </w:r>
    </w:p>
    <w:p w14:paraId="72DBE36A">
      <w:pPr>
        <w:snapToGrid w:val="0"/>
        <w:spacing w:line="360" w:lineRule="auto"/>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六、有关本次联合投标的其他事宜：</w:t>
      </w:r>
    </w:p>
    <w:p w14:paraId="32AD7631">
      <w:pPr>
        <w:snapToGrid w:val="0"/>
        <w:spacing w:line="360" w:lineRule="auto"/>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1、联合体各方不再单独参加或者与其他供应商另外组成联合体参加同一合同项下的政府采购活动。</w:t>
      </w:r>
    </w:p>
    <w:p w14:paraId="24A50467">
      <w:pPr>
        <w:snapToGrid w:val="0"/>
        <w:spacing w:line="360" w:lineRule="auto"/>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2、联合体中有同类资质的各方按照联合体分工承担相同工作的，按照资质等级较低的供应商确定资质等级。</w:t>
      </w:r>
    </w:p>
    <w:p w14:paraId="7A1DFB98">
      <w:pPr>
        <w:snapToGrid w:val="0"/>
        <w:spacing w:line="360" w:lineRule="auto"/>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3、本协议提交采购人、采购代理机构后，联合体各方不得以任何形式对上述内容进行修改或撤销。</w:t>
      </w:r>
    </w:p>
    <w:p w14:paraId="5EF53148">
      <w:pPr>
        <w:snapToGrid w:val="0"/>
        <w:spacing w:line="360" w:lineRule="auto"/>
        <w:ind w:firstLine="4410" w:firstLineChars="21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联合体成员名称（电子签名/公章）：</w:t>
      </w:r>
    </w:p>
    <w:p w14:paraId="18FC52ED">
      <w:pPr>
        <w:snapToGrid w:val="0"/>
        <w:spacing w:line="360" w:lineRule="auto"/>
        <w:ind w:firstLine="4410" w:firstLineChars="21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联合体成员名称（电子签名/公章）：</w:t>
      </w:r>
    </w:p>
    <w:p w14:paraId="1F2A0BE0">
      <w:pPr>
        <w:snapToGrid w:val="0"/>
        <w:spacing w:line="360" w:lineRule="auto"/>
        <w:jc w:val="righ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日期：  年  月   日</w:t>
      </w:r>
    </w:p>
    <w:p w14:paraId="3567007E">
      <w:pPr>
        <w:spacing w:line="360" w:lineRule="auto"/>
        <w:rPr>
          <w:rFonts w:ascii="宋体" w:hAnsi="宋体" w:cs="宋体"/>
          <w:b/>
          <w:color w:val="auto"/>
          <w:spacing w:val="6"/>
          <w:szCs w:val="21"/>
          <w:highlight w:val="none"/>
        </w:rPr>
      </w:pPr>
      <w:r>
        <w:rPr>
          <w:rFonts w:hint="eastAsia" w:ascii="宋体" w:hAnsi="宋体" w:cs="宋体"/>
          <w:color w:val="auto"/>
          <w:szCs w:val="21"/>
          <w:highlight w:val="none"/>
        </w:rPr>
        <w:t>注：按本格式和要求提供。</w:t>
      </w:r>
    </w:p>
    <w:p w14:paraId="7CD8733A">
      <w:pPr>
        <w:pStyle w:val="4"/>
        <w:ind w:firstLine="428"/>
        <w:rPr>
          <w:color w:val="auto"/>
          <w:szCs w:val="21"/>
          <w:highlight w:val="none"/>
        </w:rPr>
      </w:pPr>
      <w:r>
        <w:rPr>
          <w:rFonts w:hint="eastAsia"/>
          <w:color w:val="auto"/>
          <w:szCs w:val="21"/>
          <w:highlight w:val="none"/>
        </w:rPr>
        <w:t>附件6：分包意向协议</w:t>
      </w:r>
    </w:p>
    <w:p w14:paraId="0C6F090A">
      <w:pPr>
        <w:widowControl/>
        <w:spacing w:line="360" w:lineRule="auto"/>
        <w:ind w:firstLine="105" w:firstLineChars="5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
          <w:color w:val="auto"/>
          <w:szCs w:val="21"/>
          <w:highlight w:val="none"/>
        </w:rPr>
        <w:t>中标后以分包方式履行合同的，提供分包意向协议；</w:t>
      </w:r>
      <w:r>
        <w:rPr>
          <w:rFonts w:hint="eastAsia" w:ascii="宋体" w:hAnsi="宋体" w:cs="宋体"/>
          <w:color w:val="auto"/>
          <w:szCs w:val="21"/>
          <w:highlight w:val="none"/>
        </w:rPr>
        <w:t>采购</w:t>
      </w:r>
      <w:r>
        <w:rPr>
          <w:rFonts w:hint="eastAsia" w:ascii="宋体" w:hAnsi="宋体" w:cs="宋体"/>
          <w:b/>
          <w:color w:val="auto"/>
          <w:szCs w:val="21"/>
          <w:highlight w:val="none"/>
        </w:rPr>
        <w:t>人不同意分包或者投标人中标后不以分包方式履行合同的，则不需要提供。</w:t>
      </w:r>
      <w:r>
        <w:rPr>
          <w:rFonts w:hint="eastAsia" w:ascii="宋体" w:hAnsi="宋体" w:cs="宋体"/>
          <w:color w:val="auto"/>
          <w:szCs w:val="21"/>
          <w:highlight w:val="none"/>
        </w:rPr>
        <w:t>）</w:t>
      </w:r>
    </w:p>
    <w:p w14:paraId="729F46FF">
      <w:pPr>
        <w:snapToGrid w:val="0"/>
        <w:spacing w:line="360" w:lineRule="auto"/>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u w:val="single"/>
        </w:rPr>
        <w:t>（投标人</w:t>
      </w:r>
      <w:r>
        <w:rPr>
          <w:rFonts w:hint="eastAsia" w:ascii="宋体" w:hAnsi="宋体" w:cs="宋体"/>
          <w:color w:val="auto"/>
          <w:szCs w:val="21"/>
          <w:highlight w:val="none"/>
          <w:u w:val="single"/>
        </w:rPr>
        <w:t>名称）</w:t>
      </w:r>
      <w:r>
        <w:rPr>
          <w:rFonts w:hint="eastAsia" w:ascii="宋体" w:hAnsi="宋体" w:cs="宋体"/>
          <w:color w:val="auto"/>
          <w:kern w:val="0"/>
          <w:szCs w:val="21"/>
          <w:highlight w:val="none"/>
          <w:lang w:val="zh-CN"/>
        </w:rPr>
        <w:t>若成为</w:t>
      </w:r>
      <w:r>
        <w:rPr>
          <w:rFonts w:hint="eastAsia" w:ascii="宋体" w:hAnsi="宋体" w:cs="宋体"/>
          <w:color w:val="auto"/>
          <w:szCs w:val="21"/>
          <w:highlight w:val="none"/>
          <w:u w:val="single"/>
        </w:rPr>
        <w:t>（项目名称）【招标编号：（采购编号）】</w:t>
      </w:r>
      <w:r>
        <w:rPr>
          <w:rFonts w:hint="eastAsia" w:ascii="宋体" w:hAnsi="宋体" w:cs="宋体"/>
          <w:color w:val="auto"/>
          <w:kern w:val="0"/>
          <w:szCs w:val="21"/>
          <w:highlight w:val="none"/>
          <w:lang w:val="zh-CN"/>
        </w:rPr>
        <w:t>的中标供应商，将依法采取分包方式履行合同。</w:t>
      </w: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rPr>
        <w:t>与</w:t>
      </w:r>
      <w:r>
        <w:rPr>
          <w:rFonts w:hint="eastAsia" w:ascii="宋体" w:hAnsi="宋体" w:cs="宋体"/>
          <w:color w:val="auto"/>
          <w:kern w:val="0"/>
          <w:szCs w:val="21"/>
          <w:highlight w:val="none"/>
          <w:u w:val="single"/>
        </w:rPr>
        <w:t>（所有分包供应商名称）</w:t>
      </w:r>
      <w:r>
        <w:rPr>
          <w:rFonts w:hint="eastAsia" w:ascii="宋体" w:hAnsi="宋体" w:cs="宋体"/>
          <w:color w:val="auto"/>
          <w:kern w:val="0"/>
          <w:szCs w:val="21"/>
          <w:highlight w:val="none"/>
        </w:rPr>
        <w:t>达成</w:t>
      </w:r>
      <w:r>
        <w:rPr>
          <w:rFonts w:hint="eastAsia" w:ascii="宋体" w:hAnsi="宋体" w:cs="宋体"/>
          <w:color w:val="auto"/>
          <w:szCs w:val="21"/>
          <w:highlight w:val="none"/>
        </w:rPr>
        <w:t>分包意向协议</w:t>
      </w:r>
      <w:r>
        <w:rPr>
          <w:rFonts w:hint="eastAsia" w:ascii="宋体" w:hAnsi="宋体" w:cs="宋体"/>
          <w:color w:val="auto"/>
          <w:kern w:val="0"/>
          <w:szCs w:val="21"/>
          <w:highlight w:val="none"/>
          <w:lang w:val="zh-CN"/>
        </w:rPr>
        <w:t xml:space="preserve">。 </w:t>
      </w:r>
    </w:p>
    <w:p w14:paraId="6CD3DFB1">
      <w:pPr>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lang w:val="zh-CN"/>
        </w:rPr>
        <w:t>一、分包标的及数量</w:t>
      </w:r>
    </w:p>
    <w:p w14:paraId="5F702D2E">
      <w:pPr>
        <w:snapToGrid w:val="0"/>
        <w:spacing w:line="360" w:lineRule="auto"/>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u w:val="single"/>
        </w:rPr>
        <w:t>（投标人</w:t>
      </w:r>
      <w:r>
        <w:rPr>
          <w:rFonts w:hint="eastAsia" w:ascii="宋体" w:hAnsi="宋体" w:cs="宋体"/>
          <w:color w:val="auto"/>
          <w:szCs w:val="21"/>
          <w:highlight w:val="none"/>
          <w:u w:val="single"/>
        </w:rPr>
        <w:t>名称）</w:t>
      </w:r>
      <w:r>
        <w:rPr>
          <w:rFonts w:hint="eastAsia" w:ascii="宋体" w:hAnsi="宋体" w:cs="宋体"/>
          <w:color w:val="auto"/>
          <w:kern w:val="0"/>
          <w:szCs w:val="21"/>
          <w:highlight w:val="none"/>
          <w:lang w:val="zh-CN"/>
        </w:rPr>
        <w:t>将</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u w:val="single"/>
        </w:rPr>
        <w:t xml:space="preserve"> XX工作内容   </w:t>
      </w:r>
      <w:r>
        <w:rPr>
          <w:rFonts w:hint="eastAsia" w:ascii="宋体" w:hAnsi="宋体" w:cs="宋体"/>
          <w:color w:val="auto"/>
          <w:szCs w:val="21"/>
          <w:highlight w:val="none"/>
        </w:rPr>
        <w:t>分包给</w:t>
      </w:r>
      <w:r>
        <w:rPr>
          <w:rFonts w:hint="eastAsia" w:ascii="宋体" w:hAnsi="宋体" w:cs="宋体"/>
          <w:color w:val="auto"/>
          <w:kern w:val="0"/>
          <w:szCs w:val="21"/>
          <w:highlight w:val="none"/>
          <w:u w:val="single"/>
        </w:rPr>
        <w:t>（分包供应商1名称）</w:t>
      </w:r>
      <w:r>
        <w:rPr>
          <w:rFonts w:hint="eastAsia" w:ascii="宋体" w:hAnsi="宋体" w:cs="宋体"/>
          <w:color w:val="auto"/>
          <w:kern w:val="0"/>
          <w:szCs w:val="21"/>
          <w:highlight w:val="none"/>
          <w:lang w:val="zh-CN"/>
        </w:rPr>
        <w:t>，</w:t>
      </w:r>
      <w:r>
        <w:rPr>
          <w:rFonts w:hint="eastAsia" w:ascii="宋体" w:hAnsi="宋体" w:cs="宋体"/>
          <w:color w:val="auto"/>
          <w:kern w:val="0"/>
          <w:szCs w:val="21"/>
          <w:highlight w:val="none"/>
          <w:u w:val="single"/>
        </w:rPr>
        <w:t>（分包供应商2名称），</w:t>
      </w:r>
      <w:r>
        <w:rPr>
          <w:rFonts w:hint="eastAsia" w:ascii="宋体" w:hAnsi="宋体" w:cs="宋体"/>
          <w:color w:val="auto"/>
          <w:kern w:val="0"/>
          <w:szCs w:val="21"/>
          <w:highlight w:val="none"/>
          <w:lang w:val="zh-CN"/>
        </w:rPr>
        <w:t>具备承</w:t>
      </w:r>
      <w:r>
        <w:rPr>
          <w:rFonts w:hint="eastAsia" w:ascii="宋体" w:hAnsi="宋体" w:cs="宋体"/>
          <w:color w:val="auto"/>
          <w:kern w:val="0"/>
          <w:szCs w:val="21"/>
          <w:highlight w:val="none"/>
        </w:rPr>
        <w:t>担</w:t>
      </w:r>
      <w:r>
        <w:rPr>
          <w:rFonts w:hint="eastAsia" w:ascii="宋体" w:hAnsi="宋体" w:cs="宋体"/>
          <w:color w:val="auto"/>
          <w:kern w:val="0"/>
          <w:szCs w:val="21"/>
          <w:highlight w:val="none"/>
          <w:u w:val="single"/>
          <w:lang w:val="zh-CN"/>
        </w:rPr>
        <w:t>XX工作内容</w:t>
      </w:r>
      <w:r>
        <w:rPr>
          <w:rFonts w:hint="eastAsia" w:ascii="宋体" w:hAnsi="宋体" w:cs="宋体"/>
          <w:color w:val="auto"/>
          <w:kern w:val="0"/>
          <w:szCs w:val="21"/>
          <w:highlight w:val="none"/>
          <w:lang w:val="zh-CN"/>
        </w:rPr>
        <w:t>相应资质条件且不得再次分包；</w:t>
      </w:r>
    </w:p>
    <w:p w14:paraId="292C12E2">
      <w:pPr>
        <w:spacing w:line="360" w:lineRule="auto"/>
        <w:rPr>
          <w:color w:val="auto"/>
          <w:szCs w:val="21"/>
          <w:highlight w:val="none"/>
        </w:rPr>
      </w:pPr>
      <w:r>
        <w:rPr>
          <w:rFonts w:hint="eastAsia"/>
          <w:color w:val="auto"/>
          <w:szCs w:val="21"/>
          <w:highlight w:val="none"/>
        </w:rPr>
        <w:t>……</w:t>
      </w:r>
    </w:p>
    <w:p w14:paraId="04875549">
      <w:pPr>
        <w:snapToGrid w:val="0"/>
        <w:spacing w:line="360" w:lineRule="auto"/>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二、分包供应商中小企业合同份额</w:t>
      </w:r>
    </w:p>
    <w:p w14:paraId="6E400193">
      <w:pPr>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u w:val="single"/>
        </w:rPr>
        <w:t>（分包供应商X,……）提供的服务全部由小微</w:t>
      </w:r>
      <w:r>
        <w:rPr>
          <w:rFonts w:hint="eastAsia" w:ascii="宋体" w:hAnsi="宋体" w:cs="宋体"/>
          <w:color w:val="auto"/>
          <w:szCs w:val="21"/>
          <w:highlight w:val="none"/>
          <w:u w:val="single"/>
        </w:rPr>
        <w:t>企业</w:t>
      </w:r>
      <w:r>
        <w:rPr>
          <w:rFonts w:hint="eastAsia" w:ascii="宋体" w:hAnsi="宋体" w:cs="宋体"/>
          <w:color w:val="auto"/>
          <w:kern w:val="0"/>
          <w:szCs w:val="21"/>
          <w:highlight w:val="none"/>
          <w:u w:val="single"/>
        </w:rPr>
        <w:t>承接，</w:t>
      </w:r>
      <w:r>
        <w:rPr>
          <w:rFonts w:hint="eastAsia" w:ascii="宋体" w:hAnsi="宋体" w:cs="宋体"/>
          <w:color w:val="auto"/>
          <w:kern w:val="0"/>
          <w:szCs w:val="21"/>
          <w:highlight w:val="none"/>
        </w:rPr>
        <w:t>其合同份额占到合同总金额</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%以上</w:t>
      </w:r>
      <w:r>
        <w:rPr>
          <w:rFonts w:hint="eastAsia" w:ascii="宋体" w:hAnsi="宋体" w:cs="宋体"/>
          <w:color w:val="auto"/>
          <w:szCs w:val="21"/>
          <w:highlight w:val="none"/>
        </w:rPr>
        <w:t>。</w:t>
      </w:r>
      <w:r>
        <w:rPr>
          <w:rFonts w:hint="eastAsia" w:ascii="宋体" w:hAnsi="宋体" w:cs="宋体"/>
          <w:b/>
          <w:color w:val="auto"/>
          <w:kern w:val="0"/>
          <w:szCs w:val="21"/>
          <w:highlight w:val="none"/>
          <w:lang w:val="zh-CN"/>
        </w:rPr>
        <w:t>（未预留份额专门面向中小企业采购的采购项目，以及预留份额中的非预留部分采购包，允许分包的，分包意向协议约定小微</w:t>
      </w:r>
      <w:r>
        <w:rPr>
          <w:rFonts w:hint="eastAsia" w:ascii="宋体" w:hAnsi="宋体" w:cs="宋体"/>
          <w:color w:val="auto"/>
          <w:szCs w:val="21"/>
          <w:highlight w:val="none"/>
          <w:u w:val="single"/>
        </w:rPr>
        <w:t>企业</w:t>
      </w:r>
      <w:r>
        <w:rPr>
          <w:rFonts w:hint="eastAsia" w:ascii="宋体" w:hAnsi="宋体" w:cs="宋体"/>
          <w:b/>
          <w:color w:val="auto"/>
          <w:kern w:val="0"/>
          <w:szCs w:val="21"/>
          <w:highlight w:val="none"/>
          <w:lang w:val="zh-CN"/>
        </w:rPr>
        <w:t>的合同份额占到合同总金额30%以上的，对大中型</w:t>
      </w:r>
      <w:r>
        <w:rPr>
          <w:rFonts w:hint="eastAsia" w:ascii="宋体" w:hAnsi="宋体" w:cs="宋体"/>
          <w:color w:val="auto"/>
          <w:szCs w:val="21"/>
          <w:highlight w:val="none"/>
          <w:u w:val="single"/>
        </w:rPr>
        <w:t>企业</w:t>
      </w:r>
      <w:r>
        <w:rPr>
          <w:rFonts w:hint="eastAsia" w:ascii="宋体" w:hAnsi="宋体" w:cs="宋体"/>
          <w:b/>
          <w:color w:val="auto"/>
          <w:kern w:val="0"/>
          <w:szCs w:val="21"/>
          <w:highlight w:val="none"/>
          <w:lang w:val="zh-CN"/>
        </w:rPr>
        <w:t>的报价按评标标准确定的比例给予扣除。供应商</w:t>
      </w:r>
      <w:r>
        <w:rPr>
          <w:rFonts w:hint="eastAsia" w:ascii="宋体" w:hAnsi="宋体" w:cs="宋体"/>
          <w:b/>
          <w:color w:val="auto"/>
          <w:szCs w:val="21"/>
          <w:highlight w:val="none"/>
        </w:rPr>
        <w:t>拟享受以上价格扣除政策的，填写有关内容。</w:t>
      </w:r>
      <w:r>
        <w:rPr>
          <w:rFonts w:hint="eastAsia" w:ascii="宋体" w:hAnsi="宋体" w:cs="宋体"/>
          <w:b/>
          <w:color w:val="auto"/>
          <w:kern w:val="0"/>
          <w:szCs w:val="21"/>
          <w:highlight w:val="none"/>
          <w:lang w:val="zh-CN"/>
        </w:rPr>
        <w:t>）</w:t>
      </w:r>
    </w:p>
    <w:p w14:paraId="621FAD1D">
      <w:pPr>
        <w:spacing w:line="360" w:lineRule="auto"/>
        <w:ind w:firstLine="420" w:firstLineChars="200"/>
        <w:rPr>
          <w:rFonts w:ascii="宋体" w:hAnsi="宋体" w:cs="宋体"/>
          <w:b/>
          <w:bCs/>
          <w:color w:val="auto"/>
          <w:kern w:val="0"/>
          <w:szCs w:val="21"/>
          <w:highlight w:val="none"/>
          <w:lang w:val="zh-CN"/>
        </w:rPr>
      </w:pPr>
      <w:r>
        <w:rPr>
          <w:rFonts w:hint="eastAsia" w:ascii="宋体" w:hAnsi="宋体" w:cs="宋体"/>
          <w:color w:val="auto"/>
          <w:szCs w:val="21"/>
          <w:highlight w:val="none"/>
        </w:rPr>
        <w:t>2、中小企业合同金额达到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%，小微企业合同金额达到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kern w:val="0"/>
          <w:szCs w:val="21"/>
          <w:highlight w:val="none"/>
          <w:lang w:val="zh-CN"/>
        </w:rPr>
        <w:t>。</w:t>
      </w:r>
      <w:r>
        <w:rPr>
          <w:rFonts w:hint="eastAsia" w:ascii="宋体" w:hAnsi="宋体" w:cs="宋体"/>
          <w:b/>
          <w:bCs/>
          <w:color w:val="auto"/>
          <w:kern w:val="0"/>
          <w:szCs w:val="21"/>
          <w:highlight w:val="none"/>
          <w:lang w:val="zh-CN"/>
        </w:rPr>
        <w:t>（</w:t>
      </w:r>
      <w:r>
        <w:rPr>
          <w:rFonts w:hint="eastAsia" w:ascii="宋体" w:hAnsi="宋体" w:cs="宋体"/>
          <w:b/>
          <w:bCs/>
          <w:color w:val="auto"/>
          <w:szCs w:val="21"/>
          <w:highlight w:val="none"/>
        </w:rPr>
        <w:t>要求合同分包形式参加的项目或</w:t>
      </w:r>
      <w:r>
        <w:rPr>
          <w:rFonts w:hint="eastAsia" w:ascii="宋体" w:hAnsi="宋体" w:cs="宋体"/>
          <w:color w:val="auto"/>
          <w:szCs w:val="21"/>
          <w:highlight w:val="none"/>
          <w:u w:val="single"/>
        </w:rPr>
        <w:t>采购</w:t>
      </w:r>
      <w:r>
        <w:rPr>
          <w:rFonts w:hint="eastAsia" w:ascii="宋体" w:hAnsi="宋体" w:cs="宋体"/>
          <w:b/>
          <w:bCs/>
          <w:color w:val="auto"/>
          <w:szCs w:val="21"/>
          <w:highlight w:val="none"/>
        </w:rPr>
        <w:t>包，供应商按招标</w:t>
      </w:r>
      <w:r>
        <w:rPr>
          <w:rFonts w:hint="eastAsia" w:ascii="宋体" w:hAnsi="宋体" w:cs="宋体"/>
          <w:color w:val="auto"/>
          <w:szCs w:val="21"/>
          <w:highlight w:val="none"/>
          <w:u w:val="single"/>
        </w:rPr>
        <w:t>文件</w:t>
      </w:r>
      <w:r>
        <w:rPr>
          <w:rFonts w:hint="eastAsia" w:ascii="宋体" w:hAnsi="宋体" w:cs="宋体"/>
          <w:b/>
          <w:bCs/>
          <w:color w:val="auto"/>
          <w:szCs w:val="21"/>
          <w:highlight w:val="none"/>
        </w:rPr>
        <w:t>第一部分招标公告申请人的资格要求中规定的</w:t>
      </w:r>
      <w:r>
        <w:rPr>
          <w:rFonts w:hint="eastAsia" w:ascii="宋体" w:hAnsi="宋体" w:cs="宋体"/>
          <w:b/>
          <w:color w:val="auto"/>
          <w:kern w:val="0"/>
          <w:szCs w:val="21"/>
          <w:highlight w:val="none"/>
          <w:lang w:val="zh-CN"/>
        </w:rPr>
        <w:t>分包意向协议</w:t>
      </w:r>
      <w:r>
        <w:rPr>
          <w:rFonts w:hint="eastAsia" w:ascii="宋体" w:hAnsi="宋体" w:cs="宋体"/>
          <w:b/>
          <w:bCs/>
          <w:color w:val="auto"/>
          <w:szCs w:val="21"/>
          <w:highlight w:val="none"/>
        </w:rPr>
        <w:t>中中小企业、小微</w:t>
      </w:r>
      <w:r>
        <w:rPr>
          <w:rFonts w:hint="eastAsia" w:ascii="宋体" w:hAnsi="宋体" w:cs="宋体"/>
          <w:color w:val="auto"/>
          <w:szCs w:val="21"/>
          <w:highlight w:val="none"/>
          <w:u w:val="single"/>
        </w:rPr>
        <w:t>企业</w:t>
      </w:r>
      <w:r>
        <w:rPr>
          <w:rFonts w:hint="eastAsia" w:ascii="宋体" w:hAnsi="宋体" w:cs="宋体"/>
          <w:b/>
          <w:bCs/>
          <w:color w:val="auto"/>
          <w:szCs w:val="21"/>
          <w:highlight w:val="none"/>
        </w:rPr>
        <w:t>合同金额应当达到的比例要求填写。</w:t>
      </w:r>
      <w:r>
        <w:rPr>
          <w:rFonts w:hint="eastAsia" w:ascii="宋体" w:hAnsi="宋体" w:cs="宋体"/>
          <w:b/>
          <w:bCs/>
          <w:color w:val="auto"/>
          <w:kern w:val="0"/>
          <w:szCs w:val="21"/>
          <w:highlight w:val="none"/>
          <w:lang w:val="zh-CN"/>
        </w:rPr>
        <w:t>）</w:t>
      </w:r>
    </w:p>
    <w:p w14:paraId="4C3E4E13">
      <w:pPr>
        <w:snapToGrid w:val="0"/>
        <w:spacing w:line="360" w:lineRule="auto"/>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三、分包工作履行期限、地点、方式</w:t>
      </w:r>
    </w:p>
    <w:p w14:paraId="424A65B2">
      <w:pPr>
        <w:snapToGrid w:val="0"/>
        <w:spacing w:line="360" w:lineRule="auto"/>
        <w:ind w:firstLine="576"/>
        <w:rPr>
          <w:rFonts w:ascii="宋体" w:hAnsi="宋体" w:cs="宋体"/>
          <w:color w:val="auto"/>
          <w:szCs w:val="21"/>
          <w:highlight w:val="none"/>
          <w:u w:val="single"/>
        </w:rPr>
      </w:pPr>
      <w:r>
        <w:rPr>
          <w:rFonts w:hint="eastAsia" w:ascii="宋体" w:hAnsi="宋体" w:cs="宋体"/>
          <w:color w:val="auto"/>
          <w:szCs w:val="21"/>
          <w:highlight w:val="none"/>
          <w:u w:val="single"/>
        </w:rPr>
        <w:t xml:space="preserve">                                                                                  </w:t>
      </w:r>
    </w:p>
    <w:p w14:paraId="335C93FE">
      <w:pPr>
        <w:snapToGrid w:val="0"/>
        <w:spacing w:line="360" w:lineRule="auto"/>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四、质量</w:t>
      </w:r>
    </w:p>
    <w:p w14:paraId="1E231F31">
      <w:pPr>
        <w:snapToGrid w:val="0"/>
        <w:spacing w:line="360" w:lineRule="auto"/>
        <w:ind w:firstLine="576"/>
        <w:rPr>
          <w:rFonts w:ascii="宋体" w:hAnsi="宋体" w:cs="宋体"/>
          <w:color w:val="auto"/>
          <w:kern w:val="0"/>
          <w:szCs w:val="21"/>
          <w:highlight w:val="none"/>
          <w:lang w:val="zh-CN"/>
        </w:rPr>
      </w:pPr>
      <w:r>
        <w:rPr>
          <w:rFonts w:hint="eastAsia" w:ascii="宋体" w:hAnsi="宋体" w:cs="宋体"/>
          <w:color w:val="auto"/>
          <w:szCs w:val="21"/>
          <w:highlight w:val="none"/>
          <w:u w:val="single"/>
        </w:rPr>
        <w:t xml:space="preserve">                                                                                       </w:t>
      </w:r>
    </w:p>
    <w:p w14:paraId="6FA18696">
      <w:pPr>
        <w:snapToGrid w:val="0"/>
        <w:spacing w:line="360" w:lineRule="auto"/>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五、价款或者报酬</w:t>
      </w:r>
    </w:p>
    <w:p w14:paraId="66AC0FD1">
      <w:pPr>
        <w:snapToGrid w:val="0"/>
        <w:spacing w:line="360" w:lineRule="auto"/>
        <w:ind w:left="573" w:leftChars="273"/>
        <w:rPr>
          <w:rFonts w:ascii="宋体" w:hAnsi="宋体" w:cs="宋体"/>
          <w:color w:val="auto"/>
          <w:kern w:val="0"/>
          <w:szCs w:val="21"/>
          <w:highlight w:val="none"/>
          <w:lang w:val="zh-CN"/>
        </w:rPr>
      </w:pPr>
      <w:r>
        <w:rPr>
          <w:rFonts w:hint="eastAsia" w:ascii="宋体" w:hAnsi="宋体" w:cs="宋体"/>
          <w:color w:val="auto"/>
          <w:szCs w:val="21"/>
          <w:highlight w:val="none"/>
          <w:u w:val="single"/>
        </w:rPr>
        <w:t xml:space="preserve">                                                                                     </w:t>
      </w:r>
    </w:p>
    <w:p w14:paraId="57F86BB0">
      <w:pPr>
        <w:snapToGrid w:val="0"/>
        <w:spacing w:line="360" w:lineRule="auto"/>
        <w:ind w:left="573" w:leftChars="273"/>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六、违约责任</w:t>
      </w:r>
    </w:p>
    <w:p w14:paraId="7A563C50">
      <w:pPr>
        <w:snapToGrid w:val="0"/>
        <w:spacing w:line="360" w:lineRule="auto"/>
        <w:ind w:firstLine="576"/>
        <w:rPr>
          <w:rFonts w:ascii="宋体" w:hAnsi="宋体" w:cs="宋体"/>
          <w:color w:val="auto"/>
          <w:kern w:val="0"/>
          <w:szCs w:val="21"/>
          <w:highlight w:val="none"/>
          <w:lang w:val="zh-CN"/>
        </w:rPr>
      </w:pPr>
      <w:r>
        <w:rPr>
          <w:rFonts w:hint="eastAsia" w:ascii="宋体" w:hAnsi="宋体" w:cs="宋体"/>
          <w:color w:val="auto"/>
          <w:szCs w:val="21"/>
          <w:highlight w:val="none"/>
          <w:u w:val="single"/>
        </w:rPr>
        <w:t xml:space="preserve">                                                                                     </w:t>
      </w:r>
    </w:p>
    <w:p w14:paraId="55BDFC11">
      <w:pPr>
        <w:snapToGrid w:val="0"/>
        <w:spacing w:line="360" w:lineRule="auto"/>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七、争议解决的办法</w:t>
      </w:r>
    </w:p>
    <w:p w14:paraId="53D11A19">
      <w:pPr>
        <w:snapToGrid w:val="0"/>
        <w:spacing w:line="360" w:lineRule="auto"/>
        <w:ind w:firstLine="576"/>
        <w:rPr>
          <w:rFonts w:ascii="宋体" w:hAnsi="宋体" w:cs="宋体"/>
          <w:color w:val="auto"/>
          <w:kern w:val="0"/>
          <w:szCs w:val="21"/>
          <w:highlight w:val="none"/>
          <w:lang w:val="zh-CN"/>
        </w:rPr>
      </w:pPr>
      <w:r>
        <w:rPr>
          <w:rFonts w:hint="eastAsia" w:ascii="宋体" w:hAnsi="宋体" w:cs="宋体"/>
          <w:color w:val="auto"/>
          <w:szCs w:val="21"/>
          <w:highlight w:val="none"/>
          <w:u w:val="single"/>
        </w:rPr>
        <w:t xml:space="preserve">                                                                                  </w:t>
      </w:r>
    </w:p>
    <w:p w14:paraId="27AD5340">
      <w:pPr>
        <w:snapToGrid w:val="0"/>
        <w:spacing w:line="360" w:lineRule="auto"/>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八、其他</w:t>
      </w:r>
    </w:p>
    <w:p w14:paraId="5266D626">
      <w:pPr>
        <w:snapToGrid w:val="0"/>
        <w:spacing w:line="360" w:lineRule="auto"/>
        <w:ind w:left="5128" w:leftChars="342" w:hanging="4410" w:hangingChars="2100"/>
        <w:jc w:val="left"/>
        <w:rPr>
          <w:rFonts w:ascii="宋体" w:hAnsi="宋体" w:cs="宋体"/>
          <w:color w:val="auto"/>
          <w:kern w:val="0"/>
          <w:szCs w:val="21"/>
          <w:highlight w:val="none"/>
          <w:lang w:val="zh-CN"/>
        </w:rPr>
      </w:pPr>
      <w:r>
        <w:rPr>
          <w:rFonts w:hint="eastAsia" w:ascii="宋体" w:hAnsi="宋体" w:cs="宋体"/>
          <w:color w:val="auto"/>
          <w:szCs w:val="21"/>
          <w:highlight w:val="none"/>
        </w:rPr>
        <w:t>中小企业合同金额达到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%，小微企业合同金额达到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kern w:val="0"/>
          <w:szCs w:val="21"/>
          <w:highlight w:val="none"/>
          <w:lang w:val="zh-CN"/>
        </w:rPr>
        <w:t xml:space="preserve">。                   </w:t>
      </w:r>
    </w:p>
    <w:p w14:paraId="49D854AD">
      <w:pPr>
        <w:snapToGrid w:val="0"/>
        <w:spacing w:line="360" w:lineRule="auto"/>
        <w:ind w:left="5128" w:leftChars="342" w:hanging="4410" w:hangingChars="2100"/>
        <w:jc w:val="left"/>
        <w:rPr>
          <w:rFonts w:ascii="宋体" w:hAnsi="宋体" w:cs="宋体"/>
          <w:color w:val="auto"/>
          <w:szCs w:val="21"/>
          <w:highlight w:val="none"/>
        </w:rPr>
      </w:pPr>
      <w:r>
        <w:rPr>
          <w:rFonts w:hint="eastAsia" w:ascii="宋体" w:hAnsi="宋体" w:cs="宋体"/>
          <w:color w:val="auto"/>
          <w:kern w:val="0"/>
          <w:szCs w:val="21"/>
          <w:highlight w:val="none"/>
          <w:lang w:val="zh-CN"/>
        </w:rPr>
        <w:t>投标人名称（电子签名）：</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分包供应商名称（电子签名/公章）：</w:t>
      </w:r>
    </w:p>
    <w:p w14:paraId="22A2FB4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p>
    <w:p w14:paraId="735FBD59">
      <w:pPr>
        <w:snapToGrid w:val="0"/>
        <w:spacing w:line="360" w:lineRule="auto"/>
        <w:jc w:val="righ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日期</w:t>
      </w:r>
      <w:r>
        <w:rPr>
          <w:rFonts w:hint="eastAsia" w:ascii="宋体" w:hAnsi="宋体" w:cs="宋体"/>
          <w:color w:val="auto"/>
          <w:kern w:val="0"/>
          <w:szCs w:val="21"/>
          <w:highlight w:val="none"/>
        </w:rPr>
        <w:t xml:space="preserve">：  年  </w:t>
      </w:r>
      <w:r>
        <w:rPr>
          <w:rFonts w:hint="eastAsia" w:ascii="宋体" w:hAnsi="宋体" w:cs="宋体"/>
          <w:color w:val="auto"/>
          <w:kern w:val="0"/>
          <w:szCs w:val="21"/>
          <w:highlight w:val="none"/>
          <w:lang w:val="zh-CN"/>
        </w:rPr>
        <w:t>月</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日</w:t>
      </w:r>
    </w:p>
    <w:p w14:paraId="6215D449">
      <w:pPr>
        <w:spacing w:line="360" w:lineRule="auto"/>
        <w:ind w:right="420" w:firstLine="420" w:firstLineChars="200"/>
        <w:rPr>
          <w:rFonts w:ascii="宋体" w:hAnsi="宋体" w:cs="宋体"/>
          <w:color w:val="auto"/>
          <w:szCs w:val="21"/>
          <w:highlight w:val="none"/>
        </w:rPr>
      </w:pPr>
      <w:r>
        <w:rPr>
          <w:rFonts w:hint="eastAsia" w:ascii="宋体" w:hAnsi="宋体" w:cs="宋体"/>
          <w:color w:val="auto"/>
          <w:szCs w:val="21"/>
          <w:highlight w:val="none"/>
        </w:rPr>
        <w:t>注：按本格式和要求提供。</w:t>
      </w:r>
    </w:p>
    <w:p w14:paraId="76A805DD">
      <w:pPr>
        <w:pStyle w:val="4"/>
        <w:ind w:firstLine="428"/>
        <w:rPr>
          <w:color w:val="auto"/>
          <w:szCs w:val="21"/>
          <w:highlight w:val="none"/>
        </w:rPr>
      </w:pPr>
      <w:r>
        <w:rPr>
          <w:rFonts w:hint="eastAsia"/>
          <w:color w:val="auto"/>
          <w:szCs w:val="21"/>
          <w:highlight w:val="none"/>
        </w:rPr>
        <w:t>附件7：中小企业声明函</w:t>
      </w:r>
    </w:p>
    <w:p w14:paraId="080D8EFD">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中小企业声明函（服务）</w:t>
      </w:r>
    </w:p>
    <w:p w14:paraId="18AAFCDB">
      <w:pPr>
        <w:spacing w:line="360" w:lineRule="auto"/>
        <w:ind w:firstLine="315" w:firstLineChars="150"/>
        <w:jc w:val="left"/>
        <w:rPr>
          <w:rFonts w:ascii="宋体" w:hAnsi="宋体" w:cs="宋体"/>
          <w:color w:val="auto"/>
          <w:szCs w:val="21"/>
          <w:highlight w:val="none"/>
        </w:rPr>
      </w:pPr>
      <w:r>
        <w:rPr>
          <w:rFonts w:hint="eastAsia" w:ascii="宋体" w:hAnsi="宋体" w:cs="宋体"/>
          <w:color w:val="auto"/>
          <w:szCs w:val="21"/>
          <w:highlight w:val="none"/>
        </w:rPr>
        <w:t>本公司（联合体）郑重声明，根据《政府采购促进中小企业发展管理办法》（财库﹝2020﹞46 号）的规定，本公司（联合体）参加</w:t>
      </w:r>
      <w:r>
        <w:rPr>
          <w:rFonts w:hint="eastAsia" w:ascii="宋体" w:hAnsi="宋体" w:cs="宋体"/>
          <w:color w:val="auto"/>
          <w:szCs w:val="21"/>
          <w:highlight w:val="none"/>
          <w:u w:val="single"/>
        </w:rPr>
        <w:t xml:space="preserve"> 杭州市余杭区数据资源管理局 </w:t>
      </w:r>
      <w:r>
        <w:rPr>
          <w:rFonts w:hint="eastAsia" w:ascii="宋体" w:hAnsi="宋体" w:cs="宋体"/>
          <w:color w:val="auto"/>
          <w:szCs w:val="21"/>
          <w:highlight w:val="none"/>
        </w:rPr>
        <w:t xml:space="preserve">的 </w:t>
      </w:r>
      <w:r>
        <w:rPr>
          <w:rFonts w:hint="eastAsia" w:ascii="宋体" w:hAnsi="宋体" w:cs="宋体"/>
          <w:color w:val="auto"/>
          <w:szCs w:val="21"/>
          <w:highlight w:val="none"/>
          <w:u w:val="single"/>
        </w:rPr>
        <w:t xml:space="preserve">AI余杭建设项目 </w:t>
      </w:r>
      <w:r>
        <w:rPr>
          <w:rFonts w:hint="eastAsia" w:ascii="宋体" w:hAnsi="宋体" w:cs="宋体"/>
          <w:color w:val="auto"/>
          <w:szCs w:val="21"/>
          <w:highlight w:val="none"/>
        </w:rPr>
        <w:t>采购活动，服务全部由符合政策要求的中小企业承接。相关企业（含联合体中的中小企业、签订分包意向协议的中小企业）的具体情况如下：</w:t>
      </w:r>
    </w:p>
    <w:p w14:paraId="0789B2D2">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1.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AI余杭建设</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，属于 </w:t>
      </w:r>
      <w:r>
        <w:rPr>
          <w:rFonts w:hint="eastAsia" w:ascii="宋体" w:hAnsi="宋体" w:cs="宋体"/>
          <w:color w:val="auto"/>
          <w:szCs w:val="21"/>
          <w:highlight w:val="none"/>
          <w:u w:val="single"/>
        </w:rPr>
        <w:t>软件和信息技术服务业</w:t>
      </w:r>
      <w:r>
        <w:rPr>
          <w:rFonts w:hint="eastAsia" w:ascii="宋体" w:hAnsi="宋体" w:cs="宋体"/>
          <w:color w:val="auto"/>
          <w:szCs w:val="21"/>
          <w:highlight w:val="none"/>
        </w:rPr>
        <w:t xml:space="preserve"> ；承建（承接）企业为 </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 xml:space="preserve"> ，从业人员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人，营业收入为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万元属于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sym w:font="Wingdings 2" w:char="00A3"/>
      </w:r>
      <w:r>
        <w:rPr>
          <w:rFonts w:hint="eastAsia" w:ascii="宋体" w:hAnsi="宋体" w:cs="宋体"/>
          <w:color w:val="auto"/>
          <w:szCs w:val="21"/>
          <w:highlight w:val="none"/>
          <w:u w:val="single"/>
        </w:rPr>
        <w:t>中型企业、</w:t>
      </w:r>
      <w:r>
        <w:rPr>
          <w:rFonts w:hint="eastAsia" w:ascii="宋体" w:hAnsi="宋体" w:cs="宋体"/>
          <w:color w:val="auto"/>
          <w:szCs w:val="21"/>
          <w:highlight w:val="none"/>
          <w:u w:val="single"/>
        </w:rPr>
        <w:sym w:font="Wingdings 2" w:char="00A3"/>
      </w:r>
      <w:r>
        <w:rPr>
          <w:rFonts w:hint="eastAsia" w:ascii="宋体" w:hAnsi="宋体" w:cs="宋体"/>
          <w:color w:val="auto"/>
          <w:szCs w:val="21"/>
          <w:highlight w:val="none"/>
          <w:u w:val="single"/>
        </w:rPr>
        <w:t>小型企业、</w:t>
      </w:r>
      <w:r>
        <w:rPr>
          <w:rFonts w:hint="eastAsia" w:ascii="宋体" w:hAnsi="宋体" w:cs="宋体"/>
          <w:color w:val="auto"/>
          <w:szCs w:val="21"/>
          <w:highlight w:val="none"/>
          <w:u w:val="single"/>
        </w:rPr>
        <w:sym w:font="Wingdings 2" w:char="00A3"/>
      </w:r>
      <w:r>
        <w:rPr>
          <w:rFonts w:hint="eastAsia" w:ascii="宋体" w:hAnsi="宋体" w:cs="宋体"/>
          <w:color w:val="auto"/>
          <w:szCs w:val="21"/>
          <w:highlight w:val="none"/>
          <w:u w:val="single"/>
        </w:rPr>
        <w:t>微型企业</w:t>
      </w:r>
      <w:r>
        <w:rPr>
          <w:rFonts w:hint="eastAsia" w:ascii="宋体" w:hAnsi="宋体" w:cs="宋体"/>
          <w:color w:val="auto"/>
          <w:szCs w:val="21"/>
          <w:highlight w:val="none"/>
        </w:rPr>
        <w:t>；</w:t>
      </w:r>
    </w:p>
    <w:p w14:paraId="0DFBA386">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以上企业，不属于大企业的分支机构，不存在控股股东为大企业的情形，也不存在与大企业的负责人为同一人的情形。</w:t>
      </w:r>
    </w:p>
    <w:p w14:paraId="0532CC81">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本企业对上述声明内容的真实性负责。如有虚假，将依法承担相应责任。</w:t>
      </w:r>
    </w:p>
    <w:p w14:paraId="3A9AE5DD">
      <w:pPr>
        <w:spacing w:line="360" w:lineRule="auto"/>
        <w:ind w:right="1760" w:firstLine="420" w:firstLineChars="200"/>
        <w:rPr>
          <w:rFonts w:ascii="宋体" w:hAnsi="宋体" w:cs="宋体"/>
          <w:color w:val="auto"/>
          <w:szCs w:val="21"/>
          <w:highlight w:val="none"/>
        </w:rPr>
      </w:pPr>
    </w:p>
    <w:p w14:paraId="40B76209">
      <w:pPr>
        <w:spacing w:line="360" w:lineRule="auto"/>
        <w:ind w:right="1760" w:firstLine="420" w:firstLineChars="200"/>
        <w:rPr>
          <w:rFonts w:ascii="宋体" w:hAnsi="宋体" w:cs="宋体"/>
          <w:color w:val="auto"/>
          <w:szCs w:val="21"/>
          <w:highlight w:val="none"/>
        </w:rPr>
      </w:pPr>
      <w:r>
        <w:rPr>
          <w:rFonts w:hint="eastAsia" w:ascii="宋体" w:hAnsi="宋体" w:cs="宋体"/>
          <w:color w:val="auto"/>
          <w:szCs w:val="21"/>
          <w:highlight w:val="none"/>
        </w:rPr>
        <w:t>投标人名称（电子签名）：</w:t>
      </w:r>
    </w:p>
    <w:p w14:paraId="189CB56E">
      <w:pPr>
        <w:spacing w:line="360" w:lineRule="auto"/>
        <w:ind w:right="1120" w:firstLine="420" w:firstLineChars="200"/>
        <w:rPr>
          <w:rFonts w:ascii="宋体" w:hAnsi="宋体" w:cs="宋体"/>
          <w:color w:val="auto"/>
          <w:szCs w:val="21"/>
          <w:highlight w:val="none"/>
        </w:rPr>
      </w:pPr>
      <w:r>
        <w:rPr>
          <w:rFonts w:hint="eastAsia" w:ascii="宋体" w:hAnsi="宋体" w:cs="宋体"/>
          <w:color w:val="auto"/>
          <w:szCs w:val="21"/>
          <w:highlight w:val="none"/>
        </w:rPr>
        <w:t>日 期：</w:t>
      </w:r>
    </w:p>
    <w:p w14:paraId="34B54FEE">
      <w:pPr>
        <w:spacing w:line="360" w:lineRule="auto"/>
        <w:ind w:firstLine="310" w:firstLineChars="147"/>
        <w:jc w:val="left"/>
        <w:rPr>
          <w:rFonts w:ascii="宋体" w:hAnsi="宋体" w:cs="宋体"/>
          <w:b/>
          <w:color w:val="auto"/>
          <w:szCs w:val="21"/>
          <w:highlight w:val="none"/>
        </w:rPr>
      </w:pPr>
    </w:p>
    <w:p w14:paraId="085C7E46">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25F149B3">
      <w:pPr>
        <w:spacing w:line="360" w:lineRule="auto"/>
        <w:ind w:right="420"/>
        <w:rPr>
          <w:rFonts w:ascii="宋体" w:hAnsi="宋体" w:cs="宋体"/>
          <w:color w:val="auto"/>
          <w:szCs w:val="21"/>
          <w:highlight w:val="none"/>
        </w:rPr>
      </w:pPr>
      <w:r>
        <w:rPr>
          <w:rFonts w:hint="eastAsia" w:ascii="宋体" w:hAnsi="宋体" w:cs="宋体"/>
          <w:color w:val="auto"/>
          <w:szCs w:val="21"/>
          <w:highlight w:val="none"/>
        </w:rPr>
        <w:t xml:space="preserve">   注：</w:t>
      </w:r>
    </w:p>
    <w:p w14:paraId="0D0C0F9D">
      <w:pPr>
        <w:spacing w:line="360" w:lineRule="auto"/>
        <w:ind w:right="420" w:firstLine="420" w:firstLineChars="200"/>
        <w:rPr>
          <w:rFonts w:ascii="宋体" w:hAnsi="宋体" w:cs="宋体"/>
          <w:color w:val="auto"/>
          <w:szCs w:val="21"/>
          <w:highlight w:val="none"/>
        </w:rPr>
      </w:pPr>
      <w:r>
        <w:rPr>
          <w:rFonts w:hint="eastAsia" w:ascii="宋体" w:hAnsi="宋体" w:cs="宋体"/>
          <w:color w:val="auto"/>
          <w:szCs w:val="21"/>
          <w:highlight w:val="none"/>
        </w:rPr>
        <w:t>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③《中小企业声明函》填写企业类型错误或者未填写企业类型的，投标无效。</w:t>
      </w:r>
    </w:p>
    <w:p w14:paraId="22A24052">
      <w:pPr>
        <w:spacing w:line="360" w:lineRule="auto"/>
        <w:ind w:right="420" w:firstLine="420" w:firstLineChars="200"/>
        <w:rPr>
          <w:rFonts w:ascii="宋体" w:hAnsi="宋体" w:cs="宋体"/>
          <w:color w:val="auto"/>
          <w:szCs w:val="21"/>
          <w:highlight w:val="none"/>
        </w:rPr>
      </w:pPr>
      <w:r>
        <w:rPr>
          <w:rFonts w:hint="eastAsia" w:ascii="宋体" w:hAnsi="宋体" w:cs="宋体"/>
          <w:color w:val="auto"/>
          <w:szCs w:val="21"/>
          <w:highlight w:val="none"/>
        </w:rPr>
        <w:t>软件和信息技术服务业中，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A8163AE">
      <w:pPr>
        <w:spacing w:line="360" w:lineRule="auto"/>
        <w:ind w:right="420" w:firstLine="420" w:firstLineChars="200"/>
        <w:rPr>
          <w:rFonts w:ascii="宋体" w:hAnsi="宋体" w:cs="宋体"/>
          <w:color w:val="auto"/>
          <w:szCs w:val="21"/>
          <w:highlight w:val="none"/>
        </w:rPr>
      </w:pPr>
      <w:r>
        <w:rPr>
          <w:rFonts w:hint="eastAsia" w:ascii="宋体" w:hAnsi="宋体" w:cs="宋体"/>
          <w:color w:val="auto"/>
          <w:szCs w:val="21"/>
          <w:highlight w:val="none"/>
        </w:rPr>
        <w:br w:type="page"/>
      </w:r>
    </w:p>
    <w:p w14:paraId="661FED3F">
      <w:pPr>
        <w:pStyle w:val="4"/>
        <w:ind w:firstLine="452"/>
        <w:rPr>
          <w:rFonts w:ascii="宋体" w:hAnsi="宋体" w:cs="宋体"/>
          <w:color w:val="auto"/>
          <w:spacing w:val="6"/>
          <w:szCs w:val="21"/>
          <w:highlight w:val="none"/>
        </w:rPr>
      </w:pPr>
      <w:r>
        <w:rPr>
          <w:rFonts w:hint="eastAsia" w:ascii="宋体" w:hAnsi="宋体" w:cs="宋体"/>
          <w:color w:val="auto"/>
          <w:spacing w:val="6"/>
          <w:szCs w:val="21"/>
          <w:highlight w:val="none"/>
        </w:rPr>
        <w:t>附件8：政府采购活动现场确认声明书</w:t>
      </w:r>
    </w:p>
    <w:p w14:paraId="720E22ED">
      <w:pPr>
        <w:spacing w:line="360" w:lineRule="auto"/>
        <w:jc w:val="center"/>
        <w:rPr>
          <w:rFonts w:ascii="宋体" w:hAnsi="宋体" w:cs="宋体"/>
          <w:b/>
          <w:bCs/>
          <w:color w:val="auto"/>
          <w:szCs w:val="21"/>
          <w:highlight w:val="none"/>
        </w:rPr>
      </w:pPr>
    </w:p>
    <w:p w14:paraId="257FEDE5">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政府采购活动现场确认声明书</w:t>
      </w:r>
    </w:p>
    <w:p w14:paraId="3A09A867">
      <w:pPr>
        <w:pStyle w:val="320"/>
        <w:snapToGrid w:val="0"/>
        <w:spacing w:line="360" w:lineRule="auto"/>
        <w:ind w:firstLine="420"/>
        <w:rPr>
          <w:rFonts w:hAnsi="宋体" w:eastAsia="宋体" w:cs="宋体"/>
          <w:b/>
          <w:color w:val="auto"/>
          <w:sz w:val="21"/>
          <w:szCs w:val="21"/>
          <w:highlight w:val="none"/>
        </w:rPr>
      </w:pPr>
      <w:r>
        <w:rPr>
          <w:rFonts w:hint="eastAsia" w:hAnsi="宋体" w:eastAsia="宋体" w:cs="宋体"/>
          <w:color w:val="auto"/>
          <w:sz w:val="21"/>
          <w:szCs w:val="21"/>
          <w:highlight w:val="none"/>
        </w:rPr>
        <w:t>浙江省成套招标代理有限公司：</w:t>
      </w:r>
    </w:p>
    <w:p w14:paraId="46934473">
      <w:pPr>
        <w:pStyle w:val="320"/>
        <w:adjustRightInd w:val="0"/>
        <w:snapToGrid w:val="0"/>
        <w:spacing w:line="360" w:lineRule="auto"/>
        <w:ind w:firstLine="444"/>
        <w:rPr>
          <w:rFonts w:hAnsi="宋体" w:eastAsia="宋体" w:cs="宋体"/>
          <w:color w:val="auto"/>
          <w:sz w:val="21"/>
          <w:szCs w:val="21"/>
          <w:highlight w:val="none"/>
          <w:u w:val="single"/>
        </w:rPr>
      </w:pPr>
      <w:r>
        <w:rPr>
          <w:rFonts w:hint="eastAsia" w:hAnsi="宋体" w:eastAsia="宋体" w:cs="宋体"/>
          <w:color w:val="auto"/>
          <w:spacing w:val="6"/>
          <w:sz w:val="21"/>
          <w:szCs w:val="21"/>
          <w:highlight w:val="none"/>
        </w:rPr>
        <w:t>本人经由单位法定代表人合法授权参加</w:t>
      </w:r>
      <w:r>
        <w:rPr>
          <w:rFonts w:hint="eastAsia" w:hAnsi="宋体" w:eastAsia="宋体" w:cs="宋体"/>
          <w:color w:val="auto"/>
          <w:sz w:val="21"/>
          <w:szCs w:val="21"/>
          <w:highlight w:val="none"/>
          <w:u w:val="single"/>
        </w:rPr>
        <w:t>杭州市余杭区数据资源管理局</w:t>
      </w:r>
      <w:r>
        <w:rPr>
          <w:rFonts w:hint="eastAsia" w:hAnsi="宋体" w:eastAsia="宋体" w:cs="宋体"/>
          <w:color w:val="auto"/>
          <w:sz w:val="21"/>
          <w:szCs w:val="21"/>
          <w:highlight w:val="none"/>
        </w:rPr>
        <w:t>（采购人）</w:t>
      </w:r>
      <w:r>
        <w:rPr>
          <w:rFonts w:hint="eastAsia" w:hAnsi="宋体" w:eastAsia="宋体" w:cs="宋体"/>
          <w:color w:val="auto"/>
          <w:sz w:val="21"/>
          <w:szCs w:val="21"/>
          <w:highlight w:val="none"/>
          <w:u w:val="single"/>
        </w:rPr>
        <w:t>AI余杭建设项目</w:t>
      </w:r>
      <w:r>
        <w:rPr>
          <w:rFonts w:hint="eastAsia" w:hAnsi="宋体" w:eastAsia="宋体" w:cs="宋体"/>
          <w:color w:val="auto"/>
          <w:sz w:val="21"/>
          <w:szCs w:val="21"/>
          <w:highlight w:val="none"/>
        </w:rPr>
        <w:t>（项目名称）</w:t>
      </w:r>
      <w:r>
        <w:rPr>
          <w:rFonts w:hint="eastAsia" w:hAnsi="宋体" w:eastAsia="宋体" w:cs="宋体"/>
          <w:color w:val="auto"/>
          <w:sz w:val="21"/>
          <w:szCs w:val="21"/>
          <w:highlight w:val="none"/>
          <w:u w:val="single"/>
          <w:lang w:eastAsia="zh-CN"/>
        </w:rPr>
        <w:t>CTZB-2025010049</w:t>
      </w:r>
      <w:r>
        <w:rPr>
          <w:rFonts w:hint="eastAsia" w:hAnsi="宋体" w:eastAsia="宋体" w:cs="宋体"/>
          <w:color w:val="auto"/>
          <w:sz w:val="21"/>
          <w:szCs w:val="21"/>
          <w:highlight w:val="none"/>
        </w:rPr>
        <w:t>（项目编号）</w:t>
      </w:r>
      <w:r>
        <w:rPr>
          <w:rFonts w:hint="eastAsia" w:hAnsi="宋体" w:eastAsia="宋体" w:cs="宋体"/>
          <w:color w:val="auto"/>
          <w:spacing w:val="6"/>
          <w:sz w:val="21"/>
          <w:szCs w:val="21"/>
          <w:highlight w:val="none"/>
        </w:rPr>
        <w:t>政府采购活动，经与本单位法人代表人联系确认，现就有关公平竞争事项郑重声明如下：</w:t>
      </w:r>
    </w:p>
    <w:p w14:paraId="7051AE55">
      <w:pPr>
        <w:pStyle w:val="321"/>
        <w:widowControl/>
        <w:snapToGrid w:val="0"/>
        <w:spacing w:line="360" w:lineRule="auto"/>
        <w:ind w:firstLine="42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一、本单位与采购人之间 □不存在利害关系 □存在下列利害关系【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7F5FFABA">
      <w:pPr>
        <w:pStyle w:val="321"/>
        <w:widowControl/>
        <w:snapToGrid w:val="0"/>
        <w:spacing w:line="360" w:lineRule="auto"/>
        <w:ind w:firstLine="42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A.投资关系    B.行政隶属关系    C.业务指导关系</w:t>
      </w:r>
    </w:p>
    <w:p w14:paraId="3EF30546">
      <w:pPr>
        <w:pStyle w:val="321"/>
        <w:widowControl/>
        <w:snapToGrid w:val="0"/>
        <w:spacing w:line="360" w:lineRule="auto"/>
        <w:ind w:firstLine="42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D.其他可能</w:t>
      </w:r>
      <w:r>
        <w:rPr>
          <w:rFonts w:hint="eastAsia" w:ascii="宋体" w:hAnsi="宋体" w:eastAsia="宋体" w:cs="宋体"/>
          <w:color w:val="auto"/>
          <w:sz w:val="21"/>
          <w:szCs w:val="21"/>
          <w:highlight w:val="none"/>
        </w:rPr>
        <w:t>影响采购公正的</w:t>
      </w:r>
      <w:r>
        <w:rPr>
          <w:rFonts w:hint="eastAsia" w:ascii="宋体" w:hAnsi="宋体" w:eastAsia="宋体" w:cs="宋体"/>
          <w:color w:val="auto"/>
          <w:kern w:val="0"/>
          <w:sz w:val="21"/>
          <w:szCs w:val="21"/>
          <w:highlight w:val="none"/>
        </w:rPr>
        <w:t>利害关系【</w:t>
      </w:r>
      <w:r>
        <w:rPr>
          <w:rFonts w:hint="eastAsia" w:ascii="宋体" w:hAnsi="宋体" w:eastAsia="宋体" w:cs="宋体"/>
          <w:color w:val="auto"/>
          <w:kern w:val="0"/>
          <w:sz w:val="21"/>
          <w:szCs w:val="21"/>
          <w:highlight w:val="none"/>
          <w:u w:val="single"/>
        </w:rPr>
        <w:t xml:space="preserve">（如有，请如实说明）                 </w:t>
      </w:r>
      <w:r>
        <w:rPr>
          <w:rFonts w:hint="eastAsia" w:ascii="宋体" w:hAnsi="宋体" w:eastAsia="宋体" w:cs="宋体"/>
          <w:color w:val="auto"/>
          <w:kern w:val="0"/>
          <w:sz w:val="21"/>
          <w:szCs w:val="21"/>
          <w:highlight w:val="none"/>
        </w:rPr>
        <w:t>】。</w:t>
      </w:r>
    </w:p>
    <w:p w14:paraId="2E350EB6">
      <w:pPr>
        <w:pStyle w:val="321"/>
        <w:widowControl/>
        <w:snapToGrid w:val="0"/>
        <w:spacing w:line="360" w:lineRule="auto"/>
        <w:ind w:firstLine="444"/>
        <w:rPr>
          <w:rFonts w:ascii="宋体" w:hAnsi="宋体" w:eastAsia="宋体" w:cs="宋体"/>
          <w:color w:val="auto"/>
          <w:kern w:val="0"/>
          <w:sz w:val="21"/>
          <w:szCs w:val="21"/>
          <w:highlight w:val="none"/>
        </w:rPr>
      </w:pPr>
      <w:r>
        <w:rPr>
          <w:rFonts w:hint="eastAsia" w:ascii="宋体" w:hAnsi="宋体" w:eastAsia="宋体" w:cs="宋体"/>
          <w:color w:val="auto"/>
          <w:spacing w:val="6"/>
          <w:sz w:val="21"/>
          <w:szCs w:val="21"/>
          <w:highlight w:val="none"/>
        </w:rPr>
        <w:t>二、</w:t>
      </w:r>
      <w:r>
        <w:rPr>
          <w:rFonts w:hint="eastAsia" w:ascii="宋体" w:hAnsi="宋体" w:eastAsia="宋体" w:cs="宋体"/>
          <w:color w:val="auto"/>
          <w:kern w:val="0"/>
          <w:sz w:val="21"/>
          <w:szCs w:val="21"/>
          <w:highlight w:val="none"/>
        </w:rPr>
        <w:t>现已清楚知道参加本项目采购活动的其他所有供应商名称，本单位 □与其他所有供应商之间均不存在利害关系 □与【</w:t>
      </w:r>
      <w:r>
        <w:rPr>
          <w:rFonts w:hint="eastAsia" w:ascii="宋体" w:hAnsi="宋体" w:eastAsia="宋体" w:cs="宋体"/>
          <w:color w:val="auto"/>
          <w:kern w:val="0"/>
          <w:sz w:val="21"/>
          <w:szCs w:val="21"/>
          <w:highlight w:val="none"/>
          <w:u w:val="single"/>
        </w:rPr>
        <w:t xml:space="preserve">           （供应商名称）</w:t>
      </w:r>
      <w:r>
        <w:rPr>
          <w:rFonts w:hint="eastAsia" w:ascii="宋体" w:hAnsi="宋体" w:eastAsia="宋体" w:cs="宋体"/>
          <w:color w:val="auto"/>
          <w:kern w:val="0"/>
          <w:sz w:val="21"/>
          <w:szCs w:val="21"/>
          <w:highlight w:val="none"/>
        </w:rPr>
        <w:t>】之间存在下列利害关系【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5304DD55">
      <w:pPr>
        <w:pStyle w:val="321"/>
        <w:widowControl/>
        <w:snapToGrid w:val="0"/>
        <w:spacing w:line="360" w:lineRule="auto"/>
        <w:ind w:firstLine="42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A.法定代表人或负责人或实际控制人是同一人</w:t>
      </w:r>
    </w:p>
    <w:p w14:paraId="62B5EA84">
      <w:pPr>
        <w:pStyle w:val="321"/>
        <w:widowControl/>
        <w:snapToGrid w:val="0"/>
        <w:spacing w:line="360" w:lineRule="auto"/>
        <w:ind w:firstLine="42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B.法定代表人或负责人或实际控制人是夫妻关系</w:t>
      </w:r>
    </w:p>
    <w:p w14:paraId="5A7B23F2">
      <w:pPr>
        <w:pStyle w:val="321"/>
        <w:widowControl/>
        <w:snapToGrid w:val="0"/>
        <w:spacing w:line="360" w:lineRule="auto"/>
        <w:ind w:firstLine="42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C.法定代表人或负责人或实际控制人是直系血亲关系</w:t>
      </w:r>
    </w:p>
    <w:p w14:paraId="7FDB2F2B">
      <w:pPr>
        <w:pStyle w:val="321"/>
        <w:widowControl/>
        <w:snapToGrid w:val="0"/>
        <w:spacing w:line="360" w:lineRule="auto"/>
        <w:ind w:firstLine="42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D.法定代表人或负责人或实际控制人存在三代以内旁系血亲关系</w:t>
      </w:r>
    </w:p>
    <w:p w14:paraId="6290C2A7">
      <w:pPr>
        <w:pStyle w:val="321"/>
        <w:widowControl/>
        <w:snapToGrid w:val="0"/>
        <w:spacing w:line="360" w:lineRule="auto"/>
        <w:ind w:firstLine="42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E.法定代表人或负责人或实际控制人存在近姻亲关系</w:t>
      </w:r>
    </w:p>
    <w:p w14:paraId="42ADD2A5">
      <w:pPr>
        <w:pStyle w:val="321"/>
        <w:widowControl/>
        <w:snapToGrid w:val="0"/>
        <w:spacing w:line="360" w:lineRule="auto"/>
        <w:ind w:firstLine="42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F.法定代表人或负责人或实际控制人存在股份控制或实际控制关系</w:t>
      </w:r>
    </w:p>
    <w:p w14:paraId="758F8860">
      <w:pPr>
        <w:pStyle w:val="321"/>
        <w:widowControl/>
        <w:snapToGrid w:val="0"/>
        <w:spacing w:line="360" w:lineRule="auto"/>
        <w:ind w:firstLine="42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G.存在共同直接或间接投资设立子公司、联营企业和合营企业情况</w:t>
      </w:r>
    </w:p>
    <w:p w14:paraId="309F19A0">
      <w:pPr>
        <w:pStyle w:val="321"/>
        <w:widowControl/>
        <w:snapToGrid w:val="0"/>
        <w:spacing w:line="360" w:lineRule="auto"/>
        <w:ind w:firstLine="42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H.存在分级代理或代销关系、同一生产制造商关系、管理关系、重要业务（占主营业务收入50%以上）或重要财务往来关系（如融资）等其他实质性控制关系</w:t>
      </w:r>
    </w:p>
    <w:p w14:paraId="029EAF75">
      <w:pPr>
        <w:pStyle w:val="321"/>
        <w:widowControl/>
        <w:snapToGrid w:val="0"/>
        <w:spacing w:line="360" w:lineRule="auto"/>
        <w:ind w:firstLine="420"/>
        <w:rPr>
          <w:rFonts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I</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其他利害关系情况</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7A3A9BB">
      <w:pPr>
        <w:pStyle w:val="321"/>
        <w:widowControl/>
        <w:snapToGrid w:val="0"/>
        <w:spacing w:line="360" w:lineRule="auto"/>
        <w:ind w:firstLine="420"/>
        <w:rPr>
          <w:rFonts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三、现已清楚知道并</w:t>
      </w:r>
      <w:r>
        <w:rPr>
          <w:rFonts w:hint="eastAsia" w:ascii="宋体" w:hAnsi="宋体" w:eastAsia="宋体" w:cs="宋体"/>
          <w:color w:val="auto"/>
          <w:kern w:val="0"/>
          <w:sz w:val="21"/>
          <w:szCs w:val="21"/>
          <w:highlight w:val="none"/>
        </w:rPr>
        <w:t>严格遵守政府采购法律法规和现场纪律。</w:t>
      </w:r>
    </w:p>
    <w:p w14:paraId="0AA627B3">
      <w:pPr>
        <w:pStyle w:val="321"/>
        <w:widowControl/>
        <w:snapToGrid w:val="0"/>
        <w:spacing w:line="360" w:lineRule="auto"/>
        <w:ind w:firstLine="42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四、我发现【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】供应商之间存在或可能存在上述第二条第【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】项利害关系。</w:t>
      </w:r>
    </w:p>
    <w:p w14:paraId="74D9BDF1">
      <w:pPr>
        <w:pStyle w:val="321"/>
        <w:widowControl/>
        <w:snapToGrid w:val="0"/>
        <w:spacing w:line="360" w:lineRule="auto"/>
        <w:ind w:firstLine="420"/>
        <w:rPr>
          <w:rFonts w:ascii="宋体" w:hAnsi="宋体" w:eastAsia="宋体" w:cs="宋体"/>
          <w:color w:val="auto"/>
          <w:sz w:val="21"/>
          <w:szCs w:val="21"/>
          <w:highlight w:val="none"/>
        </w:rPr>
      </w:pPr>
    </w:p>
    <w:p w14:paraId="64B803DA">
      <w:pPr>
        <w:spacing w:line="360" w:lineRule="auto"/>
        <w:ind w:firstLine="420" w:firstLineChars="200"/>
        <w:rPr>
          <w:rFonts w:ascii="宋体" w:hAnsi="宋体" w:cs="宋体"/>
          <w:color w:val="auto"/>
          <w:spacing w:val="20"/>
          <w:szCs w:val="21"/>
          <w:highlight w:val="none"/>
          <w:u w:val="single"/>
        </w:rPr>
      </w:pPr>
      <w:r>
        <w:rPr>
          <w:rFonts w:hint="eastAsia" w:ascii="宋体" w:hAnsi="宋体" w:cs="宋体"/>
          <w:color w:val="auto"/>
          <w:szCs w:val="21"/>
          <w:highlight w:val="none"/>
        </w:rPr>
        <w:t>投标人全称：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（盖单位公章）</w:t>
      </w:r>
    </w:p>
    <w:p w14:paraId="0FCD346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日期：   年  月  日</w:t>
      </w:r>
    </w:p>
    <w:p w14:paraId="3416E28F">
      <w:pPr>
        <w:pStyle w:val="320"/>
        <w:snapToGrid w:val="0"/>
        <w:spacing w:line="360" w:lineRule="auto"/>
        <w:ind w:firstLine="420"/>
        <w:jc w:val="right"/>
        <w:rPr>
          <w:rFonts w:hAnsi="宋体" w:eastAsia="宋体" w:cs="宋体"/>
          <w:color w:val="auto"/>
          <w:sz w:val="21"/>
          <w:szCs w:val="21"/>
          <w:highlight w:val="none"/>
        </w:rPr>
      </w:pPr>
    </w:p>
    <w:p w14:paraId="58DA188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说明：</w:t>
      </w:r>
    </w:p>
    <w:p w14:paraId="67673C7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（1）投标人解密投标文件及获知其他投标人信息进行如实声明并盖章，以扫描件形式提交给采购代理机构，邮箱：linyy@zjsct.cn。</w:t>
      </w:r>
    </w:p>
    <w:p w14:paraId="5C0701E1">
      <w:pPr>
        <w:spacing w:line="360" w:lineRule="auto"/>
        <w:ind w:firstLine="420" w:firstLineChars="200"/>
        <w:rPr>
          <w:rFonts w:ascii="宋体" w:hAnsi="宋体" w:cs="宋体"/>
          <w:bCs/>
          <w:color w:val="auto"/>
          <w:szCs w:val="21"/>
          <w:highlight w:val="none"/>
        </w:rPr>
      </w:pPr>
      <w:r>
        <w:rPr>
          <w:rFonts w:hint="eastAsia" w:ascii="宋体" w:hAnsi="宋体" w:cs="宋体"/>
          <w:color w:val="auto"/>
          <w:szCs w:val="21"/>
          <w:highlight w:val="none"/>
        </w:rPr>
        <w:t>（2）此声明函不用编入投标文件。</w:t>
      </w:r>
    </w:p>
    <w:p w14:paraId="122B4DC8">
      <w:pPr>
        <w:rPr>
          <w:color w:val="auto"/>
          <w:highlight w:val="none"/>
        </w:rPr>
      </w:pPr>
    </w:p>
    <w:p w14:paraId="6EFFB8D9">
      <w:pPr>
        <w:rPr>
          <w:color w:val="auto"/>
          <w:highlight w:val="none"/>
        </w:rPr>
      </w:pPr>
    </w:p>
    <w:sectPr>
      <w:footerReference r:id="rId19" w:type="first"/>
      <w:headerReference r:id="rId16" w:type="default"/>
      <w:footerReference r:id="rId17" w:type="default"/>
      <w:footerReference r:id="rId18"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B0604020202020204"/>
    <w:charset w:val="86"/>
    <w:family w:val="modern"/>
    <w:pitch w:val="default"/>
    <w:sig w:usb0="00000000" w:usb1="00000000" w:usb2="00000010" w:usb3="00000000" w:csb0="0004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B0604020202020204"/>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Futura Bk">
    <w:altName w:val="Segoe Print"/>
    <w:panose1 w:val="020B0602020204020303"/>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20B0604020202020204"/>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Verdana">
    <w:panose1 w:val="020B0604030504040204"/>
    <w:charset w:val="00"/>
    <w:family w:val="swiss"/>
    <w:pitch w:val="default"/>
    <w:sig w:usb0="A00006FF" w:usb1="4000205B" w:usb2="00000010" w:usb3="00000000" w:csb0="2000019F" w:csb1="00000000"/>
  </w:font>
  <w:font w:name="ˎ̥">
    <w:altName w:val="Microsoft YaHei UI"/>
    <w:panose1 w:val="020B0604020202020204"/>
    <w:charset w:val="00"/>
    <w:family w:val="roman"/>
    <w:pitch w:val="default"/>
    <w:sig w:usb0="00000000" w:usb1="00000000" w:usb2="00000000" w:usb3="00000000" w:csb0="00040001" w:csb1="00000000"/>
  </w:font>
  <w:font w:name="Microsoft YaHei UI">
    <w:panose1 w:val="020B0503020204020204"/>
    <w:charset w:val="86"/>
    <w:family w:val="auto"/>
    <w:pitch w:val="default"/>
    <w:sig w:usb0="80000287" w:usb1="2ACF3C50" w:usb2="00000016" w:usb3="00000000" w:csb0="0004001F"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20B0604020202020204"/>
    <w:charset w:val="86"/>
    <w:family w:val="swiss"/>
    <w:pitch w:val="default"/>
    <w:sig w:usb0="00000000" w:usb1="00000000" w:usb2="00000010" w:usb3="00000000" w:csb0="00040000" w:csb1="00000000"/>
  </w:font>
  <w:font w:name="Arial (W1)">
    <w:altName w:val="Arial"/>
    <w:panose1 w:val="020B0604020202020204"/>
    <w:charset w:val="00"/>
    <w:family w:val="swiss"/>
    <w:pitch w:val="default"/>
    <w:sig w:usb0="00000000" w:usb1="00000000" w:usb2="00000008" w:usb3="00000000" w:csb0="000001FF" w:csb1="00000000"/>
  </w:font>
  <w:font w:name="Arial Unicode MS">
    <w:altName w:val="Arial"/>
    <w:panose1 w:val="020B0604020202020204"/>
    <w:charset w:val="80"/>
    <w:family w:val="swiss"/>
    <w:pitch w:val="default"/>
    <w:sig w:usb0="00000000" w:usb1="00000000" w:usb2="0000003F" w:usb3="00000000" w:csb0="603F01FF" w:csb1="FFFF0000"/>
  </w:font>
  <w:font w:name="Helvetica">
    <w:altName w:val="Arial"/>
    <w:panose1 w:val="00000000000000000000"/>
    <w:charset w:val="00"/>
    <w:family w:val="auto"/>
    <w:pitch w:val="default"/>
    <w:sig w:usb0="00000000" w:usb1="00000000" w:usb2="00000000" w:usb3="00000000" w:csb0="2000019F" w:csb1="4F010000"/>
  </w:font>
  <w:font w:name="Cumberland">
    <w:altName w:val="Microsoft YaHei UI"/>
    <w:panose1 w:val="020B0604020202020204"/>
    <w:charset w:val="00"/>
    <w:family w:val="modern"/>
    <w:pitch w:val="default"/>
    <w:sig w:usb0="00000000" w:usb1="00000000" w:usb2="00000000" w:usb3="00000000" w:csb0="00040001" w:csb1="00000000"/>
  </w:font>
  <w:font w:name="方正宋体">
    <w:altName w:val="宋体"/>
    <w:panose1 w:val="020B0604020202020204"/>
    <w:charset w:val="00"/>
    <w:family w:val="auto"/>
    <w:pitch w:val="default"/>
    <w:sig w:usb0="00000000" w:usb1="00000000" w:usb2="00000000" w:usb3="00000000" w:csb0="00040001" w:csb1="00000000"/>
  </w:font>
  <w:font w:name="Futura Hv">
    <w:altName w:val="Segoe Print"/>
    <w:panose1 w:val="020B0602020204020303"/>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20B0604020202020204"/>
    <w:charset w:val="00"/>
    <w:family w:val="roman"/>
    <w:pitch w:val="default"/>
    <w:sig w:usb0="00000000" w:usb1="00000000" w:usb2="00000000" w:usb3="00000000" w:csb0="00000011" w:csb1="00000000"/>
  </w:font>
  <w:font w:name=".PingFang SC">
    <w:altName w:val="宋体"/>
    <w:panose1 w:val="02020503050405090304"/>
    <w:charset w:val="86"/>
    <w:family w:val="modern"/>
    <w:pitch w:val="default"/>
    <w:sig w:usb0="00000000" w:usb1="00000000" w:usb2="00000001" w:usb3="00000000" w:csb0="400001BF" w:csb1="DFF70000"/>
  </w:font>
  <w:font w:name="??">
    <w:altName w:val="Microsoft YaHei UI"/>
    <w:panose1 w:val="020B0604020202020204"/>
    <w:charset w:val="00"/>
    <w:family w:val="roma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0"/>
    <w:family w:val="decorative"/>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8F5A7">
    <w:pPr>
      <w:pStyle w:val="41"/>
      <w:framePr w:wrap="around" w:vAnchor="text" w:hAnchor="margin" w:xAlign="right" w:y="1"/>
      <w:rPr>
        <w:rStyle w:val="72"/>
      </w:rPr>
    </w:pPr>
    <w:r>
      <w:fldChar w:fldCharType="begin"/>
    </w:r>
    <w:r>
      <w:rPr>
        <w:rStyle w:val="72"/>
      </w:rPr>
      <w:instrText xml:space="preserve">PAGE  </w:instrText>
    </w:r>
    <w:r>
      <w:fldChar w:fldCharType="end"/>
    </w:r>
  </w:p>
  <w:p w14:paraId="628BFD1F">
    <w:pPr>
      <w:pStyle w:val="41"/>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F15AE">
    <w:pPr>
      <w:pStyle w:val="41"/>
      <w:framePr w:wrap="around" w:vAnchor="text" w:hAnchor="margin" w:xAlign="right" w:y="1"/>
      <w:rPr>
        <w:rStyle w:val="72"/>
      </w:rPr>
    </w:pPr>
    <w:r>
      <w:fldChar w:fldCharType="begin"/>
    </w:r>
    <w:r>
      <w:rPr>
        <w:rStyle w:val="72"/>
      </w:rPr>
      <w:instrText xml:space="preserve">PAGE  </w:instrText>
    </w:r>
    <w:r>
      <w:fldChar w:fldCharType="end"/>
    </w:r>
  </w:p>
  <w:p w14:paraId="0A42BCF4">
    <w:pPr>
      <w:pStyle w:val="41"/>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F8E00">
    <w:pPr>
      <w:pStyle w:val="41"/>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A148180">
                          <w:pPr>
                            <w:pStyle w:val="41"/>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fill on="f" focussize="0,0"/>
              <v:stroke on="f" weight="0.5pt"/>
              <v:imagedata o:title=""/>
              <o:lock v:ext="edit" aspectratio="f"/>
              <v:textbox inset="0mm,0mm,0mm,0mm" style="mso-fit-shape-to-text:t;">
                <w:txbxContent>
                  <w:p w14:paraId="2A148180">
                    <w:pPr>
                      <w:pStyle w:val="41"/>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F2441">
    <w:pPr>
      <w:pStyle w:val="41"/>
      <w:rPr>
        <w:rFonts w:ascii="宋体" w:hAnsi="宋体" w:cs="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F6B4554">
                          <w:pPr>
                            <w:pStyle w:val="41"/>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5F6B4554">
                    <w:pPr>
                      <w:pStyle w:val="41"/>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0015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B287C">
    <w:pPr>
      <w:pStyle w:val="41"/>
      <w:rPr>
        <w:rFonts w:ascii="宋体" w:hAnsi="宋体" w:cs="宋体"/>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A198E18">
                          <w:pPr>
                            <w:pStyle w:val="41"/>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WTfsxAgAAZ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mD3Lwlbv&#10;LI/QUR5vV8cAOZPKUZROCXQnbjB9qU/9S4nj/ec+RT3+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1Fk37MQIAAGUEAAAOAAAAAAAAAAEAIAAAAB8BAABkcnMvZTJvRG9jLnhtbFBLBQYA&#10;AAAABgAGAFkBAADCBQAAAAA=&#10;">
              <v:fill on="f" focussize="0,0"/>
              <v:stroke on="f" weight="0.5pt"/>
              <v:imagedata o:title=""/>
              <o:lock v:ext="edit" aspectratio="f"/>
              <v:textbox inset="0mm,0mm,0mm,0mm" style="mso-fit-shape-to-text:t;">
                <w:txbxContent>
                  <w:p w14:paraId="6A198E18">
                    <w:pPr>
                      <w:pStyle w:val="41"/>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4B60F">
    <w:pP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88CBD5E">
                          <w:pPr>
                            <w:pStyle w:val="41"/>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588CBD5E">
                    <w:pPr>
                      <w:pStyle w:val="41"/>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3EC41">
    <w:pP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3CC5092">
                          <w:pPr>
                            <w:pStyle w:val="41"/>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14:paraId="73CC5092">
                    <w:pPr>
                      <w:pStyle w:val="41"/>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A8DB3">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2234029">
                          <w:pPr>
                            <w:pStyle w:val="41"/>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14:paraId="02234029">
                    <w:pPr>
                      <w:pStyle w:val="41"/>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27541">
    <w:pP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5F75901">
                          <w:pPr>
                            <w:pStyle w:val="41"/>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14:paraId="75F75901">
                    <w:pPr>
                      <w:pStyle w:val="41"/>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998F5">
    <w:pPr>
      <w:pStyle w:val="41"/>
      <w:rPr>
        <w:rFonts w:ascii="仿宋_GB2312" w:eastAsia="仿宋_GB2312"/>
        <w:szCs w:val="24"/>
      </w:rPr>
    </w:pPr>
    <w:r>
      <mc:AlternateContent>
        <mc:Choice Requires="wps">
          <w:drawing>
            <wp:anchor distT="0" distB="0" distL="114300" distR="114300" simplePos="0" relativeHeight="251665408" behindDoc="0" locked="0" layoutInCell="1" allowOverlap="1">
              <wp:simplePos x="0" y="0"/>
              <wp:positionH relativeFrom="margin">
                <wp:posOffset>2392680</wp:posOffset>
              </wp:positionH>
              <wp:positionV relativeFrom="paragraph">
                <wp:posOffset>0</wp:posOffset>
              </wp:positionV>
              <wp:extent cx="124587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245870" cy="1828800"/>
                      </a:xfrm>
                      <a:prstGeom prst="rect">
                        <a:avLst/>
                      </a:prstGeom>
                      <a:noFill/>
                      <a:ln w="6350">
                        <a:noFill/>
                      </a:ln>
                      <a:effectLst/>
                    </wps:spPr>
                    <wps:txbx>
                      <w:txbxContent>
                        <w:p w14:paraId="26769CFE">
                          <w:pPr>
                            <w:pStyle w:val="41"/>
                          </w:pPr>
                          <w:r>
                            <w:t xml:space="preserve">第 </w:t>
                          </w:r>
                          <w:r>
                            <w:fldChar w:fldCharType="begin"/>
                          </w:r>
                          <w:r>
                            <w:instrText xml:space="preserve"> PAGE  \* MERGEFORMAT </w:instrText>
                          </w:r>
                          <w:r>
                            <w:fldChar w:fldCharType="separate"/>
                          </w:r>
                          <w:r>
                            <w:t>75</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88.4pt;margin-top:0pt;height:144pt;width:98.1pt;mso-position-horizontal-relative:margin;z-index:251665408;mso-width-relative:page;mso-height-relative:page;" filled="f" stroked="f" coordsize="21600,21600" o:gfxdata="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68Z4l1wAAAAgBAAAPAAAAAAAAAAEAIAAAACIAAABkcnMvZG93&#10;bnJldi54bWxQSwECFAAUAAAACACHTuJAxGwmozoCAABlBAAADgAAAAAAAAABACAAAAAmAQAAZHJz&#10;L2Uyb0RvYy54bWxQSwUGAAAAAAYABgBZAQAA0gUAAAAA&#10;">
              <v:fill on="f" focussize="0,0"/>
              <v:stroke on="f" weight="0.5pt"/>
              <v:imagedata o:title=""/>
              <o:lock v:ext="edit" aspectratio="f"/>
              <v:textbox inset="0mm,0mm,0mm,0mm" style="mso-fit-shape-to-text:t;">
                <w:txbxContent>
                  <w:p w14:paraId="26769CFE">
                    <w:pPr>
                      <w:pStyle w:val="41"/>
                    </w:pPr>
                    <w:r>
                      <w:t xml:space="preserve">第 </w:t>
                    </w:r>
                    <w:r>
                      <w:fldChar w:fldCharType="begin"/>
                    </w:r>
                    <w:r>
                      <w:instrText xml:space="preserve"> PAGE  \* MERGEFORMAT </w:instrText>
                    </w:r>
                    <w:r>
                      <w:fldChar w:fldCharType="separate"/>
                    </w:r>
                    <w:r>
                      <w:t>75</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5A5A9">
    <w:pPr>
      <w:pStyle w:val="42"/>
      <w:pBdr>
        <w:bottom w:val="single" w:color="auto" w:sz="4" w:space="1"/>
      </w:pBdr>
    </w:pPr>
    <w:r>
      <w:rPr>
        <w:rFonts w:hint="eastAsia"/>
      </w:rPr>
      <w:t>AI余杭建设项目招标文件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58B41">
    <w:pPr>
      <w:pStyle w:val="42"/>
      <w:pBdr>
        <w:bottom w:val="single" w:color="auto" w:sz="4" w:space="1"/>
      </w:pBdr>
    </w:pPr>
    <w:r>
      <w:rPr>
        <w:lang w:val="zh-CN"/>
      </w:rPr>
      <w:t></w:t>
    </w:r>
    <w:r>
      <w:rPr>
        <w:rFonts w:hint="eastAsia"/>
        <w:lang w:val="zh-CN"/>
      </w:rPr>
      <w:t>AI余杭建设项目招标文件</w:t>
    </w:r>
  </w:p>
  <w:p w14:paraId="6465FBB8">
    <w:pPr>
      <w:pStyle w:val="42"/>
      <w:pBdr>
        <w:bottom w:val="none" w:color="auto" w:sz="0" w:space="0"/>
      </w:pBdr>
      <w:tabs>
        <w:tab w:val="center" w:pos="4535"/>
        <w:tab w:val="right" w:pos="9070"/>
        <w:tab w:val="clear" w:pos="4153"/>
        <w:tab w:val="clear" w:pos="8306"/>
      </w:tabs>
      <w:jc w:val="right"/>
    </w:pP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7FE03">
    <w:pPr>
      <w:pStyle w:val="42"/>
      <w:pBdr>
        <w:bottom w:val="single" w:color="auto" w:sz="4" w:space="1"/>
      </w:pBdr>
    </w:pPr>
    <w:r>
      <w:rPr>
        <w:rFonts w:hint="eastAsia"/>
      </w:rPr>
      <w:t>AI余杭建设项目招标文件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44CE4">
    <w:pPr>
      <w:pStyle w:val="42"/>
      <w:pBdr>
        <w:bottom w:val="single" w:color="auto" w:sz="4" w:space="1"/>
      </w:pBdr>
    </w:pPr>
    <w:r>
      <w:rPr>
        <w:rFonts w:hint="eastAsia"/>
      </w:rPr>
      <w:t>AI余杭建设项目招标文件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B6DC0">
    <w:pPr>
      <w:pStyle w:val="42"/>
      <w:rPr>
        <w:rFonts w:ascii="仿宋_GB2312" w:eastAsia="仿宋_GB2312"/>
        <w:b/>
        <w:i/>
        <w:u w:val="single"/>
      </w:rPr>
    </w:pPr>
    <w:r>
      <w:rPr>
        <w:lang w:val="zh-CN"/>
      </w:rPr>
      <w:t></w:t>
    </w:r>
    <w:r>
      <w:rPr>
        <w:rFonts w:hint="eastAsia"/>
        <w:lang w:val="zh-CN"/>
      </w:rPr>
      <w:t>AI余杭建设项目招标文件</w:t>
    </w:r>
  </w:p>
  <w:p w14:paraId="3297F540">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29323">
    <w:pPr>
      <w:pStyle w:val="42"/>
      <w:rPr>
        <w:rFonts w:ascii="宋体" w:hAnsi="宋体" w:cs="宋体"/>
        <w:bCs/>
        <w:iCs/>
      </w:rPr>
    </w:pPr>
    <w:r>
      <w:rPr>
        <w:rFonts w:hint="eastAsia" w:ascii="宋体" w:hAnsi="宋体" w:cs="宋体"/>
        <w:bCs/>
        <w:iCs/>
      </w:rPr>
      <w:t>AI余杭建设项目招标文件</w:t>
    </w:r>
  </w:p>
  <w:p w14:paraId="17A20A1A">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6C3678"/>
    <w:multiLevelType w:val="multilevel"/>
    <w:tmpl w:val="946C3678"/>
    <w:lvl w:ilvl="0" w:tentative="0">
      <w:start w:val="1"/>
      <w:numFmt w:val="decimal"/>
      <w:suff w:val="nothing"/>
      <w:lvlText w:val="%1."/>
      <w:lvlJc w:val="left"/>
      <w:pPr>
        <w:ind w:left="425" w:hanging="425"/>
      </w:pPr>
      <w:rPr>
        <w:rFonts w:hint="default"/>
      </w:rPr>
    </w:lvl>
    <w:lvl w:ilvl="1" w:tentative="0">
      <w:start w:val="1"/>
      <w:numFmt w:val="decimal"/>
      <w:suff w:val="nothing"/>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A022A396"/>
    <w:multiLevelType w:val="multilevel"/>
    <w:tmpl w:val="A022A396"/>
    <w:lvl w:ilvl="0" w:tentative="0">
      <w:start w:val="1"/>
      <w:numFmt w:val="decimal"/>
      <w:suff w:val="nothing"/>
      <w:lvlText w:val="%1."/>
      <w:lvlJc w:val="left"/>
      <w:pPr>
        <w:ind w:left="425" w:hanging="425"/>
      </w:pPr>
      <w:rPr>
        <w:rFonts w:hint="default"/>
      </w:rPr>
    </w:lvl>
    <w:lvl w:ilvl="1" w:tentative="0">
      <w:start w:val="1"/>
      <w:numFmt w:val="decimal"/>
      <w:suff w:val="nothing"/>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C36B4AFD"/>
    <w:multiLevelType w:val="singleLevel"/>
    <w:tmpl w:val="C36B4AFD"/>
    <w:lvl w:ilvl="0" w:tentative="0">
      <w:start w:val="1"/>
      <w:numFmt w:val="chineseCounting"/>
      <w:suff w:val="space"/>
      <w:lvlText w:val="%1、"/>
      <w:lvlJc w:val="left"/>
      <w:rPr>
        <w:rFonts w:hint="eastAsia"/>
      </w:rPr>
    </w:lvl>
  </w:abstractNum>
  <w:abstractNum w:abstractNumId="3">
    <w:nsid w:val="C941A460"/>
    <w:multiLevelType w:val="singleLevel"/>
    <w:tmpl w:val="C941A460"/>
    <w:lvl w:ilvl="0" w:tentative="0">
      <w:start w:val="1"/>
      <w:numFmt w:val="decimal"/>
      <w:suff w:val="nothing"/>
      <w:lvlText w:val="（%1）"/>
      <w:lvlJc w:val="left"/>
    </w:lvl>
  </w:abstractNum>
  <w:abstractNum w:abstractNumId="4">
    <w:nsid w:val="E9AEB471"/>
    <w:multiLevelType w:val="singleLevel"/>
    <w:tmpl w:val="E9AEB471"/>
    <w:lvl w:ilvl="0" w:tentative="0">
      <w:start w:val="1"/>
      <w:numFmt w:val="chineseCounting"/>
      <w:suff w:val="nothing"/>
      <w:lvlText w:val="%1、"/>
      <w:lvlJc w:val="left"/>
      <w:rPr>
        <w:rFonts w:hint="eastAsia"/>
      </w:rPr>
    </w:lvl>
  </w:abstractNum>
  <w:abstractNum w:abstractNumId="5">
    <w:nsid w:val="EA782CCF"/>
    <w:multiLevelType w:val="multilevel"/>
    <w:tmpl w:val="EA782CCF"/>
    <w:lvl w:ilvl="0" w:tentative="0">
      <w:start w:val="1"/>
      <w:numFmt w:val="decimal"/>
      <w:suff w:val="nothing"/>
      <w:lvlText w:val="%1."/>
      <w:lvlJc w:val="left"/>
      <w:pPr>
        <w:ind w:left="425" w:hanging="425"/>
      </w:pPr>
      <w:rPr>
        <w:rFonts w:hint="default"/>
      </w:rPr>
    </w:lvl>
    <w:lvl w:ilvl="1" w:tentative="0">
      <w:start w:val="1"/>
      <w:numFmt w:val="decimal"/>
      <w:suff w:val="nothing"/>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39FC3CF1"/>
    <w:multiLevelType w:val="multilevel"/>
    <w:tmpl w:val="39FC3CF1"/>
    <w:lvl w:ilvl="0" w:tentative="0">
      <w:start w:val="1"/>
      <w:numFmt w:val="decimal"/>
      <w:suff w:val="nothing"/>
      <w:lvlText w:val="%1."/>
      <w:lvlJc w:val="left"/>
      <w:pPr>
        <w:ind w:left="425" w:hanging="425"/>
      </w:pPr>
      <w:rPr>
        <w:rFonts w:hint="default"/>
      </w:rPr>
    </w:lvl>
    <w:lvl w:ilvl="1" w:tentative="0">
      <w:start w:val="1"/>
      <w:numFmt w:val="decimal"/>
      <w:suff w:val="nothing"/>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
    <w:nsid w:val="41EFBE14"/>
    <w:multiLevelType w:val="singleLevel"/>
    <w:tmpl w:val="41EFBE14"/>
    <w:lvl w:ilvl="0" w:tentative="0">
      <w:start w:val="7"/>
      <w:numFmt w:val="chineseCounting"/>
      <w:suff w:val="nothing"/>
      <w:lvlText w:val="%1、"/>
      <w:lvlJc w:val="left"/>
      <w:rPr>
        <w:rFonts w:hint="eastAsia"/>
      </w:rPr>
    </w:lvl>
  </w:abstractNum>
  <w:abstractNum w:abstractNumId="8">
    <w:nsid w:val="6A4C35AC"/>
    <w:multiLevelType w:val="multilevel"/>
    <w:tmpl w:val="6A4C35AC"/>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9">
    <w:nsid w:val="6C868F49"/>
    <w:multiLevelType w:val="singleLevel"/>
    <w:tmpl w:val="6C868F49"/>
    <w:lvl w:ilvl="0" w:tentative="0">
      <w:start w:val="3"/>
      <w:numFmt w:val="chineseCounting"/>
      <w:suff w:val="space"/>
      <w:lvlText w:val="第%1部分"/>
      <w:lvlJc w:val="left"/>
      <w:rPr>
        <w:rFonts w:hint="eastAsia"/>
      </w:rPr>
    </w:lvl>
  </w:abstractNum>
  <w:abstractNum w:abstractNumId="10">
    <w:nsid w:val="6F18716B"/>
    <w:multiLevelType w:val="singleLevel"/>
    <w:tmpl w:val="6F18716B"/>
    <w:lvl w:ilvl="0" w:tentative="0">
      <w:start w:val="1"/>
      <w:numFmt w:val="decimal"/>
      <w:suff w:val="nothing"/>
      <w:lvlText w:val="（%1）"/>
      <w:lvlJc w:val="left"/>
    </w:lvl>
  </w:abstractNum>
  <w:abstractNum w:abstractNumId="11">
    <w:nsid w:val="7AFA63CC"/>
    <w:multiLevelType w:val="multilevel"/>
    <w:tmpl w:val="7AFA63CC"/>
    <w:lvl w:ilvl="0" w:tentative="0">
      <w:start w:val="1"/>
      <w:numFmt w:val="decimal"/>
      <w:suff w:val="nothing"/>
      <w:lvlText w:val="%1."/>
      <w:lvlJc w:val="left"/>
      <w:pPr>
        <w:ind w:left="425" w:hanging="425"/>
      </w:pPr>
      <w:rPr>
        <w:rFonts w:hint="default"/>
      </w:rPr>
    </w:lvl>
    <w:lvl w:ilvl="1" w:tentative="0">
      <w:start w:val="1"/>
      <w:numFmt w:val="decimal"/>
      <w:suff w:val="nothing"/>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9"/>
  </w:num>
  <w:num w:numId="2">
    <w:abstractNumId w:val="8"/>
  </w:num>
  <w:num w:numId="3">
    <w:abstractNumId w:val="5"/>
  </w:num>
  <w:num w:numId="4">
    <w:abstractNumId w:val="6"/>
  </w:num>
  <w:num w:numId="5">
    <w:abstractNumId w:val="1"/>
  </w:num>
  <w:num w:numId="6">
    <w:abstractNumId w:val="0"/>
  </w:num>
  <w:num w:numId="7">
    <w:abstractNumId w:val="11"/>
  </w:num>
  <w:num w:numId="8">
    <w:abstractNumId w:val="10"/>
  </w:num>
  <w:num w:numId="9">
    <w:abstractNumId w:val="2"/>
  </w:num>
  <w:num w:numId="10">
    <w:abstractNumId w:val="4"/>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3ZGI4NDMyOWJjNTk5MjI3MGNmZDdkNDBmNTVkNjQifQ=="/>
    <w:docVar w:name="KSO_WPS_MARK_KEY" w:val="5d54322d-d206-4534-8ae0-bcc91e32c9ef"/>
  </w:docVars>
  <w:rsids>
    <w:rsidRoot w:val="00172A27"/>
    <w:rsid w:val="00000451"/>
    <w:rsid w:val="0000108B"/>
    <w:rsid w:val="0000133D"/>
    <w:rsid w:val="00001509"/>
    <w:rsid w:val="00001809"/>
    <w:rsid w:val="00002746"/>
    <w:rsid w:val="000032B2"/>
    <w:rsid w:val="0000363B"/>
    <w:rsid w:val="000058BD"/>
    <w:rsid w:val="00006109"/>
    <w:rsid w:val="00006150"/>
    <w:rsid w:val="000063E8"/>
    <w:rsid w:val="00006725"/>
    <w:rsid w:val="0000675E"/>
    <w:rsid w:val="000069F0"/>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2DD"/>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14F7"/>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34E"/>
    <w:rsid w:val="00054CD1"/>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5BEB"/>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44E6"/>
    <w:rsid w:val="00074BF0"/>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72E"/>
    <w:rsid w:val="00082AD4"/>
    <w:rsid w:val="00083E07"/>
    <w:rsid w:val="00084D27"/>
    <w:rsid w:val="00084ED6"/>
    <w:rsid w:val="00085180"/>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96D"/>
    <w:rsid w:val="000A1A52"/>
    <w:rsid w:val="000A1F98"/>
    <w:rsid w:val="000A3D58"/>
    <w:rsid w:val="000A3FE3"/>
    <w:rsid w:val="000A47B0"/>
    <w:rsid w:val="000A4851"/>
    <w:rsid w:val="000A48D3"/>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5F0"/>
    <w:rsid w:val="000C7BEB"/>
    <w:rsid w:val="000D0124"/>
    <w:rsid w:val="000D11E5"/>
    <w:rsid w:val="000D19E8"/>
    <w:rsid w:val="000D1FA1"/>
    <w:rsid w:val="000D2834"/>
    <w:rsid w:val="000D2B35"/>
    <w:rsid w:val="000D2CAC"/>
    <w:rsid w:val="000D34C8"/>
    <w:rsid w:val="000D34FD"/>
    <w:rsid w:val="000D3BE5"/>
    <w:rsid w:val="000D3C37"/>
    <w:rsid w:val="000D453A"/>
    <w:rsid w:val="000D4AFA"/>
    <w:rsid w:val="000D5075"/>
    <w:rsid w:val="000D5EA6"/>
    <w:rsid w:val="000D5F00"/>
    <w:rsid w:val="000D6C9F"/>
    <w:rsid w:val="000D6E3B"/>
    <w:rsid w:val="000D6F30"/>
    <w:rsid w:val="000D74E4"/>
    <w:rsid w:val="000D7C9D"/>
    <w:rsid w:val="000D7CE0"/>
    <w:rsid w:val="000E2785"/>
    <w:rsid w:val="000E27BB"/>
    <w:rsid w:val="000E3153"/>
    <w:rsid w:val="000E324C"/>
    <w:rsid w:val="000E3484"/>
    <w:rsid w:val="000E386F"/>
    <w:rsid w:val="000E4051"/>
    <w:rsid w:val="000E4139"/>
    <w:rsid w:val="000E4765"/>
    <w:rsid w:val="000E5B7E"/>
    <w:rsid w:val="000E5FF9"/>
    <w:rsid w:val="000E6478"/>
    <w:rsid w:val="000E6AE1"/>
    <w:rsid w:val="000E7142"/>
    <w:rsid w:val="000E7632"/>
    <w:rsid w:val="000E7737"/>
    <w:rsid w:val="000E7739"/>
    <w:rsid w:val="000E77EE"/>
    <w:rsid w:val="000F1604"/>
    <w:rsid w:val="000F287A"/>
    <w:rsid w:val="000F2940"/>
    <w:rsid w:val="000F2AB3"/>
    <w:rsid w:val="000F3BD2"/>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2B"/>
    <w:rsid w:val="001015F8"/>
    <w:rsid w:val="00101967"/>
    <w:rsid w:val="00101ADD"/>
    <w:rsid w:val="00103251"/>
    <w:rsid w:val="00103509"/>
    <w:rsid w:val="0010352F"/>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6A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DF7"/>
    <w:rsid w:val="00133E97"/>
    <w:rsid w:val="0013411F"/>
    <w:rsid w:val="001350F7"/>
    <w:rsid w:val="00135769"/>
    <w:rsid w:val="00135BE9"/>
    <w:rsid w:val="00135E5C"/>
    <w:rsid w:val="00136762"/>
    <w:rsid w:val="00136E33"/>
    <w:rsid w:val="0013773D"/>
    <w:rsid w:val="0013784A"/>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6C44"/>
    <w:rsid w:val="00147032"/>
    <w:rsid w:val="00147EA7"/>
    <w:rsid w:val="001516D6"/>
    <w:rsid w:val="00151820"/>
    <w:rsid w:val="00151B2F"/>
    <w:rsid w:val="001524DC"/>
    <w:rsid w:val="001525E5"/>
    <w:rsid w:val="00153859"/>
    <w:rsid w:val="00153915"/>
    <w:rsid w:val="001539F0"/>
    <w:rsid w:val="00154BBA"/>
    <w:rsid w:val="00155B95"/>
    <w:rsid w:val="001563E9"/>
    <w:rsid w:val="00156853"/>
    <w:rsid w:val="001573C2"/>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C75"/>
    <w:rsid w:val="001827B7"/>
    <w:rsid w:val="001827EF"/>
    <w:rsid w:val="00182982"/>
    <w:rsid w:val="001829BC"/>
    <w:rsid w:val="00182D68"/>
    <w:rsid w:val="00183031"/>
    <w:rsid w:val="00183468"/>
    <w:rsid w:val="0018397E"/>
    <w:rsid w:val="00184466"/>
    <w:rsid w:val="001847FC"/>
    <w:rsid w:val="00184AE3"/>
    <w:rsid w:val="00184DBF"/>
    <w:rsid w:val="001852A8"/>
    <w:rsid w:val="0018620A"/>
    <w:rsid w:val="00186EB0"/>
    <w:rsid w:val="00187121"/>
    <w:rsid w:val="00187243"/>
    <w:rsid w:val="00187C29"/>
    <w:rsid w:val="00190131"/>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A56"/>
    <w:rsid w:val="00194BB1"/>
    <w:rsid w:val="00194BC6"/>
    <w:rsid w:val="00195070"/>
    <w:rsid w:val="00195245"/>
    <w:rsid w:val="0019526D"/>
    <w:rsid w:val="0019553F"/>
    <w:rsid w:val="001956BE"/>
    <w:rsid w:val="00195A51"/>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1D7C"/>
    <w:rsid w:val="001B219B"/>
    <w:rsid w:val="001B2703"/>
    <w:rsid w:val="001B3DCD"/>
    <w:rsid w:val="001B45B9"/>
    <w:rsid w:val="001B46B2"/>
    <w:rsid w:val="001B4725"/>
    <w:rsid w:val="001B48B2"/>
    <w:rsid w:val="001B49DA"/>
    <w:rsid w:val="001B4CA8"/>
    <w:rsid w:val="001B5275"/>
    <w:rsid w:val="001B572D"/>
    <w:rsid w:val="001B576E"/>
    <w:rsid w:val="001B5B10"/>
    <w:rsid w:val="001B6025"/>
    <w:rsid w:val="001B614C"/>
    <w:rsid w:val="001B6D58"/>
    <w:rsid w:val="001B6FA7"/>
    <w:rsid w:val="001B7A15"/>
    <w:rsid w:val="001B7B69"/>
    <w:rsid w:val="001B7DC1"/>
    <w:rsid w:val="001C08DB"/>
    <w:rsid w:val="001C10BD"/>
    <w:rsid w:val="001C1F01"/>
    <w:rsid w:val="001C2092"/>
    <w:rsid w:val="001C232F"/>
    <w:rsid w:val="001C2544"/>
    <w:rsid w:val="001C2A17"/>
    <w:rsid w:val="001C31F5"/>
    <w:rsid w:val="001C4132"/>
    <w:rsid w:val="001C6047"/>
    <w:rsid w:val="001C6698"/>
    <w:rsid w:val="001C67BA"/>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71D5"/>
    <w:rsid w:val="001E17E3"/>
    <w:rsid w:val="001E2052"/>
    <w:rsid w:val="001E2492"/>
    <w:rsid w:val="001E257C"/>
    <w:rsid w:val="001E286C"/>
    <w:rsid w:val="001E2F34"/>
    <w:rsid w:val="001E35EE"/>
    <w:rsid w:val="001E4967"/>
    <w:rsid w:val="001E4B2C"/>
    <w:rsid w:val="001E507F"/>
    <w:rsid w:val="001E56C2"/>
    <w:rsid w:val="001E59FB"/>
    <w:rsid w:val="001E7F81"/>
    <w:rsid w:val="001F0C0F"/>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6EB"/>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C38"/>
    <w:rsid w:val="00216E7B"/>
    <w:rsid w:val="00217E1F"/>
    <w:rsid w:val="002204BC"/>
    <w:rsid w:val="00220F7B"/>
    <w:rsid w:val="002213CE"/>
    <w:rsid w:val="00221AF7"/>
    <w:rsid w:val="00221D79"/>
    <w:rsid w:val="00222494"/>
    <w:rsid w:val="00222775"/>
    <w:rsid w:val="00222A31"/>
    <w:rsid w:val="00222CF6"/>
    <w:rsid w:val="00224037"/>
    <w:rsid w:val="002244E4"/>
    <w:rsid w:val="00224D2A"/>
    <w:rsid w:val="00224D8D"/>
    <w:rsid w:val="00224F7A"/>
    <w:rsid w:val="0022555A"/>
    <w:rsid w:val="00227214"/>
    <w:rsid w:val="00227BED"/>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458F"/>
    <w:rsid w:val="00245565"/>
    <w:rsid w:val="002458C1"/>
    <w:rsid w:val="00245E62"/>
    <w:rsid w:val="002460D0"/>
    <w:rsid w:val="00246357"/>
    <w:rsid w:val="00247422"/>
    <w:rsid w:val="00247BA2"/>
    <w:rsid w:val="00250091"/>
    <w:rsid w:val="00250870"/>
    <w:rsid w:val="0025151C"/>
    <w:rsid w:val="0025184F"/>
    <w:rsid w:val="00251967"/>
    <w:rsid w:val="002527CC"/>
    <w:rsid w:val="00252F48"/>
    <w:rsid w:val="002530C0"/>
    <w:rsid w:val="00253586"/>
    <w:rsid w:val="002537FC"/>
    <w:rsid w:val="00253E3A"/>
    <w:rsid w:val="002542F8"/>
    <w:rsid w:val="002543EF"/>
    <w:rsid w:val="00254F2A"/>
    <w:rsid w:val="00255784"/>
    <w:rsid w:val="00255A29"/>
    <w:rsid w:val="0025631F"/>
    <w:rsid w:val="00256986"/>
    <w:rsid w:val="00256D61"/>
    <w:rsid w:val="00256E23"/>
    <w:rsid w:val="00257246"/>
    <w:rsid w:val="00257438"/>
    <w:rsid w:val="0026119C"/>
    <w:rsid w:val="00261AFE"/>
    <w:rsid w:val="00261CE4"/>
    <w:rsid w:val="0026212A"/>
    <w:rsid w:val="002621D7"/>
    <w:rsid w:val="00262996"/>
    <w:rsid w:val="00263044"/>
    <w:rsid w:val="00263759"/>
    <w:rsid w:val="002638BD"/>
    <w:rsid w:val="0026470B"/>
    <w:rsid w:val="0026486D"/>
    <w:rsid w:val="00264C4B"/>
    <w:rsid w:val="00264ED0"/>
    <w:rsid w:val="00265346"/>
    <w:rsid w:val="00266045"/>
    <w:rsid w:val="002660C3"/>
    <w:rsid w:val="00266248"/>
    <w:rsid w:val="002663F3"/>
    <w:rsid w:val="00266A71"/>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4AB3"/>
    <w:rsid w:val="002751CA"/>
    <w:rsid w:val="0027544D"/>
    <w:rsid w:val="00277196"/>
    <w:rsid w:val="002775ED"/>
    <w:rsid w:val="002778AB"/>
    <w:rsid w:val="002802A5"/>
    <w:rsid w:val="00280CFB"/>
    <w:rsid w:val="00280D24"/>
    <w:rsid w:val="002815C4"/>
    <w:rsid w:val="00281BCB"/>
    <w:rsid w:val="00281C76"/>
    <w:rsid w:val="0028316D"/>
    <w:rsid w:val="00283296"/>
    <w:rsid w:val="00283B79"/>
    <w:rsid w:val="0028583E"/>
    <w:rsid w:val="00285853"/>
    <w:rsid w:val="00285B1A"/>
    <w:rsid w:val="00285FF3"/>
    <w:rsid w:val="002866EC"/>
    <w:rsid w:val="0028744E"/>
    <w:rsid w:val="002876D2"/>
    <w:rsid w:val="00287936"/>
    <w:rsid w:val="00287BB7"/>
    <w:rsid w:val="002902E8"/>
    <w:rsid w:val="002903B9"/>
    <w:rsid w:val="002903C5"/>
    <w:rsid w:val="0029041B"/>
    <w:rsid w:val="00290A99"/>
    <w:rsid w:val="00290C93"/>
    <w:rsid w:val="00290EAF"/>
    <w:rsid w:val="0029159A"/>
    <w:rsid w:val="00291CF1"/>
    <w:rsid w:val="002929B9"/>
    <w:rsid w:val="00292AA1"/>
    <w:rsid w:val="002931AB"/>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2BC"/>
    <w:rsid w:val="002A4060"/>
    <w:rsid w:val="002A4868"/>
    <w:rsid w:val="002A4A05"/>
    <w:rsid w:val="002A4E4A"/>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446"/>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797"/>
    <w:rsid w:val="002D7DB2"/>
    <w:rsid w:val="002D7DBD"/>
    <w:rsid w:val="002D7EA8"/>
    <w:rsid w:val="002E00E1"/>
    <w:rsid w:val="002E0102"/>
    <w:rsid w:val="002E03AE"/>
    <w:rsid w:val="002E04B1"/>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926"/>
    <w:rsid w:val="002F2D81"/>
    <w:rsid w:val="002F2F66"/>
    <w:rsid w:val="002F39D4"/>
    <w:rsid w:val="002F4BA9"/>
    <w:rsid w:val="002F541B"/>
    <w:rsid w:val="002F5BFE"/>
    <w:rsid w:val="002F5DA5"/>
    <w:rsid w:val="002F5E17"/>
    <w:rsid w:val="002F647C"/>
    <w:rsid w:val="002F6C6B"/>
    <w:rsid w:val="002F6CB0"/>
    <w:rsid w:val="002F6EFF"/>
    <w:rsid w:val="002F78A1"/>
    <w:rsid w:val="002F7DF0"/>
    <w:rsid w:val="002F7FAF"/>
    <w:rsid w:val="00300573"/>
    <w:rsid w:val="003025FE"/>
    <w:rsid w:val="00302A27"/>
    <w:rsid w:val="00303AB6"/>
    <w:rsid w:val="00304640"/>
    <w:rsid w:val="00304AC1"/>
    <w:rsid w:val="00305090"/>
    <w:rsid w:val="00305454"/>
    <w:rsid w:val="00305B9F"/>
    <w:rsid w:val="00305E21"/>
    <w:rsid w:val="0030653C"/>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39E1"/>
    <w:rsid w:val="00324038"/>
    <w:rsid w:val="00324056"/>
    <w:rsid w:val="00324951"/>
    <w:rsid w:val="003249F6"/>
    <w:rsid w:val="00324B2F"/>
    <w:rsid w:val="00325FCC"/>
    <w:rsid w:val="00326106"/>
    <w:rsid w:val="00326805"/>
    <w:rsid w:val="003269B7"/>
    <w:rsid w:val="00326C0E"/>
    <w:rsid w:val="003270B3"/>
    <w:rsid w:val="003272A3"/>
    <w:rsid w:val="003272E4"/>
    <w:rsid w:val="00327B71"/>
    <w:rsid w:val="00330CDC"/>
    <w:rsid w:val="00331461"/>
    <w:rsid w:val="003315CC"/>
    <w:rsid w:val="00331694"/>
    <w:rsid w:val="003316A8"/>
    <w:rsid w:val="00331C80"/>
    <w:rsid w:val="00331CC9"/>
    <w:rsid w:val="003320D7"/>
    <w:rsid w:val="00332265"/>
    <w:rsid w:val="00332862"/>
    <w:rsid w:val="00332D52"/>
    <w:rsid w:val="00333337"/>
    <w:rsid w:val="00333803"/>
    <w:rsid w:val="00333A28"/>
    <w:rsid w:val="00333B6C"/>
    <w:rsid w:val="00334927"/>
    <w:rsid w:val="003355FF"/>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412"/>
    <w:rsid w:val="00344BBF"/>
    <w:rsid w:val="0034509B"/>
    <w:rsid w:val="00345644"/>
    <w:rsid w:val="00345D0E"/>
    <w:rsid w:val="00345D7A"/>
    <w:rsid w:val="0034607E"/>
    <w:rsid w:val="00346A96"/>
    <w:rsid w:val="00346B6D"/>
    <w:rsid w:val="00346BA3"/>
    <w:rsid w:val="00346C69"/>
    <w:rsid w:val="00346E39"/>
    <w:rsid w:val="00347356"/>
    <w:rsid w:val="0035005C"/>
    <w:rsid w:val="00350349"/>
    <w:rsid w:val="00350896"/>
    <w:rsid w:val="00350C31"/>
    <w:rsid w:val="00350C9F"/>
    <w:rsid w:val="00351391"/>
    <w:rsid w:val="003519CD"/>
    <w:rsid w:val="00351A3A"/>
    <w:rsid w:val="0035455F"/>
    <w:rsid w:val="00355D75"/>
    <w:rsid w:val="00355D8F"/>
    <w:rsid w:val="00355E30"/>
    <w:rsid w:val="00356A73"/>
    <w:rsid w:val="00356FF0"/>
    <w:rsid w:val="003577EF"/>
    <w:rsid w:val="00357A60"/>
    <w:rsid w:val="00360304"/>
    <w:rsid w:val="00360A78"/>
    <w:rsid w:val="00361750"/>
    <w:rsid w:val="003634A6"/>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6ACC"/>
    <w:rsid w:val="00377B26"/>
    <w:rsid w:val="00381014"/>
    <w:rsid w:val="00381604"/>
    <w:rsid w:val="00381C5B"/>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18F"/>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6F35"/>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4"/>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A16"/>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2F6"/>
    <w:rsid w:val="003F1AA2"/>
    <w:rsid w:val="003F1B1D"/>
    <w:rsid w:val="003F26DC"/>
    <w:rsid w:val="003F42FF"/>
    <w:rsid w:val="003F4B48"/>
    <w:rsid w:val="003F4DDC"/>
    <w:rsid w:val="003F4E6C"/>
    <w:rsid w:val="003F56B8"/>
    <w:rsid w:val="003F5F1A"/>
    <w:rsid w:val="003F6327"/>
    <w:rsid w:val="003F7425"/>
    <w:rsid w:val="003F765B"/>
    <w:rsid w:val="003F7CB8"/>
    <w:rsid w:val="00400CB4"/>
    <w:rsid w:val="00401386"/>
    <w:rsid w:val="004013E6"/>
    <w:rsid w:val="00401E31"/>
    <w:rsid w:val="00402BBA"/>
    <w:rsid w:val="004035D0"/>
    <w:rsid w:val="0040361D"/>
    <w:rsid w:val="004036DC"/>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30"/>
    <w:rsid w:val="004120DF"/>
    <w:rsid w:val="004126B5"/>
    <w:rsid w:val="00414909"/>
    <w:rsid w:val="00415034"/>
    <w:rsid w:val="00415B1A"/>
    <w:rsid w:val="00415DFD"/>
    <w:rsid w:val="00416175"/>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0CA0"/>
    <w:rsid w:val="00431A2A"/>
    <w:rsid w:val="00432BC1"/>
    <w:rsid w:val="00432ECA"/>
    <w:rsid w:val="00433495"/>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53"/>
    <w:rsid w:val="004543AB"/>
    <w:rsid w:val="004545EC"/>
    <w:rsid w:val="00455967"/>
    <w:rsid w:val="00455F71"/>
    <w:rsid w:val="00456272"/>
    <w:rsid w:val="004567A1"/>
    <w:rsid w:val="004570EF"/>
    <w:rsid w:val="00457517"/>
    <w:rsid w:val="00457CF7"/>
    <w:rsid w:val="00457D37"/>
    <w:rsid w:val="0046028A"/>
    <w:rsid w:val="00460E3A"/>
    <w:rsid w:val="00460E68"/>
    <w:rsid w:val="00461021"/>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1E"/>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0603"/>
    <w:rsid w:val="004A1049"/>
    <w:rsid w:val="004A1AFA"/>
    <w:rsid w:val="004A1EA7"/>
    <w:rsid w:val="004A26F5"/>
    <w:rsid w:val="004A2EF8"/>
    <w:rsid w:val="004A3A21"/>
    <w:rsid w:val="004A407A"/>
    <w:rsid w:val="004A4E3B"/>
    <w:rsid w:val="004A50FC"/>
    <w:rsid w:val="004A6110"/>
    <w:rsid w:val="004A61B8"/>
    <w:rsid w:val="004A6415"/>
    <w:rsid w:val="004A64F9"/>
    <w:rsid w:val="004A65F4"/>
    <w:rsid w:val="004A6D2C"/>
    <w:rsid w:val="004B026C"/>
    <w:rsid w:val="004B0271"/>
    <w:rsid w:val="004B0BE8"/>
    <w:rsid w:val="004B0E4A"/>
    <w:rsid w:val="004B18F4"/>
    <w:rsid w:val="004B1A98"/>
    <w:rsid w:val="004B2041"/>
    <w:rsid w:val="004B2463"/>
    <w:rsid w:val="004B2E9D"/>
    <w:rsid w:val="004B305F"/>
    <w:rsid w:val="004B34C4"/>
    <w:rsid w:val="004B34E8"/>
    <w:rsid w:val="004B3981"/>
    <w:rsid w:val="004B3A03"/>
    <w:rsid w:val="004B419F"/>
    <w:rsid w:val="004B4EA9"/>
    <w:rsid w:val="004B59C1"/>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D3E"/>
    <w:rsid w:val="004C45C8"/>
    <w:rsid w:val="004C4F8F"/>
    <w:rsid w:val="004C5F4B"/>
    <w:rsid w:val="004C612E"/>
    <w:rsid w:val="004C61B8"/>
    <w:rsid w:val="004C69FE"/>
    <w:rsid w:val="004C6C0A"/>
    <w:rsid w:val="004C6C6D"/>
    <w:rsid w:val="004C73C2"/>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250"/>
    <w:rsid w:val="004F07F2"/>
    <w:rsid w:val="004F07F9"/>
    <w:rsid w:val="004F0A50"/>
    <w:rsid w:val="004F0D1F"/>
    <w:rsid w:val="004F0E82"/>
    <w:rsid w:val="004F1523"/>
    <w:rsid w:val="004F1847"/>
    <w:rsid w:val="004F1CE1"/>
    <w:rsid w:val="004F1F9E"/>
    <w:rsid w:val="004F2CB6"/>
    <w:rsid w:val="004F2E6E"/>
    <w:rsid w:val="004F3015"/>
    <w:rsid w:val="004F306B"/>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4F7B7E"/>
    <w:rsid w:val="0050079C"/>
    <w:rsid w:val="0050106A"/>
    <w:rsid w:val="005010BC"/>
    <w:rsid w:val="00501848"/>
    <w:rsid w:val="00502B31"/>
    <w:rsid w:val="0050434C"/>
    <w:rsid w:val="0050537D"/>
    <w:rsid w:val="0050591C"/>
    <w:rsid w:val="005059BD"/>
    <w:rsid w:val="00505FAA"/>
    <w:rsid w:val="005060AE"/>
    <w:rsid w:val="0050790B"/>
    <w:rsid w:val="00507FDF"/>
    <w:rsid w:val="0051037C"/>
    <w:rsid w:val="0051050F"/>
    <w:rsid w:val="0051058B"/>
    <w:rsid w:val="00510A60"/>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4A2"/>
    <w:rsid w:val="00521908"/>
    <w:rsid w:val="005224BC"/>
    <w:rsid w:val="00522928"/>
    <w:rsid w:val="00522FF1"/>
    <w:rsid w:val="00523946"/>
    <w:rsid w:val="0052397A"/>
    <w:rsid w:val="0052523F"/>
    <w:rsid w:val="005256D6"/>
    <w:rsid w:val="00525AD8"/>
    <w:rsid w:val="00526429"/>
    <w:rsid w:val="005266C1"/>
    <w:rsid w:val="005267F4"/>
    <w:rsid w:val="005269D3"/>
    <w:rsid w:val="00527317"/>
    <w:rsid w:val="00527ED6"/>
    <w:rsid w:val="0053024F"/>
    <w:rsid w:val="00530FE2"/>
    <w:rsid w:val="00531064"/>
    <w:rsid w:val="005311E5"/>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4FFC"/>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89F"/>
    <w:rsid w:val="00553F91"/>
    <w:rsid w:val="00554007"/>
    <w:rsid w:val="0055453D"/>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9C7"/>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67A8C"/>
    <w:rsid w:val="005701C2"/>
    <w:rsid w:val="00570763"/>
    <w:rsid w:val="0057200B"/>
    <w:rsid w:val="00572297"/>
    <w:rsid w:val="0057345D"/>
    <w:rsid w:val="0057347D"/>
    <w:rsid w:val="00573560"/>
    <w:rsid w:val="0057469F"/>
    <w:rsid w:val="00574E7B"/>
    <w:rsid w:val="00574F36"/>
    <w:rsid w:val="00576B5C"/>
    <w:rsid w:val="005770CC"/>
    <w:rsid w:val="005802F9"/>
    <w:rsid w:val="005806D5"/>
    <w:rsid w:val="00580DFC"/>
    <w:rsid w:val="005812CB"/>
    <w:rsid w:val="0058134C"/>
    <w:rsid w:val="005815CD"/>
    <w:rsid w:val="005827A7"/>
    <w:rsid w:val="0058332C"/>
    <w:rsid w:val="00583D43"/>
    <w:rsid w:val="005846C3"/>
    <w:rsid w:val="00584F04"/>
    <w:rsid w:val="0058544C"/>
    <w:rsid w:val="00585623"/>
    <w:rsid w:val="005857F7"/>
    <w:rsid w:val="005865E9"/>
    <w:rsid w:val="005868FD"/>
    <w:rsid w:val="00587D7B"/>
    <w:rsid w:val="00587F1C"/>
    <w:rsid w:val="005904DB"/>
    <w:rsid w:val="005905ED"/>
    <w:rsid w:val="00590D11"/>
    <w:rsid w:val="00591BA6"/>
    <w:rsid w:val="00592825"/>
    <w:rsid w:val="00594437"/>
    <w:rsid w:val="00594B70"/>
    <w:rsid w:val="005958D1"/>
    <w:rsid w:val="00596CFA"/>
    <w:rsid w:val="00596EC6"/>
    <w:rsid w:val="005975CE"/>
    <w:rsid w:val="005A0088"/>
    <w:rsid w:val="005A04F6"/>
    <w:rsid w:val="005A0C93"/>
    <w:rsid w:val="005A14F0"/>
    <w:rsid w:val="005A1861"/>
    <w:rsid w:val="005A1A31"/>
    <w:rsid w:val="005A361D"/>
    <w:rsid w:val="005A36C2"/>
    <w:rsid w:val="005A3719"/>
    <w:rsid w:val="005A37C0"/>
    <w:rsid w:val="005A3DD7"/>
    <w:rsid w:val="005A40FA"/>
    <w:rsid w:val="005A4C20"/>
    <w:rsid w:val="005A4F48"/>
    <w:rsid w:val="005A54F1"/>
    <w:rsid w:val="005A57B8"/>
    <w:rsid w:val="005A5DDE"/>
    <w:rsid w:val="005A64A8"/>
    <w:rsid w:val="005A65C5"/>
    <w:rsid w:val="005A6875"/>
    <w:rsid w:val="005A7016"/>
    <w:rsid w:val="005A7A32"/>
    <w:rsid w:val="005A7BB9"/>
    <w:rsid w:val="005A7F85"/>
    <w:rsid w:val="005B00DD"/>
    <w:rsid w:val="005B03B1"/>
    <w:rsid w:val="005B04F9"/>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C6A"/>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2DD"/>
    <w:rsid w:val="005D5399"/>
    <w:rsid w:val="005D5B82"/>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6DA2"/>
    <w:rsid w:val="005E721E"/>
    <w:rsid w:val="005F0857"/>
    <w:rsid w:val="005F1470"/>
    <w:rsid w:val="005F15A9"/>
    <w:rsid w:val="005F2807"/>
    <w:rsid w:val="005F2CD5"/>
    <w:rsid w:val="005F3382"/>
    <w:rsid w:val="005F3720"/>
    <w:rsid w:val="005F4123"/>
    <w:rsid w:val="005F5506"/>
    <w:rsid w:val="005F5A0D"/>
    <w:rsid w:val="005F60DF"/>
    <w:rsid w:val="005F615B"/>
    <w:rsid w:val="005F61DF"/>
    <w:rsid w:val="005F680A"/>
    <w:rsid w:val="005F6880"/>
    <w:rsid w:val="005F6B3E"/>
    <w:rsid w:val="005F6ED2"/>
    <w:rsid w:val="005F745B"/>
    <w:rsid w:val="005F77F8"/>
    <w:rsid w:val="005F7CA8"/>
    <w:rsid w:val="005F7D0F"/>
    <w:rsid w:val="00600DE1"/>
    <w:rsid w:val="00601506"/>
    <w:rsid w:val="00601596"/>
    <w:rsid w:val="00601C92"/>
    <w:rsid w:val="00601F66"/>
    <w:rsid w:val="0060253B"/>
    <w:rsid w:val="00602764"/>
    <w:rsid w:val="00602B29"/>
    <w:rsid w:val="00602DAD"/>
    <w:rsid w:val="00603373"/>
    <w:rsid w:val="006036D0"/>
    <w:rsid w:val="00603B1C"/>
    <w:rsid w:val="006042CD"/>
    <w:rsid w:val="00605010"/>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36D"/>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009"/>
    <w:rsid w:val="00623571"/>
    <w:rsid w:val="00623A5E"/>
    <w:rsid w:val="00625008"/>
    <w:rsid w:val="0062548B"/>
    <w:rsid w:val="00625D27"/>
    <w:rsid w:val="00626710"/>
    <w:rsid w:val="00626930"/>
    <w:rsid w:val="00626AD3"/>
    <w:rsid w:val="00626BAC"/>
    <w:rsid w:val="006271C3"/>
    <w:rsid w:val="00627B14"/>
    <w:rsid w:val="0063001E"/>
    <w:rsid w:val="00630023"/>
    <w:rsid w:val="006300A6"/>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953"/>
    <w:rsid w:val="00636CC7"/>
    <w:rsid w:val="00637CE9"/>
    <w:rsid w:val="00637F27"/>
    <w:rsid w:val="006405EC"/>
    <w:rsid w:val="00640A4D"/>
    <w:rsid w:val="006418F2"/>
    <w:rsid w:val="00641A84"/>
    <w:rsid w:val="00641B05"/>
    <w:rsid w:val="00641C48"/>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C2B"/>
    <w:rsid w:val="00662D3D"/>
    <w:rsid w:val="00662F1F"/>
    <w:rsid w:val="00663D15"/>
    <w:rsid w:val="00665030"/>
    <w:rsid w:val="00665670"/>
    <w:rsid w:val="006659EA"/>
    <w:rsid w:val="006661E8"/>
    <w:rsid w:val="00666424"/>
    <w:rsid w:val="0066676C"/>
    <w:rsid w:val="006673B9"/>
    <w:rsid w:val="0066790C"/>
    <w:rsid w:val="00667FF0"/>
    <w:rsid w:val="0067026E"/>
    <w:rsid w:val="00670C7C"/>
    <w:rsid w:val="00671480"/>
    <w:rsid w:val="006717E7"/>
    <w:rsid w:val="00671947"/>
    <w:rsid w:val="00671FD5"/>
    <w:rsid w:val="006720BC"/>
    <w:rsid w:val="00672906"/>
    <w:rsid w:val="00672C73"/>
    <w:rsid w:val="00673B64"/>
    <w:rsid w:val="00673BA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991"/>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62E"/>
    <w:rsid w:val="00696C79"/>
    <w:rsid w:val="00697068"/>
    <w:rsid w:val="006977DE"/>
    <w:rsid w:val="00697D5F"/>
    <w:rsid w:val="006A0107"/>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309"/>
    <w:rsid w:val="006B1486"/>
    <w:rsid w:val="006B169F"/>
    <w:rsid w:val="006B1BEB"/>
    <w:rsid w:val="006B1D06"/>
    <w:rsid w:val="006B2823"/>
    <w:rsid w:val="006B2968"/>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27C"/>
    <w:rsid w:val="006E37C6"/>
    <w:rsid w:val="006E3CF3"/>
    <w:rsid w:val="006E41ED"/>
    <w:rsid w:val="006E4667"/>
    <w:rsid w:val="006E46B7"/>
    <w:rsid w:val="006E475A"/>
    <w:rsid w:val="006E486D"/>
    <w:rsid w:val="006E4880"/>
    <w:rsid w:val="006E48BB"/>
    <w:rsid w:val="006E623A"/>
    <w:rsid w:val="006E727B"/>
    <w:rsid w:val="006E76C8"/>
    <w:rsid w:val="006E7A92"/>
    <w:rsid w:val="006F01FF"/>
    <w:rsid w:val="006F0CB2"/>
    <w:rsid w:val="006F1DE9"/>
    <w:rsid w:val="006F2046"/>
    <w:rsid w:val="006F2F59"/>
    <w:rsid w:val="006F311E"/>
    <w:rsid w:val="006F32AE"/>
    <w:rsid w:val="006F3442"/>
    <w:rsid w:val="006F36A5"/>
    <w:rsid w:val="006F41F4"/>
    <w:rsid w:val="006F4576"/>
    <w:rsid w:val="006F5813"/>
    <w:rsid w:val="006F59A8"/>
    <w:rsid w:val="006F5A1D"/>
    <w:rsid w:val="006F5F41"/>
    <w:rsid w:val="006F62F2"/>
    <w:rsid w:val="006F6A0F"/>
    <w:rsid w:val="006F71A6"/>
    <w:rsid w:val="006F7974"/>
    <w:rsid w:val="006F7C2C"/>
    <w:rsid w:val="006F7FD5"/>
    <w:rsid w:val="00700405"/>
    <w:rsid w:val="00700D18"/>
    <w:rsid w:val="00700EF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429"/>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D01"/>
    <w:rsid w:val="00721FC3"/>
    <w:rsid w:val="00722512"/>
    <w:rsid w:val="00722A86"/>
    <w:rsid w:val="00722BC6"/>
    <w:rsid w:val="00722C69"/>
    <w:rsid w:val="0072311F"/>
    <w:rsid w:val="0072388C"/>
    <w:rsid w:val="00723C63"/>
    <w:rsid w:val="00723FA2"/>
    <w:rsid w:val="0072454E"/>
    <w:rsid w:val="007249D1"/>
    <w:rsid w:val="00724FE4"/>
    <w:rsid w:val="00725829"/>
    <w:rsid w:val="00725D6A"/>
    <w:rsid w:val="007263A2"/>
    <w:rsid w:val="007266B9"/>
    <w:rsid w:val="00727351"/>
    <w:rsid w:val="00727AC5"/>
    <w:rsid w:val="00727C65"/>
    <w:rsid w:val="007300F0"/>
    <w:rsid w:val="00730904"/>
    <w:rsid w:val="00730EE4"/>
    <w:rsid w:val="0073144D"/>
    <w:rsid w:val="00731EDE"/>
    <w:rsid w:val="0073245C"/>
    <w:rsid w:val="00732493"/>
    <w:rsid w:val="00732FE9"/>
    <w:rsid w:val="00733772"/>
    <w:rsid w:val="00733A43"/>
    <w:rsid w:val="00733AE4"/>
    <w:rsid w:val="00733D5F"/>
    <w:rsid w:val="00733FB4"/>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7B5"/>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5CC5"/>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4F3F"/>
    <w:rsid w:val="007660EC"/>
    <w:rsid w:val="007662C7"/>
    <w:rsid w:val="00766862"/>
    <w:rsid w:val="007675DD"/>
    <w:rsid w:val="00767608"/>
    <w:rsid w:val="007702BF"/>
    <w:rsid w:val="007705F0"/>
    <w:rsid w:val="00771CAC"/>
    <w:rsid w:val="00771FC4"/>
    <w:rsid w:val="00772036"/>
    <w:rsid w:val="00773098"/>
    <w:rsid w:val="007739A3"/>
    <w:rsid w:val="00773BD9"/>
    <w:rsid w:val="00773CB0"/>
    <w:rsid w:val="00773D71"/>
    <w:rsid w:val="00775526"/>
    <w:rsid w:val="00775651"/>
    <w:rsid w:val="00775F3F"/>
    <w:rsid w:val="00776E50"/>
    <w:rsid w:val="0077710B"/>
    <w:rsid w:val="0077765A"/>
    <w:rsid w:val="00777B1C"/>
    <w:rsid w:val="00780032"/>
    <w:rsid w:val="00780636"/>
    <w:rsid w:val="00780E86"/>
    <w:rsid w:val="0078108C"/>
    <w:rsid w:val="00781727"/>
    <w:rsid w:val="0078213A"/>
    <w:rsid w:val="007823E8"/>
    <w:rsid w:val="00782CF3"/>
    <w:rsid w:val="00783959"/>
    <w:rsid w:val="007839FF"/>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6CCA"/>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BC"/>
    <w:rsid w:val="007B54C7"/>
    <w:rsid w:val="007B5637"/>
    <w:rsid w:val="007B5DC5"/>
    <w:rsid w:val="007B5F32"/>
    <w:rsid w:val="007B63FC"/>
    <w:rsid w:val="007B6708"/>
    <w:rsid w:val="007B6C20"/>
    <w:rsid w:val="007B6E8D"/>
    <w:rsid w:val="007B7D13"/>
    <w:rsid w:val="007C029E"/>
    <w:rsid w:val="007C0636"/>
    <w:rsid w:val="007C0C40"/>
    <w:rsid w:val="007C10E4"/>
    <w:rsid w:val="007C17B4"/>
    <w:rsid w:val="007C20F8"/>
    <w:rsid w:val="007C21C5"/>
    <w:rsid w:val="007C2229"/>
    <w:rsid w:val="007C2313"/>
    <w:rsid w:val="007C29A3"/>
    <w:rsid w:val="007C3172"/>
    <w:rsid w:val="007C3590"/>
    <w:rsid w:val="007C387A"/>
    <w:rsid w:val="007C3A0D"/>
    <w:rsid w:val="007C3EB0"/>
    <w:rsid w:val="007C43D6"/>
    <w:rsid w:val="007C47FF"/>
    <w:rsid w:val="007C510A"/>
    <w:rsid w:val="007C5366"/>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2F7"/>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6E0"/>
    <w:rsid w:val="007F78E8"/>
    <w:rsid w:val="007F7F8F"/>
    <w:rsid w:val="00800509"/>
    <w:rsid w:val="0080078E"/>
    <w:rsid w:val="00800B7F"/>
    <w:rsid w:val="008012B1"/>
    <w:rsid w:val="00801D63"/>
    <w:rsid w:val="0080348B"/>
    <w:rsid w:val="00803D82"/>
    <w:rsid w:val="00803D98"/>
    <w:rsid w:val="008052CE"/>
    <w:rsid w:val="008058D0"/>
    <w:rsid w:val="008062EA"/>
    <w:rsid w:val="00806A4C"/>
    <w:rsid w:val="0080705B"/>
    <w:rsid w:val="0080723C"/>
    <w:rsid w:val="00807F71"/>
    <w:rsid w:val="0081000F"/>
    <w:rsid w:val="00812657"/>
    <w:rsid w:val="00812A1A"/>
    <w:rsid w:val="00812DFF"/>
    <w:rsid w:val="0081362F"/>
    <w:rsid w:val="0081383A"/>
    <w:rsid w:val="0081497F"/>
    <w:rsid w:val="00814B90"/>
    <w:rsid w:val="00814FC7"/>
    <w:rsid w:val="008161FD"/>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5F0"/>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3A63"/>
    <w:rsid w:val="008465B4"/>
    <w:rsid w:val="00846D25"/>
    <w:rsid w:val="00850013"/>
    <w:rsid w:val="008500DD"/>
    <w:rsid w:val="00850A0A"/>
    <w:rsid w:val="00850A94"/>
    <w:rsid w:val="00851E96"/>
    <w:rsid w:val="00851F1C"/>
    <w:rsid w:val="00852FA5"/>
    <w:rsid w:val="008530E1"/>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1E8"/>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392"/>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1FCC"/>
    <w:rsid w:val="00882991"/>
    <w:rsid w:val="00882EC1"/>
    <w:rsid w:val="008831F2"/>
    <w:rsid w:val="0088324E"/>
    <w:rsid w:val="008833FF"/>
    <w:rsid w:val="0088434F"/>
    <w:rsid w:val="00884371"/>
    <w:rsid w:val="008848E2"/>
    <w:rsid w:val="00884B7A"/>
    <w:rsid w:val="00884D47"/>
    <w:rsid w:val="008856C5"/>
    <w:rsid w:val="00885B7B"/>
    <w:rsid w:val="00886112"/>
    <w:rsid w:val="008872B3"/>
    <w:rsid w:val="00887392"/>
    <w:rsid w:val="00890A64"/>
    <w:rsid w:val="00890C40"/>
    <w:rsid w:val="0089122E"/>
    <w:rsid w:val="008912A7"/>
    <w:rsid w:val="0089183A"/>
    <w:rsid w:val="008920B4"/>
    <w:rsid w:val="008925EB"/>
    <w:rsid w:val="0089275E"/>
    <w:rsid w:val="00892B43"/>
    <w:rsid w:val="00893432"/>
    <w:rsid w:val="00893651"/>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2C26"/>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02"/>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1AD"/>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5BB"/>
    <w:rsid w:val="008D5806"/>
    <w:rsid w:val="008D5ED9"/>
    <w:rsid w:val="008D7247"/>
    <w:rsid w:val="008D735D"/>
    <w:rsid w:val="008D7567"/>
    <w:rsid w:val="008E0BF5"/>
    <w:rsid w:val="008E0EE4"/>
    <w:rsid w:val="008E12BE"/>
    <w:rsid w:val="008E13FD"/>
    <w:rsid w:val="008E1C24"/>
    <w:rsid w:val="008E2626"/>
    <w:rsid w:val="008E27A9"/>
    <w:rsid w:val="008E323C"/>
    <w:rsid w:val="008E32E0"/>
    <w:rsid w:val="008E35A3"/>
    <w:rsid w:val="008E35A6"/>
    <w:rsid w:val="008E36D9"/>
    <w:rsid w:val="008E3A5C"/>
    <w:rsid w:val="008E3A9A"/>
    <w:rsid w:val="008E429E"/>
    <w:rsid w:val="008E58A3"/>
    <w:rsid w:val="008E5938"/>
    <w:rsid w:val="008E6109"/>
    <w:rsid w:val="008E6A39"/>
    <w:rsid w:val="008E76BB"/>
    <w:rsid w:val="008F08F0"/>
    <w:rsid w:val="008F1764"/>
    <w:rsid w:val="008F1E3D"/>
    <w:rsid w:val="008F235C"/>
    <w:rsid w:val="008F290B"/>
    <w:rsid w:val="008F2F11"/>
    <w:rsid w:val="008F3369"/>
    <w:rsid w:val="008F33A6"/>
    <w:rsid w:val="008F35EC"/>
    <w:rsid w:val="008F4FE8"/>
    <w:rsid w:val="008F4FED"/>
    <w:rsid w:val="008F5D5A"/>
    <w:rsid w:val="008F6200"/>
    <w:rsid w:val="008F62F8"/>
    <w:rsid w:val="008F63B3"/>
    <w:rsid w:val="008F6893"/>
    <w:rsid w:val="008F7292"/>
    <w:rsid w:val="008F76C0"/>
    <w:rsid w:val="009000F2"/>
    <w:rsid w:val="0090079D"/>
    <w:rsid w:val="0090086A"/>
    <w:rsid w:val="00900D2C"/>
    <w:rsid w:val="00900FF4"/>
    <w:rsid w:val="00901807"/>
    <w:rsid w:val="00901F0E"/>
    <w:rsid w:val="00902A26"/>
    <w:rsid w:val="00902A57"/>
    <w:rsid w:val="00902B29"/>
    <w:rsid w:val="0090329F"/>
    <w:rsid w:val="00903C83"/>
    <w:rsid w:val="00903D37"/>
    <w:rsid w:val="00903D77"/>
    <w:rsid w:val="0090408F"/>
    <w:rsid w:val="0090446A"/>
    <w:rsid w:val="00904537"/>
    <w:rsid w:val="00904DC3"/>
    <w:rsid w:val="0090534A"/>
    <w:rsid w:val="00905469"/>
    <w:rsid w:val="00906078"/>
    <w:rsid w:val="0090629C"/>
    <w:rsid w:val="00906EA2"/>
    <w:rsid w:val="00907278"/>
    <w:rsid w:val="00910041"/>
    <w:rsid w:val="009109C4"/>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2A1E"/>
    <w:rsid w:val="00923441"/>
    <w:rsid w:val="00923643"/>
    <w:rsid w:val="00923E1A"/>
    <w:rsid w:val="009245CC"/>
    <w:rsid w:val="0092490A"/>
    <w:rsid w:val="00925A3E"/>
    <w:rsid w:val="009261DB"/>
    <w:rsid w:val="00926939"/>
    <w:rsid w:val="00926F4C"/>
    <w:rsid w:val="00927330"/>
    <w:rsid w:val="00927460"/>
    <w:rsid w:val="00927710"/>
    <w:rsid w:val="009307CA"/>
    <w:rsid w:val="009312F9"/>
    <w:rsid w:val="00931445"/>
    <w:rsid w:val="00931AB8"/>
    <w:rsid w:val="00931C19"/>
    <w:rsid w:val="00931C63"/>
    <w:rsid w:val="00931D10"/>
    <w:rsid w:val="0093218A"/>
    <w:rsid w:val="009328EB"/>
    <w:rsid w:val="0093386D"/>
    <w:rsid w:val="00934C8E"/>
    <w:rsid w:val="00935194"/>
    <w:rsid w:val="00936EA5"/>
    <w:rsid w:val="00936F68"/>
    <w:rsid w:val="00937114"/>
    <w:rsid w:val="0094015D"/>
    <w:rsid w:val="00940916"/>
    <w:rsid w:val="009412B7"/>
    <w:rsid w:val="00941B13"/>
    <w:rsid w:val="0094215C"/>
    <w:rsid w:val="00942953"/>
    <w:rsid w:val="00942F8E"/>
    <w:rsid w:val="00943543"/>
    <w:rsid w:val="009441DB"/>
    <w:rsid w:val="00944834"/>
    <w:rsid w:val="00945DCA"/>
    <w:rsid w:val="00946128"/>
    <w:rsid w:val="0094633F"/>
    <w:rsid w:val="00947BA5"/>
    <w:rsid w:val="00950805"/>
    <w:rsid w:val="009517E4"/>
    <w:rsid w:val="009518D4"/>
    <w:rsid w:val="009520BC"/>
    <w:rsid w:val="009521D2"/>
    <w:rsid w:val="00952403"/>
    <w:rsid w:val="00952589"/>
    <w:rsid w:val="00952BD8"/>
    <w:rsid w:val="00953573"/>
    <w:rsid w:val="009537C0"/>
    <w:rsid w:val="00954296"/>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7D"/>
    <w:rsid w:val="00963183"/>
    <w:rsid w:val="0096373F"/>
    <w:rsid w:val="009638A1"/>
    <w:rsid w:val="00964007"/>
    <w:rsid w:val="00964283"/>
    <w:rsid w:val="009642A4"/>
    <w:rsid w:val="009643F4"/>
    <w:rsid w:val="009645A6"/>
    <w:rsid w:val="00964F5A"/>
    <w:rsid w:val="0096527F"/>
    <w:rsid w:val="009653ED"/>
    <w:rsid w:val="00966A21"/>
    <w:rsid w:val="00966AD2"/>
    <w:rsid w:val="00971415"/>
    <w:rsid w:val="009716D8"/>
    <w:rsid w:val="009719B9"/>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BA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B95"/>
    <w:rsid w:val="00992C67"/>
    <w:rsid w:val="00992D5B"/>
    <w:rsid w:val="00993135"/>
    <w:rsid w:val="00993AC7"/>
    <w:rsid w:val="00993BAD"/>
    <w:rsid w:val="00993E49"/>
    <w:rsid w:val="00994011"/>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00D"/>
    <w:rsid w:val="009B152B"/>
    <w:rsid w:val="009B2731"/>
    <w:rsid w:val="009B2DCF"/>
    <w:rsid w:val="009B39D8"/>
    <w:rsid w:val="009B3D38"/>
    <w:rsid w:val="009B4368"/>
    <w:rsid w:val="009B4D4C"/>
    <w:rsid w:val="009B5216"/>
    <w:rsid w:val="009B66F5"/>
    <w:rsid w:val="009B7505"/>
    <w:rsid w:val="009C0020"/>
    <w:rsid w:val="009C03F7"/>
    <w:rsid w:val="009C0442"/>
    <w:rsid w:val="009C10DA"/>
    <w:rsid w:val="009C19FC"/>
    <w:rsid w:val="009C27F7"/>
    <w:rsid w:val="009C31CF"/>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6D"/>
    <w:rsid w:val="009D1172"/>
    <w:rsid w:val="009D13CC"/>
    <w:rsid w:val="009D1654"/>
    <w:rsid w:val="009D1AAC"/>
    <w:rsid w:val="009D1BDB"/>
    <w:rsid w:val="009D1E7D"/>
    <w:rsid w:val="009D2567"/>
    <w:rsid w:val="009D298F"/>
    <w:rsid w:val="009D2C9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4F1"/>
    <w:rsid w:val="009E19BB"/>
    <w:rsid w:val="009E1C47"/>
    <w:rsid w:val="009E2473"/>
    <w:rsid w:val="009E2DFE"/>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16"/>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5A6"/>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FAC"/>
    <w:rsid w:val="00A21838"/>
    <w:rsid w:val="00A22C3E"/>
    <w:rsid w:val="00A22C4D"/>
    <w:rsid w:val="00A2334E"/>
    <w:rsid w:val="00A23442"/>
    <w:rsid w:val="00A249D2"/>
    <w:rsid w:val="00A254AB"/>
    <w:rsid w:val="00A259F2"/>
    <w:rsid w:val="00A266CC"/>
    <w:rsid w:val="00A26DB4"/>
    <w:rsid w:val="00A27425"/>
    <w:rsid w:val="00A279A9"/>
    <w:rsid w:val="00A3023E"/>
    <w:rsid w:val="00A305C5"/>
    <w:rsid w:val="00A30919"/>
    <w:rsid w:val="00A31011"/>
    <w:rsid w:val="00A31342"/>
    <w:rsid w:val="00A31F05"/>
    <w:rsid w:val="00A31FD2"/>
    <w:rsid w:val="00A325FE"/>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354"/>
    <w:rsid w:val="00A526CE"/>
    <w:rsid w:val="00A54674"/>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5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4F66"/>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22E"/>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3E6"/>
    <w:rsid w:val="00AC7BA7"/>
    <w:rsid w:val="00AC7F64"/>
    <w:rsid w:val="00AD1065"/>
    <w:rsid w:val="00AD159E"/>
    <w:rsid w:val="00AD2AB1"/>
    <w:rsid w:val="00AD3132"/>
    <w:rsid w:val="00AD3DA6"/>
    <w:rsid w:val="00AD3F3C"/>
    <w:rsid w:val="00AD447E"/>
    <w:rsid w:val="00AD478E"/>
    <w:rsid w:val="00AD4B2F"/>
    <w:rsid w:val="00AD5E32"/>
    <w:rsid w:val="00AD5F0A"/>
    <w:rsid w:val="00AD6238"/>
    <w:rsid w:val="00AD6A5B"/>
    <w:rsid w:val="00AD6B4F"/>
    <w:rsid w:val="00AD6D19"/>
    <w:rsid w:val="00AD7812"/>
    <w:rsid w:val="00AD7C42"/>
    <w:rsid w:val="00AD7CFA"/>
    <w:rsid w:val="00AE06B0"/>
    <w:rsid w:val="00AE0BD6"/>
    <w:rsid w:val="00AE11C1"/>
    <w:rsid w:val="00AE163D"/>
    <w:rsid w:val="00AE1A42"/>
    <w:rsid w:val="00AE1C5C"/>
    <w:rsid w:val="00AE2CCA"/>
    <w:rsid w:val="00AE2CEE"/>
    <w:rsid w:val="00AE315E"/>
    <w:rsid w:val="00AE319F"/>
    <w:rsid w:val="00AE31D9"/>
    <w:rsid w:val="00AE3CF0"/>
    <w:rsid w:val="00AE4546"/>
    <w:rsid w:val="00AE6575"/>
    <w:rsid w:val="00AE71EE"/>
    <w:rsid w:val="00AE7C82"/>
    <w:rsid w:val="00AF03CF"/>
    <w:rsid w:val="00AF0A0A"/>
    <w:rsid w:val="00AF14FC"/>
    <w:rsid w:val="00AF1ED2"/>
    <w:rsid w:val="00AF1F4E"/>
    <w:rsid w:val="00AF2302"/>
    <w:rsid w:val="00AF262A"/>
    <w:rsid w:val="00AF3557"/>
    <w:rsid w:val="00AF3F86"/>
    <w:rsid w:val="00AF3FCB"/>
    <w:rsid w:val="00AF4CEE"/>
    <w:rsid w:val="00AF4F4A"/>
    <w:rsid w:val="00AF584C"/>
    <w:rsid w:val="00AF5D84"/>
    <w:rsid w:val="00AF6476"/>
    <w:rsid w:val="00AF669D"/>
    <w:rsid w:val="00AF672C"/>
    <w:rsid w:val="00AF673E"/>
    <w:rsid w:val="00AF6ABE"/>
    <w:rsid w:val="00AF7389"/>
    <w:rsid w:val="00AF79DF"/>
    <w:rsid w:val="00AF7C37"/>
    <w:rsid w:val="00B00378"/>
    <w:rsid w:val="00B009B3"/>
    <w:rsid w:val="00B00D91"/>
    <w:rsid w:val="00B00E84"/>
    <w:rsid w:val="00B01DD9"/>
    <w:rsid w:val="00B01F0E"/>
    <w:rsid w:val="00B038F1"/>
    <w:rsid w:val="00B03C1B"/>
    <w:rsid w:val="00B04678"/>
    <w:rsid w:val="00B047C9"/>
    <w:rsid w:val="00B04A04"/>
    <w:rsid w:val="00B04B78"/>
    <w:rsid w:val="00B04C37"/>
    <w:rsid w:val="00B04F00"/>
    <w:rsid w:val="00B05BA6"/>
    <w:rsid w:val="00B06516"/>
    <w:rsid w:val="00B066FE"/>
    <w:rsid w:val="00B06912"/>
    <w:rsid w:val="00B06FC6"/>
    <w:rsid w:val="00B07316"/>
    <w:rsid w:val="00B07F74"/>
    <w:rsid w:val="00B10618"/>
    <w:rsid w:val="00B10B04"/>
    <w:rsid w:val="00B10CC6"/>
    <w:rsid w:val="00B11932"/>
    <w:rsid w:val="00B11A61"/>
    <w:rsid w:val="00B11D5B"/>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985"/>
    <w:rsid w:val="00B36D3E"/>
    <w:rsid w:val="00B3783C"/>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8E5"/>
    <w:rsid w:val="00B4691F"/>
    <w:rsid w:val="00B46953"/>
    <w:rsid w:val="00B47455"/>
    <w:rsid w:val="00B47979"/>
    <w:rsid w:val="00B47A59"/>
    <w:rsid w:val="00B47ECD"/>
    <w:rsid w:val="00B47FF3"/>
    <w:rsid w:val="00B503D6"/>
    <w:rsid w:val="00B51520"/>
    <w:rsid w:val="00B515C3"/>
    <w:rsid w:val="00B517C2"/>
    <w:rsid w:val="00B518CE"/>
    <w:rsid w:val="00B51F56"/>
    <w:rsid w:val="00B52234"/>
    <w:rsid w:val="00B53426"/>
    <w:rsid w:val="00B53623"/>
    <w:rsid w:val="00B53D1D"/>
    <w:rsid w:val="00B53E98"/>
    <w:rsid w:val="00B53F9B"/>
    <w:rsid w:val="00B5429F"/>
    <w:rsid w:val="00B54B19"/>
    <w:rsid w:val="00B559EE"/>
    <w:rsid w:val="00B55F64"/>
    <w:rsid w:val="00B56ECA"/>
    <w:rsid w:val="00B57093"/>
    <w:rsid w:val="00B57B5D"/>
    <w:rsid w:val="00B60613"/>
    <w:rsid w:val="00B61950"/>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05E"/>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827"/>
    <w:rsid w:val="00B869D3"/>
    <w:rsid w:val="00B86CF8"/>
    <w:rsid w:val="00B86E44"/>
    <w:rsid w:val="00B87359"/>
    <w:rsid w:val="00B87F1C"/>
    <w:rsid w:val="00B90D8D"/>
    <w:rsid w:val="00B91263"/>
    <w:rsid w:val="00B91B61"/>
    <w:rsid w:val="00B91E5B"/>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7A7"/>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86A"/>
    <w:rsid w:val="00BB2ACE"/>
    <w:rsid w:val="00BB2E4E"/>
    <w:rsid w:val="00BB2E62"/>
    <w:rsid w:val="00BB36C9"/>
    <w:rsid w:val="00BB3A66"/>
    <w:rsid w:val="00BB40D1"/>
    <w:rsid w:val="00BB6F63"/>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6C48"/>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5C5"/>
    <w:rsid w:val="00BD6675"/>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151"/>
    <w:rsid w:val="00BE4222"/>
    <w:rsid w:val="00BE472D"/>
    <w:rsid w:val="00BE4C03"/>
    <w:rsid w:val="00BE7F4D"/>
    <w:rsid w:val="00BF03C0"/>
    <w:rsid w:val="00BF0EBF"/>
    <w:rsid w:val="00BF1534"/>
    <w:rsid w:val="00BF17B3"/>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BF7F69"/>
    <w:rsid w:val="00C00B3B"/>
    <w:rsid w:val="00C00BF6"/>
    <w:rsid w:val="00C0234A"/>
    <w:rsid w:val="00C0247B"/>
    <w:rsid w:val="00C0378E"/>
    <w:rsid w:val="00C04314"/>
    <w:rsid w:val="00C04BD0"/>
    <w:rsid w:val="00C05730"/>
    <w:rsid w:val="00C05AF4"/>
    <w:rsid w:val="00C05AFD"/>
    <w:rsid w:val="00C0661C"/>
    <w:rsid w:val="00C0675F"/>
    <w:rsid w:val="00C06EB7"/>
    <w:rsid w:val="00C0702A"/>
    <w:rsid w:val="00C0724C"/>
    <w:rsid w:val="00C07C11"/>
    <w:rsid w:val="00C07E10"/>
    <w:rsid w:val="00C10015"/>
    <w:rsid w:val="00C1110A"/>
    <w:rsid w:val="00C11689"/>
    <w:rsid w:val="00C1212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5FF"/>
    <w:rsid w:val="00C35EED"/>
    <w:rsid w:val="00C36B2C"/>
    <w:rsid w:val="00C3701A"/>
    <w:rsid w:val="00C379EF"/>
    <w:rsid w:val="00C405C8"/>
    <w:rsid w:val="00C4068C"/>
    <w:rsid w:val="00C40C2F"/>
    <w:rsid w:val="00C415AC"/>
    <w:rsid w:val="00C4297A"/>
    <w:rsid w:val="00C4324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582"/>
    <w:rsid w:val="00C5570F"/>
    <w:rsid w:val="00C56C98"/>
    <w:rsid w:val="00C56DE1"/>
    <w:rsid w:val="00C56DEE"/>
    <w:rsid w:val="00C57120"/>
    <w:rsid w:val="00C571D5"/>
    <w:rsid w:val="00C575D4"/>
    <w:rsid w:val="00C60C01"/>
    <w:rsid w:val="00C61223"/>
    <w:rsid w:val="00C61246"/>
    <w:rsid w:val="00C618A8"/>
    <w:rsid w:val="00C61A78"/>
    <w:rsid w:val="00C629F3"/>
    <w:rsid w:val="00C62B88"/>
    <w:rsid w:val="00C62CD3"/>
    <w:rsid w:val="00C634F9"/>
    <w:rsid w:val="00C63B31"/>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B73"/>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8F6"/>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09D"/>
    <w:rsid w:val="00CA7C69"/>
    <w:rsid w:val="00CA7D3E"/>
    <w:rsid w:val="00CB01B1"/>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EBD"/>
    <w:rsid w:val="00CC1398"/>
    <w:rsid w:val="00CC1AF5"/>
    <w:rsid w:val="00CC1B74"/>
    <w:rsid w:val="00CC291E"/>
    <w:rsid w:val="00CC2D03"/>
    <w:rsid w:val="00CC2EB0"/>
    <w:rsid w:val="00CC4701"/>
    <w:rsid w:val="00CC56B4"/>
    <w:rsid w:val="00CC5F95"/>
    <w:rsid w:val="00CC642A"/>
    <w:rsid w:val="00CC6AC7"/>
    <w:rsid w:val="00CC6B64"/>
    <w:rsid w:val="00CC733D"/>
    <w:rsid w:val="00CC7617"/>
    <w:rsid w:val="00CC7E0D"/>
    <w:rsid w:val="00CC7E97"/>
    <w:rsid w:val="00CD00EB"/>
    <w:rsid w:val="00CD0477"/>
    <w:rsid w:val="00CD1255"/>
    <w:rsid w:val="00CD1484"/>
    <w:rsid w:val="00CD1807"/>
    <w:rsid w:val="00CD1892"/>
    <w:rsid w:val="00CD1C01"/>
    <w:rsid w:val="00CD1D00"/>
    <w:rsid w:val="00CD2009"/>
    <w:rsid w:val="00CD27AC"/>
    <w:rsid w:val="00CD2A82"/>
    <w:rsid w:val="00CD2ED4"/>
    <w:rsid w:val="00CD37AD"/>
    <w:rsid w:val="00CD3CAB"/>
    <w:rsid w:val="00CD43C2"/>
    <w:rsid w:val="00CD44FF"/>
    <w:rsid w:val="00CD46A7"/>
    <w:rsid w:val="00CD47BC"/>
    <w:rsid w:val="00CD4E50"/>
    <w:rsid w:val="00CD57CB"/>
    <w:rsid w:val="00CD64E1"/>
    <w:rsid w:val="00CD66BA"/>
    <w:rsid w:val="00CD699D"/>
    <w:rsid w:val="00CD6BA3"/>
    <w:rsid w:val="00CD6F4E"/>
    <w:rsid w:val="00CD70DB"/>
    <w:rsid w:val="00CD7544"/>
    <w:rsid w:val="00CD78D4"/>
    <w:rsid w:val="00CE0697"/>
    <w:rsid w:val="00CE0A24"/>
    <w:rsid w:val="00CE14CB"/>
    <w:rsid w:val="00CE2AB2"/>
    <w:rsid w:val="00CE2E2E"/>
    <w:rsid w:val="00CE307C"/>
    <w:rsid w:val="00CE3A51"/>
    <w:rsid w:val="00CE41F9"/>
    <w:rsid w:val="00CE59F6"/>
    <w:rsid w:val="00CE66CD"/>
    <w:rsid w:val="00CE6BA9"/>
    <w:rsid w:val="00CE71C3"/>
    <w:rsid w:val="00CE727A"/>
    <w:rsid w:val="00CF029C"/>
    <w:rsid w:val="00CF0AF0"/>
    <w:rsid w:val="00CF0B8C"/>
    <w:rsid w:val="00CF115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AE6"/>
    <w:rsid w:val="00D14E25"/>
    <w:rsid w:val="00D15470"/>
    <w:rsid w:val="00D15AE3"/>
    <w:rsid w:val="00D160C4"/>
    <w:rsid w:val="00D165D8"/>
    <w:rsid w:val="00D1724E"/>
    <w:rsid w:val="00D1743D"/>
    <w:rsid w:val="00D17C26"/>
    <w:rsid w:val="00D17E08"/>
    <w:rsid w:val="00D206F6"/>
    <w:rsid w:val="00D20FD1"/>
    <w:rsid w:val="00D214D4"/>
    <w:rsid w:val="00D21640"/>
    <w:rsid w:val="00D21AAA"/>
    <w:rsid w:val="00D21E6F"/>
    <w:rsid w:val="00D2218A"/>
    <w:rsid w:val="00D224D3"/>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3677"/>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26"/>
    <w:rsid w:val="00D517ED"/>
    <w:rsid w:val="00D5251C"/>
    <w:rsid w:val="00D52F56"/>
    <w:rsid w:val="00D539DA"/>
    <w:rsid w:val="00D54A50"/>
    <w:rsid w:val="00D54FFD"/>
    <w:rsid w:val="00D5552C"/>
    <w:rsid w:val="00D5556D"/>
    <w:rsid w:val="00D55C34"/>
    <w:rsid w:val="00D55C81"/>
    <w:rsid w:val="00D5657B"/>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6FA"/>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045"/>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F1A"/>
    <w:rsid w:val="00D857BC"/>
    <w:rsid w:val="00D859A1"/>
    <w:rsid w:val="00D85FDE"/>
    <w:rsid w:val="00D8665E"/>
    <w:rsid w:val="00D869C1"/>
    <w:rsid w:val="00D86C1A"/>
    <w:rsid w:val="00D86EC6"/>
    <w:rsid w:val="00D87418"/>
    <w:rsid w:val="00D87964"/>
    <w:rsid w:val="00D87A39"/>
    <w:rsid w:val="00D87FE6"/>
    <w:rsid w:val="00D90BC3"/>
    <w:rsid w:val="00D90C93"/>
    <w:rsid w:val="00D90DB9"/>
    <w:rsid w:val="00D91001"/>
    <w:rsid w:val="00D910FF"/>
    <w:rsid w:val="00D91337"/>
    <w:rsid w:val="00D915C9"/>
    <w:rsid w:val="00D918DA"/>
    <w:rsid w:val="00D9198F"/>
    <w:rsid w:val="00D92078"/>
    <w:rsid w:val="00D92392"/>
    <w:rsid w:val="00D926F0"/>
    <w:rsid w:val="00D92857"/>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6B6"/>
    <w:rsid w:val="00DA3C5B"/>
    <w:rsid w:val="00DA3D23"/>
    <w:rsid w:val="00DA4A61"/>
    <w:rsid w:val="00DA5AFE"/>
    <w:rsid w:val="00DA61AB"/>
    <w:rsid w:val="00DA61CD"/>
    <w:rsid w:val="00DA6EE2"/>
    <w:rsid w:val="00DA718A"/>
    <w:rsid w:val="00DA78CF"/>
    <w:rsid w:val="00DA78D5"/>
    <w:rsid w:val="00DA7A89"/>
    <w:rsid w:val="00DA7BF4"/>
    <w:rsid w:val="00DA7DA5"/>
    <w:rsid w:val="00DB052F"/>
    <w:rsid w:val="00DB14D3"/>
    <w:rsid w:val="00DB154B"/>
    <w:rsid w:val="00DB1BDC"/>
    <w:rsid w:val="00DB31DB"/>
    <w:rsid w:val="00DB3490"/>
    <w:rsid w:val="00DB3593"/>
    <w:rsid w:val="00DB440B"/>
    <w:rsid w:val="00DB4426"/>
    <w:rsid w:val="00DB4522"/>
    <w:rsid w:val="00DB4B40"/>
    <w:rsid w:val="00DB4F12"/>
    <w:rsid w:val="00DB4F21"/>
    <w:rsid w:val="00DB4F42"/>
    <w:rsid w:val="00DB540C"/>
    <w:rsid w:val="00DB6F96"/>
    <w:rsid w:val="00DB71B9"/>
    <w:rsid w:val="00DB73D2"/>
    <w:rsid w:val="00DB7662"/>
    <w:rsid w:val="00DB7DE9"/>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34D8"/>
    <w:rsid w:val="00DD3CF4"/>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71"/>
    <w:rsid w:val="00DE04E0"/>
    <w:rsid w:val="00DE12F1"/>
    <w:rsid w:val="00DE1A9D"/>
    <w:rsid w:val="00DE1CB1"/>
    <w:rsid w:val="00DE2073"/>
    <w:rsid w:val="00DE30AC"/>
    <w:rsid w:val="00DE38D1"/>
    <w:rsid w:val="00DE4106"/>
    <w:rsid w:val="00DE466B"/>
    <w:rsid w:val="00DE48F4"/>
    <w:rsid w:val="00DE5563"/>
    <w:rsid w:val="00DE5851"/>
    <w:rsid w:val="00DE5C19"/>
    <w:rsid w:val="00DE5D48"/>
    <w:rsid w:val="00DE6E4D"/>
    <w:rsid w:val="00DE7498"/>
    <w:rsid w:val="00DE75EF"/>
    <w:rsid w:val="00DE7611"/>
    <w:rsid w:val="00DE7D19"/>
    <w:rsid w:val="00DF05A0"/>
    <w:rsid w:val="00DF1162"/>
    <w:rsid w:val="00DF1AED"/>
    <w:rsid w:val="00DF1BA8"/>
    <w:rsid w:val="00DF1F63"/>
    <w:rsid w:val="00DF28F2"/>
    <w:rsid w:val="00DF2BFF"/>
    <w:rsid w:val="00DF3798"/>
    <w:rsid w:val="00DF45C4"/>
    <w:rsid w:val="00DF4FF1"/>
    <w:rsid w:val="00DF56A3"/>
    <w:rsid w:val="00DF5B33"/>
    <w:rsid w:val="00DF6FD2"/>
    <w:rsid w:val="00DF72EF"/>
    <w:rsid w:val="00DF743D"/>
    <w:rsid w:val="00DF7724"/>
    <w:rsid w:val="00DF7BC0"/>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07E"/>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89E"/>
    <w:rsid w:val="00E2449B"/>
    <w:rsid w:val="00E24A62"/>
    <w:rsid w:val="00E24F52"/>
    <w:rsid w:val="00E255CC"/>
    <w:rsid w:val="00E25636"/>
    <w:rsid w:val="00E25755"/>
    <w:rsid w:val="00E25F90"/>
    <w:rsid w:val="00E266DD"/>
    <w:rsid w:val="00E26D2E"/>
    <w:rsid w:val="00E26E7D"/>
    <w:rsid w:val="00E279B2"/>
    <w:rsid w:val="00E30325"/>
    <w:rsid w:val="00E303C0"/>
    <w:rsid w:val="00E3055B"/>
    <w:rsid w:val="00E31687"/>
    <w:rsid w:val="00E31699"/>
    <w:rsid w:val="00E31761"/>
    <w:rsid w:val="00E31812"/>
    <w:rsid w:val="00E31889"/>
    <w:rsid w:val="00E31CE7"/>
    <w:rsid w:val="00E333D5"/>
    <w:rsid w:val="00E3394F"/>
    <w:rsid w:val="00E33A0B"/>
    <w:rsid w:val="00E34A2F"/>
    <w:rsid w:val="00E34E0A"/>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3A60"/>
    <w:rsid w:val="00E45A2C"/>
    <w:rsid w:val="00E46A6B"/>
    <w:rsid w:val="00E46A9C"/>
    <w:rsid w:val="00E46D08"/>
    <w:rsid w:val="00E47DB1"/>
    <w:rsid w:val="00E50BDD"/>
    <w:rsid w:val="00E510CF"/>
    <w:rsid w:val="00E513D7"/>
    <w:rsid w:val="00E5196D"/>
    <w:rsid w:val="00E519FE"/>
    <w:rsid w:val="00E5206C"/>
    <w:rsid w:val="00E52AAB"/>
    <w:rsid w:val="00E5448E"/>
    <w:rsid w:val="00E54E0D"/>
    <w:rsid w:val="00E55247"/>
    <w:rsid w:val="00E558E5"/>
    <w:rsid w:val="00E55B3C"/>
    <w:rsid w:val="00E5627C"/>
    <w:rsid w:val="00E56795"/>
    <w:rsid w:val="00E569FE"/>
    <w:rsid w:val="00E57932"/>
    <w:rsid w:val="00E606C4"/>
    <w:rsid w:val="00E60811"/>
    <w:rsid w:val="00E60AB8"/>
    <w:rsid w:val="00E6103E"/>
    <w:rsid w:val="00E6185F"/>
    <w:rsid w:val="00E61D32"/>
    <w:rsid w:val="00E62968"/>
    <w:rsid w:val="00E63C60"/>
    <w:rsid w:val="00E6403C"/>
    <w:rsid w:val="00E64050"/>
    <w:rsid w:val="00E64B7B"/>
    <w:rsid w:val="00E6514D"/>
    <w:rsid w:val="00E65161"/>
    <w:rsid w:val="00E652C9"/>
    <w:rsid w:val="00E6593B"/>
    <w:rsid w:val="00E65D74"/>
    <w:rsid w:val="00E66E11"/>
    <w:rsid w:val="00E672C6"/>
    <w:rsid w:val="00E70192"/>
    <w:rsid w:val="00E70C55"/>
    <w:rsid w:val="00E70E34"/>
    <w:rsid w:val="00E7128E"/>
    <w:rsid w:val="00E71809"/>
    <w:rsid w:val="00E71D1E"/>
    <w:rsid w:val="00E726F2"/>
    <w:rsid w:val="00E728E2"/>
    <w:rsid w:val="00E738FA"/>
    <w:rsid w:val="00E739B6"/>
    <w:rsid w:val="00E74A2B"/>
    <w:rsid w:val="00E7551A"/>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624"/>
    <w:rsid w:val="00E84C04"/>
    <w:rsid w:val="00E84F72"/>
    <w:rsid w:val="00E856A2"/>
    <w:rsid w:val="00E8572B"/>
    <w:rsid w:val="00E8575B"/>
    <w:rsid w:val="00E85929"/>
    <w:rsid w:val="00E85AD2"/>
    <w:rsid w:val="00E85F8C"/>
    <w:rsid w:val="00E867A2"/>
    <w:rsid w:val="00E87A37"/>
    <w:rsid w:val="00E87CF7"/>
    <w:rsid w:val="00E9036E"/>
    <w:rsid w:val="00E9078A"/>
    <w:rsid w:val="00E912FD"/>
    <w:rsid w:val="00E91B26"/>
    <w:rsid w:val="00E92C6E"/>
    <w:rsid w:val="00E92D0B"/>
    <w:rsid w:val="00E92FFF"/>
    <w:rsid w:val="00E93195"/>
    <w:rsid w:val="00E9391C"/>
    <w:rsid w:val="00E93D05"/>
    <w:rsid w:val="00E94506"/>
    <w:rsid w:val="00E951D8"/>
    <w:rsid w:val="00E956AA"/>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44A9"/>
    <w:rsid w:val="00EA613D"/>
    <w:rsid w:val="00EA6744"/>
    <w:rsid w:val="00EA7308"/>
    <w:rsid w:val="00EA7474"/>
    <w:rsid w:val="00EA75ED"/>
    <w:rsid w:val="00EB0831"/>
    <w:rsid w:val="00EB089C"/>
    <w:rsid w:val="00EB0AA8"/>
    <w:rsid w:val="00EB0B65"/>
    <w:rsid w:val="00EB0C65"/>
    <w:rsid w:val="00EB0EDD"/>
    <w:rsid w:val="00EB10D6"/>
    <w:rsid w:val="00EB1624"/>
    <w:rsid w:val="00EB169F"/>
    <w:rsid w:val="00EB2635"/>
    <w:rsid w:val="00EB27DE"/>
    <w:rsid w:val="00EB2961"/>
    <w:rsid w:val="00EB2E1A"/>
    <w:rsid w:val="00EB2F8A"/>
    <w:rsid w:val="00EB3268"/>
    <w:rsid w:val="00EB3298"/>
    <w:rsid w:val="00EB3939"/>
    <w:rsid w:val="00EB3CE6"/>
    <w:rsid w:val="00EB3E92"/>
    <w:rsid w:val="00EB4113"/>
    <w:rsid w:val="00EB54AB"/>
    <w:rsid w:val="00EB6257"/>
    <w:rsid w:val="00EB68E6"/>
    <w:rsid w:val="00EB6AE9"/>
    <w:rsid w:val="00EB6B2D"/>
    <w:rsid w:val="00EB71C9"/>
    <w:rsid w:val="00EB763E"/>
    <w:rsid w:val="00EB7B67"/>
    <w:rsid w:val="00EC0293"/>
    <w:rsid w:val="00EC07F1"/>
    <w:rsid w:val="00EC1494"/>
    <w:rsid w:val="00EC1E8A"/>
    <w:rsid w:val="00EC2EA3"/>
    <w:rsid w:val="00EC328C"/>
    <w:rsid w:val="00EC32F5"/>
    <w:rsid w:val="00EC3852"/>
    <w:rsid w:val="00EC4528"/>
    <w:rsid w:val="00EC5241"/>
    <w:rsid w:val="00EC5817"/>
    <w:rsid w:val="00EC594C"/>
    <w:rsid w:val="00EC5C7B"/>
    <w:rsid w:val="00EC66AA"/>
    <w:rsid w:val="00EC6B30"/>
    <w:rsid w:val="00EC6B8F"/>
    <w:rsid w:val="00EC6C9D"/>
    <w:rsid w:val="00EC7154"/>
    <w:rsid w:val="00EC7371"/>
    <w:rsid w:val="00EC73F5"/>
    <w:rsid w:val="00EC7894"/>
    <w:rsid w:val="00EC7A28"/>
    <w:rsid w:val="00EC7A41"/>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3BC2"/>
    <w:rsid w:val="00EE499F"/>
    <w:rsid w:val="00EE56E2"/>
    <w:rsid w:val="00EE5FCD"/>
    <w:rsid w:val="00EE63BF"/>
    <w:rsid w:val="00EE6D45"/>
    <w:rsid w:val="00EE6E89"/>
    <w:rsid w:val="00EE7D97"/>
    <w:rsid w:val="00EF0D4B"/>
    <w:rsid w:val="00EF0FE6"/>
    <w:rsid w:val="00EF1130"/>
    <w:rsid w:val="00EF1432"/>
    <w:rsid w:val="00EF1511"/>
    <w:rsid w:val="00EF1F01"/>
    <w:rsid w:val="00EF2C39"/>
    <w:rsid w:val="00EF2C5F"/>
    <w:rsid w:val="00EF3558"/>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3F83"/>
    <w:rsid w:val="00F04D19"/>
    <w:rsid w:val="00F050A3"/>
    <w:rsid w:val="00F06337"/>
    <w:rsid w:val="00F06340"/>
    <w:rsid w:val="00F0665D"/>
    <w:rsid w:val="00F06D42"/>
    <w:rsid w:val="00F06EE0"/>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17D"/>
    <w:rsid w:val="00F22362"/>
    <w:rsid w:val="00F22796"/>
    <w:rsid w:val="00F2296A"/>
    <w:rsid w:val="00F22EAB"/>
    <w:rsid w:val="00F234A4"/>
    <w:rsid w:val="00F2363A"/>
    <w:rsid w:val="00F238F7"/>
    <w:rsid w:val="00F23BA0"/>
    <w:rsid w:val="00F2420C"/>
    <w:rsid w:val="00F24C28"/>
    <w:rsid w:val="00F254C4"/>
    <w:rsid w:val="00F25641"/>
    <w:rsid w:val="00F256D8"/>
    <w:rsid w:val="00F25824"/>
    <w:rsid w:val="00F2592F"/>
    <w:rsid w:val="00F25E8C"/>
    <w:rsid w:val="00F26065"/>
    <w:rsid w:val="00F266E3"/>
    <w:rsid w:val="00F2689C"/>
    <w:rsid w:val="00F27E44"/>
    <w:rsid w:val="00F30131"/>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00D"/>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47DC0"/>
    <w:rsid w:val="00F47E2A"/>
    <w:rsid w:val="00F5052D"/>
    <w:rsid w:val="00F51A82"/>
    <w:rsid w:val="00F51B78"/>
    <w:rsid w:val="00F51BDD"/>
    <w:rsid w:val="00F51E49"/>
    <w:rsid w:val="00F52065"/>
    <w:rsid w:val="00F521CE"/>
    <w:rsid w:val="00F5253E"/>
    <w:rsid w:val="00F5254B"/>
    <w:rsid w:val="00F52CB7"/>
    <w:rsid w:val="00F53A44"/>
    <w:rsid w:val="00F54510"/>
    <w:rsid w:val="00F54E5E"/>
    <w:rsid w:val="00F551DB"/>
    <w:rsid w:val="00F55810"/>
    <w:rsid w:val="00F559BE"/>
    <w:rsid w:val="00F56F7E"/>
    <w:rsid w:val="00F56FEF"/>
    <w:rsid w:val="00F572FE"/>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E75"/>
    <w:rsid w:val="00F67079"/>
    <w:rsid w:val="00F67B58"/>
    <w:rsid w:val="00F67E81"/>
    <w:rsid w:val="00F7044B"/>
    <w:rsid w:val="00F70FD4"/>
    <w:rsid w:val="00F70FEF"/>
    <w:rsid w:val="00F71342"/>
    <w:rsid w:val="00F71C68"/>
    <w:rsid w:val="00F724E2"/>
    <w:rsid w:val="00F74103"/>
    <w:rsid w:val="00F7410A"/>
    <w:rsid w:val="00F745A4"/>
    <w:rsid w:val="00F7486A"/>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6E3"/>
    <w:rsid w:val="00F83EC7"/>
    <w:rsid w:val="00F8421D"/>
    <w:rsid w:val="00F85329"/>
    <w:rsid w:val="00F85683"/>
    <w:rsid w:val="00F85841"/>
    <w:rsid w:val="00F86079"/>
    <w:rsid w:val="00F8610A"/>
    <w:rsid w:val="00F87282"/>
    <w:rsid w:val="00F878CD"/>
    <w:rsid w:val="00F87905"/>
    <w:rsid w:val="00F87A66"/>
    <w:rsid w:val="00F87A6C"/>
    <w:rsid w:val="00F87C61"/>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6B8D"/>
    <w:rsid w:val="00FA775E"/>
    <w:rsid w:val="00FA7792"/>
    <w:rsid w:val="00FA7AA8"/>
    <w:rsid w:val="00FA7F1D"/>
    <w:rsid w:val="00FB011C"/>
    <w:rsid w:val="00FB0D60"/>
    <w:rsid w:val="00FB18FD"/>
    <w:rsid w:val="00FB219A"/>
    <w:rsid w:val="00FB2BF5"/>
    <w:rsid w:val="00FB2F8E"/>
    <w:rsid w:val="00FB30C3"/>
    <w:rsid w:val="00FB3903"/>
    <w:rsid w:val="00FB39B0"/>
    <w:rsid w:val="00FB5138"/>
    <w:rsid w:val="00FB547F"/>
    <w:rsid w:val="00FB5A71"/>
    <w:rsid w:val="00FB63F6"/>
    <w:rsid w:val="00FB6506"/>
    <w:rsid w:val="00FB7823"/>
    <w:rsid w:val="00FC05B2"/>
    <w:rsid w:val="00FC067F"/>
    <w:rsid w:val="00FC08B3"/>
    <w:rsid w:val="00FC09D7"/>
    <w:rsid w:val="00FC0ABE"/>
    <w:rsid w:val="00FC1269"/>
    <w:rsid w:val="00FC22D0"/>
    <w:rsid w:val="00FC3738"/>
    <w:rsid w:val="00FC38D4"/>
    <w:rsid w:val="00FC391E"/>
    <w:rsid w:val="00FC39B3"/>
    <w:rsid w:val="00FC3BB7"/>
    <w:rsid w:val="00FC4345"/>
    <w:rsid w:val="00FC444A"/>
    <w:rsid w:val="00FC453D"/>
    <w:rsid w:val="00FC4A89"/>
    <w:rsid w:val="00FC5292"/>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4F74"/>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3B3"/>
    <w:rsid w:val="00FE1706"/>
    <w:rsid w:val="00FE1852"/>
    <w:rsid w:val="00FE1963"/>
    <w:rsid w:val="00FE1981"/>
    <w:rsid w:val="00FE1BF1"/>
    <w:rsid w:val="00FE29DE"/>
    <w:rsid w:val="00FE33DB"/>
    <w:rsid w:val="00FE33F5"/>
    <w:rsid w:val="00FE34F6"/>
    <w:rsid w:val="00FE352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E33"/>
    <w:rsid w:val="00FF0F58"/>
    <w:rsid w:val="00FF183C"/>
    <w:rsid w:val="00FF1A06"/>
    <w:rsid w:val="00FF1AD3"/>
    <w:rsid w:val="00FF1B46"/>
    <w:rsid w:val="00FF219D"/>
    <w:rsid w:val="00FF2A7B"/>
    <w:rsid w:val="00FF3D2B"/>
    <w:rsid w:val="00FF49B4"/>
    <w:rsid w:val="00FF49F4"/>
    <w:rsid w:val="00FF4FED"/>
    <w:rsid w:val="00FF5C5D"/>
    <w:rsid w:val="00FF5C6A"/>
    <w:rsid w:val="00FF651D"/>
    <w:rsid w:val="00FF6843"/>
    <w:rsid w:val="00FF6C25"/>
    <w:rsid w:val="00FF7555"/>
    <w:rsid w:val="010651D9"/>
    <w:rsid w:val="01077355"/>
    <w:rsid w:val="011F6449"/>
    <w:rsid w:val="01236AFB"/>
    <w:rsid w:val="013D7E38"/>
    <w:rsid w:val="01453BAE"/>
    <w:rsid w:val="01531A67"/>
    <w:rsid w:val="015922A9"/>
    <w:rsid w:val="019F7441"/>
    <w:rsid w:val="01AC53E9"/>
    <w:rsid w:val="01B138F6"/>
    <w:rsid w:val="01B37585"/>
    <w:rsid w:val="01CF117C"/>
    <w:rsid w:val="01D55165"/>
    <w:rsid w:val="01DC0F66"/>
    <w:rsid w:val="01DF6BF8"/>
    <w:rsid w:val="01E63A6A"/>
    <w:rsid w:val="01EC2C57"/>
    <w:rsid w:val="0235060F"/>
    <w:rsid w:val="024A7930"/>
    <w:rsid w:val="024D44B0"/>
    <w:rsid w:val="02521C05"/>
    <w:rsid w:val="025E7742"/>
    <w:rsid w:val="026A3B24"/>
    <w:rsid w:val="026A6E15"/>
    <w:rsid w:val="026B2E25"/>
    <w:rsid w:val="026E2AF7"/>
    <w:rsid w:val="02705380"/>
    <w:rsid w:val="02777AAC"/>
    <w:rsid w:val="027D6372"/>
    <w:rsid w:val="02824D4D"/>
    <w:rsid w:val="028A181D"/>
    <w:rsid w:val="02AC3E44"/>
    <w:rsid w:val="02C75BF1"/>
    <w:rsid w:val="02C76624"/>
    <w:rsid w:val="02DC4B10"/>
    <w:rsid w:val="02DD76CE"/>
    <w:rsid w:val="02F36323"/>
    <w:rsid w:val="02F5619C"/>
    <w:rsid w:val="02FE0C2D"/>
    <w:rsid w:val="03006912"/>
    <w:rsid w:val="030742CA"/>
    <w:rsid w:val="03074921"/>
    <w:rsid w:val="031C338B"/>
    <w:rsid w:val="0326446A"/>
    <w:rsid w:val="032A5FC6"/>
    <w:rsid w:val="032B1B1D"/>
    <w:rsid w:val="032D5555"/>
    <w:rsid w:val="0339406A"/>
    <w:rsid w:val="0346139F"/>
    <w:rsid w:val="03466239"/>
    <w:rsid w:val="036634D2"/>
    <w:rsid w:val="03664F47"/>
    <w:rsid w:val="037F7FE8"/>
    <w:rsid w:val="03BB6210"/>
    <w:rsid w:val="03BF6E60"/>
    <w:rsid w:val="03C64B76"/>
    <w:rsid w:val="03C85A54"/>
    <w:rsid w:val="03D744AF"/>
    <w:rsid w:val="03DD35E4"/>
    <w:rsid w:val="03EB5833"/>
    <w:rsid w:val="04076900"/>
    <w:rsid w:val="040914D8"/>
    <w:rsid w:val="04183E69"/>
    <w:rsid w:val="041A5A3B"/>
    <w:rsid w:val="042311BA"/>
    <w:rsid w:val="042A2A48"/>
    <w:rsid w:val="042A3031"/>
    <w:rsid w:val="042B157A"/>
    <w:rsid w:val="04315D35"/>
    <w:rsid w:val="044D7B64"/>
    <w:rsid w:val="046846AB"/>
    <w:rsid w:val="048F53E8"/>
    <w:rsid w:val="048F763B"/>
    <w:rsid w:val="049F330E"/>
    <w:rsid w:val="04AA775C"/>
    <w:rsid w:val="04AF1889"/>
    <w:rsid w:val="04B637AB"/>
    <w:rsid w:val="04D853AA"/>
    <w:rsid w:val="04D94AAA"/>
    <w:rsid w:val="04EB46D9"/>
    <w:rsid w:val="04EB6681"/>
    <w:rsid w:val="04ED6A28"/>
    <w:rsid w:val="04F66F48"/>
    <w:rsid w:val="051A66B8"/>
    <w:rsid w:val="05251E14"/>
    <w:rsid w:val="05315997"/>
    <w:rsid w:val="0532415D"/>
    <w:rsid w:val="053F4C56"/>
    <w:rsid w:val="055944BC"/>
    <w:rsid w:val="055B706D"/>
    <w:rsid w:val="056E7E23"/>
    <w:rsid w:val="05722F7E"/>
    <w:rsid w:val="05A0790D"/>
    <w:rsid w:val="05A16594"/>
    <w:rsid w:val="05A3537B"/>
    <w:rsid w:val="05A51F18"/>
    <w:rsid w:val="05A6052B"/>
    <w:rsid w:val="05A7762D"/>
    <w:rsid w:val="05B54B84"/>
    <w:rsid w:val="05C52807"/>
    <w:rsid w:val="05C82767"/>
    <w:rsid w:val="060E5941"/>
    <w:rsid w:val="06110FAF"/>
    <w:rsid w:val="061816F7"/>
    <w:rsid w:val="061F2A86"/>
    <w:rsid w:val="06487E32"/>
    <w:rsid w:val="06493CA7"/>
    <w:rsid w:val="065A6178"/>
    <w:rsid w:val="066410BB"/>
    <w:rsid w:val="066466EB"/>
    <w:rsid w:val="06683583"/>
    <w:rsid w:val="066F1CF3"/>
    <w:rsid w:val="06812B17"/>
    <w:rsid w:val="06877D73"/>
    <w:rsid w:val="06930BB8"/>
    <w:rsid w:val="069D2831"/>
    <w:rsid w:val="06BD45FC"/>
    <w:rsid w:val="06DA45B9"/>
    <w:rsid w:val="06F352D1"/>
    <w:rsid w:val="06F6108B"/>
    <w:rsid w:val="06FA74F6"/>
    <w:rsid w:val="07175FD1"/>
    <w:rsid w:val="071E7B6B"/>
    <w:rsid w:val="07245D42"/>
    <w:rsid w:val="07264C62"/>
    <w:rsid w:val="072D0052"/>
    <w:rsid w:val="074E0A0F"/>
    <w:rsid w:val="07754067"/>
    <w:rsid w:val="0779354C"/>
    <w:rsid w:val="077E75F0"/>
    <w:rsid w:val="078E0316"/>
    <w:rsid w:val="07991A20"/>
    <w:rsid w:val="079B55B6"/>
    <w:rsid w:val="07DD0EE4"/>
    <w:rsid w:val="08061376"/>
    <w:rsid w:val="080E37B4"/>
    <w:rsid w:val="081064AB"/>
    <w:rsid w:val="08172C49"/>
    <w:rsid w:val="081B727D"/>
    <w:rsid w:val="081D1247"/>
    <w:rsid w:val="08244656"/>
    <w:rsid w:val="08323A52"/>
    <w:rsid w:val="08452D77"/>
    <w:rsid w:val="084B3759"/>
    <w:rsid w:val="085A435C"/>
    <w:rsid w:val="085D5AE7"/>
    <w:rsid w:val="08635072"/>
    <w:rsid w:val="08635E94"/>
    <w:rsid w:val="086401F8"/>
    <w:rsid w:val="08730E67"/>
    <w:rsid w:val="08751CAA"/>
    <w:rsid w:val="087E4C40"/>
    <w:rsid w:val="08835670"/>
    <w:rsid w:val="089465EE"/>
    <w:rsid w:val="089470F2"/>
    <w:rsid w:val="08A00A2D"/>
    <w:rsid w:val="08BE0005"/>
    <w:rsid w:val="08C55CC2"/>
    <w:rsid w:val="08C805FF"/>
    <w:rsid w:val="08D66AD6"/>
    <w:rsid w:val="08DA33A3"/>
    <w:rsid w:val="08DB30EC"/>
    <w:rsid w:val="08E80F13"/>
    <w:rsid w:val="08F057F5"/>
    <w:rsid w:val="08F506C0"/>
    <w:rsid w:val="08F8136C"/>
    <w:rsid w:val="08FF7FA1"/>
    <w:rsid w:val="09246605"/>
    <w:rsid w:val="092D1B2E"/>
    <w:rsid w:val="093078C9"/>
    <w:rsid w:val="093328E0"/>
    <w:rsid w:val="09335624"/>
    <w:rsid w:val="093E1582"/>
    <w:rsid w:val="0944690F"/>
    <w:rsid w:val="094565A6"/>
    <w:rsid w:val="0949113B"/>
    <w:rsid w:val="095015DF"/>
    <w:rsid w:val="09535675"/>
    <w:rsid w:val="095F057D"/>
    <w:rsid w:val="09636BCF"/>
    <w:rsid w:val="09642282"/>
    <w:rsid w:val="09733572"/>
    <w:rsid w:val="09772C16"/>
    <w:rsid w:val="098353B5"/>
    <w:rsid w:val="0983753A"/>
    <w:rsid w:val="09847FCA"/>
    <w:rsid w:val="098552F6"/>
    <w:rsid w:val="099519E5"/>
    <w:rsid w:val="09A92330"/>
    <w:rsid w:val="09AA2F1B"/>
    <w:rsid w:val="09B06B87"/>
    <w:rsid w:val="09C13146"/>
    <w:rsid w:val="09E04166"/>
    <w:rsid w:val="0A002BCE"/>
    <w:rsid w:val="0A0452D8"/>
    <w:rsid w:val="0A1246B0"/>
    <w:rsid w:val="0A1447F9"/>
    <w:rsid w:val="0A1C0718"/>
    <w:rsid w:val="0A3E7710"/>
    <w:rsid w:val="0A534240"/>
    <w:rsid w:val="0A5B7E63"/>
    <w:rsid w:val="0A7B5C1C"/>
    <w:rsid w:val="0AA374A5"/>
    <w:rsid w:val="0AAB7649"/>
    <w:rsid w:val="0AAC36DF"/>
    <w:rsid w:val="0AB064D1"/>
    <w:rsid w:val="0ABC5606"/>
    <w:rsid w:val="0AC4296B"/>
    <w:rsid w:val="0AC51722"/>
    <w:rsid w:val="0AD007F3"/>
    <w:rsid w:val="0AD24A0D"/>
    <w:rsid w:val="0ADD2F10"/>
    <w:rsid w:val="0B063393"/>
    <w:rsid w:val="0B0A131E"/>
    <w:rsid w:val="0B0C6DCA"/>
    <w:rsid w:val="0B171130"/>
    <w:rsid w:val="0B30404E"/>
    <w:rsid w:val="0B3E0022"/>
    <w:rsid w:val="0B404B94"/>
    <w:rsid w:val="0B4C6C14"/>
    <w:rsid w:val="0B4D7B50"/>
    <w:rsid w:val="0B566408"/>
    <w:rsid w:val="0B5C2A3C"/>
    <w:rsid w:val="0B631A88"/>
    <w:rsid w:val="0B68150D"/>
    <w:rsid w:val="0B683D45"/>
    <w:rsid w:val="0B6C34ED"/>
    <w:rsid w:val="0B791725"/>
    <w:rsid w:val="0B7F3F11"/>
    <w:rsid w:val="0B884417"/>
    <w:rsid w:val="0B9A4946"/>
    <w:rsid w:val="0BC20A20"/>
    <w:rsid w:val="0BD14B2E"/>
    <w:rsid w:val="0BF6188C"/>
    <w:rsid w:val="0BF73C91"/>
    <w:rsid w:val="0C027A0D"/>
    <w:rsid w:val="0C170175"/>
    <w:rsid w:val="0C272781"/>
    <w:rsid w:val="0C39703D"/>
    <w:rsid w:val="0C571A41"/>
    <w:rsid w:val="0C5C1171"/>
    <w:rsid w:val="0C5E1CBC"/>
    <w:rsid w:val="0C615B50"/>
    <w:rsid w:val="0C64141F"/>
    <w:rsid w:val="0C74620C"/>
    <w:rsid w:val="0C8445DA"/>
    <w:rsid w:val="0C845292"/>
    <w:rsid w:val="0C87121B"/>
    <w:rsid w:val="0C9E047D"/>
    <w:rsid w:val="0CC007F7"/>
    <w:rsid w:val="0CCF4ADA"/>
    <w:rsid w:val="0CCF6888"/>
    <w:rsid w:val="0CEF39C5"/>
    <w:rsid w:val="0CEF4331"/>
    <w:rsid w:val="0CF462EF"/>
    <w:rsid w:val="0CFC4C75"/>
    <w:rsid w:val="0CFE707A"/>
    <w:rsid w:val="0D063BDA"/>
    <w:rsid w:val="0D08375F"/>
    <w:rsid w:val="0D184CFB"/>
    <w:rsid w:val="0D190C10"/>
    <w:rsid w:val="0D20210D"/>
    <w:rsid w:val="0D3F1126"/>
    <w:rsid w:val="0D4A5F0F"/>
    <w:rsid w:val="0D4A7419"/>
    <w:rsid w:val="0D6E36EE"/>
    <w:rsid w:val="0D827401"/>
    <w:rsid w:val="0D84094E"/>
    <w:rsid w:val="0D8A00E9"/>
    <w:rsid w:val="0D8A1D87"/>
    <w:rsid w:val="0D8D589E"/>
    <w:rsid w:val="0DA01C73"/>
    <w:rsid w:val="0DC47E97"/>
    <w:rsid w:val="0DD63300"/>
    <w:rsid w:val="0DE16873"/>
    <w:rsid w:val="0DF50604"/>
    <w:rsid w:val="0DF702FE"/>
    <w:rsid w:val="0E060E51"/>
    <w:rsid w:val="0E0937A3"/>
    <w:rsid w:val="0E0C6571"/>
    <w:rsid w:val="0E27335E"/>
    <w:rsid w:val="0E3B6B0F"/>
    <w:rsid w:val="0E494A2D"/>
    <w:rsid w:val="0E5604B2"/>
    <w:rsid w:val="0E6269B6"/>
    <w:rsid w:val="0E6D5D79"/>
    <w:rsid w:val="0E9D0089"/>
    <w:rsid w:val="0EA21367"/>
    <w:rsid w:val="0EAB7F23"/>
    <w:rsid w:val="0EB03909"/>
    <w:rsid w:val="0EB803EE"/>
    <w:rsid w:val="0EB91B54"/>
    <w:rsid w:val="0EF94D4B"/>
    <w:rsid w:val="0F2046F0"/>
    <w:rsid w:val="0F4958DC"/>
    <w:rsid w:val="0F4F321B"/>
    <w:rsid w:val="0F515DF7"/>
    <w:rsid w:val="0F596BA8"/>
    <w:rsid w:val="0F6248D2"/>
    <w:rsid w:val="0F693536"/>
    <w:rsid w:val="0F785E3D"/>
    <w:rsid w:val="0F7B0511"/>
    <w:rsid w:val="0F7B76D9"/>
    <w:rsid w:val="0F7D03D5"/>
    <w:rsid w:val="0F816ACD"/>
    <w:rsid w:val="0F95CA05"/>
    <w:rsid w:val="0F9832DB"/>
    <w:rsid w:val="0FBF3FD2"/>
    <w:rsid w:val="0FBF7FF3"/>
    <w:rsid w:val="0FCC390B"/>
    <w:rsid w:val="0FCD43D2"/>
    <w:rsid w:val="0FCE2779"/>
    <w:rsid w:val="0FD549FC"/>
    <w:rsid w:val="0FD6666B"/>
    <w:rsid w:val="0FD90005"/>
    <w:rsid w:val="0FF541D7"/>
    <w:rsid w:val="10001DB3"/>
    <w:rsid w:val="100B18AE"/>
    <w:rsid w:val="100B407B"/>
    <w:rsid w:val="101D240B"/>
    <w:rsid w:val="101D4AF3"/>
    <w:rsid w:val="102101A0"/>
    <w:rsid w:val="104C70B0"/>
    <w:rsid w:val="10646583"/>
    <w:rsid w:val="10657D05"/>
    <w:rsid w:val="107A39E7"/>
    <w:rsid w:val="107D4B15"/>
    <w:rsid w:val="108165D4"/>
    <w:rsid w:val="10892156"/>
    <w:rsid w:val="108A3C80"/>
    <w:rsid w:val="109B1D4B"/>
    <w:rsid w:val="109C1517"/>
    <w:rsid w:val="10A26F9F"/>
    <w:rsid w:val="10A84371"/>
    <w:rsid w:val="10B55A6A"/>
    <w:rsid w:val="10C26171"/>
    <w:rsid w:val="10CD2A3A"/>
    <w:rsid w:val="10D375F0"/>
    <w:rsid w:val="10D87C8E"/>
    <w:rsid w:val="10F33360"/>
    <w:rsid w:val="10F924DB"/>
    <w:rsid w:val="10FC16EA"/>
    <w:rsid w:val="10FF0714"/>
    <w:rsid w:val="110435D3"/>
    <w:rsid w:val="110F1D40"/>
    <w:rsid w:val="111C731A"/>
    <w:rsid w:val="111D5165"/>
    <w:rsid w:val="11266F33"/>
    <w:rsid w:val="11385975"/>
    <w:rsid w:val="115F268B"/>
    <w:rsid w:val="117122E4"/>
    <w:rsid w:val="117532E4"/>
    <w:rsid w:val="11845E93"/>
    <w:rsid w:val="118963A1"/>
    <w:rsid w:val="119434EA"/>
    <w:rsid w:val="11C6522A"/>
    <w:rsid w:val="11DB48E7"/>
    <w:rsid w:val="11E104CC"/>
    <w:rsid w:val="11E20309"/>
    <w:rsid w:val="11EF581F"/>
    <w:rsid w:val="11EF62D5"/>
    <w:rsid w:val="11F04E67"/>
    <w:rsid w:val="11FA6155"/>
    <w:rsid w:val="121216B1"/>
    <w:rsid w:val="12255233"/>
    <w:rsid w:val="1246139A"/>
    <w:rsid w:val="12461EBC"/>
    <w:rsid w:val="124A3193"/>
    <w:rsid w:val="12530213"/>
    <w:rsid w:val="126D1E81"/>
    <w:rsid w:val="1274357A"/>
    <w:rsid w:val="127723A9"/>
    <w:rsid w:val="12862074"/>
    <w:rsid w:val="12883966"/>
    <w:rsid w:val="12911B2D"/>
    <w:rsid w:val="129E45B4"/>
    <w:rsid w:val="12AB56A1"/>
    <w:rsid w:val="12C04F06"/>
    <w:rsid w:val="12C214F9"/>
    <w:rsid w:val="12D237E3"/>
    <w:rsid w:val="12D364AD"/>
    <w:rsid w:val="12D57598"/>
    <w:rsid w:val="12D81596"/>
    <w:rsid w:val="12F85317"/>
    <w:rsid w:val="12FC2D17"/>
    <w:rsid w:val="13072A44"/>
    <w:rsid w:val="130C1DE1"/>
    <w:rsid w:val="1326532E"/>
    <w:rsid w:val="13491DC8"/>
    <w:rsid w:val="13497394"/>
    <w:rsid w:val="13596EAB"/>
    <w:rsid w:val="135F4BE2"/>
    <w:rsid w:val="136430A9"/>
    <w:rsid w:val="13644439"/>
    <w:rsid w:val="136C15D2"/>
    <w:rsid w:val="137249D0"/>
    <w:rsid w:val="1375561D"/>
    <w:rsid w:val="138C2404"/>
    <w:rsid w:val="13953EB8"/>
    <w:rsid w:val="13956320"/>
    <w:rsid w:val="139B1A0A"/>
    <w:rsid w:val="139D25C7"/>
    <w:rsid w:val="13AB5C86"/>
    <w:rsid w:val="13B128C5"/>
    <w:rsid w:val="13B53E30"/>
    <w:rsid w:val="13BB4E14"/>
    <w:rsid w:val="13BF3CE4"/>
    <w:rsid w:val="13E14DB8"/>
    <w:rsid w:val="13E81B95"/>
    <w:rsid w:val="13F9E811"/>
    <w:rsid w:val="13FD017F"/>
    <w:rsid w:val="141008D8"/>
    <w:rsid w:val="14116A17"/>
    <w:rsid w:val="14125FE6"/>
    <w:rsid w:val="14145B41"/>
    <w:rsid w:val="141D4A74"/>
    <w:rsid w:val="141E11F3"/>
    <w:rsid w:val="14321BD6"/>
    <w:rsid w:val="144162BD"/>
    <w:rsid w:val="146D271E"/>
    <w:rsid w:val="14731DB8"/>
    <w:rsid w:val="147A5527"/>
    <w:rsid w:val="147F5D70"/>
    <w:rsid w:val="14982588"/>
    <w:rsid w:val="149A5AD9"/>
    <w:rsid w:val="14A7619D"/>
    <w:rsid w:val="14A9329E"/>
    <w:rsid w:val="14AF5803"/>
    <w:rsid w:val="14D80309"/>
    <w:rsid w:val="14DF0614"/>
    <w:rsid w:val="14E11C36"/>
    <w:rsid w:val="14F7743B"/>
    <w:rsid w:val="14FE7695"/>
    <w:rsid w:val="150536C3"/>
    <w:rsid w:val="15082937"/>
    <w:rsid w:val="150C1963"/>
    <w:rsid w:val="15140B6D"/>
    <w:rsid w:val="151447A0"/>
    <w:rsid w:val="15306CE7"/>
    <w:rsid w:val="154A6454"/>
    <w:rsid w:val="15761F97"/>
    <w:rsid w:val="15762120"/>
    <w:rsid w:val="157704CB"/>
    <w:rsid w:val="15AB4F5C"/>
    <w:rsid w:val="15B72002"/>
    <w:rsid w:val="15FD3544"/>
    <w:rsid w:val="160A40D0"/>
    <w:rsid w:val="160F0770"/>
    <w:rsid w:val="161377E5"/>
    <w:rsid w:val="16203CC6"/>
    <w:rsid w:val="162E461F"/>
    <w:rsid w:val="164F6FA2"/>
    <w:rsid w:val="16935AFB"/>
    <w:rsid w:val="1695754D"/>
    <w:rsid w:val="16A04D1D"/>
    <w:rsid w:val="16A8729C"/>
    <w:rsid w:val="16B33777"/>
    <w:rsid w:val="16BC70A7"/>
    <w:rsid w:val="16C070DE"/>
    <w:rsid w:val="16C44F84"/>
    <w:rsid w:val="16C6339E"/>
    <w:rsid w:val="16C8023C"/>
    <w:rsid w:val="16C83453"/>
    <w:rsid w:val="16E43ACF"/>
    <w:rsid w:val="1703534A"/>
    <w:rsid w:val="170550D4"/>
    <w:rsid w:val="172F2D79"/>
    <w:rsid w:val="173826FB"/>
    <w:rsid w:val="17431364"/>
    <w:rsid w:val="174D5E14"/>
    <w:rsid w:val="17516A3B"/>
    <w:rsid w:val="17557BEF"/>
    <w:rsid w:val="175F1B8D"/>
    <w:rsid w:val="1766769E"/>
    <w:rsid w:val="1767603B"/>
    <w:rsid w:val="17732C32"/>
    <w:rsid w:val="177C435A"/>
    <w:rsid w:val="17817F62"/>
    <w:rsid w:val="17824D0F"/>
    <w:rsid w:val="1788153B"/>
    <w:rsid w:val="179C0159"/>
    <w:rsid w:val="179F3E4F"/>
    <w:rsid w:val="17AC096F"/>
    <w:rsid w:val="17BB6211"/>
    <w:rsid w:val="17BB77F7"/>
    <w:rsid w:val="17D349C1"/>
    <w:rsid w:val="1830729E"/>
    <w:rsid w:val="1833416F"/>
    <w:rsid w:val="18537936"/>
    <w:rsid w:val="185B5242"/>
    <w:rsid w:val="185C618E"/>
    <w:rsid w:val="18641A25"/>
    <w:rsid w:val="186A6FF4"/>
    <w:rsid w:val="1870062C"/>
    <w:rsid w:val="18735596"/>
    <w:rsid w:val="18817102"/>
    <w:rsid w:val="18830A15"/>
    <w:rsid w:val="18852B28"/>
    <w:rsid w:val="188B5321"/>
    <w:rsid w:val="18972D9D"/>
    <w:rsid w:val="18A74C3E"/>
    <w:rsid w:val="18B83479"/>
    <w:rsid w:val="190672CB"/>
    <w:rsid w:val="190873AA"/>
    <w:rsid w:val="194941B9"/>
    <w:rsid w:val="194A629B"/>
    <w:rsid w:val="19540089"/>
    <w:rsid w:val="195C71A1"/>
    <w:rsid w:val="1968104D"/>
    <w:rsid w:val="196C1B1A"/>
    <w:rsid w:val="19930A9B"/>
    <w:rsid w:val="19932372"/>
    <w:rsid w:val="19933997"/>
    <w:rsid w:val="19A20DD5"/>
    <w:rsid w:val="19A215AC"/>
    <w:rsid w:val="19AE03F1"/>
    <w:rsid w:val="19C42578"/>
    <w:rsid w:val="19C71013"/>
    <w:rsid w:val="19C92FDD"/>
    <w:rsid w:val="19DE4DF4"/>
    <w:rsid w:val="19DF6338"/>
    <w:rsid w:val="19E226FA"/>
    <w:rsid w:val="19E76FD8"/>
    <w:rsid w:val="19F27194"/>
    <w:rsid w:val="19FE70FC"/>
    <w:rsid w:val="1A071A03"/>
    <w:rsid w:val="1A0E04B5"/>
    <w:rsid w:val="1A135CE4"/>
    <w:rsid w:val="1A1D3EB4"/>
    <w:rsid w:val="1A1F16AE"/>
    <w:rsid w:val="1A2A15A2"/>
    <w:rsid w:val="1A3B5C77"/>
    <w:rsid w:val="1A4D7795"/>
    <w:rsid w:val="1A6807FE"/>
    <w:rsid w:val="1A731446"/>
    <w:rsid w:val="1A984BAD"/>
    <w:rsid w:val="1AB8220E"/>
    <w:rsid w:val="1AC63AEF"/>
    <w:rsid w:val="1AD749C8"/>
    <w:rsid w:val="1AE4166C"/>
    <w:rsid w:val="1AE667F7"/>
    <w:rsid w:val="1AEF6A73"/>
    <w:rsid w:val="1AF06CFB"/>
    <w:rsid w:val="1AF11B8D"/>
    <w:rsid w:val="1B11359C"/>
    <w:rsid w:val="1B222279"/>
    <w:rsid w:val="1B231539"/>
    <w:rsid w:val="1B2808CF"/>
    <w:rsid w:val="1B2A271F"/>
    <w:rsid w:val="1B530544"/>
    <w:rsid w:val="1B682141"/>
    <w:rsid w:val="1B713184"/>
    <w:rsid w:val="1B8F031E"/>
    <w:rsid w:val="1BA209CF"/>
    <w:rsid w:val="1BB4777D"/>
    <w:rsid w:val="1BC02D10"/>
    <w:rsid w:val="1BC15194"/>
    <w:rsid w:val="1BC872C4"/>
    <w:rsid w:val="1BD345CB"/>
    <w:rsid w:val="1BD634FD"/>
    <w:rsid w:val="1BD75AB8"/>
    <w:rsid w:val="1BE35896"/>
    <w:rsid w:val="1BEF62D2"/>
    <w:rsid w:val="1BF37507"/>
    <w:rsid w:val="1C0459C2"/>
    <w:rsid w:val="1C116C14"/>
    <w:rsid w:val="1C1B3B4A"/>
    <w:rsid w:val="1C2250B2"/>
    <w:rsid w:val="1C2972B2"/>
    <w:rsid w:val="1C2B3CB7"/>
    <w:rsid w:val="1C425FB4"/>
    <w:rsid w:val="1C514F68"/>
    <w:rsid w:val="1C7D334A"/>
    <w:rsid w:val="1C864BDA"/>
    <w:rsid w:val="1C88086E"/>
    <w:rsid w:val="1C905DFD"/>
    <w:rsid w:val="1C947262"/>
    <w:rsid w:val="1C9A044A"/>
    <w:rsid w:val="1CA25A78"/>
    <w:rsid w:val="1CA51364"/>
    <w:rsid w:val="1CAC44F0"/>
    <w:rsid w:val="1CB15A9B"/>
    <w:rsid w:val="1CB35C45"/>
    <w:rsid w:val="1CB37084"/>
    <w:rsid w:val="1CDA1C51"/>
    <w:rsid w:val="1CE61290"/>
    <w:rsid w:val="1CEF66A3"/>
    <w:rsid w:val="1CF85987"/>
    <w:rsid w:val="1D02521F"/>
    <w:rsid w:val="1D0B5E54"/>
    <w:rsid w:val="1D1A56FB"/>
    <w:rsid w:val="1D266CE1"/>
    <w:rsid w:val="1D285FD7"/>
    <w:rsid w:val="1D2B3AA0"/>
    <w:rsid w:val="1D3963AF"/>
    <w:rsid w:val="1D486572"/>
    <w:rsid w:val="1D510C8F"/>
    <w:rsid w:val="1D5C7CC4"/>
    <w:rsid w:val="1D6962DA"/>
    <w:rsid w:val="1D6A673C"/>
    <w:rsid w:val="1D85128A"/>
    <w:rsid w:val="1D9247AE"/>
    <w:rsid w:val="1DB41589"/>
    <w:rsid w:val="1DB44305"/>
    <w:rsid w:val="1DB567EC"/>
    <w:rsid w:val="1DB64F64"/>
    <w:rsid w:val="1DBA0F95"/>
    <w:rsid w:val="1DBC69B5"/>
    <w:rsid w:val="1DCB3C3C"/>
    <w:rsid w:val="1DCC3202"/>
    <w:rsid w:val="1DDD15F4"/>
    <w:rsid w:val="1DEE9672"/>
    <w:rsid w:val="1DF51A98"/>
    <w:rsid w:val="1E2A6829"/>
    <w:rsid w:val="1E3D060F"/>
    <w:rsid w:val="1E3E561C"/>
    <w:rsid w:val="1E3F7D2E"/>
    <w:rsid w:val="1E4134E4"/>
    <w:rsid w:val="1E433FA3"/>
    <w:rsid w:val="1E48553D"/>
    <w:rsid w:val="1E4C378C"/>
    <w:rsid w:val="1E5062B3"/>
    <w:rsid w:val="1E512E75"/>
    <w:rsid w:val="1E523514"/>
    <w:rsid w:val="1E562720"/>
    <w:rsid w:val="1E6A6411"/>
    <w:rsid w:val="1E714A66"/>
    <w:rsid w:val="1E763077"/>
    <w:rsid w:val="1E773D87"/>
    <w:rsid w:val="1E7C5B9B"/>
    <w:rsid w:val="1E802593"/>
    <w:rsid w:val="1E937715"/>
    <w:rsid w:val="1E9A76F1"/>
    <w:rsid w:val="1EA24FEE"/>
    <w:rsid w:val="1EA550CA"/>
    <w:rsid w:val="1EA703CC"/>
    <w:rsid w:val="1EB7330C"/>
    <w:rsid w:val="1EBA2EF4"/>
    <w:rsid w:val="1EBC5ACA"/>
    <w:rsid w:val="1EC76F3D"/>
    <w:rsid w:val="1EF021FC"/>
    <w:rsid w:val="1EF4720D"/>
    <w:rsid w:val="1EF83B6C"/>
    <w:rsid w:val="1EFF61A2"/>
    <w:rsid w:val="1F0A0FF3"/>
    <w:rsid w:val="1F196EDC"/>
    <w:rsid w:val="1F2B46FF"/>
    <w:rsid w:val="1F471963"/>
    <w:rsid w:val="1F5771FF"/>
    <w:rsid w:val="1F5B3F8C"/>
    <w:rsid w:val="1F7E9177"/>
    <w:rsid w:val="1FA13231"/>
    <w:rsid w:val="1FA70B19"/>
    <w:rsid w:val="1FB20B2E"/>
    <w:rsid w:val="1FCC17F1"/>
    <w:rsid w:val="1FCC2803"/>
    <w:rsid w:val="1FD104CD"/>
    <w:rsid w:val="1FDB274B"/>
    <w:rsid w:val="1FE868A9"/>
    <w:rsid w:val="1FF54201"/>
    <w:rsid w:val="1FF82AFE"/>
    <w:rsid w:val="20016901"/>
    <w:rsid w:val="20034907"/>
    <w:rsid w:val="2014753F"/>
    <w:rsid w:val="20173E4B"/>
    <w:rsid w:val="202A7DB8"/>
    <w:rsid w:val="20350B0C"/>
    <w:rsid w:val="20362554"/>
    <w:rsid w:val="203C1BC7"/>
    <w:rsid w:val="203D6BC1"/>
    <w:rsid w:val="204E48BC"/>
    <w:rsid w:val="204F7FAC"/>
    <w:rsid w:val="206C35F3"/>
    <w:rsid w:val="20752C51"/>
    <w:rsid w:val="208921B3"/>
    <w:rsid w:val="20945364"/>
    <w:rsid w:val="20947DAF"/>
    <w:rsid w:val="20973DEB"/>
    <w:rsid w:val="20992ABA"/>
    <w:rsid w:val="20A87AFC"/>
    <w:rsid w:val="20A906C5"/>
    <w:rsid w:val="20B26522"/>
    <w:rsid w:val="20B44310"/>
    <w:rsid w:val="20C3410E"/>
    <w:rsid w:val="20CB09D1"/>
    <w:rsid w:val="20D815FF"/>
    <w:rsid w:val="20DB1848"/>
    <w:rsid w:val="20E86B09"/>
    <w:rsid w:val="20EA582A"/>
    <w:rsid w:val="20EF1952"/>
    <w:rsid w:val="20FF0A7D"/>
    <w:rsid w:val="21030097"/>
    <w:rsid w:val="210437B9"/>
    <w:rsid w:val="210F606E"/>
    <w:rsid w:val="211116EB"/>
    <w:rsid w:val="2111414A"/>
    <w:rsid w:val="21196D50"/>
    <w:rsid w:val="211F52F7"/>
    <w:rsid w:val="215E30CF"/>
    <w:rsid w:val="216133FC"/>
    <w:rsid w:val="21647F51"/>
    <w:rsid w:val="217A64F5"/>
    <w:rsid w:val="217A696B"/>
    <w:rsid w:val="217F03BB"/>
    <w:rsid w:val="218274E0"/>
    <w:rsid w:val="219659A1"/>
    <w:rsid w:val="21B34C38"/>
    <w:rsid w:val="21B63416"/>
    <w:rsid w:val="21C265F4"/>
    <w:rsid w:val="21D56769"/>
    <w:rsid w:val="21E52EF3"/>
    <w:rsid w:val="21E750CB"/>
    <w:rsid w:val="21ED551B"/>
    <w:rsid w:val="21FB5D7B"/>
    <w:rsid w:val="21FC7CC7"/>
    <w:rsid w:val="220B1C3D"/>
    <w:rsid w:val="221D1D20"/>
    <w:rsid w:val="221E6AC9"/>
    <w:rsid w:val="221F26E7"/>
    <w:rsid w:val="22334A87"/>
    <w:rsid w:val="22343B44"/>
    <w:rsid w:val="22457D92"/>
    <w:rsid w:val="224669FA"/>
    <w:rsid w:val="22610784"/>
    <w:rsid w:val="2280626F"/>
    <w:rsid w:val="22BE6801"/>
    <w:rsid w:val="22C34A1C"/>
    <w:rsid w:val="22CC64E9"/>
    <w:rsid w:val="22D36C7A"/>
    <w:rsid w:val="22DB1F7E"/>
    <w:rsid w:val="22E603D9"/>
    <w:rsid w:val="22EC3898"/>
    <w:rsid w:val="23014C05"/>
    <w:rsid w:val="230E5425"/>
    <w:rsid w:val="23157561"/>
    <w:rsid w:val="233500BF"/>
    <w:rsid w:val="23377FF7"/>
    <w:rsid w:val="234A05BF"/>
    <w:rsid w:val="234C64C0"/>
    <w:rsid w:val="23607DE2"/>
    <w:rsid w:val="236B425F"/>
    <w:rsid w:val="23836192"/>
    <w:rsid w:val="2386637A"/>
    <w:rsid w:val="23901F29"/>
    <w:rsid w:val="239C0061"/>
    <w:rsid w:val="23AD53D6"/>
    <w:rsid w:val="23B908A4"/>
    <w:rsid w:val="23C62FF2"/>
    <w:rsid w:val="23D012D9"/>
    <w:rsid w:val="23D8520B"/>
    <w:rsid w:val="23E95BEF"/>
    <w:rsid w:val="23FD0064"/>
    <w:rsid w:val="24064EF2"/>
    <w:rsid w:val="240841FA"/>
    <w:rsid w:val="24171B52"/>
    <w:rsid w:val="241D71F3"/>
    <w:rsid w:val="24254E4F"/>
    <w:rsid w:val="242E25A4"/>
    <w:rsid w:val="242F3AAF"/>
    <w:rsid w:val="244D18C9"/>
    <w:rsid w:val="245375B0"/>
    <w:rsid w:val="24572F93"/>
    <w:rsid w:val="245C67FB"/>
    <w:rsid w:val="24642C0A"/>
    <w:rsid w:val="248A4B09"/>
    <w:rsid w:val="248A5117"/>
    <w:rsid w:val="24904132"/>
    <w:rsid w:val="24B22173"/>
    <w:rsid w:val="24B95AD9"/>
    <w:rsid w:val="24BB274A"/>
    <w:rsid w:val="24BE24DA"/>
    <w:rsid w:val="24CF5825"/>
    <w:rsid w:val="24D044A2"/>
    <w:rsid w:val="24D663E6"/>
    <w:rsid w:val="24D77F2B"/>
    <w:rsid w:val="25052271"/>
    <w:rsid w:val="250A753E"/>
    <w:rsid w:val="25153019"/>
    <w:rsid w:val="2528169C"/>
    <w:rsid w:val="25344AF2"/>
    <w:rsid w:val="256373C9"/>
    <w:rsid w:val="25867519"/>
    <w:rsid w:val="258B00E2"/>
    <w:rsid w:val="25A03B85"/>
    <w:rsid w:val="25A917A6"/>
    <w:rsid w:val="25B82725"/>
    <w:rsid w:val="25BD415B"/>
    <w:rsid w:val="25BE27CC"/>
    <w:rsid w:val="25DF68A6"/>
    <w:rsid w:val="25F74A5C"/>
    <w:rsid w:val="25F82A7E"/>
    <w:rsid w:val="26041BE9"/>
    <w:rsid w:val="260F6996"/>
    <w:rsid w:val="26247A03"/>
    <w:rsid w:val="2628662C"/>
    <w:rsid w:val="262877D8"/>
    <w:rsid w:val="262D45DE"/>
    <w:rsid w:val="262F241A"/>
    <w:rsid w:val="263162FA"/>
    <w:rsid w:val="26317029"/>
    <w:rsid w:val="26363AE1"/>
    <w:rsid w:val="263712CE"/>
    <w:rsid w:val="26482561"/>
    <w:rsid w:val="264F0B68"/>
    <w:rsid w:val="26513854"/>
    <w:rsid w:val="2698749C"/>
    <w:rsid w:val="26A53EF9"/>
    <w:rsid w:val="26A94201"/>
    <w:rsid w:val="26AC274F"/>
    <w:rsid w:val="26C03063"/>
    <w:rsid w:val="26D727BC"/>
    <w:rsid w:val="26E335FE"/>
    <w:rsid w:val="26E9683D"/>
    <w:rsid w:val="26EC20B9"/>
    <w:rsid w:val="26F176CF"/>
    <w:rsid w:val="27044A29"/>
    <w:rsid w:val="27103A72"/>
    <w:rsid w:val="271D34C8"/>
    <w:rsid w:val="272F4BD3"/>
    <w:rsid w:val="272F6449"/>
    <w:rsid w:val="27386E32"/>
    <w:rsid w:val="275E0E8F"/>
    <w:rsid w:val="276142BF"/>
    <w:rsid w:val="27783712"/>
    <w:rsid w:val="2786213D"/>
    <w:rsid w:val="27907362"/>
    <w:rsid w:val="27A77AA6"/>
    <w:rsid w:val="27B2383F"/>
    <w:rsid w:val="27D818B3"/>
    <w:rsid w:val="27DF7B36"/>
    <w:rsid w:val="27E15740"/>
    <w:rsid w:val="27E86E6F"/>
    <w:rsid w:val="27FD349C"/>
    <w:rsid w:val="28114408"/>
    <w:rsid w:val="282F1307"/>
    <w:rsid w:val="28333E1D"/>
    <w:rsid w:val="28454BD6"/>
    <w:rsid w:val="28455253"/>
    <w:rsid w:val="28551971"/>
    <w:rsid w:val="285765A2"/>
    <w:rsid w:val="285B1C53"/>
    <w:rsid w:val="287C34F0"/>
    <w:rsid w:val="288B580C"/>
    <w:rsid w:val="2898352A"/>
    <w:rsid w:val="289F7086"/>
    <w:rsid w:val="28A97B28"/>
    <w:rsid w:val="28B64627"/>
    <w:rsid w:val="28B97049"/>
    <w:rsid w:val="28BE3992"/>
    <w:rsid w:val="28C32028"/>
    <w:rsid w:val="28CC490F"/>
    <w:rsid w:val="28D76470"/>
    <w:rsid w:val="28DE18DB"/>
    <w:rsid w:val="28DE40AA"/>
    <w:rsid w:val="28E84B02"/>
    <w:rsid w:val="2902118B"/>
    <w:rsid w:val="29163D58"/>
    <w:rsid w:val="29260DA8"/>
    <w:rsid w:val="29307236"/>
    <w:rsid w:val="29345E77"/>
    <w:rsid w:val="293B5FC4"/>
    <w:rsid w:val="294C65AD"/>
    <w:rsid w:val="2969059E"/>
    <w:rsid w:val="296C05D6"/>
    <w:rsid w:val="296C67B1"/>
    <w:rsid w:val="297222EB"/>
    <w:rsid w:val="29774DDE"/>
    <w:rsid w:val="297B7724"/>
    <w:rsid w:val="29806583"/>
    <w:rsid w:val="2987431B"/>
    <w:rsid w:val="298B3C4C"/>
    <w:rsid w:val="29B9773A"/>
    <w:rsid w:val="29D21B8B"/>
    <w:rsid w:val="29D8781D"/>
    <w:rsid w:val="29DD1052"/>
    <w:rsid w:val="29DD4087"/>
    <w:rsid w:val="29E57130"/>
    <w:rsid w:val="29E82B40"/>
    <w:rsid w:val="29F268C3"/>
    <w:rsid w:val="29F26D24"/>
    <w:rsid w:val="2A0F5E0A"/>
    <w:rsid w:val="2A15033F"/>
    <w:rsid w:val="2A1662C1"/>
    <w:rsid w:val="2A1C7367"/>
    <w:rsid w:val="2A2815FA"/>
    <w:rsid w:val="2A292FB7"/>
    <w:rsid w:val="2A327227"/>
    <w:rsid w:val="2A363870"/>
    <w:rsid w:val="2A585CB7"/>
    <w:rsid w:val="2A591FB4"/>
    <w:rsid w:val="2A5C57A7"/>
    <w:rsid w:val="2A5D1CE6"/>
    <w:rsid w:val="2A631596"/>
    <w:rsid w:val="2A6D6092"/>
    <w:rsid w:val="2A7D76B4"/>
    <w:rsid w:val="2AA94951"/>
    <w:rsid w:val="2AAB5668"/>
    <w:rsid w:val="2ADB4069"/>
    <w:rsid w:val="2AE13EFE"/>
    <w:rsid w:val="2AE169FE"/>
    <w:rsid w:val="2AF013AA"/>
    <w:rsid w:val="2AF75041"/>
    <w:rsid w:val="2AFA7AAF"/>
    <w:rsid w:val="2B1467DA"/>
    <w:rsid w:val="2B2C3635"/>
    <w:rsid w:val="2B437463"/>
    <w:rsid w:val="2B623F51"/>
    <w:rsid w:val="2B641EAB"/>
    <w:rsid w:val="2B656E9C"/>
    <w:rsid w:val="2B7807EE"/>
    <w:rsid w:val="2BAF599F"/>
    <w:rsid w:val="2BBF00EC"/>
    <w:rsid w:val="2BC37CFD"/>
    <w:rsid w:val="2BD411BC"/>
    <w:rsid w:val="2BD5034F"/>
    <w:rsid w:val="2BD5237F"/>
    <w:rsid w:val="2BDA5682"/>
    <w:rsid w:val="2BDC22FE"/>
    <w:rsid w:val="2BE536CE"/>
    <w:rsid w:val="2BE758D9"/>
    <w:rsid w:val="2BED27E9"/>
    <w:rsid w:val="2BF45B89"/>
    <w:rsid w:val="2C09049E"/>
    <w:rsid w:val="2C0A653C"/>
    <w:rsid w:val="2C0B56E1"/>
    <w:rsid w:val="2C191F85"/>
    <w:rsid w:val="2C2250B6"/>
    <w:rsid w:val="2C3B1043"/>
    <w:rsid w:val="2C526292"/>
    <w:rsid w:val="2C6203A4"/>
    <w:rsid w:val="2C78619D"/>
    <w:rsid w:val="2C7A598B"/>
    <w:rsid w:val="2C7D1A05"/>
    <w:rsid w:val="2C986F42"/>
    <w:rsid w:val="2CA21D29"/>
    <w:rsid w:val="2CA6148E"/>
    <w:rsid w:val="2CB300A7"/>
    <w:rsid w:val="2CB61D0E"/>
    <w:rsid w:val="2CD72228"/>
    <w:rsid w:val="2CE82D6F"/>
    <w:rsid w:val="2CEE74EC"/>
    <w:rsid w:val="2CF3769A"/>
    <w:rsid w:val="2CF76705"/>
    <w:rsid w:val="2D0B4894"/>
    <w:rsid w:val="2D161E06"/>
    <w:rsid w:val="2D1B6247"/>
    <w:rsid w:val="2D29287C"/>
    <w:rsid w:val="2D2C5535"/>
    <w:rsid w:val="2D343236"/>
    <w:rsid w:val="2D3F737E"/>
    <w:rsid w:val="2D574DFE"/>
    <w:rsid w:val="2D786D73"/>
    <w:rsid w:val="2D8734D9"/>
    <w:rsid w:val="2D9B00E0"/>
    <w:rsid w:val="2DC3248D"/>
    <w:rsid w:val="2DD15014"/>
    <w:rsid w:val="2DEC6E42"/>
    <w:rsid w:val="2DF010FC"/>
    <w:rsid w:val="2DF72DE4"/>
    <w:rsid w:val="2E0035B0"/>
    <w:rsid w:val="2E0220AF"/>
    <w:rsid w:val="2E080A74"/>
    <w:rsid w:val="2E2B7EEE"/>
    <w:rsid w:val="2E2D034A"/>
    <w:rsid w:val="2E337D36"/>
    <w:rsid w:val="2E3B2F47"/>
    <w:rsid w:val="2E4B082A"/>
    <w:rsid w:val="2E5550E9"/>
    <w:rsid w:val="2E5D4E86"/>
    <w:rsid w:val="2E5D790B"/>
    <w:rsid w:val="2E61338C"/>
    <w:rsid w:val="2E662925"/>
    <w:rsid w:val="2E6966E5"/>
    <w:rsid w:val="2E795AC8"/>
    <w:rsid w:val="2E876B6B"/>
    <w:rsid w:val="2E9A3C18"/>
    <w:rsid w:val="2EBB0FEE"/>
    <w:rsid w:val="2EC63002"/>
    <w:rsid w:val="2ECE0195"/>
    <w:rsid w:val="2ED71B04"/>
    <w:rsid w:val="2EE23DA1"/>
    <w:rsid w:val="2EEB054F"/>
    <w:rsid w:val="2F041F69"/>
    <w:rsid w:val="2F0A6B38"/>
    <w:rsid w:val="2F0D5BDD"/>
    <w:rsid w:val="2F12293F"/>
    <w:rsid w:val="2F250C95"/>
    <w:rsid w:val="2F2A1F78"/>
    <w:rsid w:val="2F462582"/>
    <w:rsid w:val="2F484A6E"/>
    <w:rsid w:val="2F4D512A"/>
    <w:rsid w:val="2F5FE917"/>
    <w:rsid w:val="2F892AC8"/>
    <w:rsid w:val="2F8B46F2"/>
    <w:rsid w:val="2F946CCB"/>
    <w:rsid w:val="2FA17B10"/>
    <w:rsid w:val="2FA554FB"/>
    <w:rsid w:val="2FA64CDA"/>
    <w:rsid w:val="2FB0787D"/>
    <w:rsid w:val="2FB93DA6"/>
    <w:rsid w:val="2FC21C48"/>
    <w:rsid w:val="2FCA605E"/>
    <w:rsid w:val="2FCC0CD9"/>
    <w:rsid w:val="2FD25781"/>
    <w:rsid w:val="2FD91DD4"/>
    <w:rsid w:val="2FDD2EE6"/>
    <w:rsid w:val="2FDD4699"/>
    <w:rsid w:val="2FEE50F3"/>
    <w:rsid w:val="2FFD7934"/>
    <w:rsid w:val="30080165"/>
    <w:rsid w:val="30177A02"/>
    <w:rsid w:val="30192896"/>
    <w:rsid w:val="3024089F"/>
    <w:rsid w:val="30285CC7"/>
    <w:rsid w:val="30296091"/>
    <w:rsid w:val="303009C3"/>
    <w:rsid w:val="30307BF4"/>
    <w:rsid w:val="30326131"/>
    <w:rsid w:val="303625F7"/>
    <w:rsid w:val="30375030"/>
    <w:rsid w:val="30632546"/>
    <w:rsid w:val="30703D5A"/>
    <w:rsid w:val="30733ACD"/>
    <w:rsid w:val="307A0735"/>
    <w:rsid w:val="308710A4"/>
    <w:rsid w:val="308C3862"/>
    <w:rsid w:val="308E2433"/>
    <w:rsid w:val="309379D8"/>
    <w:rsid w:val="309B14CD"/>
    <w:rsid w:val="30A270F7"/>
    <w:rsid w:val="30AF457B"/>
    <w:rsid w:val="30B05CC1"/>
    <w:rsid w:val="30B76DB5"/>
    <w:rsid w:val="30B86AD2"/>
    <w:rsid w:val="30BB7219"/>
    <w:rsid w:val="30C70618"/>
    <w:rsid w:val="30CD5E8E"/>
    <w:rsid w:val="30D2231F"/>
    <w:rsid w:val="30D54712"/>
    <w:rsid w:val="30DF1478"/>
    <w:rsid w:val="30EC586F"/>
    <w:rsid w:val="30F37FE2"/>
    <w:rsid w:val="30F95A62"/>
    <w:rsid w:val="311566B0"/>
    <w:rsid w:val="311A40E8"/>
    <w:rsid w:val="311E2EDB"/>
    <w:rsid w:val="31211262"/>
    <w:rsid w:val="314D3E18"/>
    <w:rsid w:val="315917C9"/>
    <w:rsid w:val="31673819"/>
    <w:rsid w:val="318B7B3D"/>
    <w:rsid w:val="319C6071"/>
    <w:rsid w:val="31AB491E"/>
    <w:rsid w:val="31AC537E"/>
    <w:rsid w:val="31B22151"/>
    <w:rsid w:val="31B25211"/>
    <w:rsid w:val="31C8272C"/>
    <w:rsid w:val="31D401E3"/>
    <w:rsid w:val="31E07D04"/>
    <w:rsid w:val="31E22281"/>
    <w:rsid w:val="31E3679B"/>
    <w:rsid w:val="31E47795"/>
    <w:rsid w:val="31E732FD"/>
    <w:rsid w:val="320D2C31"/>
    <w:rsid w:val="320F6B69"/>
    <w:rsid w:val="322E355C"/>
    <w:rsid w:val="32301F7D"/>
    <w:rsid w:val="323668DE"/>
    <w:rsid w:val="3239641D"/>
    <w:rsid w:val="32402A3B"/>
    <w:rsid w:val="32410189"/>
    <w:rsid w:val="32517576"/>
    <w:rsid w:val="32545D2E"/>
    <w:rsid w:val="3262778D"/>
    <w:rsid w:val="32743C8D"/>
    <w:rsid w:val="32825ADE"/>
    <w:rsid w:val="328D7998"/>
    <w:rsid w:val="329B41FD"/>
    <w:rsid w:val="32B15835"/>
    <w:rsid w:val="32BE5C2C"/>
    <w:rsid w:val="32C94E8E"/>
    <w:rsid w:val="32D22AAA"/>
    <w:rsid w:val="32DB1C5F"/>
    <w:rsid w:val="32DC5D7E"/>
    <w:rsid w:val="32FB6478"/>
    <w:rsid w:val="330C763F"/>
    <w:rsid w:val="33263B3F"/>
    <w:rsid w:val="336963EB"/>
    <w:rsid w:val="33816EEB"/>
    <w:rsid w:val="3398744C"/>
    <w:rsid w:val="33BB7011"/>
    <w:rsid w:val="33D44600"/>
    <w:rsid w:val="33D76D98"/>
    <w:rsid w:val="33EB55CD"/>
    <w:rsid w:val="33EC4C02"/>
    <w:rsid w:val="33F26C0D"/>
    <w:rsid w:val="34065EA4"/>
    <w:rsid w:val="340D2360"/>
    <w:rsid w:val="3410665D"/>
    <w:rsid w:val="34211214"/>
    <w:rsid w:val="3421725E"/>
    <w:rsid w:val="342866FA"/>
    <w:rsid w:val="342963C1"/>
    <w:rsid w:val="342E63AB"/>
    <w:rsid w:val="34492EB3"/>
    <w:rsid w:val="344A7407"/>
    <w:rsid w:val="344C7199"/>
    <w:rsid w:val="344D2753"/>
    <w:rsid w:val="345451ED"/>
    <w:rsid w:val="34677B64"/>
    <w:rsid w:val="34754E07"/>
    <w:rsid w:val="34950E68"/>
    <w:rsid w:val="34986B17"/>
    <w:rsid w:val="34986E94"/>
    <w:rsid w:val="34A13407"/>
    <w:rsid w:val="34A94E14"/>
    <w:rsid w:val="34AF62C9"/>
    <w:rsid w:val="34B2479F"/>
    <w:rsid w:val="34B54148"/>
    <w:rsid w:val="34CB4388"/>
    <w:rsid w:val="34CD2C9E"/>
    <w:rsid w:val="34F869DB"/>
    <w:rsid w:val="34FA6E12"/>
    <w:rsid w:val="34FF69A3"/>
    <w:rsid w:val="35277408"/>
    <w:rsid w:val="353F22A5"/>
    <w:rsid w:val="3550003C"/>
    <w:rsid w:val="356213DC"/>
    <w:rsid w:val="358A0653"/>
    <w:rsid w:val="358D5588"/>
    <w:rsid w:val="35942E24"/>
    <w:rsid w:val="35A63D7A"/>
    <w:rsid w:val="35B6316F"/>
    <w:rsid w:val="35BC55E2"/>
    <w:rsid w:val="35BE6949"/>
    <w:rsid w:val="35D84D97"/>
    <w:rsid w:val="35E229D9"/>
    <w:rsid w:val="35F93A05"/>
    <w:rsid w:val="360B75C3"/>
    <w:rsid w:val="361218D5"/>
    <w:rsid w:val="363A3B40"/>
    <w:rsid w:val="36415851"/>
    <w:rsid w:val="364634BD"/>
    <w:rsid w:val="365302AE"/>
    <w:rsid w:val="36607A0A"/>
    <w:rsid w:val="366E227C"/>
    <w:rsid w:val="366E2AEA"/>
    <w:rsid w:val="366F2E0D"/>
    <w:rsid w:val="367B6A5C"/>
    <w:rsid w:val="36963C12"/>
    <w:rsid w:val="36A74ADA"/>
    <w:rsid w:val="36AD60D5"/>
    <w:rsid w:val="36B030FD"/>
    <w:rsid w:val="36B2175C"/>
    <w:rsid w:val="36B224F9"/>
    <w:rsid w:val="36BD137C"/>
    <w:rsid w:val="36C9002A"/>
    <w:rsid w:val="36DA1A91"/>
    <w:rsid w:val="36EC0CC9"/>
    <w:rsid w:val="36ED50B2"/>
    <w:rsid w:val="36FB442A"/>
    <w:rsid w:val="370336C9"/>
    <w:rsid w:val="37071D0B"/>
    <w:rsid w:val="370E7E29"/>
    <w:rsid w:val="371D03D1"/>
    <w:rsid w:val="373975EE"/>
    <w:rsid w:val="373F410B"/>
    <w:rsid w:val="377910BF"/>
    <w:rsid w:val="37847C99"/>
    <w:rsid w:val="37865B9A"/>
    <w:rsid w:val="37A34A15"/>
    <w:rsid w:val="37B24C58"/>
    <w:rsid w:val="37BF45D0"/>
    <w:rsid w:val="37C3FBDF"/>
    <w:rsid w:val="37CB13C3"/>
    <w:rsid w:val="37EE7094"/>
    <w:rsid w:val="37F1277E"/>
    <w:rsid w:val="38023CE9"/>
    <w:rsid w:val="381C6A10"/>
    <w:rsid w:val="38207169"/>
    <w:rsid w:val="38296C89"/>
    <w:rsid w:val="383002EB"/>
    <w:rsid w:val="38586797"/>
    <w:rsid w:val="385A4E16"/>
    <w:rsid w:val="385F174D"/>
    <w:rsid w:val="38666521"/>
    <w:rsid w:val="386D5003"/>
    <w:rsid w:val="38801BDB"/>
    <w:rsid w:val="38A5656B"/>
    <w:rsid w:val="38AD019E"/>
    <w:rsid w:val="38BC0149"/>
    <w:rsid w:val="38BF79D0"/>
    <w:rsid w:val="38D87D1C"/>
    <w:rsid w:val="38E82369"/>
    <w:rsid w:val="38E928FC"/>
    <w:rsid w:val="390727AC"/>
    <w:rsid w:val="390E4110"/>
    <w:rsid w:val="392512B2"/>
    <w:rsid w:val="39484197"/>
    <w:rsid w:val="39579DDC"/>
    <w:rsid w:val="395A32FB"/>
    <w:rsid w:val="39636459"/>
    <w:rsid w:val="396B7F6C"/>
    <w:rsid w:val="397C415A"/>
    <w:rsid w:val="39833117"/>
    <w:rsid w:val="398F777C"/>
    <w:rsid w:val="399030A9"/>
    <w:rsid w:val="399B0574"/>
    <w:rsid w:val="399F8891"/>
    <w:rsid w:val="39AC0E12"/>
    <w:rsid w:val="39AE48B3"/>
    <w:rsid w:val="39B417A9"/>
    <w:rsid w:val="39B63265"/>
    <w:rsid w:val="39BC4267"/>
    <w:rsid w:val="39D20DB4"/>
    <w:rsid w:val="39E11825"/>
    <w:rsid w:val="39FC5695"/>
    <w:rsid w:val="39FD48B8"/>
    <w:rsid w:val="3A006D8E"/>
    <w:rsid w:val="3A045513"/>
    <w:rsid w:val="3A1A0DEC"/>
    <w:rsid w:val="3A3651E5"/>
    <w:rsid w:val="3A403213"/>
    <w:rsid w:val="3A4A06EF"/>
    <w:rsid w:val="3A6F61D2"/>
    <w:rsid w:val="3A700CFA"/>
    <w:rsid w:val="3A701C24"/>
    <w:rsid w:val="3A744481"/>
    <w:rsid w:val="3A845319"/>
    <w:rsid w:val="3A852873"/>
    <w:rsid w:val="3A8654F8"/>
    <w:rsid w:val="3A8C7BEF"/>
    <w:rsid w:val="3A906246"/>
    <w:rsid w:val="3AA215CD"/>
    <w:rsid w:val="3AA35FBF"/>
    <w:rsid w:val="3AAE63D8"/>
    <w:rsid w:val="3AB50022"/>
    <w:rsid w:val="3AB64A60"/>
    <w:rsid w:val="3AC676BC"/>
    <w:rsid w:val="3AC84020"/>
    <w:rsid w:val="3AD672E7"/>
    <w:rsid w:val="3B117EE8"/>
    <w:rsid w:val="3B2349B7"/>
    <w:rsid w:val="3B2415F9"/>
    <w:rsid w:val="3B2714BA"/>
    <w:rsid w:val="3B483B8E"/>
    <w:rsid w:val="3B4A20A4"/>
    <w:rsid w:val="3B4D0D5C"/>
    <w:rsid w:val="3B5B5B5A"/>
    <w:rsid w:val="3B5B7273"/>
    <w:rsid w:val="3B616CFF"/>
    <w:rsid w:val="3B6259F6"/>
    <w:rsid w:val="3B737972"/>
    <w:rsid w:val="3B7C7A57"/>
    <w:rsid w:val="3B8C62A3"/>
    <w:rsid w:val="3B934DA1"/>
    <w:rsid w:val="3B976654"/>
    <w:rsid w:val="3B987DDD"/>
    <w:rsid w:val="3BB54D17"/>
    <w:rsid w:val="3BC01EFC"/>
    <w:rsid w:val="3BCA786A"/>
    <w:rsid w:val="3BD31E2F"/>
    <w:rsid w:val="3BF15831"/>
    <w:rsid w:val="3BF45B62"/>
    <w:rsid w:val="3BFA5FE0"/>
    <w:rsid w:val="3BFF2653"/>
    <w:rsid w:val="3C037E38"/>
    <w:rsid w:val="3C0F5972"/>
    <w:rsid w:val="3C105946"/>
    <w:rsid w:val="3C2C1DF0"/>
    <w:rsid w:val="3C357C06"/>
    <w:rsid w:val="3C471448"/>
    <w:rsid w:val="3C4F5748"/>
    <w:rsid w:val="3C5333BE"/>
    <w:rsid w:val="3C595011"/>
    <w:rsid w:val="3C5B2426"/>
    <w:rsid w:val="3C5F759A"/>
    <w:rsid w:val="3C612B8B"/>
    <w:rsid w:val="3C6C525A"/>
    <w:rsid w:val="3C9D110D"/>
    <w:rsid w:val="3C9F0C20"/>
    <w:rsid w:val="3CA75091"/>
    <w:rsid w:val="3CAF79B9"/>
    <w:rsid w:val="3CCE23CB"/>
    <w:rsid w:val="3CD17D17"/>
    <w:rsid w:val="3CD411CD"/>
    <w:rsid w:val="3CDB69FF"/>
    <w:rsid w:val="3CE23C3D"/>
    <w:rsid w:val="3CFA48B6"/>
    <w:rsid w:val="3CFC4540"/>
    <w:rsid w:val="3D1B57E5"/>
    <w:rsid w:val="3D1D4FFD"/>
    <w:rsid w:val="3D2B7650"/>
    <w:rsid w:val="3D371EC9"/>
    <w:rsid w:val="3D3C7F39"/>
    <w:rsid w:val="3D440F09"/>
    <w:rsid w:val="3D4504A0"/>
    <w:rsid w:val="3D5213C9"/>
    <w:rsid w:val="3D532A3A"/>
    <w:rsid w:val="3D5A018C"/>
    <w:rsid w:val="3D8734BB"/>
    <w:rsid w:val="3D8D2B14"/>
    <w:rsid w:val="3D8D5599"/>
    <w:rsid w:val="3D9A11D4"/>
    <w:rsid w:val="3DA16D89"/>
    <w:rsid w:val="3DA364BE"/>
    <w:rsid w:val="3DAF2580"/>
    <w:rsid w:val="3DC270E1"/>
    <w:rsid w:val="3DCB238E"/>
    <w:rsid w:val="3DCD6749"/>
    <w:rsid w:val="3DD07988"/>
    <w:rsid w:val="3DE021C9"/>
    <w:rsid w:val="3DE041CB"/>
    <w:rsid w:val="3DE7347B"/>
    <w:rsid w:val="3DED6BC5"/>
    <w:rsid w:val="3E0C17F5"/>
    <w:rsid w:val="3E0D48F6"/>
    <w:rsid w:val="3E1868B4"/>
    <w:rsid w:val="3E1E7797"/>
    <w:rsid w:val="3E1F3308"/>
    <w:rsid w:val="3E23065E"/>
    <w:rsid w:val="3E29379B"/>
    <w:rsid w:val="3E377251"/>
    <w:rsid w:val="3E381421"/>
    <w:rsid w:val="3E42664B"/>
    <w:rsid w:val="3E4762CF"/>
    <w:rsid w:val="3E534BC2"/>
    <w:rsid w:val="3E5A7334"/>
    <w:rsid w:val="3E710AC0"/>
    <w:rsid w:val="3E772188"/>
    <w:rsid w:val="3E7927E8"/>
    <w:rsid w:val="3E7A3FBF"/>
    <w:rsid w:val="3E7B5D6B"/>
    <w:rsid w:val="3E843E66"/>
    <w:rsid w:val="3E8B6229"/>
    <w:rsid w:val="3E8F51FE"/>
    <w:rsid w:val="3E926F87"/>
    <w:rsid w:val="3E9A59DE"/>
    <w:rsid w:val="3E9D645B"/>
    <w:rsid w:val="3EAE2A76"/>
    <w:rsid w:val="3EAF4836"/>
    <w:rsid w:val="3EB01EF5"/>
    <w:rsid w:val="3EC33DFA"/>
    <w:rsid w:val="3EDB1D61"/>
    <w:rsid w:val="3EE651E8"/>
    <w:rsid w:val="3EF67E5B"/>
    <w:rsid w:val="3EFA31A7"/>
    <w:rsid w:val="3F0264C5"/>
    <w:rsid w:val="3F060E16"/>
    <w:rsid w:val="3F07705B"/>
    <w:rsid w:val="3F1D1096"/>
    <w:rsid w:val="3F260E6A"/>
    <w:rsid w:val="3F2F0234"/>
    <w:rsid w:val="3F3F36A7"/>
    <w:rsid w:val="3F4D34E2"/>
    <w:rsid w:val="3F524FF5"/>
    <w:rsid w:val="3F5605BF"/>
    <w:rsid w:val="3F6363FE"/>
    <w:rsid w:val="3F756B8F"/>
    <w:rsid w:val="3F7B2385"/>
    <w:rsid w:val="3F7D7D9F"/>
    <w:rsid w:val="3F95482B"/>
    <w:rsid w:val="3FA31757"/>
    <w:rsid w:val="3FA8005B"/>
    <w:rsid w:val="3FBE399E"/>
    <w:rsid w:val="3FC6643E"/>
    <w:rsid w:val="3FC90D91"/>
    <w:rsid w:val="3FDB73E7"/>
    <w:rsid w:val="3FDC320D"/>
    <w:rsid w:val="3FE71DF8"/>
    <w:rsid w:val="3FF6308B"/>
    <w:rsid w:val="3FFEC64A"/>
    <w:rsid w:val="3FFF16E5"/>
    <w:rsid w:val="3FFF2AF8"/>
    <w:rsid w:val="40003A47"/>
    <w:rsid w:val="40030DDA"/>
    <w:rsid w:val="4019356B"/>
    <w:rsid w:val="40213118"/>
    <w:rsid w:val="40592157"/>
    <w:rsid w:val="405B7548"/>
    <w:rsid w:val="405C2CE2"/>
    <w:rsid w:val="40661FDB"/>
    <w:rsid w:val="406E1CAE"/>
    <w:rsid w:val="40736F4F"/>
    <w:rsid w:val="408F77BC"/>
    <w:rsid w:val="40A0133A"/>
    <w:rsid w:val="40AA0586"/>
    <w:rsid w:val="40BC4C61"/>
    <w:rsid w:val="40C31A53"/>
    <w:rsid w:val="40CC396A"/>
    <w:rsid w:val="40D05B99"/>
    <w:rsid w:val="40D44AFB"/>
    <w:rsid w:val="40DD65F5"/>
    <w:rsid w:val="40E61DCC"/>
    <w:rsid w:val="40FF085F"/>
    <w:rsid w:val="40FF545D"/>
    <w:rsid w:val="410067C8"/>
    <w:rsid w:val="410332AB"/>
    <w:rsid w:val="410463F9"/>
    <w:rsid w:val="4105404B"/>
    <w:rsid w:val="410719A2"/>
    <w:rsid w:val="411244E3"/>
    <w:rsid w:val="412C5A7C"/>
    <w:rsid w:val="41527804"/>
    <w:rsid w:val="416B0D87"/>
    <w:rsid w:val="41770ACF"/>
    <w:rsid w:val="41791DCF"/>
    <w:rsid w:val="417E5BAB"/>
    <w:rsid w:val="41851EA5"/>
    <w:rsid w:val="418D02DF"/>
    <w:rsid w:val="418F0D2A"/>
    <w:rsid w:val="4190530F"/>
    <w:rsid w:val="41A73354"/>
    <w:rsid w:val="41A80A45"/>
    <w:rsid w:val="41AE35B6"/>
    <w:rsid w:val="41D01505"/>
    <w:rsid w:val="41E71FCD"/>
    <w:rsid w:val="41F35CB0"/>
    <w:rsid w:val="422A6701"/>
    <w:rsid w:val="42474939"/>
    <w:rsid w:val="424C3C57"/>
    <w:rsid w:val="42570281"/>
    <w:rsid w:val="425920FC"/>
    <w:rsid w:val="42613FF3"/>
    <w:rsid w:val="42660D96"/>
    <w:rsid w:val="426A3EF2"/>
    <w:rsid w:val="428667D2"/>
    <w:rsid w:val="42933DB2"/>
    <w:rsid w:val="42A04F26"/>
    <w:rsid w:val="42C90147"/>
    <w:rsid w:val="42CD1CE0"/>
    <w:rsid w:val="42E1381E"/>
    <w:rsid w:val="42ED6459"/>
    <w:rsid w:val="42F0309E"/>
    <w:rsid w:val="42FE58DD"/>
    <w:rsid w:val="43174B3D"/>
    <w:rsid w:val="432110E9"/>
    <w:rsid w:val="4329199A"/>
    <w:rsid w:val="432A7D99"/>
    <w:rsid w:val="43345103"/>
    <w:rsid w:val="4343256A"/>
    <w:rsid w:val="434328BF"/>
    <w:rsid w:val="434B790E"/>
    <w:rsid w:val="43501275"/>
    <w:rsid w:val="4360274F"/>
    <w:rsid w:val="436C4C0C"/>
    <w:rsid w:val="43885B5E"/>
    <w:rsid w:val="43901B09"/>
    <w:rsid w:val="43977AB6"/>
    <w:rsid w:val="43A3342B"/>
    <w:rsid w:val="43C77C27"/>
    <w:rsid w:val="43CA2956"/>
    <w:rsid w:val="43D751C6"/>
    <w:rsid w:val="43DE09EE"/>
    <w:rsid w:val="43ED68CE"/>
    <w:rsid w:val="43EF2D90"/>
    <w:rsid w:val="43F6411F"/>
    <w:rsid w:val="44002FAD"/>
    <w:rsid w:val="44071C0D"/>
    <w:rsid w:val="4408554B"/>
    <w:rsid w:val="440F1694"/>
    <w:rsid w:val="441A2CF9"/>
    <w:rsid w:val="443747BD"/>
    <w:rsid w:val="444111FF"/>
    <w:rsid w:val="44497B27"/>
    <w:rsid w:val="445B0426"/>
    <w:rsid w:val="446B2796"/>
    <w:rsid w:val="44703EA3"/>
    <w:rsid w:val="44742156"/>
    <w:rsid w:val="449101DD"/>
    <w:rsid w:val="449D16AC"/>
    <w:rsid w:val="44A24C3C"/>
    <w:rsid w:val="44BC2812"/>
    <w:rsid w:val="44C11FCC"/>
    <w:rsid w:val="44D16CFE"/>
    <w:rsid w:val="44DE1391"/>
    <w:rsid w:val="44E421C9"/>
    <w:rsid w:val="450B7626"/>
    <w:rsid w:val="45115D2E"/>
    <w:rsid w:val="451B225C"/>
    <w:rsid w:val="452410C9"/>
    <w:rsid w:val="4528619B"/>
    <w:rsid w:val="452C2D54"/>
    <w:rsid w:val="45317DFB"/>
    <w:rsid w:val="45344EFF"/>
    <w:rsid w:val="45482AB7"/>
    <w:rsid w:val="454D03CD"/>
    <w:rsid w:val="456D3CE4"/>
    <w:rsid w:val="4577128F"/>
    <w:rsid w:val="4579042C"/>
    <w:rsid w:val="457F0571"/>
    <w:rsid w:val="45851176"/>
    <w:rsid w:val="45A1665C"/>
    <w:rsid w:val="45BB11DF"/>
    <w:rsid w:val="45C04D0F"/>
    <w:rsid w:val="45C63B94"/>
    <w:rsid w:val="45D941A3"/>
    <w:rsid w:val="45E43226"/>
    <w:rsid w:val="45EA380F"/>
    <w:rsid w:val="460E5133"/>
    <w:rsid w:val="460E7DA5"/>
    <w:rsid w:val="461247C1"/>
    <w:rsid w:val="46135CC2"/>
    <w:rsid w:val="46422483"/>
    <w:rsid w:val="464B7318"/>
    <w:rsid w:val="464C1FF9"/>
    <w:rsid w:val="4659254A"/>
    <w:rsid w:val="465B0637"/>
    <w:rsid w:val="465E3F0D"/>
    <w:rsid w:val="466A16E6"/>
    <w:rsid w:val="467D3A06"/>
    <w:rsid w:val="467F03FC"/>
    <w:rsid w:val="46893F2B"/>
    <w:rsid w:val="46A15FA0"/>
    <w:rsid w:val="46AB1945"/>
    <w:rsid w:val="46BC068F"/>
    <w:rsid w:val="46C4686E"/>
    <w:rsid w:val="46D03F0F"/>
    <w:rsid w:val="46E6701B"/>
    <w:rsid w:val="46EB16E7"/>
    <w:rsid w:val="46F1082D"/>
    <w:rsid w:val="46F1117A"/>
    <w:rsid w:val="470048FB"/>
    <w:rsid w:val="47214527"/>
    <w:rsid w:val="4751075C"/>
    <w:rsid w:val="475B33AA"/>
    <w:rsid w:val="477B778F"/>
    <w:rsid w:val="47816347"/>
    <w:rsid w:val="478203EC"/>
    <w:rsid w:val="47A04B5C"/>
    <w:rsid w:val="47AB6693"/>
    <w:rsid w:val="47B025FA"/>
    <w:rsid w:val="47EC7D13"/>
    <w:rsid w:val="4809698F"/>
    <w:rsid w:val="4811697D"/>
    <w:rsid w:val="4814577E"/>
    <w:rsid w:val="483354AC"/>
    <w:rsid w:val="48460453"/>
    <w:rsid w:val="486378A9"/>
    <w:rsid w:val="48641684"/>
    <w:rsid w:val="48797BA2"/>
    <w:rsid w:val="487A3E25"/>
    <w:rsid w:val="488B5503"/>
    <w:rsid w:val="488F68F0"/>
    <w:rsid w:val="48937E21"/>
    <w:rsid w:val="489A0361"/>
    <w:rsid w:val="48B34C71"/>
    <w:rsid w:val="48B411FA"/>
    <w:rsid w:val="48B94FF3"/>
    <w:rsid w:val="48C3413F"/>
    <w:rsid w:val="48C5282A"/>
    <w:rsid w:val="48CF12D2"/>
    <w:rsid w:val="48E37AAB"/>
    <w:rsid w:val="48FD4B4C"/>
    <w:rsid w:val="49006C32"/>
    <w:rsid w:val="490A68E0"/>
    <w:rsid w:val="491054A6"/>
    <w:rsid w:val="491055FE"/>
    <w:rsid w:val="49132D46"/>
    <w:rsid w:val="49145ABB"/>
    <w:rsid w:val="49223C66"/>
    <w:rsid w:val="49454ECE"/>
    <w:rsid w:val="495B721B"/>
    <w:rsid w:val="495F5B3E"/>
    <w:rsid w:val="496F77D7"/>
    <w:rsid w:val="497654FD"/>
    <w:rsid w:val="4980383D"/>
    <w:rsid w:val="49AA1C33"/>
    <w:rsid w:val="49AF5A7C"/>
    <w:rsid w:val="49B64211"/>
    <w:rsid w:val="49C030E6"/>
    <w:rsid w:val="49D27FD8"/>
    <w:rsid w:val="49DA2C8F"/>
    <w:rsid w:val="49E51FFF"/>
    <w:rsid w:val="49E8450A"/>
    <w:rsid w:val="49F015C0"/>
    <w:rsid w:val="49F42092"/>
    <w:rsid w:val="49F6167F"/>
    <w:rsid w:val="49FF0E34"/>
    <w:rsid w:val="4A064FA0"/>
    <w:rsid w:val="4A0F7CE8"/>
    <w:rsid w:val="4A16615C"/>
    <w:rsid w:val="4A215C6D"/>
    <w:rsid w:val="4A2A7134"/>
    <w:rsid w:val="4A4424D7"/>
    <w:rsid w:val="4AB62F3F"/>
    <w:rsid w:val="4AB82D0F"/>
    <w:rsid w:val="4ACA29F1"/>
    <w:rsid w:val="4AEB7664"/>
    <w:rsid w:val="4AFD7C19"/>
    <w:rsid w:val="4B0567D1"/>
    <w:rsid w:val="4B0F715C"/>
    <w:rsid w:val="4B145500"/>
    <w:rsid w:val="4B236AAE"/>
    <w:rsid w:val="4B33727D"/>
    <w:rsid w:val="4B427995"/>
    <w:rsid w:val="4B4340EE"/>
    <w:rsid w:val="4B5A0D09"/>
    <w:rsid w:val="4B5C2F86"/>
    <w:rsid w:val="4B5D267F"/>
    <w:rsid w:val="4B61136D"/>
    <w:rsid w:val="4B707271"/>
    <w:rsid w:val="4B712839"/>
    <w:rsid w:val="4B923F4B"/>
    <w:rsid w:val="4B9739F7"/>
    <w:rsid w:val="4BA34B8C"/>
    <w:rsid w:val="4BC30D8B"/>
    <w:rsid w:val="4BC66ACD"/>
    <w:rsid w:val="4BCD0FAB"/>
    <w:rsid w:val="4BD16766"/>
    <w:rsid w:val="4BD761B9"/>
    <w:rsid w:val="4BD86180"/>
    <w:rsid w:val="4BDD6071"/>
    <w:rsid w:val="4BEE2503"/>
    <w:rsid w:val="4BF94848"/>
    <w:rsid w:val="4C007696"/>
    <w:rsid w:val="4C0522FE"/>
    <w:rsid w:val="4C0B2AFD"/>
    <w:rsid w:val="4C196B1A"/>
    <w:rsid w:val="4C245A30"/>
    <w:rsid w:val="4C293BA9"/>
    <w:rsid w:val="4C2E090E"/>
    <w:rsid w:val="4C3653C8"/>
    <w:rsid w:val="4C4028FC"/>
    <w:rsid w:val="4C4243A5"/>
    <w:rsid w:val="4C5B0A89"/>
    <w:rsid w:val="4C673968"/>
    <w:rsid w:val="4C6F6F70"/>
    <w:rsid w:val="4C7672F1"/>
    <w:rsid w:val="4C7C2F36"/>
    <w:rsid w:val="4C8524E4"/>
    <w:rsid w:val="4C8A6D6D"/>
    <w:rsid w:val="4CB6685F"/>
    <w:rsid w:val="4CC367FE"/>
    <w:rsid w:val="4CD64A83"/>
    <w:rsid w:val="4CD831FD"/>
    <w:rsid w:val="4CF93B9D"/>
    <w:rsid w:val="4D077F3C"/>
    <w:rsid w:val="4D123355"/>
    <w:rsid w:val="4D261F37"/>
    <w:rsid w:val="4D2A3B31"/>
    <w:rsid w:val="4D312C52"/>
    <w:rsid w:val="4D4B72A8"/>
    <w:rsid w:val="4D5476F5"/>
    <w:rsid w:val="4D5A0BB9"/>
    <w:rsid w:val="4D5D6FBD"/>
    <w:rsid w:val="4D905305"/>
    <w:rsid w:val="4D9477F9"/>
    <w:rsid w:val="4D964A72"/>
    <w:rsid w:val="4D9C1254"/>
    <w:rsid w:val="4DB5756A"/>
    <w:rsid w:val="4DBD4E69"/>
    <w:rsid w:val="4DD7474D"/>
    <w:rsid w:val="4DF8460D"/>
    <w:rsid w:val="4DFD25EA"/>
    <w:rsid w:val="4E0A4B81"/>
    <w:rsid w:val="4E23142A"/>
    <w:rsid w:val="4E3C1CFF"/>
    <w:rsid w:val="4E3D77BF"/>
    <w:rsid w:val="4E4111AF"/>
    <w:rsid w:val="4E582EF3"/>
    <w:rsid w:val="4E793892"/>
    <w:rsid w:val="4E7D6688"/>
    <w:rsid w:val="4E800872"/>
    <w:rsid w:val="4E972E46"/>
    <w:rsid w:val="4EA76741"/>
    <w:rsid w:val="4EC40E37"/>
    <w:rsid w:val="4EC569ED"/>
    <w:rsid w:val="4ED50EA1"/>
    <w:rsid w:val="4ED60856"/>
    <w:rsid w:val="4EE022D7"/>
    <w:rsid w:val="4EE51840"/>
    <w:rsid w:val="4EE8302A"/>
    <w:rsid w:val="4EEC050C"/>
    <w:rsid w:val="4EEC684A"/>
    <w:rsid w:val="4EF20192"/>
    <w:rsid w:val="4F063129"/>
    <w:rsid w:val="4F0A5FD9"/>
    <w:rsid w:val="4F104EC3"/>
    <w:rsid w:val="4F126D19"/>
    <w:rsid w:val="4F1638C7"/>
    <w:rsid w:val="4F2953A8"/>
    <w:rsid w:val="4F2F67D9"/>
    <w:rsid w:val="4F334479"/>
    <w:rsid w:val="4F372115"/>
    <w:rsid w:val="4F47354A"/>
    <w:rsid w:val="4F4804C9"/>
    <w:rsid w:val="4F534D39"/>
    <w:rsid w:val="4F911C54"/>
    <w:rsid w:val="4FB53E52"/>
    <w:rsid w:val="4FB9BADE"/>
    <w:rsid w:val="4FC757F7"/>
    <w:rsid w:val="4FCA1119"/>
    <w:rsid w:val="4FD12CBB"/>
    <w:rsid w:val="4FE625E0"/>
    <w:rsid w:val="4FEB6B02"/>
    <w:rsid w:val="4FEF7B15"/>
    <w:rsid w:val="4FF64A7F"/>
    <w:rsid w:val="4FF97471"/>
    <w:rsid w:val="501A3E8A"/>
    <w:rsid w:val="5021480F"/>
    <w:rsid w:val="50413434"/>
    <w:rsid w:val="504728B1"/>
    <w:rsid w:val="50507C64"/>
    <w:rsid w:val="505E72D4"/>
    <w:rsid w:val="50637CD4"/>
    <w:rsid w:val="50646F2B"/>
    <w:rsid w:val="506C4F7A"/>
    <w:rsid w:val="50962ECB"/>
    <w:rsid w:val="509E35F0"/>
    <w:rsid w:val="50A42E38"/>
    <w:rsid w:val="50A4577F"/>
    <w:rsid w:val="50A71003"/>
    <w:rsid w:val="50B73D1F"/>
    <w:rsid w:val="50BD5BC9"/>
    <w:rsid w:val="50C11EEE"/>
    <w:rsid w:val="50E2599F"/>
    <w:rsid w:val="50E97CFC"/>
    <w:rsid w:val="50F842E1"/>
    <w:rsid w:val="50FA4028"/>
    <w:rsid w:val="50FD14C0"/>
    <w:rsid w:val="51064CB5"/>
    <w:rsid w:val="510D65B7"/>
    <w:rsid w:val="511157AB"/>
    <w:rsid w:val="511F48AD"/>
    <w:rsid w:val="512C45C0"/>
    <w:rsid w:val="513D2023"/>
    <w:rsid w:val="5142540C"/>
    <w:rsid w:val="514D7764"/>
    <w:rsid w:val="5150527F"/>
    <w:rsid w:val="51684093"/>
    <w:rsid w:val="518832C8"/>
    <w:rsid w:val="518C094E"/>
    <w:rsid w:val="51A0432A"/>
    <w:rsid w:val="51A86090"/>
    <w:rsid w:val="51B7396D"/>
    <w:rsid w:val="51BC0B9E"/>
    <w:rsid w:val="51BF3DA2"/>
    <w:rsid w:val="51D1625A"/>
    <w:rsid w:val="51DC2BA6"/>
    <w:rsid w:val="51ED24F8"/>
    <w:rsid w:val="51ED2B96"/>
    <w:rsid w:val="5201421E"/>
    <w:rsid w:val="522A6228"/>
    <w:rsid w:val="522E4CC3"/>
    <w:rsid w:val="523472F4"/>
    <w:rsid w:val="52354064"/>
    <w:rsid w:val="523C0F3C"/>
    <w:rsid w:val="5244713B"/>
    <w:rsid w:val="524834F0"/>
    <w:rsid w:val="524D12E9"/>
    <w:rsid w:val="52532739"/>
    <w:rsid w:val="52577373"/>
    <w:rsid w:val="525E25A8"/>
    <w:rsid w:val="52615633"/>
    <w:rsid w:val="5266556A"/>
    <w:rsid w:val="526B217C"/>
    <w:rsid w:val="526B764F"/>
    <w:rsid w:val="528D52F3"/>
    <w:rsid w:val="529008EF"/>
    <w:rsid w:val="52946FDD"/>
    <w:rsid w:val="52977FD4"/>
    <w:rsid w:val="52A05F7F"/>
    <w:rsid w:val="52A25790"/>
    <w:rsid w:val="52A96B6F"/>
    <w:rsid w:val="52B45975"/>
    <w:rsid w:val="52B6146D"/>
    <w:rsid w:val="52C61EDE"/>
    <w:rsid w:val="52D21B4F"/>
    <w:rsid w:val="52D94AA4"/>
    <w:rsid w:val="52EA3A62"/>
    <w:rsid w:val="52F50BB8"/>
    <w:rsid w:val="53097272"/>
    <w:rsid w:val="531B7AA5"/>
    <w:rsid w:val="53271D10"/>
    <w:rsid w:val="53512DDD"/>
    <w:rsid w:val="53544462"/>
    <w:rsid w:val="53690469"/>
    <w:rsid w:val="53834329"/>
    <w:rsid w:val="5385406E"/>
    <w:rsid w:val="5397158E"/>
    <w:rsid w:val="539D4BDA"/>
    <w:rsid w:val="53DB5A15"/>
    <w:rsid w:val="53EC4BF7"/>
    <w:rsid w:val="53F94D5C"/>
    <w:rsid w:val="54013861"/>
    <w:rsid w:val="540616D0"/>
    <w:rsid w:val="540B76C9"/>
    <w:rsid w:val="54173205"/>
    <w:rsid w:val="541779E6"/>
    <w:rsid w:val="541A1253"/>
    <w:rsid w:val="542E16B3"/>
    <w:rsid w:val="54487265"/>
    <w:rsid w:val="544A0D24"/>
    <w:rsid w:val="544D6070"/>
    <w:rsid w:val="54605E1E"/>
    <w:rsid w:val="54660E4D"/>
    <w:rsid w:val="54685041"/>
    <w:rsid w:val="546B1FBF"/>
    <w:rsid w:val="54A23780"/>
    <w:rsid w:val="54A47648"/>
    <w:rsid w:val="54B3506A"/>
    <w:rsid w:val="54BF1DF1"/>
    <w:rsid w:val="54C64996"/>
    <w:rsid w:val="54C662FF"/>
    <w:rsid w:val="54CA0D16"/>
    <w:rsid w:val="54DD4057"/>
    <w:rsid w:val="54E7490F"/>
    <w:rsid w:val="54E75560"/>
    <w:rsid w:val="550764A4"/>
    <w:rsid w:val="550B2BF6"/>
    <w:rsid w:val="551366CC"/>
    <w:rsid w:val="55214EB5"/>
    <w:rsid w:val="552810B5"/>
    <w:rsid w:val="55364EFD"/>
    <w:rsid w:val="553B6008"/>
    <w:rsid w:val="555D4828"/>
    <w:rsid w:val="555E7D76"/>
    <w:rsid w:val="555F0C24"/>
    <w:rsid w:val="5568120F"/>
    <w:rsid w:val="556914AB"/>
    <w:rsid w:val="557650C0"/>
    <w:rsid w:val="557A4C8B"/>
    <w:rsid w:val="557F583F"/>
    <w:rsid w:val="558931E1"/>
    <w:rsid w:val="55923347"/>
    <w:rsid w:val="55925180"/>
    <w:rsid w:val="55983B1B"/>
    <w:rsid w:val="559D4AB5"/>
    <w:rsid w:val="55A8376B"/>
    <w:rsid w:val="55B17223"/>
    <w:rsid w:val="55BF693D"/>
    <w:rsid w:val="55D342C0"/>
    <w:rsid w:val="55DC29B6"/>
    <w:rsid w:val="55DD4241"/>
    <w:rsid w:val="55EC5915"/>
    <w:rsid w:val="55EE10FA"/>
    <w:rsid w:val="55F04C44"/>
    <w:rsid w:val="55FF6F17"/>
    <w:rsid w:val="562772F0"/>
    <w:rsid w:val="562B51ED"/>
    <w:rsid w:val="562E5948"/>
    <w:rsid w:val="563C5CA8"/>
    <w:rsid w:val="564F1C59"/>
    <w:rsid w:val="56505911"/>
    <w:rsid w:val="5653279C"/>
    <w:rsid w:val="565418D3"/>
    <w:rsid w:val="566B6D1E"/>
    <w:rsid w:val="567D13ED"/>
    <w:rsid w:val="56842DF9"/>
    <w:rsid w:val="56903F5F"/>
    <w:rsid w:val="56945401"/>
    <w:rsid w:val="569B7333"/>
    <w:rsid w:val="56C32664"/>
    <w:rsid w:val="56C65478"/>
    <w:rsid w:val="56DA6B73"/>
    <w:rsid w:val="56E36247"/>
    <w:rsid w:val="56FD56F3"/>
    <w:rsid w:val="57032A2C"/>
    <w:rsid w:val="570F5219"/>
    <w:rsid w:val="572111BF"/>
    <w:rsid w:val="575925A3"/>
    <w:rsid w:val="575A156E"/>
    <w:rsid w:val="575D12B5"/>
    <w:rsid w:val="57610A87"/>
    <w:rsid w:val="577B1140"/>
    <w:rsid w:val="577B7F21"/>
    <w:rsid w:val="577F181B"/>
    <w:rsid w:val="57921984"/>
    <w:rsid w:val="579737F0"/>
    <w:rsid w:val="57AA386C"/>
    <w:rsid w:val="57AB7B30"/>
    <w:rsid w:val="57AF5251"/>
    <w:rsid w:val="57B26373"/>
    <w:rsid w:val="57B63F04"/>
    <w:rsid w:val="57C934C5"/>
    <w:rsid w:val="57CC4DA4"/>
    <w:rsid w:val="57CD20C2"/>
    <w:rsid w:val="57D157E2"/>
    <w:rsid w:val="57D46053"/>
    <w:rsid w:val="57D675AB"/>
    <w:rsid w:val="57D95FDD"/>
    <w:rsid w:val="57E133DD"/>
    <w:rsid w:val="57F81299"/>
    <w:rsid w:val="57FF63E1"/>
    <w:rsid w:val="580446CF"/>
    <w:rsid w:val="5814778D"/>
    <w:rsid w:val="58196889"/>
    <w:rsid w:val="581F48B1"/>
    <w:rsid w:val="583B7EFB"/>
    <w:rsid w:val="584140A6"/>
    <w:rsid w:val="584F5203"/>
    <w:rsid w:val="585B234B"/>
    <w:rsid w:val="5862482C"/>
    <w:rsid w:val="586D5FB7"/>
    <w:rsid w:val="58917D2F"/>
    <w:rsid w:val="5894085C"/>
    <w:rsid w:val="58AE4F0C"/>
    <w:rsid w:val="58B85899"/>
    <w:rsid w:val="58D701DF"/>
    <w:rsid w:val="58D955AA"/>
    <w:rsid w:val="58E363A9"/>
    <w:rsid w:val="58EF5611"/>
    <w:rsid w:val="58F162FD"/>
    <w:rsid w:val="59232DF8"/>
    <w:rsid w:val="59242179"/>
    <w:rsid w:val="592D2AEA"/>
    <w:rsid w:val="593D6BAF"/>
    <w:rsid w:val="594F663F"/>
    <w:rsid w:val="595B1DF4"/>
    <w:rsid w:val="595E1678"/>
    <w:rsid w:val="596D5BD4"/>
    <w:rsid w:val="59740F36"/>
    <w:rsid w:val="597E3DD8"/>
    <w:rsid w:val="5982685A"/>
    <w:rsid w:val="59B45C01"/>
    <w:rsid w:val="59D04DE6"/>
    <w:rsid w:val="59EE16C8"/>
    <w:rsid w:val="59EF3692"/>
    <w:rsid w:val="59F80043"/>
    <w:rsid w:val="5A09252F"/>
    <w:rsid w:val="5A0B2778"/>
    <w:rsid w:val="5A1619EA"/>
    <w:rsid w:val="5A20149A"/>
    <w:rsid w:val="5A2A7C7B"/>
    <w:rsid w:val="5A2E6540"/>
    <w:rsid w:val="5A3E2560"/>
    <w:rsid w:val="5A3E4763"/>
    <w:rsid w:val="5A57255B"/>
    <w:rsid w:val="5A5D3B6E"/>
    <w:rsid w:val="5A637A76"/>
    <w:rsid w:val="5A6D33BA"/>
    <w:rsid w:val="5A792B1F"/>
    <w:rsid w:val="5A874767"/>
    <w:rsid w:val="5AA85135"/>
    <w:rsid w:val="5AAD6F28"/>
    <w:rsid w:val="5AD63A24"/>
    <w:rsid w:val="5AD85C60"/>
    <w:rsid w:val="5AE20B01"/>
    <w:rsid w:val="5AF64BA6"/>
    <w:rsid w:val="5B2B70DD"/>
    <w:rsid w:val="5B2E1A1D"/>
    <w:rsid w:val="5B336632"/>
    <w:rsid w:val="5B3D704E"/>
    <w:rsid w:val="5B410779"/>
    <w:rsid w:val="5B525C87"/>
    <w:rsid w:val="5B5F03A4"/>
    <w:rsid w:val="5B6B4F9B"/>
    <w:rsid w:val="5B6D06E7"/>
    <w:rsid w:val="5B6F7484"/>
    <w:rsid w:val="5B790768"/>
    <w:rsid w:val="5B843A1C"/>
    <w:rsid w:val="5B873E3F"/>
    <w:rsid w:val="5B8C73EB"/>
    <w:rsid w:val="5B956599"/>
    <w:rsid w:val="5BB26E60"/>
    <w:rsid w:val="5BB92F8E"/>
    <w:rsid w:val="5BC05397"/>
    <w:rsid w:val="5BD8078D"/>
    <w:rsid w:val="5BF563AB"/>
    <w:rsid w:val="5C02690E"/>
    <w:rsid w:val="5C0E333F"/>
    <w:rsid w:val="5C194E0F"/>
    <w:rsid w:val="5C196DA7"/>
    <w:rsid w:val="5C2A048C"/>
    <w:rsid w:val="5C2B610A"/>
    <w:rsid w:val="5C415839"/>
    <w:rsid w:val="5C4247E0"/>
    <w:rsid w:val="5C4E55C5"/>
    <w:rsid w:val="5C603B9E"/>
    <w:rsid w:val="5C6B43A5"/>
    <w:rsid w:val="5C80234E"/>
    <w:rsid w:val="5C8A680C"/>
    <w:rsid w:val="5C9F4678"/>
    <w:rsid w:val="5CA42512"/>
    <w:rsid w:val="5CB302F5"/>
    <w:rsid w:val="5CBA429A"/>
    <w:rsid w:val="5CC2057F"/>
    <w:rsid w:val="5CCD1101"/>
    <w:rsid w:val="5CF40E2A"/>
    <w:rsid w:val="5D047455"/>
    <w:rsid w:val="5D0C4701"/>
    <w:rsid w:val="5D0F0395"/>
    <w:rsid w:val="5D1433FB"/>
    <w:rsid w:val="5D221076"/>
    <w:rsid w:val="5D2418A5"/>
    <w:rsid w:val="5D397964"/>
    <w:rsid w:val="5D543F38"/>
    <w:rsid w:val="5D5A391C"/>
    <w:rsid w:val="5D5F10C0"/>
    <w:rsid w:val="5D891B7B"/>
    <w:rsid w:val="5DAD38EE"/>
    <w:rsid w:val="5DB52BC5"/>
    <w:rsid w:val="5DC36B4B"/>
    <w:rsid w:val="5E006862"/>
    <w:rsid w:val="5E0207B9"/>
    <w:rsid w:val="5E034B33"/>
    <w:rsid w:val="5E0633FD"/>
    <w:rsid w:val="5E0E0488"/>
    <w:rsid w:val="5E1834A1"/>
    <w:rsid w:val="5E1B68E7"/>
    <w:rsid w:val="5E261785"/>
    <w:rsid w:val="5E2E50AE"/>
    <w:rsid w:val="5E311139"/>
    <w:rsid w:val="5E434145"/>
    <w:rsid w:val="5E4A7017"/>
    <w:rsid w:val="5E552BBA"/>
    <w:rsid w:val="5E5D0BCB"/>
    <w:rsid w:val="5E611C10"/>
    <w:rsid w:val="5E6D10BD"/>
    <w:rsid w:val="5E6F6B50"/>
    <w:rsid w:val="5E912F6A"/>
    <w:rsid w:val="5E916AC6"/>
    <w:rsid w:val="5EB50202"/>
    <w:rsid w:val="5EBC378F"/>
    <w:rsid w:val="5EC21E78"/>
    <w:rsid w:val="5EC40C4A"/>
    <w:rsid w:val="5ECB647C"/>
    <w:rsid w:val="5ECE3876"/>
    <w:rsid w:val="5ED476C0"/>
    <w:rsid w:val="5EDE00DE"/>
    <w:rsid w:val="5EED7F2B"/>
    <w:rsid w:val="5EFC383C"/>
    <w:rsid w:val="5EFC4888"/>
    <w:rsid w:val="5EFC7377"/>
    <w:rsid w:val="5EFDBC8B"/>
    <w:rsid w:val="5EFEB119"/>
    <w:rsid w:val="5F06174D"/>
    <w:rsid w:val="5F184B97"/>
    <w:rsid w:val="5F1919AA"/>
    <w:rsid w:val="5F3A3602"/>
    <w:rsid w:val="5F4C2626"/>
    <w:rsid w:val="5F6277C6"/>
    <w:rsid w:val="5F6B56DF"/>
    <w:rsid w:val="5F6D0B1D"/>
    <w:rsid w:val="5F6E6884"/>
    <w:rsid w:val="5F7E1D18"/>
    <w:rsid w:val="5F7F0A6C"/>
    <w:rsid w:val="5F8D0B82"/>
    <w:rsid w:val="5F915C9F"/>
    <w:rsid w:val="5F927A76"/>
    <w:rsid w:val="5F9A3EA5"/>
    <w:rsid w:val="5F9E4429"/>
    <w:rsid w:val="5FA32F55"/>
    <w:rsid w:val="5FA911F0"/>
    <w:rsid w:val="5FAD7B5E"/>
    <w:rsid w:val="5FB92779"/>
    <w:rsid w:val="5FC85405"/>
    <w:rsid w:val="5FCC5339"/>
    <w:rsid w:val="5FDC54CF"/>
    <w:rsid w:val="5FDDB765"/>
    <w:rsid w:val="5FE331AE"/>
    <w:rsid w:val="5FE34A5B"/>
    <w:rsid w:val="5FE3C1BD"/>
    <w:rsid w:val="5FE93917"/>
    <w:rsid w:val="5FEE4920"/>
    <w:rsid w:val="5FFE1E36"/>
    <w:rsid w:val="60014280"/>
    <w:rsid w:val="60232584"/>
    <w:rsid w:val="60281470"/>
    <w:rsid w:val="606B30C1"/>
    <w:rsid w:val="606E7FA9"/>
    <w:rsid w:val="607330CE"/>
    <w:rsid w:val="607F1367"/>
    <w:rsid w:val="60825176"/>
    <w:rsid w:val="60843754"/>
    <w:rsid w:val="609F2AC4"/>
    <w:rsid w:val="60A5795F"/>
    <w:rsid w:val="60F772A0"/>
    <w:rsid w:val="60FA2EE8"/>
    <w:rsid w:val="61054A27"/>
    <w:rsid w:val="610A52BC"/>
    <w:rsid w:val="611D2366"/>
    <w:rsid w:val="613302DC"/>
    <w:rsid w:val="61357BDD"/>
    <w:rsid w:val="613B42FF"/>
    <w:rsid w:val="61421856"/>
    <w:rsid w:val="61434FAB"/>
    <w:rsid w:val="615227C4"/>
    <w:rsid w:val="615B059F"/>
    <w:rsid w:val="615D5386"/>
    <w:rsid w:val="616540C2"/>
    <w:rsid w:val="61654E3F"/>
    <w:rsid w:val="61671D60"/>
    <w:rsid w:val="617F6C0F"/>
    <w:rsid w:val="6182292A"/>
    <w:rsid w:val="618C1EFF"/>
    <w:rsid w:val="619042A5"/>
    <w:rsid w:val="619F7F92"/>
    <w:rsid w:val="61A261E8"/>
    <w:rsid w:val="61A472EA"/>
    <w:rsid w:val="61AA0B59"/>
    <w:rsid w:val="61B1405D"/>
    <w:rsid w:val="61C01DCB"/>
    <w:rsid w:val="61C2576E"/>
    <w:rsid w:val="61DC3121"/>
    <w:rsid w:val="61E57855"/>
    <w:rsid w:val="61F70404"/>
    <w:rsid w:val="61F94C26"/>
    <w:rsid w:val="62000E56"/>
    <w:rsid w:val="62035F2D"/>
    <w:rsid w:val="62347E94"/>
    <w:rsid w:val="623A1223"/>
    <w:rsid w:val="623B6C08"/>
    <w:rsid w:val="624D08A0"/>
    <w:rsid w:val="624F3E49"/>
    <w:rsid w:val="625C0EDE"/>
    <w:rsid w:val="625C71E2"/>
    <w:rsid w:val="62632286"/>
    <w:rsid w:val="626D784A"/>
    <w:rsid w:val="627937AD"/>
    <w:rsid w:val="62885958"/>
    <w:rsid w:val="62C361BE"/>
    <w:rsid w:val="62CC39A0"/>
    <w:rsid w:val="62D76DC7"/>
    <w:rsid w:val="62E31181"/>
    <w:rsid w:val="62EA65CE"/>
    <w:rsid w:val="62F40B65"/>
    <w:rsid w:val="62F6549D"/>
    <w:rsid w:val="62F93D83"/>
    <w:rsid w:val="62FC2CFE"/>
    <w:rsid w:val="63024505"/>
    <w:rsid w:val="63047252"/>
    <w:rsid w:val="6319163A"/>
    <w:rsid w:val="63414DCA"/>
    <w:rsid w:val="635B1DB5"/>
    <w:rsid w:val="63627D6A"/>
    <w:rsid w:val="63711FED"/>
    <w:rsid w:val="63852C0C"/>
    <w:rsid w:val="63880DDC"/>
    <w:rsid w:val="63897561"/>
    <w:rsid w:val="638D750D"/>
    <w:rsid w:val="638D78D8"/>
    <w:rsid w:val="63A1404D"/>
    <w:rsid w:val="63A914DA"/>
    <w:rsid w:val="63AC6CC0"/>
    <w:rsid w:val="63AF671E"/>
    <w:rsid w:val="63B07D87"/>
    <w:rsid w:val="63B75221"/>
    <w:rsid w:val="63CE5636"/>
    <w:rsid w:val="63D3192F"/>
    <w:rsid w:val="63D36808"/>
    <w:rsid w:val="63E50BFC"/>
    <w:rsid w:val="63FA2D29"/>
    <w:rsid w:val="63FE5966"/>
    <w:rsid w:val="64055776"/>
    <w:rsid w:val="640A712A"/>
    <w:rsid w:val="64151D68"/>
    <w:rsid w:val="64157E2E"/>
    <w:rsid w:val="64201842"/>
    <w:rsid w:val="64240056"/>
    <w:rsid w:val="643E143A"/>
    <w:rsid w:val="644C59A4"/>
    <w:rsid w:val="644E0941"/>
    <w:rsid w:val="645842F7"/>
    <w:rsid w:val="645C0F0C"/>
    <w:rsid w:val="645E55CA"/>
    <w:rsid w:val="64741A78"/>
    <w:rsid w:val="64746CC0"/>
    <w:rsid w:val="647C485B"/>
    <w:rsid w:val="648275DD"/>
    <w:rsid w:val="648B6EEF"/>
    <w:rsid w:val="64906414"/>
    <w:rsid w:val="649472E5"/>
    <w:rsid w:val="64BA2CDB"/>
    <w:rsid w:val="64C158BF"/>
    <w:rsid w:val="64CE2EAA"/>
    <w:rsid w:val="64E30A29"/>
    <w:rsid w:val="650C6EA7"/>
    <w:rsid w:val="651D10B4"/>
    <w:rsid w:val="65274800"/>
    <w:rsid w:val="65292A3E"/>
    <w:rsid w:val="653C3090"/>
    <w:rsid w:val="653C352F"/>
    <w:rsid w:val="65553C89"/>
    <w:rsid w:val="655E1932"/>
    <w:rsid w:val="65694EF8"/>
    <w:rsid w:val="65830CC8"/>
    <w:rsid w:val="65854376"/>
    <w:rsid w:val="658767BE"/>
    <w:rsid w:val="65892531"/>
    <w:rsid w:val="658B1B84"/>
    <w:rsid w:val="659B0CF6"/>
    <w:rsid w:val="65AF2D34"/>
    <w:rsid w:val="65BE054C"/>
    <w:rsid w:val="65ED39BD"/>
    <w:rsid w:val="65F010D5"/>
    <w:rsid w:val="65FF4C5D"/>
    <w:rsid w:val="66017AE5"/>
    <w:rsid w:val="6618105D"/>
    <w:rsid w:val="66195831"/>
    <w:rsid w:val="66214688"/>
    <w:rsid w:val="66231A28"/>
    <w:rsid w:val="662E75B1"/>
    <w:rsid w:val="66342C2E"/>
    <w:rsid w:val="66383143"/>
    <w:rsid w:val="663E784C"/>
    <w:rsid w:val="666B40A1"/>
    <w:rsid w:val="668B6A45"/>
    <w:rsid w:val="66A10559"/>
    <w:rsid w:val="66A1736B"/>
    <w:rsid w:val="66C33CFD"/>
    <w:rsid w:val="66D85655"/>
    <w:rsid w:val="66F71800"/>
    <w:rsid w:val="66F81DD8"/>
    <w:rsid w:val="6700497E"/>
    <w:rsid w:val="67161B80"/>
    <w:rsid w:val="671C27C9"/>
    <w:rsid w:val="67222094"/>
    <w:rsid w:val="672F3F24"/>
    <w:rsid w:val="673E055F"/>
    <w:rsid w:val="673F17B5"/>
    <w:rsid w:val="6748263B"/>
    <w:rsid w:val="6751773B"/>
    <w:rsid w:val="67527BD9"/>
    <w:rsid w:val="67551CE3"/>
    <w:rsid w:val="676D68B5"/>
    <w:rsid w:val="676F6A10"/>
    <w:rsid w:val="677357A0"/>
    <w:rsid w:val="677D2492"/>
    <w:rsid w:val="677FC4B8"/>
    <w:rsid w:val="678B295A"/>
    <w:rsid w:val="678C6B7E"/>
    <w:rsid w:val="67983F85"/>
    <w:rsid w:val="679B1F3D"/>
    <w:rsid w:val="67A105F8"/>
    <w:rsid w:val="67A22552"/>
    <w:rsid w:val="67B0620F"/>
    <w:rsid w:val="67B22DCC"/>
    <w:rsid w:val="67B315A2"/>
    <w:rsid w:val="67BE71AA"/>
    <w:rsid w:val="67BE72E7"/>
    <w:rsid w:val="67D90273"/>
    <w:rsid w:val="67DE5875"/>
    <w:rsid w:val="67E208DA"/>
    <w:rsid w:val="67E55852"/>
    <w:rsid w:val="67EB1AB4"/>
    <w:rsid w:val="67FA1285"/>
    <w:rsid w:val="67FC1AAF"/>
    <w:rsid w:val="680C60F7"/>
    <w:rsid w:val="6816354D"/>
    <w:rsid w:val="68290F13"/>
    <w:rsid w:val="68411B2A"/>
    <w:rsid w:val="68427745"/>
    <w:rsid w:val="68480D45"/>
    <w:rsid w:val="68482ACD"/>
    <w:rsid w:val="684D4257"/>
    <w:rsid w:val="68551F4F"/>
    <w:rsid w:val="6856665F"/>
    <w:rsid w:val="685D374F"/>
    <w:rsid w:val="685E376F"/>
    <w:rsid w:val="685F4912"/>
    <w:rsid w:val="68602FC8"/>
    <w:rsid w:val="686508AD"/>
    <w:rsid w:val="686B7BE2"/>
    <w:rsid w:val="687A0973"/>
    <w:rsid w:val="687C10C9"/>
    <w:rsid w:val="68840C16"/>
    <w:rsid w:val="68876EFB"/>
    <w:rsid w:val="68884654"/>
    <w:rsid w:val="688D7765"/>
    <w:rsid w:val="68981C16"/>
    <w:rsid w:val="68987886"/>
    <w:rsid w:val="689F444F"/>
    <w:rsid w:val="68AD06CB"/>
    <w:rsid w:val="68B55C13"/>
    <w:rsid w:val="68B96DBB"/>
    <w:rsid w:val="68BE670A"/>
    <w:rsid w:val="68C77CCF"/>
    <w:rsid w:val="68C95009"/>
    <w:rsid w:val="68CA2805"/>
    <w:rsid w:val="68DE729A"/>
    <w:rsid w:val="68E937A3"/>
    <w:rsid w:val="68F71B4A"/>
    <w:rsid w:val="692469BA"/>
    <w:rsid w:val="6925142C"/>
    <w:rsid w:val="693040F1"/>
    <w:rsid w:val="693C0333"/>
    <w:rsid w:val="693D2B61"/>
    <w:rsid w:val="693E15D3"/>
    <w:rsid w:val="69627681"/>
    <w:rsid w:val="696FF491"/>
    <w:rsid w:val="69702ECB"/>
    <w:rsid w:val="6977531D"/>
    <w:rsid w:val="69805664"/>
    <w:rsid w:val="69A80AFD"/>
    <w:rsid w:val="69B3676D"/>
    <w:rsid w:val="69B769D5"/>
    <w:rsid w:val="69B8273F"/>
    <w:rsid w:val="69B948A9"/>
    <w:rsid w:val="69BB34CE"/>
    <w:rsid w:val="69BFB37D"/>
    <w:rsid w:val="69CC2BFF"/>
    <w:rsid w:val="69D0062A"/>
    <w:rsid w:val="69E2405E"/>
    <w:rsid w:val="69EB1780"/>
    <w:rsid w:val="69FD55B8"/>
    <w:rsid w:val="69FF13C6"/>
    <w:rsid w:val="6A0B1C62"/>
    <w:rsid w:val="6A104830"/>
    <w:rsid w:val="6A1C76FC"/>
    <w:rsid w:val="6A2406C8"/>
    <w:rsid w:val="6A3B0B8E"/>
    <w:rsid w:val="6A3C022E"/>
    <w:rsid w:val="6A4101AA"/>
    <w:rsid w:val="6A761984"/>
    <w:rsid w:val="6A7944DE"/>
    <w:rsid w:val="6A9E4786"/>
    <w:rsid w:val="6AA638F9"/>
    <w:rsid w:val="6AA87A3D"/>
    <w:rsid w:val="6ACA05E9"/>
    <w:rsid w:val="6AD6094F"/>
    <w:rsid w:val="6ADE0BD1"/>
    <w:rsid w:val="6AE846AF"/>
    <w:rsid w:val="6AE96859"/>
    <w:rsid w:val="6B007BED"/>
    <w:rsid w:val="6B0A62E9"/>
    <w:rsid w:val="6B0E1F43"/>
    <w:rsid w:val="6B122701"/>
    <w:rsid w:val="6B147746"/>
    <w:rsid w:val="6B24787C"/>
    <w:rsid w:val="6B3169AE"/>
    <w:rsid w:val="6B573233"/>
    <w:rsid w:val="6B57794A"/>
    <w:rsid w:val="6B5B6274"/>
    <w:rsid w:val="6B6A3EA8"/>
    <w:rsid w:val="6B6B606E"/>
    <w:rsid w:val="6B80703E"/>
    <w:rsid w:val="6B831CFF"/>
    <w:rsid w:val="6B841E8D"/>
    <w:rsid w:val="6B8E0F2B"/>
    <w:rsid w:val="6B935D53"/>
    <w:rsid w:val="6B9D5863"/>
    <w:rsid w:val="6BEF307E"/>
    <w:rsid w:val="6C196F71"/>
    <w:rsid w:val="6C213642"/>
    <w:rsid w:val="6C226FCB"/>
    <w:rsid w:val="6C292A34"/>
    <w:rsid w:val="6C31226F"/>
    <w:rsid w:val="6C431E34"/>
    <w:rsid w:val="6C552F0B"/>
    <w:rsid w:val="6C646D57"/>
    <w:rsid w:val="6C7077C6"/>
    <w:rsid w:val="6C753116"/>
    <w:rsid w:val="6C770900"/>
    <w:rsid w:val="6C7F4402"/>
    <w:rsid w:val="6C8C67B7"/>
    <w:rsid w:val="6C8D2CA2"/>
    <w:rsid w:val="6C903ECD"/>
    <w:rsid w:val="6C9500C9"/>
    <w:rsid w:val="6C9779EC"/>
    <w:rsid w:val="6C9D744C"/>
    <w:rsid w:val="6CB1082D"/>
    <w:rsid w:val="6CB340FA"/>
    <w:rsid w:val="6CBC0F58"/>
    <w:rsid w:val="6CCB666E"/>
    <w:rsid w:val="6CD25AE5"/>
    <w:rsid w:val="6CE07597"/>
    <w:rsid w:val="6D01293E"/>
    <w:rsid w:val="6D09596E"/>
    <w:rsid w:val="6D167928"/>
    <w:rsid w:val="6D214CEE"/>
    <w:rsid w:val="6D26299B"/>
    <w:rsid w:val="6D29520A"/>
    <w:rsid w:val="6D4772EC"/>
    <w:rsid w:val="6D4F011E"/>
    <w:rsid w:val="6D513FF0"/>
    <w:rsid w:val="6D5D3808"/>
    <w:rsid w:val="6D611D5A"/>
    <w:rsid w:val="6D7FCBBB"/>
    <w:rsid w:val="6D817608"/>
    <w:rsid w:val="6D821096"/>
    <w:rsid w:val="6D9078AF"/>
    <w:rsid w:val="6D96563A"/>
    <w:rsid w:val="6DA00AD4"/>
    <w:rsid w:val="6DA11761"/>
    <w:rsid w:val="6DAA3FEF"/>
    <w:rsid w:val="6DC0172B"/>
    <w:rsid w:val="6DCB690C"/>
    <w:rsid w:val="6DD41A5B"/>
    <w:rsid w:val="6DDFF4A4"/>
    <w:rsid w:val="6DE304D5"/>
    <w:rsid w:val="6DEB13F9"/>
    <w:rsid w:val="6DF43C2E"/>
    <w:rsid w:val="6DF51CA3"/>
    <w:rsid w:val="6E03794A"/>
    <w:rsid w:val="6E1D7C8A"/>
    <w:rsid w:val="6E347DFE"/>
    <w:rsid w:val="6E396833"/>
    <w:rsid w:val="6E8335BD"/>
    <w:rsid w:val="6E8E12EF"/>
    <w:rsid w:val="6E972936"/>
    <w:rsid w:val="6EA91C0A"/>
    <w:rsid w:val="6EB15EB4"/>
    <w:rsid w:val="6EBA7EA4"/>
    <w:rsid w:val="6EC07194"/>
    <w:rsid w:val="6ED446C5"/>
    <w:rsid w:val="6EE13763"/>
    <w:rsid w:val="6EE42901"/>
    <w:rsid w:val="6EEDE14E"/>
    <w:rsid w:val="6EF72976"/>
    <w:rsid w:val="6EFFA6FA"/>
    <w:rsid w:val="6F046D6B"/>
    <w:rsid w:val="6F0641E7"/>
    <w:rsid w:val="6F265009"/>
    <w:rsid w:val="6F2A020B"/>
    <w:rsid w:val="6F2A7D94"/>
    <w:rsid w:val="6F3547A0"/>
    <w:rsid w:val="6F416D34"/>
    <w:rsid w:val="6F4D0566"/>
    <w:rsid w:val="6F653D83"/>
    <w:rsid w:val="6F654F0C"/>
    <w:rsid w:val="6F742218"/>
    <w:rsid w:val="6F82594E"/>
    <w:rsid w:val="6F8331F1"/>
    <w:rsid w:val="6F892271"/>
    <w:rsid w:val="6FA74989"/>
    <w:rsid w:val="6FAE1A09"/>
    <w:rsid w:val="6FAF3250"/>
    <w:rsid w:val="6FD02CDB"/>
    <w:rsid w:val="6FD75BF8"/>
    <w:rsid w:val="6FDDF636"/>
    <w:rsid w:val="6FE165C0"/>
    <w:rsid w:val="6FE169D2"/>
    <w:rsid w:val="6FEF3738"/>
    <w:rsid w:val="6FFD87D3"/>
    <w:rsid w:val="7006548B"/>
    <w:rsid w:val="70187BB5"/>
    <w:rsid w:val="701A2DBF"/>
    <w:rsid w:val="70262765"/>
    <w:rsid w:val="70316AFC"/>
    <w:rsid w:val="70416651"/>
    <w:rsid w:val="70474316"/>
    <w:rsid w:val="704E4817"/>
    <w:rsid w:val="70553DF8"/>
    <w:rsid w:val="705767E7"/>
    <w:rsid w:val="707621C5"/>
    <w:rsid w:val="707723D0"/>
    <w:rsid w:val="708E730A"/>
    <w:rsid w:val="70982851"/>
    <w:rsid w:val="70986332"/>
    <w:rsid w:val="70AE175A"/>
    <w:rsid w:val="70B11E33"/>
    <w:rsid w:val="70C25CC9"/>
    <w:rsid w:val="70C355DB"/>
    <w:rsid w:val="70CE2A2E"/>
    <w:rsid w:val="70E84C6C"/>
    <w:rsid w:val="70F12FAE"/>
    <w:rsid w:val="70F5661B"/>
    <w:rsid w:val="70F829D5"/>
    <w:rsid w:val="70F853E2"/>
    <w:rsid w:val="71023D91"/>
    <w:rsid w:val="71360107"/>
    <w:rsid w:val="71374830"/>
    <w:rsid w:val="713B688E"/>
    <w:rsid w:val="713F4DAC"/>
    <w:rsid w:val="7151566D"/>
    <w:rsid w:val="715C7408"/>
    <w:rsid w:val="715F301C"/>
    <w:rsid w:val="71792033"/>
    <w:rsid w:val="719554A2"/>
    <w:rsid w:val="71BA525D"/>
    <w:rsid w:val="71BE506E"/>
    <w:rsid w:val="71C5587B"/>
    <w:rsid w:val="71D43752"/>
    <w:rsid w:val="71D630C6"/>
    <w:rsid w:val="71DE0417"/>
    <w:rsid w:val="71E404B9"/>
    <w:rsid w:val="71ED142D"/>
    <w:rsid w:val="71F1796A"/>
    <w:rsid w:val="71FF69B2"/>
    <w:rsid w:val="72130BA5"/>
    <w:rsid w:val="72154626"/>
    <w:rsid w:val="72165809"/>
    <w:rsid w:val="72262B5D"/>
    <w:rsid w:val="72283FF7"/>
    <w:rsid w:val="722E7212"/>
    <w:rsid w:val="72352D72"/>
    <w:rsid w:val="723A0474"/>
    <w:rsid w:val="72404633"/>
    <w:rsid w:val="724C122A"/>
    <w:rsid w:val="725320E2"/>
    <w:rsid w:val="7257211E"/>
    <w:rsid w:val="725923E4"/>
    <w:rsid w:val="725A1877"/>
    <w:rsid w:val="72864BF7"/>
    <w:rsid w:val="728743F3"/>
    <w:rsid w:val="729023FC"/>
    <w:rsid w:val="72A96299"/>
    <w:rsid w:val="72C47013"/>
    <w:rsid w:val="72D04E31"/>
    <w:rsid w:val="72EEFB4B"/>
    <w:rsid w:val="73151992"/>
    <w:rsid w:val="732B7092"/>
    <w:rsid w:val="73352235"/>
    <w:rsid w:val="73401EB8"/>
    <w:rsid w:val="734B5983"/>
    <w:rsid w:val="73526CD9"/>
    <w:rsid w:val="73610607"/>
    <w:rsid w:val="73813156"/>
    <w:rsid w:val="738B2556"/>
    <w:rsid w:val="738E4022"/>
    <w:rsid w:val="739C5231"/>
    <w:rsid w:val="73A220AE"/>
    <w:rsid w:val="73C0646E"/>
    <w:rsid w:val="73CF3445"/>
    <w:rsid w:val="73DC25EE"/>
    <w:rsid w:val="73E0166E"/>
    <w:rsid w:val="740A7C72"/>
    <w:rsid w:val="741A2067"/>
    <w:rsid w:val="742222F5"/>
    <w:rsid w:val="7433629F"/>
    <w:rsid w:val="7439776D"/>
    <w:rsid w:val="74476126"/>
    <w:rsid w:val="74706664"/>
    <w:rsid w:val="747F3682"/>
    <w:rsid w:val="749C4185"/>
    <w:rsid w:val="74C836FB"/>
    <w:rsid w:val="74CD2547"/>
    <w:rsid w:val="74CE23CA"/>
    <w:rsid w:val="74E1597B"/>
    <w:rsid w:val="74F3598D"/>
    <w:rsid w:val="74FE640D"/>
    <w:rsid w:val="75067759"/>
    <w:rsid w:val="750E27C7"/>
    <w:rsid w:val="750F1273"/>
    <w:rsid w:val="752E6DCD"/>
    <w:rsid w:val="7551380D"/>
    <w:rsid w:val="75556CB2"/>
    <w:rsid w:val="75600BE5"/>
    <w:rsid w:val="7564475C"/>
    <w:rsid w:val="756F07B9"/>
    <w:rsid w:val="75742F72"/>
    <w:rsid w:val="757F79BC"/>
    <w:rsid w:val="7583797F"/>
    <w:rsid w:val="758B5A35"/>
    <w:rsid w:val="758E1345"/>
    <w:rsid w:val="75917CED"/>
    <w:rsid w:val="75AB00CE"/>
    <w:rsid w:val="75AF7C49"/>
    <w:rsid w:val="75BD19C2"/>
    <w:rsid w:val="75D20F1D"/>
    <w:rsid w:val="75D50D18"/>
    <w:rsid w:val="75D699B9"/>
    <w:rsid w:val="75DA2C18"/>
    <w:rsid w:val="75DE0F8E"/>
    <w:rsid w:val="75F54412"/>
    <w:rsid w:val="7602540F"/>
    <w:rsid w:val="76047255"/>
    <w:rsid w:val="761D08E0"/>
    <w:rsid w:val="762E372E"/>
    <w:rsid w:val="763237C3"/>
    <w:rsid w:val="76402E54"/>
    <w:rsid w:val="765D29D6"/>
    <w:rsid w:val="765D347C"/>
    <w:rsid w:val="7661256E"/>
    <w:rsid w:val="76620885"/>
    <w:rsid w:val="76746FA2"/>
    <w:rsid w:val="76817959"/>
    <w:rsid w:val="76826699"/>
    <w:rsid w:val="76B277C7"/>
    <w:rsid w:val="76BB072D"/>
    <w:rsid w:val="76C1680B"/>
    <w:rsid w:val="76C87133"/>
    <w:rsid w:val="76CB02BC"/>
    <w:rsid w:val="76CD08D5"/>
    <w:rsid w:val="76DB2E33"/>
    <w:rsid w:val="76DB4B92"/>
    <w:rsid w:val="76E0513C"/>
    <w:rsid w:val="76EE05AE"/>
    <w:rsid w:val="76F940B5"/>
    <w:rsid w:val="77052AA4"/>
    <w:rsid w:val="77136511"/>
    <w:rsid w:val="77334767"/>
    <w:rsid w:val="77340A39"/>
    <w:rsid w:val="77351FD0"/>
    <w:rsid w:val="773A81D5"/>
    <w:rsid w:val="773E7AF4"/>
    <w:rsid w:val="77472422"/>
    <w:rsid w:val="777B32BF"/>
    <w:rsid w:val="777F31F2"/>
    <w:rsid w:val="778D6084"/>
    <w:rsid w:val="77A15B74"/>
    <w:rsid w:val="77A23B52"/>
    <w:rsid w:val="77BA10A6"/>
    <w:rsid w:val="77BF62D3"/>
    <w:rsid w:val="77CE8273"/>
    <w:rsid w:val="77D1700D"/>
    <w:rsid w:val="77D529E6"/>
    <w:rsid w:val="77DF4631"/>
    <w:rsid w:val="77EC04CC"/>
    <w:rsid w:val="77ED700C"/>
    <w:rsid w:val="77EE9D35"/>
    <w:rsid w:val="77FB30A4"/>
    <w:rsid w:val="77FB56E4"/>
    <w:rsid w:val="78002763"/>
    <w:rsid w:val="780E0F3E"/>
    <w:rsid w:val="78144439"/>
    <w:rsid w:val="78195184"/>
    <w:rsid w:val="781F0E64"/>
    <w:rsid w:val="782C2A17"/>
    <w:rsid w:val="782E6CA4"/>
    <w:rsid w:val="78395DAD"/>
    <w:rsid w:val="785E6684"/>
    <w:rsid w:val="78600B26"/>
    <w:rsid w:val="78656BB1"/>
    <w:rsid w:val="786C6182"/>
    <w:rsid w:val="78775729"/>
    <w:rsid w:val="78A42DB0"/>
    <w:rsid w:val="78A656AB"/>
    <w:rsid w:val="78B2245C"/>
    <w:rsid w:val="78B43685"/>
    <w:rsid w:val="78B944EA"/>
    <w:rsid w:val="78BD7DE7"/>
    <w:rsid w:val="78CF6711"/>
    <w:rsid w:val="78E172CC"/>
    <w:rsid w:val="78EA1D1F"/>
    <w:rsid w:val="78FB4B50"/>
    <w:rsid w:val="79014D6A"/>
    <w:rsid w:val="7904172F"/>
    <w:rsid w:val="790F7E27"/>
    <w:rsid w:val="791660EE"/>
    <w:rsid w:val="792A231A"/>
    <w:rsid w:val="79316829"/>
    <w:rsid w:val="79557D8F"/>
    <w:rsid w:val="796432FD"/>
    <w:rsid w:val="796A0496"/>
    <w:rsid w:val="79733540"/>
    <w:rsid w:val="797E66A9"/>
    <w:rsid w:val="798F0C50"/>
    <w:rsid w:val="79916C08"/>
    <w:rsid w:val="79954710"/>
    <w:rsid w:val="799A6917"/>
    <w:rsid w:val="79A54571"/>
    <w:rsid w:val="79A97383"/>
    <w:rsid w:val="79B3EAA1"/>
    <w:rsid w:val="79B670DE"/>
    <w:rsid w:val="79D700C9"/>
    <w:rsid w:val="79DD5076"/>
    <w:rsid w:val="79E27E8B"/>
    <w:rsid w:val="79E51C0A"/>
    <w:rsid w:val="79E55F23"/>
    <w:rsid w:val="79F50F6F"/>
    <w:rsid w:val="79F60E94"/>
    <w:rsid w:val="79F850CE"/>
    <w:rsid w:val="79F9CDD1"/>
    <w:rsid w:val="79FB00A9"/>
    <w:rsid w:val="79FD2E0A"/>
    <w:rsid w:val="79FD443C"/>
    <w:rsid w:val="7A031D70"/>
    <w:rsid w:val="7A1B5E7B"/>
    <w:rsid w:val="7A1D1975"/>
    <w:rsid w:val="7A226A18"/>
    <w:rsid w:val="7A30548F"/>
    <w:rsid w:val="7A3E5150"/>
    <w:rsid w:val="7A4670D6"/>
    <w:rsid w:val="7A4A3BC0"/>
    <w:rsid w:val="7A534B63"/>
    <w:rsid w:val="7A615382"/>
    <w:rsid w:val="7A657E85"/>
    <w:rsid w:val="7A67303B"/>
    <w:rsid w:val="7A7F2A39"/>
    <w:rsid w:val="7A9B6A58"/>
    <w:rsid w:val="7AA61D6E"/>
    <w:rsid w:val="7AAB1D04"/>
    <w:rsid w:val="7AAE29CF"/>
    <w:rsid w:val="7ABA4368"/>
    <w:rsid w:val="7ACA02E8"/>
    <w:rsid w:val="7AD05746"/>
    <w:rsid w:val="7ADD5383"/>
    <w:rsid w:val="7AEF5B98"/>
    <w:rsid w:val="7AF60108"/>
    <w:rsid w:val="7B060363"/>
    <w:rsid w:val="7B081EE9"/>
    <w:rsid w:val="7B1842D8"/>
    <w:rsid w:val="7B257FFD"/>
    <w:rsid w:val="7B2A3ECA"/>
    <w:rsid w:val="7B2C7DBD"/>
    <w:rsid w:val="7B2E3325"/>
    <w:rsid w:val="7B343476"/>
    <w:rsid w:val="7B3870A9"/>
    <w:rsid w:val="7B3A2568"/>
    <w:rsid w:val="7B3B08B4"/>
    <w:rsid w:val="7B3BAA8A"/>
    <w:rsid w:val="7B5A2978"/>
    <w:rsid w:val="7B5A7E4C"/>
    <w:rsid w:val="7B5B42B3"/>
    <w:rsid w:val="7B667AF9"/>
    <w:rsid w:val="7B6E62BE"/>
    <w:rsid w:val="7B7468F8"/>
    <w:rsid w:val="7B7C1C9C"/>
    <w:rsid w:val="7B7F5B22"/>
    <w:rsid w:val="7B9934BC"/>
    <w:rsid w:val="7BA06143"/>
    <w:rsid w:val="7BB816DF"/>
    <w:rsid w:val="7BBCBFF7"/>
    <w:rsid w:val="7BBF31A0"/>
    <w:rsid w:val="7BEE0103"/>
    <w:rsid w:val="7BF7BA00"/>
    <w:rsid w:val="7C0A0FE4"/>
    <w:rsid w:val="7C19147F"/>
    <w:rsid w:val="7C1E057E"/>
    <w:rsid w:val="7C254906"/>
    <w:rsid w:val="7C2A076A"/>
    <w:rsid w:val="7C4E4895"/>
    <w:rsid w:val="7C582096"/>
    <w:rsid w:val="7C590818"/>
    <w:rsid w:val="7C7C10F6"/>
    <w:rsid w:val="7C853BEA"/>
    <w:rsid w:val="7C881368"/>
    <w:rsid w:val="7C9A6B9D"/>
    <w:rsid w:val="7C9B7832"/>
    <w:rsid w:val="7CB6106F"/>
    <w:rsid w:val="7CC16A2C"/>
    <w:rsid w:val="7CCC4E2E"/>
    <w:rsid w:val="7CDB38D7"/>
    <w:rsid w:val="7CE27788"/>
    <w:rsid w:val="7CE56807"/>
    <w:rsid w:val="7CF433EE"/>
    <w:rsid w:val="7D0C32F1"/>
    <w:rsid w:val="7D0F408D"/>
    <w:rsid w:val="7D491C6C"/>
    <w:rsid w:val="7D4B5E15"/>
    <w:rsid w:val="7D4E2F8F"/>
    <w:rsid w:val="7D511DEB"/>
    <w:rsid w:val="7D5429C0"/>
    <w:rsid w:val="7D5BD7A4"/>
    <w:rsid w:val="7D6E6D43"/>
    <w:rsid w:val="7D777879"/>
    <w:rsid w:val="7DB57A34"/>
    <w:rsid w:val="7DBD0B2D"/>
    <w:rsid w:val="7DC16401"/>
    <w:rsid w:val="7DD745C1"/>
    <w:rsid w:val="7DE60973"/>
    <w:rsid w:val="7DEA2D0D"/>
    <w:rsid w:val="7DEF0916"/>
    <w:rsid w:val="7DFC3B04"/>
    <w:rsid w:val="7DFFA5D9"/>
    <w:rsid w:val="7E066C08"/>
    <w:rsid w:val="7E0C4EA0"/>
    <w:rsid w:val="7E1E5218"/>
    <w:rsid w:val="7E3513D4"/>
    <w:rsid w:val="7E5F0CEE"/>
    <w:rsid w:val="7E815768"/>
    <w:rsid w:val="7E847E0F"/>
    <w:rsid w:val="7E9A4E1F"/>
    <w:rsid w:val="7EA7723A"/>
    <w:rsid w:val="7EAB5022"/>
    <w:rsid w:val="7EB3006D"/>
    <w:rsid w:val="7ED56104"/>
    <w:rsid w:val="7EE739BB"/>
    <w:rsid w:val="7EF56FBB"/>
    <w:rsid w:val="7EFE2E81"/>
    <w:rsid w:val="7EFE6019"/>
    <w:rsid w:val="7F01339C"/>
    <w:rsid w:val="7F0768EB"/>
    <w:rsid w:val="7F143BEC"/>
    <w:rsid w:val="7F2C7006"/>
    <w:rsid w:val="7F472479"/>
    <w:rsid w:val="7F47362C"/>
    <w:rsid w:val="7F4C0ABC"/>
    <w:rsid w:val="7F715AF2"/>
    <w:rsid w:val="7F7BC502"/>
    <w:rsid w:val="7F856010"/>
    <w:rsid w:val="7F886E69"/>
    <w:rsid w:val="7F904A1D"/>
    <w:rsid w:val="7F9C3A63"/>
    <w:rsid w:val="7F9E0BEB"/>
    <w:rsid w:val="7F9F4761"/>
    <w:rsid w:val="7FA04967"/>
    <w:rsid w:val="7FAA22BA"/>
    <w:rsid w:val="7FAFDE5E"/>
    <w:rsid w:val="7FB01EA8"/>
    <w:rsid w:val="7FBE1B41"/>
    <w:rsid w:val="7FC12304"/>
    <w:rsid w:val="7FC45A1A"/>
    <w:rsid w:val="7FC94EFB"/>
    <w:rsid w:val="7FDD39BD"/>
    <w:rsid w:val="7FDE6772"/>
    <w:rsid w:val="7FE57814"/>
    <w:rsid w:val="7FF76800"/>
    <w:rsid w:val="7FFE9FA5"/>
    <w:rsid w:val="8E8E3F9E"/>
    <w:rsid w:val="95FCBD9D"/>
    <w:rsid w:val="96FF3CA9"/>
    <w:rsid w:val="97FF7FE5"/>
    <w:rsid w:val="9B379D21"/>
    <w:rsid w:val="9BD474A7"/>
    <w:rsid w:val="9CD7AF0D"/>
    <w:rsid w:val="9FAC2ABA"/>
    <w:rsid w:val="9FF70969"/>
    <w:rsid w:val="A7DFA11D"/>
    <w:rsid w:val="ACEF748E"/>
    <w:rsid w:val="AFFF6D0B"/>
    <w:rsid w:val="B37B784C"/>
    <w:rsid w:val="BB7FA927"/>
    <w:rsid w:val="BBDF5442"/>
    <w:rsid w:val="BD7F1C15"/>
    <w:rsid w:val="BDF3E488"/>
    <w:rsid w:val="BE3ED860"/>
    <w:rsid w:val="BFFA1AC1"/>
    <w:rsid w:val="CEF48C36"/>
    <w:rsid w:val="CFDFC343"/>
    <w:rsid w:val="CFFC56BB"/>
    <w:rsid w:val="D1E6BA37"/>
    <w:rsid w:val="D77A5A3E"/>
    <w:rsid w:val="D7F0A3C4"/>
    <w:rsid w:val="DBCE45AD"/>
    <w:rsid w:val="DE9F4B59"/>
    <w:rsid w:val="DFF647FB"/>
    <w:rsid w:val="DFFF3F49"/>
    <w:rsid w:val="E13F7FAA"/>
    <w:rsid w:val="E6FFCBA9"/>
    <w:rsid w:val="E9FF033E"/>
    <w:rsid w:val="EB5660B0"/>
    <w:rsid w:val="EDFF0ADF"/>
    <w:rsid w:val="EF756647"/>
    <w:rsid w:val="F27F0573"/>
    <w:rsid w:val="F37D11C3"/>
    <w:rsid w:val="F58F1A04"/>
    <w:rsid w:val="F5FFD31F"/>
    <w:rsid w:val="F6FFE2F7"/>
    <w:rsid w:val="F7CF3C11"/>
    <w:rsid w:val="F7CF8503"/>
    <w:rsid w:val="F7FF7593"/>
    <w:rsid w:val="F9E6CC22"/>
    <w:rsid w:val="F9EBDA40"/>
    <w:rsid w:val="FA7BC811"/>
    <w:rsid w:val="FABF115D"/>
    <w:rsid w:val="FB531BA0"/>
    <w:rsid w:val="FBEBC3B6"/>
    <w:rsid w:val="FDFB95D2"/>
    <w:rsid w:val="FE7FD6B8"/>
    <w:rsid w:val="FEA8C974"/>
    <w:rsid w:val="FED471CD"/>
    <w:rsid w:val="FEDF3713"/>
    <w:rsid w:val="FEFCFF6E"/>
    <w:rsid w:val="FF1FECAF"/>
    <w:rsid w:val="FF7F285C"/>
    <w:rsid w:val="FF7F8693"/>
    <w:rsid w:val="FFAF3A84"/>
    <w:rsid w:val="FFBD61BA"/>
    <w:rsid w:val="FFDBB0C3"/>
    <w:rsid w:val="FFDDCB97"/>
    <w:rsid w:val="FFF7F56C"/>
    <w:rsid w:val="FFFDAC0B"/>
    <w:rsid w:val="FFFE6139"/>
    <w:rsid w:val="FFFF15BB"/>
    <w:rsid w:val="FFFF1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7"/>
    <w:qFormat/>
    <w:uiPriority w:val="9"/>
    <w:pPr>
      <w:keepNext/>
      <w:keepLines/>
      <w:tabs>
        <w:tab w:val="left" w:pos="432"/>
      </w:tabs>
      <w:spacing w:line="360" w:lineRule="auto"/>
      <w:jc w:val="center"/>
      <w:outlineLvl w:val="0"/>
    </w:pPr>
    <w:rPr>
      <w:b/>
      <w:bCs/>
      <w:kern w:val="44"/>
      <w:sz w:val="32"/>
      <w:szCs w:val="44"/>
    </w:rPr>
  </w:style>
  <w:style w:type="paragraph" w:styleId="3">
    <w:name w:val="heading 2"/>
    <w:basedOn w:val="1"/>
    <w:next w:val="1"/>
    <w:link w:val="962"/>
    <w:qFormat/>
    <w:uiPriority w:val="0"/>
    <w:pPr>
      <w:keepNext/>
      <w:keepLines/>
      <w:tabs>
        <w:tab w:val="left" w:pos="432"/>
      </w:tabs>
      <w:adjustRightInd/>
      <w:spacing w:before="160" w:after="160" w:line="360" w:lineRule="auto"/>
      <w:ind w:firstLine="422" w:firstLineChars="200"/>
      <w:jc w:val="left"/>
      <w:outlineLvl w:val="1"/>
    </w:pPr>
    <w:rPr>
      <w:rFonts w:ascii="仿宋_GB2312" w:hAnsi="仿宋_GB2312"/>
      <w:b/>
      <w:bCs/>
      <w:szCs w:val="32"/>
      <w:lang w:val="zh-CN"/>
    </w:rPr>
  </w:style>
  <w:style w:type="paragraph" w:styleId="4">
    <w:name w:val="heading 3"/>
    <w:basedOn w:val="1"/>
    <w:next w:val="1"/>
    <w:link w:val="963"/>
    <w:qFormat/>
    <w:uiPriority w:val="0"/>
    <w:pPr>
      <w:keepNext/>
      <w:keepLines/>
      <w:tabs>
        <w:tab w:val="left" w:pos="900"/>
      </w:tabs>
      <w:spacing w:before="100" w:after="100" w:line="360" w:lineRule="auto"/>
      <w:ind w:firstLine="422" w:firstLineChars="200"/>
      <w:outlineLvl w:val="2"/>
    </w:pPr>
    <w:rPr>
      <w:rFonts w:ascii="Arial" w:hAnsi="Arial"/>
      <w:b/>
      <w:bCs/>
      <w:szCs w:val="32"/>
    </w:rPr>
  </w:style>
  <w:style w:type="paragraph" w:styleId="5">
    <w:name w:val="heading 4"/>
    <w:basedOn w:val="1"/>
    <w:next w:val="1"/>
    <w:link w:val="328"/>
    <w:qFormat/>
    <w:uiPriority w:val="0"/>
    <w:pPr>
      <w:keepNext/>
      <w:keepLines/>
      <w:tabs>
        <w:tab w:val="left" w:pos="864"/>
      </w:tabs>
      <w:spacing w:line="360" w:lineRule="auto"/>
      <w:ind w:firstLine="422" w:firstLineChars="200"/>
      <w:outlineLvl w:val="3"/>
    </w:pPr>
    <w:rPr>
      <w:rFonts w:ascii="Arial" w:hAnsi="Arial"/>
      <w:b/>
      <w:bCs/>
      <w:szCs w:val="28"/>
      <w:lang w:val="zh-CN"/>
    </w:rPr>
  </w:style>
  <w:style w:type="paragraph" w:styleId="6">
    <w:name w:val="heading 5"/>
    <w:basedOn w:val="1"/>
    <w:next w:val="1"/>
    <w:link w:val="80"/>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8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7"/>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2"/>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6"/>
    <w:qFormat/>
    <w:uiPriority w:val="0"/>
    <w:pPr>
      <w:shd w:val="clear" w:color="auto" w:fill="000080"/>
    </w:pPr>
  </w:style>
  <w:style w:type="paragraph" w:styleId="19">
    <w:name w:val="annotation text"/>
    <w:basedOn w:val="1"/>
    <w:link w:val="345"/>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1"/>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link w:val="322"/>
    <w:qFormat/>
    <w:uiPriority w:val="0"/>
    <w:pPr>
      <w:ind w:firstLine="420"/>
    </w:pPr>
    <w:rPr>
      <w:rFonts w:hAnsi="Calibri" w:cs="Times New Roman"/>
      <w:snapToGrid/>
      <w:szCs w:val="20"/>
    </w:rPr>
  </w:style>
  <w:style w:type="paragraph" w:styleId="25">
    <w:name w:val="Body Text Indent"/>
    <w:basedOn w:val="1"/>
    <w:next w:val="1"/>
    <w:link w:val="267"/>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2"/>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34"/>
    <w:link w:val="130"/>
    <w:qFormat/>
    <w:uiPriority w:val="0"/>
    <w:rPr>
      <w:rFonts w:ascii="宋体" w:hAnsi="Courier New" w:cs="Arial"/>
      <w:snapToGrid w:val="0"/>
      <w:szCs w:val="21"/>
    </w:rPr>
  </w:style>
  <w:style w:type="paragraph" w:styleId="34">
    <w:name w:val="toc 2"/>
    <w:basedOn w:val="1"/>
    <w:next w:val="1"/>
    <w:qFormat/>
    <w:uiPriority w:val="0"/>
    <w:pPr>
      <w:ind w:left="420" w:leftChars="200"/>
    </w:p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5"/>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0"/>
    <w:qFormat/>
    <w:uiPriority w:val="0"/>
    <w:rPr>
      <w:lang w:val="zh-CN"/>
    </w:rPr>
  </w:style>
  <w:style w:type="paragraph" w:styleId="40">
    <w:name w:val="Balloon Text"/>
    <w:basedOn w:val="1"/>
    <w:link w:val="192"/>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next w:val="1"/>
    <w:qFormat/>
    <w:uiPriority w:val="0"/>
    <w:pPr>
      <w:ind w:left="200" w:hanging="200" w:hangingChars="200"/>
    </w:pPr>
  </w:style>
  <w:style w:type="paragraph" w:styleId="51">
    <w:name w:val="footnote text"/>
    <w:basedOn w:val="15"/>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5"/>
    <w:qFormat/>
    <w:uiPriority w:val="0"/>
    <w:pPr>
      <w:spacing w:line="360" w:lineRule="auto"/>
      <w:ind w:firstLine="420"/>
    </w:pPr>
    <w:rPr>
      <w:sz w:val="24"/>
      <w:szCs w:val="20"/>
    </w:r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7"/>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102"/>
    <w:qFormat/>
    <w:uiPriority w:val="0"/>
    <w:rPr>
      <w:b/>
      <w:bCs/>
    </w:rPr>
  </w:style>
  <w:style w:type="paragraph" w:styleId="61">
    <w:name w:val="Body Text First Indent 2"/>
    <w:basedOn w:val="25"/>
    <w:next w:val="1"/>
    <w:link w:val="126"/>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标题 4 字符"/>
    <w:qFormat/>
    <w:uiPriority w:val="9"/>
    <w:rPr>
      <w:rFonts w:ascii="等线 Light" w:hAnsi="等线 Light" w:eastAsia="等线 Light" w:cs="Times New Roman"/>
      <w:b/>
      <w:bCs/>
      <w:snapToGrid w:val="0"/>
      <w:kern w:val="0"/>
      <w:sz w:val="28"/>
      <w:szCs w:val="28"/>
    </w:rPr>
  </w:style>
  <w:style w:type="character" w:customStyle="1" w:styleId="80">
    <w:name w:val="标题 5 字符"/>
    <w:link w:val="6"/>
    <w:qFormat/>
    <w:uiPriority w:val="9"/>
    <w:rPr>
      <w:b/>
      <w:bCs/>
      <w:kern w:val="2"/>
      <w:sz w:val="28"/>
      <w:szCs w:val="28"/>
    </w:rPr>
  </w:style>
  <w:style w:type="character" w:customStyle="1" w:styleId="81">
    <w:name w:val="标题 6 字符"/>
    <w:link w:val="7"/>
    <w:qFormat/>
    <w:uiPriority w:val="0"/>
    <w:rPr>
      <w:rFonts w:ascii="Arial" w:hAnsi="Arial" w:eastAsia="黑体"/>
      <w:b/>
      <w:bCs/>
      <w:kern w:val="2"/>
      <w:sz w:val="24"/>
      <w:szCs w:val="24"/>
    </w:rPr>
  </w:style>
  <w:style w:type="paragraph" w:customStyle="1" w:styleId="82">
    <w:name w:val="Default"/>
    <w:next w:val="83"/>
    <w:link w:val="23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4">
    <w:name w:val="标题 2 Char"/>
    <w:qFormat/>
    <w:uiPriority w:val="0"/>
    <w:rPr>
      <w:rFonts w:ascii="Arial" w:hAnsi="Arial" w:eastAsia="黑体"/>
      <w:b/>
      <w:kern w:val="2"/>
      <w:sz w:val="32"/>
      <w:lang w:val="en-US" w:eastAsia="zh-CN"/>
    </w:rPr>
  </w:style>
  <w:style w:type="character" w:customStyle="1" w:styleId="85">
    <w:name w:val="标题 4 Char"/>
    <w:qFormat/>
    <w:uiPriority w:val="0"/>
    <w:rPr>
      <w:rFonts w:ascii="Arial" w:hAnsi="Arial" w:eastAsia="黑体"/>
      <w:b/>
      <w:kern w:val="2"/>
      <w:sz w:val="28"/>
    </w:rPr>
  </w:style>
  <w:style w:type="paragraph" w:customStyle="1" w:styleId="86">
    <w:name w:val="首行缩进"/>
    <w:basedOn w:val="1"/>
    <w:qFormat/>
    <w:uiPriority w:val="0"/>
    <w:pPr>
      <w:spacing w:line="360" w:lineRule="auto"/>
      <w:ind w:firstLine="480" w:firstLineChars="200"/>
    </w:pPr>
    <w:rPr>
      <w:rFonts w:ascii="宋体"/>
      <w:sz w:val="24"/>
      <w:szCs w:val="20"/>
    </w:rPr>
  </w:style>
  <w:style w:type="character" w:customStyle="1" w:styleId="87">
    <w:name w:val="标题 1 字符1"/>
    <w:link w:val="2"/>
    <w:qFormat/>
    <w:uiPriority w:val="9"/>
    <w:rPr>
      <w:rFonts w:ascii="Times New Roman" w:hAnsi="Times New Roman" w:eastAsia="宋体"/>
      <w:b/>
      <w:bCs/>
      <w:kern w:val="44"/>
      <w:sz w:val="32"/>
      <w:szCs w:val="44"/>
    </w:rPr>
  </w:style>
  <w:style w:type="character" w:customStyle="1" w:styleId="88">
    <w:name w:val="表格非标题文字 Char"/>
    <w:link w:val="89"/>
    <w:qFormat/>
    <w:uiPriority w:val="0"/>
    <w:rPr>
      <w:rFonts w:ascii="Futura Bk" w:hAnsi="Futura Bk"/>
      <w:kern w:val="2"/>
      <w:sz w:val="18"/>
      <w:szCs w:val="21"/>
      <w:lang w:val="en-US" w:eastAsia="zh-CN" w:bidi="ar-SA"/>
    </w:rPr>
  </w:style>
  <w:style w:type="paragraph" w:customStyle="1" w:styleId="89">
    <w:name w:val="表格非标题文字"/>
    <w:link w:val="88"/>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0">
    <w:name w:val="*正文 Char"/>
    <w:link w:val="91"/>
    <w:qFormat/>
    <w:locked/>
    <w:uiPriority w:val="0"/>
    <w:rPr>
      <w:rFonts w:ascii="宋体" w:hAnsi="宋体"/>
      <w:sz w:val="24"/>
    </w:rPr>
  </w:style>
  <w:style w:type="paragraph" w:customStyle="1" w:styleId="91">
    <w:name w:val="*正文"/>
    <w:basedOn w:val="1"/>
    <w:link w:val="90"/>
    <w:qFormat/>
    <w:uiPriority w:val="0"/>
    <w:pPr>
      <w:snapToGrid w:val="0"/>
      <w:spacing w:line="360" w:lineRule="auto"/>
      <w:ind w:firstLine="482"/>
      <w:jc w:val="left"/>
    </w:pPr>
    <w:rPr>
      <w:rFonts w:ascii="宋体" w:hAnsi="宋体"/>
      <w:kern w:val="0"/>
      <w:sz w:val="24"/>
      <w:szCs w:val="20"/>
    </w:rPr>
  </w:style>
  <w:style w:type="character" w:customStyle="1" w:styleId="92">
    <w:name w:val="Char Char71"/>
    <w:semiHidden/>
    <w:qFormat/>
    <w:uiPriority w:val="0"/>
    <w:rPr>
      <w:rFonts w:eastAsia="宋体"/>
      <w:kern w:val="2"/>
      <w:sz w:val="21"/>
      <w:szCs w:val="24"/>
      <w:lang w:val="en-US" w:eastAsia="zh-CN" w:bidi="ar-SA"/>
    </w:rPr>
  </w:style>
  <w:style w:type="character" w:customStyle="1" w:styleId="93">
    <w:name w:val="Char Char6"/>
    <w:qFormat/>
    <w:uiPriority w:val="0"/>
    <w:rPr>
      <w:rFonts w:eastAsia="宋体"/>
      <w:kern w:val="2"/>
      <w:sz w:val="21"/>
      <w:szCs w:val="24"/>
      <w:lang w:val="en-US" w:eastAsia="zh-CN" w:bidi="ar-SA"/>
    </w:rPr>
  </w:style>
  <w:style w:type="character" w:customStyle="1" w:styleId="94">
    <w:name w:val="正文缩进 Char"/>
    <w:qFormat/>
    <w:uiPriority w:val="0"/>
    <w:rPr>
      <w:rFonts w:eastAsia="宋体"/>
      <w:kern w:val="2"/>
      <w:sz w:val="21"/>
      <w:lang w:val="en-US" w:eastAsia="zh-CN"/>
    </w:rPr>
  </w:style>
  <w:style w:type="character" w:customStyle="1" w:styleId="95">
    <w:name w:val="正文首行缩进 Char1"/>
    <w:qFormat/>
    <w:uiPriority w:val="0"/>
    <w:rPr>
      <w:rFonts w:ascii="宋体" w:hAnsi="Times New Roman" w:eastAsia="宋体" w:cs="Times New Roman"/>
      <w:snapToGrid w:val="0"/>
      <w:kern w:val="2"/>
      <w:sz w:val="24"/>
      <w:szCs w:val="21"/>
      <w:lang w:val="zh-CN"/>
    </w:rPr>
  </w:style>
  <w:style w:type="character" w:customStyle="1" w:styleId="96">
    <w:name w:val="Char Char28"/>
    <w:qFormat/>
    <w:uiPriority w:val="6"/>
    <w:rPr>
      <w:rFonts w:ascii="仿宋_GB2312" w:hAnsi="仿宋_GB2312" w:eastAsia="仿宋_GB2312"/>
      <w:kern w:val="1"/>
      <w:sz w:val="28"/>
    </w:rPr>
  </w:style>
  <w:style w:type="character" w:customStyle="1" w:styleId="9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8">
    <w:name w:val="Heading 1 Char"/>
    <w:qFormat/>
    <w:uiPriority w:val="6"/>
    <w:rPr>
      <w:rFonts w:ascii="Times New Roman" w:hAnsi="Times New Roman" w:eastAsia="黑体" w:cs="Times New Roman"/>
      <w:b/>
      <w:kern w:val="0"/>
      <w:sz w:val="24"/>
      <w:szCs w:val="24"/>
    </w:rPr>
  </w:style>
  <w:style w:type="character" w:customStyle="1" w:styleId="99">
    <w:name w:val="U_正文 Char"/>
    <w:link w:val="100"/>
    <w:qFormat/>
    <w:uiPriority w:val="0"/>
    <w:rPr>
      <w:sz w:val="24"/>
      <w:szCs w:val="24"/>
    </w:rPr>
  </w:style>
  <w:style w:type="paragraph" w:customStyle="1" w:styleId="100">
    <w:name w:val="U_正文"/>
    <w:basedOn w:val="1"/>
    <w:link w:val="99"/>
    <w:qFormat/>
    <w:uiPriority w:val="0"/>
    <w:pPr>
      <w:adjustRightInd/>
      <w:spacing w:beforeLines="20" w:afterLines="20" w:line="300" w:lineRule="auto"/>
      <w:ind w:firstLine="200" w:firstLineChars="200"/>
    </w:pPr>
    <w:rPr>
      <w:kern w:val="0"/>
      <w:sz w:val="24"/>
    </w:rPr>
  </w:style>
  <w:style w:type="character" w:customStyle="1" w:styleId="101">
    <w:name w:val="HTML 地址 Char1"/>
    <w:qFormat/>
    <w:uiPriority w:val="0"/>
    <w:rPr>
      <w:rFonts w:ascii="Times New Roman" w:hAnsi="Times New Roman" w:eastAsia="宋体" w:cs="Times New Roman"/>
      <w:i/>
      <w:iCs/>
      <w:szCs w:val="24"/>
    </w:rPr>
  </w:style>
  <w:style w:type="character" w:customStyle="1" w:styleId="102">
    <w:name w:val="批注主题 字符"/>
    <w:link w:val="60"/>
    <w:qFormat/>
    <w:uiPriority w:val="0"/>
    <w:rPr>
      <w:b/>
      <w:bCs/>
      <w:kern w:val="2"/>
      <w:sz w:val="21"/>
      <w:szCs w:val="24"/>
    </w:rPr>
  </w:style>
  <w:style w:type="character" w:customStyle="1" w:styleId="103">
    <w:name w:val="Char Char51"/>
    <w:qFormat/>
    <w:uiPriority w:val="0"/>
    <w:rPr>
      <w:rFonts w:ascii="宋体" w:hAnsi="Courier New" w:eastAsia="宋体"/>
      <w:kern w:val="2"/>
      <w:sz w:val="21"/>
      <w:lang w:val="en-US" w:eastAsia="zh-CN"/>
    </w:rPr>
  </w:style>
  <w:style w:type="character" w:customStyle="1" w:styleId="104">
    <w:name w:val="表正文 Char"/>
    <w:qFormat/>
    <w:uiPriority w:val="0"/>
    <w:rPr>
      <w:rFonts w:ascii="宋体" w:eastAsia="宋体"/>
      <w:snapToGrid w:val="0"/>
      <w:color w:val="000000"/>
      <w:kern w:val="28"/>
      <w:sz w:val="28"/>
      <w:lang w:val="en-US" w:eastAsia="zh-CN" w:bidi="ar-SA"/>
    </w:rPr>
  </w:style>
  <w:style w:type="character" w:customStyle="1" w:styleId="105">
    <w:name w:val="Char Char34"/>
    <w:qFormat/>
    <w:uiPriority w:val="6"/>
    <w:rPr>
      <w:b/>
      <w:kern w:val="1"/>
      <w:sz w:val="28"/>
      <w:szCs w:val="28"/>
    </w:rPr>
  </w:style>
  <w:style w:type="character" w:customStyle="1" w:styleId="10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7">
    <w:name w:val="哈哈正文 Char"/>
    <w:link w:val="108"/>
    <w:qFormat/>
    <w:uiPriority w:val="0"/>
    <w:rPr>
      <w:rFonts w:ascii="宋体" w:hAnsi="宋体" w:eastAsia="宋体"/>
      <w:kern w:val="2"/>
      <w:sz w:val="24"/>
      <w:lang w:bidi="ar-SA"/>
    </w:rPr>
  </w:style>
  <w:style w:type="paragraph" w:customStyle="1" w:styleId="108">
    <w:name w:val="哈哈正文"/>
    <w:basedOn w:val="1"/>
    <w:link w:val="107"/>
    <w:qFormat/>
    <w:uiPriority w:val="0"/>
    <w:pPr>
      <w:adjustRightInd/>
      <w:spacing w:line="360" w:lineRule="auto"/>
      <w:ind w:firstLine="200" w:firstLineChars="200"/>
    </w:pPr>
    <w:rPr>
      <w:rFonts w:ascii="宋体" w:hAnsi="宋体"/>
      <w:sz w:val="24"/>
      <w:szCs w:val="20"/>
    </w:rPr>
  </w:style>
  <w:style w:type="character" w:customStyle="1" w:styleId="109">
    <w:name w:val="未处理的提及1"/>
    <w:qFormat/>
    <w:uiPriority w:val="0"/>
    <w:rPr>
      <w:color w:val="808080"/>
      <w:shd w:val="clear" w:color="auto" w:fill="E6E6E6"/>
    </w:rPr>
  </w:style>
  <w:style w:type="character" w:customStyle="1" w:styleId="110">
    <w:name w:val="txt"/>
    <w:qFormat/>
    <w:uiPriority w:val="0"/>
    <w:rPr>
      <w:rFonts w:ascii="仿宋_GB2312" w:eastAsia="微软雅黑"/>
      <w:b/>
      <w:kern w:val="2"/>
      <w:sz w:val="32"/>
      <w:szCs w:val="32"/>
      <w:lang w:val="en-US" w:eastAsia="zh-CN" w:bidi="ar-SA"/>
    </w:rPr>
  </w:style>
  <w:style w:type="character" w:customStyle="1" w:styleId="111">
    <w:name w:val="二级标题 Char Char"/>
    <w:qFormat/>
    <w:uiPriority w:val="0"/>
    <w:rPr>
      <w:rFonts w:ascii="宋体" w:hAnsi="宋体" w:eastAsia="宋体"/>
      <w:b/>
      <w:snapToGrid w:val="0"/>
      <w:kern w:val="2"/>
      <w:sz w:val="24"/>
      <w:szCs w:val="24"/>
      <w:lang w:val="en-US" w:eastAsia="zh-CN" w:bidi="ar-SA"/>
    </w:rPr>
  </w:style>
  <w:style w:type="character" w:customStyle="1" w:styleId="112">
    <w:name w:val="Char Char32"/>
    <w:qFormat/>
    <w:uiPriority w:val="6"/>
    <w:rPr>
      <w:b/>
      <w:kern w:val="1"/>
      <w:sz w:val="24"/>
      <w:szCs w:val="24"/>
    </w:rPr>
  </w:style>
  <w:style w:type="character" w:customStyle="1" w:styleId="113">
    <w:name w:val="PI Char1"/>
    <w:qFormat/>
    <w:uiPriority w:val="0"/>
    <w:rPr>
      <w:rFonts w:ascii="宋体" w:hAnsi="宋体"/>
      <w:kern w:val="2"/>
      <w:sz w:val="24"/>
      <w:szCs w:val="24"/>
    </w:rPr>
  </w:style>
  <w:style w:type="character" w:customStyle="1" w:styleId="114">
    <w:name w:val="tw4winTerm"/>
    <w:qFormat/>
    <w:uiPriority w:val="0"/>
    <w:rPr>
      <w:color w:val="0000FF"/>
    </w:rPr>
  </w:style>
  <w:style w:type="character" w:customStyle="1" w:styleId="115">
    <w:name w:val="Footer Char"/>
    <w:qFormat/>
    <w:locked/>
    <w:uiPriority w:val="0"/>
    <w:rPr>
      <w:rFonts w:eastAsia="宋体"/>
      <w:kern w:val="2"/>
      <w:sz w:val="18"/>
      <w:lang w:val="en-US" w:eastAsia="zh-CN" w:bidi="ar-SA"/>
    </w:rPr>
  </w:style>
  <w:style w:type="character" w:customStyle="1" w:styleId="116">
    <w:name w:val="普通文字 Char Char1"/>
    <w:qFormat/>
    <w:uiPriority w:val="0"/>
    <w:rPr>
      <w:rFonts w:ascii="宋体" w:hAnsi="Courier New"/>
      <w:kern w:val="2"/>
      <w:sz w:val="21"/>
    </w:rPr>
  </w:style>
  <w:style w:type="character" w:customStyle="1" w:styleId="117">
    <w:name w:val="Char Char101"/>
    <w:qFormat/>
    <w:uiPriority w:val="6"/>
    <w:rPr>
      <w:rFonts w:ascii="宋体" w:hAnsi="宋体"/>
      <w:kern w:val="2"/>
      <w:sz w:val="21"/>
      <w:szCs w:val="24"/>
      <w:lang w:val="en-US" w:eastAsia="zh-CN"/>
    </w:rPr>
  </w:style>
  <w:style w:type="character" w:customStyle="1" w:styleId="118">
    <w:name w:val="链接"/>
    <w:qFormat/>
    <w:uiPriority w:val="0"/>
    <w:rPr>
      <w:color w:val="0000FF"/>
      <w:sz w:val="21"/>
      <w:szCs w:val="21"/>
      <w:u w:val="single"/>
    </w:rPr>
  </w:style>
  <w:style w:type="character" w:customStyle="1" w:styleId="119">
    <w:name w:val="h4 Char"/>
    <w:qFormat/>
    <w:uiPriority w:val="0"/>
    <w:rPr>
      <w:rFonts w:ascii="Arial" w:hAnsi="Arial" w:eastAsia="黑体"/>
      <w:b/>
      <w:bCs/>
      <w:kern w:val="2"/>
      <w:sz w:val="28"/>
      <w:szCs w:val="28"/>
      <w:lang w:val="zh-CN" w:eastAsia="zh-CN" w:bidi="ar-SA"/>
    </w:rPr>
  </w:style>
  <w:style w:type="character" w:customStyle="1" w:styleId="120">
    <w:name w:val="5正文 Char"/>
    <w:link w:val="121"/>
    <w:qFormat/>
    <w:uiPriority w:val="0"/>
    <w:rPr>
      <w:rFonts w:ascii="仿宋_GB2312" w:hAnsi="微软雅黑" w:eastAsia="仿宋_GB2312"/>
      <w:sz w:val="28"/>
      <w:szCs w:val="21"/>
    </w:rPr>
  </w:style>
  <w:style w:type="paragraph" w:customStyle="1" w:styleId="121">
    <w:name w:val="5正文"/>
    <w:basedOn w:val="1"/>
    <w:link w:val="120"/>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2">
    <w:name w:val="标题 3 字符"/>
    <w:qFormat/>
    <w:uiPriority w:val="9"/>
    <w:rPr>
      <w:b/>
      <w:bCs/>
      <w:kern w:val="2"/>
      <w:sz w:val="32"/>
      <w:szCs w:val="32"/>
    </w:rPr>
  </w:style>
  <w:style w:type="character" w:customStyle="1" w:styleId="123">
    <w:name w:val="样式6 Char"/>
    <w:qFormat/>
    <w:uiPriority w:val="0"/>
    <w:rPr>
      <w:rFonts w:ascii="仿宋_GB2312" w:hAnsi="宋体" w:eastAsia="仿宋_GB2312"/>
      <w:b/>
      <w:bCs/>
      <w:kern w:val="2"/>
      <w:sz w:val="24"/>
      <w:szCs w:val="24"/>
      <w:lang w:val="en-US" w:eastAsia="zh-CN" w:bidi="ar-SA"/>
    </w:rPr>
  </w:style>
  <w:style w:type="character" w:customStyle="1" w:styleId="124">
    <w:name w:val="Char Char14"/>
    <w:qFormat/>
    <w:uiPriority w:val="6"/>
    <w:rPr>
      <w:rFonts w:ascii="黑体" w:hAnsi="黑体" w:eastAsia="黑体"/>
    </w:rPr>
  </w:style>
  <w:style w:type="character" w:customStyle="1" w:styleId="125">
    <w:name w:val="Heading 2 Hidden Char"/>
    <w:qFormat/>
    <w:uiPriority w:val="0"/>
    <w:rPr>
      <w:rFonts w:ascii="仿宋_GB2312" w:eastAsia="仿宋_GB2312"/>
      <w:b/>
      <w:bCs/>
      <w:kern w:val="2"/>
      <w:sz w:val="24"/>
      <w:szCs w:val="24"/>
      <w:lang w:val="zh-CN" w:eastAsia="zh-CN" w:bidi="ar-SA"/>
    </w:rPr>
  </w:style>
  <w:style w:type="character" w:customStyle="1" w:styleId="126">
    <w:name w:val="正文文本首行缩进 2 字符"/>
    <w:link w:val="61"/>
    <w:qFormat/>
    <w:uiPriority w:val="0"/>
    <w:rPr>
      <w:rFonts w:ascii="宋体" w:hAnsi="宋体"/>
      <w:kern w:val="2"/>
      <w:sz w:val="21"/>
      <w:szCs w:val="24"/>
    </w:rPr>
  </w:style>
  <w:style w:type="character" w:customStyle="1" w:styleId="127">
    <w:name w:val="font11"/>
    <w:qFormat/>
    <w:uiPriority w:val="0"/>
    <w:rPr>
      <w:rFonts w:hint="default" w:ascii="Times New Roman" w:hAnsi="Times New Roman" w:cs="Times New Roman"/>
      <w:color w:val="000000"/>
      <w:sz w:val="22"/>
      <w:szCs w:val="22"/>
      <w:u w:val="none"/>
    </w:rPr>
  </w:style>
  <w:style w:type="character" w:customStyle="1" w:styleId="128">
    <w:name w:val="表正文 Char1"/>
    <w:qFormat/>
    <w:uiPriority w:val="0"/>
    <w:rPr>
      <w:rFonts w:ascii="宋体" w:eastAsia="宋体"/>
      <w:snapToGrid w:val="0"/>
      <w:color w:val="000000"/>
      <w:kern w:val="28"/>
      <w:sz w:val="28"/>
    </w:rPr>
  </w:style>
  <w:style w:type="character" w:customStyle="1" w:styleId="129">
    <w:name w:val="blue1"/>
    <w:basedOn w:val="69"/>
    <w:qFormat/>
    <w:uiPriority w:val="0"/>
    <w:rPr>
      <w:rFonts w:ascii="Arial" w:hAnsi="Arial" w:eastAsia="黑体" w:cs="Arial"/>
      <w:snapToGrid w:val="0"/>
      <w:kern w:val="0"/>
      <w:szCs w:val="21"/>
    </w:rPr>
  </w:style>
  <w:style w:type="character" w:customStyle="1" w:styleId="130">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31">
    <w:name w:val="标书1 Char"/>
    <w:qFormat/>
    <w:uiPriority w:val="0"/>
    <w:rPr>
      <w:rFonts w:eastAsia="宋体"/>
      <w:b/>
      <w:bCs/>
      <w:kern w:val="44"/>
      <w:sz w:val="44"/>
      <w:szCs w:val="44"/>
      <w:lang w:val="en-US" w:eastAsia="zh-CN" w:bidi="ar-SA"/>
    </w:rPr>
  </w:style>
  <w:style w:type="character" w:customStyle="1" w:styleId="132">
    <w:name w:val="样式5 Char"/>
    <w:qFormat/>
    <w:uiPriority w:val="0"/>
    <w:rPr>
      <w:rFonts w:ascii="仿宋_GB2312" w:hAnsi="仿宋" w:eastAsia="仿宋_GB2312"/>
      <w:kern w:val="2"/>
      <w:sz w:val="24"/>
      <w:szCs w:val="24"/>
    </w:rPr>
  </w:style>
  <w:style w:type="character" w:customStyle="1" w:styleId="133">
    <w:name w:val="样式4 Char"/>
    <w:qFormat/>
    <w:uiPriority w:val="0"/>
    <w:rPr>
      <w:rFonts w:ascii="仿宋_GB2312" w:hAnsi="仿宋" w:eastAsia="仿宋_GB2312"/>
      <w:b/>
      <w:kern w:val="2"/>
      <w:sz w:val="32"/>
      <w:szCs w:val="32"/>
      <w:lang w:bidi="ar-SA"/>
    </w:rPr>
  </w:style>
  <w:style w:type="character" w:customStyle="1" w:styleId="134">
    <w:name w:val="插图说明 Char"/>
    <w:qFormat/>
    <w:uiPriority w:val="0"/>
    <w:rPr>
      <w:rFonts w:eastAsia="黑体"/>
      <w:sz w:val="24"/>
      <w:lang w:val="en-US" w:eastAsia="zh-CN"/>
    </w:rPr>
  </w:style>
  <w:style w:type="character" w:customStyle="1" w:styleId="135">
    <w:name w:val="正文2 Char Char"/>
    <w:link w:val="136"/>
    <w:qFormat/>
    <w:uiPriority w:val="0"/>
    <w:rPr>
      <w:rFonts w:eastAsia="宋体"/>
      <w:kern w:val="2"/>
      <w:sz w:val="24"/>
      <w:lang w:val="en-US" w:eastAsia="zh-CN" w:bidi="ar-SA"/>
    </w:rPr>
  </w:style>
  <w:style w:type="paragraph" w:customStyle="1" w:styleId="136">
    <w:name w:val="正文2"/>
    <w:basedOn w:val="1"/>
    <w:link w:val="135"/>
    <w:qFormat/>
    <w:uiPriority w:val="0"/>
    <w:pPr>
      <w:spacing w:before="156" w:line="360" w:lineRule="auto"/>
      <w:ind w:firstLine="510" w:firstLineChars="200"/>
    </w:pPr>
    <w:rPr>
      <w:sz w:val="24"/>
      <w:szCs w:val="20"/>
    </w:rPr>
  </w:style>
  <w:style w:type="character" w:customStyle="1" w:styleId="137">
    <w:name w:val="Char Char24"/>
    <w:qFormat/>
    <w:uiPriority w:val="6"/>
    <w:rPr>
      <w:kern w:val="1"/>
      <w:sz w:val="21"/>
    </w:rPr>
  </w:style>
  <w:style w:type="character" w:customStyle="1" w:styleId="138">
    <w:name w:val="副标题 字符"/>
    <w:link w:val="48"/>
    <w:qFormat/>
    <w:uiPriority w:val="0"/>
    <w:rPr>
      <w:rFonts w:ascii="Arial" w:hAnsi="Arial" w:eastAsia="隶书"/>
      <w:b/>
      <w:bCs/>
      <w:kern w:val="28"/>
      <w:sz w:val="44"/>
      <w:szCs w:val="32"/>
      <w:lang w:val="en-US" w:eastAsia="zh-CN" w:bidi="ar-SA"/>
    </w:rPr>
  </w:style>
  <w:style w:type="character" w:customStyle="1" w:styleId="139">
    <w:name w:val="普通文字 Char1 Char"/>
    <w:qFormat/>
    <w:uiPriority w:val="0"/>
    <w:rPr>
      <w:rFonts w:ascii="宋体" w:hAnsi="Courier New" w:eastAsia="宋体"/>
      <w:kern w:val="2"/>
      <w:sz w:val="21"/>
      <w:szCs w:val="24"/>
      <w:lang w:val="en-US" w:eastAsia="zh-CN" w:bidi="ar-SA"/>
    </w:rPr>
  </w:style>
  <w:style w:type="character" w:customStyle="1" w:styleId="140">
    <w:name w:val="h3 Char1"/>
    <w:qFormat/>
    <w:uiPriority w:val="0"/>
    <w:rPr>
      <w:rFonts w:eastAsia="宋体"/>
      <w:b/>
      <w:bCs/>
      <w:kern w:val="2"/>
      <w:sz w:val="32"/>
      <w:szCs w:val="32"/>
      <w:lang w:bidi="ar-SA"/>
    </w:rPr>
  </w:style>
  <w:style w:type="character" w:customStyle="1" w:styleId="141">
    <w:name w:val="标题 Char1"/>
    <w:qFormat/>
    <w:uiPriority w:val="0"/>
    <w:rPr>
      <w:rFonts w:ascii="Cambria" w:hAnsi="Cambria" w:eastAsia="宋体" w:cs="Times New Roman"/>
      <w:b/>
      <w:bCs/>
      <w:sz w:val="32"/>
      <w:szCs w:val="32"/>
      <w:lang w:bidi="ar-SA"/>
    </w:rPr>
  </w:style>
  <w:style w:type="character" w:customStyle="1" w:styleId="142">
    <w:name w:val="gf正文1 Char"/>
    <w:qFormat/>
    <w:uiPriority w:val="0"/>
    <w:rPr>
      <w:rFonts w:ascii="宋体" w:hAnsi="宋体" w:eastAsia="宋体" w:cs="宋体"/>
      <w:kern w:val="2"/>
      <w:sz w:val="24"/>
      <w:szCs w:val="24"/>
      <w:lang w:val="en-US" w:eastAsia="zh-CN" w:bidi="ar-SA"/>
    </w:rPr>
  </w:style>
  <w:style w:type="character" w:customStyle="1" w:styleId="143">
    <w:name w:val="正文文本缩进 Char1"/>
    <w:qFormat/>
    <w:uiPriority w:val="0"/>
    <w:rPr>
      <w:rFonts w:ascii="Calibri" w:hAnsi="Calibri"/>
      <w:sz w:val="28"/>
    </w:rPr>
  </w:style>
  <w:style w:type="character" w:customStyle="1" w:styleId="144">
    <w:name w:val="No Spacing Char"/>
    <w:link w:val="145"/>
    <w:qFormat/>
    <w:uiPriority w:val="1"/>
    <w:rPr>
      <w:sz w:val="22"/>
      <w:szCs w:val="22"/>
      <w:lang w:val="en-US" w:eastAsia="zh-CN" w:bidi="ar-SA"/>
    </w:rPr>
  </w:style>
  <w:style w:type="paragraph" w:customStyle="1" w:styleId="145">
    <w:name w:val="无间隔1"/>
    <w:link w:val="144"/>
    <w:qFormat/>
    <w:uiPriority w:val="1"/>
    <w:rPr>
      <w:rFonts w:ascii="Times New Roman" w:hAnsi="Times New Roman" w:eastAsia="宋体" w:cs="Times New Roman"/>
      <w:sz w:val="22"/>
      <w:szCs w:val="22"/>
      <w:lang w:val="en-US" w:eastAsia="zh-CN" w:bidi="ar-SA"/>
    </w:rPr>
  </w:style>
  <w:style w:type="character" w:customStyle="1" w:styleId="146">
    <w:name w:val="样式7 Char"/>
    <w:qFormat/>
    <w:uiPriority w:val="0"/>
    <w:rPr>
      <w:rFonts w:ascii="仿宋_GB2312" w:hAnsi="仿宋" w:eastAsia="仿宋_GB2312"/>
      <w:b/>
      <w:kern w:val="2"/>
      <w:sz w:val="24"/>
      <w:szCs w:val="24"/>
    </w:rPr>
  </w:style>
  <w:style w:type="character" w:customStyle="1" w:styleId="147">
    <w:name w:val="font12gray1"/>
    <w:qFormat/>
    <w:uiPriority w:val="0"/>
    <w:rPr>
      <w:rFonts w:ascii="仿宋_GB2312" w:eastAsia="微软雅黑"/>
      <w:b/>
      <w:spacing w:val="300"/>
      <w:kern w:val="2"/>
      <w:sz w:val="18"/>
      <w:szCs w:val="18"/>
      <w:lang w:val="en-US" w:eastAsia="zh-CN" w:bidi="ar-SA"/>
    </w:rPr>
  </w:style>
  <w:style w:type="character" w:customStyle="1" w:styleId="148">
    <w:name w:val="Char Char7"/>
    <w:semiHidden/>
    <w:qFormat/>
    <w:uiPriority w:val="0"/>
    <w:rPr>
      <w:rFonts w:eastAsia="宋体"/>
      <w:kern w:val="2"/>
      <w:sz w:val="21"/>
      <w:szCs w:val="24"/>
      <w:lang w:val="en-US" w:eastAsia="zh-CN" w:bidi="ar-SA"/>
    </w:rPr>
  </w:style>
  <w:style w:type="character" w:customStyle="1" w:styleId="149">
    <w:name w:val="表名 Char"/>
    <w:qFormat/>
    <w:uiPriority w:val="0"/>
    <w:rPr>
      <w:rFonts w:eastAsia="宋体"/>
      <w:b/>
      <w:bCs/>
      <w:kern w:val="2"/>
      <w:sz w:val="24"/>
      <w:szCs w:val="24"/>
      <w:lang w:val="en-US" w:eastAsia="zh-CN" w:bidi="ar-SA"/>
    </w:rPr>
  </w:style>
  <w:style w:type="character" w:customStyle="1" w:styleId="150">
    <w:name w:val="Document Map Char"/>
    <w:qFormat/>
    <w:locked/>
    <w:uiPriority w:val="0"/>
    <w:rPr>
      <w:rFonts w:eastAsia="宋体"/>
      <w:kern w:val="2"/>
      <w:sz w:val="21"/>
      <w:szCs w:val="24"/>
      <w:lang w:val="en-US" w:eastAsia="zh-CN" w:bidi="ar-SA"/>
    </w:rPr>
  </w:style>
  <w:style w:type="character" w:customStyle="1" w:styleId="151">
    <w:name w:val="font41"/>
    <w:qFormat/>
    <w:uiPriority w:val="0"/>
    <w:rPr>
      <w:rFonts w:hint="eastAsia" w:ascii="仿宋_GB2312" w:eastAsia="仿宋_GB2312" w:cs="仿宋_GB2312"/>
      <w:color w:val="000000"/>
      <w:sz w:val="22"/>
      <w:szCs w:val="22"/>
      <w:u w:val="none"/>
    </w:rPr>
  </w:style>
  <w:style w:type="character" w:customStyle="1" w:styleId="152">
    <w:name w:val="纯文本 Char_0"/>
    <w:link w:val="153"/>
    <w:qFormat/>
    <w:uiPriority w:val="0"/>
    <w:rPr>
      <w:rFonts w:ascii="宋体" w:hAnsi="Courier New"/>
      <w:kern w:val="2"/>
      <w:sz w:val="21"/>
      <w:szCs w:val="21"/>
      <w:lang w:val="en-US" w:eastAsia="zh-CN"/>
    </w:rPr>
  </w:style>
  <w:style w:type="paragraph" w:customStyle="1" w:styleId="153">
    <w:name w:val="纯文本_0_0"/>
    <w:basedOn w:val="154"/>
    <w:link w:val="152"/>
    <w:qFormat/>
    <w:uiPriority w:val="0"/>
    <w:rPr>
      <w:rFonts w:ascii="宋体" w:hAnsi="Courier New"/>
      <w:szCs w:val="21"/>
    </w:rPr>
  </w:style>
  <w:style w:type="paragraph" w:customStyle="1" w:styleId="15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qFormat/>
    <w:locked/>
    <w:uiPriority w:val="0"/>
    <w:rPr>
      <w:rFonts w:eastAsia="宋体"/>
      <w:kern w:val="2"/>
      <w:sz w:val="18"/>
      <w:szCs w:val="18"/>
      <w:lang w:val="en-US" w:eastAsia="zh-CN" w:bidi="ar-SA"/>
    </w:rPr>
  </w:style>
  <w:style w:type="character" w:customStyle="1" w:styleId="156">
    <w:name w:val="正文 项目2 Char"/>
    <w:basedOn w:val="157"/>
    <w:qFormat/>
    <w:uiPriority w:val="0"/>
    <w:rPr>
      <w:rFonts w:ascii="仿宋_GB2312" w:hAnsi="仿宋_GB2312" w:eastAsia="仿宋_GB2312"/>
      <w:kern w:val="2"/>
      <w:sz w:val="24"/>
      <w:lang w:bidi="ar-SA"/>
    </w:rPr>
  </w:style>
  <w:style w:type="character" w:customStyle="1" w:styleId="157">
    <w:name w:val="正文 项目 Char"/>
    <w:qFormat/>
    <w:uiPriority w:val="0"/>
    <w:rPr>
      <w:rFonts w:ascii="仿宋_GB2312" w:hAnsi="仿宋_GB2312" w:eastAsia="仿宋_GB2312"/>
      <w:kern w:val="2"/>
      <w:sz w:val="24"/>
      <w:lang w:bidi="ar-SA"/>
    </w:rPr>
  </w:style>
  <w:style w:type="character" w:customStyle="1" w:styleId="158">
    <w:name w:val="h Char Char1"/>
    <w:qFormat/>
    <w:uiPriority w:val="0"/>
    <w:rPr>
      <w:rFonts w:eastAsia="宋体"/>
      <w:kern w:val="2"/>
      <w:sz w:val="18"/>
      <w:szCs w:val="18"/>
      <w:lang w:val="en-US" w:eastAsia="zh-CN" w:bidi="ar-SA"/>
    </w:rPr>
  </w:style>
  <w:style w:type="character" w:customStyle="1" w:styleId="159">
    <w:name w:val="Char Char27"/>
    <w:qFormat/>
    <w:uiPriority w:val="6"/>
    <w:rPr>
      <w:rFonts w:ascii="宋体" w:hAnsi="宋体" w:eastAsia="宋体"/>
      <w:color w:val="000000"/>
      <w:kern w:val="1"/>
      <w:sz w:val="28"/>
      <w:lang w:val="en-US" w:eastAsia="zh-CN" w:bidi="ar-SA"/>
    </w:rPr>
  </w:style>
  <w:style w:type="character" w:customStyle="1" w:styleId="160">
    <w:name w:val="px14"/>
    <w:qFormat/>
    <w:uiPriority w:val="0"/>
    <w:rPr>
      <w:rFonts w:ascii="仿宋_GB2312" w:eastAsia="微软雅黑" w:cs="Times New Roman"/>
      <w:b/>
      <w:kern w:val="2"/>
      <w:sz w:val="32"/>
      <w:szCs w:val="32"/>
      <w:lang w:val="en-US" w:eastAsia="zh-CN" w:bidi="ar-SA"/>
    </w:rPr>
  </w:style>
  <w:style w:type="character" w:customStyle="1" w:styleId="161">
    <w:name w:val="HTML 预设格式 Char1"/>
    <w:qFormat/>
    <w:uiPriority w:val="0"/>
    <w:rPr>
      <w:rFonts w:ascii="Courier New" w:hAnsi="Courier New" w:eastAsia="宋体" w:cs="Courier New"/>
      <w:sz w:val="20"/>
      <w:szCs w:val="20"/>
    </w:rPr>
  </w:style>
  <w:style w:type="character" w:customStyle="1" w:styleId="162">
    <w:name w:val="普通文字 Char1"/>
    <w:qFormat/>
    <w:uiPriority w:val="0"/>
    <w:rPr>
      <w:rFonts w:ascii="宋体" w:hAnsi="Courier New" w:eastAsia="宋体"/>
      <w:kern w:val="2"/>
      <w:sz w:val="21"/>
      <w:lang w:val="en-US" w:eastAsia="zh-CN"/>
    </w:rPr>
  </w:style>
  <w:style w:type="character" w:customStyle="1" w:styleId="163">
    <w:name w:val="hei16b1"/>
    <w:qFormat/>
    <w:uiPriority w:val="0"/>
    <w:rPr>
      <w:rFonts w:hint="default" w:ascii="Arial" w:hAnsi="Arial" w:cs="Arial"/>
      <w:b/>
      <w:bCs/>
      <w:color w:val="000000"/>
      <w:sz w:val="24"/>
      <w:szCs w:val="24"/>
    </w:rPr>
  </w:style>
  <w:style w:type="character" w:customStyle="1" w:styleId="164">
    <w:name w:val="正文（绿盟科技） Char"/>
    <w:link w:val="165"/>
    <w:qFormat/>
    <w:uiPriority w:val="0"/>
    <w:rPr>
      <w:rFonts w:ascii="Arial" w:hAnsi="Arial"/>
      <w:sz w:val="21"/>
      <w:szCs w:val="21"/>
    </w:rPr>
  </w:style>
  <w:style w:type="paragraph" w:customStyle="1" w:styleId="165">
    <w:name w:val="正文（绿盟科技）"/>
    <w:link w:val="164"/>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qFormat/>
    <w:uiPriority w:val="6"/>
    <w:rPr>
      <w:rFonts w:ascii="宋体" w:hAnsi="宋体"/>
      <w:i/>
      <w:sz w:val="24"/>
      <w:szCs w:val="24"/>
    </w:rPr>
  </w:style>
  <w:style w:type="character" w:customStyle="1" w:styleId="167">
    <w:name w:val="页脚 Char"/>
    <w:qFormat/>
    <w:uiPriority w:val="0"/>
    <w:rPr>
      <w:rFonts w:eastAsia="仿宋_GB2312"/>
      <w:kern w:val="2"/>
      <w:sz w:val="18"/>
      <w:lang w:val="en-US" w:eastAsia="zh-CN"/>
    </w:rPr>
  </w:style>
  <w:style w:type="character" w:customStyle="1" w:styleId="168">
    <w:name w:val="批注主题 Char"/>
    <w:qFormat/>
    <w:uiPriority w:val="0"/>
    <w:rPr>
      <w:rFonts w:eastAsia="宋体"/>
      <w:b/>
      <w:bCs/>
      <w:kern w:val="2"/>
      <w:sz w:val="21"/>
      <w:szCs w:val="24"/>
      <w:lang w:val="en-US" w:eastAsia="zh-CN" w:bidi="ar-SA"/>
    </w:rPr>
  </w:style>
  <w:style w:type="character" w:customStyle="1" w:styleId="169">
    <w:name w:val="Comment Text Char"/>
    <w:qFormat/>
    <w:locked/>
    <w:uiPriority w:val="0"/>
    <w:rPr>
      <w:rFonts w:ascii="宋体" w:hAnsi="宋体" w:eastAsia="宋体"/>
      <w:kern w:val="2"/>
      <w:sz w:val="24"/>
      <w:lang w:val="en-US" w:eastAsia="zh-CN" w:bidi="ar-SA"/>
    </w:rPr>
  </w:style>
  <w:style w:type="character" w:customStyle="1" w:styleId="170">
    <w:name w:val="标题 2 字符"/>
    <w:qFormat/>
    <w:uiPriority w:val="1"/>
    <w:rPr>
      <w:rFonts w:ascii="仿宋_GB2312" w:hAnsi="Times New Roman" w:eastAsia="仿宋_GB2312" w:cs="Times New Roman"/>
      <w:b/>
      <w:kern w:val="2"/>
      <w:sz w:val="24"/>
      <w:lang w:val="zh-CN"/>
    </w:rPr>
  </w:style>
  <w:style w:type="character" w:customStyle="1" w:styleId="171">
    <w:name w:val="Char Char72"/>
    <w:qFormat/>
    <w:uiPriority w:val="0"/>
    <w:rPr>
      <w:rFonts w:eastAsia="宋体"/>
      <w:kern w:val="2"/>
      <w:sz w:val="21"/>
      <w:szCs w:val="24"/>
      <w:lang w:val="en-US" w:eastAsia="zh-CN" w:bidi="ar-SA"/>
    </w:rPr>
  </w:style>
  <w:style w:type="character" w:customStyle="1" w:styleId="172">
    <w:name w:val="正文文本缩进 Char2"/>
    <w:qFormat/>
    <w:uiPriority w:val="0"/>
    <w:rPr>
      <w:rFonts w:ascii="Times New Roman" w:hAnsi="Times New Roman" w:eastAsia="宋体" w:cs="Times New Roman"/>
      <w:snapToGrid w:val="0"/>
      <w:kern w:val="0"/>
      <w:szCs w:val="24"/>
    </w:rPr>
  </w:style>
  <w:style w:type="character" w:customStyle="1" w:styleId="173">
    <w:name w:val="样式2 Char"/>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qFormat/>
    <w:uiPriority w:val="0"/>
    <w:rPr>
      <w:sz w:val="32"/>
    </w:rPr>
  </w:style>
  <w:style w:type="paragraph" w:customStyle="1" w:styleId="175">
    <w:name w:val="表格名称"/>
    <w:basedOn w:val="3"/>
    <w:link w:val="174"/>
    <w:qFormat/>
    <w:uiPriority w:val="0"/>
    <w:pPr>
      <w:snapToGrid w:val="0"/>
      <w:spacing w:before="240" w:after="240" w:line="240" w:lineRule="auto"/>
      <w:ind w:firstLine="0"/>
      <w:jc w:val="center"/>
    </w:pPr>
    <w:rPr>
      <w:rFonts w:ascii="Calibri" w:hAnsi="Calibri"/>
      <w:b w:val="0"/>
      <w:bCs w:val="0"/>
      <w:kern w:val="0"/>
      <w:szCs w:val="20"/>
    </w:rPr>
  </w:style>
  <w:style w:type="character" w:customStyle="1" w:styleId="176">
    <w:name w:val="Char Char4"/>
    <w:qFormat/>
    <w:uiPriority w:val="0"/>
    <w:rPr>
      <w:rFonts w:eastAsia="宋体"/>
      <w:b/>
      <w:sz w:val="24"/>
      <w:lang w:val="en-GB" w:eastAsia="zh-CN" w:bidi="ar-SA"/>
    </w:rPr>
  </w:style>
  <w:style w:type="character" w:customStyle="1" w:styleId="177">
    <w:name w:val="c7 style3"/>
    <w:qFormat/>
    <w:uiPriority w:val="0"/>
  </w:style>
  <w:style w:type="character" w:customStyle="1" w:styleId="178">
    <w:name w:val="正文文本 3 Char1"/>
    <w:semiHidden/>
    <w:qFormat/>
    <w:uiPriority w:val="99"/>
    <w:rPr>
      <w:rFonts w:ascii="Times New Roman" w:hAnsi="Times New Roman" w:eastAsia="宋体" w:cs="Times New Roman"/>
      <w:sz w:val="16"/>
      <w:szCs w:val="16"/>
    </w:rPr>
  </w:style>
  <w:style w:type="character" w:customStyle="1" w:styleId="179">
    <w:name w:val="tw4winInternal"/>
    <w:qFormat/>
    <w:uiPriority w:val="0"/>
    <w:rPr>
      <w:rFonts w:ascii="Courier New" w:hAnsi="Courier New" w:cs="Courier New"/>
      <w:color w:val="FF0000"/>
      <w:lang w:val="en-US" w:eastAsia="zh-CN"/>
    </w:rPr>
  </w:style>
  <w:style w:type="character" w:customStyle="1" w:styleId="180">
    <w:name w:val="Char Char10"/>
    <w:semiHidden/>
    <w:qFormat/>
    <w:uiPriority w:val="0"/>
    <w:rPr>
      <w:rFonts w:ascii="宋体" w:hAnsi="宋体"/>
      <w:kern w:val="2"/>
      <w:sz w:val="21"/>
      <w:szCs w:val="24"/>
      <w:lang w:val="en-US" w:eastAsia="zh-CN"/>
    </w:rPr>
  </w:style>
  <w:style w:type="character" w:customStyle="1" w:styleId="181">
    <w:name w:val="shadow11"/>
    <w:qFormat/>
    <w:uiPriority w:val="0"/>
    <w:rPr>
      <w:color w:val="000000"/>
      <w:sz w:val="21"/>
    </w:rPr>
  </w:style>
  <w:style w:type="character" w:customStyle="1" w:styleId="182">
    <w:name w:val="正文非缩进 Char3"/>
    <w:qFormat/>
    <w:uiPriority w:val="0"/>
    <w:rPr>
      <w:rFonts w:ascii="宋体" w:eastAsia="宋体"/>
      <w:snapToGrid w:val="0"/>
      <w:color w:val="000000"/>
      <w:kern w:val="28"/>
      <w:sz w:val="28"/>
      <w:lang w:val="en-US" w:eastAsia="zh-CN" w:bidi="ar-SA"/>
    </w:rPr>
  </w:style>
  <w:style w:type="character" w:customStyle="1" w:styleId="183">
    <w:name w:val="Char Char"/>
    <w:qFormat/>
    <w:uiPriority w:val="0"/>
    <w:rPr>
      <w:rFonts w:ascii="宋体" w:hAnsi="Courier New" w:eastAsia="宋体"/>
      <w:kern w:val="2"/>
      <w:sz w:val="21"/>
      <w:lang w:val="en-US" w:eastAsia="zh-CN" w:bidi="ar-SA"/>
    </w:rPr>
  </w:style>
  <w:style w:type="character" w:customStyle="1" w:styleId="184">
    <w:name w:val="签名 Char1"/>
    <w:qFormat/>
    <w:uiPriority w:val="0"/>
    <w:rPr>
      <w:rFonts w:ascii="Times New Roman" w:hAnsi="Times New Roman" w:eastAsia="宋体" w:cs="Times New Roman"/>
      <w:szCs w:val="24"/>
    </w:rPr>
  </w:style>
  <w:style w:type="character" w:customStyle="1" w:styleId="185">
    <w:name w:val="日期 字符"/>
    <w:link w:val="37"/>
    <w:qFormat/>
    <w:uiPriority w:val="0"/>
    <w:rPr>
      <w:rFonts w:ascii="宋体"/>
      <w:kern w:val="2"/>
      <w:sz w:val="24"/>
      <w:szCs w:val="21"/>
      <w:lang w:val="zh-CN"/>
    </w:rPr>
  </w:style>
  <w:style w:type="character" w:customStyle="1" w:styleId="186">
    <w:name w:val="标题 9 字符"/>
    <w:link w:val="10"/>
    <w:qFormat/>
    <w:uiPriority w:val="0"/>
    <w:rPr>
      <w:rFonts w:ascii="Arial" w:hAnsi="Arial" w:eastAsia="黑体"/>
      <w:kern w:val="2"/>
      <w:sz w:val="21"/>
      <w:szCs w:val="21"/>
    </w:rPr>
  </w:style>
  <w:style w:type="character" w:customStyle="1" w:styleId="187">
    <w:name w:val="Char Char18"/>
    <w:qFormat/>
    <w:uiPriority w:val="6"/>
    <w:rPr>
      <w:rFonts w:ascii="宋体" w:hAnsi="宋体"/>
      <w:sz w:val="28"/>
    </w:rPr>
  </w:style>
  <w:style w:type="character" w:customStyle="1" w:styleId="188">
    <w:name w:val="批注文字 Char"/>
    <w:qFormat/>
    <w:uiPriority w:val="99"/>
    <w:rPr>
      <w:kern w:val="2"/>
      <w:sz w:val="21"/>
      <w:szCs w:val="24"/>
    </w:rPr>
  </w:style>
  <w:style w:type="character" w:customStyle="1" w:styleId="189">
    <w:name w:val="Char Char22"/>
    <w:qFormat/>
    <w:uiPriority w:val="6"/>
    <w:rPr>
      <w:rFonts w:ascii="宋体" w:hAnsi="宋体"/>
      <w:kern w:val="1"/>
      <w:sz w:val="24"/>
      <w:szCs w:val="24"/>
    </w:rPr>
  </w:style>
  <w:style w:type="character" w:customStyle="1" w:styleId="190">
    <w:name w:val="pt141"/>
    <w:qFormat/>
    <w:uiPriority w:val="0"/>
    <w:rPr>
      <w:color w:val="330066"/>
      <w:sz w:val="22"/>
      <w:szCs w:val="22"/>
    </w:rPr>
  </w:style>
  <w:style w:type="character" w:customStyle="1" w:styleId="191">
    <w:name w:val="正文文本缩进 2 Char1"/>
    <w:semiHidden/>
    <w:qFormat/>
    <w:uiPriority w:val="99"/>
    <w:rPr>
      <w:rFonts w:ascii="Times New Roman" w:hAnsi="Times New Roman" w:eastAsia="宋体" w:cs="Times New Roman"/>
      <w:szCs w:val="24"/>
    </w:rPr>
  </w:style>
  <w:style w:type="character" w:customStyle="1" w:styleId="192">
    <w:name w:val="批注框文本 字符1"/>
    <w:link w:val="40"/>
    <w:qFormat/>
    <w:uiPriority w:val="0"/>
    <w:rPr>
      <w:kern w:val="2"/>
      <w:sz w:val="18"/>
      <w:szCs w:val="18"/>
    </w:rPr>
  </w:style>
  <w:style w:type="character" w:customStyle="1" w:styleId="193">
    <w:name w:val="Char Char611"/>
    <w:qFormat/>
    <w:uiPriority w:val="0"/>
    <w:rPr>
      <w:rFonts w:eastAsia="宋体"/>
      <w:kern w:val="2"/>
      <w:sz w:val="21"/>
      <w:szCs w:val="24"/>
      <w:lang w:val="en-US" w:eastAsia="zh-CN" w:bidi="ar-SA"/>
    </w:rPr>
  </w:style>
  <w:style w:type="character" w:customStyle="1" w:styleId="194">
    <w:name w:val="highlight1"/>
    <w:qFormat/>
    <w:uiPriority w:val="0"/>
    <w:rPr>
      <w:rFonts w:ascii="仿宋_GB2312" w:eastAsia="微软雅黑"/>
      <w:b/>
      <w:kern w:val="2"/>
      <w:sz w:val="23"/>
      <w:szCs w:val="23"/>
      <w:lang w:val="en-US" w:eastAsia="zh-CN" w:bidi="ar-SA"/>
    </w:rPr>
  </w:style>
  <w:style w:type="character" w:customStyle="1" w:styleId="195">
    <w:name w:val="my正文 Char"/>
    <w:link w:val="196"/>
    <w:qFormat/>
    <w:locked/>
    <w:uiPriority w:val="0"/>
    <w:rPr>
      <w:rFonts w:ascii="Tahoma" w:hAnsi="Tahoma"/>
      <w:sz w:val="24"/>
      <w:szCs w:val="24"/>
    </w:rPr>
  </w:style>
  <w:style w:type="paragraph" w:customStyle="1" w:styleId="196">
    <w:name w:val="my正文"/>
    <w:basedOn w:val="1"/>
    <w:link w:val="195"/>
    <w:qFormat/>
    <w:uiPriority w:val="0"/>
    <w:pPr>
      <w:adjustRightInd/>
      <w:spacing w:line="360" w:lineRule="auto"/>
      <w:ind w:firstLine="480" w:firstLineChars="200"/>
    </w:pPr>
    <w:rPr>
      <w:rFonts w:ascii="Tahoma" w:hAnsi="Tahoma"/>
      <w:kern w:val="0"/>
      <w:sz w:val="24"/>
    </w:rPr>
  </w:style>
  <w:style w:type="character" w:customStyle="1" w:styleId="197">
    <w:name w:val="正文缩进 字符2"/>
    <w:link w:val="15"/>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qFormat/>
    <w:uiPriority w:val="0"/>
    <w:rPr>
      <w:color w:val="0000FF"/>
      <w:sz w:val="21"/>
    </w:rPr>
  </w:style>
  <w:style w:type="character" w:customStyle="1" w:styleId="199">
    <w:name w:val="页眉 Char"/>
    <w:qFormat/>
    <w:uiPriority w:val="0"/>
    <w:rPr>
      <w:rFonts w:eastAsia="仿宋_GB2312"/>
      <w:kern w:val="2"/>
      <w:sz w:val="18"/>
      <w:lang w:val="en-US" w:eastAsia="zh-CN"/>
    </w:rPr>
  </w:style>
  <w:style w:type="character" w:customStyle="1" w:styleId="200">
    <w:name w:val="FA正文 Char Char"/>
    <w:qFormat/>
    <w:uiPriority w:val="0"/>
    <w:rPr>
      <w:rFonts w:hAnsi="宋体"/>
      <w:kern w:val="2"/>
      <w:sz w:val="24"/>
      <w:lang w:bidi="ar-SA"/>
    </w:rPr>
  </w:style>
  <w:style w:type="character" w:customStyle="1" w:styleId="201">
    <w:name w:val="纯文本 字符"/>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qFormat/>
    <w:uiPriority w:val="0"/>
    <w:rPr>
      <w:rFonts w:ascii="宋体" w:hAnsi="宋体"/>
      <w:b/>
      <w:bCs/>
      <w:snapToGrid/>
      <w:sz w:val="28"/>
    </w:rPr>
  </w:style>
  <w:style w:type="paragraph" w:customStyle="1" w:styleId="203">
    <w:name w:val="3级"/>
    <w:basedOn w:val="204"/>
    <w:link w:val="202"/>
    <w:qFormat/>
    <w:uiPriority w:val="0"/>
    <w:pPr>
      <w:ind w:left="0" w:right="466" w:firstLine="288"/>
    </w:pPr>
    <w:rPr>
      <w:rFonts w:hAnsi="宋体"/>
      <w:snapToGrid/>
    </w:rPr>
  </w:style>
  <w:style w:type="paragraph" w:customStyle="1" w:styleId="204">
    <w:name w:val="样式 标题 3h33rd level3BOD 0H3l3CTHeading 3 - oldLevel 3 He..."/>
    <w:basedOn w:val="4"/>
    <w:qFormat/>
    <w:uiPriority w:val="99"/>
    <w:pPr>
      <w:keepLines w:val="0"/>
      <w:widowControl/>
      <w:tabs>
        <w:tab w:val="clear" w:pos="900"/>
      </w:tabs>
      <w:adjustRightInd/>
      <w:spacing w:before="240" w:after="240"/>
      <w:ind w:left="851" w:right="407" w:rightChars="194" w:hanging="851"/>
      <w:jc w:val="left"/>
    </w:pPr>
    <w:rPr>
      <w:rFonts w:ascii="宋体"/>
      <w:snapToGrid w:val="0"/>
      <w:kern w:val="0"/>
      <w:sz w:val="28"/>
      <w:szCs w:val="20"/>
    </w:rPr>
  </w:style>
  <w:style w:type="character" w:customStyle="1" w:styleId="205">
    <w:name w:val="myp11"/>
    <w:qFormat/>
    <w:uiPriority w:val="0"/>
    <w:rPr>
      <w:rFonts w:ascii="仿宋_GB2312" w:eastAsia="微软雅黑"/>
      <w:b/>
      <w:kern w:val="2"/>
      <w:sz w:val="32"/>
      <w:szCs w:val="32"/>
      <w:lang w:val="en-US" w:eastAsia="zh-CN" w:bidi="ar-SA"/>
    </w:rPr>
  </w:style>
  <w:style w:type="character" w:customStyle="1" w:styleId="206">
    <w:name w:val="文档结构图 字符"/>
    <w:link w:val="18"/>
    <w:qFormat/>
    <w:uiPriority w:val="0"/>
    <w:rPr>
      <w:kern w:val="2"/>
      <w:sz w:val="21"/>
      <w:szCs w:val="24"/>
      <w:shd w:val="clear" w:color="auto" w:fill="000080"/>
    </w:rPr>
  </w:style>
  <w:style w:type="character" w:customStyle="1" w:styleId="207">
    <w:name w:val="H6 Char"/>
    <w:qFormat/>
    <w:uiPriority w:val="0"/>
    <w:rPr>
      <w:rFonts w:ascii="Arial" w:hAnsi="Arial" w:eastAsia="黑体"/>
      <w:b/>
      <w:bCs/>
      <w:kern w:val="2"/>
      <w:sz w:val="24"/>
      <w:szCs w:val="24"/>
    </w:rPr>
  </w:style>
  <w:style w:type="character" w:customStyle="1" w:styleId="208">
    <w:name w:val="Char Char91"/>
    <w:qFormat/>
    <w:uiPriority w:val="0"/>
    <w:rPr>
      <w:rFonts w:eastAsia="宋体"/>
      <w:kern w:val="2"/>
      <w:sz w:val="18"/>
      <w:szCs w:val="18"/>
      <w:lang w:val="en-US" w:eastAsia="zh-CN" w:bidi="ar-SA"/>
    </w:rPr>
  </w:style>
  <w:style w:type="character" w:customStyle="1" w:styleId="209">
    <w:name w:val="副标题 Char1"/>
    <w:qFormat/>
    <w:uiPriority w:val="0"/>
    <w:rPr>
      <w:rFonts w:ascii="Cambria" w:hAnsi="Cambria" w:eastAsia="宋体" w:cs="Times New Roman"/>
      <w:b/>
      <w:bCs/>
      <w:snapToGrid w:val="0"/>
      <w:kern w:val="28"/>
      <w:sz w:val="32"/>
      <w:szCs w:val="32"/>
    </w:rPr>
  </w:style>
  <w:style w:type="character" w:customStyle="1" w:styleId="210">
    <w:name w:val="font61"/>
    <w:qFormat/>
    <w:uiPriority w:val="0"/>
    <w:rPr>
      <w:rFonts w:hint="eastAsia" w:ascii="仿宋" w:hAnsi="仿宋" w:eastAsia="仿宋" w:cs="仿宋"/>
      <w:color w:val="000000"/>
      <w:sz w:val="20"/>
      <w:szCs w:val="20"/>
      <w:u w:val="none"/>
    </w:rPr>
  </w:style>
  <w:style w:type="character" w:customStyle="1" w:styleId="21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qFormat/>
    <w:uiPriority w:val="0"/>
    <w:rPr>
      <w:rFonts w:eastAsia="宋体"/>
      <w:b/>
      <w:bCs/>
      <w:kern w:val="2"/>
      <w:sz w:val="21"/>
      <w:szCs w:val="24"/>
      <w:lang w:val="en-US" w:eastAsia="zh-CN" w:bidi="ar-SA"/>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semiHidden/>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69"/>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3"/>
    <w:qFormat/>
    <w:uiPriority w:val="0"/>
    <w:rPr>
      <w:rFonts w:ascii="仿宋_GB2312" w:hAnsi="仿宋" w:eastAsia="仿宋_GB2312" w:cs="仿宋_GB2312"/>
      <w:sz w:val="32"/>
      <w:szCs w:val="30"/>
      <w:lang w:val="zh-CN"/>
    </w:rPr>
  </w:style>
  <w:style w:type="character" w:customStyle="1" w:styleId="222">
    <w:name w:val="HTML 地址 字符"/>
    <w:link w:val="30"/>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5"/>
    <w:link w:val="225"/>
    <w:qFormat/>
    <w:uiPriority w:val="0"/>
    <w:pPr>
      <w:tabs>
        <w:tab w:val="left" w:pos="851"/>
        <w:tab w:val="clear" w:pos="864"/>
      </w:tabs>
      <w:adjustRightInd/>
      <w:spacing w:line="376" w:lineRule="atLeast"/>
      <w:ind w:left="851" w:hanging="851"/>
    </w:pPr>
    <w:rPr>
      <w:rFonts w:ascii="Cambria" w:hAnsi="Cambria"/>
      <w:color w:val="000000"/>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qFormat/>
    <w:locked/>
    <w:uiPriority w:val="0"/>
    <w:rPr>
      <w:rFonts w:eastAsia="宋体"/>
      <w:kern w:val="2"/>
      <w:sz w:val="18"/>
      <w:szCs w:val="18"/>
      <w:lang w:val="en-US" w:eastAsia="zh-CN" w:bidi="ar-SA"/>
    </w:rPr>
  </w:style>
  <w:style w:type="character" w:customStyle="1" w:styleId="231">
    <w:name w:val="Char Char12"/>
    <w:qFormat/>
    <w:uiPriority w:val="0"/>
    <w:rPr>
      <w:rFonts w:ascii="仿宋_GB2312" w:eastAsia="仿宋_GB2312"/>
      <w:b/>
      <w:bCs/>
      <w:kern w:val="2"/>
      <w:sz w:val="24"/>
      <w:szCs w:val="24"/>
      <w:lang w:val="zh-CN" w:eastAsia="zh-CN" w:bidi="ar-SA"/>
    </w:rPr>
  </w:style>
  <w:style w:type="character" w:customStyle="1" w:styleId="232">
    <w:name w:val="题注 字符"/>
    <w:link w:val="16"/>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82"/>
    <w:qFormat/>
    <w:uiPriority w:val="0"/>
    <w:rPr>
      <w:rFonts w:ascii="仿宋_GB2312"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字符1"/>
    <w:link w:val="25"/>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字符"/>
    <w:link w:val="59"/>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7"/>
    <w:qFormat/>
    <w:uiPriority w:val="0"/>
    <w:rPr>
      <w:rFonts w:ascii="黑体" w:hAnsi="Courier New" w:eastAsia="黑体"/>
    </w:rPr>
  </w:style>
  <w:style w:type="character" w:customStyle="1" w:styleId="302">
    <w:name w:val="正文文本 2 字符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5"/>
    <w:link w:val="413"/>
    <w:qFormat/>
    <w:uiPriority w:val="0"/>
    <w:pPr>
      <w:tabs>
        <w:tab w:val="left" w:pos="2356"/>
        <w:tab w:val="clear" w:pos="864"/>
      </w:tabs>
      <w:adjustRightInd/>
      <w:ind w:left="1984" w:leftChars="75" w:hanging="708"/>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8"/>
    <w:qFormat/>
    <w:uiPriority w:val="0"/>
    <w:rPr>
      <w:b/>
      <w:bCs/>
      <w:kern w:val="2"/>
      <w:sz w:val="24"/>
      <w:szCs w:val="24"/>
    </w:rPr>
  </w:style>
  <w:style w:type="character" w:customStyle="1" w:styleId="308">
    <w:name w:val="正文文本缩进 2 字符"/>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321"/>
    <w:link w:val="319"/>
    <w:qFormat/>
    <w:uiPriority w:val="0"/>
    <w:pPr>
      <w:tabs>
        <w:tab w:val="right" w:leader="dot" w:pos="8268"/>
      </w:tabs>
      <w:adjustRightInd/>
    </w:pPr>
    <w:rPr>
      <w:rFonts w:ascii="宋体"/>
      <w:kern w:val="0"/>
      <w:sz w:val="20"/>
      <w:szCs w:val="20"/>
    </w:rPr>
  </w:style>
  <w:style w:type="paragraph" w:customStyle="1" w:styleId="321">
    <w:name w:val="正文1"/>
    <w:basedOn w:val="32"/>
    <w:qFormat/>
    <w:uiPriority w:val="0"/>
    <w:pPr>
      <w:ind w:left="0" w:leftChars="0" w:firstLine="480" w:firstLineChars="200"/>
    </w:pPr>
    <w:rPr>
      <w:rFonts w:ascii="仿宋_GB2312" w:hAnsi="Courier New" w:eastAsia="仿宋_GB2312"/>
      <w:kern w:val="28"/>
      <w:sz w:val="24"/>
    </w:rPr>
  </w:style>
  <w:style w:type="character" w:customStyle="1" w:styleId="322">
    <w:name w:val="正文文本首行缩进 字符"/>
    <w:link w:val="24"/>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字符1"/>
    <w:link w:val="5"/>
    <w:qFormat/>
    <w:uiPriority w:val="9"/>
    <w:rPr>
      <w:rFonts w:ascii="Arial" w:hAnsi="Arial" w:eastAsia="宋体"/>
      <w:b/>
      <w:bCs/>
      <w:kern w:val="2"/>
      <w:sz w:val="21"/>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字符"/>
    <w:link w:val="21"/>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字符1"/>
    <w:link w:val="19"/>
    <w:qFormat/>
    <w:uiPriority w:val="99"/>
    <w:rPr>
      <w:kern w:val="2"/>
      <w:sz w:val="21"/>
      <w:szCs w:val="24"/>
    </w:rPr>
  </w:style>
  <w:style w:type="character" w:customStyle="1" w:styleId="346">
    <w:name w:val="签名 字符"/>
    <w:link w:val="43"/>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9"/>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4"/>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5"/>
    <w:qFormat/>
    <w:uiPriority w:val="0"/>
    <w:pPr>
      <w:adjustRightInd/>
    </w:pPr>
    <w:rPr>
      <w:rFonts w:ascii="Verdana" w:eastAsia="Verdana"/>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1"/>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line="276" w:lineRule="auto"/>
      <w:jc w:val="left"/>
      <w:outlineLvl w:val="9"/>
    </w:pPr>
    <w:rPr>
      <w:rFonts w:ascii="Cambria" w:hAnsi="Cambria"/>
      <w:color w:val="365F91"/>
      <w:kern w:val="0"/>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6"/>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6"/>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line="276" w:lineRule="auto"/>
      <w:jc w:val="left"/>
      <w:outlineLvl w:val="9"/>
    </w:pPr>
    <w:rPr>
      <w:rFonts w:ascii="Cambria" w:hAnsi="Cambria"/>
      <w:color w:val="365F91"/>
      <w:kern w:val="0"/>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5"/>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firstLine="200"/>
      <w:jc w:val="both"/>
    </w:pPr>
    <w:rPr>
      <w:rFonts w:ascii="宋体" w:hAnsi="Cambria"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82"/>
    <w:next w:val="82"/>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82"/>
    <w:next w:val="82"/>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5"/>
    <w:qFormat/>
    <w:uiPriority w:val="0"/>
    <w:pPr>
      <w:keepLines w:val="0"/>
      <w:snapToGrid w:val="0"/>
      <w:spacing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after="10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line="240" w:lineRule="auto"/>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5"/>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firstLine="0"/>
      <w:jc w:val="both"/>
    </w:pPr>
    <w:rPr>
      <w:rFonts w:ascii="宋体" w:hAnsi="Arial"/>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line="240" w:lineRule="auto"/>
      <w:jc w:val="left"/>
    </w:pPr>
    <w:rPr>
      <w:rFonts w:cs="宋体"/>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4"/>
    <w:qFormat/>
    <w:uiPriority w:val="0"/>
    <w:pPr>
      <w:tabs>
        <w:tab w:val="clear" w:pos="900"/>
      </w:tabs>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4"/>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5"/>
    <w:qFormat/>
    <w:uiPriority w:val="0"/>
    <w:pPr>
      <w:tabs>
        <w:tab w:val="left" w:pos="0"/>
        <w:tab w:val="clear" w:pos="864"/>
      </w:tabs>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50"/>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2"/>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8"/>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unhideWhenUsed/>
    <w:qFormat/>
    <w:uiPriority w:val="4"/>
    <w:pPr>
      <w:widowControl/>
      <w:adjustRightInd/>
      <w:spacing w:before="480" w:line="276" w:lineRule="auto"/>
      <w:jc w:val="left"/>
      <w:outlineLvl w:val="9"/>
    </w:pPr>
    <w:rPr>
      <w:rFonts w:ascii="Cambria" w:hAnsi="Cambria"/>
      <w:color w:val="365F91"/>
      <w:kern w:val="0"/>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9"/>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6"/>
    <w:next w:val="1"/>
    <w:qFormat/>
    <w:uiPriority w:val="0"/>
    <w:pPr>
      <w:tabs>
        <w:tab w:val="left" w:pos="1080"/>
      </w:tabs>
      <w:ind w:left="1080" w:hanging="1080"/>
    </w:pPr>
  </w:style>
  <w:style w:type="paragraph" w:customStyle="1" w:styleId="895">
    <w:name w:val="数字标题1"/>
    <w:basedOn w:val="2"/>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3"/>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2"/>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9"/>
    <w:qFormat/>
    <w:uiPriority w:val="0"/>
    <w:rPr>
      <w:kern w:val="2"/>
      <w:sz w:val="21"/>
      <w:szCs w:val="24"/>
      <w:lang w:val="zh-CN"/>
    </w:rPr>
  </w:style>
  <w:style w:type="character" w:customStyle="1" w:styleId="931">
    <w:name w:val="无间隔 字符"/>
    <w:link w:val="483"/>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60"/>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qFormat/>
    <w:uiPriority w:val="0"/>
    <w:pPr>
      <w:tabs>
        <w:tab w:val="clear" w:pos="432"/>
      </w:tabs>
      <w:spacing w:line="720" w:lineRule="exact"/>
      <w:ind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character" w:customStyle="1" w:styleId="962">
    <w:name w:val="标题 2 字符1"/>
    <w:link w:val="3"/>
    <w:qFormat/>
    <w:uiPriority w:val="0"/>
    <w:rPr>
      <w:rFonts w:ascii="仿宋_GB2312" w:hAnsi="仿宋_GB2312" w:eastAsia="宋体"/>
      <w:b/>
      <w:bCs/>
      <w:sz w:val="21"/>
      <w:szCs w:val="32"/>
      <w:lang w:val="zh-CN"/>
    </w:rPr>
  </w:style>
  <w:style w:type="character" w:customStyle="1" w:styleId="963">
    <w:name w:val="标题 3 字符1"/>
    <w:link w:val="4"/>
    <w:qFormat/>
    <w:uiPriority w:val="0"/>
    <w:rPr>
      <w:rFonts w:ascii="Arial" w:hAnsi="Arial" w:eastAsia="宋体" w:cs="Times New Roman"/>
      <w:b/>
      <w:bCs/>
      <w:sz w:val="21"/>
      <w:szCs w:val="32"/>
    </w:rPr>
  </w:style>
  <w:style w:type="paragraph" w:customStyle="1" w:styleId="964">
    <w:name w:val="No Spacing1"/>
    <w:qFormat/>
    <w:uiPriority w:val="0"/>
    <w:rPr>
      <w:rFonts w:ascii="Calibri" w:hAnsi="Calibri" w:eastAsia="??" w:cs="宋体"/>
      <w:sz w:val="22"/>
      <w:szCs w:val="22"/>
      <w:lang w:val="en-US" w:eastAsia="en-US" w:bidi="ar-SA"/>
    </w:rPr>
  </w:style>
  <w:style w:type="paragraph" w:customStyle="1" w:styleId="965">
    <w:name w:val="石墨文档正文"/>
    <w:qFormat/>
    <w:uiPriority w:val="0"/>
    <w:rPr>
      <w:rFonts w:ascii="微软雅黑" w:hAnsi="微软雅黑" w:eastAsia="微软雅黑" w:cs="微软雅黑"/>
      <w:sz w:val="22"/>
      <w:szCs w:val="22"/>
      <w:lang w:val="en-US" w:eastAsia="zh-CN" w:bidi="ar-SA"/>
    </w:rPr>
  </w:style>
  <w:style w:type="paragraph" w:customStyle="1" w:styleId="966">
    <w:name w:val="自定义样式 正文"/>
    <w:basedOn w:val="1"/>
    <w:qFormat/>
    <w:uiPriority w:val="0"/>
    <w:pPr>
      <w:spacing w:line="360" w:lineRule="auto"/>
      <w:ind w:firstLine="480" w:firstLineChars="200"/>
    </w:pPr>
    <w:rPr>
      <w:rFonts w:ascii="宋体" w:hAnsi="宋体"/>
      <w:bCs/>
      <w:kern w:val="0"/>
      <w:sz w:val="24"/>
    </w:rPr>
  </w:style>
  <w:style w:type="paragraph" w:customStyle="1" w:styleId="967">
    <w:name w:val="WPSOffice手动目录 1"/>
    <w:qFormat/>
    <w:uiPriority w:val="0"/>
    <w:rPr>
      <w:rFonts w:ascii="Times New Roman" w:hAnsi="Times New Roman" w:eastAsia="宋体" w:cs="Times New Roman"/>
      <w:lang w:val="en-US" w:eastAsia="zh-CN" w:bidi="ar-SA"/>
    </w:rPr>
  </w:style>
  <w:style w:type="paragraph" w:customStyle="1" w:styleId="968">
    <w:name w:val="Normal Indent1"/>
    <w:basedOn w:val="1"/>
    <w:qFormat/>
    <w:uiPriority w:val="0"/>
    <w:pPr>
      <w:ind w:firstLine="420" w:firstLineChars="200"/>
    </w:pPr>
  </w:style>
  <w:style w:type="paragraph" w:customStyle="1" w:styleId="969">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70">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971">
    <w:name w:val="BodyText"/>
    <w:basedOn w:val="1"/>
    <w:next w:val="972"/>
    <w:qFormat/>
    <w:uiPriority w:val="0"/>
    <w:rPr>
      <w:sz w:val="20"/>
    </w:rPr>
  </w:style>
  <w:style w:type="paragraph" w:customStyle="1" w:styleId="972">
    <w:name w:val="BodyText1I"/>
    <w:basedOn w:val="971"/>
    <w:qFormat/>
    <w:uiPriority w:val="0"/>
    <w:pPr>
      <w:spacing w:after="120"/>
      <w:ind w:firstLine="420" w:firstLineChars="100"/>
    </w:pPr>
  </w:style>
  <w:style w:type="paragraph" w:customStyle="1" w:styleId="973">
    <w:name w:val="字母编号列项（一级）"/>
    <w:qFormat/>
    <w:uiPriority w:val="0"/>
    <w:pPr>
      <w:tabs>
        <w:tab w:val="left" w:pos="840"/>
      </w:tabs>
      <w:ind w:left="839" w:hanging="419"/>
      <w:jc w:val="both"/>
    </w:pPr>
    <w:rPr>
      <w:rFonts w:ascii="宋体" w:hAnsi="Times New Roman" w:eastAsia="宋体" w:cs="Times New Roman"/>
      <w:sz w:val="21"/>
      <w:lang w:val="en-US" w:eastAsia="zh-CN" w:bidi="ar-SA"/>
    </w:rPr>
  </w:style>
  <w:style w:type="character" w:customStyle="1" w:styleId="974">
    <w:name w:val="ne-text"/>
    <w:basedOn w:val="69"/>
    <w:qFormat/>
    <w:uiPriority w:val="0"/>
  </w:style>
  <w:style w:type="paragraph" w:customStyle="1" w:styleId="975">
    <w:name w:val="首行缩进 2"/>
    <w:qFormat/>
    <w:uiPriority w:val="0"/>
    <w:pPr>
      <w:spacing w:line="360" w:lineRule="auto"/>
      <w:ind w:firstLine="480" w:firstLineChars="200"/>
    </w:pPr>
    <w:rPr>
      <w:rFonts w:ascii="宋体" w:hAnsi="宋体" w:eastAsia="宋体" w:cs="Times New Roman"/>
      <w:kern w:val="2"/>
      <w:sz w:val="24"/>
      <w:szCs w:val="24"/>
      <w:lang w:val="en-US" w:eastAsia="zh-CN" w:bidi="ar-SA"/>
    </w:rPr>
  </w:style>
  <w:style w:type="paragraph" w:customStyle="1" w:styleId="976">
    <w:name w:val="修订6"/>
    <w:hidden/>
    <w:unhideWhenUsed/>
    <w:qFormat/>
    <w:uiPriority w:val="99"/>
    <w:rPr>
      <w:rFonts w:ascii="Times New Roman" w:hAnsi="Times New Roman" w:eastAsia="宋体" w:cs="Times New Roman"/>
      <w:kern w:val="2"/>
      <w:sz w:val="21"/>
      <w:szCs w:val="24"/>
      <w:lang w:val="en-US" w:eastAsia="zh-CN" w:bidi="ar-SA"/>
    </w:rPr>
  </w:style>
  <w:style w:type="paragraph" w:customStyle="1" w:styleId="977">
    <w:name w:val="修订7"/>
    <w:hidden/>
    <w:semiHidden/>
    <w:qFormat/>
    <w:uiPriority w:val="99"/>
    <w:rPr>
      <w:rFonts w:ascii="Times New Roman" w:hAnsi="Times New Roman" w:eastAsia="宋体" w:cs="Times New Roman"/>
      <w:kern w:val="2"/>
      <w:sz w:val="21"/>
      <w:szCs w:val="24"/>
      <w:lang w:val="en-US" w:eastAsia="zh-CN" w:bidi="ar-SA"/>
    </w:rPr>
  </w:style>
  <w:style w:type="paragraph" w:customStyle="1" w:styleId="978">
    <w:name w:val="正文空2字"/>
    <w:basedOn w:val="979"/>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79">
    <w:name w:val="左对齐正文"/>
    <w:qFormat/>
    <w:uiPriority w:val="99"/>
    <w:rPr>
      <w:rFonts w:ascii="Calibri" w:hAnsi="Calibri" w:eastAsia="仿宋_GB2312" w:cs="Calibri"/>
      <w:kern w:val="2"/>
      <w:sz w:val="32"/>
      <w:szCs w:val="32"/>
      <w:lang w:val="en-US" w:eastAsia="zh-CN" w:bidi="ar-SA"/>
    </w:rPr>
  </w:style>
  <w:style w:type="paragraph" w:customStyle="1" w:styleId="980">
    <w:name w:val="修订8"/>
    <w:hidden/>
    <w:unhideWhenUsed/>
    <w:qFormat/>
    <w:uiPriority w:val="99"/>
    <w:rPr>
      <w:rFonts w:ascii="Times New Roman" w:hAnsi="Times New Roman" w:eastAsia="宋体" w:cs="Times New Roman"/>
      <w:kern w:val="2"/>
      <w:sz w:val="21"/>
      <w:szCs w:val="24"/>
      <w:lang w:val="en-US" w:eastAsia="zh-CN" w:bidi="ar-SA"/>
    </w:rPr>
  </w:style>
  <w:style w:type="paragraph" w:customStyle="1" w:styleId="981">
    <w:name w:val="！正文"/>
    <w:basedOn w:val="1"/>
    <w:qFormat/>
    <w:uiPriority w:val="0"/>
    <w:pPr>
      <w:widowControl/>
      <w:autoSpaceDE w:val="0"/>
      <w:autoSpaceDN w:val="0"/>
      <w:spacing w:line="360" w:lineRule="auto"/>
      <w:ind w:firstLine="461" w:firstLineChars="192"/>
    </w:pPr>
    <w:rPr>
      <w:kern w:val="0"/>
      <w:sz w:val="24"/>
      <w:szCs w:val="28"/>
    </w:rPr>
  </w:style>
  <w:style w:type="paragraph" w:customStyle="1" w:styleId="982">
    <w:name w:val="￥正文"/>
    <w:basedOn w:val="1"/>
    <w:qFormat/>
    <w:uiPriority w:val="0"/>
    <w:pPr>
      <w:adjustRightInd/>
      <w:spacing w:line="360" w:lineRule="auto"/>
      <w:ind w:firstLine="480" w:firstLineChars="200"/>
    </w:pPr>
    <w:rPr>
      <w:rFonts w:ascii="宋体" w:hAnsi="Calibri"/>
      <w:sz w:val="24"/>
      <w:szCs w:val="22"/>
    </w:rPr>
  </w:style>
  <w:style w:type="paragraph" w:customStyle="1" w:styleId="983">
    <w:name w:val="标题三"/>
    <w:basedOn w:val="5"/>
    <w:qFormat/>
    <w:uiPriority w:val="0"/>
    <w:pPr>
      <w:tabs>
        <w:tab w:val="left" w:pos="420"/>
        <w:tab w:val="clear" w:pos="864"/>
      </w:tabs>
      <w:adjustRightInd/>
      <w:ind w:left="425" w:hanging="425"/>
    </w:pPr>
    <w:rPr>
      <w:rFonts w:ascii="宋体" w:hAnsi="宋体" w:cs="宋体"/>
      <w:b w:val="0"/>
      <w:bCs w:val="0"/>
      <w:sz w:val="24"/>
      <w:lang w:val="en-US"/>
    </w:rPr>
  </w:style>
  <w:style w:type="paragraph" w:customStyle="1" w:styleId="984">
    <w:name w:val="正文首行缩进 21"/>
    <w:basedOn w:val="25"/>
    <w:next w:val="985"/>
    <w:qFormat/>
    <w:uiPriority w:val="0"/>
    <w:pPr>
      <w:spacing w:after="120"/>
      <w:ind w:left="420" w:leftChars="200" w:firstLine="420"/>
    </w:pPr>
    <w:rPr>
      <w:rFonts w:cs="宋体"/>
      <w:sz w:val="21"/>
      <w:szCs w:val="21"/>
    </w:rPr>
  </w:style>
  <w:style w:type="paragraph" w:customStyle="1" w:styleId="985">
    <w:name w:val="xl53"/>
    <w:basedOn w:val="1"/>
    <w:next w:val="1"/>
    <w:qFormat/>
    <w:uiPriority w:val="0"/>
    <w:pPr>
      <w:spacing w:before="280" w:after="280" w:line="100" w:lineRule="exact"/>
      <w:jc w:val="center"/>
    </w:pPr>
    <w:rPr>
      <w:b/>
      <w:sz w:val="20"/>
    </w:rPr>
  </w:style>
  <w:style w:type="paragraph" w:customStyle="1" w:styleId="986">
    <w:name w:val="修订9"/>
    <w:hidden/>
    <w:unhideWhenUsed/>
    <w:qFormat/>
    <w:uiPriority w:val="99"/>
    <w:rPr>
      <w:rFonts w:ascii="Times New Roman" w:hAnsi="Times New Roman" w:eastAsia="宋体" w:cs="Times New Roman"/>
      <w:kern w:val="2"/>
      <w:sz w:val="21"/>
      <w:szCs w:val="24"/>
      <w:lang w:val="en-US" w:eastAsia="zh-CN" w:bidi="ar-SA"/>
    </w:rPr>
  </w:style>
  <w:style w:type="character" w:customStyle="1" w:styleId="987">
    <w:name w:val="未处理的提及2"/>
    <w:basedOn w:val="69"/>
    <w:semiHidden/>
    <w:unhideWhenUsed/>
    <w:qFormat/>
    <w:uiPriority w:val="99"/>
    <w:rPr>
      <w:color w:val="605E5C"/>
      <w:shd w:val="clear" w:color="auto" w:fill="E1DFDD"/>
    </w:rPr>
  </w:style>
  <w:style w:type="paragraph" w:customStyle="1" w:styleId="988">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89">
    <w:name w:val="Body Text First Indent2"/>
    <w:basedOn w:val="23"/>
    <w:next w:val="1"/>
    <w:qFormat/>
    <w:uiPriority w:val="0"/>
    <w:pPr>
      <w:ind w:firstLine="420" w:firstLineChars="100"/>
    </w:pPr>
    <w:rPr>
      <w:sz w:val="21"/>
      <w:szCs w:val="24"/>
    </w:rPr>
  </w:style>
  <w:style w:type="paragraph" w:customStyle="1" w:styleId="990">
    <w:name w:val="修订10"/>
    <w:hidden/>
    <w:semiHidden/>
    <w:qFormat/>
    <w:uiPriority w:val="99"/>
    <w:rPr>
      <w:rFonts w:ascii="Times New Roman" w:hAnsi="Times New Roman" w:eastAsia="宋体" w:cs="Times New Roman"/>
      <w:kern w:val="2"/>
      <w:sz w:val="21"/>
      <w:szCs w:val="24"/>
      <w:lang w:val="en-US" w:eastAsia="zh-CN" w:bidi="ar-SA"/>
    </w:rPr>
  </w:style>
  <w:style w:type="paragraph" w:customStyle="1" w:styleId="991">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73</Pages>
  <Words>9915</Words>
  <Characters>10815</Characters>
  <Lines>417</Lines>
  <Paragraphs>117</Paragraphs>
  <TotalTime>28</TotalTime>
  <ScaleCrop>false</ScaleCrop>
  <LinksUpToDate>false</LinksUpToDate>
  <CharactersWithSpaces>10908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2025-01-05T22:31:00Z</dcterms:created>
  <dc:creator>Hyy</dc:creator>
  <cp:lastModifiedBy>龚炜鸣</cp:lastModifiedBy>
  <cp:lastPrinted>2024-12-06T06:50:00Z</cp:lastPrinted>
  <dcterms:modified xsi:type="dcterms:W3CDTF">2025-01-23T06:47:16Z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2E08FCB7E5FD4D83A6D84D1EF131C7B8_13</vt:lpwstr>
  </property>
  <property fmtid="{D5CDD505-2E9C-101B-9397-08002B2CF9AE}" pid="5" name="KSOTemplateDocerSaveRecord">
    <vt:lpwstr>eyJoZGlkIjoiNGNmMTljZjJlMzRhMzcwZWI0YzhlYmExYTBlMzZiZDEiLCJ1c2VySWQiOiIzMDk4MDE0NTcifQ==</vt:lpwstr>
  </property>
</Properties>
</file>