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rPr>
          <w:color w:val="auto"/>
          <w:highlight w:val="none"/>
        </w:rPr>
      </w:pPr>
    </w:p>
    <w:p>
      <w:pPr>
        <w:adjustRightInd/>
        <w:spacing w:line="360" w:lineRule="auto"/>
        <w:jc w:val="center"/>
        <w:rPr>
          <w:rFonts w:ascii="宋体" w:hAnsi="宋体" w:cs="宋体"/>
          <w:b/>
          <w:bCs/>
          <w:color w:val="auto"/>
          <w:sz w:val="48"/>
          <w:szCs w:val="48"/>
          <w:highlight w:val="none"/>
        </w:rPr>
      </w:pPr>
    </w:p>
    <w:p>
      <w:pPr>
        <w:adjustRightInd/>
        <w:spacing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2024年钱塘区宁静工地建设项目</w:t>
      </w:r>
    </w:p>
    <w:p>
      <w:pPr>
        <w:rPr>
          <w:color w:val="auto"/>
          <w:highlight w:val="none"/>
        </w:rPr>
      </w:pPr>
    </w:p>
    <w:p>
      <w:pPr>
        <w:rPr>
          <w:color w:val="auto"/>
          <w:highlight w:val="none"/>
        </w:rPr>
      </w:pPr>
    </w:p>
    <w:p>
      <w:pPr>
        <w:adjustRightInd/>
        <w:spacing w:line="360" w:lineRule="auto"/>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招标文件</w:t>
      </w:r>
    </w:p>
    <w:p>
      <w:pPr>
        <w:adjustRightInd/>
        <w:spacing w:line="360" w:lineRule="auto"/>
        <w:jc w:val="center"/>
        <w:rPr>
          <w:rFonts w:cs="Calibri"/>
          <w:color w:val="auto"/>
          <w:highlight w:val="none"/>
        </w:rPr>
      </w:pPr>
      <w:r>
        <w:rPr>
          <w:rFonts w:cs="Calibri"/>
          <w:color w:val="auto"/>
          <w:highlight w:val="none"/>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stretch>
                      <a:fillRect/>
                    </a:stretch>
                  </pic:blipFill>
                  <pic:spPr>
                    <a:xfrm>
                      <a:off x="0" y="0"/>
                      <a:ext cx="2303780" cy="1790700"/>
                    </a:xfrm>
                    <a:prstGeom prst="rect">
                      <a:avLst/>
                    </a:prstGeom>
                    <a:noFill/>
                    <a:ln w="9525">
                      <a:noFill/>
                    </a:ln>
                  </pic:spPr>
                </pic:pic>
              </a:graphicData>
            </a:graphic>
          </wp:inline>
        </w:drawing>
      </w:r>
    </w:p>
    <w:p>
      <w:pPr>
        <w:rPr>
          <w:color w:val="auto"/>
          <w:highlight w:val="none"/>
        </w:rPr>
      </w:pP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QTCG-GK-2024-214</w:t>
      </w:r>
    </w:p>
    <w:p>
      <w:pPr>
        <w:adjustRightInd/>
        <w:spacing w:line="360" w:lineRule="auto"/>
        <w:rPr>
          <w:rFonts w:ascii="宋体" w:hAnsi="宋体" w:cs="宋体"/>
          <w:b/>
          <w:bCs/>
          <w:color w:val="auto"/>
          <w:sz w:val="28"/>
          <w:szCs w:val="20"/>
          <w:highlight w:val="none"/>
        </w:rPr>
      </w:pPr>
    </w:p>
    <w:p>
      <w:pPr>
        <w:spacing w:line="360" w:lineRule="auto"/>
        <w:rPr>
          <w:rFonts w:ascii="宋体" w:hAnsi="宋体" w:cs="宋体"/>
          <w:b/>
          <w:bCs/>
          <w:color w:val="auto"/>
          <w:sz w:val="32"/>
          <w:szCs w:val="32"/>
          <w:highlight w:val="none"/>
        </w:rPr>
      </w:pPr>
    </w:p>
    <w:p>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杭州市生态环境局钱塘分局</w:t>
      </w:r>
    </w:p>
    <w:p>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浙江省成套招标代理有限公司</w:t>
      </w:r>
    </w:p>
    <w:p>
      <w:pPr>
        <w:spacing w:line="360" w:lineRule="auto"/>
        <w:jc w:val="center"/>
        <w:rPr>
          <w:rFonts w:ascii="宋体" w:hAnsi="宋体" w:cs="宋体"/>
          <w:b/>
          <w:bCs/>
          <w:color w:val="auto"/>
          <w:sz w:val="32"/>
          <w:szCs w:val="32"/>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二〇二四年九月</w:t>
      </w:r>
    </w:p>
    <w:p>
      <w:pPr>
        <w:spacing w:line="360" w:lineRule="auto"/>
        <w:jc w:val="center"/>
        <w:rPr>
          <w:rFonts w:ascii="宋体" w:hAnsi="宋体" w:cs="宋体"/>
          <w:color w:val="auto"/>
          <w:sz w:val="24"/>
          <w:highlight w:val="none"/>
        </w:rPr>
        <w:sectPr>
          <w:headerReference r:id="rId4"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p>
    <w:sdt>
      <w:sdtPr>
        <w:rPr>
          <w:rFonts w:ascii="宋体" w:hAnsi="宋体"/>
          <w:color w:val="auto"/>
          <w:sz w:val="24"/>
          <w:highlight w:val="none"/>
        </w:rPr>
        <w:id w:val="147456391"/>
        <w15:color w:val="DBDBDB"/>
        <w:docPartObj>
          <w:docPartGallery w:val="Table of Contents"/>
          <w:docPartUnique/>
        </w:docPartObj>
      </w:sdtPr>
      <w:sdtEndPr>
        <w:rPr>
          <w:rFonts w:ascii="宋体" w:hAnsi="宋体" w:cs="宋体"/>
          <w:bCs/>
          <w:color w:val="auto"/>
          <w:sz w:val="21"/>
          <w:szCs w:val="32"/>
          <w:highlight w:val="none"/>
        </w:rPr>
      </w:sdtEndPr>
      <w:sdtContent>
        <w:p>
          <w:pPr>
            <w:spacing w:line="480" w:lineRule="auto"/>
            <w:jc w:val="center"/>
            <w:rPr>
              <w:rFonts w:ascii="宋体" w:hAnsi="宋体"/>
              <w:color w:val="auto"/>
              <w:sz w:val="24"/>
              <w:highlight w:val="none"/>
            </w:rPr>
          </w:pPr>
        </w:p>
        <w:p>
          <w:pPr>
            <w:spacing w:line="480" w:lineRule="auto"/>
            <w:jc w:val="center"/>
            <w:rPr>
              <w:b/>
              <w:bCs/>
              <w:color w:val="auto"/>
              <w:sz w:val="28"/>
              <w:szCs w:val="28"/>
              <w:highlight w:val="none"/>
            </w:rPr>
          </w:pPr>
          <w:r>
            <w:rPr>
              <w:rFonts w:ascii="宋体" w:hAnsi="宋体"/>
              <w:b/>
              <w:bCs/>
              <w:color w:val="auto"/>
              <w:sz w:val="28"/>
              <w:szCs w:val="28"/>
              <w:highlight w:val="none"/>
            </w:rPr>
            <w:t>目</w:t>
          </w:r>
          <w:r>
            <w:rPr>
              <w:rFonts w:hint="eastAsia" w:ascii="宋体" w:hAnsi="宋体"/>
              <w:b/>
              <w:bCs/>
              <w:color w:val="auto"/>
              <w:sz w:val="28"/>
              <w:szCs w:val="28"/>
              <w:highlight w:val="none"/>
            </w:rPr>
            <w:t xml:space="preserve"> </w:t>
          </w:r>
          <w:r>
            <w:rPr>
              <w:rFonts w:ascii="宋体" w:hAnsi="宋体"/>
              <w:b/>
              <w:bCs/>
              <w:color w:val="auto"/>
              <w:sz w:val="28"/>
              <w:szCs w:val="28"/>
              <w:highlight w:val="none"/>
            </w:rPr>
            <w:t>录</w:t>
          </w:r>
        </w:p>
        <w:p>
          <w:pPr>
            <w:pStyle w:val="44"/>
            <w:tabs>
              <w:tab w:val="right" w:leader="dot" w:pos="9070"/>
            </w:tabs>
            <w:spacing w:line="480" w:lineRule="auto"/>
            <w:rPr>
              <w:b/>
              <w:bCs/>
              <w:color w:val="auto"/>
              <w:szCs w:val="21"/>
              <w:highlight w:val="none"/>
            </w:rPr>
          </w:pPr>
          <w:r>
            <w:rPr>
              <w:rFonts w:ascii="宋体" w:hAnsi="宋体" w:cs="宋体"/>
              <w:bCs/>
              <w:color w:val="auto"/>
              <w:sz w:val="32"/>
              <w:szCs w:val="32"/>
              <w:highlight w:val="none"/>
            </w:rPr>
            <w:fldChar w:fldCharType="begin"/>
          </w:r>
          <w:r>
            <w:rPr>
              <w:rFonts w:ascii="宋体" w:hAnsi="宋体" w:cs="宋体"/>
              <w:bCs/>
              <w:color w:val="auto"/>
              <w:sz w:val="32"/>
              <w:szCs w:val="32"/>
              <w:highlight w:val="none"/>
            </w:rPr>
            <w:instrText xml:space="preserve">TOC \o "1-1" \h \u </w:instrText>
          </w:r>
          <w:r>
            <w:rPr>
              <w:rFonts w:ascii="宋体" w:hAnsi="宋体" w:cs="宋体"/>
              <w:bCs/>
              <w:color w:val="auto"/>
              <w:sz w:val="32"/>
              <w:szCs w:val="32"/>
              <w:highlight w:val="none"/>
            </w:rPr>
            <w:fldChar w:fldCharType="separate"/>
          </w:r>
          <w:r>
            <w:rPr>
              <w:color w:val="auto"/>
              <w:highlight w:val="none"/>
            </w:rPr>
            <w:fldChar w:fldCharType="begin"/>
          </w:r>
          <w:r>
            <w:rPr>
              <w:color w:val="auto"/>
              <w:highlight w:val="none"/>
            </w:rPr>
            <w:instrText xml:space="preserve"> HYPERLINK \l "_Toc9772" </w:instrText>
          </w:r>
          <w:r>
            <w:rPr>
              <w:color w:val="auto"/>
              <w:highlight w:val="none"/>
            </w:rPr>
            <w:fldChar w:fldCharType="separate"/>
          </w:r>
          <w:r>
            <w:rPr>
              <w:rFonts w:hint="eastAsia"/>
              <w:b/>
              <w:bCs/>
              <w:color w:val="auto"/>
              <w:szCs w:val="21"/>
              <w:highlight w:val="none"/>
            </w:rPr>
            <w:t>第一部分 招标公告</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_Toc9772 \h </w:instrText>
          </w:r>
          <w:r>
            <w:rPr>
              <w:b/>
              <w:bCs/>
              <w:color w:val="auto"/>
              <w:szCs w:val="21"/>
              <w:highlight w:val="none"/>
            </w:rPr>
            <w:fldChar w:fldCharType="separate"/>
          </w:r>
          <w:r>
            <w:rPr>
              <w:b/>
              <w:bCs/>
              <w:color w:val="auto"/>
              <w:szCs w:val="21"/>
              <w:highlight w:val="none"/>
            </w:rPr>
            <w:t>3</w:t>
          </w:r>
          <w:r>
            <w:rPr>
              <w:b/>
              <w:bCs/>
              <w:color w:val="auto"/>
              <w:szCs w:val="21"/>
              <w:highlight w:val="none"/>
            </w:rPr>
            <w:fldChar w:fldCharType="end"/>
          </w:r>
          <w:r>
            <w:rPr>
              <w:b/>
              <w:bCs/>
              <w:color w:val="auto"/>
              <w:szCs w:val="21"/>
              <w:highlight w:val="none"/>
            </w:rPr>
            <w:fldChar w:fldCharType="end"/>
          </w:r>
        </w:p>
        <w:p>
          <w:pPr>
            <w:pStyle w:val="44"/>
            <w:tabs>
              <w:tab w:val="right" w:leader="dot" w:pos="9070"/>
            </w:tabs>
            <w:spacing w:line="480" w:lineRule="auto"/>
            <w:rPr>
              <w:b/>
              <w:bCs/>
              <w:color w:val="auto"/>
              <w:szCs w:val="21"/>
              <w:highlight w:val="none"/>
            </w:rPr>
          </w:pPr>
          <w:r>
            <w:rPr>
              <w:color w:val="auto"/>
              <w:highlight w:val="none"/>
            </w:rPr>
            <w:fldChar w:fldCharType="begin"/>
          </w:r>
          <w:r>
            <w:rPr>
              <w:color w:val="auto"/>
              <w:highlight w:val="none"/>
            </w:rPr>
            <w:instrText xml:space="preserve"> HYPERLINK \l "_Toc6177" </w:instrText>
          </w:r>
          <w:r>
            <w:rPr>
              <w:color w:val="auto"/>
              <w:highlight w:val="none"/>
            </w:rPr>
            <w:fldChar w:fldCharType="separate"/>
          </w:r>
          <w:r>
            <w:rPr>
              <w:rFonts w:hint="eastAsia"/>
              <w:b/>
              <w:bCs/>
              <w:color w:val="auto"/>
              <w:szCs w:val="21"/>
              <w:highlight w:val="none"/>
            </w:rPr>
            <w:t>第二部分 投标人须知</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_Toc6177 \h </w:instrText>
          </w:r>
          <w:r>
            <w:rPr>
              <w:b/>
              <w:bCs/>
              <w:color w:val="auto"/>
              <w:szCs w:val="21"/>
              <w:highlight w:val="none"/>
            </w:rPr>
            <w:fldChar w:fldCharType="separate"/>
          </w:r>
          <w:r>
            <w:rPr>
              <w:b/>
              <w:bCs/>
              <w:color w:val="auto"/>
              <w:szCs w:val="21"/>
              <w:highlight w:val="none"/>
            </w:rPr>
            <w:t>6</w:t>
          </w:r>
          <w:r>
            <w:rPr>
              <w:b/>
              <w:bCs/>
              <w:color w:val="auto"/>
              <w:szCs w:val="21"/>
              <w:highlight w:val="none"/>
            </w:rPr>
            <w:fldChar w:fldCharType="end"/>
          </w:r>
          <w:r>
            <w:rPr>
              <w:b/>
              <w:bCs/>
              <w:color w:val="auto"/>
              <w:szCs w:val="21"/>
              <w:highlight w:val="none"/>
            </w:rPr>
            <w:fldChar w:fldCharType="end"/>
          </w:r>
        </w:p>
        <w:p>
          <w:pPr>
            <w:pStyle w:val="44"/>
            <w:tabs>
              <w:tab w:val="right" w:leader="dot" w:pos="9070"/>
            </w:tabs>
            <w:spacing w:line="480" w:lineRule="auto"/>
            <w:rPr>
              <w:b/>
              <w:bCs/>
              <w:color w:val="auto"/>
              <w:szCs w:val="21"/>
              <w:highlight w:val="none"/>
            </w:rPr>
          </w:pPr>
          <w:r>
            <w:rPr>
              <w:color w:val="auto"/>
              <w:highlight w:val="none"/>
            </w:rPr>
            <w:fldChar w:fldCharType="begin"/>
          </w:r>
          <w:r>
            <w:rPr>
              <w:color w:val="auto"/>
              <w:highlight w:val="none"/>
            </w:rPr>
            <w:instrText xml:space="preserve"> HYPERLINK \l "_Toc26067" </w:instrText>
          </w:r>
          <w:r>
            <w:rPr>
              <w:color w:val="auto"/>
              <w:highlight w:val="none"/>
            </w:rPr>
            <w:fldChar w:fldCharType="separate"/>
          </w:r>
          <w:r>
            <w:rPr>
              <w:rFonts w:hint="eastAsia"/>
              <w:b/>
              <w:bCs/>
              <w:color w:val="auto"/>
              <w:szCs w:val="21"/>
              <w:highlight w:val="none"/>
            </w:rPr>
            <w:t>第三部分 采购需求</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_Toc26067 \h </w:instrText>
          </w:r>
          <w:r>
            <w:rPr>
              <w:b/>
              <w:bCs/>
              <w:color w:val="auto"/>
              <w:szCs w:val="21"/>
              <w:highlight w:val="none"/>
            </w:rPr>
            <w:fldChar w:fldCharType="separate"/>
          </w:r>
          <w:r>
            <w:rPr>
              <w:b/>
              <w:bCs/>
              <w:color w:val="auto"/>
              <w:szCs w:val="21"/>
              <w:highlight w:val="none"/>
            </w:rPr>
            <w:t>21</w:t>
          </w:r>
          <w:r>
            <w:rPr>
              <w:b/>
              <w:bCs/>
              <w:color w:val="auto"/>
              <w:szCs w:val="21"/>
              <w:highlight w:val="none"/>
            </w:rPr>
            <w:fldChar w:fldCharType="end"/>
          </w:r>
          <w:r>
            <w:rPr>
              <w:b/>
              <w:bCs/>
              <w:color w:val="auto"/>
              <w:szCs w:val="21"/>
              <w:highlight w:val="none"/>
            </w:rPr>
            <w:fldChar w:fldCharType="end"/>
          </w:r>
        </w:p>
        <w:p>
          <w:pPr>
            <w:pStyle w:val="44"/>
            <w:tabs>
              <w:tab w:val="right" w:leader="dot" w:pos="9070"/>
            </w:tabs>
            <w:spacing w:line="480" w:lineRule="auto"/>
            <w:rPr>
              <w:b/>
              <w:bCs/>
              <w:color w:val="auto"/>
              <w:szCs w:val="21"/>
              <w:highlight w:val="none"/>
            </w:rPr>
          </w:pPr>
          <w:r>
            <w:rPr>
              <w:color w:val="auto"/>
              <w:highlight w:val="none"/>
            </w:rPr>
            <w:fldChar w:fldCharType="begin"/>
          </w:r>
          <w:r>
            <w:rPr>
              <w:color w:val="auto"/>
              <w:highlight w:val="none"/>
            </w:rPr>
            <w:instrText xml:space="preserve"> HYPERLINK \l "_Toc16317" </w:instrText>
          </w:r>
          <w:r>
            <w:rPr>
              <w:color w:val="auto"/>
              <w:highlight w:val="none"/>
            </w:rPr>
            <w:fldChar w:fldCharType="separate"/>
          </w:r>
          <w:r>
            <w:rPr>
              <w:rFonts w:hint="eastAsia"/>
              <w:b/>
              <w:bCs/>
              <w:color w:val="auto"/>
              <w:szCs w:val="21"/>
              <w:highlight w:val="none"/>
            </w:rPr>
            <w:t>第四部分 评标办法</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_Toc16317 \h </w:instrText>
          </w:r>
          <w:r>
            <w:rPr>
              <w:b/>
              <w:bCs/>
              <w:color w:val="auto"/>
              <w:szCs w:val="21"/>
              <w:highlight w:val="none"/>
            </w:rPr>
            <w:fldChar w:fldCharType="separate"/>
          </w:r>
          <w:r>
            <w:rPr>
              <w:b/>
              <w:bCs/>
              <w:color w:val="auto"/>
              <w:szCs w:val="21"/>
              <w:highlight w:val="none"/>
            </w:rPr>
            <w:t>28</w:t>
          </w:r>
          <w:r>
            <w:rPr>
              <w:b/>
              <w:bCs/>
              <w:color w:val="auto"/>
              <w:szCs w:val="21"/>
              <w:highlight w:val="none"/>
            </w:rPr>
            <w:fldChar w:fldCharType="end"/>
          </w:r>
          <w:r>
            <w:rPr>
              <w:b/>
              <w:bCs/>
              <w:color w:val="auto"/>
              <w:szCs w:val="21"/>
              <w:highlight w:val="none"/>
            </w:rPr>
            <w:fldChar w:fldCharType="end"/>
          </w:r>
        </w:p>
        <w:p>
          <w:pPr>
            <w:pStyle w:val="44"/>
            <w:tabs>
              <w:tab w:val="right" w:leader="dot" w:pos="9070"/>
            </w:tabs>
            <w:spacing w:line="480" w:lineRule="auto"/>
            <w:rPr>
              <w:b/>
              <w:bCs/>
              <w:color w:val="auto"/>
              <w:szCs w:val="21"/>
              <w:highlight w:val="none"/>
            </w:rPr>
          </w:pPr>
          <w:r>
            <w:rPr>
              <w:color w:val="auto"/>
              <w:highlight w:val="none"/>
            </w:rPr>
            <w:fldChar w:fldCharType="begin"/>
          </w:r>
          <w:r>
            <w:rPr>
              <w:color w:val="auto"/>
              <w:highlight w:val="none"/>
            </w:rPr>
            <w:instrText xml:space="preserve"> HYPERLINK \l "_Toc8173" </w:instrText>
          </w:r>
          <w:r>
            <w:rPr>
              <w:color w:val="auto"/>
              <w:highlight w:val="none"/>
            </w:rPr>
            <w:fldChar w:fldCharType="separate"/>
          </w:r>
          <w:r>
            <w:rPr>
              <w:rFonts w:hint="eastAsia"/>
              <w:b/>
              <w:bCs/>
              <w:color w:val="auto"/>
              <w:szCs w:val="21"/>
              <w:highlight w:val="none"/>
            </w:rPr>
            <w:t>第五部分 拟签订的合同文本</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_Toc8173 \h </w:instrText>
          </w:r>
          <w:r>
            <w:rPr>
              <w:b/>
              <w:bCs/>
              <w:color w:val="auto"/>
              <w:szCs w:val="21"/>
              <w:highlight w:val="none"/>
            </w:rPr>
            <w:fldChar w:fldCharType="separate"/>
          </w:r>
          <w:r>
            <w:rPr>
              <w:b/>
              <w:bCs/>
              <w:color w:val="auto"/>
              <w:szCs w:val="21"/>
              <w:highlight w:val="none"/>
            </w:rPr>
            <w:t>34</w:t>
          </w:r>
          <w:r>
            <w:rPr>
              <w:b/>
              <w:bCs/>
              <w:color w:val="auto"/>
              <w:szCs w:val="21"/>
              <w:highlight w:val="none"/>
            </w:rPr>
            <w:fldChar w:fldCharType="end"/>
          </w:r>
          <w:r>
            <w:rPr>
              <w:b/>
              <w:bCs/>
              <w:color w:val="auto"/>
              <w:szCs w:val="21"/>
              <w:highlight w:val="none"/>
            </w:rPr>
            <w:fldChar w:fldCharType="end"/>
          </w:r>
        </w:p>
        <w:p>
          <w:pPr>
            <w:pStyle w:val="44"/>
            <w:tabs>
              <w:tab w:val="right" w:leader="dot" w:pos="9070"/>
            </w:tabs>
            <w:spacing w:line="480" w:lineRule="auto"/>
            <w:rPr>
              <w:color w:val="auto"/>
              <w:highlight w:val="none"/>
            </w:rPr>
          </w:pPr>
          <w:r>
            <w:rPr>
              <w:color w:val="auto"/>
              <w:highlight w:val="none"/>
            </w:rPr>
            <w:fldChar w:fldCharType="begin"/>
          </w:r>
          <w:r>
            <w:rPr>
              <w:color w:val="auto"/>
              <w:highlight w:val="none"/>
            </w:rPr>
            <w:instrText xml:space="preserve"> HYPERLINK \l "_Toc20677" </w:instrText>
          </w:r>
          <w:r>
            <w:rPr>
              <w:color w:val="auto"/>
              <w:highlight w:val="none"/>
            </w:rPr>
            <w:fldChar w:fldCharType="separate"/>
          </w:r>
          <w:r>
            <w:rPr>
              <w:rFonts w:hint="eastAsia"/>
              <w:b/>
              <w:bCs/>
              <w:color w:val="auto"/>
              <w:szCs w:val="21"/>
              <w:highlight w:val="none"/>
            </w:rPr>
            <w:t>第六部分 应提交的有关格式范例</w:t>
          </w:r>
          <w:r>
            <w:rPr>
              <w:b/>
              <w:bCs/>
              <w:color w:val="auto"/>
              <w:szCs w:val="21"/>
              <w:highlight w:val="none"/>
            </w:rPr>
            <w:tab/>
          </w:r>
          <w:r>
            <w:rPr>
              <w:b/>
              <w:bCs/>
              <w:color w:val="auto"/>
              <w:szCs w:val="21"/>
              <w:highlight w:val="none"/>
            </w:rPr>
            <w:fldChar w:fldCharType="begin"/>
          </w:r>
          <w:r>
            <w:rPr>
              <w:b/>
              <w:bCs/>
              <w:color w:val="auto"/>
              <w:szCs w:val="21"/>
              <w:highlight w:val="none"/>
            </w:rPr>
            <w:instrText xml:space="preserve"> PAGEREF _Toc20677 \h </w:instrText>
          </w:r>
          <w:r>
            <w:rPr>
              <w:b/>
              <w:bCs/>
              <w:color w:val="auto"/>
              <w:szCs w:val="21"/>
              <w:highlight w:val="none"/>
            </w:rPr>
            <w:fldChar w:fldCharType="separate"/>
          </w:r>
          <w:r>
            <w:rPr>
              <w:b/>
              <w:bCs/>
              <w:color w:val="auto"/>
              <w:szCs w:val="21"/>
              <w:highlight w:val="none"/>
            </w:rPr>
            <w:t>44</w:t>
          </w:r>
          <w:r>
            <w:rPr>
              <w:b/>
              <w:bCs/>
              <w:color w:val="auto"/>
              <w:szCs w:val="21"/>
              <w:highlight w:val="none"/>
            </w:rPr>
            <w:fldChar w:fldCharType="end"/>
          </w:r>
          <w:r>
            <w:rPr>
              <w:b/>
              <w:bCs/>
              <w:color w:val="auto"/>
              <w:szCs w:val="21"/>
              <w:highlight w:val="none"/>
            </w:rPr>
            <w:fldChar w:fldCharType="end"/>
          </w:r>
        </w:p>
        <w:p>
          <w:pPr>
            <w:snapToGrid w:val="0"/>
            <w:spacing w:line="480" w:lineRule="auto"/>
            <w:jc w:val="center"/>
            <w:rPr>
              <w:rFonts w:ascii="宋体" w:hAnsi="宋体" w:cs="宋体"/>
              <w:bCs/>
              <w:color w:val="auto"/>
              <w:sz w:val="32"/>
              <w:szCs w:val="32"/>
              <w:highlight w:val="none"/>
            </w:rPr>
          </w:pPr>
          <w:r>
            <w:rPr>
              <w:rFonts w:ascii="宋体" w:hAnsi="宋体" w:cs="宋体"/>
              <w:bCs/>
              <w:color w:val="auto"/>
              <w:szCs w:val="32"/>
              <w:highlight w:val="none"/>
            </w:rPr>
            <w:fldChar w:fldCharType="end"/>
          </w:r>
        </w:p>
      </w:sdtContent>
    </w:sdt>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_Toc9772"/>
      <w:bookmarkStart w:id="8" w:name="第二部分"/>
      <w:bookmarkStart w:id="9" w:name="_Toc91899870"/>
      <w:bookmarkStart w:id="10" w:name="_Toc91899871"/>
      <w:r>
        <w:rPr>
          <w:rStyle w:val="282"/>
          <w:rFonts w:hint="eastAsia"/>
          <w:color w:val="auto"/>
          <w:highlight w:val="none"/>
        </w:rPr>
        <w:t>第一部分 招标公告</w:t>
      </w:r>
      <w:bookmarkEnd w:id="7"/>
    </w:p>
    <w:p>
      <w:pPr>
        <w:pBdr>
          <w:top w:val="single" w:color="auto" w:sz="4" w:space="1"/>
          <w:left w:val="single" w:color="auto" w:sz="4" w:space="4"/>
          <w:bottom w:val="single" w:color="auto" w:sz="4" w:space="2"/>
          <w:right w:val="single" w:color="auto" w:sz="4" w:space="4"/>
        </w:pBd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20" w:firstLineChars="200"/>
        <w:rPr>
          <w:rFonts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u w:val="single"/>
        </w:rPr>
        <w:t>2024年钱塘区宁静工地建设项目</w:t>
      </w:r>
      <w:r>
        <w:rPr>
          <w:rFonts w:hint="eastAsia" w:asciiTheme="minorEastAsia" w:hAnsiTheme="minorEastAsia" w:eastAsiaTheme="minorEastAsia"/>
          <w:color w:val="auto"/>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1"/>
          <w:szCs w:val="21"/>
          <w:highlight w:val="none"/>
        </w:rPr>
        <w:t>https://www.zcygov.cn/）获取（下载）招标文件，并于</w:t>
      </w:r>
      <w:r>
        <w:rPr>
          <w:rStyle w:val="76"/>
          <w:rFonts w:hint="eastAsia" w:cs="Times New Roman" w:asciiTheme="minorEastAsia" w:hAnsiTheme="minorEastAsia" w:eastAsiaTheme="minorEastAsia"/>
          <w:snapToGrid/>
          <w:color w:val="auto"/>
          <w:kern w:val="2"/>
          <w:sz w:val="21"/>
          <w:szCs w:val="21"/>
          <w:highlight w:val="none"/>
        </w:rPr>
        <w:t>2024</w:t>
      </w:r>
      <w:r>
        <w:rPr>
          <w:rStyle w:val="76"/>
          <w:rFonts w:cs="Times New Roman" w:asciiTheme="minorEastAsia" w:hAnsiTheme="minorEastAsia" w:eastAsiaTheme="minorEastAsia"/>
          <w:snapToGrid/>
          <w:color w:val="auto"/>
          <w:kern w:val="2"/>
          <w:sz w:val="21"/>
          <w:szCs w:val="21"/>
          <w:highlight w:val="none"/>
        </w:rPr>
        <w:t>年</w:t>
      </w:r>
      <w:r>
        <w:rPr>
          <w:rStyle w:val="76"/>
          <w:rFonts w:hint="eastAsia" w:cs="Times New Roman" w:asciiTheme="minorEastAsia" w:hAnsiTheme="minorEastAsia" w:eastAsiaTheme="minorEastAsia"/>
          <w:snapToGrid/>
          <w:color w:val="auto"/>
          <w:kern w:val="2"/>
          <w:sz w:val="21"/>
          <w:szCs w:val="21"/>
          <w:highlight w:val="none"/>
          <w:lang w:val="en-US" w:eastAsia="zh-CN"/>
        </w:rPr>
        <w:t>10</w:t>
      </w:r>
      <w:r>
        <w:rPr>
          <w:rStyle w:val="76"/>
          <w:rFonts w:hint="eastAsia" w:cs="Times New Roman" w:asciiTheme="minorEastAsia" w:hAnsiTheme="minorEastAsia" w:eastAsiaTheme="minorEastAsia"/>
          <w:snapToGrid/>
          <w:color w:val="auto"/>
          <w:kern w:val="2"/>
          <w:sz w:val="21"/>
          <w:szCs w:val="21"/>
          <w:highlight w:val="none"/>
        </w:rPr>
        <w:t>月</w:t>
      </w:r>
      <w:r>
        <w:rPr>
          <w:rStyle w:val="76"/>
          <w:rFonts w:hint="eastAsia" w:cs="Times New Roman" w:asciiTheme="minorEastAsia" w:hAnsiTheme="minorEastAsia" w:eastAsiaTheme="minorEastAsia"/>
          <w:snapToGrid/>
          <w:color w:val="auto"/>
          <w:kern w:val="2"/>
          <w:sz w:val="21"/>
          <w:szCs w:val="21"/>
          <w:highlight w:val="none"/>
          <w:lang w:val="en-US" w:eastAsia="zh-CN"/>
        </w:rPr>
        <w:t>14</w:t>
      </w:r>
      <w:r>
        <w:rPr>
          <w:rStyle w:val="76"/>
          <w:rFonts w:hint="eastAsia" w:cs="Times New Roman" w:asciiTheme="minorEastAsia" w:hAnsiTheme="minorEastAsia" w:eastAsiaTheme="minorEastAsia"/>
          <w:snapToGrid/>
          <w:color w:val="auto"/>
          <w:kern w:val="2"/>
          <w:sz w:val="21"/>
          <w:szCs w:val="21"/>
          <w:highlight w:val="none"/>
        </w:rPr>
        <w:t>日09点30分</w:t>
      </w:r>
      <w:r>
        <w:rPr>
          <w:rStyle w:val="76"/>
          <w:rFonts w:hint="eastAsia" w:cs="Times New Roman" w:asciiTheme="minorEastAsia" w:hAnsiTheme="minorEastAsia" w:eastAsiaTheme="minorEastAsia"/>
          <w:bCs/>
          <w:snapToGrid/>
          <w:color w:val="auto"/>
          <w:kern w:val="2"/>
          <w:sz w:val="21"/>
          <w:szCs w:val="21"/>
          <w:highlight w:val="none"/>
        </w:rPr>
        <w:t>00秒</w:t>
      </w:r>
      <w:r>
        <w:rPr>
          <w:rStyle w:val="76"/>
          <w:rFonts w:hint="eastAsia" w:cs="Times New Roman" w:asciiTheme="minorEastAsia" w:hAnsiTheme="minorEastAsia" w:eastAsiaTheme="minorEastAsia"/>
          <w:bCs/>
          <w:snapToGrid/>
          <w:color w:val="auto"/>
          <w:kern w:val="2"/>
          <w:sz w:val="21"/>
          <w:szCs w:val="21"/>
          <w:highlight w:val="none"/>
        </w:rPr>
        <w:fldChar w:fldCharType="end"/>
      </w:r>
      <w:r>
        <w:rPr>
          <w:rFonts w:hint="eastAsia" w:asciiTheme="minorEastAsia" w:hAnsiTheme="minorEastAsia" w:eastAsiaTheme="minorEastAsia"/>
          <w:bCs/>
          <w:color w:val="auto"/>
          <w:szCs w:val="21"/>
          <w:highlight w:val="none"/>
        </w:rPr>
        <w:t>（北京时间）前</w:t>
      </w:r>
      <w:r>
        <w:rPr>
          <w:rFonts w:hint="eastAsia" w:asciiTheme="minorEastAsia" w:hAnsiTheme="minorEastAsia" w:eastAsiaTheme="minorEastAsia"/>
          <w:color w:val="auto"/>
          <w:szCs w:val="21"/>
          <w:highlight w:val="none"/>
        </w:rPr>
        <w:t>递交（上传）投标文件。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一、项目基本情况 </w:t>
      </w:r>
    </w:p>
    <w:p>
      <w:pPr>
        <w:spacing w:line="360" w:lineRule="auto"/>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w:t>
      </w:r>
      <w:r>
        <w:rPr>
          <w:rFonts w:hint="eastAsia" w:ascii="宋体" w:hAnsi="宋体" w:cs="宋体"/>
          <w:b/>
          <w:color w:val="auto"/>
          <w:szCs w:val="21"/>
          <w:highlight w:val="none"/>
        </w:rPr>
        <w:t>项目编号：</w:t>
      </w:r>
      <w:r>
        <w:rPr>
          <w:rFonts w:hint="eastAsia" w:ascii="宋体" w:hAnsi="宋体" w:cs="宋体"/>
          <w:color w:val="auto"/>
          <w:szCs w:val="21"/>
          <w:highlight w:val="none"/>
          <w:lang w:eastAsia="zh-CN"/>
        </w:rPr>
        <w:t>QTCG-GK-2024-214</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项目名称：</w:t>
      </w:r>
      <w:r>
        <w:rPr>
          <w:rFonts w:hint="eastAsia" w:ascii="宋体" w:hAnsi="宋体" w:cs="宋体"/>
          <w:color w:val="auto"/>
          <w:szCs w:val="21"/>
          <w:highlight w:val="none"/>
        </w:rPr>
        <w:t>2024年钱塘区宁静工地建设项目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预算金额（元）：</w:t>
      </w:r>
      <w:r>
        <w:rPr>
          <w:rFonts w:hint="eastAsia" w:ascii="宋体" w:hAnsi="宋体" w:cs="宋体"/>
          <w:color w:val="auto"/>
          <w:szCs w:val="21"/>
          <w:highlight w:val="none"/>
        </w:rPr>
        <w:t>540000元</w:t>
      </w:r>
    </w:p>
    <w:p>
      <w:pPr>
        <w:spacing w:line="360" w:lineRule="auto"/>
        <w:ind w:firstLine="480"/>
        <w:rPr>
          <w:rFonts w:ascii="宋体" w:hAnsi="宋体" w:cs="宋体"/>
          <w:color w:val="auto"/>
          <w:szCs w:val="21"/>
          <w:highlight w:val="none"/>
        </w:rPr>
      </w:pPr>
      <w:r>
        <w:rPr>
          <w:rFonts w:hint="eastAsia" w:ascii="宋体" w:hAnsi="宋体" w:cs="宋体"/>
          <w:b/>
          <w:color w:val="auto"/>
          <w:szCs w:val="21"/>
          <w:highlight w:val="none"/>
        </w:rPr>
        <w:t>最高限价（元）：</w:t>
      </w:r>
      <w:r>
        <w:rPr>
          <w:rFonts w:hint="eastAsia" w:ascii="宋体" w:hAnsi="宋体" w:cs="宋体"/>
          <w:color w:val="auto"/>
          <w:szCs w:val="21"/>
          <w:highlight w:val="none"/>
        </w:rPr>
        <w:t>540000元</w:t>
      </w:r>
    </w:p>
    <w:p>
      <w:pPr>
        <w:pStyle w:val="15"/>
        <w:spacing w:line="360" w:lineRule="auto"/>
        <w:ind w:firstLine="480"/>
        <w:rPr>
          <w:rFonts w:hAnsi="宋体" w:cs="宋体"/>
          <w:bCs/>
          <w:snapToGrid/>
          <w:color w:val="auto"/>
          <w:kern w:val="2"/>
          <w:sz w:val="21"/>
          <w:szCs w:val="21"/>
          <w:highlight w:val="none"/>
        </w:rPr>
      </w:pPr>
      <w:r>
        <w:rPr>
          <w:rFonts w:hint="eastAsia" w:hAnsi="宋体" w:cs="宋体"/>
          <w:b/>
          <w:color w:val="auto"/>
          <w:sz w:val="21"/>
          <w:szCs w:val="21"/>
          <w:highlight w:val="none"/>
        </w:rPr>
        <w:t>采购需求：</w:t>
      </w:r>
      <w:r>
        <w:rPr>
          <w:rFonts w:hint="eastAsia" w:hAnsi="宋体" w:cs="宋体"/>
          <w:color w:val="auto"/>
          <w:sz w:val="21"/>
          <w:szCs w:val="21"/>
          <w:highlight w:val="none"/>
        </w:rPr>
        <w:t>2024年钱塘区宁静工地建设</w:t>
      </w:r>
      <w:r>
        <w:rPr>
          <w:rFonts w:hint="eastAsia" w:asciiTheme="minorEastAsia" w:hAnsiTheme="minorEastAsia" w:eastAsiaTheme="minorEastAsia"/>
          <w:snapToGrid/>
          <w:color w:val="auto"/>
          <w:kern w:val="2"/>
          <w:sz w:val="21"/>
          <w:szCs w:val="21"/>
          <w:highlight w:val="none"/>
        </w:rPr>
        <w:t>。具体以招标文件第三部分采购需求为准，供应商可点击本公告下方“浏览采购文件”查看采购需求。</w:t>
      </w:r>
    </w:p>
    <w:p>
      <w:pPr>
        <w:pStyle w:val="15"/>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合同履约期限：</w:t>
      </w:r>
      <w:bookmarkStart w:id="11" w:name="OLE_LINK1"/>
      <w:r>
        <w:rPr>
          <w:rFonts w:hint="eastAsia" w:hAnsi="宋体" w:cs="宋体"/>
          <w:b/>
          <w:color w:val="auto"/>
          <w:sz w:val="21"/>
          <w:szCs w:val="21"/>
          <w:highlight w:val="none"/>
        </w:rPr>
        <w:t>合同签订之日起至2024年11月15日前完成并具备验收条件。</w:t>
      </w:r>
      <w:bookmarkEnd w:id="11"/>
    </w:p>
    <w:p>
      <w:pPr>
        <w:pStyle w:val="15"/>
        <w:spacing w:line="360" w:lineRule="auto"/>
        <w:ind w:firstLine="480"/>
        <w:rPr>
          <w:rFonts w:hAnsi="宋体" w:cs="宋体"/>
          <w:color w:val="auto"/>
          <w:kern w:val="0"/>
          <w:sz w:val="21"/>
          <w:szCs w:val="21"/>
          <w:highlight w:val="none"/>
        </w:rPr>
      </w:pPr>
      <w:r>
        <w:rPr>
          <w:rFonts w:hint="eastAsia" w:hAnsi="宋体" w:cs="宋体"/>
          <w:b/>
          <w:color w:val="auto"/>
          <w:sz w:val="21"/>
          <w:szCs w:val="21"/>
          <w:highlight w:val="none"/>
        </w:rPr>
        <w:t>本项目接受联合体投标：</w:t>
      </w:r>
      <w:sdt>
        <w:sdtPr>
          <w:rPr>
            <w:rFonts w:hint="eastAsia" w:hAnsi="宋体" w:cs="宋体"/>
            <w:color w:val="auto"/>
            <w:kern w:val="0"/>
            <w:sz w:val="21"/>
            <w:szCs w:val="21"/>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hAnsi="宋体" w:cs="宋体"/>
              <w:color w:val="auto"/>
              <w:kern w:val="0"/>
              <w:sz w:val="21"/>
              <w:szCs w:val="21"/>
              <w:highlight w:val="none"/>
            </w:rPr>
            <w:sym w:font="Wingdings" w:char="F0FE"/>
          </w:r>
        </w:sdtContent>
      </w:sdt>
      <w:r>
        <w:rPr>
          <w:rFonts w:hint="eastAsia" w:hAnsi="宋体" w:cs="宋体"/>
          <w:b/>
          <w:color w:val="auto"/>
          <w:sz w:val="21"/>
          <w:szCs w:val="21"/>
          <w:highlight w:val="none"/>
        </w:rPr>
        <w:t>是</w:t>
      </w:r>
      <w:r>
        <w:rPr>
          <w:rFonts w:hint="eastAsia" w:hAnsi="宋体" w:cs="宋体"/>
          <w:b/>
          <w:snapToGrid/>
          <w:color w:val="auto"/>
          <w:kern w:val="2"/>
          <w:sz w:val="21"/>
          <w:szCs w:val="21"/>
          <w:highlight w:val="none"/>
        </w:rPr>
        <w:t>；</w:t>
      </w:r>
      <w:sdt>
        <w:sdtPr>
          <w:rPr>
            <w:rFonts w:hint="eastAsia" w:hAnsi="宋体" w:cs="宋体"/>
            <w:color w:val="auto"/>
            <w:kern w:val="0"/>
            <w:sz w:val="21"/>
            <w:szCs w:val="21"/>
            <w:highlight w:val="none"/>
          </w:rPr>
          <w:id w:val="1023214390"/>
          <w14:checkbox>
            <w14:checked w14:val="0"/>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hAnsi="宋体" w:cs="宋体"/>
              <w:color w:val="auto"/>
              <w:kern w:val="0"/>
              <w:sz w:val="21"/>
              <w:szCs w:val="21"/>
              <w:highlight w:val="none"/>
            </w:rPr>
            <w:t>☐</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二、</w:t>
      </w:r>
      <w:bookmarkStart w:id="12" w:name="_Hlk101132948"/>
      <w:r>
        <w:rPr>
          <w:rFonts w:hint="eastAsia" w:ascii="宋体" w:hAnsi="宋体" w:cs="宋体"/>
          <w:b/>
          <w:color w:val="auto"/>
          <w:szCs w:val="21"/>
          <w:highlight w:val="none"/>
        </w:rPr>
        <w:t>申请人的资格要求</w:t>
      </w:r>
      <w:bookmarkEnd w:id="12"/>
      <w:r>
        <w:rPr>
          <w:rFonts w:hint="eastAsia" w:ascii="宋体" w:hAnsi="宋体" w:cs="宋体"/>
          <w:b/>
          <w:color w:val="auto"/>
          <w:szCs w:val="21"/>
          <w:highlight w:val="none"/>
        </w:rPr>
        <w:t>：</w:t>
      </w:r>
    </w:p>
    <w:p>
      <w:pPr>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 xml:space="preserve">    </w:t>
      </w:r>
      <w:r>
        <w:rPr>
          <w:rFonts w:ascii="宋体" w:hAnsi="宋体" w:cs="宋体"/>
          <w:snapToGrid w:val="0"/>
          <w:color w:val="auto"/>
          <w:kern w:val="28"/>
          <w:szCs w:val="21"/>
          <w:highlight w:val="none"/>
        </w:rPr>
        <w:t>2</w:t>
      </w:r>
      <w:r>
        <w:rPr>
          <w:rFonts w:hint="eastAsia" w:ascii="宋体" w:hAnsi="宋体" w:cs="宋体"/>
          <w:snapToGrid w:val="0"/>
          <w:color w:val="auto"/>
          <w:kern w:val="28"/>
          <w:szCs w:val="21"/>
          <w:highlight w:val="none"/>
        </w:rPr>
        <w:t>.</w:t>
      </w:r>
      <w:r>
        <w:rPr>
          <w:rFonts w:hint="eastAsia"/>
          <w:color w:val="auto"/>
          <w:szCs w:val="21"/>
          <w:highlight w:val="none"/>
        </w:rPr>
        <w:t xml:space="preserve"> </w:t>
      </w:r>
      <w:r>
        <w:rPr>
          <w:rFonts w:hint="eastAsia" w:ascii="宋体" w:hAnsi="宋体" w:cs="宋体"/>
          <w:snapToGrid w:val="0"/>
          <w:color w:val="auto"/>
          <w:kern w:val="28"/>
          <w:szCs w:val="21"/>
          <w:highlight w:val="none"/>
        </w:rPr>
        <w:t>以联合体形式投标的，提供联合协议(本项目不接受联合体投标或者投标人不以联合体形式投标的，则不需要提供) ；</w:t>
      </w:r>
    </w:p>
    <w:p>
      <w:pPr>
        <w:spacing w:line="360" w:lineRule="auto"/>
        <w:ind w:firstLine="420" w:firstLineChars="200"/>
        <w:rPr>
          <w:rFonts w:ascii="宋体" w:hAnsi="宋体" w:cs="宋体"/>
          <w:snapToGrid w:val="0"/>
          <w:color w:val="auto"/>
          <w:kern w:val="28"/>
          <w:szCs w:val="21"/>
          <w:highlight w:val="none"/>
        </w:rPr>
      </w:pPr>
      <w:r>
        <w:rPr>
          <w:rFonts w:ascii="宋体" w:hAnsi="宋体" w:cs="宋体"/>
          <w:snapToGrid w:val="0"/>
          <w:color w:val="auto"/>
          <w:kern w:val="28"/>
          <w:szCs w:val="21"/>
          <w:highlight w:val="none"/>
        </w:rPr>
        <w:t>3</w:t>
      </w:r>
      <w:r>
        <w:rPr>
          <w:rFonts w:hint="eastAsia" w:ascii="宋体" w:hAnsi="宋体" w:cs="宋体"/>
          <w:snapToGrid w:val="0"/>
          <w:color w:val="auto"/>
          <w:kern w:val="28"/>
          <w:szCs w:val="21"/>
          <w:highlight w:val="none"/>
        </w:rPr>
        <w:t>.落实政府采购政策需满足的资格要求：货物全部由符合政策要求的中小企业制造，提供中小企业声明函；</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.本项目的特定资格要求：无；</w:t>
      </w:r>
    </w:p>
    <w:p>
      <w:pPr>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三、获取招标文件 </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 </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 xml:space="preserve">供应商登录政采云平台https://www.zcygov.cn/在线申请获取采购文件（进入“项目采购”应用，在获取采购文件菜单中选择项目，申请获取采购文件）。 </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日09点30分00秒</w:t>
      </w:r>
      <w:r>
        <w:rPr>
          <w:rFonts w:hint="eastAsia" w:ascii="宋体" w:hAnsi="宋体" w:cs="宋体"/>
          <w:color w:val="auto"/>
          <w:szCs w:val="21"/>
          <w:highlight w:val="none"/>
        </w:rPr>
        <w:t>（北京时间）</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日09点30分00秒</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五、公告期限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六、其他补充事宜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 </w:t>
      </w:r>
      <w:r>
        <w:rPr>
          <w:rFonts w:ascii="宋体" w:hAnsi="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1.采购人信息</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名    称：杭州市生态环境局钱塘分局 </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址：杭州市钱塘区青六北路769号综合楼四楼</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项目联系人（询问）：赵栋</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项目联系方式（询问）：15888843953</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质疑联系人：王旭东</w:t>
      </w:r>
      <w:r>
        <w:rPr>
          <w:rFonts w:asciiTheme="minorEastAsia" w:hAnsiTheme="minorEastAsia" w:eastAsiaTheme="minorEastAsia" w:cstheme="minorEastAsia"/>
          <w:color w:val="auto"/>
          <w:szCs w:val="21"/>
          <w:highlight w:val="none"/>
        </w:rPr>
        <w:t xml:space="preserve"> </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质疑联系方式：</w:t>
      </w:r>
      <w:r>
        <w:rPr>
          <w:rFonts w:asciiTheme="minorEastAsia" w:hAnsiTheme="minorEastAsia" w:eastAsiaTheme="minorEastAsia" w:cstheme="minorEastAsia"/>
          <w:color w:val="auto"/>
          <w:szCs w:val="21"/>
          <w:highlight w:val="none"/>
        </w:rPr>
        <w:t>0571-89536419</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2.采购代理机构信息</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名    称：浙江省成套招标代理有限公司 </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址：杭州市文晖路42号现代置业大厦西楼17层1704室</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项目联系人（询问）：何颖楹</w:t>
      </w:r>
    </w:p>
    <w:p>
      <w:pPr>
        <w:spacing w:line="360" w:lineRule="auto"/>
        <w:ind w:firstLine="48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项目联系方式（询问）：1570007318</w:t>
      </w:r>
      <w:r>
        <w:rPr>
          <w:rFonts w:hint="eastAsia" w:asciiTheme="minorEastAsia" w:hAnsiTheme="minorEastAsia" w:eastAsiaTheme="minorEastAsia" w:cstheme="minorEastAsia"/>
          <w:color w:val="auto"/>
          <w:szCs w:val="21"/>
          <w:highlight w:val="none"/>
          <w:lang w:val="en-US" w:eastAsia="zh-CN"/>
        </w:rPr>
        <w:t>1</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质疑联系人：冯东东</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质疑联系方式：0571-87631297、0571-85331293</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3.同级政府采购监督管理部门</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名称：杭州市钱塘区财政局、浙江省政府采购行政裁决服务中心（杭州）</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地址：杭州市上城区四季青街道新业路市民之家G03办公室（快递仅限ems或顺丰）</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联系人：朱女士、王女士</w:t>
      </w:r>
    </w:p>
    <w:p>
      <w:pPr>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监督投诉电话：0571-85252453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pPr>
        <w:rPr>
          <w:color w:val="auto"/>
          <w:highlight w:val="none"/>
        </w:rPr>
      </w:pPr>
      <w:r>
        <w:rPr>
          <w:color w:val="auto"/>
          <w:highlight w:val="none"/>
        </w:rPr>
        <w:br w:type="page"/>
      </w:r>
    </w:p>
    <w:p>
      <w:pPr>
        <w:adjustRightInd/>
        <w:spacing w:line="360" w:lineRule="auto"/>
        <w:jc w:val="center"/>
        <w:outlineLvl w:val="0"/>
        <w:rPr>
          <w:rStyle w:val="282"/>
          <w:color w:val="auto"/>
          <w:highlight w:val="none"/>
        </w:rPr>
      </w:pPr>
      <w:bookmarkStart w:id="13" w:name="_Toc6177"/>
      <w:r>
        <w:rPr>
          <w:rStyle w:val="282"/>
          <w:rFonts w:hint="eastAsia"/>
          <w:color w:val="auto"/>
          <w:highlight w:val="none"/>
        </w:rPr>
        <w:t>第二部分</w:t>
      </w:r>
      <w:bookmarkEnd w:id="8"/>
      <w:r>
        <w:rPr>
          <w:rStyle w:val="282"/>
          <w:rFonts w:hint="eastAsia"/>
          <w:color w:val="auto"/>
          <w:highlight w:val="none"/>
        </w:rPr>
        <w:t xml:space="preserve"> 投标人须知</w:t>
      </w:r>
      <w:bookmarkEnd w:id="9"/>
      <w:bookmarkEnd w:id="13"/>
    </w:p>
    <w:p>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13"/>
        <w:gridCol w:w="1549"/>
        <w:gridCol w:w="6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13" w:type="dxa"/>
            <w:tcBorders>
              <w:tl2br w:val="nil"/>
              <w:tr2bl w:val="nil"/>
            </w:tcBorders>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549" w:type="dxa"/>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6898" w:type="dxa"/>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87" w:hRule="atLeast"/>
        </w:trPr>
        <w:tc>
          <w:tcPr>
            <w:tcW w:w="613" w:type="dxa"/>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549" w:type="dxa"/>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项目属性与核心产品</w:t>
            </w:r>
          </w:p>
        </w:tc>
        <w:tc>
          <w:tcPr>
            <w:tcW w:w="6898" w:type="dxa"/>
            <w:tcBorders>
              <w:tl2br w:val="nil"/>
              <w:tr2bl w:val="nil"/>
            </w:tcBorders>
            <w:vAlign w:val="center"/>
          </w:tcPr>
          <w:p>
            <w:pPr>
              <w:spacing w:line="360" w:lineRule="auto"/>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货物类，核心产品为：</w:t>
            </w:r>
            <w:r>
              <w:rPr>
                <w:rFonts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噪声智能监测</w:t>
            </w:r>
            <w:r>
              <w:rPr>
                <w:rFonts w:asciiTheme="minorEastAsia" w:hAnsiTheme="minorEastAsia" w:eastAsiaTheme="minorEastAsia" w:cstheme="minorEastAsia"/>
                <w:color w:val="auto"/>
                <w:szCs w:val="21"/>
                <w:highlight w:val="none"/>
                <w:u w:val="single"/>
              </w:rPr>
              <w:t xml:space="preserve">设备（高配） </w:t>
            </w:r>
            <w:r>
              <w:rPr>
                <w:rFonts w:hint="eastAsia" w:asciiTheme="minorEastAsia" w:hAnsiTheme="minorEastAsia" w:eastAsiaTheme="minorEastAsia" w:cstheme="minor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613" w:type="dxa"/>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549" w:type="dxa"/>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采购标的及其对应的中小企业划分标准所属行业</w:t>
            </w:r>
          </w:p>
        </w:tc>
        <w:tc>
          <w:tcPr>
            <w:tcW w:w="6898" w:type="dxa"/>
            <w:tcBorders>
              <w:tl2br w:val="nil"/>
              <w:tr2bl w:val="nil"/>
            </w:tcBorders>
            <w:vAlign w:val="center"/>
          </w:tcPr>
          <w:tbl>
            <w:tblPr>
              <w:tblStyle w:val="62"/>
              <w:tblW w:w="6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51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23"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标的序号</w:t>
                  </w:r>
                </w:p>
              </w:tc>
              <w:tc>
                <w:tcPr>
                  <w:tcW w:w="3514"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1362"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vAlign w:val="center"/>
                </w:tcPr>
                <w:p>
                  <w:pPr>
                    <w:numPr>
                      <w:ilvl w:val="0"/>
                      <w:numId w:val="1"/>
                    </w:numPr>
                    <w:spacing w:line="360" w:lineRule="auto"/>
                    <w:jc w:val="center"/>
                    <w:rPr>
                      <w:rFonts w:ascii="宋体" w:hAnsi="宋体" w:cs="宋体"/>
                      <w:color w:val="auto"/>
                      <w:szCs w:val="21"/>
                      <w:highlight w:val="none"/>
                    </w:rPr>
                  </w:pPr>
                  <w:bookmarkStart w:id="14" w:name="OLE_LINK3" w:colFirst="2" w:colLast="2"/>
                </w:p>
              </w:tc>
              <w:tc>
                <w:tcPr>
                  <w:tcW w:w="351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噪声智能监测设备（高配）</w:t>
                  </w:r>
                </w:p>
              </w:tc>
              <w:tc>
                <w:tcPr>
                  <w:tcW w:w="1362" w:type="dxa"/>
                  <w:vAlign w:val="center"/>
                </w:tcPr>
                <w:p>
                  <w:pPr>
                    <w:spacing w:line="360" w:lineRule="auto"/>
                    <w:jc w:val="center"/>
                    <w:rPr>
                      <w:rFonts w:ascii="宋体" w:hAnsi="宋体" w:cs="宋体"/>
                      <w:color w:val="auto"/>
                      <w:szCs w:val="21"/>
                      <w:highlight w:val="none"/>
                    </w:rPr>
                  </w:pPr>
                  <w:bookmarkStart w:id="15" w:name="OLE_LINK2"/>
                  <w:r>
                    <w:rPr>
                      <w:rFonts w:hint="eastAsia" w:ascii="宋体" w:hAnsi="宋体" w:cs="宋体"/>
                      <w:color w:val="auto"/>
                      <w:szCs w:val="21"/>
                      <w:highlight w:val="none"/>
                    </w:rPr>
                    <w:t>工业</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vAlign w:val="center"/>
                </w:tcPr>
                <w:p>
                  <w:pPr>
                    <w:numPr>
                      <w:ilvl w:val="0"/>
                      <w:numId w:val="1"/>
                    </w:numPr>
                    <w:spacing w:line="360" w:lineRule="auto"/>
                    <w:jc w:val="center"/>
                    <w:rPr>
                      <w:rFonts w:ascii="宋体" w:hAnsi="宋体" w:cs="宋体"/>
                      <w:color w:val="auto"/>
                      <w:szCs w:val="21"/>
                      <w:highlight w:val="none"/>
                    </w:rPr>
                  </w:pPr>
                </w:p>
              </w:tc>
              <w:tc>
                <w:tcPr>
                  <w:tcW w:w="351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噪声自动监测设备（标配）</w:t>
                  </w:r>
                </w:p>
              </w:tc>
              <w:tc>
                <w:tcPr>
                  <w:tcW w:w="136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工业</w:t>
                  </w:r>
                </w:p>
              </w:tc>
            </w:tr>
            <w:bookmarkEnd w:id="14"/>
          </w:tbl>
          <w:p>
            <w:pPr>
              <w:spacing w:line="360" w:lineRule="auto"/>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613" w:type="dxa"/>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549" w:type="dxa"/>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6898" w:type="dxa"/>
            <w:tcBorders>
              <w:tl2br w:val="nil"/>
              <w:tr2bl w:val="nil"/>
            </w:tcBorders>
            <w:vAlign w:val="center"/>
          </w:tcPr>
          <w:p>
            <w:pPr>
              <w:spacing w:line="360" w:lineRule="auto"/>
              <w:rPr>
                <w:rFonts w:asciiTheme="minorEastAsia" w:hAnsiTheme="minorEastAsia" w:eastAsiaTheme="minorEastAsia" w:cstheme="minorEastAsia"/>
                <w:color w:val="auto"/>
                <w:kern w:val="0"/>
                <w:szCs w:val="21"/>
                <w:highlight w:val="none"/>
              </w:rPr>
            </w:pPr>
            <w:sdt>
              <w:sdtPr>
                <w:rPr>
                  <w:rFonts w:hint="eastAsia" w:asciiTheme="minorEastAsia" w:hAnsiTheme="minorEastAsia" w:eastAsiaTheme="minorEastAsia" w:cstheme="minorEastAsia"/>
                  <w:color w:val="auto"/>
                  <w:kern w:val="0"/>
                  <w:szCs w:val="21"/>
                  <w:highlight w:val="none"/>
                </w:rPr>
                <w:id w:val="147469472"/>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sym w:font="Wingdings" w:char="F0FE"/>
                </w:r>
              </w:sdtContent>
            </w:sdt>
            <w:r>
              <w:rPr>
                <w:rFonts w:hint="eastAsia" w:asciiTheme="minorEastAsia" w:hAnsiTheme="minorEastAsia" w:eastAsiaTheme="minorEastAsia" w:cstheme="minorEastAsia"/>
                <w:color w:val="auto"/>
                <w:kern w:val="0"/>
                <w:szCs w:val="21"/>
                <w:highlight w:val="none"/>
              </w:rPr>
              <w:t>本项目不允许采购进口产品。</w:t>
            </w:r>
          </w:p>
          <w:p>
            <w:pPr>
              <w:spacing w:line="360" w:lineRule="auto"/>
              <w:rPr>
                <w:rFonts w:ascii="宋体" w:hAnsi="宋体" w:cs="宋体"/>
                <w:color w:val="auto"/>
                <w:szCs w:val="21"/>
                <w:highlight w:val="none"/>
              </w:rPr>
            </w:pPr>
            <w:sdt>
              <w:sdtPr>
                <w:rPr>
                  <w:rFonts w:hint="eastAsia" w:asciiTheme="minorEastAsia" w:hAnsiTheme="minorEastAsia" w:eastAsiaTheme="minorEastAsia" w:cstheme="minorEastAsia"/>
                  <w:color w:val="auto"/>
                  <w:kern w:val="0"/>
                  <w:szCs w:val="21"/>
                  <w:highlight w:val="none"/>
                </w:rPr>
                <w:id w:val="58658261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可以就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01" w:hRule="atLeast"/>
        </w:trPr>
        <w:tc>
          <w:tcPr>
            <w:tcW w:w="613" w:type="dxa"/>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549" w:type="dxa"/>
            <w:tcBorders>
              <w:tl2br w:val="nil"/>
              <w:tr2bl w:val="nil"/>
            </w:tcBorders>
            <w:vAlign w:val="center"/>
          </w:tcPr>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分包</w:t>
            </w:r>
          </w:p>
        </w:tc>
        <w:tc>
          <w:tcPr>
            <w:tcW w:w="6898" w:type="dxa"/>
            <w:tcBorders>
              <w:tl2br w:val="nil"/>
              <w:tr2bl w:val="nil"/>
            </w:tcBorders>
            <w:vAlign w:val="center"/>
          </w:tcPr>
          <w:p>
            <w:pPr>
              <w:spacing w:line="360" w:lineRule="auto"/>
              <w:rPr>
                <w:rFonts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14748147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ascii="Wingdings" w:hAnsi="Wingdings"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 xml:space="preserve"> A</w:t>
            </w:r>
            <w:r>
              <w:rPr>
                <w:rFonts w:hint="eastAsia" w:asciiTheme="minorEastAsia" w:hAnsiTheme="minorEastAsia" w:eastAsiaTheme="minorEastAsia" w:cstheme="minorEastAsia"/>
                <w:color w:val="auto"/>
                <w:szCs w:val="21"/>
                <w:highlight w:val="none"/>
              </w:rPr>
              <w:t>同意将非主体、非关键性的工作分包。</w:t>
            </w:r>
          </w:p>
          <w:p>
            <w:pPr>
              <w:spacing w:line="360" w:lineRule="auto"/>
              <w:rPr>
                <w:rFonts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14745673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ascii="MS Gothic" w:hAnsi="MS Gothic"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 xml:space="preserve"> B</w:t>
            </w:r>
            <w:r>
              <w:rPr>
                <w:rFonts w:hint="eastAsia" w:asciiTheme="minorEastAsia" w:hAnsiTheme="minorEastAsia" w:eastAsiaTheme="minorEastAsia" w:cstheme="minorEastAsia"/>
                <w:color w:val="auto"/>
                <w:szCs w:val="21"/>
                <w:highlight w:val="none"/>
              </w:rPr>
              <w:t>不同意分包。</w:t>
            </w:r>
          </w:p>
          <w:p>
            <w:pPr>
              <w:spacing w:line="360" w:lineRule="auto"/>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注：不得限制大中型企业向小微企业合理分包。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0" w:hRule="atLeast"/>
        </w:trPr>
        <w:tc>
          <w:tcPr>
            <w:tcW w:w="613" w:type="dxa"/>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549" w:type="dxa"/>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6898" w:type="dxa"/>
            <w:tcBorders>
              <w:tl2br w:val="nil"/>
              <w:tr2bl w:val="nil"/>
            </w:tcBorders>
            <w:vAlign w:val="center"/>
          </w:tcPr>
          <w:p>
            <w:pPr>
              <w:spacing w:line="360" w:lineRule="auto"/>
              <w:rPr>
                <w:rFonts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2020429600"/>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sym w:font="Wingdings" w:char="F0FE"/>
                </w:r>
              </w:sdtContent>
            </w:sdt>
            <w:r>
              <w:rPr>
                <w:rFonts w:hint="eastAsia" w:asciiTheme="minorEastAsia" w:hAnsiTheme="minorEastAsia" w:eastAsiaTheme="minorEastAsia" w:cstheme="minorEastAsia"/>
                <w:color w:val="auto"/>
                <w:kern w:val="0"/>
                <w:szCs w:val="21"/>
                <w:highlight w:val="none"/>
              </w:rPr>
              <w:t>A</w:t>
            </w:r>
            <w:r>
              <w:rPr>
                <w:rFonts w:hint="eastAsia" w:asciiTheme="minorEastAsia" w:hAnsiTheme="minorEastAsia" w:eastAsiaTheme="minorEastAsia" w:cstheme="minorEastAsia"/>
                <w:color w:val="auto"/>
                <w:szCs w:val="21"/>
                <w:highlight w:val="none"/>
              </w:rPr>
              <w:t>不组织。</w:t>
            </w:r>
          </w:p>
          <w:p>
            <w:pPr>
              <w:spacing w:line="360" w:lineRule="auto"/>
              <w:rPr>
                <w:rFonts w:ascii="宋体" w:hAnsi="宋体" w:cs="宋体"/>
                <w:color w:val="auto"/>
                <w:szCs w:val="21"/>
                <w:highlight w:val="none"/>
              </w:rPr>
            </w:pPr>
            <w:sdt>
              <w:sdtPr>
                <w:rPr>
                  <w:rFonts w:hint="eastAsia" w:asciiTheme="minorEastAsia" w:hAnsiTheme="minorEastAsia" w:eastAsiaTheme="minorEastAsia" w:cstheme="minorEastAsia"/>
                  <w:color w:val="auto"/>
                  <w:kern w:val="0"/>
                  <w:szCs w:val="21"/>
                  <w:highlight w:val="none"/>
                </w:rPr>
                <w:id w:val="14746925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B组织，</w:t>
            </w: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,地点：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，联系方式：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618" w:hRule="atLeast"/>
        </w:trPr>
        <w:tc>
          <w:tcPr>
            <w:tcW w:w="613" w:type="dxa"/>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549" w:type="dxa"/>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样品提供</w:t>
            </w:r>
          </w:p>
        </w:tc>
        <w:tc>
          <w:tcPr>
            <w:tcW w:w="6898" w:type="dxa"/>
            <w:tcBorders>
              <w:tl2br w:val="nil"/>
              <w:tr2bl w:val="nil"/>
            </w:tcBorders>
            <w:vAlign w:val="center"/>
          </w:tcPr>
          <w:p>
            <w:pPr>
              <w:spacing w:line="360" w:lineRule="auto"/>
              <w:rPr>
                <w:rFonts w:ascii="宋体" w:hAnsi="宋体" w:cs="宋体"/>
                <w:color w:val="auto"/>
                <w:szCs w:val="21"/>
                <w:highlight w:val="none"/>
              </w:rPr>
            </w:pPr>
            <w:sdt>
              <w:sdtPr>
                <w:rPr>
                  <w:rFonts w:hint="eastAsia" w:ascii="宋体" w:hAnsi="宋体" w:cs="宋体"/>
                  <w:color w:val="auto"/>
                  <w:kern w:val="0"/>
                  <w:szCs w:val="21"/>
                  <w:highlight w:val="none"/>
                </w:rPr>
                <w:id w:val="147454737"/>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pPr>
              <w:spacing w:line="360" w:lineRule="auto"/>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MS Gothic" w:cs="宋体"/>
                    <w:color w:val="auto"/>
                    <w:kern w:val="0"/>
                    <w:szCs w:val="21"/>
                    <w:highlight w:val="none"/>
                  </w:rPr>
                  <w:t>☐</w:t>
                </w:r>
              </w:sdtContent>
            </w:sdt>
            <w:r>
              <w:rPr>
                <w:rFonts w:hint="eastAsia" w:ascii="宋体" w:hAnsi="宋体" w:cs="宋体"/>
                <w:color w:val="auto"/>
                <w:kern w:val="0"/>
                <w:szCs w:val="21"/>
                <w:highlight w:val="none"/>
              </w:rPr>
              <w:t>B要求提供，</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snapToGrid w:val="0"/>
                <w:color w:val="auto"/>
                <w:kern w:val="28"/>
                <w:szCs w:val="21"/>
                <w:highlight w:val="none"/>
                <w:u w:val="single"/>
              </w:rPr>
              <w:t>详见 第三部分 采购需求</w:t>
            </w:r>
            <w:r>
              <w:rPr>
                <w:rFonts w:hint="eastAsia" w:ascii="宋体" w:hAnsi="宋体" w:cs="宋体"/>
                <w:color w:val="auto"/>
                <w:kern w:val="0"/>
                <w:szCs w:val="21"/>
                <w:highlight w:val="none"/>
              </w:rPr>
              <w:t>；</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w:t>
            </w:r>
            <w:r>
              <w:rPr>
                <w:rFonts w:hint="eastAsia" w:ascii="宋体" w:hAnsi="宋体" w:cs="宋体"/>
                <w:snapToGrid w:val="0"/>
                <w:color w:val="auto"/>
                <w:kern w:val="28"/>
                <w:szCs w:val="21"/>
                <w:highlight w:val="none"/>
                <w:u w:val="single"/>
              </w:rPr>
              <w:t>详见 第三部分 采购需求</w:t>
            </w:r>
            <w:r>
              <w:rPr>
                <w:rFonts w:hint="eastAsia" w:ascii="宋体" w:hAnsi="宋体" w:cs="宋体"/>
                <w:color w:val="auto"/>
                <w:kern w:val="0"/>
                <w:szCs w:val="21"/>
                <w:highlight w:val="none"/>
              </w:rPr>
              <w:t>；</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MS Gothic" w:cs="宋体"/>
                    <w:color w:val="auto"/>
                    <w:kern w:val="0"/>
                    <w:szCs w:val="21"/>
                    <w:highlight w:val="none"/>
                  </w:rPr>
                  <w:t></w:t>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 xml:space="preserve"> 投标截止时间前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何颖楹 </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 xml:space="preserve"> 15700073181 </w:t>
            </w:r>
            <w:r>
              <w:rPr>
                <w:rFonts w:hint="eastAsia" w:ascii="宋体" w:hAnsi="宋体" w:cs="宋体"/>
                <w:color w:val="auto"/>
                <w:szCs w:val="21"/>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（7）制作、运输、安装和保管样品所发生的一切费用由投标人自理。</w:t>
            </w:r>
          </w:p>
          <w:p>
            <w:pPr>
              <w:spacing w:line="360" w:lineRule="auto"/>
              <w:rPr>
                <w:rFonts w:ascii="宋体" w:hAnsi="宋体" w:cs="宋体"/>
                <w:b/>
                <w:color w:val="auto"/>
                <w:szCs w:val="21"/>
                <w:highlight w:val="none"/>
              </w:rPr>
            </w:pPr>
            <w:r>
              <w:rPr>
                <w:rFonts w:hint="eastAsia" w:ascii="宋体" w:hAnsi="宋体" w:cs="宋体"/>
                <w:b/>
                <w:bCs/>
                <w:color w:val="auto"/>
                <w:szCs w:val="21"/>
                <w:highlight w:val="none"/>
                <w:u w:val="single"/>
              </w:rPr>
              <w:t>（8）未提供样品或提供样品不满足采购需求实质性条件的供应商，</w:t>
            </w:r>
            <w:r>
              <w:rPr>
                <w:rFonts w:hint="eastAsia" w:ascii="宋体" w:hAnsi="宋体" w:cs="宋体"/>
                <w:b/>
                <w:bCs/>
                <w:color w:val="auto"/>
                <w:szCs w:val="21"/>
                <w:highlight w:val="none"/>
                <w:u w:val="single"/>
                <w:lang w:val="zh-CN"/>
              </w:rPr>
              <w:t>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9" w:hRule="atLeast"/>
        </w:trPr>
        <w:tc>
          <w:tcPr>
            <w:tcW w:w="613" w:type="dxa"/>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549" w:type="dxa"/>
            <w:tcBorders>
              <w:tl2br w:val="nil"/>
              <w:tr2bl w:val="nil"/>
            </w:tcBorders>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
                <w:color w:val="auto"/>
                <w:szCs w:val="21"/>
                <w:highlight w:val="none"/>
              </w:rPr>
              <w:t>方案讲解演示</w:t>
            </w:r>
          </w:p>
        </w:tc>
        <w:tc>
          <w:tcPr>
            <w:tcW w:w="6898" w:type="dxa"/>
            <w:tcBorders>
              <w:tl2br w:val="nil"/>
              <w:tr2bl w:val="nil"/>
            </w:tcBorders>
            <w:vAlign w:val="center"/>
          </w:tcPr>
          <w:p>
            <w:pPr>
              <w:spacing w:line="360" w:lineRule="auto"/>
              <w:rPr>
                <w:rFonts w:ascii="宋体" w:hAnsi="宋体" w:cs="宋体"/>
                <w:color w:val="auto"/>
                <w:szCs w:val="21"/>
                <w:highlight w:val="none"/>
              </w:rPr>
            </w:pPr>
            <w:sdt>
              <w:sdtPr>
                <w:rPr>
                  <w:rFonts w:hint="eastAsia" w:ascii="宋体" w:hAnsi="宋体" w:cs="宋体"/>
                  <w:color w:val="auto"/>
                  <w:kern w:val="0"/>
                  <w:szCs w:val="21"/>
                  <w:highlight w:val="none"/>
                </w:rPr>
                <w:id w:val="1460379949"/>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MS Gothic"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pPr>
              <w:spacing w:line="360" w:lineRule="auto"/>
              <w:rPr>
                <w:rFonts w:ascii="宋体" w:hAnsi="宋体" w:cs="宋体"/>
                <w:color w:val="auto"/>
                <w:kern w:val="0"/>
                <w:szCs w:val="21"/>
                <w:highlight w:val="none"/>
              </w:rPr>
            </w:pPr>
            <w:sdt>
              <w:sdtPr>
                <w:rPr>
                  <w:rFonts w:hint="eastAsia" w:ascii="宋体" w:hAnsi="宋体" w:cs="宋体"/>
                  <w:color w:val="auto"/>
                  <w:kern w:val="0"/>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（2）方案讲解演示可选择以下其中一种方式：</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方式二：交易中心现场讲解演示。现场讲解地点为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Cs w:val="21"/>
                <w:highlight w:val="none"/>
                <w:lang w:val="zh-CN"/>
              </w:rPr>
            </w:pPr>
            <w:r>
              <w:rPr>
                <w:rFonts w:hint="eastAsia" w:ascii="宋体" w:hAnsi="宋体" w:cs="宋体"/>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rPr>
        <w:tc>
          <w:tcPr>
            <w:tcW w:w="613" w:type="dxa"/>
            <w:vMerge w:val="restart"/>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549" w:type="dxa"/>
            <w:vMerge w:val="restart"/>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投标人应当提供的资格、资信证明文件</w:t>
            </w:r>
          </w:p>
        </w:tc>
        <w:tc>
          <w:tcPr>
            <w:tcW w:w="6898"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70" w:hRule="atLeast"/>
        </w:trPr>
        <w:tc>
          <w:tcPr>
            <w:tcW w:w="613" w:type="dxa"/>
            <w:vMerge w:val="continue"/>
            <w:tcBorders>
              <w:tl2br w:val="nil"/>
              <w:tr2bl w:val="nil"/>
            </w:tcBorders>
          </w:tcPr>
          <w:p>
            <w:pPr>
              <w:snapToGrid w:val="0"/>
              <w:spacing w:line="360" w:lineRule="auto"/>
              <w:jc w:val="center"/>
              <w:rPr>
                <w:rFonts w:ascii="宋体" w:hAnsi="宋体" w:cs="宋体"/>
                <w:color w:val="auto"/>
                <w:szCs w:val="21"/>
                <w:highlight w:val="none"/>
              </w:rPr>
            </w:pPr>
          </w:p>
        </w:tc>
        <w:tc>
          <w:tcPr>
            <w:tcW w:w="1549" w:type="dxa"/>
            <w:vMerge w:val="continue"/>
            <w:tcBorders>
              <w:tl2br w:val="nil"/>
              <w:tr2bl w:val="nil"/>
            </w:tcBorders>
            <w:vAlign w:val="center"/>
          </w:tcPr>
          <w:p>
            <w:pPr>
              <w:snapToGrid w:val="0"/>
              <w:spacing w:line="360" w:lineRule="auto"/>
              <w:jc w:val="center"/>
              <w:rPr>
                <w:rFonts w:ascii="宋体" w:hAnsi="宋体" w:cs="宋体"/>
                <w:b/>
                <w:color w:val="auto"/>
                <w:szCs w:val="21"/>
                <w:highlight w:val="none"/>
              </w:rPr>
            </w:pPr>
          </w:p>
        </w:tc>
        <w:tc>
          <w:tcPr>
            <w:tcW w:w="6898"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（2）资信证明文件：根据招标文件第四部分评标标准提供。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rPr>
        <w:tc>
          <w:tcPr>
            <w:tcW w:w="613" w:type="dxa"/>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549" w:type="dxa"/>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6898" w:type="dxa"/>
            <w:tcBorders>
              <w:tl2br w:val="nil"/>
              <w:tr2bl w:val="nil"/>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rPr>
        <w:tc>
          <w:tcPr>
            <w:tcW w:w="613" w:type="dxa"/>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549" w:type="dxa"/>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6898" w:type="dxa"/>
            <w:tcBorders>
              <w:tl2br w:val="nil"/>
              <w:tr2bl w:val="nil"/>
            </w:tcBorders>
            <w:vAlign w:val="center"/>
          </w:tcPr>
          <w:p>
            <w:pPr>
              <w:snapToGrid w:val="0"/>
              <w:spacing w:line="360" w:lineRule="auto"/>
              <w:jc w:val="left"/>
              <w:rPr>
                <w:rFonts w:ascii="宋体" w:hAnsi="宋体" w:cs="宋体"/>
                <w:b/>
                <w:color w:val="auto"/>
                <w:kern w:val="0"/>
                <w:szCs w:val="21"/>
                <w:highlight w:val="none"/>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b/>
                <w:bCs/>
                <w:color w:val="auto"/>
                <w:kern w:val="0"/>
                <w:szCs w:val="21"/>
                <w:highlight w:val="none"/>
                <w:lang w:val="zh-CN"/>
              </w:rPr>
              <w:t>投标文件</w:t>
            </w:r>
            <w:r>
              <w:rPr>
                <w:rFonts w:hint="eastAsia" w:ascii="宋体" w:hAnsi="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cs="宋体"/>
                <w:b/>
                <w:color w:val="auto"/>
                <w:kern w:val="0"/>
                <w:szCs w:val="21"/>
                <w:highlight w:val="none"/>
                <w:lang w:val="zh-CN"/>
              </w:rPr>
              <w:t>提醒：</w:t>
            </w:r>
            <w:r>
              <w:rPr>
                <w:rFonts w:ascii="宋体" w:hAnsi="宋体" w:cs="宋体"/>
                <w:b/>
                <w:color w:val="auto"/>
                <w:kern w:val="0"/>
                <w:szCs w:val="21"/>
                <w:highlight w:val="none"/>
              </w:rPr>
              <w:t>1.</w:t>
            </w:r>
            <w:r>
              <w:rPr>
                <w:rFonts w:hint="eastAsia" w:ascii="宋体" w:hAnsi="宋体" w:cs="宋体"/>
                <w:b/>
                <w:color w:val="auto"/>
                <w:kern w:val="0"/>
                <w:szCs w:val="21"/>
                <w:highlight w:val="none"/>
                <w:lang w:val="zh-CN"/>
              </w:rPr>
              <w:t>验收费用由采购人承担，不包含在投标总价中。</w:t>
            </w:r>
            <w:r>
              <w:rPr>
                <w:rFonts w:ascii="宋体" w:hAnsi="宋体" w:cs="宋体"/>
                <w:b/>
                <w:color w:val="auto"/>
                <w:kern w:val="0"/>
                <w:szCs w:val="21"/>
                <w:highlight w:val="none"/>
              </w:rPr>
              <w:t>2.供应商报价低于项目预算50%的，应当在报价文件中详细阐述不影响产品质量或者诚信履约的具体原因。</w:t>
            </w:r>
          </w:p>
          <w:p>
            <w:pPr>
              <w:snapToGrid w:val="0"/>
              <w:spacing w:line="360" w:lineRule="auto"/>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pPr>
              <w:snapToGrid w:val="0"/>
              <w:spacing w:line="360" w:lineRule="auto"/>
              <w:ind w:firstLine="422" w:firstLineChars="2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pPr>
              <w:snapToGrid w:val="0"/>
              <w:spacing w:line="360" w:lineRule="auto"/>
              <w:ind w:firstLine="422" w:firstLineChars="200"/>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rPr>
        <w:tc>
          <w:tcPr>
            <w:tcW w:w="613" w:type="dxa"/>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549" w:type="dxa"/>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推荐中标候选人数量</w:t>
            </w:r>
          </w:p>
        </w:tc>
        <w:tc>
          <w:tcPr>
            <w:tcW w:w="6898" w:type="dxa"/>
            <w:tcBorders>
              <w:tl2br w:val="nil"/>
              <w:tr2bl w:val="nil"/>
            </w:tcBorders>
            <w:vAlign w:val="center"/>
          </w:tcPr>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推荐1名中标候选人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38" w:hRule="atLeast"/>
        </w:trPr>
        <w:tc>
          <w:tcPr>
            <w:tcW w:w="613" w:type="dxa"/>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1549" w:type="dxa"/>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中小企业信用融资</w:t>
            </w:r>
          </w:p>
        </w:tc>
        <w:tc>
          <w:tcPr>
            <w:tcW w:w="6898"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区管理委员会官网（http://qt.hangzhou.gov.cn） “公告公示”专栏，查看信用融资政策文件及各相关银行服务方案。</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592" w:hRule="atLeast"/>
        </w:trPr>
        <w:tc>
          <w:tcPr>
            <w:tcW w:w="613" w:type="dxa"/>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1549" w:type="dxa"/>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 xml:space="preserve">备份投标文件送达地点和签收人员 </w:t>
            </w:r>
          </w:p>
        </w:tc>
        <w:tc>
          <w:tcPr>
            <w:tcW w:w="6898" w:type="dxa"/>
            <w:tcBorders>
              <w:tl2br w:val="nil"/>
              <w:tr2bl w:val="nil"/>
            </w:tcBorders>
            <w:vAlign w:val="center"/>
          </w:tcPr>
          <w:p>
            <w:pPr>
              <w:pStyle w:val="34"/>
              <w:spacing w:after="120" w:line="360" w:lineRule="auto"/>
              <w:rPr>
                <w:rFonts w:hAnsi="宋体" w:cs="宋体"/>
                <w:color w:val="auto"/>
                <w:kern w:val="28"/>
                <w:highlight w:val="none"/>
              </w:rPr>
            </w:pPr>
            <w:r>
              <w:rPr>
                <w:rFonts w:hint="eastAsia" w:hAnsi="宋体" w:cs="宋体"/>
                <w:color w:val="auto"/>
                <w:kern w:val="28"/>
                <w:highlight w:val="none"/>
              </w:rPr>
              <w:t>备份投标文件送达地点：</w:t>
            </w:r>
            <w:r>
              <w:rPr>
                <w:rFonts w:hint="eastAsia" w:hAnsi="宋体" w:cs="宋体"/>
                <w:color w:val="auto"/>
                <w:highlight w:val="none"/>
                <w:u w:val="single"/>
              </w:rPr>
              <w:t>杭州市文晖路42号现代置业大厦西楼17楼1704室</w:t>
            </w:r>
            <w:r>
              <w:rPr>
                <w:rFonts w:hint="eastAsia" w:hAnsi="宋体" w:cs="宋体"/>
                <w:color w:val="auto"/>
                <w:kern w:val="28"/>
                <w:highlight w:val="none"/>
              </w:rPr>
              <w:t>；备份文件如开标当天送达地址为：</w:t>
            </w:r>
            <w:r>
              <w:rPr>
                <w:rFonts w:hint="eastAsia" w:hAnsi="宋体" w:cs="宋体"/>
                <w:color w:val="auto"/>
                <w:kern w:val="28"/>
                <w:highlight w:val="none"/>
                <w:u w:val="single"/>
              </w:rPr>
              <w:t xml:space="preserve">杭州钱塘区金沙大道600号东楼六楼     </w:t>
            </w:r>
            <w:r>
              <w:rPr>
                <w:rFonts w:hint="eastAsia" w:hAnsi="宋体" w:cs="宋体"/>
                <w:color w:val="auto"/>
                <w:kern w:val="28"/>
                <w:highlight w:val="none"/>
                <w:u w:val="single"/>
                <w:lang w:val="en-US" w:eastAsia="zh-CN"/>
              </w:rPr>
              <w:t>5</w:t>
            </w:r>
            <w:r>
              <w:rPr>
                <w:rFonts w:hint="eastAsia" w:hAnsi="宋体" w:cs="宋体"/>
                <w:color w:val="auto"/>
                <w:kern w:val="28"/>
                <w:highlight w:val="none"/>
                <w:u w:val="single"/>
              </w:rPr>
              <w:t>号开标室</w:t>
            </w:r>
            <w:r>
              <w:rPr>
                <w:rFonts w:hint="eastAsia" w:hAnsi="宋体" w:cs="宋体"/>
                <w:color w:val="auto"/>
                <w:kern w:val="28"/>
                <w:highlight w:val="none"/>
              </w:rPr>
              <w:t>；备份投标文件签收人员联系电话：</w:t>
            </w:r>
            <w:r>
              <w:rPr>
                <w:rFonts w:hint="eastAsia" w:hAnsi="宋体" w:cs="宋体"/>
                <w:color w:val="auto"/>
                <w:kern w:val="28"/>
                <w:highlight w:val="none"/>
                <w:u w:val="single"/>
              </w:rPr>
              <w:t>何颖楹，15700073181</w:t>
            </w:r>
            <w:r>
              <w:rPr>
                <w:rFonts w:hint="eastAsia" w:hAnsi="宋体" w:cs="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rPr>
        <w:tc>
          <w:tcPr>
            <w:tcW w:w="613" w:type="dxa"/>
            <w:vMerge w:val="restart"/>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4</w:t>
            </w:r>
          </w:p>
        </w:tc>
        <w:tc>
          <w:tcPr>
            <w:tcW w:w="1549" w:type="dxa"/>
            <w:vMerge w:val="restart"/>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cs="仿宋_GB2312" w:asciiTheme="minorEastAsia" w:hAnsiTheme="minorEastAsia" w:eastAsiaTheme="minorEastAsia"/>
                <w:b/>
                <w:color w:val="auto"/>
                <w:szCs w:val="21"/>
                <w:highlight w:val="none"/>
              </w:rPr>
              <w:t>特别说明</w:t>
            </w:r>
          </w:p>
        </w:tc>
        <w:tc>
          <w:tcPr>
            <w:tcW w:w="6898" w:type="dxa"/>
            <w:tcBorders>
              <w:tl2br w:val="nil"/>
              <w:tr2bl w:val="nil"/>
            </w:tcBorders>
            <w:vAlign w:val="center"/>
          </w:tcPr>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联合体投标的，联合体各方分别提供与联合体协议中规定的分工内容相应的业绩证明材料，业绩数量以提供材料较少的一方为准。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rPr>
        <w:tc>
          <w:tcPr>
            <w:tcW w:w="613" w:type="dxa"/>
            <w:vMerge w:val="continue"/>
            <w:tcBorders>
              <w:tl2br w:val="nil"/>
              <w:tr2bl w:val="nil"/>
            </w:tcBorders>
            <w:vAlign w:val="center"/>
          </w:tcPr>
          <w:p>
            <w:pPr>
              <w:snapToGrid w:val="0"/>
              <w:spacing w:line="360" w:lineRule="auto"/>
              <w:jc w:val="center"/>
              <w:rPr>
                <w:rFonts w:ascii="宋体" w:hAnsi="宋体" w:cs="宋体"/>
                <w:color w:val="auto"/>
                <w:szCs w:val="21"/>
                <w:highlight w:val="none"/>
              </w:rPr>
            </w:pPr>
          </w:p>
        </w:tc>
        <w:tc>
          <w:tcPr>
            <w:tcW w:w="1549" w:type="dxa"/>
            <w:vMerge w:val="continue"/>
            <w:tcBorders>
              <w:tl2br w:val="nil"/>
              <w:tr2bl w:val="nil"/>
            </w:tcBorders>
            <w:vAlign w:val="center"/>
          </w:tcPr>
          <w:p>
            <w:pPr>
              <w:snapToGrid w:val="0"/>
              <w:spacing w:line="360" w:lineRule="auto"/>
              <w:jc w:val="center"/>
              <w:rPr>
                <w:rFonts w:ascii="宋体" w:hAnsi="宋体" w:cs="宋体"/>
                <w:b/>
                <w:color w:val="auto"/>
                <w:szCs w:val="21"/>
                <w:highlight w:val="none"/>
              </w:rPr>
            </w:pPr>
          </w:p>
        </w:tc>
        <w:tc>
          <w:tcPr>
            <w:tcW w:w="6898" w:type="dxa"/>
            <w:tcBorders>
              <w:tl2br w:val="nil"/>
              <w:tr2bl w:val="nil"/>
            </w:tcBorders>
            <w:vAlign w:val="center"/>
          </w:tcPr>
          <w:p>
            <w:pPr>
              <w:spacing w:line="360" w:lineRule="auto"/>
              <w:rPr>
                <w:rFonts w:ascii="宋体" w:hAnsi="宋体" w:cs="宋体"/>
                <w:snapToGrid w:val="0"/>
                <w:color w:val="auto"/>
                <w:kern w:val="28"/>
                <w:szCs w:val="21"/>
                <w:highlight w:val="none"/>
              </w:rPr>
            </w:pPr>
            <w:sdt>
              <w:sdtPr>
                <w:rPr>
                  <w:rFonts w:hint="eastAsia" w:cs="Arial" w:asciiTheme="minorEastAsia" w:hAnsiTheme="minorEastAsia" w:eastAsiaTheme="minorEastAsia"/>
                  <w:color w:val="auto"/>
                  <w:kern w:val="0"/>
                  <w:szCs w:val="21"/>
                  <w:highlight w:val="none"/>
                </w:rPr>
                <w:id w:val="14747310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Cs w:val="21"/>
                  <w:highlight w:val="none"/>
                </w:rPr>
              </w:sdtEndPr>
              <w:sdtContent>
                <w:r>
                  <w:rPr>
                    <w:rFonts w:hint="eastAsia" w:ascii="MS Mincho" w:hAnsi="MS Mincho" w:eastAsia="MS Mincho" w:cs="MS Mincho"/>
                    <w:color w:val="auto"/>
                    <w:kern w:val="0"/>
                    <w:szCs w:val="21"/>
                    <w:highlight w:val="none"/>
                  </w:rPr>
                  <w:t>☐</w:t>
                </w:r>
              </w:sdtContent>
            </w:sdt>
            <w:r>
              <w:rPr>
                <w:rFonts w:hint="eastAsia" w:ascii="宋体" w:hAnsi="宋体" w:cs="宋体"/>
                <w:snapToGrid w:val="0"/>
                <w:color w:val="auto"/>
                <w:kern w:val="28"/>
                <w:szCs w:val="21"/>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Cs w:val="21"/>
                <w:highlight w:val="none"/>
              </w:rPr>
            </w:pPr>
            <w:sdt>
              <w:sdtPr>
                <w:rPr>
                  <w:rFonts w:hint="eastAsia" w:cs="Arial" w:asciiTheme="minorEastAsia" w:hAnsiTheme="minorEastAsia" w:eastAsiaTheme="minorEastAsia"/>
                  <w:color w:val="auto"/>
                  <w:kern w:val="0"/>
                  <w:szCs w:val="21"/>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Cs w:val="21"/>
                  <w:highlight w:val="none"/>
                </w:rPr>
              </w:sdtEndPr>
              <w:sdtContent>
                <w:r>
                  <w:rPr>
                    <w:rFonts w:hint="eastAsia" w:cs="Arial" w:asciiTheme="minorEastAsia" w:hAnsiTheme="minorEastAsia" w:eastAsiaTheme="minorEastAsia"/>
                    <w:color w:val="auto"/>
                    <w:kern w:val="0"/>
                    <w:szCs w:val="21"/>
                    <w:highlight w:val="none"/>
                  </w:rPr>
                  <w:sym w:font="Wingdings" w:char="F0FE"/>
                </w:r>
              </w:sdtContent>
            </w:sdt>
            <w:r>
              <w:rPr>
                <w:rFonts w:hint="eastAsia" w:ascii="宋体" w:hAnsi="宋体" w:cs="宋体"/>
                <w:snapToGrid w:val="0"/>
                <w:color w:val="auto"/>
                <w:kern w:val="28"/>
                <w:szCs w:val="21"/>
                <w:highlight w:val="none"/>
              </w:rPr>
              <w:t>联合体投标的，联合体中有一方或者联合体成员根据分工按招标文件第四部分评标标准要求提供资信证明文件的，视为符合了相关要求。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rPr>
        <w:tc>
          <w:tcPr>
            <w:tcW w:w="613" w:type="dxa"/>
            <w:tcBorders>
              <w:tl2br w:val="nil"/>
              <w:tr2bl w:val="nil"/>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1549" w:type="dxa"/>
            <w:tcBorders>
              <w:tl2br w:val="nil"/>
              <w:tr2bl w:val="nil"/>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采购代理服务费</w:t>
            </w:r>
          </w:p>
        </w:tc>
        <w:tc>
          <w:tcPr>
            <w:tcW w:w="6898" w:type="dxa"/>
            <w:tcBorders>
              <w:tl2br w:val="nil"/>
              <w:tr2bl w:val="nil"/>
            </w:tcBorders>
            <w:vAlign w:val="center"/>
          </w:tcPr>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1、采购代理服务费：由中标（成交）供应商支付，受托人应在采购文件中明示代理费用收取方式及标准，随中标、成交结果一并公开本项目收费情况，包括具体收费标准及收费金额；</w:t>
            </w:r>
          </w:p>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2、收费标准或金额为：以中标金额为计算基数，按以下标准费率计算值的 9 折收取，</w:t>
            </w:r>
            <w:r>
              <w:rPr>
                <w:rFonts w:hint="eastAsia" w:cs="Arial"/>
                <w:color w:val="auto"/>
                <w:szCs w:val="21"/>
                <w:highlight w:val="none"/>
              </w:rPr>
              <w:t>不足8000元，按8000元收取</w:t>
            </w:r>
            <w:r>
              <w:rPr>
                <w:rFonts w:cs="Arial"/>
                <w:color w:val="auto"/>
                <w:szCs w:val="21"/>
                <w:highlight w:val="none"/>
              </w:rPr>
              <w:t>。</w:t>
            </w:r>
            <w:r>
              <w:rPr>
                <w:rFonts w:hint="eastAsia" w:ascii="宋体" w:hAnsi="宋体" w:cs="宋体"/>
                <w:snapToGrid w:val="0"/>
                <w:color w:val="auto"/>
                <w:kern w:val="28"/>
                <w:szCs w:val="21"/>
                <w:highlight w:val="none"/>
              </w:rPr>
              <w:t>费率标准如下：</w:t>
            </w:r>
          </w:p>
          <w:tbl>
            <w:tblPr>
              <w:tblStyle w:val="62"/>
              <w:tblW w:w="599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9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993" w:type="dxa"/>
                </w:tcPr>
                <w:p>
                  <w:pPr>
                    <w:spacing w:line="360" w:lineRule="auto"/>
                    <w:ind w:firstLine="420" w:firstLineChars="200"/>
                    <w:rPr>
                      <w:rFonts w:ascii="宋体" w:hAnsi="宋体" w:cs="宋体"/>
                      <w:snapToGrid w:val="0"/>
                      <w:color w:val="auto"/>
                      <w:kern w:val="28"/>
                      <w:szCs w:val="21"/>
                      <w:highlight w:val="none"/>
                    </w:rPr>
                  </w:pPr>
                </w:p>
                <w:tbl>
                  <w:tblPr>
                    <w:tblStyle w:val="62"/>
                    <w:tblW w:w="5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247"/>
                    <w:gridCol w:w="122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0" w:type="dxa"/>
                        <w:vAlign w:val="center"/>
                      </w:tcPr>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金额（万元）</w:t>
                        </w:r>
                      </w:p>
                    </w:tc>
                    <w:tc>
                      <w:tcPr>
                        <w:tcW w:w="1247" w:type="dxa"/>
                        <w:vAlign w:val="center"/>
                      </w:tcPr>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货物类费率</w:t>
                        </w:r>
                      </w:p>
                    </w:tc>
                    <w:tc>
                      <w:tcPr>
                        <w:tcW w:w="1225" w:type="dxa"/>
                        <w:vAlign w:val="center"/>
                      </w:tcPr>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服务类费率</w:t>
                        </w:r>
                      </w:p>
                    </w:tc>
                    <w:tc>
                      <w:tcPr>
                        <w:tcW w:w="1225" w:type="dxa"/>
                        <w:vAlign w:val="center"/>
                      </w:tcPr>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工程类费率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Align w:val="center"/>
                      </w:tcPr>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100以下部分</w:t>
                        </w:r>
                      </w:p>
                    </w:tc>
                    <w:tc>
                      <w:tcPr>
                        <w:tcW w:w="1247" w:type="dxa"/>
                        <w:vAlign w:val="center"/>
                      </w:tcPr>
                      <w:p>
                        <w:pPr>
                          <w:spacing w:line="360" w:lineRule="auto"/>
                          <w:jc w:val="center"/>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1.5%</w:t>
                        </w:r>
                      </w:p>
                    </w:tc>
                    <w:tc>
                      <w:tcPr>
                        <w:tcW w:w="1225" w:type="dxa"/>
                        <w:vAlign w:val="center"/>
                      </w:tcPr>
                      <w:p>
                        <w:pPr>
                          <w:spacing w:line="360" w:lineRule="auto"/>
                          <w:jc w:val="center"/>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1.5%</w:t>
                        </w:r>
                      </w:p>
                    </w:tc>
                    <w:tc>
                      <w:tcPr>
                        <w:tcW w:w="1225" w:type="dxa"/>
                        <w:vAlign w:val="center"/>
                      </w:tcPr>
                      <w:p>
                        <w:pPr>
                          <w:spacing w:line="360" w:lineRule="auto"/>
                          <w:jc w:val="center"/>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Align w:val="center"/>
                      </w:tcPr>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100~500之间部分</w:t>
                        </w:r>
                      </w:p>
                    </w:tc>
                    <w:tc>
                      <w:tcPr>
                        <w:tcW w:w="1247" w:type="dxa"/>
                        <w:vAlign w:val="center"/>
                      </w:tcPr>
                      <w:p>
                        <w:pPr>
                          <w:spacing w:line="360" w:lineRule="auto"/>
                          <w:jc w:val="center"/>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1.1%</w:t>
                        </w:r>
                      </w:p>
                    </w:tc>
                    <w:tc>
                      <w:tcPr>
                        <w:tcW w:w="1225" w:type="dxa"/>
                        <w:vAlign w:val="center"/>
                      </w:tcPr>
                      <w:p>
                        <w:pPr>
                          <w:spacing w:line="360" w:lineRule="auto"/>
                          <w:jc w:val="center"/>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0.8%</w:t>
                        </w:r>
                      </w:p>
                    </w:tc>
                    <w:tc>
                      <w:tcPr>
                        <w:tcW w:w="1225" w:type="dxa"/>
                        <w:vAlign w:val="center"/>
                      </w:tcPr>
                      <w:p>
                        <w:pPr>
                          <w:spacing w:line="360" w:lineRule="auto"/>
                          <w:jc w:val="center"/>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Align w:val="center"/>
                      </w:tcPr>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500-1000之间部分</w:t>
                        </w:r>
                      </w:p>
                    </w:tc>
                    <w:tc>
                      <w:tcPr>
                        <w:tcW w:w="1247" w:type="dxa"/>
                        <w:vAlign w:val="center"/>
                      </w:tcPr>
                      <w:p>
                        <w:pPr>
                          <w:spacing w:line="360" w:lineRule="auto"/>
                          <w:jc w:val="center"/>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0.8%</w:t>
                        </w:r>
                      </w:p>
                    </w:tc>
                    <w:tc>
                      <w:tcPr>
                        <w:tcW w:w="1225" w:type="dxa"/>
                        <w:vAlign w:val="center"/>
                      </w:tcPr>
                      <w:p>
                        <w:pPr>
                          <w:spacing w:line="360" w:lineRule="auto"/>
                          <w:jc w:val="center"/>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0.45%</w:t>
                        </w:r>
                      </w:p>
                    </w:tc>
                    <w:tc>
                      <w:tcPr>
                        <w:tcW w:w="1225" w:type="dxa"/>
                        <w:vAlign w:val="center"/>
                      </w:tcPr>
                      <w:p>
                        <w:pPr>
                          <w:spacing w:line="360" w:lineRule="auto"/>
                          <w:jc w:val="center"/>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0.55%</w:t>
                        </w:r>
                      </w:p>
                    </w:tc>
                  </w:tr>
                </w:tbl>
                <w:p>
                  <w:pPr>
                    <w:spacing w:line="360" w:lineRule="auto"/>
                    <w:rPr>
                      <w:rFonts w:ascii="宋体" w:hAnsi="宋体" w:cs="宋体"/>
                      <w:snapToGrid w:val="0"/>
                      <w:color w:val="auto"/>
                      <w:kern w:val="28"/>
                      <w:szCs w:val="21"/>
                      <w:highlight w:val="none"/>
                    </w:rPr>
                  </w:pPr>
                </w:p>
              </w:tc>
            </w:tr>
          </w:tbl>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3、结算方式及时间为：中标（成交）供应商在领取中标（成交）通知书时向受托人（采购代理机构）支付。</w:t>
            </w:r>
          </w:p>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收款单位（户名）：浙江省成套招标代理有限公司；</w:t>
            </w:r>
          </w:p>
          <w:p>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开户银行：中信银行杭州西湖支行；</w:t>
            </w:r>
          </w:p>
          <w:p>
            <w:pPr>
              <w:pStyle w:val="724"/>
              <w:spacing w:line="360" w:lineRule="auto"/>
              <w:ind w:firstLine="0"/>
              <w:rPr>
                <w:rFonts w:cs="Arial" w:asciiTheme="minorEastAsia" w:hAnsiTheme="minorEastAsia" w:eastAsiaTheme="minorEastAsia"/>
                <w:color w:val="auto"/>
                <w:sz w:val="21"/>
                <w:szCs w:val="21"/>
                <w:highlight w:val="none"/>
              </w:rPr>
            </w:pPr>
            <w:r>
              <w:rPr>
                <w:rFonts w:hint="eastAsia" w:cs="宋体"/>
                <w:snapToGrid w:val="0"/>
                <w:color w:val="auto"/>
                <w:kern w:val="28"/>
                <w:sz w:val="21"/>
                <w:szCs w:val="21"/>
                <w:highlight w:val="none"/>
              </w:rPr>
              <w:t>银行账号：7331 6101 8260 0126 385</w:t>
            </w:r>
          </w:p>
        </w:tc>
      </w:tr>
    </w:tbl>
    <w:p>
      <w:pPr>
        <w:rPr>
          <w:color w:val="auto"/>
          <w:highlight w:val="none"/>
        </w:rPr>
      </w:pPr>
    </w:p>
    <w:bookmarkEnd w:id="10"/>
    <w:p>
      <w:pPr>
        <w:widowControl/>
        <w:adjustRightInd/>
        <w:jc w:val="left"/>
        <w:rPr>
          <w:rFonts w:ascii="宋体" w:hAnsi="宋体" w:cs="宋体"/>
          <w:b/>
          <w:color w:val="auto"/>
          <w:sz w:val="32"/>
          <w:szCs w:val="20"/>
          <w:highlight w:val="none"/>
        </w:rPr>
      </w:pPr>
      <w:bookmarkStart w:id="16" w:name="第三部分"/>
      <w:bookmarkStart w:id="17" w:name="_Toc164416483"/>
      <w:r>
        <w:rPr>
          <w:rFonts w:ascii="宋体" w:hAnsi="宋体" w:cs="宋体"/>
          <w:b/>
          <w:color w:val="auto"/>
          <w:sz w:val="32"/>
          <w:szCs w:val="20"/>
          <w:highlight w:val="none"/>
        </w:rPr>
        <w:br w:type="page"/>
      </w:r>
    </w:p>
    <w:p>
      <w:pPr>
        <w:pStyle w:val="2"/>
        <w:ind w:firstLine="422"/>
        <w:rPr>
          <w:color w:val="auto"/>
          <w:sz w:val="21"/>
          <w:szCs w:val="21"/>
          <w:highlight w:val="none"/>
        </w:rPr>
      </w:pPr>
      <w:r>
        <w:rPr>
          <w:rFonts w:hint="eastAsia"/>
          <w:color w:val="auto"/>
          <w:sz w:val="21"/>
          <w:szCs w:val="21"/>
          <w:highlight w:val="none"/>
        </w:rPr>
        <w:t>一、总则</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1.适用范围</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2.定义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2.6“电子交易平台”系指本项目政府采购活动所依托的政府采购云平台（https://www.zcygov.cn/）。</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 系指实质性要求条款，“</w:t>
      </w:r>
      <w:sdt>
        <w:sdtPr>
          <w:rPr>
            <w:rFonts w:hint="eastAsia" w:ascii="宋体" w:hAnsi="宋体" w:cs="宋体"/>
            <w:color w:val="auto"/>
            <w:kern w:val="0"/>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 系指适用本项目的要求，“</w:t>
      </w:r>
      <w:sdt>
        <w:sdtPr>
          <w:rPr>
            <w:rFonts w:hint="eastAsia" w:ascii="宋体" w:hAnsi="宋体" w:cs="宋体"/>
            <w:color w:val="auto"/>
            <w:kern w:val="0"/>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cs="Segoe UI Symbol"/>
              <w:color w:val="auto"/>
              <w:kern w:val="0"/>
              <w:szCs w:val="21"/>
              <w:highlight w:val="none"/>
            </w:rPr>
            <w:t>☐</w:t>
          </w:r>
        </w:sdtContent>
      </w:sdt>
      <w:r>
        <w:rPr>
          <w:rFonts w:hint="eastAsia" w:ascii="宋体" w:hAnsi="宋体" w:cs="宋体"/>
          <w:color w:val="auto"/>
          <w:szCs w:val="21"/>
          <w:highlight w:val="none"/>
        </w:rPr>
        <w:t>” 系指不适用本项目的要求。</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3.采购项目需要落实的政府采购政策</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支持绿色发展</w:t>
      </w:r>
    </w:p>
    <w:p>
      <w:pPr>
        <w:snapToGri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u w:val="single"/>
        </w:rPr>
        <w:t>▲采购人拟采购的产品属于政府强制采购的节能产品品目清单范围的，投标人相应的投标产品未获得国家确定的认证机构出具的、处于有效期之内的节能产品认证证书的，投标无效。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3.3支持中小企业发展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widowControl/>
        <w:snapToGrid w:val="0"/>
        <w:spacing w:line="360" w:lineRule="auto"/>
        <w:ind w:firstLine="420" w:firstLineChars="200"/>
        <w:jc w:val="left"/>
        <w:rPr>
          <w:rFonts w:ascii="宋体" w:hAnsi="宋体" w:cs="宋体"/>
          <w:color w:val="auto"/>
          <w:kern w:val="0"/>
          <w:szCs w:val="21"/>
          <w:highlight w:val="none"/>
        </w:rPr>
      </w:pPr>
      <w:r>
        <w:rPr>
          <w:rFonts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3.3.3对于未预留份额专门面向中小企业的政府采购货物项目，以及预留份额政府采购货物项目中的非预留部分标项，对小型和微型企业的投标报价给予1</w:t>
      </w:r>
      <w:r>
        <w:rPr>
          <w:rFonts w:ascii="宋体" w:hAnsi="宋体" w:cs="宋体"/>
          <w:color w:val="auto"/>
          <w:szCs w:val="21"/>
          <w:highlight w:val="none"/>
        </w:rPr>
        <w:t>0</w:t>
      </w:r>
      <w:r>
        <w:rPr>
          <w:rFonts w:hint="eastAsia" w:ascii="宋体" w:hAnsi="宋体" w:cs="宋体"/>
          <w:color w:val="auto"/>
          <w:szCs w:val="21"/>
          <w:highlight w:val="none"/>
        </w:rPr>
        <w:t>%的扣除，用扣除后的价格参与评审。接受大中型企业与小微企业组成联合体或者允许大中型企业向一家或者多家小微企业分包的政府采购货物项目，对于</w:t>
      </w:r>
      <w:bookmarkStart w:id="18" w:name="_Hlk101132181"/>
      <w:r>
        <w:rPr>
          <w:rFonts w:hint="eastAsia" w:ascii="宋体" w:hAnsi="宋体" w:cs="宋体"/>
          <w:color w:val="auto"/>
          <w:szCs w:val="21"/>
          <w:highlight w:val="none"/>
        </w:rPr>
        <w:t>联合协议或者分包意向协议约定小微企业的合同份额占到合同总金额30%以上的</w:t>
      </w:r>
      <w:bookmarkEnd w:id="18"/>
      <w:r>
        <w:rPr>
          <w:rFonts w:hint="eastAsia" w:ascii="宋体" w:hAnsi="宋体" w:cs="宋体"/>
          <w:color w:val="auto"/>
          <w:szCs w:val="21"/>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3.4.3 采购人应当贯彻落实知识产权保护相关法律法规，应当采购使用正版软件。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 询问、质疑、投诉、补偿救济</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4.1在线询问、质疑、投诉</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4.2供应商询问</w:t>
      </w:r>
    </w:p>
    <w:p>
      <w:pPr>
        <w:autoSpaceDE w:val="0"/>
        <w:autoSpaceDN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4.3供应商质疑</w:t>
      </w:r>
    </w:p>
    <w:p>
      <w:pPr>
        <w:pStyle w:val="34"/>
        <w:snapToGrid w:val="0"/>
        <w:spacing w:line="360" w:lineRule="auto"/>
        <w:ind w:firstLine="420" w:firstLineChars="200"/>
        <w:rPr>
          <w:rFonts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pPr>
        <w:pStyle w:val="34"/>
        <w:snapToGrid w:val="0"/>
        <w:spacing w:line="360" w:lineRule="auto"/>
        <w:ind w:firstLine="420" w:firstLineChars="200"/>
        <w:rPr>
          <w:rFonts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pPr>
        <w:pStyle w:val="34"/>
        <w:snapToGrid w:val="0"/>
        <w:spacing w:line="360" w:lineRule="auto"/>
        <w:ind w:firstLine="420" w:firstLineChars="200"/>
        <w:rPr>
          <w:rFonts w:hAnsi="宋体" w:cs="宋体"/>
          <w:color w:val="auto"/>
          <w:highlight w:val="none"/>
        </w:rPr>
      </w:pPr>
      <w:r>
        <w:rPr>
          <w:rFonts w:hint="eastAsia" w:hAnsi="宋体" w:cs="宋体"/>
          <w:color w:val="auto"/>
          <w:highlight w:val="none"/>
        </w:rPr>
        <w:t>4.3.2.2对采购过程提出质疑的，质疑期限为各采购程序环节结束之日起计算。4.3.2.3对采购结果提出质疑的，质疑期限自采购结果公告期限届满之日起计算。</w:t>
      </w:r>
    </w:p>
    <w:p>
      <w:pPr>
        <w:pStyle w:val="34"/>
        <w:snapToGrid w:val="0"/>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4.3.3</w:t>
      </w:r>
      <w:r>
        <w:rPr>
          <w:rFonts w:hint="eastAsia" w:hAnsi="宋体" w:cs="宋体"/>
          <w:color w:val="auto"/>
          <w:highlight w:val="none"/>
        </w:rPr>
        <w:t>供应商提出质疑应当提交质疑函和必要的证明材料。质疑函应当包括下列内容：</w:t>
      </w:r>
    </w:p>
    <w:p>
      <w:pPr>
        <w:pStyle w:val="34"/>
        <w:snapToGrid w:val="0"/>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4.3.3.1供应商的姓名或者名称、地址、邮编、联系人及联系电话；</w:t>
      </w:r>
    </w:p>
    <w:p>
      <w:pPr>
        <w:pStyle w:val="34"/>
        <w:snapToGrid w:val="0"/>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4.3.3.2质疑项目的名称、编号；</w:t>
      </w:r>
    </w:p>
    <w:p>
      <w:pPr>
        <w:pStyle w:val="34"/>
        <w:snapToGrid w:val="0"/>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4.3.3.3具体、明确的质疑事项和与质疑事项相关的请求；</w:t>
      </w:r>
    </w:p>
    <w:p>
      <w:pPr>
        <w:pStyle w:val="34"/>
        <w:snapToGrid w:val="0"/>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4.3.3.4事实依据；</w:t>
      </w:r>
    </w:p>
    <w:p>
      <w:pPr>
        <w:pStyle w:val="34"/>
        <w:snapToGrid w:val="0"/>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4.3.3.5必要的法律依据；</w:t>
      </w:r>
    </w:p>
    <w:p>
      <w:pPr>
        <w:pStyle w:val="34"/>
        <w:snapToGrid w:val="0"/>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4.3.3.6提出质疑的日期。</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质疑函范本及制作说明详见附件2。</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4.3.4对同一采购程序环节的质疑，供应商须在法定质疑期内一次性提出。</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4.4供应商投诉</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4.4.3供应商投诉应当有明确的请求和必要的证明材料。</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4.4.4 以联合体形式参加政府采购活动的，其投诉应当由组成联合体的所有供应商共同提出。</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w:t>
      </w:r>
      <w:r>
        <w:rPr>
          <w:color w:val="auto"/>
          <w:sz w:val="21"/>
          <w:szCs w:val="21"/>
          <w:highlight w:val="none"/>
        </w:rPr>
        <w:t>0571-85252453</w:t>
      </w:r>
      <w:r>
        <w:rPr>
          <w:rFonts w:hint="eastAsia"/>
          <w:color w:val="auto"/>
          <w:sz w:val="21"/>
          <w:szCs w:val="21"/>
          <w:highlight w:val="none"/>
        </w:rPr>
        <w:t>。</w:t>
      </w:r>
    </w:p>
    <w:p>
      <w:pPr>
        <w:pStyle w:val="888"/>
        <w:shd w:val="clear" w:color="auto" w:fill="FFFFFF"/>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投诉书范本及制作说明详见附件3。</w:t>
      </w:r>
    </w:p>
    <w:p>
      <w:pPr>
        <w:snapToGrid w:val="0"/>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4.5 补偿救济</w:t>
      </w:r>
    </w:p>
    <w:p>
      <w:pPr>
        <w:snapToGrid w:val="0"/>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采购人（行政机关）因政策变化、规划调整而不履行政府采购合同的，供应商可依据《杭州市涉企补偿救济实施办法（试行）》向采购人（行政机关）提起补偿申请。</w:t>
      </w:r>
    </w:p>
    <w:p>
      <w:pPr>
        <w:pStyle w:val="2"/>
        <w:ind w:firstLine="422"/>
        <w:rPr>
          <w:color w:val="auto"/>
          <w:sz w:val="21"/>
          <w:szCs w:val="21"/>
          <w:highlight w:val="none"/>
        </w:rPr>
      </w:pPr>
      <w:r>
        <w:rPr>
          <w:rFonts w:hint="eastAsia"/>
          <w:color w:val="auto"/>
          <w:sz w:val="21"/>
          <w:szCs w:val="21"/>
          <w:highlight w:val="none"/>
        </w:rPr>
        <w:t>二、招标文件的构成、澄清、修改</w:t>
      </w: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5．招标文件的构成</w:t>
      </w:r>
    </w:p>
    <w:p>
      <w:pPr>
        <w:pStyle w:val="34"/>
        <w:snapToGrid w:val="0"/>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pPr>
        <w:pStyle w:val="34"/>
        <w:tabs>
          <w:tab w:val="left" w:pos="840"/>
        </w:tabs>
        <w:snapToGrid w:val="0"/>
        <w:spacing w:line="360" w:lineRule="auto"/>
        <w:ind w:firstLine="420" w:firstLineChars="200"/>
        <w:rPr>
          <w:rFonts w:hAnsi="宋体" w:cs="宋体"/>
          <w:color w:val="auto"/>
          <w:highlight w:val="none"/>
        </w:rPr>
      </w:pPr>
      <w:r>
        <w:rPr>
          <w:rFonts w:hint="eastAsia" w:hAnsi="宋体" w:cs="宋体"/>
          <w:color w:val="auto"/>
          <w:highlight w:val="none"/>
        </w:rPr>
        <w:t>5.1.1招标公告；</w:t>
      </w:r>
    </w:p>
    <w:p>
      <w:pPr>
        <w:pStyle w:val="34"/>
        <w:tabs>
          <w:tab w:val="left" w:pos="840"/>
        </w:tabs>
        <w:snapToGrid w:val="0"/>
        <w:spacing w:line="360" w:lineRule="auto"/>
        <w:ind w:firstLine="420" w:firstLineChars="200"/>
        <w:rPr>
          <w:rFonts w:hAnsi="宋体" w:cs="宋体"/>
          <w:color w:val="auto"/>
          <w:highlight w:val="none"/>
        </w:rPr>
      </w:pPr>
      <w:r>
        <w:rPr>
          <w:rFonts w:hint="eastAsia" w:hAnsi="宋体" w:cs="宋体"/>
          <w:color w:val="auto"/>
          <w:highlight w:val="none"/>
        </w:rPr>
        <w:t>5.1.2投标人须知；</w:t>
      </w:r>
    </w:p>
    <w:p>
      <w:pPr>
        <w:pStyle w:val="34"/>
        <w:tabs>
          <w:tab w:val="left" w:pos="840"/>
        </w:tabs>
        <w:snapToGrid w:val="0"/>
        <w:spacing w:line="360" w:lineRule="auto"/>
        <w:ind w:firstLine="420" w:firstLineChars="200"/>
        <w:rPr>
          <w:rFonts w:hAnsi="宋体" w:cs="宋体"/>
          <w:color w:val="auto"/>
          <w:highlight w:val="none"/>
        </w:rPr>
      </w:pPr>
      <w:r>
        <w:rPr>
          <w:rFonts w:hint="eastAsia" w:hAnsi="宋体" w:cs="宋体"/>
          <w:color w:val="auto"/>
          <w:highlight w:val="none"/>
        </w:rPr>
        <w:t>5.1.3采购需求；</w:t>
      </w:r>
    </w:p>
    <w:p>
      <w:pPr>
        <w:pStyle w:val="34"/>
        <w:tabs>
          <w:tab w:val="left" w:pos="840"/>
        </w:tabs>
        <w:snapToGrid w:val="0"/>
        <w:spacing w:line="360" w:lineRule="auto"/>
        <w:ind w:firstLine="420" w:firstLineChars="200"/>
        <w:rPr>
          <w:rFonts w:hAnsi="宋体" w:cs="宋体"/>
          <w:color w:val="auto"/>
          <w:highlight w:val="none"/>
        </w:rPr>
      </w:pPr>
      <w:r>
        <w:rPr>
          <w:rFonts w:hint="eastAsia" w:hAnsi="宋体" w:cs="宋体"/>
          <w:color w:val="auto"/>
          <w:highlight w:val="none"/>
        </w:rPr>
        <w:t>5.1.4评标办法；</w:t>
      </w:r>
    </w:p>
    <w:p>
      <w:pPr>
        <w:pStyle w:val="34"/>
        <w:tabs>
          <w:tab w:val="left" w:pos="840"/>
        </w:tabs>
        <w:snapToGrid w:val="0"/>
        <w:spacing w:line="360" w:lineRule="auto"/>
        <w:ind w:firstLine="420" w:firstLineChars="200"/>
        <w:rPr>
          <w:rFonts w:hAnsi="宋体" w:cs="宋体"/>
          <w:color w:val="auto"/>
          <w:highlight w:val="none"/>
        </w:rPr>
      </w:pPr>
      <w:r>
        <w:rPr>
          <w:rFonts w:hint="eastAsia" w:hAnsi="宋体" w:cs="宋体"/>
          <w:color w:val="auto"/>
          <w:highlight w:val="none"/>
        </w:rPr>
        <w:t>5.1.5拟签订的合同文本；</w:t>
      </w:r>
    </w:p>
    <w:p>
      <w:pPr>
        <w:pStyle w:val="34"/>
        <w:tabs>
          <w:tab w:val="left" w:pos="840"/>
        </w:tabs>
        <w:snapToGrid w:val="0"/>
        <w:spacing w:line="360" w:lineRule="auto"/>
        <w:ind w:firstLine="420" w:firstLineChars="200"/>
        <w:rPr>
          <w:rFonts w:hAnsi="宋体" w:cs="宋体"/>
          <w:color w:val="auto"/>
          <w:highlight w:val="none"/>
        </w:rPr>
      </w:pPr>
      <w:r>
        <w:rPr>
          <w:rFonts w:hint="eastAsia" w:hAnsi="宋体" w:cs="宋体"/>
          <w:color w:val="auto"/>
          <w:highlight w:val="none"/>
        </w:rPr>
        <w:t>5.1.6应提交的有关格式范例。</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6. 招标文件的澄清、修改</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pPr>
        <w:pStyle w:val="130"/>
        <w:snapToGrid w:val="0"/>
        <w:spacing w:before="0"/>
        <w:ind w:firstLine="420"/>
        <w:rPr>
          <w:rFonts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hAnsi="宋体" w:cs="宋体"/>
          <w:color w:val="auto"/>
          <w:sz w:val="21"/>
          <w:szCs w:val="21"/>
          <w:highlight w:val="none"/>
        </w:rPr>
        <w:t xml:space="preserve">  </w:t>
      </w:r>
    </w:p>
    <w:p>
      <w:pPr>
        <w:pStyle w:val="2"/>
        <w:ind w:firstLine="422"/>
        <w:rPr>
          <w:color w:val="auto"/>
          <w:sz w:val="21"/>
          <w:szCs w:val="21"/>
          <w:highlight w:val="none"/>
        </w:rPr>
      </w:pPr>
      <w:r>
        <w:rPr>
          <w:rFonts w:hint="eastAsia"/>
          <w:color w:val="auto"/>
          <w:sz w:val="21"/>
          <w:szCs w:val="21"/>
          <w:highlight w:val="none"/>
        </w:rPr>
        <w:t>三、投标</w:t>
      </w: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7. 招标文件的获取</w:t>
      </w:r>
    </w:p>
    <w:p>
      <w:pPr>
        <w:snapToGrid w:val="0"/>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8.开标前答疑会或现场考察</w:t>
      </w:r>
    </w:p>
    <w:p>
      <w:pPr>
        <w:pStyle w:val="34"/>
        <w:snapToGrid w:val="0"/>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pPr>
        <w:pStyle w:val="34"/>
        <w:snapToGrid w:val="0"/>
        <w:spacing w:line="360" w:lineRule="auto"/>
        <w:ind w:firstLine="422" w:firstLineChars="200"/>
        <w:rPr>
          <w:rFonts w:hAnsi="宋体" w:cs="宋体"/>
          <w:b/>
          <w:color w:val="auto"/>
          <w:highlight w:val="none"/>
        </w:rPr>
      </w:pPr>
      <w:r>
        <w:rPr>
          <w:rFonts w:hint="eastAsia" w:hAnsi="宋体" w:cs="宋体"/>
          <w:b/>
          <w:color w:val="auto"/>
          <w:kern w:val="28"/>
          <w:highlight w:val="none"/>
        </w:rPr>
        <w:t>9.投标保证金</w:t>
      </w:r>
    </w:p>
    <w:p>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本项目不需缴纳投标保证金。</w:t>
      </w: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10. 投标文件的语言</w:t>
      </w:r>
    </w:p>
    <w:p>
      <w:pPr>
        <w:autoSpaceDE w:val="0"/>
        <w:autoSpaceDN w:val="0"/>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11. 投标文件的组成</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11.1资格文件：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11.1.1符合参加政府采购活动应当具备的一般条件的承诺函；</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1.1.2</w:t>
      </w:r>
      <w:bookmarkStart w:id="19" w:name="_Hlk101259339"/>
      <w:r>
        <w:rPr>
          <w:rFonts w:hint="eastAsia" w:ascii="宋体" w:hAnsi="宋体" w:cs="宋体"/>
          <w:snapToGrid w:val="0"/>
          <w:color w:val="auto"/>
          <w:kern w:val="28"/>
          <w:szCs w:val="21"/>
          <w:highlight w:val="none"/>
        </w:rPr>
        <w:t>联合协议</w:t>
      </w:r>
      <w:bookmarkEnd w:id="19"/>
      <w:r>
        <w:rPr>
          <w:rFonts w:hint="eastAsia" w:ascii="宋体" w:hAnsi="宋体" w:cs="宋体"/>
          <w:snapToGrid w:val="0"/>
          <w:color w:val="auto"/>
          <w:kern w:val="28"/>
          <w:szCs w:val="21"/>
          <w:highlight w:val="none"/>
        </w:rPr>
        <w:t>（如果有）；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ascii="宋体" w:hAnsi="宋体" w:cs="宋体"/>
          <w:color w:val="auto"/>
          <w:szCs w:val="21"/>
          <w:highlight w:val="none"/>
        </w:rPr>
        <w:t>3</w:t>
      </w:r>
      <w:r>
        <w:rPr>
          <w:rFonts w:hint="eastAsia" w:ascii="宋体" w:hAnsi="宋体" w:cs="宋体"/>
          <w:color w:val="auto"/>
          <w:szCs w:val="21"/>
          <w:highlight w:val="none"/>
        </w:rPr>
        <w:t>落实政府采购政策需满足的资格要求（如果有）；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ascii="宋体" w:hAnsi="宋体" w:cs="宋体"/>
          <w:color w:val="auto"/>
          <w:szCs w:val="21"/>
          <w:highlight w:val="none"/>
        </w:rPr>
        <w:t>4</w:t>
      </w:r>
      <w:r>
        <w:rPr>
          <w:rFonts w:hint="eastAsia" w:ascii="宋体" w:hAnsi="宋体" w:cs="宋体"/>
          <w:color w:val="auto"/>
          <w:szCs w:val="21"/>
          <w:highlight w:val="none"/>
        </w:rPr>
        <w:t>本项目的特定资格要求（如果有）。</w:t>
      </w:r>
    </w:p>
    <w:p>
      <w:pPr>
        <w:snapToGrid w:val="0"/>
        <w:spacing w:line="360" w:lineRule="auto"/>
        <w:ind w:firstLine="422" w:firstLineChars="200"/>
        <w:rPr>
          <w:rFonts w:ascii="宋体" w:hAnsi="宋体" w:cs="宋体"/>
          <w:b/>
          <w:bCs/>
          <w:color w:val="auto"/>
          <w:szCs w:val="21"/>
          <w:highlight w:val="none"/>
          <w:lang w:val="zh-CN"/>
        </w:rPr>
      </w:pPr>
      <w:r>
        <w:rPr>
          <w:rFonts w:hint="eastAsia" w:ascii="宋体" w:hAnsi="宋体" w:cs="宋体"/>
          <w:b/>
          <w:bCs/>
          <w:color w:val="auto"/>
          <w:szCs w:val="21"/>
          <w:highlight w:val="none"/>
          <w:lang w:val="zh-CN"/>
        </w:rPr>
        <w:t>11.</w:t>
      </w:r>
      <w:r>
        <w:rPr>
          <w:rFonts w:hint="eastAsia" w:ascii="宋体" w:hAnsi="宋体" w:cs="宋体"/>
          <w:b/>
          <w:bCs/>
          <w:color w:val="auto"/>
          <w:szCs w:val="21"/>
          <w:highlight w:val="none"/>
        </w:rPr>
        <w:t>2</w:t>
      </w:r>
      <w:r>
        <w:rPr>
          <w:rFonts w:hint="eastAsia" w:ascii="宋体" w:hAnsi="宋体" w:cs="宋体"/>
          <w:b/>
          <w:bCs/>
          <w:color w:val="auto"/>
          <w:szCs w:val="21"/>
          <w:highlight w:val="none"/>
          <w:lang w:val="zh-CN"/>
        </w:rPr>
        <w:t xml:space="preserve">  </w:t>
      </w:r>
      <w:r>
        <w:rPr>
          <w:rFonts w:hint="eastAsia" w:ascii="宋体" w:hAnsi="宋体" w:cs="宋体"/>
          <w:b/>
          <w:bCs/>
          <w:color w:val="auto"/>
          <w:szCs w:val="21"/>
          <w:highlight w:val="none"/>
        </w:rPr>
        <w:t>商务技术</w:t>
      </w:r>
      <w:r>
        <w:rPr>
          <w:rFonts w:hint="eastAsia" w:ascii="宋体" w:hAnsi="宋体" w:cs="宋体"/>
          <w:b/>
          <w:bCs/>
          <w:color w:val="auto"/>
          <w:szCs w:val="21"/>
          <w:highlight w:val="none"/>
          <w:lang w:val="zh-CN"/>
        </w:rPr>
        <w:t>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11.2.1投标函；</w:t>
      </w:r>
      <w:r>
        <w:rPr>
          <w:rFonts w:hint="eastAsia" w:ascii="宋体" w:hAnsi="宋体" w:cs="宋体"/>
          <w:color w:val="auto"/>
          <w:szCs w:val="21"/>
          <w:highlight w:val="none"/>
          <w:lang w:val="zh-CN"/>
        </w:rPr>
        <w:t xml:space="preserve">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3</w:t>
      </w:r>
      <w:r>
        <w:rPr>
          <w:rFonts w:hint="eastAsia" w:ascii="宋体" w:hAnsi="宋体" w:cs="宋体"/>
          <w:color w:val="auto"/>
          <w:szCs w:val="21"/>
          <w:highlight w:val="none"/>
        </w:rPr>
        <w:t>分包意向协议（如果有）；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4</w:t>
      </w:r>
      <w:r>
        <w:rPr>
          <w:rFonts w:hint="eastAsia" w:ascii="宋体" w:hAnsi="宋体" w:cs="宋体"/>
          <w:color w:val="auto"/>
          <w:szCs w:val="21"/>
          <w:highlight w:val="none"/>
        </w:rPr>
        <w:t>符合性审查资料；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6</w:t>
      </w:r>
      <w:r>
        <w:rPr>
          <w:rFonts w:hint="eastAsia" w:ascii="宋体" w:hAnsi="宋体" w:cs="宋体"/>
          <w:color w:val="auto"/>
          <w:szCs w:val="21"/>
          <w:highlight w:val="none"/>
        </w:rPr>
        <w:t>投标标的清单；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7</w:t>
      </w:r>
      <w:r>
        <w:rPr>
          <w:rFonts w:hint="eastAsia" w:ascii="宋体" w:hAnsi="宋体" w:cs="宋体"/>
          <w:color w:val="auto"/>
          <w:szCs w:val="21"/>
          <w:highlight w:val="none"/>
        </w:rPr>
        <w:t>商务技术偏离表；</w:t>
      </w:r>
    </w:p>
    <w:p>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pPr>
        <w:snapToGrid w:val="0"/>
        <w:spacing w:line="360" w:lineRule="auto"/>
        <w:ind w:firstLine="422" w:firstLineChars="200"/>
        <w:rPr>
          <w:rFonts w:ascii="宋体" w:hAnsi="宋体" w:cs="宋体"/>
          <w:b/>
          <w:bCs/>
          <w:color w:val="auto"/>
          <w:szCs w:val="21"/>
          <w:highlight w:val="none"/>
          <w:u w:val="single"/>
          <w:lang w:val="zh-CN"/>
        </w:rPr>
      </w:pPr>
      <w:r>
        <w:rPr>
          <w:rFonts w:hint="eastAsia" w:ascii="宋体" w:hAnsi="宋体" w:cs="宋体"/>
          <w:b/>
          <w:bCs/>
          <w:color w:val="auto"/>
          <w:kern w:val="0"/>
          <w:szCs w:val="21"/>
          <w:highlight w:val="none"/>
          <w:lang w:val="zh-CN"/>
        </w:rPr>
        <w:t>11.</w:t>
      </w:r>
      <w:r>
        <w:rPr>
          <w:rFonts w:hint="eastAsia" w:ascii="宋体" w:hAnsi="宋体" w:cs="宋体"/>
          <w:b/>
          <w:bCs/>
          <w:color w:val="auto"/>
          <w:kern w:val="0"/>
          <w:szCs w:val="21"/>
          <w:highlight w:val="none"/>
        </w:rPr>
        <w:t>3</w:t>
      </w:r>
      <w:r>
        <w:rPr>
          <w:rFonts w:hint="eastAsia" w:ascii="宋体" w:hAnsi="宋体" w:cs="宋体"/>
          <w:b/>
          <w:bCs/>
          <w:color w:val="auto"/>
          <w:szCs w:val="21"/>
          <w:highlight w:val="none"/>
        </w:rPr>
        <w:t xml:space="preserve">报价文件：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11.3.1开标一览表（报价表）；</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11.3.2 报价情况说明（如供应商报价低于项目预算50%的，应当提交本文档，详细阐述不影响产品质量或者诚信履约的具体原因）；</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投标人提供虚假材料投标的，投标无效。</w:t>
      </w:r>
    </w:p>
    <w:p>
      <w:pPr>
        <w:pStyle w:val="130"/>
        <w:snapToGrid w:val="0"/>
        <w:spacing w:before="0"/>
        <w:ind w:firstLine="422"/>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13.投标文件的签署、盖章</w:t>
      </w:r>
    </w:p>
    <w:p>
      <w:pPr>
        <w:pStyle w:val="130"/>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pPr>
        <w:pStyle w:val="130"/>
        <w:snapToGrid w:val="0"/>
        <w:spacing w:before="0"/>
        <w:ind w:firstLine="422"/>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15.备份投标文件</w:t>
      </w:r>
    </w:p>
    <w:p>
      <w:pPr>
        <w:pStyle w:val="34"/>
        <w:snapToGrid w:val="0"/>
        <w:spacing w:line="360" w:lineRule="auto"/>
        <w:ind w:firstLine="420" w:firstLineChars="200"/>
        <w:rPr>
          <w:rFonts w:hAnsi="宋体" w:cs="宋体"/>
          <w:b/>
          <w:color w:val="auto"/>
          <w:highlight w:val="none"/>
        </w:rPr>
      </w:pPr>
      <w:r>
        <w:rPr>
          <w:rFonts w:hint="eastAsia" w:hAnsi="宋体" w:cs="宋体"/>
          <w:color w:val="auto"/>
          <w:highlight w:val="none"/>
        </w:rPr>
        <w:t>15.1投标人在电子交易平台传输递交投标文件后，还可以在投标截止时间前直接提交或者以邮政快递方式递交备份投标文件1份，</w:t>
      </w:r>
      <w:r>
        <w:rPr>
          <w:rFonts w:hint="eastAsia" w:hAnsi="宋体" w:cs="宋体"/>
          <w:b/>
          <w:color w:val="auto"/>
          <w:highlight w:val="none"/>
        </w:rPr>
        <w:t>但采购人、采购代理机构不强制或变相强制投标人提交备份投标文件。</w:t>
      </w:r>
    </w:p>
    <w:p>
      <w:pPr>
        <w:pStyle w:val="34"/>
        <w:snapToGrid w:val="0"/>
        <w:spacing w:line="360" w:lineRule="auto"/>
        <w:ind w:firstLine="420" w:firstLineChars="200"/>
        <w:rPr>
          <w:rFonts w:hAnsi="宋体" w:cs="宋体"/>
          <w:b/>
          <w:color w:val="auto"/>
          <w:highlight w:val="none"/>
        </w:rPr>
      </w:pPr>
      <w:r>
        <w:rPr>
          <w:rFonts w:hint="eastAsia" w:hAnsi="宋体" w:cs="宋体"/>
          <w:color w:val="auto"/>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pPr>
        <w:pStyle w:val="34"/>
        <w:snapToGrid w:val="0"/>
        <w:spacing w:line="360" w:lineRule="auto"/>
        <w:ind w:firstLine="420" w:firstLineChars="200"/>
        <w:rPr>
          <w:rFonts w:hAnsi="宋体" w:cs="宋体"/>
          <w:color w:val="auto"/>
          <w:highlight w:val="none"/>
        </w:rPr>
      </w:pPr>
      <w:r>
        <w:rPr>
          <w:rFonts w:hint="eastAsia" w:hAnsi="宋体" w:cs="宋体"/>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napToGrid w:val="0"/>
        <w:spacing w:line="360" w:lineRule="auto"/>
        <w:ind w:firstLine="420" w:firstLineChars="200"/>
        <w:rPr>
          <w:rFonts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napToGrid w:val="0"/>
        <w:spacing w:line="360" w:lineRule="auto"/>
        <w:ind w:firstLine="422" w:firstLineChars="200"/>
        <w:rPr>
          <w:rFonts w:hAnsi="宋体" w:cs="宋体"/>
          <w:b/>
          <w:color w:val="auto"/>
          <w:highlight w:val="none"/>
        </w:rPr>
      </w:pPr>
      <w:r>
        <w:rPr>
          <w:rFonts w:hint="eastAsia" w:hAnsi="宋体" w:cs="宋体"/>
          <w:b/>
          <w:color w:val="auto"/>
          <w:highlight w:val="none"/>
        </w:rPr>
        <w:t>15.5投标人仅提交备份投标文件，未在电子交易平台传输递交投标文件的，投标无效。</w:t>
      </w:r>
    </w:p>
    <w:p>
      <w:pPr>
        <w:pStyle w:val="130"/>
        <w:snapToGrid w:val="0"/>
        <w:spacing w:before="0"/>
        <w:ind w:firstLine="422"/>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pPr>
        <w:pStyle w:val="130"/>
        <w:snapToGrid w:val="0"/>
        <w:spacing w:before="0"/>
        <w:ind w:firstLine="422"/>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rPr>
        <w:t>投标人的投标文件中承诺的投标有效期少于招标文件中载明的投标有效期的，投标无效。</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
        <w:ind w:firstLine="422"/>
        <w:rPr>
          <w:color w:val="auto"/>
          <w:sz w:val="21"/>
          <w:szCs w:val="21"/>
          <w:highlight w:val="none"/>
        </w:rPr>
      </w:pPr>
      <w:r>
        <w:rPr>
          <w:rFonts w:hint="eastAsia"/>
          <w:color w:val="auto"/>
          <w:sz w:val="21"/>
          <w:szCs w:val="21"/>
          <w:highlight w:val="none"/>
        </w:rPr>
        <w:t>四、开标、资格审查与信用信息查询</w:t>
      </w:r>
    </w:p>
    <w:p>
      <w:pPr>
        <w:pStyle w:val="557"/>
        <w:snapToGrid w:val="0"/>
        <w:spacing w:before="0" w:line="360" w:lineRule="auto"/>
        <w:ind w:left="0"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pPr>
        <w:pStyle w:val="557"/>
        <w:snapToGrid w:val="0"/>
        <w:spacing w:before="0"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pPr>
        <w:pStyle w:val="557"/>
        <w:snapToGrid w:val="0"/>
        <w:spacing w:before="0" w:line="360" w:lineRule="auto"/>
        <w:ind w:left="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557"/>
        <w:snapToGrid w:val="0"/>
        <w:spacing w:before="0" w:line="360" w:lineRule="auto"/>
        <w:ind w:left="0"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pPr>
        <w:pStyle w:val="557"/>
        <w:snapToGrid w:val="0"/>
        <w:spacing w:before="0" w:line="360" w:lineRule="auto"/>
        <w:ind w:left="0"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19、资格审查</w:t>
      </w:r>
    </w:p>
    <w:p>
      <w:pPr>
        <w:pStyle w:val="130"/>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19.1采购人或采购代理机构依据法律法规和招标文件的规定，对投标人的资格进行审查。</w:t>
      </w:r>
    </w:p>
    <w:p>
      <w:pPr>
        <w:pStyle w:val="130"/>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19.2投标人未按照招标文件要求提供与资格条件相应的有效资格证明材料的，视为投标人不具备招标文件中规定的资格要求，其投标无效。</w:t>
      </w:r>
    </w:p>
    <w:p>
      <w:pPr>
        <w:pStyle w:val="130"/>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19.3对未通过资格审查的投标人，</w:t>
      </w:r>
      <w:r>
        <w:rPr>
          <w:rFonts w:hint="eastAsia" w:ascii="宋体" w:hAnsi="宋体" w:cs="宋体"/>
          <w:color w:val="auto"/>
          <w:sz w:val="21"/>
          <w:szCs w:val="21"/>
          <w:highlight w:val="none"/>
        </w:rPr>
        <w:t>采购人或采购代理机构告知其未通过的原因。</w:t>
      </w:r>
    </w:p>
    <w:p>
      <w:pPr>
        <w:pStyle w:val="130"/>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19.4合格投标人不足3家的，不再评标。</w:t>
      </w:r>
    </w:p>
    <w:p>
      <w:pPr>
        <w:pStyle w:val="130"/>
        <w:snapToGrid w:val="0"/>
        <w:spacing w:before="0"/>
        <w:ind w:firstLine="420"/>
        <w:rPr>
          <w:rStyle w:val="78"/>
          <w:color w:val="auto"/>
          <w:highlight w:val="none"/>
        </w:rPr>
      </w:pPr>
      <w:r>
        <w:rPr>
          <w:rFonts w:hint="eastAsia" w:ascii="宋体" w:hAnsi="宋体" w:cs="宋体"/>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napToGrid w:val="0"/>
        <w:spacing w:before="0"/>
        <w:ind w:firstLine="422"/>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pPr>
        <w:pStyle w:val="130"/>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20.1信用信息查询渠道及截止时间：采购代理机构将在资格审查时通过“信用中国”网站(www.creditchina.gov.cn)、中国政府采购网(www.ccgp.gov.cn)渠道查询投标人接受资格审查时的信用记录。</w:t>
      </w:r>
    </w:p>
    <w:p>
      <w:pPr>
        <w:pStyle w:val="130"/>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pPr>
        <w:pStyle w:val="130"/>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pPr>
        <w:pStyle w:val="2"/>
        <w:ind w:firstLine="422"/>
        <w:rPr>
          <w:color w:val="auto"/>
          <w:sz w:val="21"/>
          <w:szCs w:val="21"/>
          <w:highlight w:val="none"/>
        </w:rPr>
      </w:pPr>
      <w:r>
        <w:rPr>
          <w:rFonts w:hint="eastAsia"/>
          <w:color w:val="auto"/>
          <w:sz w:val="21"/>
          <w:szCs w:val="21"/>
          <w:highlight w:val="none"/>
        </w:rPr>
        <w:t>五、评标</w:t>
      </w:r>
    </w:p>
    <w:p>
      <w:pPr>
        <w:snapToGrid w:val="0"/>
        <w:spacing w:line="360" w:lineRule="auto"/>
        <w:ind w:firstLine="422" w:firstLineChars="200"/>
        <w:rPr>
          <w:rFonts w:ascii="宋体" w:hAnsi="宋体" w:cs="宋体"/>
          <w:b/>
          <w:color w:val="auto"/>
          <w:szCs w:val="21"/>
          <w:highlight w:val="none"/>
        </w:rPr>
      </w:pPr>
      <w:bookmarkStart w:id="20" w:name="_Toc91899903"/>
      <w:r>
        <w:rPr>
          <w:rFonts w:hint="eastAsia" w:ascii="宋体" w:hAnsi="宋体" w:cs="宋体"/>
          <w:b/>
          <w:color w:val="auto"/>
          <w:szCs w:val="21"/>
          <w:highlight w:val="none"/>
        </w:rPr>
        <w:t>21.</w:t>
      </w:r>
      <w:r>
        <w:rPr>
          <w:rFonts w:hint="eastAsia" w:ascii="宋体" w:hAnsi="宋体" w:cs="宋体"/>
          <w:color w:val="auto"/>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Cs w:val="21"/>
          <w:highlight w:val="none"/>
        </w:rPr>
        <w:t>详见招标文件第四部分评标办法。</w:t>
      </w:r>
    </w:p>
    <w:p>
      <w:pPr>
        <w:pStyle w:val="2"/>
        <w:ind w:firstLine="422"/>
        <w:rPr>
          <w:color w:val="auto"/>
          <w:sz w:val="21"/>
          <w:szCs w:val="21"/>
          <w:highlight w:val="none"/>
        </w:rPr>
      </w:pPr>
      <w:r>
        <w:rPr>
          <w:rFonts w:hint="eastAsia"/>
          <w:color w:val="auto"/>
          <w:sz w:val="21"/>
          <w:szCs w:val="21"/>
          <w:highlight w:val="none"/>
        </w:rPr>
        <w:t>六、定 标</w:t>
      </w:r>
    </w:p>
    <w:p>
      <w:pPr>
        <w:pStyle w:val="26"/>
        <w:snapToGrid w:val="0"/>
        <w:spacing w:line="360" w:lineRule="auto"/>
        <w:ind w:firstLine="422"/>
        <w:rPr>
          <w:rFonts w:cs="宋体"/>
          <w:b/>
          <w:color w:val="auto"/>
          <w:sz w:val="21"/>
          <w:szCs w:val="21"/>
          <w:highlight w:val="none"/>
        </w:rPr>
      </w:pPr>
      <w:r>
        <w:rPr>
          <w:rFonts w:hint="eastAsia" w:cs="宋体"/>
          <w:b/>
          <w:color w:val="auto"/>
          <w:sz w:val="21"/>
          <w:szCs w:val="21"/>
          <w:highlight w:val="none"/>
        </w:rPr>
        <w:t>22. 确定中标供应商</w:t>
      </w:r>
    </w:p>
    <w:p>
      <w:pPr>
        <w:pStyle w:val="130"/>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422"/>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pPr>
        <w:widowControl/>
        <w:shd w:val="clear" w:color="auto" w:fill="FFFFFF"/>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23.3公告期限为1个工作日。</w:t>
      </w:r>
    </w:p>
    <w:p>
      <w:pPr>
        <w:widowControl/>
        <w:shd w:val="clear" w:color="auto" w:fill="FFFFFF"/>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24.由于中标、成交供应商原因导致重新采购的，应当承担支付代理费和专家评审费等费用在内的赔偿责任。</w:t>
      </w:r>
    </w:p>
    <w:p>
      <w:pPr>
        <w:pStyle w:val="2"/>
        <w:ind w:firstLine="422"/>
        <w:rPr>
          <w:color w:val="auto"/>
          <w:sz w:val="21"/>
          <w:szCs w:val="21"/>
          <w:highlight w:val="none"/>
        </w:rPr>
      </w:pPr>
      <w:r>
        <w:rPr>
          <w:rFonts w:hint="eastAsia"/>
          <w:color w:val="auto"/>
          <w:sz w:val="21"/>
          <w:szCs w:val="21"/>
          <w:highlight w:val="none"/>
        </w:rPr>
        <w:t>七、合同授予</w:t>
      </w:r>
    </w:p>
    <w:p>
      <w:pPr>
        <w:pStyle w:val="26"/>
        <w:snapToGrid w:val="0"/>
        <w:spacing w:line="360" w:lineRule="auto"/>
        <w:ind w:firstLine="422"/>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pPr>
        <w:pStyle w:val="26"/>
        <w:snapToGrid w:val="0"/>
        <w:spacing w:line="360" w:lineRule="auto"/>
        <w:ind w:firstLine="422"/>
        <w:rPr>
          <w:rFonts w:cs="宋体"/>
          <w:b/>
          <w:color w:val="auto"/>
          <w:sz w:val="21"/>
          <w:szCs w:val="21"/>
          <w:highlight w:val="none"/>
        </w:rPr>
      </w:pPr>
      <w:r>
        <w:rPr>
          <w:rFonts w:hint="eastAsia" w:cs="宋体"/>
          <w:b/>
          <w:color w:val="auto"/>
          <w:sz w:val="21"/>
          <w:szCs w:val="21"/>
          <w:highlight w:val="none"/>
        </w:rPr>
        <w:t>25. 合同的签订</w:t>
      </w:r>
    </w:p>
    <w:p>
      <w:pPr>
        <w:widowControl/>
        <w:shd w:val="clear" w:color="auto" w:fill="FFFFFF"/>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25.1</w:t>
      </w:r>
      <w:r>
        <w:rPr>
          <w:rFonts w:hint="eastAsia" w:ascii="宋体" w:hAnsi="宋体" w:cs="宋体"/>
          <w:color w:val="auto"/>
          <w:kern w:val="0"/>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pPr>
        <w:pStyle w:val="26"/>
        <w:snapToGrid w:val="0"/>
        <w:spacing w:line="360" w:lineRule="auto"/>
        <w:ind w:firstLine="422"/>
        <w:rPr>
          <w:rFonts w:cs="宋体"/>
          <w:b/>
          <w:color w:val="auto"/>
          <w:sz w:val="21"/>
          <w:szCs w:val="21"/>
          <w:highlight w:val="none"/>
        </w:rPr>
      </w:pPr>
      <w:r>
        <w:rPr>
          <w:rFonts w:hint="eastAsia" w:cs="宋体"/>
          <w:b/>
          <w:color w:val="auto"/>
          <w:sz w:val="21"/>
          <w:szCs w:val="21"/>
          <w:highlight w:val="none"/>
        </w:rPr>
        <w:t>26. 履约保证金</w:t>
      </w:r>
    </w:p>
    <w:p>
      <w:pPr>
        <w:tabs>
          <w:tab w:val="left" w:pos="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ascii="宋体" w:hAnsi="宋体" w:cs="宋体"/>
          <w:color w:val="auto"/>
          <w:kern w:val="0"/>
          <w:szCs w:val="21"/>
          <w:highlight w:val="none"/>
        </w:rPr>
        <w:t>1</w:t>
      </w:r>
      <w:r>
        <w:rPr>
          <w:rFonts w:hint="eastAsia" w:ascii="宋体" w:hAnsi="宋体" w:cs="宋体"/>
          <w:color w:val="auto"/>
          <w:kern w:val="0"/>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kern w:val="0"/>
          <w:szCs w:val="21"/>
          <w:highlight w:val="none"/>
        </w:rPr>
        <w:t>延迟退还的，应当按照合同约定和法律规定承担相应的赔偿责任</w:t>
      </w:r>
      <w:r>
        <w:rPr>
          <w:rFonts w:hint="eastAsia" w:ascii="宋体" w:hAnsi="宋体" w:cs="宋体"/>
          <w:color w:val="auto"/>
          <w:kern w:val="0"/>
          <w:szCs w:val="21"/>
          <w:highlight w:val="none"/>
        </w:rPr>
        <w:t>。</w:t>
      </w:r>
    </w:p>
    <w:p>
      <w:pPr>
        <w:tabs>
          <w:tab w:val="left" w:pos="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snapToGrid w:val="0"/>
        <w:spacing w:line="360" w:lineRule="auto"/>
        <w:ind w:firstLine="422"/>
        <w:rPr>
          <w:rFonts w:cs="宋体"/>
          <w:b/>
          <w:color w:val="auto"/>
          <w:sz w:val="21"/>
          <w:szCs w:val="21"/>
          <w:highlight w:val="none"/>
        </w:rPr>
      </w:pPr>
      <w:r>
        <w:rPr>
          <w:rFonts w:hint="eastAsia" w:cs="宋体"/>
          <w:b/>
          <w:color w:val="auto"/>
          <w:sz w:val="21"/>
          <w:szCs w:val="21"/>
          <w:highlight w:val="none"/>
        </w:rPr>
        <w:t>2</w:t>
      </w:r>
      <w:r>
        <w:rPr>
          <w:rFonts w:cs="宋体"/>
          <w:b/>
          <w:color w:val="auto"/>
          <w:sz w:val="21"/>
          <w:szCs w:val="21"/>
          <w:highlight w:val="none"/>
        </w:rPr>
        <w:t>7.</w:t>
      </w:r>
      <w:r>
        <w:rPr>
          <w:rFonts w:hint="eastAsia" w:cs="宋体"/>
          <w:b/>
          <w:color w:val="auto"/>
          <w:sz w:val="21"/>
          <w:szCs w:val="21"/>
          <w:highlight w:val="none"/>
        </w:rPr>
        <w:t>预付款</w:t>
      </w:r>
    </w:p>
    <w:p>
      <w:pPr>
        <w:tabs>
          <w:tab w:val="left" w:pos="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2"/>
        <w:ind w:firstLine="422"/>
        <w:rPr>
          <w:color w:val="auto"/>
          <w:sz w:val="21"/>
          <w:szCs w:val="21"/>
          <w:highlight w:val="none"/>
        </w:rPr>
      </w:pPr>
      <w:r>
        <w:rPr>
          <w:rFonts w:hint="eastAsia"/>
          <w:color w:val="auto"/>
          <w:sz w:val="21"/>
          <w:szCs w:val="21"/>
          <w:highlight w:val="none"/>
        </w:rPr>
        <w:t>八、电子交易活动的中止</w:t>
      </w:r>
    </w:p>
    <w:p>
      <w:pPr>
        <w:pStyle w:val="130"/>
        <w:snapToGrid w:val="0"/>
        <w:spacing w:before="0"/>
        <w:ind w:firstLine="422"/>
        <w:rPr>
          <w:rFonts w:ascii="宋体" w:hAnsi="宋体" w:cs="宋体"/>
          <w:color w:val="auto"/>
          <w:sz w:val="21"/>
          <w:szCs w:val="21"/>
          <w:highlight w:val="none"/>
        </w:rPr>
      </w:pPr>
      <w:r>
        <w:rPr>
          <w:rFonts w:hint="eastAsia" w:ascii="宋体" w:hAnsi="宋体" w:cs="宋体"/>
          <w:b/>
          <w:bCs/>
          <w:color w:val="auto"/>
          <w:sz w:val="21"/>
          <w:szCs w:val="21"/>
          <w:highlight w:val="none"/>
        </w:rPr>
        <w:t>2</w:t>
      </w:r>
      <w:r>
        <w:rPr>
          <w:rFonts w:ascii="宋体" w:hAnsi="宋体" w:cs="宋体"/>
          <w:b/>
          <w:color w:val="auto"/>
          <w:sz w:val="21"/>
          <w:szCs w:val="21"/>
          <w:highlight w:val="none"/>
        </w:rPr>
        <w:t>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8</w:t>
      </w:r>
      <w:r>
        <w:rPr>
          <w:rFonts w:hint="eastAsia" w:ascii="宋体" w:hAnsi="宋体" w:cs="宋体"/>
          <w:color w:val="auto"/>
          <w:sz w:val="21"/>
          <w:szCs w:val="21"/>
          <w:highlight w:val="none"/>
        </w:rPr>
        <w:t xml:space="preserve">.1电子交易平台发生故障而无法登录访问的； </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8</w:t>
      </w:r>
      <w:r>
        <w:rPr>
          <w:rFonts w:hint="eastAsia" w:ascii="宋体" w:hAnsi="宋体" w:cs="宋体"/>
          <w:color w:val="auto"/>
          <w:sz w:val="21"/>
          <w:szCs w:val="21"/>
          <w:highlight w:val="none"/>
        </w:rPr>
        <w:t>.2电子交易平台应用或数据库出现错误，不能进行正常操作的；</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8</w:t>
      </w:r>
      <w:r>
        <w:rPr>
          <w:rFonts w:hint="eastAsia" w:ascii="宋体" w:hAnsi="宋体" w:cs="宋体"/>
          <w:color w:val="auto"/>
          <w:sz w:val="21"/>
          <w:szCs w:val="21"/>
          <w:highlight w:val="none"/>
        </w:rPr>
        <w:t>.3电子交易平台发现严重安全漏洞，有潜在泄密危险的；</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8</w:t>
      </w:r>
      <w:r>
        <w:rPr>
          <w:rFonts w:hint="eastAsia" w:ascii="宋体" w:hAnsi="宋体" w:cs="宋体"/>
          <w:color w:val="auto"/>
          <w:sz w:val="21"/>
          <w:szCs w:val="21"/>
          <w:highlight w:val="none"/>
        </w:rPr>
        <w:t xml:space="preserve">.4病毒发作导致不能进行正常操作的； </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8</w:t>
      </w:r>
      <w:r>
        <w:rPr>
          <w:rFonts w:hint="eastAsia" w:ascii="宋体" w:hAnsi="宋体" w:cs="宋体"/>
          <w:color w:val="auto"/>
          <w:sz w:val="21"/>
          <w:szCs w:val="21"/>
          <w:highlight w:val="none"/>
        </w:rPr>
        <w:t>.5其他无法保证电子交易的公平、公正和安全的情况。</w:t>
      </w:r>
    </w:p>
    <w:p>
      <w:pPr>
        <w:pStyle w:val="130"/>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9</w:t>
      </w:r>
      <w:r>
        <w:rPr>
          <w:rFonts w:hint="eastAsia" w:ascii="宋体" w:hAnsi="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2"/>
        <w:ind w:firstLine="422"/>
        <w:rPr>
          <w:color w:val="auto"/>
          <w:sz w:val="21"/>
          <w:szCs w:val="21"/>
          <w:highlight w:val="none"/>
        </w:rPr>
      </w:pPr>
      <w:r>
        <w:rPr>
          <w:rFonts w:hint="eastAsia"/>
          <w:color w:val="auto"/>
          <w:sz w:val="21"/>
          <w:szCs w:val="21"/>
          <w:highlight w:val="none"/>
        </w:rPr>
        <w:t>九、验收</w:t>
      </w:r>
    </w:p>
    <w:p>
      <w:pPr>
        <w:pStyle w:val="26"/>
        <w:snapToGrid w:val="0"/>
        <w:spacing w:line="360" w:lineRule="auto"/>
        <w:ind w:firstLine="422"/>
        <w:rPr>
          <w:rFonts w:cs="宋体"/>
          <w:b/>
          <w:color w:val="auto"/>
          <w:sz w:val="21"/>
          <w:szCs w:val="21"/>
          <w:highlight w:val="none"/>
        </w:rPr>
      </w:pPr>
      <w:r>
        <w:rPr>
          <w:rFonts w:cs="宋体"/>
          <w:b/>
          <w:color w:val="auto"/>
          <w:sz w:val="21"/>
          <w:szCs w:val="21"/>
          <w:highlight w:val="none"/>
        </w:rPr>
        <w:t>30</w:t>
      </w:r>
      <w:r>
        <w:rPr>
          <w:rFonts w:hint="eastAsia" w:cs="宋体"/>
          <w:b/>
          <w:color w:val="auto"/>
          <w:sz w:val="21"/>
          <w:szCs w:val="21"/>
          <w:highlight w:val="none"/>
        </w:rPr>
        <w:t>.验收</w:t>
      </w:r>
    </w:p>
    <w:p>
      <w:pPr>
        <w:tabs>
          <w:tab w:val="left" w:pos="0"/>
        </w:tabs>
        <w:snapToGrid w:val="0"/>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30</w:t>
      </w:r>
      <w:r>
        <w:rPr>
          <w:rFonts w:hint="eastAsia" w:ascii="宋体" w:hAnsi="宋体" w:cs="宋体"/>
          <w:color w:val="auto"/>
          <w:kern w:val="0"/>
          <w:szCs w:val="21"/>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30</w:t>
      </w:r>
      <w:r>
        <w:rPr>
          <w:rFonts w:hint="eastAsia" w:ascii="宋体" w:hAnsi="宋体" w:cs="宋体"/>
          <w:color w:val="auto"/>
          <w:kern w:val="0"/>
          <w:szCs w:val="21"/>
          <w:highlight w:val="none"/>
        </w:rPr>
        <w:t>.2采购人可以邀请参加本项目的其他投标人或者第三方机构参与验收。参与验收的投标人或者第三方机构的意见作为验收书的参考资料一并存档。</w:t>
      </w:r>
    </w:p>
    <w:p>
      <w:pPr>
        <w:tabs>
          <w:tab w:val="left" w:pos="0"/>
        </w:tabs>
        <w:snapToGrid w:val="0"/>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30</w:t>
      </w:r>
      <w:r>
        <w:rPr>
          <w:rFonts w:hint="eastAsia" w:ascii="宋体" w:hAnsi="宋体" w:cs="宋体"/>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30</w:t>
      </w:r>
      <w:r>
        <w:rPr>
          <w:rFonts w:hint="eastAsia" w:ascii="宋体" w:hAnsi="宋体" w:cs="宋体"/>
          <w:color w:val="auto"/>
          <w:kern w:val="0"/>
          <w:szCs w:val="21"/>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79"/>
        <w:rPr>
          <w:color w:val="auto"/>
          <w:highlight w:val="none"/>
        </w:rPr>
      </w:pPr>
    </w:p>
    <w:bookmarkEnd w:id="16"/>
    <w:bookmarkEnd w:id="17"/>
    <w:bookmarkEnd w:id="20"/>
    <w:p>
      <w:pPr>
        <w:widowControl/>
        <w:adjustRightInd/>
        <w:jc w:val="left"/>
        <w:rPr>
          <w:rFonts w:ascii="宋体" w:hAnsi="宋体" w:cs="宋体"/>
          <w:b/>
          <w:color w:val="auto"/>
          <w:sz w:val="36"/>
          <w:szCs w:val="36"/>
          <w:highlight w:val="none"/>
        </w:rPr>
      </w:pPr>
      <w:bookmarkStart w:id="21" w:name="_Hlt68057669"/>
      <w:bookmarkEnd w:id="21"/>
      <w:bookmarkStart w:id="22" w:name="_Hlt74730295"/>
      <w:bookmarkEnd w:id="22"/>
      <w:bookmarkStart w:id="23" w:name="_Hlt74729768"/>
      <w:bookmarkEnd w:id="23"/>
      <w:bookmarkStart w:id="24" w:name="_Hlt68072998"/>
      <w:bookmarkEnd w:id="24"/>
      <w:bookmarkStart w:id="25" w:name="_Hlt75236011"/>
      <w:bookmarkEnd w:id="25"/>
      <w:bookmarkStart w:id="26" w:name="_Hlt68403820"/>
      <w:bookmarkEnd w:id="26"/>
      <w:bookmarkStart w:id="27" w:name="_Hlt75236290"/>
      <w:bookmarkEnd w:id="27"/>
      <w:bookmarkStart w:id="28" w:name="_Hlt74714665"/>
      <w:bookmarkEnd w:id="28"/>
      <w:bookmarkStart w:id="29" w:name="_Hlt75236101"/>
      <w:bookmarkEnd w:id="29"/>
      <w:bookmarkStart w:id="30" w:name="_Hlt68072990"/>
      <w:bookmarkEnd w:id="30"/>
      <w:bookmarkStart w:id="31" w:name="_Hlt68073093"/>
      <w:bookmarkEnd w:id="31"/>
      <w:bookmarkStart w:id="32" w:name="_Hlt74707468"/>
      <w:bookmarkEnd w:id="32"/>
      <w:bookmarkStart w:id="33" w:name="第四部分"/>
      <w:r>
        <w:rPr>
          <w:rFonts w:ascii="宋体" w:hAnsi="宋体" w:cs="宋体"/>
          <w:b/>
          <w:color w:val="auto"/>
          <w:sz w:val="36"/>
          <w:szCs w:val="36"/>
          <w:highlight w:val="none"/>
        </w:rPr>
        <w:br w:type="page"/>
      </w:r>
    </w:p>
    <w:p>
      <w:pPr>
        <w:numPr>
          <w:ilvl w:val="0"/>
          <w:numId w:val="2"/>
        </w:numPr>
        <w:adjustRightInd/>
        <w:spacing w:line="360" w:lineRule="auto"/>
        <w:jc w:val="center"/>
        <w:outlineLvl w:val="0"/>
        <w:rPr>
          <w:rStyle w:val="282"/>
          <w:color w:val="auto"/>
          <w:highlight w:val="none"/>
        </w:rPr>
      </w:pPr>
      <w:bookmarkStart w:id="34" w:name="_Toc26067"/>
      <w:r>
        <w:rPr>
          <w:rStyle w:val="282"/>
          <w:rFonts w:hint="eastAsia"/>
          <w:color w:val="auto"/>
          <w:highlight w:val="none"/>
        </w:rPr>
        <w:t xml:space="preserve">  采购需求</w:t>
      </w:r>
      <w:bookmarkEnd w:id="34"/>
    </w:p>
    <w:p>
      <w:pPr>
        <w:keepNext/>
        <w:keepLines/>
        <w:numPr>
          <w:ilvl w:val="0"/>
          <w:numId w:val="3"/>
        </w:numPr>
        <w:adjustRightInd/>
        <w:spacing w:line="360" w:lineRule="auto"/>
        <w:jc w:val="left"/>
        <w:outlineLvl w:val="1"/>
        <w:rPr>
          <w:rFonts w:ascii="仿宋_GB2312" w:hAnsi="仿宋_GB2312"/>
          <w:b/>
          <w:bCs/>
          <w:color w:val="auto"/>
          <w:szCs w:val="21"/>
          <w:highlight w:val="none"/>
        </w:rPr>
      </w:pPr>
      <w:bookmarkStart w:id="35" w:name="_Toc27923"/>
      <w:bookmarkStart w:id="36" w:name="_Toc418846105"/>
      <w:bookmarkStart w:id="37" w:name="_Toc22609"/>
      <w:bookmarkStart w:id="38" w:name="_Toc30857"/>
      <w:bookmarkStart w:id="39" w:name="_Toc28332"/>
      <w:r>
        <w:rPr>
          <w:rFonts w:hint="eastAsia" w:ascii="仿宋_GB2312" w:hAnsi="仿宋_GB2312"/>
          <w:b/>
          <w:bCs/>
          <w:color w:val="auto"/>
          <w:szCs w:val="21"/>
          <w:highlight w:val="none"/>
        </w:rPr>
        <w:t>项目</w:t>
      </w:r>
      <w:bookmarkEnd w:id="35"/>
      <w:bookmarkEnd w:id="36"/>
      <w:bookmarkEnd w:id="37"/>
      <w:bookmarkEnd w:id="38"/>
      <w:bookmarkEnd w:id="39"/>
      <w:r>
        <w:rPr>
          <w:rFonts w:hint="eastAsia" w:ascii="仿宋_GB2312" w:hAnsi="仿宋_GB2312"/>
          <w:b/>
          <w:bCs/>
          <w:color w:val="auto"/>
          <w:szCs w:val="21"/>
          <w:highlight w:val="none"/>
        </w:rPr>
        <w:t>背景</w:t>
      </w:r>
    </w:p>
    <w:p>
      <w:pPr>
        <w:tabs>
          <w:tab w:val="left" w:pos="0"/>
        </w:tabs>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噪声污染关系到每个人的切身利益，特别是近10年来，随着生活水平不断提高,人民群众对“宁静”生活环境的需要日益增长，但噪声污染多发、多样，日趋严重。为回应人民群众的新要求新期待，新修订的《中华人民共和国噪声污染防治法》（简称：噪声污染防治法）已于2022年6月5日正式施行。噪声污染防治法从噪声污染内涵、噪声污染源头防控、各级政府责任与考核、分类噪声污染防控、聚焦噪声扰民难点等5个方面进行明确要求，对建筑施工、工业企业、社会生活、交通运输等四类噪声污染进行分类防控，对症下药精准施策。为贯彻落实《中华人民共和国噪声污染防治法》，按照《中共中央 国务院关于深入打好污染防治攻坚战的意见》，生态环境部于今年牵头制定发布了《“十四五”噪声污染防治行动计划》，要求针对各场景开展噪声污染防治行动，鼓励宁静区域建设，鼓励典型示范引领，鼓励有条件的城市依托噪声溯源等信息化手段，加强噪声污染防治精准化管控。经浙江省生态环境厅同意，在杭州市开展“浙里宁静”试点工作，按照杭州市生态环境局统一部署，钱塘分局重点开展宁静工地试点建设，探索建筑施工噪声污染事件预警、科技监管等场景化应用。</w:t>
      </w:r>
    </w:p>
    <w:p>
      <w:pPr>
        <w:keepNext/>
        <w:keepLines/>
        <w:numPr>
          <w:ilvl w:val="0"/>
          <w:numId w:val="3"/>
        </w:numPr>
        <w:adjustRightInd/>
        <w:spacing w:line="360" w:lineRule="auto"/>
        <w:jc w:val="left"/>
        <w:outlineLvl w:val="1"/>
        <w:rPr>
          <w:rFonts w:ascii="仿宋_GB2312" w:hAnsi="仿宋_GB2312"/>
          <w:b/>
          <w:bCs/>
          <w:color w:val="auto"/>
          <w:szCs w:val="21"/>
          <w:highlight w:val="none"/>
        </w:rPr>
      </w:pPr>
      <w:r>
        <w:rPr>
          <w:rFonts w:hint="eastAsia" w:ascii="仿宋_GB2312" w:hAnsi="仿宋_GB2312"/>
          <w:b/>
          <w:bCs/>
          <w:color w:val="auto"/>
          <w:szCs w:val="21"/>
          <w:highlight w:val="none"/>
        </w:rPr>
        <w:t>采购清单</w:t>
      </w:r>
    </w:p>
    <w:tbl>
      <w:tblPr>
        <w:tblStyle w:val="62"/>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3763"/>
        <w:gridCol w:w="765"/>
        <w:gridCol w:w="780"/>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818" w:type="dxa"/>
            <w:tcBorders>
              <w:tl2br w:val="nil"/>
              <w:tr2bl w:val="nil"/>
            </w:tcBorders>
            <w:shd w:val="clear" w:color="auto" w:fill="auto"/>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3763" w:type="dxa"/>
            <w:tcBorders>
              <w:tl2br w:val="nil"/>
              <w:tr2bl w:val="nil"/>
            </w:tcBorders>
            <w:shd w:val="clear" w:color="auto" w:fill="auto"/>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货物名称</w:t>
            </w:r>
          </w:p>
        </w:tc>
        <w:tc>
          <w:tcPr>
            <w:tcW w:w="765" w:type="dxa"/>
            <w:tcBorders>
              <w:tl2br w:val="nil"/>
              <w:tr2bl w:val="nil"/>
            </w:tcBorders>
            <w:shd w:val="clear" w:color="auto" w:fill="auto"/>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780" w:type="dxa"/>
            <w:tcBorders>
              <w:tl2br w:val="nil"/>
              <w:tr2bl w:val="nil"/>
            </w:tcBorders>
            <w:shd w:val="clear" w:color="auto" w:fill="auto"/>
            <w:vAlign w:val="center"/>
          </w:tcPr>
          <w:p>
            <w:pPr>
              <w:widowControl/>
              <w:spacing w:line="36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2393" w:type="dxa"/>
            <w:tcBorders>
              <w:tl2br w:val="nil"/>
              <w:tr2bl w:val="nil"/>
            </w:tcBorders>
            <w:shd w:val="clear" w:color="auto" w:fill="auto"/>
            <w:vAlign w:val="center"/>
          </w:tcPr>
          <w:p>
            <w:pPr>
              <w:widowControl/>
              <w:spacing w:line="36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818"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3763"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噪声智能监测</w:t>
            </w:r>
            <w:r>
              <w:rPr>
                <w:rFonts w:ascii="宋体" w:hAnsi="宋体" w:cs="宋体"/>
                <w:color w:val="auto"/>
                <w:kern w:val="0"/>
                <w:szCs w:val="21"/>
                <w:highlight w:val="none"/>
                <w:lang w:bidi="ar"/>
              </w:rPr>
              <w:t>设备（高配）</w:t>
            </w:r>
          </w:p>
        </w:tc>
        <w:tc>
          <w:tcPr>
            <w:tcW w:w="765"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780"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2393" w:type="dxa"/>
            <w:vMerge w:val="restart"/>
            <w:tcBorders>
              <w:tl2br w:val="nil"/>
              <w:tr2bl w:val="nil"/>
            </w:tcBorders>
            <w:shd w:val="clear" w:color="auto" w:fill="auto"/>
            <w:vAlign w:val="center"/>
          </w:tcPr>
          <w:p>
            <w:pPr>
              <w:widowControl/>
              <w:spacing w:line="360" w:lineRule="auto"/>
              <w:jc w:val="left"/>
              <w:textAlignment w:val="center"/>
              <w:rPr>
                <w:rFonts w:ascii="宋体" w:hAnsi="宋体" w:cs="宋体"/>
                <w:color w:val="auto"/>
                <w:kern w:val="0"/>
                <w:szCs w:val="21"/>
                <w:highlight w:val="none"/>
                <w:lang w:bidi="ar"/>
              </w:rPr>
            </w:pPr>
            <w:r>
              <w:rPr>
                <w:rFonts w:hint="eastAsia" w:ascii="Calibri" w:hAnsi="Calibri" w:cs="Calibri"/>
                <w:b/>
                <w:color w:val="auto"/>
                <w:szCs w:val="21"/>
                <w:highlight w:val="none"/>
                <w:u w:val="single"/>
              </w:rPr>
              <w:t>▲</w:t>
            </w:r>
            <w:r>
              <w:rPr>
                <w:rFonts w:hint="eastAsia" w:ascii="宋体" w:hAnsi="宋体" w:cs="宋体"/>
                <w:b/>
                <w:color w:val="auto"/>
                <w:kern w:val="0"/>
                <w:szCs w:val="21"/>
                <w:highlight w:val="none"/>
                <w:u w:val="single"/>
                <w:lang w:bidi="ar"/>
              </w:rPr>
              <w:t>为保证设备顺利施工安装，其中10套应配备太阳能板与内置电池。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818"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3763"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噪声自动监测</w:t>
            </w:r>
            <w:r>
              <w:rPr>
                <w:rFonts w:ascii="宋体" w:hAnsi="宋体" w:cs="宋体"/>
                <w:color w:val="auto"/>
                <w:kern w:val="0"/>
                <w:szCs w:val="21"/>
                <w:highlight w:val="none"/>
                <w:lang w:bidi="ar"/>
              </w:rPr>
              <w:t>设备（标配）</w:t>
            </w:r>
          </w:p>
        </w:tc>
        <w:tc>
          <w:tcPr>
            <w:tcW w:w="765"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w:t>
            </w:r>
          </w:p>
        </w:tc>
        <w:tc>
          <w:tcPr>
            <w:tcW w:w="780"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2393" w:type="dxa"/>
            <w:vMerge w:val="continue"/>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18"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3763"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bookmarkStart w:id="40" w:name="OLE_LINK11"/>
            <w:r>
              <w:rPr>
                <w:rFonts w:hint="eastAsia" w:ascii="宋体" w:hAnsi="宋体" w:cs="宋体"/>
                <w:color w:val="auto"/>
                <w:kern w:val="0"/>
                <w:szCs w:val="21"/>
                <w:highlight w:val="none"/>
                <w:lang w:bidi="ar"/>
              </w:rPr>
              <w:t>辅助功能模块（</w:t>
            </w:r>
            <w:r>
              <w:rPr>
                <w:rFonts w:hint="eastAsia"/>
                <w:color w:val="auto"/>
                <w:highlight w:val="none"/>
              </w:rPr>
              <w:t>预警报警证据链关联</w:t>
            </w:r>
            <w:r>
              <w:rPr>
                <w:rFonts w:hint="eastAsia" w:ascii="宋体" w:hAnsi="宋体" w:cs="宋体"/>
                <w:color w:val="auto"/>
                <w:kern w:val="0"/>
                <w:szCs w:val="21"/>
                <w:highlight w:val="none"/>
                <w:lang w:bidi="ar"/>
              </w:rPr>
              <w:t>）</w:t>
            </w:r>
            <w:bookmarkEnd w:id="40"/>
          </w:p>
        </w:tc>
        <w:tc>
          <w:tcPr>
            <w:tcW w:w="765"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780"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套</w:t>
            </w:r>
          </w:p>
        </w:tc>
        <w:tc>
          <w:tcPr>
            <w:tcW w:w="2393"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18"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3763"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辅助功能模块（</w:t>
            </w:r>
            <w:r>
              <w:rPr>
                <w:rFonts w:hint="eastAsia"/>
                <w:color w:val="auto"/>
                <w:highlight w:val="none"/>
              </w:rPr>
              <w:t>夜间施工审批</w:t>
            </w:r>
            <w:r>
              <w:rPr>
                <w:rFonts w:hint="eastAsia" w:ascii="宋体" w:hAnsi="宋体" w:cs="宋体"/>
                <w:color w:val="auto"/>
                <w:kern w:val="0"/>
                <w:szCs w:val="21"/>
                <w:highlight w:val="none"/>
                <w:lang w:bidi="ar"/>
              </w:rPr>
              <w:t>）</w:t>
            </w:r>
          </w:p>
        </w:tc>
        <w:tc>
          <w:tcPr>
            <w:tcW w:w="765"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780"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套</w:t>
            </w:r>
          </w:p>
        </w:tc>
        <w:tc>
          <w:tcPr>
            <w:tcW w:w="2393"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18"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3763"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安装调试、网络链路、质保维修等服务</w:t>
            </w:r>
          </w:p>
        </w:tc>
        <w:tc>
          <w:tcPr>
            <w:tcW w:w="765"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780"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w:t>
            </w:r>
          </w:p>
        </w:tc>
        <w:tc>
          <w:tcPr>
            <w:tcW w:w="2393" w:type="dxa"/>
            <w:tcBorders>
              <w:tl2br w:val="nil"/>
              <w:tr2bl w:val="nil"/>
            </w:tcBorders>
            <w:shd w:val="clear" w:color="auto" w:fill="auto"/>
            <w:vAlign w:val="center"/>
          </w:tcPr>
          <w:p>
            <w:pPr>
              <w:widowControl/>
              <w:spacing w:line="360" w:lineRule="auto"/>
              <w:jc w:val="center"/>
              <w:textAlignment w:val="center"/>
              <w:rPr>
                <w:rFonts w:ascii="宋体" w:hAnsi="宋体" w:cs="宋体"/>
                <w:color w:val="auto"/>
                <w:kern w:val="0"/>
                <w:szCs w:val="21"/>
                <w:highlight w:val="none"/>
                <w:lang w:bidi="ar"/>
              </w:rPr>
            </w:pPr>
          </w:p>
        </w:tc>
      </w:tr>
    </w:tbl>
    <w:p>
      <w:pPr>
        <w:pStyle w:val="23"/>
        <w:snapToGrid w:val="0"/>
        <w:ind w:firstLine="420" w:firstLineChars="200"/>
        <w:rPr>
          <w:rFonts w:hAnsi="宋体" w:cs="宋体"/>
          <w:color w:val="auto"/>
          <w:sz w:val="21"/>
          <w:highlight w:val="none"/>
          <w:lang w:val="en-US"/>
        </w:rPr>
      </w:pPr>
      <w:r>
        <w:rPr>
          <w:rFonts w:hint="eastAsia" w:hAnsi="宋体" w:cs="宋体"/>
          <w:color w:val="auto"/>
          <w:sz w:val="21"/>
          <w:highlight w:val="none"/>
          <w:lang w:val="en-US"/>
        </w:rPr>
        <w:t>说明：</w:t>
      </w:r>
    </w:p>
    <w:p>
      <w:pPr>
        <w:pStyle w:val="23"/>
        <w:snapToGrid w:val="0"/>
        <w:ind w:firstLine="420" w:firstLineChars="200"/>
        <w:rPr>
          <w:rFonts w:hAnsi="宋体" w:cs="宋体"/>
          <w:color w:val="auto"/>
          <w:sz w:val="21"/>
          <w:highlight w:val="none"/>
        </w:rPr>
      </w:pPr>
      <w:r>
        <w:rPr>
          <w:rFonts w:hint="eastAsia" w:hAnsi="宋体" w:cs="宋体"/>
          <w:color w:val="auto"/>
          <w:sz w:val="21"/>
          <w:highlight w:val="none"/>
          <w:lang w:val="en-US"/>
        </w:rPr>
        <w:t>1.</w:t>
      </w:r>
      <w:r>
        <w:rPr>
          <w:rFonts w:hint="eastAsia" w:hAnsi="宋体" w:cs="宋体"/>
          <w:color w:val="auto"/>
          <w:sz w:val="21"/>
          <w:highlight w:val="none"/>
        </w:rPr>
        <w:t>投标人提供的产品应满足本项目的需求，如提供的产品实际情况与投标文件中所承诺产品不符合，可视为虚假应标及欺诈行为，并追究相应责任。</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hAnsi="宋体" w:cs="宋体"/>
          <w:color w:val="auto"/>
          <w:highlight w:val="none"/>
        </w:rPr>
        <w:t>.</w:t>
      </w:r>
      <w:bookmarkStart w:id="41" w:name="OLE_LINK9"/>
      <w:r>
        <w:rPr>
          <w:rFonts w:hint="eastAsia" w:hAnsi="宋体" w:cs="宋体"/>
          <w:color w:val="auto"/>
          <w:highlight w:val="none"/>
        </w:rPr>
        <w:t xml:space="preserve"> </w:t>
      </w:r>
      <w:r>
        <w:rPr>
          <w:rFonts w:hint="eastAsia" w:ascii="宋体" w:hAnsi="宋体" w:cs="宋体"/>
          <w:color w:val="auto"/>
          <w:szCs w:val="21"/>
          <w:highlight w:val="none"/>
        </w:rPr>
        <w:t>本项目核心产品为</w:t>
      </w:r>
      <w:r>
        <w:rPr>
          <w:rFonts w:hint="eastAsia" w:ascii="宋体" w:hAnsi="宋体" w:cs="宋体"/>
          <w:color w:val="auto"/>
          <w:szCs w:val="21"/>
          <w:highlight w:val="none"/>
          <w:u w:val="single"/>
        </w:rPr>
        <w:t xml:space="preserve"> 噪声智能监测设备（高配） </w:t>
      </w:r>
      <w:r>
        <w:rPr>
          <w:rFonts w:hint="eastAsia" w:ascii="宋体" w:hAnsi="宋体" w:cs="宋体"/>
          <w:color w:val="auto"/>
          <w:szCs w:val="21"/>
          <w:highlight w:val="none"/>
        </w:rPr>
        <w:t>。若出现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bookmarkEnd w:id="41"/>
    <w:p>
      <w:pPr>
        <w:snapToGrid w:val="0"/>
        <w:spacing w:line="360" w:lineRule="auto"/>
        <w:ind w:firstLine="420" w:firstLineChars="200"/>
        <w:rPr>
          <w:rFonts w:ascii="宋体" w:hAnsi="宋体" w:cs="宋体"/>
          <w:bCs/>
          <w:color w:val="auto"/>
          <w:szCs w:val="21"/>
          <w:highlight w:val="none"/>
        </w:rPr>
      </w:pPr>
      <w:bookmarkStart w:id="42" w:name="_Toc27394"/>
      <w:r>
        <w:rPr>
          <w:rFonts w:hint="eastAsia" w:ascii="Calibri" w:hAnsi="Calibri" w:cs="Calibri"/>
          <w:bCs/>
          <w:color w:val="auto"/>
          <w:szCs w:val="21"/>
          <w:highlight w:val="none"/>
        </w:rPr>
        <w:t>3</w:t>
      </w:r>
      <w:r>
        <w:rPr>
          <w:rFonts w:hint="eastAsia" w:hAnsi="宋体" w:cs="宋体"/>
          <w:color w:val="auto"/>
          <w:highlight w:val="none"/>
        </w:rPr>
        <w:t xml:space="preserve">. </w:t>
      </w:r>
      <w:r>
        <w:rPr>
          <w:rFonts w:hint="eastAsia" w:ascii="宋体" w:hAnsi="宋体" w:cs="宋体"/>
          <w:bCs/>
          <w:color w:val="auto"/>
          <w:szCs w:val="21"/>
          <w:highlight w:val="none"/>
        </w:rPr>
        <w:t>本项目所有产品不得采用进口产品投标。</w:t>
      </w:r>
    </w:p>
    <w:p>
      <w:pPr>
        <w:snapToGrid w:val="0"/>
        <w:spacing w:line="360" w:lineRule="auto"/>
        <w:ind w:firstLine="422" w:firstLineChars="200"/>
        <w:rPr>
          <w:rFonts w:ascii="Calibri" w:hAnsi="Calibri" w:cs="Calibri"/>
          <w:b/>
          <w:color w:val="auto"/>
          <w:szCs w:val="21"/>
          <w:highlight w:val="none"/>
        </w:rPr>
      </w:pPr>
      <w:r>
        <w:rPr>
          <w:rFonts w:hint="eastAsia" w:ascii="Calibri" w:hAnsi="Calibri" w:cs="Calibri"/>
          <w:b/>
          <w:color w:val="auto"/>
          <w:szCs w:val="21"/>
          <w:highlight w:val="none"/>
        </w:rPr>
        <w:t>4</w:t>
      </w:r>
      <w:r>
        <w:rPr>
          <w:rFonts w:hint="eastAsia" w:hAnsi="宋体" w:cs="宋体"/>
          <w:color w:val="auto"/>
          <w:highlight w:val="none"/>
        </w:rPr>
        <w:t xml:space="preserve">. </w:t>
      </w:r>
      <w:r>
        <w:rPr>
          <w:rFonts w:hint="eastAsia" w:ascii="Calibri" w:hAnsi="Calibri" w:cs="Calibri"/>
          <w:b/>
          <w:color w:val="auto"/>
          <w:szCs w:val="21"/>
          <w:highlight w:val="none"/>
        </w:rPr>
        <w:t>本章中所有带▲ 的内容是采购人提出的实质性要求，投标文件响应内容若不满足实质性要求，该投标文件将被评标委员会认定为无效。本章中所有带★的内容的是采购人提出的关键条款，投标人需按招标文件要求提供相应佐证材料，若未提供视为负偏离。</w:t>
      </w:r>
    </w:p>
    <w:p>
      <w:pPr>
        <w:keepNext/>
        <w:keepLines/>
        <w:numPr>
          <w:ilvl w:val="0"/>
          <w:numId w:val="3"/>
        </w:numPr>
        <w:adjustRightInd/>
        <w:spacing w:line="360" w:lineRule="auto"/>
        <w:jc w:val="left"/>
        <w:outlineLvl w:val="1"/>
        <w:rPr>
          <w:rFonts w:ascii="仿宋_GB2312" w:hAnsi="仿宋_GB2312"/>
          <w:b/>
          <w:bCs/>
          <w:color w:val="auto"/>
          <w:szCs w:val="21"/>
          <w:highlight w:val="none"/>
        </w:rPr>
      </w:pPr>
      <w:r>
        <w:rPr>
          <w:rFonts w:hint="eastAsia" w:ascii="仿宋_GB2312" w:hAnsi="仿宋_GB2312"/>
          <w:b/>
          <w:bCs/>
          <w:color w:val="auto"/>
          <w:szCs w:val="21"/>
          <w:highlight w:val="none"/>
        </w:rPr>
        <w:t>技术要求</w:t>
      </w:r>
      <w:bookmarkEnd w:id="42"/>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1.噪声智能监测设备（高配）。由噪声监测子站、气象参数单元、视频监控单元、音频监控单元、声源类型识别、声源方向识别等组成。</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监测系统各户外设备在以下环境条件中应能正常工作：</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  空气温度：-20 ℃~60 ℃;</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  相对湿度：0～100%（不凝结）；</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  气压：65 kPa～108 kPa。</w:t>
      </w:r>
    </w:p>
    <w:p>
      <w:pPr>
        <w:adjustRightInd/>
        <w:spacing w:line="360" w:lineRule="auto"/>
        <w:ind w:firstLine="420" w:firstLineChars="200"/>
        <w:rPr>
          <w:color w:val="auto"/>
          <w:highlight w:val="none"/>
        </w:rPr>
      </w:pPr>
      <w:r>
        <w:rPr>
          <w:rFonts w:hint="eastAsia"/>
          <w:color w:val="auto"/>
          <w:highlight w:val="none"/>
        </w:rPr>
        <w:t>（1）噪声监测子站</w:t>
      </w:r>
    </w:p>
    <w:p>
      <w:pPr>
        <w:adjustRightInd/>
        <w:spacing w:line="360" w:lineRule="auto"/>
        <w:ind w:firstLine="420" w:firstLineChars="200"/>
        <w:rPr>
          <w:b/>
          <w:bCs/>
          <w:color w:val="auto"/>
          <w:highlight w:val="none"/>
          <w:u w:val="single"/>
        </w:rPr>
      </w:pPr>
      <w:r>
        <w:rPr>
          <w:rFonts w:hint="eastAsia"/>
          <w:color w:val="auto"/>
          <w:highlight w:val="none"/>
        </w:rPr>
        <w:t>1）</w:t>
      </w:r>
      <w:r>
        <w:rPr>
          <w:rFonts w:hint="eastAsia"/>
          <w:b/>
          <w:bCs/>
          <w:color w:val="auto"/>
          <w:highlight w:val="none"/>
          <w:u w:val="single"/>
        </w:rPr>
        <w:t>★环境噪声监测仪应取得计量器具型式批准证书，其性能等级不低于 GB/T 3785.1 对 2 级声级计的要求。（提供计量器具型式批准证书）</w:t>
      </w:r>
    </w:p>
    <w:p>
      <w:pPr>
        <w:adjustRightInd/>
        <w:spacing w:line="360" w:lineRule="auto"/>
        <w:ind w:firstLine="420" w:firstLineChars="200"/>
        <w:rPr>
          <w:color w:val="auto"/>
          <w:highlight w:val="none"/>
        </w:rPr>
      </w:pPr>
      <w:r>
        <w:rPr>
          <w:rFonts w:hint="eastAsia"/>
          <w:color w:val="auto"/>
          <w:highlight w:val="none"/>
        </w:rPr>
        <w:t>2）噪声监测仪应具有 A 计权和 C 计权。</w:t>
      </w:r>
    </w:p>
    <w:p>
      <w:pPr>
        <w:adjustRightInd/>
        <w:spacing w:line="360" w:lineRule="auto"/>
        <w:ind w:firstLine="420" w:firstLineChars="200"/>
        <w:rPr>
          <w:color w:val="auto"/>
          <w:highlight w:val="none"/>
        </w:rPr>
      </w:pPr>
      <w:r>
        <w:rPr>
          <w:rFonts w:hint="eastAsia"/>
          <w:color w:val="auto"/>
          <w:highlight w:val="none"/>
        </w:rPr>
        <w:t>3）</w:t>
      </w:r>
      <w:r>
        <w:rPr>
          <w:rFonts w:hint="eastAsia"/>
          <w:b/>
          <w:bCs/>
          <w:color w:val="auto"/>
          <w:highlight w:val="none"/>
          <w:u w:val="single"/>
        </w:rPr>
        <w:t xml:space="preserve">★单量程测量范围应不低于 </w:t>
      </w:r>
      <w:r>
        <w:rPr>
          <w:b/>
          <w:bCs/>
          <w:color w:val="auto"/>
          <w:highlight w:val="none"/>
          <w:u w:val="single"/>
        </w:rPr>
        <w:t>25</w:t>
      </w:r>
      <w:r>
        <w:rPr>
          <w:rFonts w:hint="eastAsia"/>
          <w:b/>
          <w:bCs/>
          <w:color w:val="auto"/>
          <w:highlight w:val="none"/>
          <w:u w:val="single"/>
        </w:rPr>
        <w:t xml:space="preserve"> dB(A)～130dB(A)。</w:t>
      </w:r>
    </w:p>
    <w:p>
      <w:pPr>
        <w:adjustRightInd/>
        <w:spacing w:line="360" w:lineRule="auto"/>
        <w:ind w:firstLine="420" w:firstLineChars="200"/>
        <w:rPr>
          <w:color w:val="auto"/>
          <w:highlight w:val="none"/>
        </w:rPr>
      </w:pPr>
      <w:r>
        <w:rPr>
          <w:rFonts w:hint="eastAsia"/>
          <w:color w:val="auto"/>
          <w:highlight w:val="none"/>
        </w:rPr>
        <w:t xml:space="preserve">4）噪声监测仪的户外传声器的防风罩在风速 30 m/s 下不损坏。 </w:t>
      </w:r>
    </w:p>
    <w:p>
      <w:pPr>
        <w:adjustRightInd/>
        <w:spacing w:line="360" w:lineRule="auto"/>
        <w:ind w:firstLine="420" w:firstLineChars="200"/>
        <w:rPr>
          <w:color w:val="auto"/>
          <w:highlight w:val="none"/>
        </w:rPr>
      </w:pPr>
      <w:r>
        <w:rPr>
          <w:rFonts w:hint="eastAsia"/>
          <w:color w:val="auto"/>
          <w:highlight w:val="none"/>
        </w:rPr>
        <w:t xml:space="preserve">5）噪声监测仪应具有 F、S 时间计权，采样间隔不大于 1 s。 </w:t>
      </w:r>
    </w:p>
    <w:p>
      <w:pPr>
        <w:adjustRightInd/>
        <w:spacing w:line="360" w:lineRule="auto"/>
        <w:ind w:firstLine="420" w:firstLineChars="200"/>
        <w:rPr>
          <w:color w:val="auto"/>
          <w:highlight w:val="none"/>
        </w:rPr>
      </w:pPr>
      <w:r>
        <w:rPr>
          <w:rFonts w:hint="eastAsia"/>
          <w:color w:val="auto"/>
          <w:highlight w:val="none"/>
        </w:rPr>
        <w:t xml:space="preserve">6）噪声监测仪测量参数应包含瞬时声级 Lp、等效声级 Leq、累计百分数声级 LN（N=5,10,50,90,95）、最大声级 Lmax、最小声级 Lmin、标准差 SD 等，应支持远程设置统计分析时间，应能够同时生成小时统计和天统计数据（Ld、Ln、Ldn）。 </w:t>
      </w:r>
    </w:p>
    <w:p>
      <w:pPr>
        <w:adjustRightInd/>
        <w:spacing w:line="360" w:lineRule="auto"/>
        <w:ind w:firstLine="420" w:firstLineChars="200"/>
        <w:rPr>
          <w:color w:val="auto"/>
          <w:highlight w:val="none"/>
        </w:rPr>
      </w:pPr>
      <w:r>
        <w:rPr>
          <w:rFonts w:hint="eastAsia"/>
          <w:color w:val="auto"/>
          <w:highlight w:val="none"/>
        </w:rPr>
        <w:t xml:space="preserve">7）应具有远程自检功能并可任意设定自校频次，校准前后示值偏差大于 0.5 dB时自动提示。 </w:t>
      </w:r>
    </w:p>
    <w:p>
      <w:pPr>
        <w:adjustRightInd/>
        <w:spacing w:line="360" w:lineRule="auto"/>
        <w:ind w:firstLine="420" w:firstLineChars="200"/>
        <w:rPr>
          <w:color w:val="auto"/>
          <w:highlight w:val="none"/>
        </w:rPr>
      </w:pPr>
      <w:r>
        <w:rPr>
          <w:rFonts w:hint="eastAsia"/>
          <w:color w:val="auto"/>
          <w:highlight w:val="none"/>
        </w:rPr>
        <w:t>8）噪声监测仪机箱外壳防护等级（IP 指数）应符合 GB/T 4208 中 IP 55 的要求。机箱外壳应耐腐蚀。</w:t>
      </w:r>
    </w:p>
    <w:p>
      <w:pPr>
        <w:adjustRightInd/>
        <w:spacing w:line="360" w:lineRule="auto"/>
        <w:ind w:firstLine="420" w:firstLineChars="200"/>
        <w:rPr>
          <w:color w:val="auto"/>
          <w:highlight w:val="none"/>
        </w:rPr>
      </w:pPr>
      <w:r>
        <w:rPr>
          <w:rFonts w:hint="eastAsia"/>
          <w:color w:val="auto"/>
          <w:highlight w:val="none"/>
        </w:rPr>
        <w:t>9）噪声自动监测仪数据采集频率应不高于 1 s,测量值以 1 min 等效声级 LAeq 为统计单位。</w:t>
      </w:r>
    </w:p>
    <w:p>
      <w:pPr>
        <w:adjustRightInd/>
        <w:spacing w:line="360" w:lineRule="auto"/>
        <w:ind w:firstLine="420" w:firstLineChars="200"/>
        <w:rPr>
          <w:color w:val="auto"/>
          <w:highlight w:val="none"/>
        </w:rPr>
      </w:pPr>
      <w:r>
        <w:rPr>
          <w:rFonts w:hint="eastAsia"/>
          <w:color w:val="auto"/>
          <w:highlight w:val="none"/>
        </w:rPr>
        <w:t>1</w:t>
      </w:r>
      <w:r>
        <w:rPr>
          <w:color w:val="auto"/>
          <w:highlight w:val="none"/>
        </w:rPr>
        <w:t>0</w:t>
      </w:r>
      <w:r>
        <w:rPr>
          <w:rFonts w:hint="eastAsia"/>
          <w:color w:val="auto"/>
          <w:highlight w:val="none"/>
        </w:rPr>
        <w:t>）单次测量时段为连续 20 min。每小时自整点起依次划分为 3 个测量时段，并进行长期连续监测。即每日昼间划分为 48 个测量时段，夜间划分为 24 个测量时段。</w:t>
      </w:r>
    </w:p>
    <w:p>
      <w:pPr>
        <w:adjustRightInd/>
        <w:spacing w:line="360"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）单次测量时段内测得的等效声级应单独评价。</w:t>
      </w:r>
    </w:p>
    <w:p>
      <w:pPr>
        <w:adjustRightInd/>
        <w:spacing w:line="360" w:lineRule="auto"/>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）自动监测系统应具备自动及手动数据补传功能。</w:t>
      </w:r>
    </w:p>
    <w:p>
      <w:pPr>
        <w:adjustRightInd/>
        <w:spacing w:line="360" w:lineRule="auto"/>
        <w:ind w:firstLine="420" w:firstLineChars="200"/>
        <w:rPr>
          <w:color w:val="auto"/>
          <w:highlight w:val="none"/>
        </w:rPr>
      </w:pPr>
      <w:r>
        <w:rPr>
          <w:rFonts w:hint="eastAsia"/>
          <w:color w:val="auto"/>
          <w:highlight w:val="none"/>
        </w:rPr>
        <w:t>1</w:t>
      </w:r>
      <w:r>
        <w:rPr>
          <w:color w:val="auto"/>
          <w:highlight w:val="none"/>
        </w:rPr>
        <w:t>3</w:t>
      </w:r>
      <w:r>
        <w:rPr>
          <w:rFonts w:hint="eastAsia"/>
          <w:color w:val="auto"/>
          <w:highlight w:val="none"/>
        </w:rPr>
        <w:t>）当发生临时断电时，断电信息能及时传至信息终端进行自动报警。</w:t>
      </w:r>
    </w:p>
    <w:p>
      <w:pPr>
        <w:adjustRightInd/>
        <w:spacing w:line="360" w:lineRule="auto"/>
        <w:ind w:firstLine="420" w:firstLineChars="200"/>
        <w:rPr>
          <w:color w:val="auto"/>
          <w:highlight w:val="none"/>
        </w:rPr>
      </w:pPr>
      <w:r>
        <w:rPr>
          <w:rFonts w:hint="eastAsia"/>
          <w:color w:val="auto"/>
          <w:highlight w:val="none"/>
        </w:rPr>
        <w:t>1</w:t>
      </w:r>
      <w:r>
        <w:rPr>
          <w:color w:val="auto"/>
          <w:highlight w:val="none"/>
        </w:rPr>
        <w:t>4</w:t>
      </w:r>
      <w:r>
        <w:rPr>
          <w:rFonts w:hint="eastAsia"/>
          <w:color w:val="auto"/>
          <w:highlight w:val="none"/>
        </w:rPr>
        <w:t>）应支持无线传输和有线传输两种通信功能，本次项目标配可使用期为2年的5G物联网卡。</w:t>
      </w:r>
    </w:p>
    <w:p>
      <w:pPr>
        <w:adjustRightInd/>
        <w:spacing w:line="360" w:lineRule="auto"/>
        <w:ind w:firstLine="420" w:firstLineChars="200"/>
        <w:rPr>
          <w:color w:val="auto"/>
          <w:highlight w:val="none"/>
        </w:rPr>
      </w:pPr>
      <w:r>
        <w:rPr>
          <w:rFonts w:hint="eastAsia"/>
          <w:color w:val="auto"/>
          <w:highlight w:val="none"/>
        </w:rPr>
        <w:t>1</w:t>
      </w:r>
      <w:r>
        <w:rPr>
          <w:color w:val="auto"/>
          <w:highlight w:val="none"/>
        </w:rPr>
        <w:t>5</w:t>
      </w:r>
      <w:r>
        <w:rPr>
          <w:rFonts w:hint="eastAsia"/>
          <w:color w:val="auto"/>
          <w:highlight w:val="none"/>
        </w:rPr>
        <w:t>）具备市电、蓄电池供电功能，可智能控制市电、蓄电池供电顺序，控制充放电状态；蓄电池具有充放电保护功能，</w:t>
      </w:r>
    </w:p>
    <w:p>
      <w:pPr>
        <w:adjustRightInd/>
        <w:spacing w:line="360" w:lineRule="auto"/>
        <w:ind w:firstLine="420" w:firstLineChars="200"/>
        <w:rPr>
          <w:color w:val="auto"/>
          <w:highlight w:val="none"/>
        </w:rPr>
      </w:pPr>
      <w:r>
        <w:rPr>
          <w:rFonts w:hint="eastAsia"/>
          <w:color w:val="auto"/>
          <w:highlight w:val="none"/>
        </w:rPr>
        <w:t>1</w:t>
      </w:r>
      <w:r>
        <w:rPr>
          <w:color w:val="auto"/>
          <w:highlight w:val="none"/>
        </w:rPr>
        <w:t>6</w:t>
      </w:r>
      <w:r>
        <w:rPr>
          <w:rFonts w:hint="eastAsia"/>
          <w:color w:val="auto"/>
          <w:highlight w:val="none"/>
        </w:rPr>
        <w:t>）噪声监测子站户外传声器的设置应设在场界外 1 m 且高于围墙 0.5 m 以上，传声器距离其他任何组件应不小于 1.2 m。</w:t>
      </w:r>
    </w:p>
    <w:p>
      <w:pPr>
        <w:adjustRightInd/>
        <w:spacing w:line="360" w:lineRule="auto"/>
        <w:ind w:firstLine="420" w:firstLineChars="200"/>
        <w:rPr>
          <w:color w:val="auto"/>
          <w:highlight w:val="none"/>
        </w:rPr>
      </w:pPr>
      <w:r>
        <w:rPr>
          <w:rFonts w:hint="eastAsia"/>
          <w:color w:val="auto"/>
          <w:highlight w:val="none"/>
        </w:rPr>
        <w:t>（2）气象监测单元</w:t>
      </w:r>
    </w:p>
    <w:p>
      <w:pPr>
        <w:adjustRightInd/>
        <w:spacing w:line="360" w:lineRule="auto"/>
        <w:ind w:firstLine="420" w:firstLineChars="200"/>
        <w:rPr>
          <w:color w:val="auto"/>
          <w:highlight w:val="none"/>
        </w:rPr>
      </w:pPr>
      <w:r>
        <w:rPr>
          <w:rFonts w:hint="eastAsia"/>
          <w:color w:val="auto"/>
          <w:highlight w:val="none"/>
        </w:rPr>
        <w:t>采用一体化气象参数传感器，同时测量风速、风向、温度、湿度、大气压、</w:t>
      </w:r>
      <w:r>
        <w:rPr>
          <w:color w:val="auto"/>
          <w:highlight w:val="none"/>
        </w:rPr>
        <w:t>雨量</w:t>
      </w:r>
      <w:r>
        <w:rPr>
          <w:rFonts w:hint="eastAsia"/>
          <w:color w:val="auto"/>
          <w:highlight w:val="none"/>
        </w:rPr>
        <w:t>六个气象参数。用于气象因素对噪声影响分析。</w:t>
      </w:r>
    </w:p>
    <w:p>
      <w:pPr>
        <w:adjustRightInd/>
        <w:spacing w:line="360" w:lineRule="auto"/>
        <w:ind w:firstLine="420" w:firstLineChars="200"/>
        <w:rPr>
          <w:color w:val="auto"/>
          <w:highlight w:val="none"/>
        </w:rPr>
      </w:pPr>
      <w:r>
        <w:rPr>
          <w:rFonts w:hint="eastAsia"/>
          <w:color w:val="auto"/>
          <w:highlight w:val="none"/>
        </w:rPr>
        <w:t>1）风速：测量范围0～60m/s，准确度±3m/s，分辨率：0.1m/s；</w:t>
      </w:r>
    </w:p>
    <w:p>
      <w:pPr>
        <w:adjustRightInd/>
        <w:spacing w:line="360" w:lineRule="auto"/>
        <w:ind w:firstLine="420" w:firstLineChars="200"/>
        <w:rPr>
          <w:color w:val="auto"/>
          <w:highlight w:val="none"/>
        </w:rPr>
      </w:pPr>
      <w:r>
        <w:rPr>
          <w:rFonts w:hint="eastAsia"/>
          <w:color w:val="auto"/>
          <w:highlight w:val="none"/>
        </w:rPr>
        <w:t xml:space="preserve">2）风向：测量范围0～360°,准确度±3°,分辨率：0.1°； </w:t>
      </w:r>
    </w:p>
    <w:p>
      <w:pPr>
        <w:adjustRightInd/>
        <w:spacing w:line="360" w:lineRule="auto"/>
        <w:ind w:firstLine="420" w:firstLineChars="200"/>
        <w:rPr>
          <w:color w:val="auto"/>
          <w:highlight w:val="none"/>
        </w:rPr>
      </w:pPr>
      <w:r>
        <w:rPr>
          <w:rFonts w:hint="eastAsia"/>
          <w:color w:val="auto"/>
          <w:highlight w:val="none"/>
        </w:rPr>
        <w:t>3）温度：测量范围-40～80℃,准确度±0.5℃,分辨率0.1℃；</w:t>
      </w:r>
    </w:p>
    <w:p>
      <w:pPr>
        <w:adjustRightInd/>
        <w:spacing w:line="360" w:lineRule="auto"/>
        <w:ind w:firstLine="420" w:firstLineChars="200"/>
        <w:rPr>
          <w:color w:val="auto"/>
          <w:highlight w:val="none"/>
        </w:rPr>
      </w:pPr>
      <w:r>
        <w:rPr>
          <w:rFonts w:hint="eastAsia"/>
          <w:color w:val="auto"/>
          <w:highlight w:val="none"/>
        </w:rPr>
        <w:t>4）湿度：测测量范围0～100%RH，准确度±3%RH，分辨率0.1%RH；</w:t>
      </w:r>
    </w:p>
    <w:p>
      <w:pPr>
        <w:adjustRightInd/>
        <w:spacing w:line="360" w:lineRule="auto"/>
        <w:ind w:firstLine="420" w:firstLineChars="200"/>
        <w:rPr>
          <w:color w:val="auto"/>
          <w:highlight w:val="none"/>
        </w:rPr>
      </w:pPr>
      <w:r>
        <w:rPr>
          <w:rFonts w:hint="eastAsia"/>
          <w:color w:val="auto"/>
          <w:highlight w:val="none"/>
        </w:rPr>
        <w:t>5）大气压：测量范围10～110kPa，准确度±0.3kPa，分辨率0.1kPa；</w:t>
      </w:r>
    </w:p>
    <w:p>
      <w:pPr>
        <w:adjustRightInd/>
        <w:spacing w:line="360" w:lineRule="auto"/>
        <w:ind w:firstLine="420" w:firstLineChars="200"/>
        <w:rPr>
          <w:color w:val="auto"/>
          <w:highlight w:val="none"/>
        </w:rPr>
      </w:pPr>
      <w:r>
        <w:rPr>
          <w:rFonts w:hint="eastAsia"/>
          <w:color w:val="auto"/>
          <w:highlight w:val="none"/>
        </w:rPr>
        <w:t>6）降雨量：测量范围0～200mm/h，准确度±4%，分辨率0.2mm/h。</w:t>
      </w:r>
    </w:p>
    <w:p>
      <w:pPr>
        <w:adjustRightInd/>
        <w:spacing w:line="360" w:lineRule="auto"/>
        <w:ind w:firstLine="420" w:firstLineChars="200"/>
        <w:rPr>
          <w:color w:val="auto"/>
          <w:highlight w:val="none"/>
        </w:rPr>
      </w:pPr>
      <w:r>
        <w:rPr>
          <w:rFonts w:hint="eastAsia"/>
          <w:color w:val="auto"/>
          <w:highlight w:val="none"/>
        </w:rPr>
        <w:t>（3）环境声源自动识别单元</w:t>
      </w:r>
    </w:p>
    <w:p>
      <w:pPr>
        <w:adjustRightInd/>
        <w:spacing w:line="360" w:lineRule="auto"/>
        <w:ind w:firstLine="420" w:firstLineChars="200"/>
        <w:rPr>
          <w:color w:val="auto"/>
          <w:highlight w:val="none"/>
        </w:rPr>
      </w:pPr>
      <w:r>
        <w:rPr>
          <w:rFonts w:hint="eastAsia"/>
          <w:color w:val="auto"/>
          <w:highlight w:val="none"/>
        </w:rPr>
        <w:t>声源类型智能识别仪器包含声识别数据分析单元，声源占比智能判断模型。该模块可自动识别环境声中的建筑工地噪声所占比例。主要技术要求如下：</w:t>
      </w:r>
    </w:p>
    <w:p>
      <w:pPr>
        <w:adjustRightInd/>
        <w:spacing w:line="360" w:lineRule="auto"/>
        <w:ind w:firstLine="420" w:firstLineChars="200"/>
        <w:rPr>
          <w:color w:val="auto"/>
          <w:highlight w:val="none"/>
        </w:rPr>
      </w:pPr>
      <w:r>
        <w:rPr>
          <w:rFonts w:hint="eastAsia"/>
          <w:color w:val="auto"/>
          <w:highlight w:val="none"/>
        </w:rPr>
        <w:t>1）</w:t>
      </w:r>
      <w:r>
        <w:rPr>
          <w:rFonts w:hint="eastAsia"/>
          <w:b/>
          <w:bCs/>
          <w:color w:val="auto"/>
          <w:highlight w:val="none"/>
          <w:u w:val="single"/>
        </w:rPr>
        <w:t>★声源识别：具有声源类型识别能力，能够准确识别自然声、建筑工地施工噪声，识别准确率大于85%，提供检测报告（需提供具有CMA或CNAS标识的第三方检测机构检测报告复印件证明）</w:t>
      </w:r>
    </w:p>
    <w:p>
      <w:pPr>
        <w:adjustRightInd/>
        <w:spacing w:line="360" w:lineRule="auto"/>
        <w:ind w:firstLine="420" w:firstLineChars="200"/>
        <w:rPr>
          <w:color w:val="auto"/>
          <w:highlight w:val="none"/>
        </w:rPr>
      </w:pPr>
      <w:r>
        <w:rPr>
          <w:rFonts w:hint="eastAsia"/>
          <w:color w:val="auto"/>
          <w:highlight w:val="none"/>
        </w:rPr>
        <w:t>2）具有抗干扰能力，系统应进行抗干扰训练；</w:t>
      </w:r>
    </w:p>
    <w:p>
      <w:pPr>
        <w:adjustRightInd/>
        <w:spacing w:line="360" w:lineRule="auto"/>
        <w:ind w:firstLine="420" w:firstLineChars="200"/>
        <w:rPr>
          <w:color w:val="auto"/>
          <w:highlight w:val="none"/>
        </w:rPr>
      </w:pPr>
      <w:r>
        <w:rPr>
          <w:rFonts w:hint="eastAsia"/>
          <w:color w:val="auto"/>
          <w:highlight w:val="none"/>
        </w:rPr>
        <w:t>3）声源识别算法模型部署：声源识别算法安装并部署于硬件设备前端；</w:t>
      </w:r>
    </w:p>
    <w:p>
      <w:pPr>
        <w:adjustRightInd/>
        <w:spacing w:line="360" w:lineRule="auto"/>
        <w:ind w:firstLine="420" w:firstLineChars="200"/>
        <w:rPr>
          <w:color w:val="auto"/>
          <w:highlight w:val="none"/>
        </w:rPr>
      </w:pPr>
      <w:r>
        <w:rPr>
          <w:rFonts w:hint="eastAsia"/>
          <w:color w:val="auto"/>
          <w:highlight w:val="none"/>
        </w:rPr>
        <w:t>4）硬件要求：不低于六核、64位、1.8Ghz主频处理器，内存不低于4G；存储不少于128G；具有RS232、USB、RJ45等接口。</w:t>
      </w:r>
    </w:p>
    <w:p>
      <w:pPr>
        <w:adjustRightInd/>
        <w:spacing w:line="360" w:lineRule="auto"/>
        <w:ind w:firstLine="420" w:firstLineChars="200"/>
        <w:rPr>
          <w:color w:val="auto"/>
          <w:highlight w:val="none"/>
        </w:rPr>
      </w:pPr>
      <w:r>
        <w:rPr>
          <w:rFonts w:hint="eastAsia"/>
          <w:color w:val="auto"/>
          <w:highlight w:val="none"/>
        </w:rPr>
        <w:t>5）声源自动识别单元满足安全要求，抗击穿电压强度&gt;1200V，接地电阻≤0.1Ω，声纹识别响应时间≤3s。</w:t>
      </w:r>
    </w:p>
    <w:p>
      <w:pPr>
        <w:adjustRightInd/>
        <w:spacing w:line="360" w:lineRule="auto"/>
        <w:ind w:firstLine="420" w:firstLineChars="200"/>
        <w:rPr>
          <w:color w:val="auto"/>
          <w:highlight w:val="none"/>
        </w:rPr>
      </w:pPr>
      <w:r>
        <w:rPr>
          <w:rFonts w:hint="eastAsia"/>
          <w:color w:val="auto"/>
          <w:highlight w:val="none"/>
        </w:rPr>
        <w:t>（4）声源定位与追踪单元</w:t>
      </w:r>
    </w:p>
    <w:p>
      <w:pPr>
        <w:adjustRightInd/>
        <w:spacing w:line="360" w:lineRule="auto"/>
        <w:ind w:firstLine="420" w:firstLineChars="200"/>
        <w:rPr>
          <w:color w:val="auto"/>
          <w:highlight w:val="none"/>
        </w:rPr>
      </w:pPr>
      <w:r>
        <w:rPr>
          <w:rFonts w:hint="eastAsia"/>
          <w:color w:val="auto"/>
          <w:highlight w:val="none"/>
        </w:rPr>
        <w:t>1）具有声源追踪功能，于对施工活动与管理情况进行实时监控，并可根据设定阈值启动自动录音和采集现场视频、图片；</w:t>
      </w:r>
    </w:p>
    <w:p>
      <w:pPr>
        <w:adjustRightInd/>
        <w:spacing w:line="360" w:lineRule="auto"/>
        <w:ind w:firstLine="420" w:firstLineChars="200"/>
        <w:rPr>
          <w:b/>
          <w:bCs/>
          <w:color w:val="auto"/>
          <w:highlight w:val="none"/>
          <w:u w:val="single"/>
        </w:rPr>
      </w:pPr>
      <w:r>
        <w:rPr>
          <w:rFonts w:hint="eastAsia"/>
          <w:color w:val="auto"/>
          <w:highlight w:val="none"/>
        </w:rPr>
        <w:t>2）</w:t>
      </w:r>
      <w:r>
        <w:rPr>
          <w:rFonts w:hint="eastAsia"/>
          <w:b/>
          <w:bCs/>
          <w:color w:val="auto"/>
          <w:highlight w:val="none"/>
          <w:u w:val="single"/>
        </w:rPr>
        <w:t>不少于8通道，可定位声源位置，定度精度小于5度。定位方面应包括水平方向与俯仰方向。</w:t>
      </w:r>
    </w:p>
    <w:p>
      <w:pPr>
        <w:adjustRightInd/>
        <w:spacing w:line="360" w:lineRule="auto"/>
        <w:ind w:firstLine="420" w:firstLineChars="200"/>
        <w:rPr>
          <w:color w:val="auto"/>
          <w:highlight w:val="none"/>
        </w:rPr>
      </w:pPr>
      <w:r>
        <w:rPr>
          <w:rFonts w:hint="eastAsia"/>
          <w:color w:val="auto"/>
          <w:highlight w:val="none"/>
        </w:rPr>
        <w:t>3）抗振动、防跌落、耐腐蚀设计的要求；</w:t>
      </w:r>
    </w:p>
    <w:p>
      <w:pPr>
        <w:adjustRightInd/>
        <w:spacing w:line="360" w:lineRule="auto"/>
        <w:ind w:firstLine="420" w:firstLineChars="200"/>
        <w:rPr>
          <w:color w:val="auto"/>
          <w:highlight w:val="none"/>
        </w:rPr>
      </w:pPr>
      <w:r>
        <w:rPr>
          <w:rFonts w:hint="eastAsia"/>
          <w:color w:val="auto"/>
          <w:highlight w:val="none"/>
        </w:rPr>
        <w:t>4）声源定位追踪单元具备电磁兼容设计，静电放电抗扰度、浪涌抗扰度要求；</w:t>
      </w:r>
    </w:p>
    <w:p>
      <w:pPr>
        <w:adjustRightInd/>
        <w:spacing w:line="360" w:lineRule="auto"/>
        <w:ind w:firstLine="420" w:firstLineChars="200"/>
        <w:rPr>
          <w:color w:val="auto"/>
          <w:highlight w:val="none"/>
        </w:rPr>
      </w:pPr>
      <w:r>
        <w:rPr>
          <w:rFonts w:hint="eastAsia"/>
          <w:color w:val="auto"/>
          <w:highlight w:val="none"/>
        </w:rPr>
        <w:t>5）配备摄像头</w:t>
      </w:r>
    </w:p>
    <w:p>
      <w:pPr>
        <w:adjustRightInd/>
        <w:spacing w:line="360" w:lineRule="auto"/>
        <w:ind w:firstLine="420" w:firstLineChars="200"/>
        <w:rPr>
          <w:color w:val="auto"/>
          <w:highlight w:val="none"/>
        </w:rPr>
      </w:pPr>
      <w:r>
        <w:rPr>
          <w:rFonts w:hint="eastAsia"/>
          <w:color w:val="auto"/>
          <w:highlight w:val="none"/>
        </w:rPr>
        <w:t>可联动摄像头追踪声源方向并进行图像抓拍/录像；</w:t>
      </w:r>
    </w:p>
    <w:p>
      <w:pPr>
        <w:adjustRightInd/>
        <w:spacing w:line="360" w:lineRule="auto"/>
        <w:ind w:firstLine="420" w:firstLineChars="200"/>
        <w:rPr>
          <w:color w:val="auto"/>
          <w:highlight w:val="none"/>
        </w:rPr>
      </w:pPr>
      <w:r>
        <w:rPr>
          <w:rFonts w:hint="eastAsia"/>
          <w:color w:val="auto"/>
          <w:highlight w:val="none"/>
        </w:rPr>
        <w:t>分辨率不低于1080P，光学变倍不小于20倍</w:t>
      </w:r>
    </w:p>
    <w:p>
      <w:pPr>
        <w:adjustRightInd/>
        <w:spacing w:line="360" w:lineRule="auto"/>
        <w:ind w:firstLine="420" w:firstLineChars="200"/>
        <w:rPr>
          <w:color w:val="auto"/>
          <w:highlight w:val="none"/>
        </w:rPr>
      </w:pPr>
      <w:r>
        <w:rPr>
          <w:rFonts w:hint="eastAsia"/>
          <w:color w:val="auto"/>
          <w:highlight w:val="none"/>
        </w:rPr>
        <w:t>水平360度旋转，垂直90度无限制转动</w:t>
      </w:r>
    </w:p>
    <w:p>
      <w:pPr>
        <w:adjustRightInd/>
        <w:spacing w:line="360" w:lineRule="auto"/>
        <w:ind w:firstLine="420" w:firstLineChars="200"/>
        <w:rPr>
          <w:color w:val="auto"/>
          <w:highlight w:val="none"/>
        </w:rPr>
      </w:pPr>
      <w:r>
        <w:rPr>
          <w:rFonts w:hint="eastAsia"/>
          <w:color w:val="auto"/>
          <w:highlight w:val="none"/>
        </w:rPr>
        <w:t>不低于IP65</w:t>
      </w:r>
    </w:p>
    <w:p>
      <w:pPr>
        <w:adjustRightInd/>
        <w:spacing w:line="360" w:lineRule="auto"/>
        <w:ind w:firstLine="420" w:firstLineChars="200"/>
        <w:rPr>
          <w:color w:val="auto"/>
          <w:highlight w:val="none"/>
        </w:rPr>
      </w:pPr>
      <w:r>
        <w:rPr>
          <w:rFonts w:hint="eastAsia"/>
          <w:color w:val="auto"/>
          <w:highlight w:val="none"/>
        </w:rPr>
        <w:t>（5）</w:t>
      </w:r>
      <w:r>
        <w:rPr>
          <w:rFonts w:hint="eastAsia" w:ascii="Calibri" w:hAnsi="Calibri" w:cs="Calibri"/>
          <w:b/>
          <w:color w:val="auto"/>
          <w:szCs w:val="21"/>
          <w:highlight w:val="none"/>
          <w:u w:val="single"/>
        </w:rPr>
        <w:t>▲</w:t>
      </w:r>
      <w:r>
        <w:rPr>
          <w:rFonts w:hint="eastAsia"/>
          <w:b/>
          <w:bCs/>
          <w:color w:val="auto"/>
          <w:highlight w:val="none"/>
          <w:u w:val="single"/>
        </w:rPr>
        <w:t>太阳能供电（至少10套）</w:t>
      </w:r>
    </w:p>
    <w:p>
      <w:pPr>
        <w:adjustRightInd/>
        <w:spacing w:line="360" w:lineRule="auto"/>
        <w:ind w:firstLine="420" w:firstLineChars="200"/>
        <w:rPr>
          <w:color w:val="auto"/>
          <w:highlight w:val="none"/>
        </w:rPr>
      </w:pPr>
      <w:r>
        <w:rPr>
          <w:rFonts w:hint="eastAsia"/>
          <w:color w:val="auto"/>
          <w:highlight w:val="none"/>
        </w:rPr>
        <w:t>1）太阳能板功率≥150W</w:t>
      </w:r>
    </w:p>
    <w:p>
      <w:pPr>
        <w:adjustRightInd/>
        <w:spacing w:line="360" w:lineRule="auto"/>
        <w:ind w:firstLine="420" w:firstLineChars="200"/>
        <w:rPr>
          <w:color w:val="auto"/>
          <w:highlight w:val="none"/>
        </w:rPr>
      </w:pPr>
      <w:r>
        <w:rPr>
          <w:rFonts w:hint="eastAsia"/>
          <w:color w:val="auto"/>
          <w:highlight w:val="none"/>
        </w:rPr>
        <w:t>2）内置电池最大充电功率≥80W</w:t>
      </w:r>
    </w:p>
    <w:p>
      <w:pPr>
        <w:adjustRightInd/>
        <w:spacing w:line="360" w:lineRule="auto"/>
        <w:ind w:firstLine="420" w:firstLineChars="200"/>
        <w:rPr>
          <w:color w:val="auto"/>
          <w:highlight w:val="none"/>
        </w:rPr>
      </w:pPr>
      <w:r>
        <w:rPr>
          <w:rFonts w:hint="eastAsia"/>
          <w:color w:val="auto"/>
          <w:highlight w:val="none"/>
        </w:rPr>
        <w:t>3）内置电池容量≥12.6V/41AH ，600WH</w:t>
      </w:r>
    </w:p>
    <w:p>
      <w:pPr>
        <w:adjustRightInd/>
        <w:spacing w:line="360" w:lineRule="auto"/>
        <w:ind w:firstLine="420" w:firstLineChars="200"/>
        <w:rPr>
          <w:color w:val="auto"/>
          <w:highlight w:val="none"/>
        </w:rPr>
      </w:pPr>
      <w:r>
        <w:rPr>
          <w:rFonts w:hint="eastAsia"/>
          <w:color w:val="auto"/>
          <w:highlight w:val="none"/>
        </w:rPr>
        <w:t>（5）为确保高效的数据传输和网络连接能力，设备需支持5G通信或者配套相应5G通信设备</w:t>
      </w:r>
    </w:p>
    <w:p>
      <w:pPr>
        <w:adjustRightInd/>
        <w:spacing w:line="360" w:lineRule="auto"/>
        <w:ind w:firstLine="420" w:firstLineChars="200"/>
        <w:rPr>
          <w:color w:val="auto"/>
          <w:highlight w:val="none"/>
        </w:rPr>
      </w:pPr>
      <w:r>
        <w:rPr>
          <w:rFonts w:hint="eastAsia"/>
          <w:color w:val="auto"/>
          <w:highlight w:val="none"/>
        </w:rPr>
        <w:t>2.噪声自动监测</w:t>
      </w:r>
      <w:r>
        <w:rPr>
          <w:color w:val="auto"/>
          <w:highlight w:val="none"/>
        </w:rPr>
        <w:t>设备（标配）</w:t>
      </w:r>
    </w:p>
    <w:p>
      <w:pPr>
        <w:adjustRightInd/>
        <w:spacing w:line="360" w:lineRule="auto"/>
        <w:ind w:firstLine="420" w:firstLineChars="200"/>
        <w:rPr>
          <w:color w:val="auto"/>
          <w:highlight w:val="none"/>
        </w:rPr>
      </w:pPr>
      <w:r>
        <w:rPr>
          <w:rFonts w:hint="eastAsia"/>
          <w:color w:val="auto"/>
          <w:highlight w:val="none"/>
        </w:rPr>
        <w:t>1）</w:t>
      </w:r>
      <w:r>
        <w:rPr>
          <w:rFonts w:hint="eastAsia"/>
          <w:b/>
          <w:bCs/>
          <w:color w:val="auto"/>
          <w:highlight w:val="none"/>
          <w:u w:val="single"/>
        </w:rPr>
        <w:t>★环境噪声监测仪应取得计量器具型式批准证书，其性能等级不低于 GB/T 3785.1 对 2 级声级计的要求。（提供计量器具型式批准证书）</w:t>
      </w:r>
    </w:p>
    <w:p>
      <w:pPr>
        <w:adjustRightInd/>
        <w:spacing w:line="360" w:lineRule="auto"/>
        <w:ind w:firstLine="420" w:firstLineChars="200"/>
        <w:rPr>
          <w:color w:val="auto"/>
          <w:highlight w:val="none"/>
        </w:rPr>
      </w:pPr>
      <w:r>
        <w:rPr>
          <w:rFonts w:hint="eastAsia"/>
          <w:color w:val="auto"/>
          <w:highlight w:val="none"/>
        </w:rPr>
        <w:t>2）噪声监测仪应具有 A 计权和 C 计权。</w:t>
      </w:r>
    </w:p>
    <w:p>
      <w:pPr>
        <w:adjustRightInd/>
        <w:spacing w:line="360" w:lineRule="auto"/>
        <w:ind w:firstLine="420" w:firstLineChars="200"/>
        <w:rPr>
          <w:b/>
          <w:bCs/>
          <w:color w:val="auto"/>
          <w:highlight w:val="none"/>
          <w:u w:val="single"/>
        </w:rPr>
      </w:pPr>
      <w:r>
        <w:rPr>
          <w:rFonts w:hint="eastAsia"/>
          <w:color w:val="auto"/>
          <w:highlight w:val="none"/>
        </w:rPr>
        <w:t>3）</w:t>
      </w:r>
      <w:r>
        <w:rPr>
          <w:rFonts w:hint="eastAsia"/>
          <w:b/>
          <w:bCs/>
          <w:color w:val="auto"/>
          <w:highlight w:val="none"/>
          <w:u w:val="single"/>
        </w:rPr>
        <w:t>★单量程测量范围应不低于 25 dB(A)～130 dB(A)。</w:t>
      </w:r>
    </w:p>
    <w:p>
      <w:pPr>
        <w:adjustRightInd/>
        <w:spacing w:line="360" w:lineRule="auto"/>
        <w:ind w:firstLine="420" w:firstLineChars="200"/>
        <w:rPr>
          <w:color w:val="auto"/>
          <w:highlight w:val="none"/>
        </w:rPr>
      </w:pPr>
      <w:r>
        <w:rPr>
          <w:rFonts w:hint="eastAsia"/>
          <w:color w:val="auto"/>
          <w:highlight w:val="none"/>
        </w:rPr>
        <w:t xml:space="preserve">4）噪声监测仪的户外传声器的防风罩在风速 30 m/s 下不损坏。 </w:t>
      </w:r>
    </w:p>
    <w:p>
      <w:pPr>
        <w:adjustRightInd/>
        <w:spacing w:line="360" w:lineRule="auto"/>
        <w:ind w:firstLine="420" w:firstLineChars="200"/>
        <w:rPr>
          <w:color w:val="auto"/>
          <w:highlight w:val="none"/>
        </w:rPr>
      </w:pPr>
      <w:r>
        <w:rPr>
          <w:rFonts w:hint="eastAsia"/>
          <w:color w:val="auto"/>
          <w:highlight w:val="none"/>
        </w:rPr>
        <w:t xml:space="preserve">5）噪声监测仪应具有 F、S 时间计权，采样间隔不大于 1 s。 </w:t>
      </w:r>
    </w:p>
    <w:p>
      <w:pPr>
        <w:adjustRightInd/>
        <w:spacing w:line="360" w:lineRule="auto"/>
        <w:ind w:firstLine="420" w:firstLineChars="200"/>
        <w:rPr>
          <w:color w:val="auto"/>
          <w:highlight w:val="none"/>
        </w:rPr>
      </w:pPr>
      <w:r>
        <w:rPr>
          <w:rFonts w:hint="eastAsia"/>
          <w:color w:val="auto"/>
          <w:highlight w:val="none"/>
        </w:rPr>
        <w:t xml:space="preserve">6）噪声监测仪测量参数应包含瞬时声级 Lp、等效声级 Leq、累计百分数声级 LN（N=5,10,50,90,95）、最大声级 Lmax、最小声级 Lmin、标准差 SD 等，应支持远程设置统计分析时间，应能够同时生成小时统计和天统计数据（Ld、Ln、Ldn）。 </w:t>
      </w:r>
    </w:p>
    <w:p>
      <w:pPr>
        <w:adjustRightInd/>
        <w:spacing w:line="360" w:lineRule="auto"/>
        <w:ind w:firstLine="420" w:firstLineChars="200"/>
        <w:rPr>
          <w:color w:val="auto"/>
          <w:highlight w:val="none"/>
        </w:rPr>
      </w:pPr>
      <w:r>
        <w:rPr>
          <w:rFonts w:hint="eastAsia"/>
          <w:color w:val="auto"/>
          <w:highlight w:val="none"/>
        </w:rPr>
        <w:t xml:space="preserve">7）应具有远程自检功能并可任意设定自校频次，校准前后示值偏差大于 0.5 dB时自动提示。 </w:t>
      </w:r>
    </w:p>
    <w:p>
      <w:pPr>
        <w:adjustRightInd/>
        <w:spacing w:line="360" w:lineRule="auto"/>
        <w:ind w:firstLine="420" w:firstLineChars="200"/>
        <w:rPr>
          <w:color w:val="auto"/>
          <w:highlight w:val="none"/>
        </w:rPr>
      </w:pPr>
      <w:r>
        <w:rPr>
          <w:rFonts w:hint="eastAsia"/>
          <w:color w:val="auto"/>
          <w:highlight w:val="none"/>
        </w:rPr>
        <w:t>8）噪声监测仪机箱外壳防护等级（IP 指数）应符合 GB/T 4208 中 IP 55 的要求。机箱外壳应耐腐蚀。</w:t>
      </w:r>
    </w:p>
    <w:p>
      <w:pPr>
        <w:adjustRightInd/>
        <w:spacing w:line="360" w:lineRule="auto"/>
        <w:ind w:firstLine="420" w:firstLineChars="200"/>
        <w:rPr>
          <w:color w:val="auto"/>
          <w:highlight w:val="none"/>
        </w:rPr>
      </w:pPr>
      <w:r>
        <w:rPr>
          <w:rFonts w:hint="eastAsia"/>
          <w:color w:val="auto"/>
          <w:highlight w:val="none"/>
        </w:rPr>
        <w:t>9）气象参数传感器气象参数传感器主要用于记录监测点位的气象环境，应由风向、风速、温度、湿度、</w:t>
      </w:r>
      <w:r>
        <w:rPr>
          <w:color w:val="auto"/>
          <w:highlight w:val="none"/>
        </w:rPr>
        <w:t>气压、</w:t>
      </w:r>
      <w:r>
        <w:rPr>
          <w:rFonts w:hint="eastAsia"/>
          <w:color w:val="auto"/>
          <w:highlight w:val="none"/>
        </w:rPr>
        <w:t>雨量传感器组成。</w:t>
      </w:r>
    </w:p>
    <w:p>
      <w:pPr>
        <w:adjustRightInd/>
        <w:spacing w:line="360" w:lineRule="auto"/>
        <w:ind w:firstLine="420" w:firstLineChars="200"/>
        <w:rPr>
          <w:color w:val="auto"/>
          <w:highlight w:val="none"/>
        </w:rPr>
      </w:pPr>
      <w:r>
        <w:rPr>
          <w:rFonts w:hint="eastAsia"/>
          <w:color w:val="auto"/>
          <w:highlight w:val="none"/>
        </w:rPr>
        <w:t>10）音视频监控单元: 360度球机，于对施工活动与管理情况进行实时监控，并可根据设定阈值启动自动录音和采集现场视频、图片。</w:t>
      </w:r>
    </w:p>
    <w:p>
      <w:pPr>
        <w:adjustRightInd/>
        <w:spacing w:line="360" w:lineRule="auto"/>
        <w:ind w:firstLine="420" w:firstLineChars="200"/>
        <w:rPr>
          <w:color w:val="auto"/>
          <w:highlight w:val="none"/>
        </w:rPr>
      </w:pPr>
      <w:r>
        <w:rPr>
          <w:rFonts w:hint="eastAsia"/>
          <w:color w:val="auto"/>
          <w:highlight w:val="none"/>
        </w:rPr>
        <w:t>11）噪声自动监测仪数据采集频率应不高于 1 s,测量值以 1 min 等效声级 LAeq 为统计单位。</w:t>
      </w:r>
    </w:p>
    <w:p>
      <w:pPr>
        <w:adjustRightInd/>
        <w:spacing w:line="360" w:lineRule="auto"/>
        <w:ind w:firstLine="420" w:firstLineChars="200"/>
        <w:rPr>
          <w:color w:val="auto"/>
          <w:highlight w:val="none"/>
        </w:rPr>
      </w:pPr>
      <w:r>
        <w:rPr>
          <w:rFonts w:hint="eastAsia"/>
          <w:color w:val="auto"/>
          <w:highlight w:val="none"/>
        </w:rPr>
        <w:t>12）单次测量时段为连续 20 min。每小时自整点起依次划分为 3 个测量时段，并进行长期连续监测。即每日昼间划分为 48 个测量时段，夜间划分为 24 个测量时段。</w:t>
      </w:r>
    </w:p>
    <w:p>
      <w:pPr>
        <w:adjustRightInd/>
        <w:spacing w:line="360" w:lineRule="auto"/>
        <w:ind w:firstLine="420" w:firstLineChars="200"/>
        <w:rPr>
          <w:color w:val="auto"/>
          <w:highlight w:val="none"/>
        </w:rPr>
      </w:pPr>
      <w:r>
        <w:rPr>
          <w:rFonts w:hint="eastAsia"/>
          <w:color w:val="auto"/>
          <w:highlight w:val="none"/>
        </w:rPr>
        <w:t>13）单次测量时段内测得的等效声级应单独评价。</w:t>
      </w:r>
    </w:p>
    <w:p>
      <w:pPr>
        <w:adjustRightInd/>
        <w:spacing w:line="360" w:lineRule="auto"/>
        <w:ind w:firstLine="420" w:firstLineChars="200"/>
        <w:rPr>
          <w:color w:val="auto"/>
          <w:highlight w:val="none"/>
        </w:rPr>
      </w:pPr>
      <w:r>
        <w:rPr>
          <w:rFonts w:hint="eastAsia"/>
          <w:color w:val="auto"/>
          <w:highlight w:val="none"/>
        </w:rPr>
        <w:t>14）自动监测系统应具备自动及手动数据补传功能。</w:t>
      </w:r>
    </w:p>
    <w:p>
      <w:pPr>
        <w:adjustRightInd/>
        <w:spacing w:line="360" w:lineRule="auto"/>
        <w:ind w:firstLine="420" w:firstLineChars="200"/>
        <w:rPr>
          <w:color w:val="auto"/>
          <w:highlight w:val="none"/>
        </w:rPr>
      </w:pPr>
      <w:r>
        <w:rPr>
          <w:rFonts w:hint="eastAsia"/>
          <w:color w:val="auto"/>
          <w:highlight w:val="none"/>
        </w:rPr>
        <w:t>15）当发生临时断电时，断电信息能及时传至信息终端进行自动报警。</w:t>
      </w:r>
    </w:p>
    <w:p>
      <w:pPr>
        <w:adjustRightInd/>
        <w:spacing w:line="360" w:lineRule="auto"/>
        <w:ind w:firstLine="420" w:firstLineChars="200"/>
        <w:rPr>
          <w:color w:val="auto"/>
          <w:highlight w:val="none"/>
        </w:rPr>
      </w:pPr>
      <w:r>
        <w:rPr>
          <w:rFonts w:hint="eastAsia"/>
          <w:color w:val="auto"/>
          <w:highlight w:val="none"/>
        </w:rPr>
        <w:t>16）应支持无线传输和有线传输两种通信功能。</w:t>
      </w:r>
    </w:p>
    <w:p>
      <w:pPr>
        <w:adjustRightInd/>
        <w:spacing w:line="360" w:lineRule="auto"/>
        <w:ind w:firstLine="420" w:firstLineChars="200"/>
        <w:rPr>
          <w:color w:val="auto"/>
          <w:highlight w:val="none"/>
        </w:rPr>
      </w:pPr>
      <w:r>
        <w:rPr>
          <w:rFonts w:hint="eastAsia"/>
          <w:color w:val="auto"/>
          <w:highlight w:val="none"/>
        </w:rPr>
        <w:t>17）为确保高效的数据传输和网络连接能力，设备需支持5G通信或者配套相应5G通信设备</w:t>
      </w:r>
    </w:p>
    <w:p>
      <w:pPr>
        <w:keepNext/>
        <w:keepLines/>
        <w:numPr>
          <w:ilvl w:val="0"/>
          <w:numId w:val="3"/>
        </w:numPr>
        <w:adjustRightInd/>
        <w:spacing w:line="360" w:lineRule="auto"/>
        <w:jc w:val="left"/>
        <w:outlineLvl w:val="1"/>
        <w:rPr>
          <w:rFonts w:ascii="仿宋_GB2312" w:hAnsi="仿宋_GB2312"/>
          <w:b/>
          <w:bCs/>
          <w:color w:val="auto"/>
          <w:szCs w:val="21"/>
          <w:highlight w:val="none"/>
        </w:rPr>
      </w:pPr>
      <w:r>
        <w:rPr>
          <w:rFonts w:hint="eastAsia" w:ascii="仿宋_GB2312" w:hAnsi="仿宋_GB2312"/>
          <w:b/>
          <w:bCs/>
          <w:color w:val="auto"/>
          <w:szCs w:val="21"/>
          <w:highlight w:val="none"/>
        </w:rPr>
        <w:t>配套功能模块要求</w:t>
      </w:r>
    </w:p>
    <w:p>
      <w:pPr>
        <w:adjustRightInd/>
        <w:spacing w:line="360" w:lineRule="auto"/>
        <w:ind w:firstLine="420" w:firstLineChars="200"/>
        <w:rPr>
          <w:color w:val="auto"/>
          <w:highlight w:val="none"/>
        </w:rPr>
      </w:pPr>
      <w:r>
        <w:rPr>
          <w:rFonts w:hint="eastAsia"/>
          <w:color w:val="auto"/>
          <w:highlight w:val="none"/>
        </w:rPr>
        <w:t>1.</w:t>
      </w:r>
      <w:bookmarkStart w:id="43" w:name="OLE_LINK10"/>
      <w:r>
        <w:rPr>
          <w:rFonts w:hint="eastAsia"/>
          <w:color w:val="auto"/>
          <w:highlight w:val="none"/>
        </w:rPr>
        <w:t>预警报警证据链关联</w:t>
      </w:r>
      <w:bookmarkEnd w:id="43"/>
    </w:p>
    <w:p>
      <w:pPr>
        <w:adjustRightInd/>
        <w:spacing w:line="360" w:lineRule="auto"/>
        <w:ind w:firstLine="420" w:firstLineChars="200"/>
        <w:rPr>
          <w:color w:val="auto"/>
          <w:highlight w:val="none"/>
        </w:rPr>
      </w:pPr>
      <w:r>
        <w:rPr>
          <w:rFonts w:hint="eastAsia"/>
          <w:color w:val="auto"/>
          <w:highlight w:val="none"/>
        </w:rPr>
        <w:t>支持在国产化系统下汇集建筑施工噪声监测、噪声类型识别、来源定位识别、视频音频监控等数据，实现集中监控点位同一时刻的噪声、视频、声源类型等全面数据，提供超标事件、超标分钟详情信息查阅。</w:t>
      </w:r>
      <w:bookmarkStart w:id="44" w:name="OLE_LINK8"/>
      <w:r>
        <w:rPr>
          <w:color w:val="auto"/>
          <w:highlight w:val="none"/>
        </w:rPr>
        <w:t>对接收到的数据进行处理和分析，生成实时噪音监测数据，包括噪音水平、频谱分布等。设置预警阈值，一旦噪音超过设定值，即时发送</w:t>
      </w:r>
      <w:r>
        <w:rPr>
          <w:rFonts w:hint="eastAsia"/>
          <w:color w:val="auto"/>
          <w:highlight w:val="none"/>
        </w:rPr>
        <w:t>超标</w:t>
      </w:r>
      <w:r>
        <w:rPr>
          <w:color w:val="auto"/>
          <w:highlight w:val="none"/>
        </w:rPr>
        <w:t>预警通知给相关人员。</w:t>
      </w:r>
      <w:r>
        <w:rPr>
          <w:rFonts w:hint="eastAsia"/>
          <w:color w:val="auto"/>
          <w:highlight w:val="none"/>
        </w:rPr>
        <w:t>汇集建筑施工噪声监测、噪声类型识别、来源定位识别、视频音频监控等数据证据联动包，同步数据作为超标预警的任务处置证据推送至</w:t>
      </w:r>
      <w:r>
        <w:rPr>
          <w:color w:val="auto"/>
          <w:highlight w:val="none"/>
        </w:rPr>
        <w:t>现有数字化</w:t>
      </w:r>
      <w:r>
        <w:rPr>
          <w:rFonts w:hint="eastAsia"/>
          <w:color w:val="auto"/>
          <w:highlight w:val="none"/>
        </w:rPr>
        <w:t>系统。</w:t>
      </w:r>
    </w:p>
    <w:bookmarkEnd w:id="44"/>
    <w:p>
      <w:pPr>
        <w:adjustRightInd/>
        <w:spacing w:line="360" w:lineRule="auto"/>
        <w:ind w:firstLine="420" w:firstLineChars="200"/>
        <w:rPr>
          <w:color w:val="auto"/>
          <w:highlight w:val="none"/>
        </w:rPr>
      </w:pPr>
      <w:r>
        <w:rPr>
          <w:rFonts w:hint="eastAsia"/>
          <w:color w:val="auto"/>
          <w:highlight w:val="none"/>
        </w:rPr>
        <w:t>可查看多维监测数据联动分析、取证，可切换视频等辅助分析功能，支持施工噪声污染防治管控工作。</w:t>
      </w:r>
    </w:p>
    <w:p>
      <w:pPr>
        <w:adjustRightInd/>
        <w:spacing w:line="360" w:lineRule="auto"/>
        <w:ind w:firstLine="420" w:firstLineChars="200"/>
        <w:rPr>
          <w:color w:val="auto"/>
          <w:highlight w:val="none"/>
        </w:rPr>
      </w:pPr>
      <w:r>
        <w:rPr>
          <w:rFonts w:hint="eastAsia"/>
          <w:color w:val="auto"/>
          <w:highlight w:val="none"/>
        </w:rPr>
        <w:t>当噪声监测子站发生通信中断或电力中断事件，系统进行报警。</w:t>
      </w:r>
    </w:p>
    <w:p>
      <w:pPr>
        <w:adjustRightInd/>
        <w:spacing w:line="360" w:lineRule="auto"/>
        <w:ind w:firstLine="420" w:firstLineChars="200"/>
        <w:rPr>
          <w:color w:val="auto"/>
          <w:highlight w:val="none"/>
        </w:rPr>
      </w:pPr>
      <w:r>
        <w:rPr>
          <w:rFonts w:hint="eastAsia"/>
          <w:color w:val="auto"/>
          <w:highlight w:val="none"/>
        </w:rPr>
        <w:t>支持可进行声源识别解析，可关联超标录音数据，自动判断分析噪声超标声源类型;可根据声源识别结果自动生成声源解析报告。</w:t>
      </w:r>
      <w:r>
        <w:rPr>
          <w:color w:val="auto"/>
          <w:highlight w:val="none"/>
        </w:rPr>
        <w:t xml:space="preserve"> </w:t>
      </w:r>
    </w:p>
    <w:p>
      <w:pPr>
        <w:adjustRightInd/>
        <w:spacing w:line="360" w:lineRule="auto"/>
        <w:ind w:firstLine="420" w:firstLineChars="200"/>
        <w:rPr>
          <w:color w:val="auto"/>
          <w:highlight w:val="none"/>
        </w:rPr>
      </w:pPr>
      <w:bookmarkStart w:id="45" w:name="OLE_LINK4"/>
      <w:r>
        <w:rPr>
          <w:rFonts w:hint="eastAsia"/>
          <w:color w:val="auto"/>
          <w:highlight w:val="none"/>
        </w:rPr>
        <w:t>2.夜间施工审批</w:t>
      </w:r>
    </w:p>
    <w:bookmarkEnd w:id="45"/>
    <w:p>
      <w:pPr>
        <w:adjustRightInd/>
        <w:spacing w:line="360" w:lineRule="auto"/>
        <w:ind w:firstLine="420" w:firstLineChars="200"/>
        <w:rPr>
          <w:color w:val="auto"/>
          <w:highlight w:val="none"/>
        </w:rPr>
      </w:pPr>
      <w:r>
        <w:rPr>
          <w:rFonts w:hint="eastAsia"/>
          <w:color w:val="auto"/>
          <w:highlight w:val="none"/>
        </w:rPr>
        <w:t>实现建筑施工工地夜间施工许可线上审批功能模块。根据工地夜间</w:t>
      </w:r>
      <w:bookmarkStart w:id="46" w:name="OLE_LINK5"/>
      <w:r>
        <w:rPr>
          <w:rFonts w:hint="eastAsia"/>
          <w:color w:val="auto"/>
          <w:highlight w:val="none"/>
        </w:rPr>
        <w:t>施工许可申请信息，自动汇总工地噪声数据，以及历史夜间施工及落实主体责任情况，为政府部门进行夜间施工许可证审批提供数据辅助；平台智能监控各工地夜间施工情况，智能预警未经批准进行夜间施工违法行为。构建审核人员体系，同步新噪声法任务落实情况及夜间施工申请申报信息，审核人员进行处置批复。</w:t>
      </w:r>
      <w:bookmarkEnd w:id="46"/>
    </w:p>
    <w:p>
      <w:pPr>
        <w:keepNext/>
        <w:keepLines/>
        <w:numPr>
          <w:ilvl w:val="0"/>
          <w:numId w:val="3"/>
        </w:numPr>
        <w:adjustRightInd/>
        <w:spacing w:line="360" w:lineRule="auto"/>
        <w:jc w:val="left"/>
        <w:outlineLvl w:val="1"/>
        <w:rPr>
          <w:rFonts w:ascii="仿宋_GB2312" w:hAnsi="仿宋_GB2312"/>
          <w:b/>
          <w:bCs/>
          <w:color w:val="auto"/>
          <w:szCs w:val="21"/>
          <w:highlight w:val="none"/>
        </w:rPr>
      </w:pPr>
      <w:bookmarkStart w:id="47" w:name="_Toc25154"/>
      <w:r>
        <w:rPr>
          <w:rFonts w:hint="eastAsia" w:ascii="仿宋_GB2312" w:hAnsi="仿宋_GB2312"/>
          <w:b/>
          <w:bCs/>
          <w:color w:val="auto"/>
          <w:szCs w:val="21"/>
          <w:highlight w:val="none"/>
        </w:rPr>
        <w:t>项目其他要求</w:t>
      </w:r>
      <w:bookmarkEnd w:id="47"/>
    </w:p>
    <w:p>
      <w:pPr>
        <w:tabs>
          <w:tab w:val="left" w:pos="0"/>
        </w:tabs>
        <w:snapToGrid w:val="0"/>
        <w:spacing w:line="360" w:lineRule="auto"/>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1.时间相关要求</w:t>
      </w:r>
    </w:p>
    <w:p>
      <w:pPr>
        <w:pStyle w:val="320"/>
        <w:snapToGrid w:val="0"/>
        <w:spacing w:line="360" w:lineRule="auto"/>
        <w:ind w:firstLine="482"/>
        <w:rPr>
          <w:rFonts w:ascii="宋体" w:hAnsi="宋体" w:eastAsia="宋体" w:cs="宋体"/>
          <w:b/>
          <w:color w:val="auto"/>
          <w:sz w:val="21"/>
          <w:szCs w:val="21"/>
          <w:highlight w:val="none"/>
          <w:u w:val="single"/>
        </w:rPr>
      </w:pPr>
      <w:r>
        <w:rPr>
          <w:rFonts w:hint="eastAsia" w:ascii="Calibri" w:hAnsi="Calibri" w:cs="Calibri"/>
          <w:b/>
          <w:color w:val="auto"/>
          <w:szCs w:val="21"/>
          <w:highlight w:val="none"/>
          <w:u w:val="single"/>
        </w:rPr>
        <w:t>▲</w:t>
      </w:r>
      <w:r>
        <w:rPr>
          <w:rFonts w:hint="eastAsia" w:ascii="宋体" w:hAnsi="宋体" w:eastAsia="宋体" w:cs="宋体"/>
          <w:b/>
          <w:color w:val="auto"/>
          <w:sz w:val="21"/>
          <w:szCs w:val="21"/>
          <w:highlight w:val="none"/>
          <w:u w:val="single"/>
        </w:rPr>
        <w:t>合同签订之日起至2024年11月15日前完成并具备验收条件。验收通过之日起，提供两年的运维服务。</w:t>
      </w:r>
    </w:p>
    <w:p>
      <w:pPr>
        <w:tabs>
          <w:tab w:val="left" w:pos="0"/>
        </w:tabs>
        <w:snapToGrid w:val="0"/>
        <w:spacing w:line="360" w:lineRule="auto"/>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2.实施要求</w:t>
      </w:r>
    </w:p>
    <w:p>
      <w:pPr>
        <w:pStyle w:val="23"/>
        <w:snapToGrid w:val="0"/>
        <w:ind w:firstLine="420" w:firstLineChars="200"/>
        <w:rPr>
          <w:rFonts w:hAnsi="宋体" w:cs="宋体"/>
          <w:color w:val="auto"/>
          <w:sz w:val="21"/>
          <w:highlight w:val="none"/>
        </w:rPr>
      </w:pPr>
      <w:r>
        <w:rPr>
          <w:rFonts w:hint="eastAsia" w:hAnsi="宋体" w:cs="宋体"/>
          <w:color w:val="auto"/>
          <w:sz w:val="21"/>
          <w:highlight w:val="none"/>
        </w:rPr>
        <w:t>（</w:t>
      </w:r>
      <w:r>
        <w:rPr>
          <w:rFonts w:hint="eastAsia" w:hAnsi="宋体" w:cs="宋体"/>
          <w:color w:val="auto"/>
          <w:sz w:val="21"/>
          <w:highlight w:val="none"/>
          <w:lang w:val="en-US"/>
        </w:rPr>
        <w:t>1</w:t>
      </w:r>
      <w:r>
        <w:rPr>
          <w:rFonts w:hint="eastAsia" w:hAnsi="宋体" w:cs="宋体"/>
          <w:color w:val="auto"/>
          <w:sz w:val="21"/>
          <w:highlight w:val="none"/>
        </w:rPr>
        <w:t>）所投产品需为</w:t>
      </w:r>
      <w:r>
        <w:rPr>
          <w:rFonts w:hint="eastAsia" w:hAnsi="宋体" w:cs="宋体"/>
          <w:b/>
          <w:bCs/>
          <w:color w:val="auto"/>
          <w:sz w:val="21"/>
          <w:highlight w:val="none"/>
        </w:rPr>
        <w:t>原厂全新产品（2023年9月1日后生产）</w:t>
      </w:r>
      <w:r>
        <w:rPr>
          <w:rFonts w:hint="eastAsia" w:hAnsi="宋体" w:cs="宋体"/>
          <w:color w:val="auto"/>
          <w:sz w:val="21"/>
          <w:highlight w:val="none"/>
        </w:rPr>
        <w:t>，符合国家、行业技术规范和质量标准。本项目执行的标准、规范如有相关国家或地方标准及规范的，应符合相关国家或地方标准及规范。本项目货物所使用的标准如与投标人所执行的标准发生矛盾时，按照较高标准执行，同时投标人应在投标文件中加以注明，并附上引用标准和高标准造成成本以及报价差异说明。</w:t>
      </w:r>
    </w:p>
    <w:p>
      <w:pPr>
        <w:pStyle w:val="23"/>
        <w:snapToGrid w:val="0"/>
        <w:ind w:firstLine="420" w:firstLineChars="200"/>
        <w:rPr>
          <w:rFonts w:hAnsi="宋体" w:cs="宋体"/>
          <w:color w:val="auto"/>
          <w:sz w:val="21"/>
          <w:highlight w:val="none"/>
        </w:rPr>
      </w:pPr>
      <w:r>
        <w:rPr>
          <w:rFonts w:hint="eastAsia" w:hAnsi="宋体" w:cs="宋体"/>
          <w:color w:val="auto"/>
          <w:sz w:val="21"/>
          <w:highlight w:val="none"/>
        </w:rPr>
        <w:t>（</w:t>
      </w:r>
      <w:r>
        <w:rPr>
          <w:rFonts w:hint="eastAsia" w:hAnsi="宋体" w:cs="宋体"/>
          <w:color w:val="auto"/>
          <w:sz w:val="21"/>
          <w:highlight w:val="none"/>
          <w:lang w:val="en-US"/>
        </w:rPr>
        <w:t>2</w:t>
      </w:r>
      <w:r>
        <w:rPr>
          <w:rFonts w:hint="eastAsia" w:hAnsi="宋体" w:cs="宋体"/>
          <w:color w:val="auto"/>
          <w:sz w:val="21"/>
          <w:highlight w:val="none"/>
        </w:rPr>
        <w:t>）本次招标的供货除包括上述产品外，还应包括随机的辅助设备、专用电线电缆、随机软件、技术资料（包括操作手册、使用指南、维修指南和含维修网点在内的服务手册等）、设备运行所必需的随机消耗材料，相应的技术服务与质量保证。</w:t>
      </w:r>
    </w:p>
    <w:p>
      <w:pPr>
        <w:pStyle w:val="23"/>
        <w:snapToGrid w:val="0"/>
        <w:ind w:firstLine="420" w:firstLineChars="200"/>
        <w:rPr>
          <w:rFonts w:hAnsi="宋体" w:cs="宋体"/>
          <w:color w:val="auto"/>
          <w:sz w:val="21"/>
          <w:highlight w:val="none"/>
        </w:rPr>
      </w:pPr>
      <w:r>
        <w:rPr>
          <w:rFonts w:hint="eastAsia" w:hAnsi="宋体" w:cs="宋体"/>
          <w:color w:val="auto"/>
          <w:sz w:val="21"/>
          <w:highlight w:val="none"/>
        </w:rPr>
        <w:t>（</w:t>
      </w:r>
      <w:r>
        <w:rPr>
          <w:rFonts w:hint="eastAsia" w:hAnsi="宋体" w:cs="宋体"/>
          <w:color w:val="auto"/>
          <w:sz w:val="21"/>
          <w:highlight w:val="none"/>
          <w:lang w:val="en-US"/>
        </w:rPr>
        <w:t>3</w:t>
      </w:r>
      <w:r>
        <w:rPr>
          <w:rFonts w:hint="eastAsia" w:hAnsi="宋体" w:cs="宋体"/>
          <w:color w:val="auto"/>
          <w:sz w:val="21"/>
          <w:highlight w:val="none"/>
        </w:rPr>
        <w:t>）本项目的所有软、硬件(如线缆、工具、控制接口硬件模块等，包括未列出而系统实施又必需的软件、硬件)需配齐以构成一套完整实用系统，如有任何遗漏，由中标人免费补齐。</w:t>
      </w:r>
    </w:p>
    <w:p>
      <w:pPr>
        <w:pStyle w:val="23"/>
        <w:snapToGrid w:val="0"/>
        <w:ind w:firstLine="420" w:firstLineChars="200"/>
        <w:rPr>
          <w:rFonts w:hAnsi="宋体" w:cs="宋体"/>
          <w:color w:val="auto"/>
          <w:sz w:val="21"/>
          <w:highlight w:val="none"/>
        </w:rPr>
      </w:pPr>
      <w:r>
        <w:rPr>
          <w:rFonts w:hint="eastAsia" w:hAnsi="宋体" w:cs="宋体"/>
          <w:color w:val="auto"/>
          <w:sz w:val="21"/>
          <w:highlight w:val="none"/>
        </w:rPr>
        <w:t>（</w:t>
      </w:r>
      <w:r>
        <w:rPr>
          <w:rFonts w:hint="eastAsia" w:hAnsi="宋体" w:cs="宋体"/>
          <w:color w:val="auto"/>
          <w:sz w:val="21"/>
          <w:highlight w:val="none"/>
          <w:lang w:val="en-US"/>
        </w:rPr>
        <w:t>4</w:t>
      </w:r>
      <w:r>
        <w:rPr>
          <w:rFonts w:hint="eastAsia" w:hAnsi="宋体" w:cs="宋体"/>
          <w:color w:val="auto"/>
          <w:sz w:val="21"/>
          <w:highlight w:val="none"/>
        </w:rPr>
        <w:t>）包装防雨水，运输过程中电气以及机械设备需干燥运输，货品到达现场开箱检验前出现破损需由供应商承担更换。</w:t>
      </w:r>
    </w:p>
    <w:p>
      <w:pPr>
        <w:pStyle w:val="23"/>
        <w:snapToGrid w:val="0"/>
        <w:ind w:firstLine="420" w:firstLineChars="200"/>
        <w:rPr>
          <w:rFonts w:hAnsi="宋体" w:cs="宋体"/>
          <w:color w:val="auto"/>
          <w:sz w:val="21"/>
          <w:highlight w:val="none"/>
        </w:rPr>
      </w:pPr>
      <w:r>
        <w:rPr>
          <w:rFonts w:hint="eastAsia" w:hAnsi="宋体" w:cs="宋体"/>
          <w:color w:val="auto"/>
          <w:sz w:val="21"/>
          <w:highlight w:val="none"/>
        </w:rPr>
        <w:t>（</w:t>
      </w:r>
      <w:r>
        <w:rPr>
          <w:rFonts w:hint="eastAsia" w:hAnsi="宋体" w:cs="宋体"/>
          <w:color w:val="auto"/>
          <w:sz w:val="21"/>
          <w:highlight w:val="none"/>
          <w:lang w:val="en-US"/>
        </w:rPr>
        <w:t>5</w:t>
      </w:r>
      <w:r>
        <w:rPr>
          <w:rFonts w:hint="eastAsia" w:hAnsi="宋体" w:cs="宋体"/>
          <w:color w:val="auto"/>
          <w:sz w:val="21"/>
          <w:highlight w:val="none"/>
        </w:rPr>
        <w:t>）供货时，若提供的设备相关技术参数不符合招标要求则中标人须无条件重新更换设备。</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（6）上述所有费用均包含在报价中。</w:t>
      </w:r>
    </w:p>
    <w:p>
      <w:pPr>
        <w:tabs>
          <w:tab w:val="left" w:pos="0"/>
        </w:tabs>
        <w:snapToGrid w:val="0"/>
        <w:spacing w:line="360" w:lineRule="auto"/>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3.安装调试</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（1）安装地点：由采购单位指定。</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（2）安装标准：符合我国国家有关技术规范要求和技术标准，所有的软件和硬件必须保证同时安装到位。</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（3）投标供应商应在投标文件中应提供安装计划、对安装场地和环境的要求。</w:t>
      </w:r>
    </w:p>
    <w:p>
      <w:pPr>
        <w:tabs>
          <w:tab w:val="left" w:pos="0"/>
        </w:tabs>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（4）系统安装调试完毕后，如有需要与采购单位现有部分设备正常连接的，需要能在其功能范围内确保现有设备安全、稳定运行。</w:t>
      </w:r>
    </w:p>
    <w:p>
      <w:pPr>
        <w:tabs>
          <w:tab w:val="left" w:pos="0"/>
        </w:tabs>
        <w:adjustRightInd/>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噪声监测子站</w:t>
      </w:r>
      <w:r>
        <w:rPr>
          <w:rFonts w:hint="eastAsia" w:ascii="宋体" w:hAnsi="宋体" w:cs="宋体"/>
          <w:color w:val="auto"/>
          <w:szCs w:val="21"/>
          <w:highlight w:val="none"/>
          <w:lang w:val="en-US" w:eastAsia="zh-CN"/>
        </w:rPr>
        <w:t>校准后才能投入使用，</w:t>
      </w:r>
      <w:r>
        <w:rPr>
          <w:rFonts w:hint="eastAsia" w:ascii="宋体" w:hAnsi="宋体" w:cs="宋体"/>
          <w:color w:val="auto"/>
          <w:szCs w:val="21"/>
          <w:highlight w:val="none"/>
        </w:rPr>
        <w:t>噪声监测子站的校准应符合以下要求</w:t>
      </w:r>
      <w:r>
        <w:rPr>
          <w:rFonts w:hint="eastAsia" w:ascii="宋体" w:hAnsi="宋体" w:cs="宋体"/>
          <w:color w:val="auto"/>
          <w:szCs w:val="21"/>
          <w:highlight w:val="none"/>
          <w:lang w:eastAsia="zh-CN"/>
        </w:rPr>
        <w:t>：</w:t>
      </w:r>
    </w:p>
    <w:p>
      <w:pPr>
        <w:tabs>
          <w:tab w:val="left" w:pos="0"/>
        </w:tabs>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声校准项目应通过传声器校准，分为手工校准和自动校准。传声器手工校准设备应为与噪声 监测子站同级或高一级的声校准器； 自动校准设备应为噪声监测子站自带的校准设备，校准 设备的准确度应不低于 2 级声校准器；</w:t>
      </w:r>
    </w:p>
    <w:p>
      <w:pPr>
        <w:tabs>
          <w:tab w:val="left" w:pos="0"/>
        </w:tabs>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时钟计时校准设备应为噪声监测子站内置校准器件，时钟应每天授时，每天的时间偏差不大于2s；</w:t>
      </w:r>
    </w:p>
    <w:p>
      <w:pPr>
        <w:tabs>
          <w:tab w:val="left" w:pos="0"/>
        </w:tabs>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噪声监测子站自校每天 1 次，手动声信号校准每季度不少于 1 次，校准数据均应保存和上传。在遇到恶劣天气（如台风）、电校准偏差超过 0.5 dB 等可能影响测量数据准确性时，需要增加手动声信号校准。</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）中标方提供中标设备（软件和硬件）的安装调试服务，费用含在报价中。</w:t>
      </w:r>
    </w:p>
    <w:p>
      <w:pPr>
        <w:keepNext/>
        <w:keepLines/>
        <w:numPr>
          <w:ilvl w:val="0"/>
          <w:numId w:val="3"/>
        </w:numPr>
        <w:adjustRightInd/>
        <w:spacing w:line="360" w:lineRule="auto"/>
        <w:jc w:val="left"/>
        <w:outlineLvl w:val="1"/>
        <w:rPr>
          <w:rFonts w:ascii="仿宋_GB2312" w:hAnsi="仿宋_GB2312"/>
          <w:b/>
          <w:bCs/>
          <w:color w:val="auto"/>
          <w:szCs w:val="21"/>
          <w:highlight w:val="none"/>
        </w:rPr>
      </w:pPr>
      <w:r>
        <w:rPr>
          <w:rFonts w:hint="eastAsia" w:ascii="仿宋_GB2312" w:hAnsi="仿宋_GB2312"/>
          <w:b/>
          <w:bCs/>
          <w:color w:val="auto"/>
          <w:szCs w:val="21"/>
          <w:highlight w:val="none"/>
        </w:rPr>
        <w:t>运维要求</w:t>
      </w:r>
    </w:p>
    <w:p>
      <w:pPr>
        <w:adjustRightInd/>
        <w:spacing w:line="360" w:lineRule="auto"/>
        <w:ind w:firstLine="422" w:firstLineChars="200"/>
        <w:rPr>
          <w:b/>
          <w:bCs/>
          <w:color w:val="auto"/>
          <w:highlight w:val="none"/>
        </w:rPr>
      </w:pPr>
      <w:r>
        <w:rPr>
          <w:rFonts w:hint="eastAsia"/>
          <w:b/>
          <w:bCs/>
          <w:color w:val="auto"/>
          <w:highlight w:val="none"/>
        </w:rPr>
        <w:t>运维期自合同签订之日起两年。</w:t>
      </w:r>
    </w:p>
    <w:p>
      <w:pPr>
        <w:adjustRightInd/>
        <w:spacing w:line="360" w:lineRule="auto"/>
        <w:ind w:firstLine="420" w:firstLineChars="200"/>
        <w:rPr>
          <w:color w:val="auto"/>
          <w:highlight w:val="none"/>
        </w:rPr>
      </w:pPr>
      <w:r>
        <w:rPr>
          <w:rFonts w:hint="eastAsia"/>
          <w:color w:val="auto"/>
          <w:highlight w:val="none"/>
        </w:rPr>
        <w:t>1.噪声监测子站、声校准器每年定期检定一次，检定合格后才能继续使用。</w:t>
      </w:r>
    </w:p>
    <w:p>
      <w:pPr>
        <w:adjustRightInd/>
        <w:spacing w:line="360" w:lineRule="auto"/>
        <w:ind w:firstLine="420" w:firstLineChars="200"/>
        <w:rPr>
          <w:color w:val="auto"/>
          <w:highlight w:val="none"/>
        </w:rPr>
      </w:pPr>
      <w:r>
        <w:rPr>
          <w:rFonts w:hint="eastAsia"/>
          <w:color w:val="auto"/>
          <w:highlight w:val="none"/>
          <w:lang w:val="en-US" w:eastAsia="zh-CN"/>
        </w:rPr>
        <w:t>2</w:t>
      </w:r>
      <w:r>
        <w:rPr>
          <w:rFonts w:hint="eastAsia"/>
          <w:color w:val="auto"/>
          <w:highlight w:val="none"/>
        </w:rPr>
        <w:t>.月度数据采集率不低于 95%</w:t>
      </w:r>
      <w:r>
        <w:rPr>
          <w:color w:val="auto"/>
          <w:highlight w:val="none"/>
        </w:rPr>
        <w:t>（阴雨天除外）</w:t>
      </w:r>
      <w:r>
        <w:rPr>
          <w:rFonts w:hint="eastAsia"/>
          <w:color w:val="auto"/>
          <w:highlight w:val="none"/>
        </w:rPr>
        <w:t>。</w:t>
      </w:r>
    </w:p>
    <w:p>
      <w:pPr>
        <w:adjustRightInd/>
        <w:spacing w:line="360" w:lineRule="auto"/>
        <w:ind w:firstLine="420" w:firstLineChars="200"/>
        <w:rPr>
          <w:color w:val="auto"/>
          <w:highlight w:val="none"/>
        </w:rPr>
      </w:pPr>
      <w:r>
        <w:rPr>
          <w:rFonts w:hint="eastAsia"/>
          <w:color w:val="auto"/>
          <w:highlight w:val="none"/>
          <w:lang w:val="en-US" w:eastAsia="zh-CN"/>
        </w:rPr>
        <w:t>3</w:t>
      </w:r>
      <w:r>
        <w:rPr>
          <w:rFonts w:hint="eastAsia"/>
          <w:color w:val="auto"/>
          <w:highlight w:val="none"/>
        </w:rPr>
        <w:t>.传声器风罩应 1 个月左右更换或清洁 1 次。</w:t>
      </w:r>
    </w:p>
    <w:p>
      <w:pPr>
        <w:adjustRightInd/>
        <w:spacing w:line="360" w:lineRule="auto"/>
        <w:ind w:firstLine="420" w:firstLineChars="200"/>
        <w:rPr>
          <w:color w:val="auto"/>
          <w:highlight w:val="none"/>
        </w:rPr>
      </w:pPr>
      <w:r>
        <w:rPr>
          <w:rFonts w:hint="eastAsia"/>
          <w:color w:val="auto"/>
          <w:highlight w:val="none"/>
          <w:lang w:val="en-US" w:eastAsia="zh-CN"/>
        </w:rPr>
        <w:t>4</w:t>
      </w:r>
      <w:r>
        <w:rPr>
          <w:rFonts w:hint="eastAsia"/>
          <w:color w:val="auto"/>
          <w:highlight w:val="none"/>
        </w:rPr>
        <w:t>.当噪声自动监测系统发生故障时，根据仪器说明书要求，开展故障判断和检修，在2小时内响应，12小时内恢复正常运行。因特殊情况无法在 48 小时内恢复正常运行的，应提供备用机以确保数据不断。</w:t>
      </w:r>
    </w:p>
    <w:p>
      <w:pPr>
        <w:adjustRightInd/>
        <w:spacing w:line="360" w:lineRule="auto"/>
        <w:ind w:firstLine="420" w:firstLineChars="200"/>
        <w:rPr>
          <w:color w:val="auto"/>
          <w:highlight w:val="none"/>
        </w:rPr>
      </w:pPr>
      <w:r>
        <w:rPr>
          <w:rFonts w:hint="eastAsia"/>
          <w:color w:val="auto"/>
          <w:highlight w:val="none"/>
          <w:lang w:val="en-US" w:eastAsia="zh-CN"/>
        </w:rPr>
        <w:t>5</w:t>
      </w:r>
      <w:r>
        <w:rPr>
          <w:rFonts w:hint="eastAsia"/>
          <w:color w:val="auto"/>
          <w:highlight w:val="none"/>
        </w:rPr>
        <w:t>.应保存运行维护记录，保存时间应与建设周期一致。</w:t>
      </w:r>
    </w:p>
    <w:p>
      <w:pPr>
        <w:adjustRightInd/>
        <w:spacing w:line="360" w:lineRule="auto"/>
        <w:ind w:firstLine="420" w:firstLineChars="200"/>
        <w:rPr>
          <w:color w:val="auto"/>
          <w:highlight w:val="none"/>
        </w:rPr>
      </w:pPr>
      <w:r>
        <w:rPr>
          <w:rFonts w:hint="eastAsia"/>
          <w:color w:val="auto"/>
          <w:highlight w:val="none"/>
          <w:lang w:val="en-US" w:eastAsia="zh-CN"/>
        </w:rPr>
        <w:t>6</w:t>
      </w:r>
      <w:r>
        <w:rPr>
          <w:rFonts w:hint="eastAsia"/>
          <w:color w:val="auto"/>
          <w:highlight w:val="none"/>
        </w:rPr>
        <w:t>.运维单位应制定监测系统易耗品更换计划，并按计划实施。</w:t>
      </w:r>
    </w:p>
    <w:p>
      <w:pPr>
        <w:adjustRightInd/>
        <w:spacing w:line="360" w:lineRule="auto"/>
        <w:ind w:firstLine="420" w:firstLineChars="200"/>
        <w:rPr>
          <w:color w:val="auto"/>
          <w:highlight w:val="none"/>
        </w:rPr>
      </w:pPr>
      <w:r>
        <w:rPr>
          <w:rFonts w:hint="eastAsia"/>
          <w:color w:val="auto"/>
          <w:highlight w:val="none"/>
          <w:lang w:val="en-US" w:eastAsia="zh-CN"/>
        </w:rPr>
        <w:t>7</w:t>
      </w:r>
      <w:r>
        <w:rPr>
          <w:rFonts w:hint="eastAsia"/>
          <w:color w:val="auto"/>
          <w:highlight w:val="none"/>
        </w:rPr>
        <w:t>.运维单位应检查数据采集传输装置运行情况及数据传输一致性情况。</w:t>
      </w:r>
    </w:p>
    <w:p>
      <w:pPr>
        <w:adjustRightInd/>
        <w:spacing w:line="360" w:lineRule="auto"/>
        <w:ind w:firstLine="420" w:firstLineChars="200"/>
        <w:rPr>
          <w:color w:val="auto"/>
          <w:highlight w:val="none"/>
        </w:rPr>
      </w:pPr>
      <w:r>
        <w:rPr>
          <w:rFonts w:hint="eastAsia"/>
          <w:color w:val="auto"/>
          <w:highlight w:val="none"/>
          <w:lang w:val="en-US" w:eastAsia="zh-CN"/>
        </w:rPr>
        <w:t>8</w:t>
      </w:r>
      <w:r>
        <w:rPr>
          <w:rFonts w:hint="eastAsia"/>
          <w:color w:val="auto"/>
          <w:highlight w:val="none"/>
        </w:rPr>
        <w:t>.定期进行数据分析，输出月报、季报，包括每月/每季度运行情况分析、预警处置闭环情况分析等内容。</w:t>
      </w:r>
    </w:p>
    <w:p>
      <w:pPr>
        <w:keepNext/>
        <w:keepLines/>
        <w:numPr>
          <w:ilvl w:val="0"/>
          <w:numId w:val="3"/>
        </w:numPr>
        <w:adjustRightInd/>
        <w:spacing w:line="360" w:lineRule="auto"/>
        <w:jc w:val="left"/>
        <w:outlineLvl w:val="1"/>
        <w:rPr>
          <w:rFonts w:ascii="仿宋_GB2312" w:hAnsi="仿宋_GB2312"/>
          <w:b/>
          <w:bCs/>
          <w:color w:val="auto"/>
          <w:szCs w:val="21"/>
          <w:highlight w:val="none"/>
        </w:rPr>
      </w:pPr>
      <w:r>
        <w:rPr>
          <w:rFonts w:hint="eastAsia" w:ascii="仿宋_GB2312" w:hAnsi="仿宋_GB2312"/>
          <w:b/>
          <w:bCs/>
          <w:color w:val="auto"/>
          <w:szCs w:val="21"/>
          <w:highlight w:val="none"/>
        </w:rPr>
        <w:t>项目团队要求</w:t>
      </w:r>
    </w:p>
    <w:p>
      <w:pPr>
        <w:adjustRightInd/>
        <w:spacing w:line="360" w:lineRule="auto"/>
        <w:ind w:firstLine="420" w:firstLineChars="200"/>
        <w:rPr>
          <w:color w:val="auto"/>
          <w:highlight w:val="none"/>
        </w:rPr>
      </w:pPr>
      <w:r>
        <w:rPr>
          <w:rFonts w:hint="eastAsia"/>
          <w:color w:val="auto"/>
          <w:highlight w:val="none"/>
        </w:rPr>
        <w:t>投标人根据项目需求组建专业的项目团队，项目团队不少于5人，其中</w:t>
      </w:r>
      <w:r>
        <w:rPr>
          <w:rFonts w:hint="eastAsia"/>
          <w:color w:val="auto"/>
          <w:highlight w:val="none"/>
          <w:lang w:val="en-US" w:eastAsia="zh-CN"/>
        </w:rPr>
        <w:t>项目负责人</w:t>
      </w:r>
      <w:r>
        <w:rPr>
          <w:rFonts w:hint="eastAsia"/>
          <w:color w:val="auto"/>
          <w:highlight w:val="none"/>
        </w:rPr>
        <w:t>一名，</w:t>
      </w:r>
      <w:r>
        <w:rPr>
          <w:rFonts w:hint="eastAsia"/>
          <w:color w:val="auto"/>
          <w:highlight w:val="none"/>
          <w:lang w:val="en-US" w:eastAsia="zh-CN"/>
        </w:rPr>
        <w:t>技术负责人</w:t>
      </w:r>
      <w:r>
        <w:rPr>
          <w:rFonts w:hint="eastAsia"/>
          <w:color w:val="auto"/>
          <w:highlight w:val="none"/>
        </w:rPr>
        <w:t>一名</w:t>
      </w:r>
      <w:r>
        <w:rPr>
          <w:rFonts w:hint="eastAsia"/>
          <w:color w:val="auto"/>
          <w:highlight w:val="none"/>
          <w:lang w:eastAsia="zh-CN"/>
        </w:rPr>
        <w:t>；</w:t>
      </w:r>
      <w:r>
        <w:rPr>
          <w:rFonts w:hint="eastAsia"/>
          <w:color w:val="auto"/>
          <w:highlight w:val="none"/>
        </w:rPr>
        <w:t>。</w:t>
      </w:r>
    </w:p>
    <w:p>
      <w:pPr>
        <w:keepNext/>
        <w:keepLines/>
        <w:numPr>
          <w:ilvl w:val="0"/>
          <w:numId w:val="3"/>
        </w:numPr>
        <w:adjustRightInd/>
        <w:spacing w:line="360" w:lineRule="auto"/>
        <w:jc w:val="left"/>
        <w:outlineLvl w:val="1"/>
        <w:rPr>
          <w:rFonts w:ascii="仿宋_GB2312" w:hAnsi="仿宋_GB2312"/>
          <w:b/>
          <w:bCs/>
          <w:color w:val="auto"/>
          <w:szCs w:val="21"/>
          <w:highlight w:val="none"/>
        </w:rPr>
      </w:pPr>
      <w:r>
        <w:rPr>
          <w:rFonts w:hint="eastAsia" w:ascii="仿宋_GB2312" w:hAnsi="仿宋_GB2312"/>
          <w:b/>
          <w:bCs/>
          <w:color w:val="auto"/>
          <w:szCs w:val="21"/>
          <w:highlight w:val="none"/>
        </w:rPr>
        <w:t>验收</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48" w:name="OLE_LINK7"/>
      <w:r>
        <w:rPr>
          <w:rFonts w:hint="eastAsia" w:ascii="宋体" w:hAnsi="宋体" w:cs="宋体"/>
          <w:color w:val="auto"/>
          <w:szCs w:val="21"/>
          <w:highlight w:val="none"/>
        </w:rPr>
        <w:t>.验收主体：杭州市生态环境局钱塘分局。</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2.采购人在中标人提供服务的过程中，有权不定期对服务内容和质量进行检查考核。中标人应当配合进行。</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3.最终验收时间：服务内容执行完毕、服务期截止后。</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4.验收程序：中标人向采购人提出验收申请，采购人按验收方案组织履约验收。中标人应将项目执行过程及时记录、收集、整理，向采购人递交验收申请资料。</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5.验收内容：中标人实际完成的情况是否符合采购文件要求和中标人在投标响应文件中的商务、技术承诺、是否按照合同约定执行。</w:t>
      </w:r>
    </w:p>
    <w:bookmarkEnd w:id="48"/>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6.验收标准：中标人已经按采购文件要求和中标人在投标响应文件中的商务、技术承诺、合同约定执行完成项目执行。</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7.验收时中标人应在现场，验收完毕后作出验收结果报告；验收产生的费用，由采购人承担。</w:t>
      </w:r>
    </w:p>
    <w:p>
      <w:pPr>
        <w:tabs>
          <w:tab w:val="left" w:pos="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pPr>
        <w:keepNext/>
        <w:keepLines/>
        <w:numPr>
          <w:ilvl w:val="0"/>
          <w:numId w:val="3"/>
        </w:numPr>
        <w:adjustRightInd/>
        <w:spacing w:line="360" w:lineRule="auto"/>
        <w:jc w:val="left"/>
        <w:outlineLvl w:val="1"/>
        <w:rPr>
          <w:rFonts w:ascii="仿宋_GB2312" w:hAnsi="仿宋_GB2312"/>
          <w:b/>
          <w:bCs/>
          <w:color w:val="auto"/>
          <w:szCs w:val="21"/>
          <w:highlight w:val="none"/>
        </w:rPr>
      </w:pPr>
      <w:bookmarkStart w:id="49" w:name="_Toc10443"/>
      <w:bookmarkStart w:id="50" w:name="_Toc2989"/>
      <w:bookmarkStart w:id="51" w:name="_Toc23167"/>
      <w:r>
        <w:rPr>
          <w:rFonts w:hint="eastAsia" w:ascii="仿宋_GB2312" w:hAnsi="仿宋_GB2312"/>
          <w:b/>
          <w:bCs/>
          <w:color w:val="auto"/>
          <w:szCs w:val="21"/>
          <w:highlight w:val="none"/>
        </w:rPr>
        <w:t>商务要求</w:t>
      </w:r>
      <w:bookmarkEnd w:id="49"/>
      <w:bookmarkEnd w:id="50"/>
      <w:bookmarkEnd w:id="51"/>
    </w:p>
    <w:p>
      <w:pPr>
        <w:pStyle w:val="23"/>
        <w:snapToGrid w:val="0"/>
        <w:ind w:firstLine="420" w:firstLineChars="200"/>
        <w:rPr>
          <w:rFonts w:hAnsi="宋体" w:cs="宋体"/>
          <w:color w:val="auto"/>
          <w:sz w:val="21"/>
          <w:highlight w:val="none"/>
        </w:rPr>
      </w:pPr>
      <w:r>
        <w:rPr>
          <w:rFonts w:hint="eastAsia" w:hAnsi="宋体" w:cs="宋体"/>
          <w:color w:val="auto"/>
          <w:sz w:val="21"/>
          <w:highlight w:val="none"/>
        </w:rPr>
        <w:t>1、本项目采用总价包干方式。</w:t>
      </w:r>
    </w:p>
    <w:p>
      <w:pPr>
        <w:pStyle w:val="23"/>
        <w:snapToGrid w:val="0"/>
        <w:ind w:firstLine="420" w:firstLineChars="200"/>
        <w:rPr>
          <w:rFonts w:hAnsi="宋体" w:cs="宋体"/>
          <w:color w:val="auto"/>
          <w:sz w:val="21"/>
          <w:highlight w:val="none"/>
        </w:rPr>
      </w:pPr>
      <w:r>
        <w:rPr>
          <w:rFonts w:hint="eastAsia" w:hAnsi="宋体" w:cs="宋体"/>
          <w:color w:val="auto"/>
          <w:sz w:val="21"/>
          <w:highlight w:val="none"/>
        </w:rPr>
        <w:t>投标人应考虑企业自身实力、经验及项目实施过程中的各种因素，根据采购要求，详细说明所能提供的各项具体服务内容，自主确定报价，并按服务的内容分别独立报价并提供报价组成与成本分析。</w:t>
      </w:r>
    </w:p>
    <w:p>
      <w:pPr>
        <w:pStyle w:val="23"/>
        <w:snapToGrid w:val="0"/>
        <w:ind w:firstLine="420" w:firstLineChars="200"/>
        <w:rPr>
          <w:rStyle w:val="282"/>
          <w:color w:val="auto"/>
          <w:highlight w:val="none"/>
        </w:rPr>
      </w:pPr>
      <w:r>
        <w:rPr>
          <w:rFonts w:hint="eastAsia" w:hAnsi="宋体" w:cs="宋体"/>
          <w:color w:val="auto"/>
          <w:sz w:val="21"/>
          <w:highlight w:val="none"/>
        </w:rPr>
        <w:t>2、投标人的报价应包括为完成本项目可能发生的全部费用及投标人的利润和应交纳的税金等，采购、安装、调试、人工、合同标的内的售后服务、风险等费用均包含在内。投标人对合同内容的费用、质量、安全、文明服务等实行全面承包。一旦中标，合同价不做调整。</w:t>
      </w:r>
      <w:bookmarkStart w:id="52" w:name="_Toc16317"/>
      <w:r>
        <w:rPr>
          <w:rStyle w:val="282"/>
          <w:rFonts w:hint="eastAsia"/>
          <w:color w:val="auto"/>
          <w:highlight w:val="none"/>
        </w:rPr>
        <w:br w:type="page"/>
      </w:r>
    </w:p>
    <w:p>
      <w:pPr>
        <w:adjustRightInd/>
        <w:spacing w:line="360" w:lineRule="auto"/>
        <w:jc w:val="center"/>
        <w:outlineLvl w:val="0"/>
        <w:rPr>
          <w:rStyle w:val="282"/>
          <w:color w:val="auto"/>
          <w:highlight w:val="none"/>
        </w:rPr>
      </w:pPr>
      <w:r>
        <w:rPr>
          <w:rStyle w:val="282"/>
          <w:rFonts w:hint="eastAsia"/>
          <w:color w:val="auto"/>
          <w:highlight w:val="none"/>
        </w:rPr>
        <w:t xml:space="preserve">第四部分  </w:t>
      </w:r>
      <w:bookmarkStart w:id="53" w:name="_Toc184308083"/>
      <w:bookmarkEnd w:id="53"/>
      <w:bookmarkStart w:id="54" w:name="_Toc184313240"/>
      <w:bookmarkEnd w:id="54"/>
      <w:bookmarkStart w:id="55" w:name="_Toc184314437"/>
      <w:bookmarkEnd w:id="55"/>
      <w:bookmarkStart w:id="56" w:name="_Toc184314453"/>
      <w:bookmarkEnd w:id="56"/>
      <w:bookmarkStart w:id="57" w:name="_Toc184310310"/>
      <w:bookmarkEnd w:id="57"/>
      <w:bookmarkStart w:id="58" w:name="_Toc184313255"/>
      <w:bookmarkEnd w:id="58"/>
      <w:bookmarkStart w:id="59" w:name="_Toc184310272"/>
      <w:bookmarkEnd w:id="59"/>
      <w:bookmarkStart w:id="60" w:name="_Toc184308079"/>
      <w:bookmarkEnd w:id="60"/>
      <w:bookmarkStart w:id="61" w:name="_Toc184312108"/>
      <w:bookmarkEnd w:id="61"/>
      <w:bookmarkStart w:id="62" w:name="_Toc184312098"/>
      <w:bookmarkEnd w:id="62"/>
      <w:bookmarkStart w:id="63" w:name="_Toc184308097"/>
      <w:bookmarkEnd w:id="63"/>
      <w:bookmarkStart w:id="64" w:name="_Toc184310303"/>
      <w:bookmarkEnd w:id="64"/>
      <w:bookmarkStart w:id="65" w:name="_Toc184312120"/>
      <w:bookmarkEnd w:id="65"/>
      <w:bookmarkStart w:id="66" w:name="_Toc184314424"/>
      <w:bookmarkEnd w:id="66"/>
      <w:bookmarkStart w:id="67" w:name="_Toc184310339"/>
      <w:bookmarkEnd w:id="67"/>
      <w:bookmarkStart w:id="68" w:name="_Toc184313307"/>
      <w:bookmarkEnd w:id="68"/>
      <w:bookmarkStart w:id="69" w:name="_Toc184312130"/>
      <w:bookmarkEnd w:id="69"/>
      <w:bookmarkStart w:id="70" w:name="_Toc184314450"/>
      <w:bookmarkEnd w:id="70"/>
      <w:bookmarkStart w:id="71" w:name="_Toc184314455"/>
      <w:bookmarkEnd w:id="71"/>
      <w:bookmarkStart w:id="72" w:name="_Toc184313308"/>
      <w:bookmarkEnd w:id="72"/>
      <w:bookmarkStart w:id="73" w:name="_Toc184308091"/>
      <w:bookmarkEnd w:id="73"/>
      <w:bookmarkStart w:id="74" w:name="_Toc184314442"/>
      <w:bookmarkEnd w:id="74"/>
      <w:bookmarkStart w:id="75" w:name="_Toc184314436"/>
      <w:bookmarkEnd w:id="75"/>
      <w:bookmarkStart w:id="76" w:name="_Toc184310338"/>
      <w:bookmarkEnd w:id="76"/>
      <w:bookmarkStart w:id="77" w:name="_Toc184310305"/>
      <w:bookmarkEnd w:id="77"/>
      <w:bookmarkStart w:id="78" w:name="_Toc184312122"/>
      <w:bookmarkEnd w:id="78"/>
      <w:bookmarkStart w:id="79" w:name="_Toc184308050"/>
      <w:bookmarkEnd w:id="79"/>
      <w:bookmarkStart w:id="80" w:name="_Toc184308095"/>
      <w:bookmarkEnd w:id="80"/>
      <w:bookmarkStart w:id="81" w:name="_Toc184308041"/>
      <w:bookmarkEnd w:id="81"/>
      <w:bookmarkStart w:id="82" w:name="_Toc184312085"/>
      <w:bookmarkEnd w:id="82"/>
      <w:bookmarkStart w:id="83" w:name="_Toc184310328"/>
      <w:bookmarkEnd w:id="83"/>
      <w:bookmarkStart w:id="84" w:name="_Toc184312079"/>
      <w:bookmarkEnd w:id="84"/>
      <w:bookmarkStart w:id="85" w:name="_Toc184312131"/>
      <w:bookmarkEnd w:id="85"/>
      <w:bookmarkStart w:id="86" w:name="_Toc184312071"/>
      <w:bookmarkEnd w:id="86"/>
      <w:bookmarkStart w:id="87" w:name="_Toc184314448"/>
      <w:bookmarkEnd w:id="87"/>
      <w:bookmarkStart w:id="88" w:name="_Toc184314415"/>
      <w:bookmarkEnd w:id="88"/>
      <w:bookmarkStart w:id="89" w:name="_Toc184308071"/>
      <w:bookmarkEnd w:id="89"/>
      <w:bookmarkStart w:id="90" w:name="_Toc184310279"/>
      <w:bookmarkEnd w:id="90"/>
      <w:bookmarkStart w:id="91" w:name="_Toc184312072"/>
      <w:bookmarkEnd w:id="91"/>
      <w:bookmarkStart w:id="92" w:name="_Toc184310322"/>
      <w:bookmarkEnd w:id="92"/>
      <w:bookmarkStart w:id="93" w:name="_Toc184312095"/>
      <w:bookmarkEnd w:id="93"/>
      <w:bookmarkStart w:id="94" w:name="_Toc184312105"/>
      <w:bookmarkEnd w:id="94"/>
      <w:bookmarkStart w:id="95" w:name="_Toc184314474"/>
      <w:bookmarkEnd w:id="95"/>
      <w:bookmarkStart w:id="96" w:name="_Toc184313289"/>
      <w:bookmarkEnd w:id="96"/>
      <w:bookmarkStart w:id="97" w:name="_Toc184308062"/>
      <w:bookmarkEnd w:id="97"/>
      <w:bookmarkStart w:id="98" w:name="_Toc184308063"/>
      <w:bookmarkEnd w:id="98"/>
      <w:bookmarkStart w:id="99" w:name="_Toc184312106"/>
      <w:bookmarkEnd w:id="99"/>
      <w:bookmarkStart w:id="100" w:name="_Toc184308089"/>
      <w:bookmarkEnd w:id="100"/>
      <w:bookmarkStart w:id="101" w:name="_Toc184308058"/>
      <w:bookmarkEnd w:id="101"/>
      <w:bookmarkStart w:id="102" w:name="_Toc184313241"/>
      <w:bookmarkEnd w:id="102"/>
      <w:bookmarkStart w:id="103" w:name="_Toc184313274"/>
      <w:bookmarkEnd w:id="103"/>
      <w:bookmarkStart w:id="104" w:name="_Toc184314465"/>
      <w:bookmarkEnd w:id="104"/>
      <w:bookmarkStart w:id="105" w:name="_Toc184312081"/>
      <w:bookmarkEnd w:id="105"/>
      <w:bookmarkStart w:id="106" w:name="_Toc184313291"/>
      <w:bookmarkEnd w:id="106"/>
      <w:bookmarkStart w:id="107" w:name="_Toc184312096"/>
      <w:bookmarkEnd w:id="107"/>
      <w:bookmarkStart w:id="108" w:name="_Toc184314431"/>
      <w:bookmarkEnd w:id="108"/>
      <w:bookmarkStart w:id="109" w:name="_Toc184313260"/>
      <w:bookmarkEnd w:id="109"/>
      <w:bookmarkStart w:id="110" w:name="_Toc184308068"/>
      <w:bookmarkEnd w:id="110"/>
      <w:bookmarkStart w:id="111" w:name="_Toc184308069"/>
      <w:bookmarkEnd w:id="111"/>
      <w:bookmarkStart w:id="112" w:name="_Toc184314447"/>
      <w:bookmarkEnd w:id="112"/>
      <w:bookmarkStart w:id="113" w:name="_Toc184308053"/>
      <w:bookmarkEnd w:id="113"/>
      <w:bookmarkStart w:id="114" w:name="_Toc184310343"/>
      <w:bookmarkEnd w:id="114"/>
      <w:bookmarkStart w:id="115" w:name="_Toc184312083"/>
      <w:bookmarkEnd w:id="115"/>
      <w:bookmarkStart w:id="116" w:name="_Toc184314444"/>
      <w:bookmarkEnd w:id="116"/>
      <w:bookmarkStart w:id="117" w:name="_Toc184312127"/>
      <w:bookmarkEnd w:id="117"/>
      <w:bookmarkStart w:id="118" w:name="_Toc184310276"/>
      <w:bookmarkEnd w:id="118"/>
      <w:bookmarkStart w:id="119" w:name="_Toc184310293"/>
      <w:bookmarkEnd w:id="119"/>
      <w:bookmarkStart w:id="120" w:name="_Toc184310330"/>
      <w:bookmarkEnd w:id="120"/>
      <w:bookmarkStart w:id="121" w:name="_Toc184310332"/>
      <w:bookmarkEnd w:id="121"/>
      <w:bookmarkStart w:id="122" w:name="_Toc184310285"/>
      <w:bookmarkEnd w:id="122"/>
      <w:bookmarkStart w:id="123" w:name="_Toc184310316"/>
      <w:bookmarkEnd w:id="123"/>
      <w:bookmarkStart w:id="124" w:name="_Toc184313268"/>
      <w:bookmarkEnd w:id="124"/>
      <w:bookmarkStart w:id="125" w:name="_Toc184314462"/>
      <w:bookmarkEnd w:id="125"/>
      <w:bookmarkStart w:id="126" w:name="_Toc184313248"/>
      <w:bookmarkEnd w:id="126"/>
      <w:bookmarkStart w:id="127" w:name="_Toc184314482"/>
      <w:bookmarkEnd w:id="127"/>
      <w:bookmarkStart w:id="128" w:name="_Toc184312089"/>
      <w:bookmarkEnd w:id="128"/>
      <w:bookmarkStart w:id="129" w:name="_Toc184310314"/>
      <w:bookmarkEnd w:id="129"/>
      <w:bookmarkStart w:id="130" w:name="_Toc184308045"/>
      <w:bookmarkEnd w:id="130"/>
      <w:bookmarkStart w:id="131" w:name="_Toc184310273"/>
      <w:bookmarkEnd w:id="131"/>
      <w:bookmarkStart w:id="132" w:name="_Toc184308105"/>
      <w:bookmarkEnd w:id="132"/>
      <w:bookmarkStart w:id="133" w:name="_Toc184313267"/>
      <w:bookmarkEnd w:id="133"/>
      <w:bookmarkStart w:id="134" w:name="_Toc184312123"/>
      <w:bookmarkEnd w:id="134"/>
      <w:bookmarkStart w:id="135" w:name="_Toc184310300"/>
      <w:bookmarkEnd w:id="135"/>
      <w:bookmarkStart w:id="136" w:name="_Toc184310317"/>
      <w:bookmarkEnd w:id="136"/>
      <w:bookmarkStart w:id="137" w:name="_Toc184314464"/>
      <w:bookmarkEnd w:id="137"/>
      <w:bookmarkStart w:id="138" w:name="_Toc184312099"/>
      <w:bookmarkEnd w:id="138"/>
      <w:bookmarkStart w:id="139" w:name="_Toc184308102"/>
      <w:bookmarkEnd w:id="139"/>
      <w:bookmarkStart w:id="140" w:name="_Toc184314463"/>
      <w:bookmarkEnd w:id="140"/>
      <w:bookmarkStart w:id="141" w:name="_Toc184313264"/>
      <w:bookmarkEnd w:id="141"/>
      <w:bookmarkStart w:id="142" w:name="_Toc184313286"/>
      <w:bookmarkEnd w:id="142"/>
      <w:bookmarkStart w:id="143" w:name="_Toc184308096"/>
      <w:bookmarkEnd w:id="143"/>
      <w:bookmarkStart w:id="144" w:name="_Toc184310320"/>
      <w:bookmarkEnd w:id="144"/>
      <w:bookmarkStart w:id="145" w:name="_Toc184310324"/>
      <w:bookmarkEnd w:id="145"/>
      <w:bookmarkStart w:id="146" w:name="_Toc184312104"/>
      <w:bookmarkEnd w:id="146"/>
      <w:bookmarkStart w:id="147" w:name="_Toc184312112"/>
      <w:bookmarkEnd w:id="147"/>
      <w:bookmarkStart w:id="148" w:name="_Toc184314454"/>
      <w:bookmarkEnd w:id="148"/>
      <w:bookmarkStart w:id="149" w:name="_Toc184313293"/>
      <w:bookmarkEnd w:id="149"/>
      <w:bookmarkStart w:id="150" w:name="_Toc184312101"/>
      <w:bookmarkEnd w:id="150"/>
      <w:bookmarkStart w:id="151" w:name="_Toc184313277"/>
      <w:bookmarkEnd w:id="151"/>
      <w:bookmarkStart w:id="152" w:name="_Toc184308065"/>
      <w:bookmarkEnd w:id="152"/>
      <w:bookmarkStart w:id="153" w:name="_Toc184310307"/>
      <w:bookmarkEnd w:id="153"/>
      <w:bookmarkStart w:id="154" w:name="_Toc184314470"/>
      <w:bookmarkEnd w:id="154"/>
      <w:bookmarkStart w:id="155" w:name="_Toc184313306"/>
      <w:bookmarkEnd w:id="155"/>
      <w:bookmarkStart w:id="156" w:name="_Toc184314428"/>
      <w:bookmarkEnd w:id="156"/>
      <w:bookmarkStart w:id="157" w:name="_Toc184312109"/>
      <w:bookmarkEnd w:id="157"/>
      <w:bookmarkStart w:id="158" w:name="_Toc184310331"/>
      <w:bookmarkEnd w:id="158"/>
      <w:bookmarkStart w:id="159" w:name="_Toc184310306"/>
      <w:bookmarkEnd w:id="159"/>
      <w:bookmarkStart w:id="160" w:name="_Toc184308054"/>
      <w:bookmarkEnd w:id="160"/>
      <w:bookmarkStart w:id="161" w:name="_Toc184310318"/>
      <w:bookmarkEnd w:id="161"/>
      <w:bookmarkStart w:id="162" w:name="_Toc184312103"/>
      <w:bookmarkEnd w:id="162"/>
      <w:bookmarkStart w:id="163" w:name="_Toc184308086"/>
      <w:bookmarkEnd w:id="163"/>
      <w:bookmarkStart w:id="164" w:name="_Toc184314440"/>
      <w:bookmarkEnd w:id="164"/>
      <w:bookmarkStart w:id="165" w:name="_Toc184310290"/>
      <w:bookmarkEnd w:id="165"/>
      <w:bookmarkStart w:id="166" w:name="_Toc184308074"/>
      <w:bookmarkEnd w:id="166"/>
      <w:bookmarkStart w:id="167" w:name="_Toc184308101"/>
      <w:bookmarkEnd w:id="167"/>
      <w:bookmarkStart w:id="168" w:name="_Toc184308064"/>
      <w:bookmarkEnd w:id="168"/>
      <w:bookmarkStart w:id="169" w:name="_Toc184313245"/>
      <w:bookmarkEnd w:id="169"/>
      <w:bookmarkStart w:id="170" w:name="_Toc184310296"/>
      <w:bookmarkEnd w:id="170"/>
      <w:bookmarkStart w:id="171" w:name="_Toc184312097"/>
      <w:bookmarkEnd w:id="171"/>
      <w:bookmarkStart w:id="172" w:name="_Toc184312102"/>
      <w:bookmarkEnd w:id="172"/>
      <w:bookmarkStart w:id="173" w:name="_Toc184313257"/>
      <w:bookmarkEnd w:id="173"/>
      <w:bookmarkStart w:id="174" w:name="_Toc184312088"/>
      <w:bookmarkEnd w:id="174"/>
      <w:bookmarkStart w:id="175" w:name="_Toc184314445"/>
      <w:bookmarkEnd w:id="175"/>
      <w:bookmarkStart w:id="176" w:name="_Toc184314468"/>
      <w:bookmarkEnd w:id="176"/>
      <w:bookmarkStart w:id="177" w:name="_Toc184308081"/>
      <w:bookmarkEnd w:id="177"/>
      <w:bookmarkStart w:id="178" w:name="_Toc184314430"/>
      <w:bookmarkEnd w:id="178"/>
      <w:bookmarkStart w:id="179" w:name="_Toc184312139"/>
      <w:bookmarkEnd w:id="179"/>
      <w:bookmarkStart w:id="180" w:name="_Toc184312068"/>
      <w:bookmarkEnd w:id="180"/>
      <w:bookmarkStart w:id="181" w:name="_Toc184310291"/>
      <w:bookmarkEnd w:id="181"/>
      <w:bookmarkStart w:id="182" w:name="_Toc184308094"/>
      <w:bookmarkEnd w:id="182"/>
      <w:bookmarkStart w:id="183" w:name="_Toc184310340"/>
      <w:bookmarkEnd w:id="183"/>
      <w:bookmarkStart w:id="184" w:name="_Toc184310274"/>
      <w:bookmarkEnd w:id="184"/>
      <w:bookmarkStart w:id="185" w:name="_Toc184313280"/>
      <w:bookmarkEnd w:id="185"/>
      <w:bookmarkStart w:id="186" w:name="_Toc184314433"/>
      <w:bookmarkEnd w:id="186"/>
      <w:bookmarkStart w:id="187" w:name="_Toc184314421"/>
      <w:bookmarkEnd w:id="187"/>
      <w:bookmarkStart w:id="188" w:name="_Toc184308042"/>
      <w:bookmarkEnd w:id="188"/>
      <w:bookmarkStart w:id="189" w:name="_Toc184314479"/>
      <w:bookmarkEnd w:id="189"/>
      <w:bookmarkStart w:id="190" w:name="_Toc184312073"/>
      <w:bookmarkEnd w:id="190"/>
      <w:bookmarkStart w:id="191" w:name="_Toc184313265"/>
      <w:bookmarkEnd w:id="191"/>
      <w:bookmarkStart w:id="192" w:name="_Toc184313298"/>
      <w:bookmarkEnd w:id="192"/>
      <w:bookmarkStart w:id="193" w:name="_Toc184314471"/>
      <w:bookmarkEnd w:id="193"/>
      <w:bookmarkStart w:id="194" w:name="_Toc184308078"/>
      <w:bookmarkEnd w:id="194"/>
      <w:bookmarkStart w:id="195" w:name="_Toc184313254"/>
      <w:bookmarkEnd w:id="195"/>
      <w:bookmarkStart w:id="196" w:name="_Toc184312074"/>
      <w:bookmarkEnd w:id="196"/>
      <w:bookmarkStart w:id="197" w:name="_Toc184308047"/>
      <w:bookmarkEnd w:id="197"/>
      <w:bookmarkStart w:id="198" w:name="_Toc184314443"/>
      <w:bookmarkEnd w:id="198"/>
      <w:bookmarkStart w:id="199" w:name="_Toc184308087"/>
      <w:bookmarkEnd w:id="199"/>
      <w:bookmarkStart w:id="200" w:name="_Toc184312133"/>
      <w:bookmarkEnd w:id="200"/>
      <w:bookmarkStart w:id="201" w:name="_Toc184308037"/>
      <w:bookmarkEnd w:id="201"/>
      <w:bookmarkStart w:id="202" w:name="_Toc184310275"/>
      <w:bookmarkEnd w:id="202"/>
      <w:bookmarkStart w:id="203" w:name="_Toc184313271"/>
      <w:bookmarkEnd w:id="203"/>
      <w:bookmarkStart w:id="204" w:name="_Toc184310319"/>
      <w:bookmarkEnd w:id="204"/>
      <w:bookmarkStart w:id="205" w:name="_Toc184312134"/>
      <w:bookmarkEnd w:id="205"/>
      <w:bookmarkStart w:id="206" w:name="_Toc184313285"/>
      <w:bookmarkEnd w:id="206"/>
      <w:bookmarkStart w:id="207" w:name="_Toc184312094"/>
      <w:bookmarkEnd w:id="207"/>
      <w:bookmarkStart w:id="208" w:name="_Toc184310313"/>
      <w:bookmarkEnd w:id="208"/>
      <w:bookmarkStart w:id="209" w:name="_Toc184313287"/>
      <w:bookmarkEnd w:id="209"/>
      <w:bookmarkStart w:id="210" w:name="_Toc184312125"/>
      <w:bookmarkEnd w:id="210"/>
      <w:bookmarkStart w:id="211" w:name="_Toc184310282"/>
      <w:bookmarkEnd w:id="211"/>
      <w:bookmarkStart w:id="212" w:name="_Toc184308090"/>
      <w:bookmarkEnd w:id="212"/>
      <w:bookmarkStart w:id="213" w:name="_Toc184312132"/>
      <w:bookmarkEnd w:id="213"/>
      <w:bookmarkStart w:id="214" w:name="_Toc184313250"/>
      <w:bookmarkEnd w:id="214"/>
      <w:bookmarkStart w:id="215" w:name="_Toc184314441"/>
      <w:bookmarkEnd w:id="215"/>
      <w:bookmarkStart w:id="216" w:name="_Toc184312086"/>
      <w:bookmarkEnd w:id="216"/>
      <w:bookmarkStart w:id="217" w:name="_Toc184310327"/>
      <w:bookmarkEnd w:id="217"/>
      <w:bookmarkStart w:id="218" w:name="_Toc184314466"/>
      <w:bookmarkEnd w:id="218"/>
      <w:bookmarkStart w:id="219" w:name="_Toc184312118"/>
      <w:bookmarkEnd w:id="219"/>
      <w:bookmarkStart w:id="220" w:name="_Toc184310287"/>
      <w:bookmarkEnd w:id="220"/>
      <w:bookmarkStart w:id="221" w:name="_Toc184308098"/>
      <w:bookmarkEnd w:id="221"/>
      <w:bookmarkStart w:id="222" w:name="_Toc184310326"/>
      <w:bookmarkEnd w:id="222"/>
      <w:bookmarkStart w:id="223" w:name="_Toc184308106"/>
      <w:bookmarkEnd w:id="223"/>
      <w:bookmarkStart w:id="224" w:name="_Toc184314477"/>
      <w:bookmarkEnd w:id="224"/>
      <w:bookmarkStart w:id="225" w:name="_Toc184314457"/>
      <w:bookmarkEnd w:id="225"/>
      <w:bookmarkStart w:id="226" w:name="_Toc184312082"/>
      <w:bookmarkEnd w:id="226"/>
      <w:bookmarkStart w:id="227" w:name="_Toc184313270"/>
      <w:bookmarkEnd w:id="227"/>
      <w:bookmarkStart w:id="228" w:name="_Toc184313253"/>
      <w:bookmarkEnd w:id="228"/>
      <w:bookmarkStart w:id="229" w:name="_Toc184308051"/>
      <w:bookmarkEnd w:id="229"/>
      <w:bookmarkStart w:id="230" w:name="_Toc184314469"/>
      <w:bookmarkEnd w:id="230"/>
      <w:bookmarkStart w:id="231" w:name="_Toc184310312"/>
      <w:bookmarkEnd w:id="231"/>
      <w:bookmarkStart w:id="232" w:name="_Toc184308036"/>
      <w:bookmarkEnd w:id="232"/>
      <w:bookmarkStart w:id="233" w:name="_Toc184310295"/>
      <w:bookmarkEnd w:id="233"/>
      <w:bookmarkStart w:id="234" w:name="_Toc184314438"/>
      <w:bookmarkEnd w:id="234"/>
      <w:bookmarkStart w:id="235" w:name="_Toc184313294"/>
      <w:bookmarkEnd w:id="235"/>
      <w:bookmarkStart w:id="236" w:name="_Toc184313304"/>
      <w:bookmarkEnd w:id="236"/>
      <w:bookmarkStart w:id="237" w:name="_Toc184310334"/>
      <w:bookmarkEnd w:id="237"/>
      <w:bookmarkStart w:id="238" w:name="_Toc184312137"/>
      <w:bookmarkEnd w:id="238"/>
      <w:bookmarkStart w:id="239" w:name="_Toc184313252"/>
      <w:bookmarkEnd w:id="239"/>
      <w:bookmarkStart w:id="240" w:name="_Toc184308099"/>
      <w:bookmarkEnd w:id="240"/>
      <w:bookmarkStart w:id="241" w:name="_Toc184312091"/>
      <w:bookmarkEnd w:id="241"/>
      <w:bookmarkStart w:id="242" w:name="_Toc184313290"/>
      <w:bookmarkEnd w:id="242"/>
      <w:bookmarkStart w:id="243" w:name="_Toc184308108"/>
      <w:bookmarkEnd w:id="243"/>
      <w:bookmarkStart w:id="244" w:name="_Toc184308092"/>
      <w:bookmarkEnd w:id="244"/>
      <w:bookmarkStart w:id="245" w:name="_Toc184313283"/>
      <w:bookmarkEnd w:id="245"/>
      <w:bookmarkStart w:id="246" w:name="_Toc184312126"/>
      <w:bookmarkEnd w:id="246"/>
      <w:bookmarkStart w:id="247" w:name="_Toc184308070"/>
      <w:bookmarkEnd w:id="247"/>
      <w:bookmarkStart w:id="248" w:name="_Toc184313310"/>
      <w:bookmarkEnd w:id="248"/>
      <w:bookmarkStart w:id="249" w:name="_Toc184312115"/>
      <w:bookmarkEnd w:id="249"/>
      <w:bookmarkStart w:id="250" w:name="_Toc184312070"/>
      <w:bookmarkEnd w:id="250"/>
      <w:bookmarkStart w:id="251" w:name="_Toc184310336"/>
      <w:bookmarkEnd w:id="251"/>
      <w:bookmarkStart w:id="252" w:name="_Toc184308093"/>
      <w:bookmarkEnd w:id="252"/>
      <w:bookmarkStart w:id="253" w:name="_Toc184308056"/>
      <w:bookmarkEnd w:id="253"/>
      <w:bookmarkStart w:id="254" w:name="_Toc184314418"/>
      <w:bookmarkEnd w:id="254"/>
      <w:bookmarkStart w:id="255" w:name="_Toc184310277"/>
      <w:bookmarkEnd w:id="255"/>
      <w:bookmarkStart w:id="256" w:name="_Toc184310297"/>
      <w:bookmarkEnd w:id="256"/>
      <w:bookmarkStart w:id="257" w:name="_Toc184312077"/>
      <w:bookmarkEnd w:id="257"/>
      <w:bookmarkStart w:id="258" w:name="_Toc184314461"/>
      <w:bookmarkEnd w:id="258"/>
      <w:bookmarkStart w:id="259" w:name="_Toc184310315"/>
      <w:bookmarkEnd w:id="259"/>
      <w:bookmarkStart w:id="260" w:name="_Toc184313309"/>
      <w:bookmarkEnd w:id="260"/>
      <w:bookmarkStart w:id="261" w:name="_Toc184314480"/>
      <w:bookmarkEnd w:id="261"/>
      <w:bookmarkStart w:id="262" w:name="_Toc184312076"/>
      <w:bookmarkEnd w:id="262"/>
      <w:bookmarkStart w:id="263" w:name="_Toc184314459"/>
      <w:bookmarkEnd w:id="263"/>
      <w:bookmarkStart w:id="264" w:name="_Toc184313279"/>
      <w:bookmarkEnd w:id="264"/>
      <w:bookmarkStart w:id="265" w:name="_Toc184312136"/>
      <w:bookmarkEnd w:id="265"/>
      <w:bookmarkStart w:id="266" w:name="_Toc184313261"/>
      <w:bookmarkEnd w:id="266"/>
      <w:bookmarkStart w:id="267" w:name="_Toc184310292"/>
      <w:bookmarkEnd w:id="267"/>
      <w:bookmarkStart w:id="268" w:name="_Toc184312090"/>
      <w:bookmarkEnd w:id="268"/>
      <w:bookmarkStart w:id="269" w:name="_Toc184308060"/>
      <w:bookmarkEnd w:id="269"/>
      <w:bookmarkStart w:id="270" w:name="_Toc184308067"/>
      <w:bookmarkEnd w:id="270"/>
      <w:bookmarkStart w:id="271" w:name="_Toc184313282"/>
      <w:bookmarkEnd w:id="271"/>
      <w:bookmarkStart w:id="272" w:name="_Toc184308075"/>
      <w:bookmarkEnd w:id="272"/>
      <w:bookmarkStart w:id="273" w:name="_Toc184310283"/>
      <w:bookmarkEnd w:id="273"/>
      <w:bookmarkStart w:id="274" w:name="_Toc184314413"/>
      <w:bookmarkEnd w:id="274"/>
      <w:bookmarkStart w:id="275" w:name="_Toc184313276"/>
      <w:bookmarkEnd w:id="275"/>
      <w:bookmarkStart w:id="276" w:name="_Toc184312129"/>
      <w:bookmarkEnd w:id="276"/>
      <w:bookmarkStart w:id="277" w:name="_Toc184314449"/>
      <w:bookmarkEnd w:id="277"/>
      <w:bookmarkStart w:id="278" w:name="_Toc184313242"/>
      <w:bookmarkEnd w:id="278"/>
      <w:bookmarkStart w:id="279" w:name="_Toc184313275"/>
      <w:bookmarkEnd w:id="279"/>
      <w:bookmarkStart w:id="280" w:name="_Toc184310298"/>
      <w:bookmarkEnd w:id="280"/>
      <w:bookmarkStart w:id="281" w:name="_Toc184308038"/>
      <w:bookmarkEnd w:id="281"/>
      <w:bookmarkStart w:id="282" w:name="_Toc184308057"/>
      <w:bookmarkEnd w:id="282"/>
      <w:bookmarkStart w:id="283" w:name="_Toc184312093"/>
      <w:bookmarkEnd w:id="283"/>
      <w:bookmarkStart w:id="284" w:name="_Toc184308088"/>
      <w:bookmarkEnd w:id="284"/>
      <w:bookmarkStart w:id="285" w:name="_Toc184308046"/>
      <w:bookmarkEnd w:id="285"/>
      <w:bookmarkStart w:id="286" w:name="_Toc184314475"/>
      <w:bookmarkEnd w:id="286"/>
      <w:bookmarkStart w:id="287" w:name="_Toc184314476"/>
      <w:bookmarkEnd w:id="287"/>
      <w:bookmarkStart w:id="288" w:name="_Toc184308052"/>
      <w:bookmarkEnd w:id="288"/>
      <w:bookmarkStart w:id="289" w:name="_Toc184314439"/>
      <w:bookmarkEnd w:id="289"/>
      <w:bookmarkStart w:id="290" w:name="_Toc184313256"/>
      <w:bookmarkEnd w:id="290"/>
      <w:bookmarkStart w:id="291" w:name="_Toc184312116"/>
      <w:bookmarkEnd w:id="291"/>
      <w:bookmarkStart w:id="292" w:name="_Toc184313263"/>
      <w:bookmarkEnd w:id="292"/>
      <w:bookmarkStart w:id="293" w:name="_Toc184308043"/>
      <w:bookmarkEnd w:id="293"/>
      <w:bookmarkStart w:id="294" w:name="_Toc184310329"/>
      <w:bookmarkEnd w:id="294"/>
      <w:bookmarkStart w:id="295" w:name="_Toc184313300"/>
      <w:bookmarkEnd w:id="295"/>
      <w:bookmarkStart w:id="296" w:name="_Toc184312111"/>
      <w:bookmarkEnd w:id="296"/>
      <w:bookmarkStart w:id="297" w:name="_Toc184314423"/>
      <w:bookmarkEnd w:id="297"/>
      <w:bookmarkStart w:id="298" w:name="_Toc184313239"/>
      <w:bookmarkEnd w:id="298"/>
      <w:bookmarkStart w:id="299" w:name="_Toc184310309"/>
      <w:bookmarkEnd w:id="299"/>
      <w:bookmarkStart w:id="300" w:name="_Toc184312113"/>
      <w:bookmarkEnd w:id="300"/>
      <w:bookmarkStart w:id="301" w:name="_Toc184308049"/>
      <w:bookmarkEnd w:id="301"/>
      <w:bookmarkStart w:id="302" w:name="_Toc184308055"/>
      <w:bookmarkEnd w:id="302"/>
      <w:bookmarkStart w:id="303" w:name="_Toc184314481"/>
      <w:bookmarkEnd w:id="303"/>
      <w:bookmarkStart w:id="304" w:name="_Toc184308076"/>
      <w:bookmarkEnd w:id="304"/>
      <w:bookmarkStart w:id="305" w:name="_Toc184308059"/>
      <w:bookmarkEnd w:id="305"/>
      <w:bookmarkStart w:id="306" w:name="_Toc184314451"/>
      <w:bookmarkEnd w:id="306"/>
      <w:bookmarkStart w:id="307" w:name="_Toc184308082"/>
      <w:bookmarkEnd w:id="307"/>
      <w:bookmarkStart w:id="308" w:name="_Toc184310323"/>
      <w:bookmarkEnd w:id="308"/>
      <w:bookmarkStart w:id="309" w:name="_Toc184310321"/>
      <w:bookmarkEnd w:id="309"/>
      <w:bookmarkStart w:id="310" w:name="_Toc184310311"/>
      <w:bookmarkEnd w:id="310"/>
      <w:bookmarkStart w:id="311" w:name="_Toc184314427"/>
      <w:bookmarkEnd w:id="311"/>
      <w:bookmarkStart w:id="312" w:name="_Toc184314411"/>
      <w:bookmarkEnd w:id="312"/>
      <w:bookmarkStart w:id="313" w:name="_Toc184312110"/>
      <w:bookmarkEnd w:id="313"/>
      <w:bookmarkStart w:id="314" w:name="_Toc184314426"/>
      <w:bookmarkEnd w:id="314"/>
      <w:bookmarkStart w:id="315" w:name="_Toc184308039"/>
      <w:bookmarkEnd w:id="315"/>
      <w:bookmarkStart w:id="316" w:name="_Toc184312067"/>
      <w:bookmarkEnd w:id="316"/>
      <w:bookmarkStart w:id="317" w:name="_Toc184310341"/>
      <w:bookmarkEnd w:id="317"/>
      <w:bookmarkStart w:id="318" w:name="_Toc184314425"/>
      <w:bookmarkEnd w:id="318"/>
      <w:bookmarkStart w:id="319" w:name="_Toc184313262"/>
      <w:bookmarkEnd w:id="319"/>
      <w:bookmarkStart w:id="320" w:name="_Toc184310337"/>
      <w:bookmarkEnd w:id="320"/>
      <w:bookmarkStart w:id="321" w:name="_Toc184310284"/>
      <w:bookmarkEnd w:id="321"/>
      <w:bookmarkStart w:id="322" w:name="_Toc184312084"/>
      <w:bookmarkEnd w:id="322"/>
      <w:bookmarkStart w:id="323" w:name="_Toc184310289"/>
      <w:bookmarkEnd w:id="323"/>
      <w:bookmarkStart w:id="324" w:name="_Toc184310335"/>
      <w:bookmarkEnd w:id="324"/>
      <w:bookmarkStart w:id="325" w:name="_Toc184313305"/>
      <w:bookmarkEnd w:id="325"/>
      <w:bookmarkStart w:id="326" w:name="_Toc184310288"/>
      <w:bookmarkEnd w:id="326"/>
      <w:bookmarkStart w:id="327" w:name="_Toc184313278"/>
      <w:bookmarkEnd w:id="327"/>
      <w:bookmarkStart w:id="328" w:name="_Toc184314458"/>
      <w:bookmarkEnd w:id="328"/>
      <w:bookmarkStart w:id="329" w:name="_Toc184313247"/>
      <w:bookmarkEnd w:id="329"/>
      <w:bookmarkStart w:id="330" w:name="_Toc184310342"/>
      <w:bookmarkEnd w:id="330"/>
      <w:bookmarkStart w:id="331" w:name="_Toc184313266"/>
      <w:bookmarkEnd w:id="331"/>
      <w:bookmarkStart w:id="332" w:name="_Toc184313269"/>
      <w:bookmarkEnd w:id="332"/>
      <w:bookmarkStart w:id="333" w:name="_Toc184313281"/>
      <w:bookmarkEnd w:id="333"/>
      <w:bookmarkStart w:id="334" w:name="_Toc184314452"/>
      <w:bookmarkEnd w:id="334"/>
      <w:bookmarkStart w:id="335" w:name="_Toc184314422"/>
      <w:bookmarkEnd w:id="335"/>
      <w:bookmarkStart w:id="336" w:name="_Toc184312100"/>
      <w:bookmarkEnd w:id="336"/>
      <w:bookmarkStart w:id="337" w:name="_Toc184313295"/>
      <w:bookmarkEnd w:id="337"/>
      <w:bookmarkStart w:id="338" w:name="_Toc184312107"/>
      <w:bookmarkEnd w:id="338"/>
      <w:bookmarkStart w:id="339" w:name="_Toc184314419"/>
      <w:bookmarkEnd w:id="339"/>
      <w:bookmarkStart w:id="340" w:name="_Toc184308100"/>
      <w:bookmarkEnd w:id="340"/>
      <w:bookmarkStart w:id="341" w:name="_Toc184312087"/>
      <w:bookmarkEnd w:id="341"/>
      <w:bookmarkStart w:id="342" w:name="_Toc184314456"/>
      <w:bookmarkEnd w:id="342"/>
      <w:bookmarkStart w:id="343" w:name="_Toc184313297"/>
      <w:bookmarkEnd w:id="343"/>
      <w:bookmarkStart w:id="344" w:name="_Toc184314412"/>
      <w:bookmarkEnd w:id="344"/>
      <w:bookmarkStart w:id="345" w:name="_Toc184313303"/>
      <w:bookmarkEnd w:id="345"/>
      <w:bookmarkStart w:id="346" w:name="_Toc184314446"/>
      <w:bookmarkEnd w:id="346"/>
      <w:bookmarkStart w:id="347" w:name="_Toc184313249"/>
      <w:bookmarkEnd w:id="347"/>
      <w:bookmarkStart w:id="348" w:name="_Toc184312075"/>
      <w:bookmarkEnd w:id="348"/>
      <w:bookmarkStart w:id="349" w:name="_Toc184314410"/>
      <w:bookmarkEnd w:id="349"/>
      <w:bookmarkStart w:id="350" w:name="_Toc184312117"/>
      <w:bookmarkEnd w:id="350"/>
      <w:bookmarkStart w:id="351" w:name="_Toc184312128"/>
      <w:bookmarkEnd w:id="351"/>
      <w:bookmarkStart w:id="352" w:name="_Toc184313259"/>
      <w:bookmarkEnd w:id="352"/>
      <w:bookmarkStart w:id="353" w:name="_Toc184313292"/>
      <w:bookmarkEnd w:id="353"/>
      <w:bookmarkStart w:id="354" w:name="_Toc184314416"/>
      <w:bookmarkEnd w:id="354"/>
      <w:bookmarkStart w:id="355" w:name="_Toc184308107"/>
      <w:bookmarkEnd w:id="355"/>
      <w:bookmarkStart w:id="356" w:name="_Toc184308104"/>
      <w:bookmarkEnd w:id="356"/>
      <w:bookmarkStart w:id="357" w:name="_Toc184310344"/>
      <w:bookmarkEnd w:id="357"/>
      <w:bookmarkStart w:id="358" w:name="_Toc184313244"/>
      <w:bookmarkEnd w:id="358"/>
      <w:bookmarkStart w:id="359" w:name="_Toc184314429"/>
      <w:bookmarkEnd w:id="359"/>
      <w:bookmarkStart w:id="360" w:name="_Toc184308072"/>
      <w:bookmarkEnd w:id="360"/>
      <w:bookmarkStart w:id="361" w:name="_Toc184313251"/>
      <w:bookmarkEnd w:id="361"/>
      <w:bookmarkStart w:id="362" w:name="_Toc184312119"/>
      <w:bookmarkEnd w:id="362"/>
      <w:bookmarkStart w:id="363" w:name="_Toc184310299"/>
      <w:bookmarkEnd w:id="363"/>
      <w:bookmarkStart w:id="364" w:name="_Toc184312121"/>
      <w:bookmarkEnd w:id="364"/>
      <w:bookmarkStart w:id="365" w:name="_Toc184312124"/>
      <w:bookmarkEnd w:id="365"/>
      <w:bookmarkStart w:id="366" w:name="_Toc184310280"/>
      <w:bookmarkEnd w:id="366"/>
      <w:bookmarkStart w:id="367" w:name="_Toc184308044"/>
      <w:bookmarkEnd w:id="367"/>
      <w:bookmarkStart w:id="368" w:name="_Toc184312078"/>
      <w:bookmarkEnd w:id="368"/>
      <w:bookmarkStart w:id="369" w:name="_Toc184313243"/>
      <w:bookmarkEnd w:id="369"/>
      <w:bookmarkStart w:id="370" w:name="_Toc184308103"/>
      <w:bookmarkEnd w:id="370"/>
      <w:bookmarkStart w:id="371" w:name="_Toc184310301"/>
      <w:bookmarkEnd w:id="371"/>
      <w:bookmarkStart w:id="372" w:name="_Toc184308080"/>
      <w:bookmarkEnd w:id="372"/>
      <w:bookmarkStart w:id="373" w:name="_Toc184314467"/>
      <w:bookmarkEnd w:id="373"/>
      <w:bookmarkStart w:id="374" w:name="_Toc184310304"/>
      <w:bookmarkEnd w:id="374"/>
      <w:bookmarkStart w:id="375" w:name="_Toc184310294"/>
      <w:bookmarkEnd w:id="375"/>
      <w:bookmarkStart w:id="376" w:name="_Toc184308040"/>
      <w:bookmarkEnd w:id="376"/>
      <w:bookmarkStart w:id="377" w:name="_Toc184310325"/>
      <w:bookmarkEnd w:id="377"/>
      <w:bookmarkStart w:id="378" w:name="_Toc184314434"/>
      <w:bookmarkEnd w:id="378"/>
      <w:bookmarkStart w:id="379" w:name="_Toc184314414"/>
      <w:bookmarkEnd w:id="379"/>
      <w:bookmarkStart w:id="380" w:name="_Toc184313258"/>
      <w:bookmarkEnd w:id="380"/>
      <w:bookmarkStart w:id="381" w:name="_Toc184314435"/>
      <w:bookmarkEnd w:id="381"/>
      <w:bookmarkStart w:id="382" w:name="_Toc184313296"/>
      <w:bookmarkEnd w:id="382"/>
      <w:bookmarkStart w:id="383" w:name="_Toc184310308"/>
      <w:bookmarkEnd w:id="383"/>
      <w:bookmarkStart w:id="384" w:name="_Toc184310281"/>
      <w:bookmarkEnd w:id="384"/>
      <w:bookmarkStart w:id="385" w:name="_Toc184313301"/>
      <w:bookmarkEnd w:id="385"/>
      <w:bookmarkStart w:id="386" w:name="_Toc184313246"/>
      <w:bookmarkEnd w:id="386"/>
      <w:bookmarkStart w:id="387" w:name="_Toc184314417"/>
      <w:bookmarkEnd w:id="387"/>
      <w:bookmarkStart w:id="388" w:name="_Toc184308084"/>
      <w:bookmarkEnd w:id="388"/>
      <w:bookmarkStart w:id="389" w:name="_Toc184314420"/>
      <w:bookmarkEnd w:id="389"/>
      <w:bookmarkStart w:id="390" w:name="_Toc184312138"/>
      <w:bookmarkEnd w:id="390"/>
      <w:bookmarkStart w:id="391" w:name="_Toc184314478"/>
      <w:bookmarkEnd w:id="391"/>
      <w:bookmarkStart w:id="392" w:name="_Toc184308077"/>
      <w:bookmarkEnd w:id="392"/>
      <w:bookmarkStart w:id="393" w:name="_Toc184310286"/>
      <w:bookmarkEnd w:id="393"/>
      <w:bookmarkStart w:id="394" w:name="_Toc184310278"/>
      <w:bookmarkEnd w:id="394"/>
      <w:bookmarkStart w:id="395" w:name="_Toc184313299"/>
      <w:bookmarkEnd w:id="395"/>
      <w:bookmarkStart w:id="396" w:name="_Toc184313272"/>
      <w:bookmarkEnd w:id="396"/>
      <w:bookmarkStart w:id="397" w:name="_Toc184314460"/>
      <w:bookmarkEnd w:id="397"/>
      <w:bookmarkStart w:id="398" w:name="_Toc184313238"/>
      <w:bookmarkEnd w:id="398"/>
      <w:bookmarkStart w:id="399" w:name="_Toc184310302"/>
      <w:bookmarkEnd w:id="399"/>
      <w:bookmarkStart w:id="400" w:name="_Toc184313273"/>
      <w:bookmarkEnd w:id="400"/>
      <w:bookmarkStart w:id="401" w:name="_Toc184308073"/>
      <w:bookmarkEnd w:id="401"/>
      <w:bookmarkStart w:id="402" w:name="_Toc184314432"/>
      <w:bookmarkEnd w:id="402"/>
      <w:bookmarkStart w:id="403" w:name="_Toc184313302"/>
      <w:bookmarkEnd w:id="403"/>
      <w:bookmarkStart w:id="404" w:name="_Toc184313288"/>
      <w:bookmarkEnd w:id="404"/>
      <w:bookmarkStart w:id="405" w:name="_Toc184313284"/>
      <w:bookmarkEnd w:id="405"/>
      <w:bookmarkStart w:id="406" w:name="_Toc184314473"/>
      <w:bookmarkEnd w:id="406"/>
      <w:bookmarkStart w:id="407" w:name="_Toc184308061"/>
      <w:bookmarkEnd w:id="407"/>
      <w:bookmarkStart w:id="408" w:name="_Toc184308048"/>
      <w:bookmarkEnd w:id="408"/>
      <w:bookmarkStart w:id="409" w:name="_Toc184312080"/>
      <w:bookmarkEnd w:id="409"/>
      <w:bookmarkStart w:id="410" w:name="_Toc184312114"/>
      <w:bookmarkEnd w:id="410"/>
      <w:bookmarkStart w:id="411" w:name="_Toc184312092"/>
      <w:bookmarkEnd w:id="411"/>
      <w:bookmarkStart w:id="412" w:name="_Toc184312069"/>
      <w:bookmarkEnd w:id="412"/>
      <w:bookmarkStart w:id="413" w:name="_Toc184314472"/>
      <w:bookmarkEnd w:id="413"/>
      <w:bookmarkStart w:id="414" w:name="_Toc184308085"/>
      <w:bookmarkEnd w:id="414"/>
      <w:bookmarkStart w:id="415" w:name="_Toc184308066"/>
      <w:bookmarkEnd w:id="415"/>
      <w:bookmarkStart w:id="416" w:name="_Toc184312135"/>
      <w:bookmarkEnd w:id="416"/>
      <w:bookmarkStart w:id="417" w:name="_Toc184310333"/>
      <w:bookmarkEnd w:id="417"/>
      <w:r>
        <w:rPr>
          <w:rStyle w:val="282"/>
          <w:rFonts w:hint="eastAsia"/>
          <w:color w:val="auto"/>
          <w:highlight w:val="none"/>
        </w:rPr>
        <w:t>评标办法</w:t>
      </w:r>
      <w:bookmarkEnd w:id="52"/>
    </w:p>
    <w:p>
      <w:pPr>
        <w:snapToGrid w:val="0"/>
        <w:spacing w:line="360" w:lineRule="auto"/>
        <w:jc w:val="center"/>
        <w:outlineLvl w:val="1"/>
        <w:rPr>
          <w:rFonts w:ascii="宋体" w:hAnsi="宋体" w:cs="宋体"/>
          <w:b/>
          <w:color w:val="auto"/>
          <w:sz w:val="24"/>
          <w:highlight w:val="none"/>
        </w:rPr>
      </w:pPr>
      <w:r>
        <w:rPr>
          <w:rFonts w:hint="eastAsia" w:ascii="宋体" w:hAnsi="宋体" w:cs="宋体"/>
          <w:b/>
          <w:color w:val="auto"/>
          <w:sz w:val="24"/>
          <w:highlight w:val="none"/>
        </w:rPr>
        <w:t>评标办法前附表</w:t>
      </w:r>
    </w:p>
    <w:tbl>
      <w:tblPr>
        <w:tblStyle w:val="62"/>
        <w:tblW w:w="0" w:type="auto"/>
        <w:tblInd w:w="0" w:type="dxa"/>
        <w:tblLayout w:type="autofit"/>
        <w:tblCellMar>
          <w:top w:w="0" w:type="dxa"/>
          <w:left w:w="108" w:type="dxa"/>
          <w:bottom w:w="0" w:type="dxa"/>
          <w:right w:w="108" w:type="dxa"/>
        </w:tblCellMar>
      </w:tblPr>
      <w:tblGrid>
        <w:gridCol w:w="7082"/>
        <w:gridCol w:w="460"/>
        <w:gridCol w:w="674"/>
        <w:gridCol w:w="1070"/>
      </w:tblGrid>
      <w:tr>
        <w:tblPrEx>
          <w:tblCellMar>
            <w:top w:w="0" w:type="dxa"/>
            <w:left w:w="108" w:type="dxa"/>
            <w:bottom w:w="0" w:type="dxa"/>
            <w:right w:w="108" w:type="dxa"/>
          </w:tblCellMar>
        </w:tblPrEx>
        <w:trPr>
          <w:trHeight w:val="1620" w:hRule="atLeast"/>
        </w:trPr>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评标标准</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权重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主观分/客观分属性</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投标文件中评标标准相应的商务技术资料目录*</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业绩经验</w:t>
            </w:r>
            <w:r>
              <w:rPr>
                <w:rFonts w:hint="eastAsia" w:ascii="宋体" w:hAnsi="宋体" w:cs="宋体"/>
                <w:color w:val="auto"/>
                <w:szCs w:val="21"/>
                <w:highlight w:val="none"/>
              </w:rPr>
              <w:br w:type="textWrapping"/>
            </w:r>
            <w:r>
              <w:rPr>
                <w:rFonts w:hint="eastAsia" w:ascii="宋体" w:hAnsi="宋体" w:cs="宋体"/>
                <w:color w:val="auto"/>
                <w:szCs w:val="21"/>
                <w:highlight w:val="none"/>
              </w:rPr>
              <w:t>2021年1月1日起至投标截止时间，投标人具有类似项目业绩，每个得1分，最高得3分。</w:t>
            </w:r>
            <w:r>
              <w:rPr>
                <w:rFonts w:hint="eastAsia" w:ascii="宋体" w:hAnsi="宋体" w:cs="宋体"/>
                <w:color w:val="auto"/>
                <w:szCs w:val="21"/>
                <w:highlight w:val="none"/>
              </w:rPr>
              <w:br w:type="textWrapping"/>
            </w:r>
            <w:r>
              <w:rPr>
                <w:rFonts w:hint="eastAsia" w:ascii="宋体" w:hAnsi="宋体" w:cs="宋体"/>
                <w:color w:val="auto"/>
                <w:szCs w:val="21"/>
                <w:highlight w:val="none"/>
              </w:rPr>
              <w:t>说明：提供完整合同复印件（或扫描件）。</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产品技术指标及功能响应（满足）程度</w:t>
            </w:r>
            <w:r>
              <w:rPr>
                <w:rFonts w:hint="eastAsia" w:ascii="宋体" w:hAnsi="宋体" w:cs="宋体"/>
                <w:color w:val="auto"/>
                <w:szCs w:val="21"/>
                <w:highlight w:val="none"/>
              </w:rPr>
              <w:br w:type="textWrapping"/>
            </w:r>
            <w:r>
              <w:rPr>
                <w:rFonts w:hint="eastAsia" w:ascii="宋体" w:hAnsi="宋体" w:cs="宋体"/>
                <w:color w:val="auto"/>
                <w:szCs w:val="21"/>
                <w:highlight w:val="none"/>
              </w:rPr>
              <w:t>根据招标文件第三部分 采购需求中响应（满足）程度进行评审打分全部满足招标文件要求的得20分，其中：</w:t>
            </w:r>
            <w:r>
              <w:rPr>
                <w:rFonts w:hint="eastAsia" w:ascii="宋体" w:hAnsi="宋体" w:cs="宋体"/>
                <w:color w:val="auto"/>
                <w:szCs w:val="21"/>
                <w:highlight w:val="none"/>
              </w:rPr>
              <w:br w:type="textWrapping"/>
            </w:r>
            <w:r>
              <w:rPr>
                <w:rFonts w:hint="eastAsia" w:ascii="宋体" w:hAnsi="宋体" w:cs="宋体"/>
                <w:color w:val="auto"/>
                <w:szCs w:val="21"/>
                <w:highlight w:val="none"/>
              </w:rPr>
              <w:t>（1）标注“★”的重要技术指标（条款、参数）有偏离的，偏离（功能、性能和技术指标低于或不具备（不可用其他功能替代））项每项扣4分；扣完为止。（所有标注“★”的重要技术指标项若招标文件有要求提供相关证明材料需按招标文件要求提供相应证明材料作为评审依据，未提供不得分，证明材料的有效性有评审委员会评定。）</w:t>
            </w:r>
            <w:r>
              <w:rPr>
                <w:rFonts w:hint="eastAsia" w:ascii="宋体" w:hAnsi="宋体" w:cs="宋体"/>
                <w:color w:val="auto"/>
                <w:szCs w:val="21"/>
                <w:highlight w:val="none"/>
              </w:rPr>
              <w:br w:type="textWrapping"/>
            </w:r>
            <w:r>
              <w:rPr>
                <w:rFonts w:hint="eastAsia" w:ascii="宋体" w:hAnsi="宋体" w:cs="宋体"/>
                <w:color w:val="auto"/>
                <w:szCs w:val="21"/>
                <w:highlight w:val="none"/>
              </w:rPr>
              <w:t>（2）未标注“★”的一般技术指标（条款、参数）有偏离的，偏离（功能、性能和技术指标低于或不具备（不可用其他功能替代））项每项扣2分；扣完为止。</w:t>
            </w:r>
            <w:r>
              <w:rPr>
                <w:rFonts w:hint="eastAsia" w:ascii="宋体" w:hAnsi="宋体" w:cs="宋体"/>
                <w:color w:val="auto"/>
                <w:szCs w:val="21"/>
                <w:highlight w:val="none"/>
              </w:rPr>
              <w:br w:type="textWrapping"/>
            </w:r>
            <w:r>
              <w:rPr>
                <w:rFonts w:hint="eastAsia" w:ascii="宋体" w:hAnsi="宋体" w:cs="宋体"/>
                <w:color w:val="auto"/>
                <w:szCs w:val="21"/>
                <w:highlight w:val="none"/>
              </w:rPr>
              <w:t>注：未满足招标文件标注“▲”的实质性要求（条款、参数）的，该供应商的投标文件将被视为无效；若商务技术偏离表中响应情况与技术资料不一致的，评审专家有权对其按技术资料中的参数进行评分。</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投标人资质</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1.投标人具有有效质量管理体系认证得1分；</w:t>
            </w:r>
            <w:r>
              <w:rPr>
                <w:rFonts w:hint="eastAsia" w:ascii="宋体" w:hAnsi="宋体" w:cs="宋体"/>
                <w:color w:val="auto"/>
                <w:szCs w:val="21"/>
                <w:highlight w:val="none"/>
              </w:rPr>
              <w:br w:type="textWrapping"/>
            </w:r>
            <w:r>
              <w:rPr>
                <w:rFonts w:hint="eastAsia" w:ascii="宋体" w:hAnsi="宋体" w:cs="宋体"/>
                <w:color w:val="auto"/>
                <w:szCs w:val="21"/>
                <w:highlight w:val="none"/>
              </w:rPr>
              <w:t>2.投标人具有有效信息安全管理体系认证得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rPr>
              <w:br w:type="textWrapping"/>
            </w:r>
            <w:r>
              <w:rPr>
                <w:rFonts w:hint="eastAsia" w:ascii="宋体" w:hAnsi="宋体" w:cs="宋体"/>
                <w:color w:val="auto"/>
                <w:szCs w:val="21"/>
                <w:highlight w:val="none"/>
              </w:rPr>
              <w:t>3.投标人具有有效业务连续性体系认证得1分；</w:t>
            </w:r>
            <w:r>
              <w:rPr>
                <w:rFonts w:hint="eastAsia" w:ascii="宋体" w:hAnsi="宋体" w:cs="宋体"/>
                <w:color w:val="auto"/>
                <w:szCs w:val="21"/>
                <w:highlight w:val="none"/>
              </w:rPr>
              <w:br w:type="textWrapping"/>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.投标人具有有效环境管理体系认证得1分；</w:t>
            </w:r>
            <w:r>
              <w:rPr>
                <w:rFonts w:hint="eastAsia" w:ascii="宋体" w:hAnsi="宋体" w:cs="宋体"/>
                <w:color w:val="auto"/>
                <w:szCs w:val="21"/>
                <w:highlight w:val="none"/>
              </w:rPr>
              <w:br w:type="textWrapping"/>
            </w:r>
            <w:r>
              <w:rPr>
                <w:rFonts w:hint="eastAsia" w:ascii="宋体" w:hAnsi="宋体" w:cs="宋体"/>
                <w:color w:val="auto"/>
                <w:szCs w:val="21"/>
                <w:highlight w:val="none"/>
              </w:rPr>
              <w:t>证明资料：</w:t>
            </w:r>
            <w:r>
              <w:rPr>
                <w:rFonts w:hint="eastAsia" w:ascii="宋体" w:hAnsi="宋体" w:eastAsia="宋体" w:cs="宋体"/>
                <w:color w:val="auto"/>
                <w:highlight w:val="none"/>
              </w:rPr>
              <w:t>需提供全国认证认可信息公共服务平台（http://cx.cnca.cn/）网站查询截图及证书扫描件</w:t>
            </w:r>
            <w:r>
              <w:rPr>
                <w:rFonts w:hint="eastAsia" w:ascii="宋体" w:hAnsi="宋体" w:eastAsia="宋体" w:cs="宋体"/>
                <w:color w:val="auto"/>
                <w:highlight w:val="none"/>
                <w:lang w:eastAsia="zh-CN"/>
              </w:rPr>
              <w:t>。</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客观分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配套服务能力</w:t>
            </w:r>
            <w:r>
              <w:rPr>
                <w:rFonts w:hint="eastAsia" w:ascii="宋体" w:hAnsi="宋体" w:cs="宋体"/>
                <w:color w:val="auto"/>
                <w:szCs w:val="21"/>
                <w:highlight w:val="none"/>
              </w:rPr>
              <w:br w:type="textWrapping"/>
            </w:r>
            <w:r>
              <w:rPr>
                <w:rFonts w:hint="eastAsia" w:ascii="宋体" w:hAnsi="宋体" w:cs="宋体"/>
                <w:color w:val="auto"/>
                <w:szCs w:val="21"/>
                <w:highlight w:val="none"/>
              </w:rPr>
              <w:t>投标人具有预警监测</w:t>
            </w:r>
            <w:r>
              <w:rPr>
                <w:rFonts w:hint="eastAsia" w:ascii="宋体" w:hAnsi="宋体" w:cs="宋体"/>
                <w:color w:val="auto"/>
                <w:szCs w:val="21"/>
                <w:highlight w:val="none"/>
                <w:lang w:val="en-US" w:eastAsia="zh-CN"/>
              </w:rPr>
              <w:t>等相关的能应用于本项目</w:t>
            </w:r>
            <w:r>
              <w:rPr>
                <w:rFonts w:hint="eastAsia" w:ascii="宋体" w:hAnsi="宋体" w:cs="宋体"/>
                <w:color w:val="auto"/>
                <w:szCs w:val="21"/>
                <w:highlight w:val="none"/>
              </w:rPr>
              <w:t>的软件著作权证书，每个证书得1分，最高得2分</w:t>
            </w:r>
            <w:r>
              <w:rPr>
                <w:rFonts w:hint="eastAsia" w:ascii="宋体" w:hAnsi="宋体" w:cs="宋体"/>
                <w:color w:val="auto"/>
                <w:szCs w:val="21"/>
                <w:highlight w:val="none"/>
                <w:lang w:eastAsia="zh-CN"/>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注：</w:t>
            </w:r>
            <w:r>
              <w:rPr>
                <w:rFonts w:hint="eastAsia" w:ascii="宋体" w:hAnsi="宋体" w:eastAsia="宋体" w:cs="宋体"/>
                <w:color w:val="auto"/>
                <w:highlight w:val="none"/>
              </w:rPr>
              <w:t>需提供全国认证认可信息公共服务平台（http://cx.cnca.cn/）网站查询截图及证书扫描件</w:t>
            </w:r>
            <w:r>
              <w:rPr>
                <w:rFonts w:hint="eastAsia" w:ascii="宋体" w:hAnsi="宋体" w:eastAsia="宋体" w:cs="宋体"/>
                <w:color w:val="auto"/>
                <w:highlight w:val="none"/>
                <w:lang w:eastAsia="zh-CN"/>
              </w:rPr>
              <w:t>。</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客观分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rPr>
              <w:br w:type="textWrapping"/>
            </w:r>
            <w:r>
              <w:rPr>
                <w:rFonts w:hint="eastAsia" w:ascii="宋体" w:hAnsi="宋体" w:cs="宋体"/>
                <w:color w:val="auto"/>
                <w:szCs w:val="21"/>
                <w:highlight w:val="none"/>
              </w:rPr>
              <w:t>本项目负责人具备高级工程师证书</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得2分,没有不得分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注：提供相关合同复印件（或扫描件）及由投标人缴纳社保证明材料。</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项目团队</w:t>
            </w:r>
            <w:r>
              <w:rPr>
                <w:rFonts w:hint="eastAsia" w:ascii="宋体" w:hAnsi="宋体" w:cs="宋体"/>
                <w:color w:val="auto"/>
                <w:szCs w:val="21"/>
                <w:highlight w:val="none"/>
              </w:rPr>
              <w:br w:type="textWrapping"/>
            </w:r>
            <w:r>
              <w:rPr>
                <w:rFonts w:hint="eastAsia" w:ascii="宋体" w:hAnsi="宋体" w:cs="宋体"/>
                <w:color w:val="auto"/>
                <w:szCs w:val="21"/>
                <w:highlight w:val="none"/>
              </w:rPr>
              <w:t>本项目团队技术负责人中具备电气类工程师职称</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本项目团队</w:t>
            </w:r>
            <w:r>
              <w:rPr>
                <w:rFonts w:hint="eastAsia" w:ascii="宋体" w:hAnsi="宋体" w:cs="宋体"/>
                <w:color w:val="auto"/>
                <w:szCs w:val="21"/>
                <w:highlight w:val="none"/>
                <w:lang w:val="en-US" w:eastAsia="zh-CN"/>
              </w:rPr>
              <w:t>人员（除项目负责人及技术负责人外）</w:t>
            </w:r>
            <w:r>
              <w:rPr>
                <w:rFonts w:hint="eastAsia" w:ascii="宋体" w:hAnsi="宋体" w:cs="宋体"/>
                <w:color w:val="auto"/>
                <w:szCs w:val="21"/>
                <w:highlight w:val="none"/>
              </w:rPr>
              <w:t>，每有1位具备中级工程师职称及以上的得1分，最高得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rPr>
              <w:br w:type="textWrapping"/>
            </w:r>
            <w:r>
              <w:rPr>
                <w:rFonts w:hint="eastAsia" w:ascii="宋体" w:hAnsi="宋体" w:cs="宋体"/>
                <w:color w:val="auto"/>
                <w:szCs w:val="21"/>
                <w:highlight w:val="none"/>
              </w:rPr>
              <w:t>本项目团队安装人员具备电工证，得1分</w:t>
            </w:r>
            <w:r>
              <w:rPr>
                <w:rFonts w:hint="eastAsia" w:ascii="宋体" w:hAnsi="宋体" w:cs="宋体"/>
                <w:color w:val="auto"/>
                <w:szCs w:val="21"/>
                <w:highlight w:val="none"/>
                <w:lang w:eastAsia="zh-CN"/>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以上证书一人多证不得分。</w:t>
            </w:r>
            <w:r>
              <w:rPr>
                <w:rFonts w:hint="eastAsia" w:ascii="宋体" w:hAnsi="宋体" w:cs="宋体"/>
                <w:color w:val="auto"/>
                <w:szCs w:val="21"/>
                <w:highlight w:val="none"/>
              </w:rPr>
              <w:br w:type="textWrapping"/>
            </w:r>
            <w:r>
              <w:rPr>
                <w:rFonts w:hint="eastAsia" w:ascii="宋体" w:hAnsi="宋体" w:cs="宋体"/>
                <w:color w:val="auto"/>
                <w:szCs w:val="21"/>
                <w:highlight w:val="none"/>
              </w:rPr>
              <w:t>注：提供相关合同复印件（或扫描件）及由投标人缴纳社保证明材料。</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项目分析</w:t>
            </w:r>
            <w:r>
              <w:rPr>
                <w:rFonts w:hint="eastAsia" w:ascii="宋体" w:hAnsi="宋体" w:cs="宋体"/>
                <w:color w:val="auto"/>
                <w:szCs w:val="21"/>
                <w:highlight w:val="none"/>
              </w:rPr>
              <w:br w:type="textWrapping"/>
            </w:r>
            <w:r>
              <w:rPr>
                <w:rFonts w:hint="eastAsia" w:ascii="宋体" w:hAnsi="宋体" w:cs="宋体"/>
                <w:color w:val="auto"/>
                <w:szCs w:val="21"/>
                <w:highlight w:val="none"/>
              </w:rPr>
              <w:t>投标人结合以往的工作经验及对钱塘区的了解程度对钱塘区重点工地的噪声排放情况、周边敏感建筑物分布情况，以及项目建设需求进行分析。内容科学合理，分析全面、针对性性强的得5分；内容基本全面、针对性不佳得3分；有较大的欠缺得1分；未提供不得分。</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数据对接方案</w:t>
            </w:r>
            <w:r>
              <w:rPr>
                <w:rFonts w:hint="eastAsia" w:ascii="宋体" w:hAnsi="宋体" w:cs="宋体"/>
                <w:color w:val="auto"/>
                <w:szCs w:val="21"/>
                <w:highlight w:val="none"/>
              </w:rPr>
              <w:br w:type="textWrapping"/>
            </w:r>
            <w:r>
              <w:rPr>
                <w:rFonts w:hint="eastAsia" w:ascii="宋体" w:hAnsi="宋体" w:cs="宋体"/>
                <w:color w:val="auto"/>
                <w:szCs w:val="21"/>
                <w:highlight w:val="none"/>
              </w:rPr>
              <w:t>根据投标人对数据接入现有平台方案、数据对接流程、业务闭环处置等情况进行设计，分析准确、解决方案切实可行的得4分；分析准确、但解决方案较为笼统、不够有针对性、能基本满足项目需求的得2分；分析不全面或有明显的错误之处、也未能提供现实有效得解决方案的得1分；未提供不得分。</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网络架构设计方案</w:t>
            </w:r>
            <w:r>
              <w:rPr>
                <w:rFonts w:hint="eastAsia" w:ascii="宋体" w:hAnsi="宋体" w:cs="宋体"/>
                <w:color w:val="auto"/>
                <w:szCs w:val="21"/>
                <w:highlight w:val="none"/>
              </w:rPr>
              <w:br w:type="textWrapping"/>
            </w:r>
            <w:r>
              <w:rPr>
                <w:rFonts w:hint="eastAsia" w:ascii="宋体" w:hAnsi="宋体" w:cs="宋体"/>
                <w:color w:val="auto"/>
                <w:szCs w:val="21"/>
                <w:highlight w:val="none"/>
              </w:rPr>
              <w:t>根据投标人对整体网络的分析与联网方案设计进行评审。方案合理可行、有针对性、网络架构图清晰的得3分；方案基本合理、可行性一般、提供了架构图的得2分；方案片面未提供架构图的得1分；未提供不得分。</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安装调试方案</w:t>
            </w:r>
            <w:r>
              <w:rPr>
                <w:rFonts w:hint="eastAsia" w:ascii="宋体" w:hAnsi="宋体" w:cs="宋体"/>
                <w:color w:val="auto"/>
                <w:szCs w:val="21"/>
                <w:highlight w:val="none"/>
              </w:rPr>
              <w:br w:type="textWrapping"/>
            </w:r>
            <w:r>
              <w:rPr>
                <w:rFonts w:hint="eastAsia" w:ascii="宋体" w:hAnsi="宋体" w:cs="宋体"/>
                <w:color w:val="auto"/>
                <w:szCs w:val="21"/>
                <w:highlight w:val="none"/>
              </w:rPr>
              <w:t>根据投标人针对本项目安装调试重难点分析与安装调试要点进行评审，重难点分析具有前瞻性，需提供根据投标人提供的项目人员名单及实施计划表。安装调试符合规范要求的得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分；重难点分析基</w:t>
            </w:r>
            <w:bookmarkStart w:id="581" w:name="_GoBack"/>
            <w:bookmarkEnd w:id="581"/>
            <w:r>
              <w:rPr>
                <w:rFonts w:hint="eastAsia" w:ascii="宋体" w:hAnsi="宋体" w:cs="宋体"/>
                <w:color w:val="auto"/>
                <w:szCs w:val="21"/>
                <w:highlight w:val="none"/>
              </w:rPr>
              <w:t>本全面，安装调试符合规范要求的得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分；存在欠缺、无针对性的得1分；未提供不得分。</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预警报警证据链关联模块设计方案</w:t>
            </w:r>
            <w:r>
              <w:rPr>
                <w:rFonts w:hint="eastAsia" w:ascii="宋体" w:hAnsi="宋体" w:cs="宋体"/>
                <w:color w:val="auto"/>
                <w:szCs w:val="21"/>
                <w:highlight w:val="none"/>
              </w:rPr>
              <w:br w:type="textWrapping"/>
            </w:r>
            <w:r>
              <w:rPr>
                <w:rFonts w:hint="eastAsia" w:ascii="宋体" w:hAnsi="宋体" w:cs="宋体"/>
                <w:color w:val="auto"/>
                <w:szCs w:val="21"/>
                <w:highlight w:val="none"/>
              </w:rPr>
              <w:t>根据投标人提供的噪声事件预警报警证据链关联模块设计方案进行评审，方案科学合理、可操作性强的得3分；基本科学合理、可操作性一般的得2分；存在欠缺、无针对性的得1分；未提供不得分。</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夜间施工审批模块设计方案</w:t>
            </w:r>
            <w:r>
              <w:rPr>
                <w:rFonts w:hint="eastAsia" w:ascii="宋体" w:hAnsi="宋体" w:cs="宋体"/>
                <w:color w:val="auto"/>
                <w:szCs w:val="21"/>
                <w:highlight w:val="none"/>
              </w:rPr>
              <w:br w:type="textWrapping"/>
            </w:r>
            <w:r>
              <w:rPr>
                <w:rFonts w:hint="eastAsia" w:ascii="宋体" w:hAnsi="宋体" w:cs="宋体"/>
                <w:color w:val="auto"/>
                <w:szCs w:val="21"/>
                <w:highlight w:val="none"/>
              </w:rPr>
              <w:t>根据投标人提供的夜间施工审批模块设计方案进行评审，审批流程可操作性强、可满足后续监管需要的得3分；可操作性一般、基本满足后续监管需要的得2分；存在欠缺、无针对性的得1分；未提供不得分。</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进度计划安排</w:t>
            </w:r>
            <w:r>
              <w:rPr>
                <w:rFonts w:hint="eastAsia" w:ascii="宋体" w:hAnsi="宋体" w:cs="宋体"/>
                <w:color w:val="auto"/>
                <w:szCs w:val="21"/>
                <w:highlight w:val="none"/>
              </w:rPr>
              <w:br w:type="textWrapping"/>
            </w:r>
            <w:r>
              <w:rPr>
                <w:rFonts w:hint="eastAsia" w:ascii="宋体" w:hAnsi="宋体" w:cs="宋体"/>
                <w:color w:val="auto"/>
                <w:szCs w:val="21"/>
                <w:highlight w:val="none"/>
              </w:rPr>
              <w:t>根据投标人针对本项目的进度计划安排与进度保障措施进行评审。对项目工作进度计划完整、时间安排合理、进度计划保障措施完善的得3分；对项目工作进度计划基本完整、时间安排基本合理、进度计划保障措施一般得2分；对项目工作进度计划不完整、时间安排不合理、进度计划保障措施有缺陷的得1分；未提供不得分。</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质量保证措施</w:t>
            </w:r>
            <w:r>
              <w:rPr>
                <w:rFonts w:hint="eastAsia" w:ascii="宋体" w:hAnsi="宋体" w:cs="宋体"/>
                <w:color w:val="auto"/>
                <w:szCs w:val="21"/>
                <w:highlight w:val="none"/>
              </w:rPr>
              <w:br w:type="textWrapping"/>
            </w:r>
            <w:r>
              <w:rPr>
                <w:rFonts w:hint="eastAsia" w:ascii="宋体" w:hAnsi="宋体" w:cs="宋体"/>
                <w:color w:val="auto"/>
                <w:szCs w:val="21"/>
                <w:highlight w:val="none"/>
              </w:rPr>
              <w:t>根据投标人针对本项目的沟通协调机制、项目风险控制机制、质量过程管理进行评审。质量保证措施全面的得3分；质量保证措施基本切实可行的得2分；存在欠缺、无针对性的得1分；未提供不得分。</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运维服务方案</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根据投标人针对本项目的运维服务范围、排除问题的速度、备品备件库、培训等情况进行评审，方案内容详实，科学合理，具有针对性，可实施性强的得3分；方案内容基本合理，针对性、可实施性一般的得2分；方案不够科学合理，针对性或可实施性差得1分；未提供不得分。 </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CellMar>
            <w:top w:w="0" w:type="dxa"/>
            <w:left w:w="108" w:type="dxa"/>
            <w:bottom w:w="0" w:type="dxa"/>
            <w:right w:w="108" w:type="dxa"/>
          </w:tblCellMar>
        </w:tblPrEx>
        <w:tc>
          <w:tcPr>
            <w:tcW w:w="7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有效投标报价的最低价作为评标基准价，其最低报价为满分；按［投标报价得分=（评标基准价/投标报价）*权重］的计算公式计算。</w:t>
            </w:r>
            <w:r>
              <w:rPr>
                <w:rFonts w:hint="eastAsia" w:ascii="宋体" w:hAnsi="宋体" w:cs="宋体"/>
                <w:color w:val="auto"/>
                <w:szCs w:val="21"/>
                <w:highlight w:val="none"/>
              </w:rPr>
              <w:br w:type="textWrapping"/>
            </w:r>
            <w:r>
              <w:rPr>
                <w:rFonts w:hint="eastAsia" w:ascii="宋体" w:hAnsi="宋体" w:cs="宋体"/>
                <w:color w:val="auto"/>
                <w:szCs w:val="21"/>
                <w:highlight w:val="none"/>
              </w:rPr>
              <w:t>评标过程中，不得去掉报价中的最高报价和最低报价。</w:t>
            </w:r>
            <w:r>
              <w:rPr>
                <w:rFonts w:hint="eastAsia" w:ascii="宋体" w:hAnsi="宋体" w:cs="宋体"/>
                <w:color w:val="auto"/>
                <w:szCs w:val="21"/>
                <w:highlight w:val="none"/>
              </w:rPr>
              <w:br w:type="textWrapping"/>
            </w:r>
            <w:r>
              <w:rPr>
                <w:rFonts w:hint="eastAsia" w:ascii="宋体" w:hAnsi="宋体" w:cs="宋体"/>
                <w:color w:val="auto"/>
                <w:szCs w:val="21"/>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r>
    </w:tbl>
    <w:p>
      <w:pPr>
        <w:snapToGrid w:val="0"/>
        <w:spacing w:line="360" w:lineRule="auto"/>
        <w:rPr>
          <w:rFonts w:ascii="宋体" w:hAnsi="宋体" w:cs="宋体"/>
          <w:b/>
          <w:color w:val="auto"/>
          <w:szCs w:val="21"/>
          <w:highlight w:val="none"/>
        </w:rPr>
      </w:pPr>
    </w:p>
    <w:p>
      <w:pPr>
        <w:rPr>
          <w:color w:val="auto"/>
          <w:szCs w:val="21"/>
          <w:highlight w:val="none"/>
        </w:rPr>
      </w:pPr>
      <w:r>
        <w:rPr>
          <w:rFonts w:hint="eastAsia"/>
          <w:color w:val="auto"/>
          <w:szCs w:val="21"/>
          <w:highlight w:val="none"/>
        </w:rPr>
        <w:br w:type="page"/>
      </w:r>
    </w:p>
    <w:p>
      <w:pPr>
        <w:rPr>
          <w:color w:val="auto"/>
          <w:szCs w:val="21"/>
          <w:highlight w:val="none"/>
        </w:rPr>
      </w:pPr>
    </w:p>
    <w:p>
      <w:pPr>
        <w:pStyle w:val="2"/>
        <w:ind w:firstLine="422"/>
        <w:rPr>
          <w:color w:val="auto"/>
          <w:sz w:val="21"/>
          <w:szCs w:val="21"/>
          <w:highlight w:val="none"/>
        </w:rPr>
      </w:pPr>
      <w:r>
        <w:rPr>
          <w:rFonts w:hint="eastAsia"/>
          <w:color w:val="auto"/>
          <w:sz w:val="21"/>
          <w:szCs w:val="21"/>
          <w:highlight w:val="none"/>
        </w:rPr>
        <w:t>一、评标方法</w:t>
      </w:r>
    </w:p>
    <w:p>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pPr>
        <w:pStyle w:val="2"/>
        <w:ind w:firstLine="422"/>
        <w:rPr>
          <w:color w:val="auto"/>
          <w:sz w:val="21"/>
          <w:szCs w:val="21"/>
          <w:highlight w:val="none"/>
        </w:rPr>
      </w:pPr>
      <w:r>
        <w:rPr>
          <w:rFonts w:hint="eastAsia"/>
          <w:color w:val="auto"/>
          <w:sz w:val="21"/>
          <w:szCs w:val="21"/>
          <w:highlight w:val="none"/>
        </w:rPr>
        <w:t>二、评标标准</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评标标准：</w:t>
      </w:r>
      <w:r>
        <w:rPr>
          <w:rFonts w:hint="eastAsia" w:ascii="宋体" w:hAnsi="宋体" w:cs="宋体"/>
          <w:color w:val="auto"/>
          <w:kern w:val="0"/>
          <w:szCs w:val="21"/>
          <w:highlight w:val="none"/>
        </w:rPr>
        <w:t>见评标办法前附表。</w:t>
      </w:r>
    </w:p>
    <w:p>
      <w:pPr>
        <w:pStyle w:val="2"/>
        <w:ind w:firstLine="422"/>
        <w:rPr>
          <w:color w:val="auto"/>
          <w:sz w:val="21"/>
          <w:szCs w:val="21"/>
          <w:highlight w:val="none"/>
        </w:rPr>
      </w:pPr>
      <w:r>
        <w:rPr>
          <w:rFonts w:hint="eastAsia"/>
          <w:color w:val="auto"/>
          <w:sz w:val="21"/>
          <w:szCs w:val="21"/>
          <w:highlight w:val="none"/>
        </w:rPr>
        <w:t>三、评标程序</w:t>
      </w:r>
    </w:p>
    <w:p>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pPr>
        <w:spacing w:line="360" w:lineRule="auto"/>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3.4报价评审。</w:t>
      </w:r>
    </w:p>
    <w:p>
      <w:pPr>
        <w:pStyle w:val="130"/>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pPr>
        <w:pStyle w:val="13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pPr>
        <w:pStyle w:val="13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pPr>
        <w:pStyle w:val="13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pPr>
        <w:pStyle w:val="13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pPr>
        <w:pStyle w:val="13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pPr>
        <w:pStyle w:val="13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供应商报价低于项目预算50%的，应当在报价文件中详细阐述不影响产品质量或者诚信履约的具体原因。投标人不能证明其报价合理性的，评标委员会应当将其作为无效投标处理。</w:t>
      </w:r>
    </w:p>
    <w:p>
      <w:pPr>
        <w:pStyle w:val="13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w:t>
      </w:r>
      <w:r>
        <w:rPr>
          <w:rFonts w:ascii="宋体" w:hAnsi="宋体" w:cs="宋体"/>
          <w:color w:val="auto"/>
          <w:kern w:val="0"/>
          <w:sz w:val="21"/>
          <w:szCs w:val="21"/>
          <w:highlight w:val="none"/>
        </w:rPr>
        <w:t>0</w:t>
      </w:r>
      <w:r>
        <w:rPr>
          <w:rFonts w:hint="eastAsia" w:ascii="宋体" w:hAnsi="宋体" w:cs="宋体"/>
          <w:color w:val="auto"/>
          <w:kern w:val="0"/>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
        <w:ind w:firstLine="422"/>
        <w:rPr>
          <w:color w:val="auto"/>
          <w:sz w:val="21"/>
          <w:szCs w:val="21"/>
          <w:highlight w:val="none"/>
        </w:rPr>
      </w:pPr>
      <w:r>
        <w:rPr>
          <w:rFonts w:hint="eastAsia"/>
          <w:color w:val="auto"/>
          <w:sz w:val="21"/>
          <w:szCs w:val="21"/>
          <w:highlight w:val="none"/>
        </w:rPr>
        <w:t>四、评标中的其他事项</w:t>
      </w:r>
    </w:p>
    <w:p>
      <w:pPr>
        <w:pStyle w:val="130"/>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4.2.6投标文件出现不是唯一的、有选择性投标报价的；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4.2.7投标报价超过招标文件中规定的预算金额或者最高限价的；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4.2.9投标人对根据修正原则修正后的报价不确认的；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4.2.10投标人提供虚假材料投标的；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4.2.11投标人有恶意串通、妨碍其他投标人的竞争行为、损害采购人或者其他投标人的合法权益情形的；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4.2.12投标人仅提交备份投标文件，未在电子交易平台传输递交投标文件的，投标无效；</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4.2.13 投标文件不满足招标文件的其它实质性要求的；</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4.2.14法律、法规、规章（适用本市的）及省级以上规范性文件（适用本市的）规定的其他无效情形；</w:t>
      </w:r>
    </w:p>
    <w:p>
      <w:pPr>
        <w:pStyle w:val="26"/>
        <w:snapToGrid w:val="0"/>
        <w:spacing w:line="360" w:lineRule="auto"/>
        <w:ind w:firstLine="413" w:firstLineChars="196"/>
        <w:rPr>
          <w:rFonts w:cs="宋体"/>
          <w:b/>
          <w:color w:val="auto"/>
          <w:sz w:val="21"/>
          <w:szCs w:val="21"/>
          <w:highlight w:val="none"/>
          <w:u w:val="single"/>
        </w:rPr>
      </w:pPr>
      <w:r>
        <w:rPr>
          <w:rFonts w:hint="eastAsia" w:cs="宋体"/>
          <w:b/>
          <w:color w:val="auto"/>
          <w:sz w:val="21"/>
          <w:szCs w:val="21"/>
          <w:highlight w:val="none"/>
          <w:u w:val="single"/>
        </w:rPr>
        <w:t>4.2.15未提供样品或提供样品不满足采购需求实质性条件的。</w:t>
      </w:r>
    </w:p>
    <w:p>
      <w:pPr>
        <w:pStyle w:val="26"/>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pPr>
        <w:pStyle w:val="26"/>
        <w:snapToGrid w:val="0"/>
        <w:spacing w:line="360" w:lineRule="auto"/>
        <w:ind w:firstLine="422"/>
        <w:rPr>
          <w:rFonts w:cs="宋体"/>
          <w:color w:val="auto"/>
          <w:sz w:val="21"/>
          <w:szCs w:val="21"/>
          <w:highlight w:val="none"/>
        </w:rPr>
      </w:pPr>
      <w:r>
        <w:rPr>
          <w:rFonts w:hint="eastAsia" w:cs="宋体"/>
          <w:b/>
          <w:color w:val="auto"/>
          <w:sz w:val="21"/>
          <w:szCs w:val="21"/>
          <w:highlight w:val="none"/>
        </w:rPr>
        <w:t>6.</w:t>
      </w:r>
      <w:r>
        <w:rPr>
          <w:rFonts w:hint="eastAsia" w:cs="宋体"/>
          <w:b/>
          <w:color w:val="auto"/>
          <w:kern w:val="0"/>
          <w:sz w:val="21"/>
          <w:szCs w:val="21"/>
          <w:highlight w:val="none"/>
        </w:rPr>
        <w:t>修改</w:t>
      </w:r>
      <w:r>
        <w:rPr>
          <w:rFonts w:hint="eastAsia" w:cs="宋体"/>
          <w:b/>
          <w:color w:val="auto"/>
          <w:sz w:val="21"/>
          <w:szCs w:val="21"/>
          <w:highlight w:val="none"/>
        </w:rPr>
        <w:t>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2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pPr>
        <w:pStyle w:val="26"/>
        <w:snapToGrid w:val="0"/>
        <w:spacing w:line="360" w:lineRule="auto"/>
        <w:ind w:firstLine="420"/>
        <w:rPr>
          <w:rFonts w:cs="宋体"/>
          <w:b/>
          <w:color w:val="auto"/>
          <w:sz w:val="36"/>
          <w:szCs w:val="36"/>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3"/>
      <w:bookmarkStart w:id="418" w:name="第五部分"/>
      <w:bookmarkStart w:id="419" w:name="_Toc86217003"/>
      <w:r>
        <w:rPr>
          <w:rFonts w:hint="eastAsia" w:cs="宋体"/>
          <w:b/>
          <w:color w:val="auto"/>
          <w:sz w:val="21"/>
          <w:szCs w:val="21"/>
          <w:highlight w:val="none"/>
        </w:rPr>
        <w:t xml:space="preserve">   </w:t>
      </w:r>
      <w:r>
        <w:rPr>
          <w:rFonts w:hint="eastAsia" w:cs="宋体"/>
          <w:b/>
          <w:color w:val="auto"/>
          <w:sz w:val="36"/>
          <w:szCs w:val="36"/>
          <w:highlight w:val="none"/>
        </w:rPr>
        <w:br w:type="page"/>
      </w:r>
    </w:p>
    <w:p>
      <w:pPr>
        <w:adjustRightInd/>
        <w:spacing w:line="360" w:lineRule="auto"/>
        <w:jc w:val="center"/>
        <w:outlineLvl w:val="0"/>
        <w:rPr>
          <w:rStyle w:val="282"/>
          <w:color w:val="auto"/>
          <w:highlight w:val="none"/>
        </w:rPr>
      </w:pPr>
      <w:bookmarkStart w:id="420" w:name="_Toc8173"/>
      <w:r>
        <w:rPr>
          <w:rStyle w:val="282"/>
          <w:rFonts w:hint="eastAsia"/>
          <w:color w:val="auto"/>
          <w:highlight w:val="none"/>
        </w:rPr>
        <w:t>第五部分 拟签订的合同文本</w:t>
      </w:r>
      <w:bookmarkEnd w:id="420"/>
    </w:p>
    <w:p>
      <w:pPr>
        <w:rPr>
          <w:rFonts w:ascii="宋体" w:hAnsi="宋体" w:cs="宋体"/>
          <w:color w:val="auto"/>
          <w:szCs w:val="21"/>
          <w:highlight w:val="none"/>
          <w:u w:val="single"/>
        </w:rPr>
      </w:pPr>
      <w:r>
        <w:rPr>
          <w:rFonts w:hint="eastAsia" w:ascii="宋体" w:hAnsi="宋体" w:cs="宋体"/>
          <w:color w:val="auto"/>
          <w:szCs w:val="21"/>
          <w:highlight w:val="none"/>
        </w:rPr>
        <w:t>合同编号：</w:t>
      </w:r>
      <w:r>
        <w:rPr>
          <w:rFonts w:hint="eastAsia" w:ascii="宋体" w:hAnsi="宋体" w:cs="宋体"/>
          <w:color w:val="auto"/>
          <w:szCs w:val="21"/>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政府采购合同参考范本</w:t>
      </w:r>
    </w:p>
    <w:p>
      <w:pPr>
        <w:spacing w:line="48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（货物类）</w:t>
      </w:r>
    </w:p>
    <w:p>
      <w:pPr>
        <w:pStyle w:val="702"/>
        <w:rPr>
          <w:rFonts w:ascii="宋体" w:hAnsi="宋体" w:cs="宋体"/>
          <w:color w:val="auto"/>
          <w:szCs w:val="24"/>
          <w:highlight w:val="none"/>
        </w:rPr>
      </w:pPr>
    </w:p>
    <w:p>
      <w:pPr>
        <w:pStyle w:val="702"/>
        <w:jc w:val="center"/>
        <w:rPr>
          <w:rFonts w:ascii="宋体" w:hAnsi="宋体" w:cs="宋体"/>
          <w:color w:val="auto"/>
          <w:szCs w:val="24"/>
          <w:highlight w:val="none"/>
        </w:rPr>
      </w:pPr>
    </w:p>
    <w:p>
      <w:pPr>
        <w:pStyle w:val="2"/>
        <w:ind w:firstLine="422"/>
        <w:jc w:val="center"/>
        <w:rPr>
          <w:color w:val="auto"/>
          <w:sz w:val="21"/>
          <w:szCs w:val="21"/>
          <w:highlight w:val="none"/>
        </w:rPr>
      </w:pPr>
      <w:r>
        <w:rPr>
          <w:rFonts w:hint="eastAsia"/>
          <w:color w:val="auto"/>
          <w:sz w:val="21"/>
          <w:szCs w:val="21"/>
          <w:highlight w:val="none"/>
        </w:rPr>
        <w:t>第一部分 合同书</w:t>
      </w:r>
    </w:p>
    <w:p>
      <w:pPr>
        <w:pStyle w:val="702"/>
        <w:ind w:firstLine="420"/>
        <w:rPr>
          <w:rFonts w:ascii="宋体" w:hAnsi="宋体" w:cs="宋体"/>
          <w:color w:val="auto"/>
          <w:sz w:val="21"/>
          <w:highlight w:val="none"/>
        </w:rPr>
      </w:pPr>
    </w:p>
    <w:p>
      <w:pPr>
        <w:spacing w:before="120" w:line="22" w:lineRule="atLeast"/>
        <w:rPr>
          <w:rFonts w:ascii="宋体" w:hAnsi="宋体" w:cs="宋体"/>
          <w:color w:val="auto"/>
          <w:szCs w:val="21"/>
          <w:highlight w:val="none"/>
        </w:rPr>
      </w:pPr>
    </w:p>
    <w:p>
      <w:pPr>
        <w:spacing w:before="120" w:line="22" w:lineRule="atLeast"/>
        <w:ind w:left="96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2024年钱塘区宁静工地建设项目   </w:t>
      </w:r>
    </w:p>
    <w:p>
      <w:pPr>
        <w:pStyle w:val="599"/>
        <w:spacing w:before="120" w:line="22" w:lineRule="atLeast"/>
        <w:rPr>
          <w:rFonts w:ascii="宋体" w:hAnsi="宋体" w:eastAsia="宋体" w:cs="宋体"/>
          <w:color w:val="auto"/>
          <w:sz w:val="21"/>
          <w:szCs w:val="21"/>
          <w:highlight w:val="none"/>
        </w:rPr>
      </w:pPr>
    </w:p>
    <w:p>
      <w:pPr>
        <w:pStyle w:val="599"/>
        <w:spacing w:before="120" w:line="22" w:lineRule="atLeast"/>
        <w:rPr>
          <w:rFonts w:ascii="宋体" w:hAnsi="宋体" w:eastAsia="宋体" w:cs="宋体"/>
          <w:color w:val="auto"/>
          <w:sz w:val="21"/>
          <w:szCs w:val="21"/>
          <w:highlight w:val="none"/>
        </w:rPr>
      </w:pPr>
    </w:p>
    <w:p>
      <w:pPr>
        <w:rPr>
          <w:rFonts w:ascii="宋体" w:hAnsi="宋体" w:cs="宋体"/>
          <w:color w:val="auto"/>
          <w:szCs w:val="21"/>
          <w:highlight w:val="none"/>
        </w:rPr>
      </w:pPr>
    </w:p>
    <w:p>
      <w:pPr>
        <w:spacing w:before="120" w:line="22" w:lineRule="atLeast"/>
        <w:ind w:left="960"/>
        <w:rPr>
          <w:rFonts w:ascii="宋体" w:hAnsi="宋体" w:cs="宋体"/>
          <w:color w:val="auto"/>
          <w:szCs w:val="21"/>
          <w:highlight w:val="none"/>
          <w:u w:val="singl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 杭州市生态环境局钱塘分局</w:t>
      </w:r>
    </w:p>
    <w:p>
      <w:pPr>
        <w:spacing w:before="120" w:line="22" w:lineRule="atLeast"/>
        <w:rPr>
          <w:rFonts w:ascii="宋体" w:hAnsi="宋体" w:cs="宋体"/>
          <w:color w:val="auto"/>
          <w:szCs w:val="21"/>
          <w:highlight w:val="none"/>
        </w:rPr>
      </w:pPr>
    </w:p>
    <w:p>
      <w:pPr>
        <w:spacing w:before="120" w:line="22" w:lineRule="atLeast"/>
        <w:ind w:left="960"/>
        <w:rPr>
          <w:rFonts w:ascii="宋体" w:hAnsi="宋体" w:cs="宋体"/>
          <w:color w:val="auto"/>
          <w:szCs w:val="21"/>
          <w:highlight w:val="none"/>
          <w:u w:val="singl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（中标供应商名称）  </w:t>
      </w:r>
    </w:p>
    <w:p>
      <w:pPr>
        <w:spacing w:before="120" w:line="22" w:lineRule="atLeast"/>
        <w:rPr>
          <w:rFonts w:ascii="宋体" w:hAnsi="宋体" w:cs="宋体"/>
          <w:color w:val="auto"/>
          <w:szCs w:val="21"/>
          <w:highlight w:val="none"/>
        </w:rPr>
      </w:pPr>
    </w:p>
    <w:p>
      <w:pPr>
        <w:spacing w:before="120" w:line="22" w:lineRule="atLeas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签订地：</w:t>
      </w:r>
      <w:r>
        <w:rPr>
          <w:rFonts w:hint="eastAsia" w:ascii="宋体" w:hAnsi="宋体" w:cs="宋体"/>
          <w:color w:val="auto"/>
          <w:szCs w:val="21"/>
          <w:highlight w:val="none"/>
          <w:u w:val="single"/>
        </w:rPr>
        <w:t xml:space="preserve">  杭州市  </w:t>
      </w:r>
    </w:p>
    <w:p>
      <w:pPr>
        <w:spacing w:before="120" w:line="22" w:lineRule="atLeast"/>
        <w:rPr>
          <w:rFonts w:ascii="宋体" w:hAnsi="宋体" w:cs="宋体"/>
          <w:color w:val="auto"/>
          <w:szCs w:val="21"/>
          <w:highlight w:val="none"/>
        </w:rPr>
      </w:pPr>
    </w:p>
    <w:p>
      <w:pPr>
        <w:spacing w:before="120" w:line="22" w:lineRule="atLeas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签订日期：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adjustRightInd/>
        <w:jc w:val="left"/>
        <w:rPr>
          <w:rFonts w:ascii="宋体" w:hAnsi="宋体" w:cs="宋体"/>
          <w:color w:val="auto"/>
          <w:szCs w:val="21"/>
          <w:highlight w:val="none"/>
          <w:u w:val="single"/>
          <w:lang w:val="zh-CN"/>
        </w:rPr>
      </w:pPr>
      <w:r>
        <w:rPr>
          <w:rFonts w:ascii="宋体" w:hAnsi="宋体" w:cs="宋体"/>
          <w:color w:val="auto"/>
          <w:szCs w:val="21"/>
          <w:highlight w:val="none"/>
          <w:u w:val="single"/>
          <w:lang w:val="zh-CN"/>
        </w:rPr>
        <w:br w:type="page"/>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杭州市生态环境局钱塘分局    </w:t>
      </w:r>
      <w:r>
        <w:rPr>
          <w:rFonts w:hint="eastAsia" w:ascii="宋体" w:hAnsi="宋体" w:cs="宋体"/>
          <w:color w:val="auto"/>
          <w:szCs w:val="21"/>
          <w:highlight w:val="none"/>
        </w:rPr>
        <w:t>以</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对</w:t>
      </w:r>
      <w:r>
        <w:rPr>
          <w:rFonts w:hint="eastAsia" w:ascii="宋体" w:hAnsi="宋体" w:cs="宋体"/>
          <w:color w:val="auto"/>
          <w:szCs w:val="21"/>
          <w:highlight w:val="none"/>
          <w:u w:val="single"/>
        </w:rPr>
        <w:t xml:space="preserve">   钱塘区生态环境应急指挥中心迭代升级  </w:t>
      </w:r>
      <w:r>
        <w:rPr>
          <w:rFonts w:hint="eastAsia" w:ascii="宋体" w:hAnsi="宋体" w:cs="宋体"/>
          <w:color w:val="auto"/>
          <w:szCs w:val="21"/>
          <w:highlight w:val="none"/>
        </w:rPr>
        <w:t>项目进行了采购。经</w:t>
      </w:r>
      <w:r>
        <w:rPr>
          <w:rFonts w:hint="eastAsia" w:ascii="宋体" w:hAnsi="宋体" w:cs="宋体"/>
          <w:color w:val="auto"/>
          <w:szCs w:val="21"/>
          <w:highlight w:val="none"/>
          <w:u w:val="single"/>
        </w:rPr>
        <w:t xml:space="preserve">  评审小组   </w:t>
      </w:r>
      <w:r>
        <w:rPr>
          <w:rFonts w:hint="eastAsia" w:ascii="宋体" w:hAnsi="宋体" w:cs="宋体"/>
          <w:color w:val="auto"/>
          <w:szCs w:val="21"/>
          <w:highlight w:val="none"/>
        </w:rPr>
        <w:t>评定，</w:t>
      </w:r>
      <w:r>
        <w:rPr>
          <w:rFonts w:hint="eastAsia" w:ascii="宋体" w:hAnsi="宋体" w:cs="宋体"/>
          <w:color w:val="auto"/>
          <w:szCs w:val="21"/>
          <w:highlight w:val="none"/>
          <w:u w:val="single"/>
        </w:rPr>
        <w:t xml:space="preserve">   （中标供应商名称）</w:t>
      </w:r>
      <w:r>
        <w:rPr>
          <w:rFonts w:hint="eastAsia" w:ascii="宋体" w:hAnsi="宋体" w:cs="宋体"/>
          <w:color w:val="auto"/>
          <w:szCs w:val="21"/>
          <w:highlight w:val="none"/>
        </w:rPr>
        <w:t>为该项目中标供应商。现于中标通知书发出之日起10个工作日内，按照采购文件等确定的事项签订本合同。</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Cs w:val="21"/>
          <w:highlight w:val="none"/>
          <w:u w:val="single"/>
        </w:rPr>
        <w:t xml:space="preserve">   杭州市生态环境局钱塘分局    </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 xml:space="preserve">   （中标供应商名称）   </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pPr>
        <w:snapToGrid w:val="0"/>
        <w:spacing w:line="360" w:lineRule="auto"/>
        <w:ind w:firstLine="422" w:firstLineChars="200"/>
        <w:outlineLvl w:val="2"/>
        <w:rPr>
          <w:rFonts w:ascii="宋体" w:hAnsi="宋体" w:cs="宋体"/>
          <w:b/>
          <w:color w:val="auto"/>
          <w:szCs w:val="21"/>
          <w:highlight w:val="none"/>
        </w:rPr>
      </w:pPr>
      <w:bookmarkStart w:id="421" w:name="_Toc2232"/>
      <w:bookmarkStart w:id="422" w:name="_Toc24059"/>
      <w:bookmarkStart w:id="423" w:name="_Toc3029"/>
      <w:r>
        <w:rPr>
          <w:rFonts w:hint="eastAsia" w:ascii="宋体" w:hAnsi="宋体" w:cs="宋体"/>
          <w:b/>
          <w:color w:val="auto"/>
          <w:szCs w:val="21"/>
          <w:highlight w:val="none"/>
        </w:rPr>
        <w:t>1.1 合同组成部分</w:t>
      </w:r>
      <w:bookmarkEnd w:id="421"/>
      <w:bookmarkEnd w:id="422"/>
      <w:bookmarkEnd w:id="423"/>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 本合同及其补充合同、变更协议；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中标通知书；</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投标文件（含澄清或者说明文件）；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招标文件（含澄清或者修改文件）；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其他相关采购文件。</w:t>
      </w:r>
    </w:p>
    <w:p>
      <w:pPr>
        <w:snapToGrid w:val="0"/>
        <w:spacing w:line="360" w:lineRule="auto"/>
        <w:ind w:firstLine="422" w:firstLineChars="200"/>
        <w:outlineLvl w:val="2"/>
        <w:rPr>
          <w:rFonts w:ascii="宋体" w:hAnsi="宋体" w:cs="宋体"/>
          <w:b/>
          <w:color w:val="auto"/>
          <w:szCs w:val="21"/>
          <w:highlight w:val="none"/>
        </w:rPr>
      </w:pPr>
      <w:bookmarkStart w:id="424" w:name="_Toc27126"/>
      <w:bookmarkStart w:id="425" w:name="_Toc24300"/>
      <w:bookmarkStart w:id="426" w:name="_Toc21295"/>
      <w:r>
        <w:rPr>
          <w:rFonts w:hint="eastAsia" w:ascii="宋体" w:hAnsi="宋体" w:cs="宋体"/>
          <w:b/>
          <w:color w:val="auto"/>
          <w:szCs w:val="21"/>
          <w:highlight w:val="none"/>
        </w:rPr>
        <w:t>1.2 货物</w:t>
      </w:r>
      <w:bookmarkEnd w:id="424"/>
      <w:bookmarkEnd w:id="425"/>
      <w:bookmarkEnd w:id="426"/>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1.2.1 货物名称、品牌、规格型号、花色：</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1.2.2 货物数量：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货物质量：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2" w:firstLineChars="200"/>
        <w:outlineLvl w:val="2"/>
        <w:rPr>
          <w:rFonts w:ascii="宋体" w:hAnsi="宋体" w:cs="宋体"/>
          <w:b/>
          <w:color w:val="auto"/>
          <w:szCs w:val="21"/>
          <w:highlight w:val="none"/>
        </w:rPr>
      </w:pPr>
      <w:bookmarkStart w:id="427" w:name="_Toc21551"/>
      <w:bookmarkStart w:id="428" w:name="_Toc21631"/>
      <w:bookmarkStart w:id="429" w:name="_Toc23292"/>
      <w:r>
        <w:rPr>
          <w:rFonts w:hint="eastAsia" w:ascii="宋体" w:hAnsi="宋体" w:cs="宋体"/>
          <w:b/>
          <w:color w:val="auto"/>
          <w:szCs w:val="21"/>
          <w:highlight w:val="none"/>
        </w:rPr>
        <w:t>1.3 价款</w:t>
      </w:r>
      <w:bookmarkEnd w:id="427"/>
      <w:bookmarkEnd w:id="428"/>
      <w:bookmarkEnd w:id="429"/>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本合同总价（含税）为：￥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分项价格：</w:t>
      </w:r>
    </w:p>
    <w:tbl>
      <w:tblPr>
        <w:tblStyle w:val="6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4309"/>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20"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r>
              <w:rPr>
                <w:rFonts w:hint="eastAsia" w:hAnsi="宋体" w:cs="宋体"/>
                <w:color w:val="auto"/>
                <w:sz w:val="21"/>
                <w:szCs w:val="21"/>
                <w:highlight w:val="none"/>
              </w:rPr>
              <w:t>序号</w:t>
            </w:r>
          </w:p>
        </w:tc>
        <w:tc>
          <w:tcPr>
            <w:tcW w:w="4309"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r>
              <w:rPr>
                <w:rFonts w:hint="eastAsia" w:hAnsi="宋体" w:cs="宋体"/>
                <w:color w:val="auto"/>
                <w:sz w:val="21"/>
                <w:szCs w:val="21"/>
                <w:highlight w:val="none"/>
              </w:rPr>
              <w:t>分项名称</w:t>
            </w:r>
          </w:p>
        </w:tc>
        <w:tc>
          <w:tcPr>
            <w:tcW w:w="3231"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r>
              <w:rPr>
                <w:rFonts w:hint="eastAsia" w:hAnsi="宋体" w:cs="宋体"/>
                <w:color w:val="auto"/>
                <w:sz w:val="21"/>
                <w:szCs w:val="21"/>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20"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p>
        </w:tc>
        <w:tc>
          <w:tcPr>
            <w:tcW w:w="4309"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p>
        </w:tc>
        <w:tc>
          <w:tcPr>
            <w:tcW w:w="3231"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20"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p>
        </w:tc>
        <w:tc>
          <w:tcPr>
            <w:tcW w:w="4309"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p>
        </w:tc>
        <w:tc>
          <w:tcPr>
            <w:tcW w:w="3231"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20"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p>
        </w:tc>
        <w:tc>
          <w:tcPr>
            <w:tcW w:w="4309"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p>
        </w:tc>
        <w:tc>
          <w:tcPr>
            <w:tcW w:w="3231"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20"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p>
        </w:tc>
        <w:tc>
          <w:tcPr>
            <w:tcW w:w="4309"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p>
        </w:tc>
        <w:tc>
          <w:tcPr>
            <w:tcW w:w="3231" w:type="dxa"/>
            <w:tcBorders>
              <w:top w:val="single" w:color="auto" w:sz="4" w:space="0"/>
              <w:left w:val="single" w:color="auto" w:sz="4" w:space="0"/>
              <w:bottom w:val="single" w:color="auto" w:sz="4" w:space="0"/>
              <w:right w:val="single" w:color="auto" w:sz="4" w:space="0"/>
            </w:tcBorders>
            <w:vAlign w:val="center"/>
          </w:tcPr>
          <w:p>
            <w:pPr>
              <w:pStyle w:val="319"/>
              <w:adjustRightInd w:val="0"/>
              <w:snapToGrid w:val="0"/>
              <w:spacing w:line="360" w:lineRule="auto"/>
              <w:ind w:firstLine="0" w:firstLineChars="0"/>
              <w:jc w:val="center"/>
              <w:rPr>
                <w:rFonts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829"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20"/>
              <w:jc w:val="center"/>
              <w:rPr>
                <w:rFonts w:hAnsi="宋体" w:cs="宋体"/>
                <w:color w:val="auto"/>
                <w:sz w:val="21"/>
                <w:szCs w:val="21"/>
                <w:highlight w:val="none"/>
              </w:rPr>
            </w:pPr>
            <w:r>
              <w:rPr>
                <w:rFonts w:hint="eastAsia" w:hAnsi="宋体" w:cs="宋体"/>
                <w:color w:val="auto"/>
                <w:sz w:val="21"/>
                <w:szCs w:val="21"/>
                <w:highlight w:val="none"/>
              </w:rPr>
              <w:t>总价</w:t>
            </w:r>
          </w:p>
        </w:tc>
        <w:tc>
          <w:tcPr>
            <w:tcW w:w="323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420"/>
              <w:jc w:val="center"/>
              <w:rPr>
                <w:rFonts w:hAnsi="宋体" w:cs="宋体"/>
                <w:color w:val="auto"/>
                <w:sz w:val="21"/>
                <w:szCs w:val="21"/>
                <w:highlight w:val="none"/>
              </w:rPr>
            </w:pPr>
          </w:p>
        </w:tc>
      </w:tr>
    </w:tbl>
    <w:p>
      <w:pPr>
        <w:snapToGrid w:val="0"/>
        <w:spacing w:line="360" w:lineRule="auto"/>
        <w:ind w:firstLine="422" w:firstLineChars="200"/>
        <w:outlineLvl w:val="2"/>
        <w:rPr>
          <w:rFonts w:ascii="宋体" w:hAnsi="宋体" w:cs="宋体"/>
          <w:b/>
          <w:color w:val="auto"/>
          <w:szCs w:val="21"/>
          <w:highlight w:val="none"/>
        </w:rPr>
      </w:pPr>
      <w:bookmarkStart w:id="430" w:name="_Toc22618"/>
      <w:bookmarkStart w:id="431" w:name="_Toc10340"/>
      <w:bookmarkStart w:id="432" w:name="_Toc1814"/>
      <w:r>
        <w:rPr>
          <w:rFonts w:hint="eastAsia" w:ascii="宋体" w:hAnsi="宋体" w:cs="宋体"/>
          <w:b/>
          <w:color w:val="auto"/>
          <w:szCs w:val="21"/>
          <w:highlight w:val="none"/>
        </w:rPr>
        <w:t>1.4履约保证金</w:t>
      </w:r>
    </w:p>
    <w:p>
      <w:pPr>
        <w:pStyle w:val="959"/>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乙方</w:t>
      </w:r>
      <w:r>
        <w:rPr>
          <w:rFonts w:hint="eastAsia"/>
          <w:color w:val="auto"/>
          <w:sz w:val="21"/>
          <w:szCs w:val="21"/>
          <w:highlight w:val="none"/>
          <w:u w:val="single"/>
        </w:rPr>
        <w:t xml:space="preserve"> 是 </w:t>
      </w:r>
      <w:r>
        <w:rPr>
          <w:rFonts w:hint="eastAsia"/>
          <w:color w:val="auto"/>
          <w:sz w:val="21"/>
          <w:szCs w:val="21"/>
          <w:highlight w:val="none"/>
        </w:rPr>
        <w:t>（是</w:t>
      </w:r>
      <w:r>
        <w:rPr>
          <w:rFonts w:hint="eastAsia" w:ascii="仿宋" w:hAnsi="仿宋" w:eastAsia="仿宋" w:cs="仿宋"/>
          <w:color w:val="auto"/>
          <w:sz w:val="21"/>
          <w:szCs w:val="21"/>
          <w:highlight w:val="none"/>
        </w:rPr>
        <w:t>/</w:t>
      </w:r>
      <w:r>
        <w:rPr>
          <w:rFonts w:hint="eastAsia"/>
          <w:color w:val="auto"/>
          <w:sz w:val="21"/>
          <w:szCs w:val="21"/>
          <w:highlight w:val="none"/>
        </w:rPr>
        <w:t>否）需要支付履约保证金。若需要支付履约保证金的，则：</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1.4.1履约保证金的比例为合同金额的</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1.4.2履约保证金支付方式详见</w:t>
      </w:r>
      <w:r>
        <w:rPr>
          <w:rFonts w:hint="eastAsia" w:ascii="宋体" w:hAnsi="宋体" w:cs="宋体"/>
          <w:color w:val="auto"/>
          <w:kern w:val="0"/>
          <w:szCs w:val="21"/>
          <w:highlight w:val="none"/>
          <w:u w:val="single"/>
        </w:rPr>
        <w:t xml:space="preserve">    </w:t>
      </w:r>
      <w:r>
        <w:rPr>
          <w:rFonts w:hint="eastAsia" w:ascii="宋体" w:hAnsi="宋体" w:cs="宋体"/>
          <w:b/>
          <w:i/>
          <w:color w:val="auto"/>
          <w:szCs w:val="21"/>
          <w:highlight w:val="none"/>
          <w:u w:val="single"/>
        </w:rPr>
        <w:t>合同专用条款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20" w:firstLineChars="200"/>
        <w:rPr>
          <w:color w:val="auto"/>
          <w:szCs w:val="21"/>
          <w:highlight w:val="none"/>
        </w:rPr>
      </w:pPr>
      <w:r>
        <w:rPr>
          <w:rFonts w:hint="eastAsia" w:ascii="宋体" w:hAnsi="宋体" w:cs="宋体"/>
          <w:color w:val="auto"/>
          <w:kern w:val="0"/>
          <w:szCs w:val="21"/>
          <w:highlight w:val="none"/>
        </w:rPr>
        <w:t>1.4.4 甲方在项目</w:t>
      </w:r>
      <w:r>
        <w:rPr>
          <w:rFonts w:hint="eastAsia" w:ascii="宋体" w:hAnsi="宋体" w:cs="宋体"/>
          <w:color w:val="auto"/>
          <w:kern w:val="0"/>
          <w:szCs w:val="21"/>
          <w:highlight w:val="none"/>
          <w:lang w:val="en-US" w:eastAsia="zh-CN"/>
        </w:rPr>
        <w:t>运维期结束甲方考核通过后</w:t>
      </w:r>
      <w:r>
        <w:rPr>
          <w:rFonts w:hint="eastAsia" w:ascii="宋体" w:hAnsi="宋体" w:cs="宋体"/>
          <w:color w:val="auto"/>
          <w:kern w:val="0"/>
          <w:szCs w:val="21"/>
          <w:highlight w:val="none"/>
        </w:rPr>
        <w:t>及时退还履约保证金。甲方在项目</w:t>
      </w:r>
      <w:r>
        <w:rPr>
          <w:rFonts w:hint="eastAsia" w:ascii="宋体" w:hAnsi="宋体" w:cs="宋体"/>
          <w:color w:val="auto"/>
          <w:kern w:val="0"/>
          <w:szCs w:val="21"/>
          <w:highlight w:val="none"/>
          <w:lang w:val="en-US" w:eastAsia="zh-CN"/>
        </w:rPr>
        <w:t>最终考核通过</w:t>
      </w:r>
      <w:r>
        <w:rPr>
          <w:rFonts w:hint="eastAsia" w:ascii="宋体" w:hAnsi="宋体" w:cs="宋体"/>
          <w:color w:val="auto"/>
          <w:kern w:val="0"/>
          <w:szCs w:val="21"/>
          <w:highlight w:val="none"/>
        </w:rPr>
        <w:t>之日起</w:t>
      </w:r>
      <w:r>
        <w:rPr>
          <w:rFonts w:ascii="宋体" w:hAnsi="宋体" w:cs="宋体"/>
          <w:color w:val="auto"/>
          <w:kern w:val="0"/>
          <w:szCs w:val="21"/>
          <w:highlight w:val="none"/>
          <w:u w:val="single"/>
        </w:rPr>
        <w:t>15</w:t>
      </w:r>
      <w:r>
        <w:rPr>
          <w:rFonts w:hint="eastAsia" w:ascii="宋体" w:hAnsi="宋体" w:cs="宋体"/>
          <w:color w:val="auto"/>
          <w:kern w:val="0"/>
          <w:szCs w:val="21"/>
          <w:highlight w:val="none"/>
        </w:rPr>
        <w:t>个工作日内将履约保证金退还乙方，逾期退还的，乙方可要求甲方支付违约金，违约金按每迟延退还一日的应退还而未退还金额的</w:t>
      </w:r>
      <w:r>
        <w:rPr>
          <w:rFonts w:hint="eastAsia" w:ascii="宋体" w:hAnsi="宋体" w:cs="宋体"/>
          <w:color w:val="auto"/>
          <w:kern w:val="0"/>
          <w:szCs w:val="21"/>
          <w:highlight w:val="none"/>
          <w:u w:val="single"/>
        </w:rPr>
        <w:t xml:space="preserve">  0.05</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%计算，最高限额为本合同履约保证金的</w:t>
      </w:r>
      <w:r>
        <w:rPr>
          <w:rFonts w:hint="eastAsia" w:ascii="宋体" w:hAnsi="宋体" w:cs="宋体"/>
          <w:color w:val="auto"/>
          <w:kern w:val="0"/>
          <w:szCs w:val="21"/>
          <w:highlight w:val="none"/>
          <w:u w:val="single"/>
        </w:rPr>
        <w:t xml:space="preserve">  20  </w:t>
      </w:r>
      <w:r>
        <w:rPr>
          <w:rFonts w:hint="eastAsia" w:ascii="宋体" w:hAnsi="宋体" w:cs="宋体"/>
          <w:color w:val="auto"/>
          <w:kern w:val="0"/>
          <w:szCs w:val="21"/>
          <w:highlight w:val="none"/>
        </w:rPr>
        <w:t xml:space="preserve"> %。</w:t>
      </w:r>
    </w:p>
    <w:p>
      <w:pPr>
        <w:snapToGrid w:val="0"/>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1.5</w:t>
      </w:r>
      <w:bookmarkEnd w:id="430"/>
      <w:bookmarkEnd w:id="431"/>
      <w:bookmarkEnd w:id="432"/>
      <w:r>
        <w:rPr>
          <w:rFonts w:hint="eastAsia" w:ascii="宋体" w:hAnsi="宋体" w:cs="宋体"/>
          <w:b/>
          <w:color w:val="auto"/>
          <w:szCs w:val="21"/>
          <w:highlight w:val="none"/>
        </w:rPr>
        <w:t>预付款</w:t>
      </w:r>
    </w:p>
    <w:p>
      <w:pPr>
        <w:pStyle w:val="959"/>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甲方</w:t>
      </w:r>
      <w:r>
        <w:rPr>
          <w:rFonts w:hint="eastAsia"/>
          <w:color w:val="auto"/>
          <w:sz w:val="21"/>
          <w:szCs w:val="21"/>
          <w:highlight w:val="none"/>
          <w:u w:val="single"/>
        </w:rPr>
        <w:t xml:space="preserve"> 是  </w:t>
      </w:r>
      <w:r>
        <w:rPr>
          <w:rFonts w:hint="eastAsia"/>
          <w:color w:val="auto"/>
          <w:sz w:val="21"/>
          <w:szCs w:val="21"/>
          <w:highlight w:val="none"/>
        </w:rPr>
        <w:t>（是</w:t>
      </w:r>
      <w:r>
        <w:rPr>
          <w:rFonts w:hint="eastAsia" w:ascii="仿宋" w:hAnsi="仿宋" w:eastAsia="仿宋" w:cs="仿宋"/>
          <w:color w:val="auto"/>
          <w:sz w:val="21"/>
          <w:szCs w:val="21"/>
          <w:highlight w:val="none"/>
        </w:rPr>
        <w:t>/</w:t>
      </w:r>
      <w:r>
        <w:rPr>
          <w:rFonts w:hint="eastAsia"/>
          <w:color w:val="auto"/>
          <w:sz w:val="21"/>
          <w:szCs w:val="21"/>
          <w:highlight w:val="none"/>
        </w:rPr>
        <w:t>否）需要支付预付款。若需要支付预付款的，则：</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1.5.1预付款比例、支付方式、时间详见</w:t>
      </w:r>
      <w:r>
        <w:rPr>
          <w:rFonts w:hint="eastAsia" w:ascii="宋体" w:hAnsi="宋体" w:cs="宋体"/>
          <w:color w:val="auto"/>
          <w:kern w:val="0"/>
          <w:szCs w:val="21"/>
          <w:highlight w:val="none"/>
          <w:u w:val="single"/>
        </w:rPr>
        <w:t xml:space="preserve">    </w:t>
      </w:r>
      <w:r>
        <w:rPr>
          <w:rFonts w:hint="eastAsia" w:ascii="宋体" w:hAnsi="宋体" w:cs="宋体"/>
          <w:b/>
          <w:i/>
          <w:color w:val="auto"/>
          <w:szCs w:val="21"/>
          <w:highlight w:val="none"/>
          <w:u w:val="single"/>
        </w:rPr>
        <w:t>合同专用条款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959"/>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1.5.2预付款的扣回方式详见</w:t>
      </w:r>
      <w:r>
        <w:rPr>
          <w:rFonts w:hint="eastAsia"/>
          <w:color w:val="auto"/>
          <w:sz w:val="21"/>
          <w:szCs w:val="21"/>
          <w:highlight w:val="none"/>
          <w:u w:val="single"/>
        </w:rPr>
        <w:t xml:space="preserve">    </w:t>
      </w:r>
      <w:r>
        <w:rPr>
          <w:rFonts w:hint="eastAsia"/>
          <w:b/>
          <w:i/>
          <w:color w:val="auto"/>
          <w:sz w:val="21"/>
          <w:szCs w:val="21"/>
          <w:highlight w:val="none"/>
          <w:u w:val="single"/>
        </w:rPr>
        <w:t>合同专用条款</w:t>
      </w:r>
      <w:r>
        <w:rPr>
          <w:rFonts w:hint="eastAsia"/>
          <w:color w:val="auto"/>
          <w:sz w:val="21"/>
          <w:szCs w:val="21"/>
          <w:highlight w:val="none"/>
          <w:u w:val="single"/>
        </w:rPr>
        <w:t xml:space="preserve">           </w:t>
      </w:r>
      <w:r>
        <w:rPr>
          <w:rFonts w:hint="eastAsia"/>
          <w:color w:val="auto"/>
          <w:sz w:val="21"/>
          <w:szCs w:val="21"/>
          <w:highlight w:val="none"/>
        </w:rPr>
        <w:t>；</w:t>
      </w:r>
    </w:p>
    <w:p>
      <w:pPr>
        <w:pStyle w:val="959"/>
        <w:adjustRightInd w:val="0"/>
        <w:snapToGrid w:val="0"/>
        <w:spacing w:before="0" w:beforeAutospacing="0" w:after="0" w:afterAutospacing="0" w:line="360" w:lineRule="auto"/>
        <w:ind w:firstLine="420" w:firstLineChars="200"/>
        <w:rPr>
          <w:color w:val="auto"/>
          <w:sz w:val="21"/>
          <w:szCs w:val="21"/>
          <w:highlight w:val="none"/>
          <w:u w:val="single"/>
        </w:rPr>
      </w:pPr>
      <w:r>
        <w:rPr>
          <w:rFonts w:hint="eastAsia"/>
          <w:color w:val="auto"/>
          <w:sz w:val="21"/>
          <w:szCs w:val="21"/>
          <w:highlight w:val="none"/>
        </w:rPr>
        <w:t>1.5.3预付款的担保措施详见</w:t>
      </w:r>
      <w:r>
        <w:rPr>
          <w:rFonts w:hint="eastAsia"/>
          <w:color w:val="auto"/>
          <w:sz w:val="21"/>
          <w:szCs w:val="21"/>
          <w:highlight w:val="none"/>
          <w:u w:val="single"/>
        </w:rPr>
        <w:t xml:space="preserve">    </w:t>
      </w:r>
      <w:r>
        <w:rPr>
          <w:rFonts w:hint="eastAsia"/>
          <w:b/>
          <w:i/>
          <w:color w:val="auto"/>
          <w:sz w:val="21"/>
          <w:szCs w:val="21"/>
          <w:highlight w:val="none"/>
          <w:u w:val="single"/>
        </w:rPr>
        <w:t>合同专用条款</w:t>
      </w:r>
      <w:r>
        <w:rPr>
          <w:rFonts w:hint="eastAsia"/>
          <w:color w:val="auto"/>
          <w:sz w:val="21"/>
          <w:szCs w:val="21"/>
          <w:highlight w:val="none"/>
          <w:u w:val="single"/>
        </w:rPr>
        <w:t xml:space="preserve">          </w:t>
      </w:r>
      <w:r>
        <w:rPr>
          <w:rFonts w:hint="eastAsia"/>
          <w:color w:val="auto"/>
          <w:sz w:val="21"/>
          <w:szCs w:val="21"/>
          <w:highlight w:val="none"/>
        </w:rPr>
        <w:t>。</w:t>
      </w:r>
    </w:p>
    <w:p>
      <w:pPr>
        <w:snapToGrid w:val="0"/>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1.6资金支付</w:t>
      </w:r>
    </w:p>
    <w:p>
      <w:pPr>
        <w:pStyle w:val="959"/>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pStyle w:val="959"/>
        <w:adjustRightInd w:val="0"/>
        <w:snapToGrid w:val="0"/>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1.6.2资金支付的方式、时间和条件详见</w:t>
      </w:r>
      <w:r>
        <w:rPr>
          <w:rFonts w:hint="eastAsia"/>
          <w:b/>
          <w:i/>
          <w:color w:val="auto"/>
          <w:kern w:val="2"/>
          <w:sz w:val="21"/>
          <w:szCs w:val="21"/>
          <w:highlight w:val="none"/>
          <w:u w:val="single"/>
        </w:rPr>
        <w:t>合同专用条款</w:t>
      </w:r>
      <w:r>
        <w:rPr>
          <w:rFonts w:hint="eastAsia"/>
          <w:color w:val="auto"/>
          <w:sz w:val="21"/>
          <w:szCs w:val="21"/>
          <w:highlight w:val="none"/>
        </w:rPr>
        <w:t>。</w:t>
      </w:r>
    </w:p>
    <w:p>
      <w:pPr>
        <w:spacing w:line="360" w:lineRule="auto"/>
        <w:ind w:firstLine="422" w:firstLineChars="200"/>
        <w:outlineLvl w:val="2"/>
        <w:rPr>
          <w:rFonts w:ascii="宋体" w:hAnsi="宋体" w:cs="宋体"/>
          <w:b/>
          <w:color w:val="auto"/>
          <w:szCs w:val="21"/>
          <w:highlight w:val="none"/>
        </w:rPr>
      </w:pPr>
      <w:bookmarkStart w:id="433" w:name="_Toc2846"/>
      <w:bookmarkStart w:id="434" w:name="_Toc32071"/>
      <w:bookmarkStart w:id="435" w:name="_Toc19304"/>
      <w:r>
        <w:rPr>
          <w:rFonts w:hint="eastAsia" w:ascii="宋体" w:hAnsi="宋体" w:cs="宋体"/>
          <w:b/>
          <w:color w:val="auto"/>
          <w:szCs w:val="21"/>
          <w:highlight w:val="none"/>
        </w:rPr>
        <w:t>1.7货物交付期限、地点和方式</w:t>
      </w:r>
      <w:bookmarkEnd w:id="433"/>
      <w:bookmarkEnd w:id="434"/>
      <w:bookmarkEnd w:id="435"/>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1.7.1 交付期限：详见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 交付地点：</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1.7.3 交付方式：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pacing w:line="360" w:lineRule="auto"/>
        <w:ind w:firstLine="422" w:firstLineChars="200"/>
        <w:outlineLvl w:val="2"/>
        <w:rPr>
          <w:rFonts w:ascii="宋体" w:hAnsi="宋体" w:cs="宋体"/>
          <w:b/>
          <w:color w:val="auto"/>
          <w:szCs w:val="21"/>
          <w:highlight w:val="none"/>
        </w:rPr>
      </w:pPr>
      <w:bookmarkStart w:id="436" w:name="_Toc27250"/>
      <w:bookmarkStart w:id="437" w:name="_Toc19554"/>
      <w:bookmarkStart w:id="438" w:name="_Toc21423"/>
      <w:r>
        <w:rPr>
          <w:rFonts w:hint="eastAsia" w:ascii="宋体" w:hAnsi="宋体" w:cs="宋体"/>
          <w:b/>
          <w:color w:val="auto"/>
          <w:szCs w:val="21"/>
          <w:highlight w:val="none"/>
        </w:rPr>
        <w:t>1.8违约责任</w:t>
      </w:r>
      <w:bookmarkEnd w:id="436"/>
      <w:bookmarkEnd w:id="437"/>
      <w:bookmarkEnd w:id="43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Cs w:val="21"/>
          <w:highlight w:val="none"/>
          <w:u w:val="single"/>
        </w:rPr>
        <w:t xml:space="preserve">  0.05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20   </w:t>
      </w:r>
      <w:r>
        <w:rPr>
          <w:rFonts w:hint="eastAsia" w:ascii="宋体" w:hAnsi="宋体" w:cs="宋体"/>
          <w:color w:val="auto"/>
          <w:szCs w:val="21"/>
          <w:highlight w:val="none"/>
        </w:rPr>
        <w:t>%；迟延交付货物的违约金计算数额达到前述最高限额之日起，甲方有权在要求乙方支付违约金的同时，书面通知乙方解除本合同；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 xml:space="preserve"> 0.05  </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 xml:space="preserve">   20   </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1.8.6违约责任</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另有约定的，从其约定。</w:t>
      </w:r>
    </w:p>
    <w:p>
      <w:pPr>
        <w:spacing w:line="360" w:lineRule="auto"/>
        <w:ind w:firstLine="422" w:firstLineChars="200"/>
        <w:outlineLvl w:val="2"/>
        <w:rPr>
          <w:rFonts w:ascii="宋体" w:hAnsi="宋体" w:cs="宋体"/>
          <w:b/>
          <w:color w:val="auto"/>
          <w:szCs w:val="21"/>
          <w:highlight w:val="none"/>
        </w:rPr>
      </w:pPr>
      <w:bookmarkStart w:id="439" w:name="_Toc15583"/>
      <w:bookmarkStart w:id="440" w:name="_Toc28375"/>
      <w:bookmarkStart w:id="441" w:name="_Toc16021"/>
      <w:r>
        <w:rPr>
          <w:rFonts w:hint="eastAsia" w:ascii="宋体" w:hAnsi="宋体" w:cs="宋体"/>
          <w:b/>
          <w:color w:val="auto"/>
          <w:szCs w:val="21"/>
          <w:highlight w:val="none"/>
        </w:rPr>
        <w:t>1.9合同争议的解决</w:t>
      </w:r>
      <w:bookmarkEnd w:id="439"/>
      <w:bookmarkEnd w:id="440"/>
      <w:bookmarkEnd w:id="441"/>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Cs w:val="21"/>
          <w:highlight w:val="none"/>
          <w:u w:val="single"/>
        </w:rPr>
        <w:t xml:space="preserve"> 合同专用条款 </w:t>
      </w:r>
      <w:r>
        <w:rPr>
          <w:rFonts w:hint="eastAsia" w:ascii="宋体" w:hAnsi="宋体" w:cs="宋体"/>
          <w:color w:val="auto"/>
          <w:szCs w:val="21"/>
          <w:highlight w:val="none"/>
        </w:rPr>
        <w:t>条款规定的方式解决：</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将争议提交</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仲裁委员会依申请仲裁时其现行有效的仲裁规则裁决；</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向</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人民法院起诉。</w:t>
      </w:r>
    </w:p>
    <w:p>
      <w:pPr>
        <w:spacing w:line="360" w:lineRule="auto"/>
        <w:ind w:firstLine="422" w:firstLineChars="200"/>
        <w:outlineLvl w:val="2"/>
        <w:rPr>
          <w:rFonts w:ascii="宋体" w:hAnsi="宋体" w:cs="宋体"/>
          <w:b/>
          <w:color w:val="auto"/>
          <w:szCs w:val="21"/>
          <w:highlight w:val="none"/>
        </w:rPr>
      </w:pPr>
      <w:bookmarkStart w:id="442" w:name="_Toc7245"/>
      <w:bookmarkStart w:id="443" w:name="_Toc15322"/>
      <w:bookmarkStart w:id="444" w:name="_Toc11173"/>
      <w:r>
        <w:rPr>
          <w:rFonts w:ascii="宋体" w:hAnsi="宋体" w:cs="宋体"/>
          <w:b/>
          <w:color w:val="auto"/>
          <w:szCs w:val="21"/>
          <w:highlight w:val="none"/>
        </w:rPr>
        <w:t>1.1</w:t>
      </w:r>
      <w:r>
        <w:rPr>
          <w:rFonts w:hint="eastAsia" w:ascii="宋体" w:hAnsi="宋体" w:cs="宋体"/>
          <w:b/>
          <w:color w:val="auto"/>
          <w:szCs w:val="21"/>
          <w:highlight w:val="none"/>
        </w:rPr>
        <w:t>0 合同生效</w:t>
      </w:r>
      <w:bookmarkEnd w:id="442"/>
      <w:bookmarkEnd w:id="443"/>
      <w:bookmarkEnd w:id="444"/>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本合同自双方当事人盖章签字时生效。</w:t>
      </w:r>
    </w:p>
    <w:p>
      <w:pPr>
        <w:autoSpaceDE w:val="0"/>
        <w:autoSpaceDN w:val="0"/>
        <w:spacing w:line="560" w:lineRule="exact"/>
        <w:rPr>
          <w:rFonts w:ascii="宋体" w:hAnsi="宋体" w:cs="宋体"/>
          <w:color w:val="auto"/>
          <w:szCs w:val="21"/>
          <w:highlight w:val="none"/>
          <w:lang w:val="zh-CN"/>
        </w:rPr>
      </w:pPr>
      <w:r>
        <w:rPr>
          <w:rFonts w:hint="eastAsia" w:ascii="宋体" w:hAnsi="宋体" w:cs="宋体"/>
          <w:b/>
          <w:color w:val="auto"/>
          <w:szCs w:val="21"/>
          <w:highlight w:val="none"/>
          <w:lang w:val="zh-CN"/>
        </w:rPr>
        <w:t>甲方</w:t>
      </w:r>
      <w:r>
        <w:rPr>
          <w:rFonts w:hint="eastAsia" w:ascii="宋体" w:hAnsi="宋体" w:cs="宋体"/>
          <w:color w:val="auto"/>
          <w:szCs w:val="21"/>
          <w:highlight w:val="none"/>
          <w:lang w:val="zh-CN"/>
        </w:rPr>
        <w:t xml:space="preserve">：                             </w:t>
      </w:r>
      <w:r>
        <w:rPr>
          <w:rFonts w:hint="eastAsia" w:ascii="宋体" w:hAnsi="宋体" w:cs="宋体"/>
          <w:b/>
          <w:color w:val="auto"/>
          <w:szCs w:val="21"/>
          <w:highlight w:val="none"/>
          <w:lang w:val="zh-CN"/>
        </w:rPr>
        <w:t xml:space="preserve">      乙方</w:t>
      </w:r>
      <w:r>
        <w:rPr>
          <w:rFonts w:hint="eastAsia" w:ascii="宋体" w:hAnsi="宋体" w:cs="宋体"/>
          <w:color w:val="auto"/>
          <w:szCs w:val="21"/>
          <w:highlight w:val="none"/>
          <w:lang w:val="zh-CN"/>
        </w:rPr>
        <w:t>：</w:t>
      </w:r>
    </w:p>
    <w:p>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统一社会信用代码：                        统一社会信用代码或身份证号码：</w:t>
      </w:r>
    </w:p>
    <w:p>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住所：                                   住所：</w:t>
      </w:r>
    </w:p>
    <w:p>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法定代表人或                             法定代表人</w:t>
      </w:r>
    </w:p>
    <w:p>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或授权代表（签字）: </w:t>
      </w:r>
    </w:p>
    <w:p>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联系人：                                 联系人：</w:t>
      </w:r>
    </w:p>
    <w:p>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约定送达地址：                           约定送达地址：</w:t>
      </w:r>
    </w:p>
    <w:p>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邮政编码：                               邮政编码：</w:t>
      </w:r>
    </w:p>
    <w:p>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 xml:space="preserve">电话:                                    电话: </w:t>
      </w:r>
    </w:p>
    <w:p>
      <w:pPr>
        <w:autoSpaceDE w:val="0"/>
        <w:autoSpaceDN w:val="0"/>
        <w:spacing w:line="560" w:lineRule="exact"/>
        <w:rPr>
          <w:rFonts w:ascii="宋体" w:hAnsi="宋体" w:cs="宋体"/>
          <w:color w:val="auto"/>
          <w:szCs w:val="21"/>
          <w:highlight w:val="none"/>
          <w:lang w:val="zh-CN"/>
        </w:rPr>
      </w:pPr>
      <w:r>
        <w:rPr>
          <w:rFonts w:hint="eastAsia" w:ascii="宋体" w:hAnsi="宋体" w:cs="宋体"/>
          <w:color w:val="auto"/>
          <w:szCs w:val="21"/>
          <w:highlight w:val="none"/>
          <w:lang w:val="zh-CN"/>
        </w:rPr>
        <w:t>传真:                                    传真:</w:t>
      </w:r>
    </w:p>
    <w:p>
      <w:pPr>
        <w:autoSpaceDE w:val="0"/>
        <w:autoSpaceDN w:val="0"/>
        <w:spacing w:line="560" w:lineRule="exact"/>
        <w:rPr>
          <w:rFonts w:ascii="宋体" w:hAnsi="宋体" w:cs="宋体"/>
          <w:color w:val="auto"/>
          <w:szCs w:val="21"/>
          <w:highlight w:val="none"/>
        </w:rPr>
      </w:pPr>
      <w:r>
        <w:rPr>
          <w:rFonts w:hint="eastAsia" w:ascii="宋体" w:hAnsi="宋体" w:cs="宋体"/>
          <w:color w:val="auto"/>
          <w:szCs w:val="21"/>
          <w:highlight w:val="none"/>
          <w:lang w:val="zh-CN"/>
        </w:rPr>
        <w:t>电子邮箱：                               电子邮箱：</w:t>
      </w:r>
    </w:p>
    <w:p>
      <w:pPr>
        <w:autoSpaceDE w:val="0"/>
        <w:autoSpaceDN w:val="0"/>
        <w:spacing w:line="560" w:lineRule="exact"/>
        <w:rPr>
          <w:rFonts w:ascii="宋体" w:hAnsi="宋体" w:cs="宋体"/>
          <w:color w:val="auto"/>
          <w:szCs w:val="21"/>
          <w:highlight w:val="none"/>
        </w:rPr>
      </w:pPr>
      <w:r>
        <w:rPr>
          <w:rFonts w:hint="eastAsia" w:ascii="宋体" w:hAnsi="宋体" w:cs="宋体"/>
          <w:color w:val="auto"/>
          <w:szCs w:val="21"/>
          <w:highlight w:val="none"/>
        </w:rPr>
        <w:t xml:space="preserve">开户银行：                               开户银行： </w:t>
      </w:r>
    </w:p>
    <w:p>
      <w:pPr>
        <w:autoSpaceDE w:val="0"/>
        <w:autoSpaceDN w:val="0"/>
        <w:spacing w:line="560" w:lineRule="exact"/>
        <w:rPr>
          <w:rFonts w:ascii="宋体" w:hAnsi="宋体" w:cs="宋体"/>
          <w:color w:val="auto"/>
          <w:szCs w:val="21"/>
          <w:highlight w:val="none"/>
        </w:rPr>
      </w:pPr>
      <w:r>
        <w:rPr>
          <w:rFonts w:hint="eastAsia" w:ascii="宋体" w:hAnsi="宋体" w:cs="宋体"/>
          <w:color w:val="auto"/>
          <w:szCs w:val="21"/>
          <w:highlight w:val="none"/>
        </w:rPr>
        <w:t xml:space="preserve">开户名称：                               开户名称： </w:t>
      </w:r>
    </w:p>
    <w:p>
      <w:pPr>
        <w:autoSpaceDE w:val="0"/>
        <w:autoSpaceDN w:val="0"/>
        <w:spacing w:line="560" w:lineRule="exact"/>
        <w:rPr>
          <w:rFonts w:ascii="宋体" w:hAnsi="宋体" w:cs="宋体"/>
          <w:color w:val="auto"/>
          <w:szCs w:val="21"/>
          <w:highlight w:val="none"/>
        </w:rPr>
      </w:pPr>
      <w:r>
        <w:rPr>
          <w:rFonts w:hint="eastAsia" w:ascii="宋体" w:hAnsi="宋体" w:cs="宋体"/>
          <w:color w:val="auto"/>
          <w:szCs w:val="21"/>
          <w:highlight w:val="none"/>
        </w:rPr>
        <w:t>开户账号：</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开户账号：</w:t>
      </w:r>
    </w:p>
    <w:p>
      <w:pPr>
        <w:rPr>
          <w:color w:val="auto"/>
          <w:szCs w:val="21"/>
          <w:highlight w:val="none"/>
        </w:rPr>
      </w:pPr>
    </w:p>
    <w:p>
      <w:pPr>
        <w:pStyle w:val="2"/>
        <w:ind w:firstLine="422"/>
        <w:jc w:val="center"/>
        <w:rPr>
          <w:color w:val="auto"/>
          <w:sz w:val="21"/>
          <w:szCs w:val="21"/>
          <w:highlight w:val="none"/>
        </w:rPr>
      </w:pPr>
      <w:r>
        <w:rPr>
          <w:rFonts w:hint="eastAsia"/>
          <w:color w:val="auto"/>
          <w:sz w:val="21"/>
          <w:szCs w:val="21"/>
          <w:highlight w:val="none"/>
        </w:rPr>
        <w:t>第二部分 合同一般条款</w:t>
      </w:r>
    </w:p>
    <w:p>
      <w:pPr>
        <w:spacing w:line="360" w:lineRule="auto"/>
        <w:ind w:firstLine="422" w:firstLineChars="200"/>
        <w:outlineLvl w:val="2"/>
        <w:rPr>
          <w:rFonts w:ascii="宋体" w:hAnsi="宋体" w:cs="宋体"/>
          <w:b/>
          <w:color w:val="auto"/>
          <w:szCs w:val="21"/>
          <w:highlight w:val="none"/>
        </w:rPr>
      </w:pPr>
      <w:bookmarkStart w:id="445" w:name="_Ref467379214"/>
      <w:bookmarkStart w:id="446" w:name="_Ref467378463"/>
      <w:bookmarkStart w:id="447" w:name="_Toc28763"/>
      <w:bookmarkStart w:id="448" w:name="_Ref467379094"/>
      <w:bookmarkStart w:id="449" w:name="_Toc16917"/>
      <w:bookmarkStart w:id="450" w:name="_Ref467379101"/>
      <w:bookmarkStart w:id="451" w:name="_Ref467379205"/>
      <w:bookmarkStart w:id="452" w:name="_Ref467379225"/>
      <w:bookmarkStart w:id="453" w:name="_Toc259093669"/>
      <w:bookmarkStart w:id="454" w:name="_Ref467378499"/>
      <w:bookmarkStart w:id="455" w:name="_Toc279701240"/>
      <w:bookmarkStart w:id="456" w:name="_Toc19614"/>
      <w:bookmarkStart w:id="457" w:name="_Ref467379195"/>
      <w:bookmarkStart w:id="458" w:name="_Ref467378404"/>
      <w:bookmarkStart w:id="459" w:name="_Ref467379109"/>
      <w:bookmarkStart w:id="460" w:name="_Toc487900349"/>
      <w:r>
        <w:rPr>
          <w:rFonts w:hint="eastAsia" w:ascii="宋体" w:hAnsi="宋体" w:cs="宋体"/>
          <w:b/>
          <w:color w:val="auto"/>
          <w:szCs w:val="21"/>
          <w:highlight w:val="none"/>
        </w:rPr>
        <w:t>2.1 定义</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 “合同”系指采购人和中标或成交供应商签订的载明双方当事人所达成的协议，并包括所有的附件、附录和构成合同的其他文件。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 “合同价”系指根据合同约定，中标或成交供应商在完全履行合同义务后，采购人应支付给中标或成交供应商的价格。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360" w:lineRule="auto"/>
        <w:ind w:firstLine="420" w:firstLineChars="200"/>
        <w:rPr>
          <w:rFonts w:ascii="宋体" w:hAnsi="宋体" w:cs="宋体"/>
          <w:color w:val="auto"/>
          <w:szCs w:val="21"/>
          <w:highlight w:val="none"/>
        </w:rPr>
      </w:pPr>
      <w:bookmarkStart w:id="461" w:name="_Ref467378840"/>
      <w:r>
        <w:rPr>
          <w:rFonts w:hint="eastAsia" w:ascii="宋体" w:hAnsi="宋体" w:cs="宋体"/>
          <w:color w:val="auto"/>
          <w:szCs w:val="21"/>
          <w:highlight w:val="none"/>
        </w:rPr>
        <w:t>2.1.4 “甲方”系指与中标或成交供应商签署合同的采购人</w:t>
      </w:r>
      <w:bookmarkEnd w:id="461"/>
      <w:r>
        <w:rPr>
          <w:rFonts w:hint="eastAsia" w:ascii="宋体" w:hAnsi="宋体" w:cs="宋体"/>
          <w:color w:val="auto"/>
          <w:szCs w:val="21"/>
          <w:highlight w:val="none"/>
        </w:rPr>
        <w:t>；采购人委托采购代理机构代表其与乙方签订合同的，采购人的授权委托书作为合同附件。</w:t>
      </w:r>
    </w:p>
    <w:p>
      <w:pPr>
        <w:spacing w:line="360" w:lineRule="auto"/>
        <w:ind w:firstLine="420" w:firstLineChars="200"/>
        <w:rPr>
          <w:rFonts w:ascii="宋体" w:hAnsi="宋体" w:cs="宋体"/>
          <w:color w:val="auto"/>
          <w:szCs w:val="21"/>
          <w:highlight w:val="none"/>
        </w:rPr>
      </w:pPr>
      <w:bookmarkStart w:id="462" w:name="_Ref467379400"/>
      <w:r>
        <w:rPr>
          <w:rFonts w:hint="eastAsia" w:ascii="宋体" w:hAnsi="宋体" w:cs="宋体"/>
          <w:color w:val="auto"/>
          <w:szCs w:val="21"/>
          <w:highlight w:val="none"/>
        </w:rPr>
        <w:t>2.1.5 “乙方”系指根据合同约定交付货物的中标或成交供应商</w:t>
      </w:r>
      <w:bookmarkEnd w:id="462"/>
      <w:r>
        <w:rPr>
          <w:rFonts w:hint="eastAsia" w:ascii="宋体" w:hAnsi="宋体" w:cs="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20" w:firstLineChars="200"/>
        <w:rPr>
          <w:rFonts w:ascii="宋体" w:hAnsi="宋体" w:cs="宋体"/>
          <w:color w:val="auto"/>
          <w:szCs w:val="21"/>
          <w:highlight w:val="none"/>
        </w:rPr>
      </w:pPr>
      <w:bookmarkStart w:id="463" w:name="_Ref467379436"/>
      <w:r>
        <w:rPr>
          <w:rFonts w:hint="eastAsia" w:ascii="宋体" w:hAnsi="宋体" w:cs="宋体"/>
          <w:color w:val="auto"/>
          <w:szCs w:val="21"/>
          <w:highlight w:val="none"/>
        </w:rPr>
        <w:t>2.1.6 “现场”系指合同约定货物将要运至或者安装的地点。</w:t>
      </w:r>
      <w:bookmarkEnd w:id="463"/>
    </w:p>
    <w:p>
      <w:pPr>
        <w:spacing w:line="360" w:lineRule="auto"/>
        <w:ind w:firstLine="422" w:firstLineChars="200"/>
        <w:outlineLvl w:val="2"/>
        <w:rPr>
          <w:rFonts w:ascii="宋体" w:hAnsi="宋体" w:cs="宋体"/>
          <w:b/>
          <w:color w:val="auto"/>
          <w:szCs w:val="21"/>
          <w:highlight w:val="none"/>
        </w:rPr>
      </w:pPr>
      <w:bookmarkStart w:id="464" w:name="_Toc487900350"/>
      <w:bookmarkStart w:id="465" w:name="_Toc259093670"/>
      <w:bookmarkStart w:id="466" w:name="_Toc27635"/>
      <w:bookmarkStart w:id="467" w:name="_Toc279701241"/>
      <w:bookmarkStart w:id="468" w:name="_Toc32504"/>
      <w:bookmarkStart w:id="469" w:name="_Toc13336"/>
      <w:r>
        <w:rPr>
          <w:rFonts w:hint="eastAsia" w:ascii="宋体" w:hAnsi="宋体" w:cs="宋体"/>
          <w:b/>
          <w:color w:val="auto"/>
          <w:szCs w:val="21"/>
          <w:highlight w:val="none"/>
        </w:rPr>
        <w:t>2.2 技术规范</w:t>
      </w:r>
      <w:bookmarkEnd w:id="464"/>
      <w:bookmarkEnd w:id="465"/>
      <w:bookmarkEnd w:id="466"/>
      <w:bookmarkEnd w:id="467"/>
      <w:bookmarkEnd w:id="468"/>
      <w:bookmarkEnd w:id="46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22" w:firstLineChars="200"/>
        <w:outlineLvl w:val="2"/>
        <w:rPr>
          <w:rFonts w:ascii="宋体" w:hAnsi="宋体" w:cs="宋体"/>
          <w:b/>
          <w:color w:val="auto"/>
          <w:szCs w:val="21"/>
          <w:highlight w:val="none"/>
        </w:rPr>
      </w:pPr>
      <w:bookmarkStart w:id="470" w:name="_Toc31634"/>
      <w:bookmarkStart w:id="471" w:name="_Toc279701242"/>
      <w:bookmarkStart w:id="472" w:name="_Toc259093671"/>
      <w:bookmarkStart w:id="473" w:name="_Toc487900351"/>
      <w:bookmarkStart w:id="474" w:name="_Toc27853"/>
      <w:bookmarkStart w:id="475" w:name="_Toc9829"/>
      <w:r>
        <w:rPr>
          <w:rFonts w:hint="eastAsia" w:ascii="宋体" w:hAnsi="宋体" w:cs="宋体"/>
          <w:b/>
          <w:color w:val="auto"/>
          <w:szCs w:val="21"/>
          <w:highlight w:val="none"/>
        </w:rPr>
        <w:t>2.3 知识产权</w:t>
      </w:r>
      <w:bookmarkEnd w:id="470"/>
      <w:bookmarkEnd w:id="471"/>
      <w:bookmarkEnd w:id="472"/>
      <w:bookmarkEnd w:id="473"/>
      <w:bookmarkEnd w:id="474"/>
      <w:bookmarkEnd w:id="475"/>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Cs w:val="21"/>
          <w:highlight w:val="none"/>
        </w:rPr>
        <w:t>乙方还应及时澄清相关信息，使甲方声誉免受损害，甲方保留追责的权利。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2.3.2具有知识产权的计算机软件等货物的知识产权归属，详见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pacing w:line="360" w:lineRule="auto"/>
        <w:ind w:firstLine="422" w:firstLineChars="200"/>
        <w:outlineLvl w:val="2"/>
        <w:rPr>
          <w:rFonts w:ascii="宋体" w:hAnsi="宋体" w:cs="宋体"/>
          <w:b/>
          <w:color w:val="auto"/>
          <w:szCs w:val="21"/>
          <w:highlight w:val="none"/>
        </w:rPr>
      </w:pPr>
      <w:bookmarkStart w:id="476" w:name="_Toc29149"/>
      <w:bookmarkStart w:id="477" w:name="_Toc4194"/>
      <w:bookmarkStart w:id="478" w:name="_Toc11932"/>
      <w:r>
        <w:rPr>
          <w:rFonts w:hint="eastAsia" w:ascii="宋体" w:hAnsi="宋体" w:cs="宋体"/>
          <w:b/>
          <w:color w:val="auto"/>
          <w:szCs w:val="21"/>
          <w:highlight w:val="none"/>
        </w:rPr>
        <w:t>2.4 包装和装运</w:t>
      </w:r>
      <w:bookmarkEnd w:id="476"/>
      <w:bookmarkEnd w:id="477"/>
      <w:bookmarkEnd w:id="47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2.4.1除</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 装运货物的要求和通知，详见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pacing w:line="360" w:lineRule="auto"/>
        <w:ind w:firstLine="422" w:firstLineChars="200"/>
        <w:outlineLvl w:val="2"/>
        <w:rPr>
          <w:rFonts w:ascii="宋体" w:hAnsi="宋体" w:cs="宋体"/>
          <w:b/>
          <w:color w:val="auto"/>
          <w:szCs w:val="21"/>
          <w:highlight w:val="none"/>
        </w:rPr>
      </w:pPr>
      <w:bookmarkStart w:id="479" w:name="_Ref467379542"/>
      <w:bookmarkStart w:id="480" w:name="_Toc487900354"/>
      <w:bookmarkStart w:id="481" w:name="_Toc279701245"/>
      <w:bookmarkStart w:id="482" w:name="_Ref467379527"/>
      <w:bookmarkStart w:id="483" w:name="_Ref467378541"/>
      <w:bookmarkStart w:id="484" w:name="_Toc259093674"/>
      <w:bookmarkStart w:id="485" w:name="_Ref467378591"/>
      <w:bookmarkStart w:id="486" w:name="_Ref467379536"/>
      <w:bookmarkStart w:id="487" w:name="_Toc26182"/>
      <w:bookmarkStart w:id="488" w:name="_Toc30272"/>
      <w:bookmarkStart w:id="489" w:name="_Toc19074"/>
      <w:r>
        <w:rPr>
          <w:rFonts w:hint="eastAsia" w:ascii="宋体" w:hAnsi="宋体" w:cs="宋体"/>
          <w:b/>
          <w:color w:val="auto"/>
          <w:szCs w:val="21"/>
          <w:highlight w:val="none"/>
        </w:rPr>
        <w:t>2.</w:t>
      </w:r>
      <w:bookmarkEnd w:id="479"/>
      <w:bookmarkEnd w:id="480"/>
      <w:bookmarkEnd w:id="481"/>
      <w:bookmarkEnd w:id="482"/>
      <w:bookmarkEnd w:id="483"/>
      <w:bookmarkEnd w:id="484"/>
      <w:bookmarkEnd w:id="485"/>
      <w:bookmarkEnd w:id="486"/>
      <w:r>
        <w:rPr>
          <w:rFonts w:hint="eastAsia" w:ascii="宋体" w:hAnsi="宋体" w:cs="宋体"/>
          <w:b/>
          <w:color w:val="auto"/>
          <w:szCs w:val="21"/>
          <w:highlight w:val="none"/>
        </w:rPr>
        <w:t>5 履约检查和问题反馈</w:t>
      </w:r>
      <w:bookmarkEnd w:id="487"/>
      <w:bookmarkEnd w:id="488"/>
      <w:bookmarkEnd w:id="489"/>
    </w:p>
    <w:p>
      <w:pPr>
        <w:spacing w:line="360" w:lineRule="auto"/>
        <w:ind w:firstLine="420" w:firstLineChars="200"/>
        <w:rPr>
          <w:rFonts w:ascii="宋体" w:hAnsi="宋体" w:cs="宋体"/>
          <w:color w:val="auto"/>
          <w:szCs w:val="21"/>
          <w:highlight w:val="none"/>
        </w:rPr>
      </w:pPr>
      <w:bookmarkStart w:id="490" w:name="_Ref467379657"/>
      <w:r>
        <w:rPr>
          <w:rFonts w:hint="eastAsia" w:ascii="宋体" w:hAnsi="宋体" w:cs="宋体"/>
          <w:color w:val="auto"/>
          <w:szCs w:val="21"/>
          <w:highlight w:val="none"/>
        </w:rPr>
        <w:t>2.5.1</w:t>
      </w:r>
      <w:bookmarkEnd w:id="490"/>
      <w:bookmarkStart w:id="491" w:name="_Toc186431854"/>
      <w:bookmarkStart w:id="492" w:name="_Toc487900357"/>
      <w:bookmarkStart w:id="493" w:name="_Toc259093676"/>
      <w:bookmarkStart w:id="494" w:name="_Toc279701247"/>
      <w:bookmarkStart w:id="495" w:name="_Ref467379807"/>
      <w:bookmarkStart w:id="496" w:name="_Ref467379793"/>
      <w:r>
        <w:rPr>
          <w:rFonts w:hint="eastAsia" w:ascii="宋体" w:hAnsi="宋体" w:cs="宋体"/>
          <w:color w:val="auto"/>
          <w:szCs w:val="21"/>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2.5.2 合同履行期间，甲方有权将履行过程中出现的问题反馈给乙方，双方当事人应以书面形式约定需要完善和改进的内容</w:t>
      </w:r>
      <w:bookmarkEnd w:id="491"/>
      <w:bookmarkStart w:id="497" w:name="_Toc186431855"/>
      <w:r>
        <w:rPr>
          <w:rFonts w:hint="eastAsia" w:ascii="宋体" w:hAnsi="宋体" w:cs="宋体"/>
          <w:color w:val="auto"/>
          <w:szCs w:val="21"/>
          <w:highlight w:val="none"/>
        </w:rPr>
        <w:t>。</w:t>
      </w:r>
    </w:p>
    <w:bookmarkEnd w:id="492"/>
    <w:bookmarkEnd w:id="493"/>
    <w:bookmarkEnd w:id="494"/>
    <w:bookmarkEnd w:id="495"/>
    <w:bookmarkEnd w:id="496"/>
    <w:bookmarkEnd w:id="497"/>
    <w:p>
      <w:pPr>
        <w:spacing w:line="360" w:lineRule="auto"/>
        <w:ind w:firstLine="422" w:firstLineChars="200"/>
        <w:outlineLvl w:val="2"/>
        <w:rPr>
          <w:rFonts w:ascii="宋体" w:hAnsi="宋体" w:cs="宋体"/>
          <w:b/>
          <w:color w:val="auto"/>
          <w:szCs w:val="21"/>
          <w:highlight w:val="none"/>
        </w:rPr>
      </w:pPr>
      <w:bookmarkStart w:id="498" w:name="_Toc279701248"/>
      <w:bookmarkStart w:id="499" w:name="_Toc259093677"/>
      <w:bookmarkStart w:id="500" w:name="_Ref467379923"/>
      <w:bookmarkStart w:id="501" w:name="_Ref467379863"/>
      <w:bookmarkStart w:id="502" w:name="_Ref467379852"/>
      <w:bookmarkStart w:id="503" w:name="_Toc487900358"/>
      <w:bookmarkStart w:id="504" w:name="_Toc774"/>
      <w:bookmarkStart w:id="505" w:name="_Toc16110"/>
      <w:bookmarkStart w:id="506" w:name="_Toc3225"/>
      <w:r>
        <w:rPr>
          <w:rFonts w:hint="eastAsia" w:ascii="宋体" w:hAnsi="宋体" w:cs="宋体"/>
          <w:b/>
          <w:color w:val="auto"/>
          <w:szCs w:val="21"/>
          <w:highlight w:val="none"/>
        </w:rPr>
        <w:t>2.6 技术资料</w:t>
      </w:r>
      <w:bookmarkEnd w:id="498"/>
      <w:bookmarkEnd w:id="499"/>
      <w:bookmarkEnd w:id="500"/>
      <w:bookmarkEnd w:id="501"/>
      <w:bookmarkEnd w:id="502"/>
      <w:bookmarkEnd w:id="503"/>
      <w:r>
        <w:rPr>
          <w:rFonts w:hint="eastAsia" w:ascii="宋体" w:hAnsi="宋体" w:cs="宋体"/>
          <w:b/>
          <w:color w:val="auto"/>
          <w:szCs w:val="21"/>
          <w:highlight w:val="none"/>
        </w:rPr>
        <w:t>和保密义务</w:t>
      </w:r>
      <w:bookmarkEnd w:id="504"/>
      <w:bookmarkEnd w:id="505"/>
      <w:bookmarkEnd w:id="50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 乙方有权依据合同约定和项目需要，向甲方了解有关情况，调阅有关资料等，甲方应予积极配合；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乙方有义务妥善保管和保护由甲方提供的前款信息和资料等；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22" w:firstLineChars="200"/>
        <w:outlineLvl w:val="2"/>
        <w:rPr>
          <w:rFonts w:ascii="宋体" w:hAnsi="宋体" w:cs="宋体"/>
          <w:b/>
          <w:color w:val="auto"/>
          <w:szCs w:val="21"/>
          <w:highlight w:val="none"/>
        </w:rPr>
      </w:pPr>
      <w:bookmarkStart w:id="507" w:name="_Toc7860"/>
      <w:r>
        <w:rPr>
          <w:rFonts w:hint="eastAsia" w:ascii="宋体" w:hAnsi="宋体" w:cs="宋体"/>
          <w:b/>
          <w:color w:val="auto"/>
          <w:szCs w:val="21"/>
          <w:highlight w:val="none"/>
        </w:rPr>
        <w:t>2.7 质量保证</w:t>
      </w:r>
      <w:bookmarkEnd w:id="50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 乙方应建立和完善履行合同的内部质量保证体系，并提供相关内部规章制度给甲方，以便甲方进行监督检查；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 乙方应保证履行合同的人员数量和素质、软件和硬件设备的配置、场地、环境和设施等满足全面履行合同的要求，并应接受甲方的监督检查。</w:t>
      </w:r>
    </w:p>
    <w:p>
      <w:pPr>
        <w:spacing w:line="360" w:lineRule="auto"/>
        <w:ind w:firstLine="422" w:firstLineChars="200"/>
        <w:outlineLvl w:val="2"/>
        <w:rPr>
          <w:rFonts w:ascii="宋体" w:hAnsi="宋体" w:cs="宋体"/>
          <w:b/>
          <w:color w:val="auto"/>
          <w:szCs w:val="21"/>
          <w:highlight w:val="none"/>
        </w:rPr>
      </w:pPr>
      <w:bookmarkStart w:id="508" w:name="_Toc17244"/>
      <w:bookmarkStart w:id="509" w:name="_Toc259093681"/>
      <w:bookmarkStart w:id="510" w:name="_Toc279701252"/>
      <w:bookmarkStart w:id="511" w:name="_Toc487900362"/>
      <w:r>
        <w:rPr>
          <w:rFonts w:hint="eastAsia" w:ascii="宋体" w:hAnsi="宋体" w:cs="宋体"/>
          <w:b/>
          <w:color w:val="auto"/>
          <w:szCs w:val="21"/>
          <w:highlight w:val="none"/>
        </w:rPr>
        <w:t>2.8 货物的风险负担</w:t>
      </w:r>
      <w:bookmarkEnd w:id="508"/>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货物或者在途货物或者交付给第一承运人后的货物毁损、灭失的风险负担详见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pacing w:line="360" w:lineRule="auto"/>
        <w:ind w:firstLine="422" w:firstLineChars="200"/>
        <w:outlineLvl w:val="2"/>
        <w:rPr>
          <w:rFonts w:ascii="宋体" w:hAnsi="宋体" w:cs="宋体"/>
          <w:b/>
          <w:color w:val="auto"/>
          <w:szCs w:val="21"/>
          <w:highlight w:val="none"/>
        </w:rPr>
      </w:pPr>
      <w:bookmarkStart w:id="512" w:name="_Toc14055"/>
      <w:r>
        <w:rPr>
          <w:rFonts w:hint="eastAsia" w:ascii="宋体" w:hAnsi="宋体" w:cs="宋体"/>
          <w:b/>
          <w:color w:val="auto"/>
          <w:szCs w:val="21"/>
          <w:highlight w:val="none"/>
        </w:rPr>
        <w:t>2.9 延迟交货</w:t>
      </w:r>
      <w:bookmarkEnd w:id="509"/>
      <w:bookmarkEnd w:id="510"/>
      <w:bookmarkEnd w:id="511"/>
      <w:bookmarkEnd w:id="512"/>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甲乙双方签订合同后，乙方应按照合同约定履行合同义务，除不可抗力外，乙方不得延迟交货。</w:t>
      </w:r>
      <w:r>
        <w:rPr>
          <w:rFonts w:hint="eastAsia" w:ascii="宋体" w:hAnsi="宋体" w:cs="宋体"/>
          <w:color w:val="auto"/>
          <w:szCs w:val="21"/>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22" w:firstLineChars="200"/>
        <w:outlineLvl w:val="2"/>
        <w:rPr>
          <w:rFonts w:ascii="宋体" w:hAnsi="宋体" w:cs="宋体"/>
          <w:b/>
          <w:color w:val="auto"/>
          <w:szCs w:val="21"/>
          <w:highlight w:val="none"/>
        </w:rPr>
      </w:pPr>
      <w:bookmarkStart w:id="513" w:name="_Toc7502"/>
      <w:bookmarkStart w:id="514" w:name="_Toc487900364"/>
      <w:bookmarkStart w:id="515" w:name="_Toc279701254"/>
      <w:bookmarkStart w:id="516" w:name="_Ref467378121"/>
      <w:bookmarkStart w:id="517" w:name="_Toc259093683"/>
      <w:r>
        <w:rPr>
          <w:rFonts w:hint="eastAsia" w:ascii="宋体" w:hAnsi="宋体" w:cs="宋体"/>
          <w:b/>
          <w:color w:val="auto"/>
          <w:szCs w:val="21"/>
          <w:highlight w:val="none"/>
        </w:rPr>
        <w:t>2.10 合同变更</w:t>
      </w:r>
      <w:bookmarkEnd w:id="51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bookmarkStart w:id="518" w:name="_Toc487900369"/>
      <w:bookmarkStart w:id="519" w:name="_Toc259093688"/>
      <w:bookmarkStart w:id="520" w:name="_Toc279701259"/>
    </w:p>
    <w:p>
      <w:pPr>
        <w:spacing w:line="360" w:lineRule="auto"/>
        <w:ind w:firstLine="422" w:firstLineChars="200"/>
        <w:outlineLvl w:val="2"/>
        <w:rPr>
          <w:rFonts w:ascii="宋体" w:hAnsi="宋体" w:cs="宋体"/>
          <w:b/>
          <w:color w:val="auto"/>
          <w:szCs w:val="21"/>
          <w:highlight w:val="none"/>
        </w:rPr>
      </w:pPr>
      <w:bookmarkStart w:id="521" w:name="_Toc22955"/>
      <w:bookmarkStart w:id="522" w:name="_Toc15237"/>
      <w:bookmarkStart w:id="523" w:name="_Toc10366"/>
      <w:r>
        <w:rPr>
          <w:rFonts w:hint="eastAsia" w:ascii="宋体" w:hAnsi="宋体" w:cs="宋体"/>
          <w:b/>
          <w:color w:val="auto"/>
          <w:szCs w:val="21"/>
          <w:highlight w:val="none"/>
        </w:rPr>
        <w:t>2.11 合同转让</w:t>
      </w:r>
      <w:bookmarkEnd w:id="518"/>
      <w:bookmarkEnd w:id="519"/>
      <w:bookmarkEnd w:id="520"/>
      <w:r>
        <w:rPr>
          <w:rFonts w:hint="eastAsia" w:ascii="宋体" w:hAnsi="宋体" w:cs="宋体"/>
          <w:b/>
          <w:color w:val="auto"/>
          <w:szCs w:val="21"/>
          <w:highlight w:val="none"/>
        </w:rPr>
        <w:t>和分包</w:t>
      </w:r>
      <w:bookmarkEnd w:id="521"/>
      <w:bookmarkEnd w:id="522"/>
      <w:bookmarkEnd w:id="52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2.11.2乙方采取分包方式履行合同的，甲方可直接向分包供应商支付款项。</w:t>
      </w:r>
    </w:p>
    <w:p>
      <w:pPr>
        <w:spacing w:line="360" w:lineRule="auto"/>
        <w:ind w:firstLine="422" w:firstLineChars="200"/>
        <w:outlineLvl w:val="2"/>
        <w:rPr>
          <w:rFonts w:ascii="宋体" w:hAnsi="宋体" w:cs="宋体"/>
          <w:b/>
          <w:color w:val="auto"/>
          <w:szCs w:val="21"/>
          <w:highlight w:val="none"/>
        </w:rPr>
      </w:pPr>
      <w:bookmarkStart w:id="524" w:name="_Toc13566"/>
      <w:bookmarkStart w:id="525" w:name="_Toc14066"/>
      <w:bookmarkStart w:id="526" w:name="_Toc16508"/>
      <w:r>
        <w:rPr>
          <w:rFonts w:hint="eastAsia" w:ascii="宋体" w:hAnsi="宋体" w:cs="宋体"/>
          <w:b/>
          <w:color w:val="auto"/>
          <w:szCs w:val="21"/>
          <w:highlight w:val="none"/>
        </w:rPr>
        <w:t>2.12 不可抗力</w:t>
      </w:r>
      <w:bookmarkEnd w:id="524"/>
      <w:bookmarkEnd w:id="525"/>
      <w:bookmarkEnd w:id="52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2.12.1如果任何一方遭遇法律规定的不可抗力，致使合同履行受阻时，履行合同的期限应予延长，延长的期限应相当于不可抗力所影响的时间；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2.12.2 因不可抗力致使不能实现合同目的的，当事人可以解除合同；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2.12.3 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2.12.4受不可抗力影响的一方在不可抗力发生后，应在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pPr>
        <w:spacing w:line="360" w:lineRule="auto"/>
        <w:ind w:firstLine="422" w:firstLineChars="200"/>
        <w:outlineLvl w:val="2"/>
        <w:rPr>
          <w:rFonts w:ascii="宋体" w:hAnsi="宋体" w:cs="宋体"/>
          <w:b/>
          <w:color w:val="auto"/>
          <w:szCs w:val="21"/>
          <w:highlight w:val="none"/>
        </w:rPr>
      </w:pPr>
      <w:bookmarkStart w:id="527" w:name="_Toc689"/>
      <w:bookmarkStart w:id="528" w:name="_Toc487900365"/>
      <w:bookmarkStart w:id="529" w:name="_Toc279701255"/>
      <w:bookmarkStart w:id="530" w:name="_Toc30676"/>
      <w:bookmarkStart w:id="531" w:name="_Toc259093684"/>
      <w:bookmarkStart w:id="532" w:name="_Toc6969"/>
      <w:r>
        <w:rPr>
          <w:rFonts w:hint="eastAsia" w:ascii="宋体" w:hAnsi="宋体" w:cs="宋体"/>
          <w:b/>
          <w:color w:val="auto"/>
          <w:szCs w:val="21"/>
          <w:highlight w:val="none"/>
        </w:rPr>
        <w:t>2.13 税费</w:t>
      </w:r>
      <w:bookmarkEnd w:id="527"/>
      <w:bookmarkEnd w:id="528"/>
      <w:bookmarkEnd w:id="529"/>
      <w:bookmarkEnd w:id="530"/>
      <w:bookmarkEnd w:id="531"/>
      <w:bookmarkEnd w:id="53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w:t>
      </w:r>
    </w:p>
    <w:p>
      <w:pPr>
        <w:spacing w:line="360" w:lineRule="auto"/>
        <w:ind w:firstLine="422" w:firstLineChars="200"/>
        <w:outlineLvl w:val="2"/>
        <w:rPr>
          <w:rFonts w:ascii="宋体" w:hAnsi="宋体" w:cs="宋体"/>
          <w:b/>
          <w:color w:val="auto"/>
          <w:szCs w:val="21"/>
          <w:highlight w:val="none"/>
        </w:rPr>
      </w:pPr>
      <w:bookmarkStart w:id="533" w:name="_Toc16959"/>
      <w:bookmarkStart w:id="534" w:name="_Toc8298"/>
      <w:bookmarkStart w:id="535" w:name="_Toc487900368"/>
      <w:bookmarkStart w:id="536" w:name="_Toc279701258"/>
      <w:bookmarkStart w:id="537" w:name="_Toc259093687"/>
      <w:bookmarkStart w:id="538" w:name="_Toc7102"/>
      <w:r>
        <w:rPr>
          <w:rFonts w:hint="eastAsia" w:ascii="宋体" w:hAnsi="宋体" w:cs="宋体"/>
          <w:b/>
          <w:color w:val="auto"/>
          <w:szCs w:val="21"/>
          <w:highlight w:val="none"/>
        </w:rPr>
        <w:t>2.14乙方破产</w:t>
      </w:r>
      <w:bookmarkEnd w:id="533"/>
      <w:bookmarkEnd w:id="534"/>
      <w:bookmarkEnd w:id="535"/>
      <w:bookmarkEnd w:id="536"/>
      <w:bookmarkEnd w:id="537"/>
      <w:bookmarkEnd w:id="538"/>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22" w:firstLineChars="200"/>
        <w:outlineLvl w:val="2"/>
        <w:rPr>
          <w:rFonts w:ascii="宋体" w:hAnsi="宋体" w:cs="宋体"/>
          <w:b/>
          <w:color w:val="auto"/>
          <w:szCs w:val="21"/>
          <w:highlight w:val="none"/>
        </w:rPr>
      </w:pPr>
      <w:bookmarkStart w:id="539" w:name="_Toc29333"/>
      <w:bookmarkStart w:id="540" w:name="_Toc6134"/>
      <w:bookmarkStart w:id="541" w:name="_Toc15387"/>
      <w:r>
        <w:rPr>
          <w:rFonts w:hint="eastAsia" w:ascii="宋体" w:hAnsi="宋体" w:cs="宋体"/>
          <w:b/>
          <w:color w:val="auto"/>
          <w:szCs w:val="21"/>
          <w:highlight w:val="none"/>
        </w:rPr>
        <w:t>2.15 合同中止、终止</w:t>
      </w:r>
      <w:bookmarkEnd w:id="539"/>
      <w:bookmarkEnd w:id="540"/>
      <w:bookmarkEnd w:id="54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2.15.1 双方当事人不得擅自中止或者终止合同；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2.15.2合同继续履行将损害国家利益和社会公共利益的，双方当事人应当中止或者终止合同。有过错的一方应当承担赔偿责任，双方当事人都有过错的，各自承担相应的责任。</w:t>
      </w:r>
    </w:p>
    <w:p>
      <w:pPr>
        <w:spacing w:line="360" w:lineRule="auto"/>
        <w:ind w:firstLine="422" w:firstLineChars="200"/>
        <w:outlineLvl w:val="2"/>
        <w:rPr>
          <w:rFonts w:ascii="宋体" w:hAnsi="宋体" w:cs="宋体"/>
          <w:b/>
          <w:color w:val="auto"/>
          <w:szCs w:val="21"/>
          <w:highlight w:val="none"/>
        </w:rPr>
      </w:pPr>
      <w:bookmarkStart w:id="542" w:name="_Toc6596"/>
      <w:bookmarkStart w:id="543" w:name="_Toc1125"/>
      <w:bookmarkStart w:id="544" w:name="_Toc14563"/>
      <w:r>
        <w:rPr>
          <w:rFonts w:hint="eastAsia" w:ascii="宋体" w:hAnsi="宋体" w:cs="宋体"/>
          <w:b/>
          <w:color w:val="auto"/>
          <w:szCs w:val="21"/>
          <w:highlight w:val="none"/>
        </w:rPr>
        <w:t>2.16检验和验收</w:t>
      </w:r>
      <w:bookmarkEnd w:id="542"/>
      <w:bookmarkEnd w:id="543"/>
      <w:bookmarkEnd w:id="544"/>
    </w:p>
    <w:p>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约定时间内组织验收，并可依法邀请相关方参加，验收应出具验收书。</w:t>
      </w:r>
    </w:p>
    <w:p>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2.16.3 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bookmarkEnd w:id="514"/>
    <w:bookmarkEnd w:id="515"/>
    <w:bookmarkEnd w:id="516"/>
    <w:bookmarkEnd w:id="517"/>
    <w:p>
      <w:pPr>
        <w:spacing w:line="360" w:lineRule="auto"/>
        <w:ind w:firstLine="422" w:firstLineChars="200"/>
        <w:outlineLvl w:val="2"/>
        <w:rPr>
          <w:rFonts w:ascii="宋体" w:hAnsi="宋体" w:cs="宋体"/>
          <w:b/>
          <w:color w:val="auto"/>
          <w:szCs w:val="21"/>
          <w:highlight w:val="none"/>
        </w:rPr>
      </w:pPr>
      <w:bookmarkStart w:id="545" w:name="_Toc259093690"/>
      <w:bookmarkStart w:id="546" w:name="_Toc279701261"/>
      <w:bookmarkStart w:id="547" w:name="_Toc487900371"/>
      <w:bookmarkStart w:id="548" w:name="_Toc11284"/>
      <w:bookmarkStart w:id="549" w:name="_Toc19604"/>
      <w:bookmarkStart w:id="550" w:name="_Toc25182"/>
      <w:r>
        <w:rPr>
          <w:rFonts w:hint="eastAsia" w:ascii="宋体" w:hAnsi="宋体" w:cs="宋体"/>
          <w:b/>
          <w:color w:val="auto"/>
          <w:szCs w:val="21"/>
          <w:highlight w:val="none"/>
        </w:rPr>
        <w:t>2.17 通知</w:t>
      </w:r>
      <w:bookmarkEnd w:id="545"/>
      <w:bookmarkEnd w:id="546"/>
      <w:bookmarkEnd w:id="547"/>
      <w:r>
        <w:rPr>
          <w:rFonts w:hint="eastAsia" w:ascii="宋体" w:hAnsi="宋体" w:cs="宋体"/>
          <w:b/>
          <w:color w:val="auto"/>
          <w:szCs w:val="21"/>
          <w:highlight w:val="none"/>
        </w:rPr>
        <w:t>和送达</w:t>
      </w:r>
      <w:bookmarkEnd w:id="548"/>
      <w:bookmarkEnd w:id="549"/>
      <w:bookmarkEnd w:id="550"/>
    </w:p>
    <w:p>
      <w:pPr>
        <w:spacing w:line="360" w:lineRule="auto"/>
        <w:ind w:firstLine="420" w:firstLineChars="200"/>
        <w:rPr>
          <w:rFonts w:ascii="宋体" w:hAnsi="宋体" w:cs="宋体"/>
          <w:color w:val="auto"/>
          <w:szCs w:val="21"/>
          <w:highlight w:val="none"/>
        </w:rPr>
      </w:pPr>
      <w:bookmarkStart w:id="551" w:name="_Toc3135"/>
      <w:bookmarkStart w:id="552" w:name="_Toc6698"/>
      <w:bookmarkStart w:id="553" w:name="_Toc259093691"/>
      <w:bookmarkStart w:id="554" w:name="_Toc279701262"/>
      <w:bookmarkStart w:id="555" w:name="_Toc487900372"/>
      <w:r>
        <w:rPr>
          <w:rFonts w:hint="eastAsia" w:ascii="宋体" w:hAnsi="宋体" w:cs="宋体"/>
          <w:color w:val="auto"/>
          <w:szCs w:val="21"/>
          <w:highlight w:val="none"/>
        </w:rPr>
        <w:t xml:space="preserve">2.17.1任何一方因履行合同而以合同第一部分尾部所列明的传真或电子邮件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发出的所有通知、文件、材料，均视为已向对方当事人送达；任何一方变更上述送达方式或者地址的，应于</w:t>
      </w:r>
      <w:r>
        <w:rPr>
          <w:rFonts w:hint="eastAsia" w:ascii="宋体" w:hAnsi="宋体" w:cs="宋体"/>
          <w:color w:val="auto"/>
          <w:szCs w:val="21"/>
          <w:highlight w:val="none"/>
          <w:u w:val="single"/>
        </w:rPr>
        <w:t>3</w:t>
      </w:r>
      <w:r>
        <w:rPr>
          <w:rFonts w:hint="eastAsia" w:ascii="宋体" w:hAnsi="宋体" w:cs="宋体"/>
          <w:color w:val="auto"/>
          <w:szCs w:val="21"/>
          <w:highlight w:val="none"/>
        </w:rPr>
        <w:t>个工作日内书面通知对方当事人，在对方当事人收到有关变更通知之前，变更前的约定送达方式或者地址仍视为有效。</w:t>
      </w:r>
      <w:bookmarkEnd w:id="551"/>
      <w:bookmarkEnd w:id="552"/>
    </w:p>
    <w:p>
      <w:pPr>
        <w:spacing w:line="360" w:lineRule="auto"/>
        <w:ind w:firstLine="420" w:firstLineChars="200"/>
        <w:rPr>
          <w:rFonts w:ascii="宋体" w:hAnsi="宋体" w:cs="宋体"/>
          <w:color w:val="auto"/>
          <w:szCs w:val="21"/>
          <w:highlight w:val="none"/>
        </w:rPr>
      </w:pPr>
      <w:bookmarkStart w:id="556" w:name="_Toc23294"/>
      <w:bookmarkStart w:id="557" w:name="_Toc23128"/>
      <w:r>
        <w:rPr>
          <w:rFonts w:hint="eastAsia" w:ascii="宋体" w:hAnsi="宋体" w:cs="宋体"/>
          <w:color w:val="auto"/>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6"/>
      <w:bookmarkEnd w:id="557"/>
    </w:p>
    <w:p>
      <w:pPr>
        <w:spacing w:line="360" w:lineRule="auto"/>
        <w:ind w:firstLine="422" w:firstLineChars="200"/>
        <w:outlineLvl w:val="2"/>
        <w:rPr>
          <w:rFonts w:ascii="宋体" w:hAnsi="宋体" w:cs="宋体"/>
          <w:b/>
          <w:color w:val="auto"/>
          <w:szCs w:val="21"/>
          <w:highlight w:val="none"/>
        </w:rPr>
      </w:pPr>
      <w:bookmarkStart w:id="558" w:name="_Toc4355"/>
      <w:bookmarkStart w:id="559" w:name="_Toc18540"/>
      <w:bookmarkStart w:id="560" w:name="_Toc30599"/>
      <w:r>
        <w:rPr>
          <w:rFonts w:hint="eastAsia" w:ascii="宋体" w:hAnsi="宋体" w:cs="宋体"/>
          <w:b/>
          <w:color w:val="auto"/>
          <w:szCs w:val="21"/>
          <w:highlight w:val="none"/>
        </w:rPr>
        <w:t>2.18 计量单位</w:t>
      </w:r>
      <w:bookmarkEnd w:id="553"/>
      <w:bookmarkEnd w:id="554"/>
      <w:bookmarkEnd w:id="555"/>
      <w:bookmarkEnd w:id="558"/>
      <w:bookmarkEnd w:id="559"/>
      <w:bookmarkEnd w:id="56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除技术规范中另有规定外,合同的计量单位均使用国家法定计量单位。</w:t>
      </w:r>
    </w:p>
    <w:p>
      <w:pPr>
        <w:spacing w:line="360" w:lineRule="auto"/>
        <w:ind w:firstLine="422" w:firstLineChars="200"/>
        <w:outlineLvl w:val="2"/>
        <w:rPr>
          <w:rFonts w:ascii="宋体" w:hAnsi="宋体" w:cs="宋体"/>
          <w:b/>
          <w:color w:val="auto"/>
          <w:szCs w:val="21"/>
          <w:highlight w:val="none"/>
        </w:rPr>
      </w:pPr>
      <w:bookmarkStart w:id="561" w:name="_Toc259093692"/>
      <w:bookmarkStart w:id="562" w:name="_Toc279701263"/>
      <w:bookmarkStart w:id="563" w:name="_Toc487900373"/>
      <w:bookmarkStart w:id="564" w:name="_Toc12773"/>
      <w:bookmarkStart w:id="565" w:name="_Toc10330"/>
      <w:bookmarkStart w:id="566" w:name="_Toc18567"/>
      <w:r>
        <w:rPr>
          <w:rFonts w:hint="eastAsia" w:ascii="宋体" w:hAnsi="宋体" w:cs="宋体"/>
          <w:b/>
          <w:color w:val="auto"/>
          <w:szCs w:val="21"/>
          <w:highlight w:val="none"/>
        </w:rPr>
        <w:t>2.19 合同使用的文字和适用的法律</w:t>
      </w:r>
      <w:bookmarkEnd w:id="561"/>
      <w:bookmarkEnd w:id="562"/>
      <w:bookmarkEnd w:id="563"/>
      <w:bookmarkEnd w:id="564"/>
      <w:bookmarkEnd w:id="565"/>
      <w:bookmarkEnd w:id="56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2.19.1 合同使用汉语书就、变更和解释；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2.19.2 合同适用中华人民共和国法律。</w:t>
      </w:r>
    </w:p>
    <w:p>
      <w:pPr>
        <w:spacing w:line="360" w:lineRule="auto"/>
        <w:ind w:firstLine="422" w:firstLineChars="200"/>
        <w:outlineLvl w:val="2"/>
        <w:rPr>
          <w:rFonts w:ascii="宋体" w:hAnsi="宋体" w:cs="宋体"/>
          <w:b/>
          <w:color w:val="auto"/>
          <w:szCs w:val="21"/>
          <w:highlight w:val="none"/>
        </w:rPr>
      </w:pPr>
      <w:bookmarkStart w:id="567" w:name="_Toc6885"/>
      <w:bookmarkStart w:id="568" w:name="_Toc14001"/>
      <w:bookmarkStart w:id="569" w:name="_Toc19890"/>
      <w:r>
        <w:rPr>
          <w:rFonts w:hint="eastAsia" w:ascii="宋体" w:hAnsi="宋体" w:cs="宋体"/>
          <w:b/>
          <w:color w:val="auto"/>
          <w:szCs w:val="21"/>
          <w:highlight w:val="none"/>
        </w:rPr>
        <w:t>2.20 合同份数</w:t>
      </w:r>
      <w:bookmarkEnd w:id="567"/>
      <w:bookmarkEnd w:id="568"/>
      <w:bookmarkEnd w:id="56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合同份数按</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规定，每份均具有同等法律效力。</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ind w:firstLine="422"/>
        <w:jc w:val="center"/>
        <w:rPr>
          <w:color w:val="auto"/>
          <w:sz w:val="21"/>
          <w:szCs w:val="21"/>
          <w:highlight w:val="none"/>
        </w:rPr>
      </w:pPr>
      <w:r>
        <w:rPr>
          <w:rFonts w:hint="eastAsia"/>
          <w:color w:val="auto"/>
          <w:sz w:val="21"/>
          <w:szCs w:val="21"/>
          <w:highlight w:val="none"/>
        </w:rPr>
        <w:t>第三部分  合同专用条款</w:t>
      </w:r>
    </w:p>
    <w:p>
      <w:pPr>
        <w:spacing w:line="360" w:lineRule="auto"/>
        <w:ind w:right="-2" w:firstLine="420" w:firstLineChars="200"/>
        <w:rPr>
          <w:rFonts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43"/>
        <w:gridCol w:w="81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843" w:type="dxa"/>
            <w:tcBorders>
              <w:tl2br w:val="nil"/>
              <w:tr2bl w:val="nil"/>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197" w:type="dxa"/>
            <w:tcBorders>
              <w:tl2br w:val="nil"/>
              <w:tr2bl w:val="nil"/>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约定内容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.4.2</w:t>
            </w:r>
          </w:p>
        </w:tc>
        <w:tc>
          <w:tcPr>
            <w:tcW w:w="8197" w:type="dxa"/>
            <w:tcBorders>
              <w:tl2br w:val="nil"/>
              <w:tr2bl w:val="nil"/>
            </w:tcBorders>
            <w:vAlign w:val="center"/>
          </w:tcPr>
          <w:p>
            <w:pPr>
              <w:spacing w:line="360" w:lineRule="auto"/>
              <w:rPr>
                <w:rFonts w:ascii="宋体" w:hAnsi="宋体" w:cs="宋体"/>
                <w:b/>
                <w:bCs/>
                <w:color w:val="auto"/>
                <w:szCs w:val="21"/>
                <w:highlight w:val="none"/>
              </w:rPr>
            </w:pPr>
            <w:r>
              <w:rPr>
                <w:rFonts w:hint="eastAsia" w:ascii="宋体" w:hAnsi="宋体" w:cs="宋体"/>
                <w:b/>
                <w:bCs/>
                <w:color w:val="auto"/>
                <w:kern w:val="0"/>
                <w:szCs w:val="21"/>
                <w:highlight w:val="none"/>
              </w:rPr>
              <w:t>履约保证金支付方式：</w:t>
            </w:r>
            <w:r>
              <w:rPr>
                <w:rFonts w:hint="eastAsia" w:ascii="宋体" w:hAnsi="宋体" w:cs="宋体"/>
                <w:bCs/>
                <w:color w:val="auto"/>
                <w:szCs w:val="21"/>
                <w:highlight w:val="none"/>
              </w:rPr>
              <w:t>签订合同后五个工作日内乙方应向甲方交纳合同金额的1%作为履约保证金（履约保证金以履约保函形式递交，金额四舍五入保留个位）。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.5.1</w:t>
            </w:r>
          </w:p>
        </w:tc>
        <w:tc>
          <w:tcPr>
            <w:tcW w:w="8197" w:type="dxa"/>
            <w:tcBorders>
              <w:tl2br w:val="nil"/>
              <w:tr2bl w:val="nil"/>
            </w:tcBorders>
            <w:vAlign w:val="center"/>
          </w:tcPr>
          <w:p>
            <w:p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预付款比例、支付方式、时间：</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合同生效以及具备实施条件且财政资金下达后5个工作日内，采购人向中标人支付合同总额的50%作为预付款。</w:t>
            </w:r>
          </w:p>
          <w:p>
            <w:pPr>
              <w:pStyle w:val="2"/>
              <w:ind w:firstLine="0" w:firstLineChars="0"/>
              <w:rPr>
                <w:color w:val="auto"/>
                <w:sz w:val="21"/>
                <w:szCs w:val="21"/>
                <w:highlight w:val="none"/>
                <w:lang w:val="en-US"/>
              </w:rPr>
            </w:pPr>
            <w:r>
              <w:rPr>
                <w:rFonts w:hint="eastAsia" w:ascii="宋体" w:hAnsi="宋体" w:cs="宋体"/>
                <w:color w:val="auto"/>
                <w:sz w:val="21"/>
                <w:szCs w:val="21"/>
                <w:highlight w:val="none"/>
              </w:rPr>
              <w:t>注：以上付款时间是指采购人（甲方）完成向财政部门申报支付手续的时间，财政部门审查及实际支付可能造成的时间延误不视为采购人（甲方）违约。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.5.2</w:t>
            </w:r>
          </w:p>
        </w:tc>
        <w:tc>
          <w:tcPr>
            <w:tcW w:w="8197" w:type="dxa"/>
            <w:tcBorders>
              <w:tl2br w:val="nil"/>
              <w:tr2bl w:val="nil"/>
            </w:tcBorders>
            <w:vAlign w:val="center"/>
          </w:tcPr>
          <w:p>
            <w:pPr>
              <w:snapToGrid w:val="0"/>
              <w:spacing w:line="360" w:lineRule="auto"/>
              <w:rPr>
                <w:rFonts w:ascii="宋体" w:hAnsi="宋体" w:cs="宋体"/>
                <w:b/>
                <w:bCs/>
                <w:color w:val="auto"/>
                <w:kern w:val="0"/>
                <w:szCs w:val="21"/>
                <w:highlight w:val="none"/>
              </w:rPr>
            </w:pPr>
            <w:r>
              <w:rPr>
                <w:rFonts w:hint="eastAsia" w:ascii="宋体" w:hAnsi="宋体" w:cs="宋体"/>
                <w:b/>
                <w:bCs/>
                <w:color w:val="auto"/>
                <w:szCs w:val="21"/>
                <w:highlight w:val="none"/>
              </w:rPr>
              <w:t>预付款的扣回方式：</w:t>
            </w:r>
            <w:r>
              <w:rPr>
                <w:rFonts w:hint="eastAsia" w:ascii="宋体" w:hAnsi="宋体" w:cs="宋体"/>
                <w:color w:val="auto"/>
                <w:szCs w:val="21"/>
                <w:highlight w:val="none"/>
              </w:rPr>
              <w:t>预付款不扣回。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w:t>
            </w:r>
          </w:p>
        </w:tc>
        <w:tc>
          <w:tcPr>
            <w:tcW w:w="8197" w:type="dxa"/>
            <w:tcBorders>
              <w:tl2br w:val="nil"/>
              <w:tr2bl w:val="nil"/>
            </w:tcBorders>
            <w:vAlign w:val="center"/>
          </w:tcPr>
          <w:p>
            <w:pPr>
              <w:snapToGrid w:val="0"/>
              <w:spacing w:line="360" w:lineRule="auto"/>
              <w:rPr>
                <w:rFonts w:ascii="宋体" w:hAnsi="宋体" w:cs="宋体"/>
                <w:b/>
                <w:bCs/>
                <w:color w:val="auto"/>
                <w:kern w:val="0"/>
                <w:szCs w:val="21"/>
                <w:highlight w:val="none"/>
              </w:rPr>
            </w:pPr>
            <w:r>
              <w:rPr>
                <w:rFonts w:hint="eastAsia" w:ascii="宋体" w:hAnsi="宋体" w:cs="宋体"/>
                <w:b/>
                <w:bCs/>
                <w:color w:val="auto"/>
                <w:szCs w:val="21"/>
                <w:highlight w:val="none"/>
              </w:rPr>
              <w:t>预付款的担保措施：</w:t>
            </w:r>
            <w:r>
              <w:rPr>
                <w:rFonts w:hint="eastAsia" w:ascii="宋体" w:hAnsi="宋体" w:cs="宋体"/>
                <w:color w:val="auto"/>
                <w:szCs w:val="21"/>
                <w:highlight w:val="none"/>
              </w:rPr>
              <w:t>无需提交预付款担保。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6.2</w:t>
            </w:r>
          </w:p>
        </w:tc>
        <w:tc>
          <w:tcPr>
            <w:tcW w:w="8197" w:type="dxa"/>
            <w:tcBorders>
              <w:tl2br w:val="nil"/>
              <w:tr2bl w:val="nil"/>
            </w:tcBorders>
            <w:vAlign w:val="center"/>
          </w:tcPr>
          <w:p>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资金支付的方式、时间和条件：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1.合同生效以及具备实施条件且财政资金下达后5个工作日内，采购人向中标人支付合同总额的50%作为预付款。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验收合格后支付合同总额的50%。</w:t>
            </w:r>
          </w:p>
          <w:p>
            <w:pPr>
              <w:pStyle w:val="2"/>
              <w:ind w:firstLine="0" w:firstLineChars="0"/>
              <w:rPr>
                <w:b w:val="0"/>
                <w:bCs w:val="0"/>
                <w:color w:val="auto"/>
                <w:sz w:val="21"/>
                <w:szCs w:val="21"/>
                <w:highlight w:val="none"/>
                <w:lang w:val="en-US"/>
              </w:rPr>
            </w:pPr>
            <w:r>
              <w:rPr>
                <w:rFonts w:hint="eastAsia" w:ascii="宋体" w:hAnsi="宋体" w:cs="宋体"/>
                <w:color w:val="auto"/>
                <w:sz w:val="21"/>
                <w:szCs w:val="21"/>
                <w:highlight w:val="none"/>
                <w:lang w:val="en-US"/>
              </w:rPr>
              <w:t>注：</w:t>
            </w:r>
            <w:r>
              <w:rPr>
                <w:rFonts w:hint="eastAsia" w:ascii="宋体" w:hAnsi="宋体" w:cs="宋体"/>
                <w:color w:val="auto"/>
                <w:sz w:val="21"/>
                <w:szCs w:val="21"/>
                <w:highlight w:val="none"/>
              </w:rPr>
              <w:t>付款前乙方须向甲方提供正规、等额、合法、有效的发票。根据资金支付情况及财政支付制度，最终付款方式以双方确认，合同明确为准。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.6.3</w:t>
            </w:r>
          </w:p>
        </w:tc>
        <w:tc>
          <w:tcPr>
            <w:tcW w:w="8197" w:type="dxa"/>
            <w:tcBorders>
              <w:tl2br w:val="nil"/>
              <w:tr2bl w:val="nil"/>
            </w:tcBorders>
            <w:vAlign w:val="center"/>
          </w:tcPr>
          <w:p>
            <w:pPr>
              <w:snapToGrid w:val="0"/>
              <w:spacing w:line="360" w:lineRule="auto"/>
              <w:rPr>
                <w:rFonts w:ascii="宋体" w:hAnsi="宋体" w:cs="宋体"/>
                <w:b/>
                <w:bCs/>
                <w:color w:val="auto"/>
                <w:szCs w:val="21"/>
                <w:highlight w:val="none"/>
              </w:rPr>
            </w:pPr>
            <w:r>
              <w:rPr>
                <w:rFonts w:ascii="宋体" w:hAnsi="宋体" w:cs="宋体"/>
                <w:b/>
                <w:bCs/>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 xml:space="preserve">.1 </w:t>
            </w:r>
          </w:p>
        </w:tc>
        <w:tc>
          <w:tcPr>
            <w:tcW w:w="8197" w:type="dxa"/>
            <w:tcBorders>
              <w:tl2br w:val="nil"/>
              <w:tr2bl w:val="nil"/>
            </w:tcBorders>
            <w:vAlign w:val="center"/>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交付期限：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合同签订之日起至2024年11月15日前完成并具备验收条件。验收通过之日起，提供两年的运维服务。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.2</w:t>
            </w:r>
          </w:p>
        </w:tc>
        <w:tc>
          <w:tcPr>
            <w:tcW w:w="8197" w:type="dxa"/>
            <w:tcBorders>
              <w:tl2br w:val="nil"/>
              <w:tr2bl w:val="nil"/>
            </w:tcBorders>
            <w:vAlign w:val="center"/>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交付地点：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 xml:space="preserve">.3 </w:t>
            </w:r>
          </w:p>
        </w:tc>
        <w:tc>
          <w:tcPr>
            <w:tcW w:w="8197" w:type="dxa"/>
            <w:tcBorders>
              <w:tl2br w:val="nil"/>
              <w:tr2bl w:val="nil"/>
            </w:tcBorders>
            <w:vAlign w:val="center"/>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交付方式：</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按照合同、招标文件及投标文件要求进行交付。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8.6</w:t>
            </w:r>
          </w:p>
        </w:tc>
        <w:tc>
          <w:tcPr>
            <w:tcW w:w="8197" w:type="dxa"/>
            <w:tcBorders>
              <w:tl2br w:val="nil"/>
              <w:tr2bl w:val="nil"/>
            </w:tcBorders>
            <w:vAlign w:val="center"/>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违约责任：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1.供应商应确保所供货物为正品，自行承担侵权、提供假冒伪劣商品的法律风险。</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供货前，甲方有权要求乙方提供样品，并有权对提供的样品进行破坏性试验（可委托第三方检测机构），其产品在品质、标准上达不到招标要求及响应承诺的，不符合国家、行业相关标准、项目整体配套和甲方特殊场所使用要求的，甲方有权要求乙方调换产品直到达到甲方要求的品质为止，否则甲方有权解除合同，拒付货款，并扣罚所有履约担保。</w:t>
            </w:r>
          </w:p>
          <w:p>
            <w:pPr>
              <w:spacing w:line="360" w:lineRule="auto"/>
              <w:rPr>
                <w:color w:val="auto"/>
                <w:highlight w:val="none"/>
              </w:rPr>
            </w:pPr>
            <w:r>
              <w:rPr>
                <w:rFonts w:hint="eastAsia" w:ascii="宋体" w:hAnsi="宋体" w:cs="宋体"/>
                <w:color w:val="auto"/>
                <w:szCs w:val="21"/>
                <w:highlight w:val="none"/>
              </w:rPr>
              <w:t>3.甲方有权对乙方所供货物（含配件）随机抽取并进行破坏性试验（可委托第三方检测机构），如检测结果不合格，则视为该批次产品不符合质量要求，甲方有权做拒收、退货处理，相关损失及费用由乙方承担。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tcPr>
          <w:p>
            <w:pPr>
              <w:snapToGrid w:val="0"/>
              <w:spacing w:line="360" w:lineRule="auto"/>
              <w:rPr>
                <w:rFonts w:ascii="宋体" w:hAnsi="宋体" w:cs="宋体"/>
                <w:color w:val="auto"/>
                <w:szCs w:val="21"/>
                <w:highlight w:val="none"/>
              </w:rPr>
            </w:pPr>
            <w:r>
              <w:rPr>
                <w:rFonts w:ascii="宋体" w:hAnsi="宋体"/>
                <w:color w:val="auto"/>
                <w:szCs w:val="21"/>
                <w:highlight w:val="none"/>
              </w:rPr>
              <w:t>1.9</w:t>
            </w:r>
          </w:p>
        </w:tc>
        <w:tc>
          <w:tcPr>
            <w:tcW w:w="8197" w:type="dxa"/>
            <w:tcBorders>
              <w:tl2br w:val="nil"/>
              <w:tr2bl w:val="nil"/>
            </w:tcBorders>
          </w:tcPr>
          <w:p>
            <w:pPr>
              <w:snapToGrid w:val="0"/>
              <w:spacing w:line="360" w:lineRule="auto"/>
              <w:rPr>
                <w:rFonts w:ascii="宋体" w:hAnsi="宋体" w:cs="宋体"/>
                <w:b/>
                <w:bCs/>
                <w:color w:val="auto"/>
                <w:szCs w:val="21"/>
                <w:highlight w:val="none"/>
              </w:rPr>
            </w:pPr>
            <w:r>
              <w:rPr>
                <w:rFonts w:ascii="宋体" w:hAnsi="宋体"/>
                <w:color w:val="auto"/>
                <w:szCs w:val="21"/>
                <w:highlight w:val="none"/>
              </w:rPr>
              <w:t>1.9.2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tcPr>
          <w:p>
            <w:pPr>
              <w:snapToGrid w:val="0"/>
              <w:spacing w:line="360" w:lineRule="auto"/>
              <w:rPr>
                <w:rFonts w:ascii="宋体" w:hAnsi="宋体" w:cs="宋体"/>
                <w:color w:val="auto"/>
                <w:szCs w:val="21"/>
                <w:highlight w:val="none"/>
              </w:rPr>
            </w:pPr>
            <w:r>
              <w:rPr>
                <w:rFonts w:ascii="宋体" w:hAnsi="宋体"/>
                <w:color w:val="auto"/>
                <w:szCs w:val="21"/>
                <w:highlight w:val="none"/>
              </w:rPr>
              <w:t>1.9.1</w:t>
            </w:r>
          </w:p>
        </w:tc>
        <w:tc>
          <w:tcPr>
            <w:tcW w:w="8197" w:type="dxa"/>
            <w:tcBorders>
              <w:tl2br w:val="nil"/>
              <w:tr2bl w:val="nil"/>
            </w:tcBorders>
          </w:tcPr>
          <w:p>
            <w:pPr>
              <w:snapToGrid w:val="0"/>
              <w:spacing w:line="360" w:lineRule="auto"/>
              <w:rPr>
                <w:rFonts w:ascii="宋体" w:hAnsi="宋体" w:cs="宋体"/>
                <w:b/>
                <w:bCs/>
                <w:color w:val="auto"/>
                <w:szCs w:val="21"/>
                <w:highlight w:val="none"/>
              </w:rPr>
            </w:pP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tcPr>
          <w:p>
            <w:pPr>
              <w:snapToGrid w:val="0"/>
              <w:spacing w:line="360"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.9.2</w:t>
            </w:r>
          </w:p>
        </w:tc>
        <w:tc>
          <w:tcPr>
            <w:tcW w:w="8197" w:type="dxa"/>
            <w:tcBorders>
              <w:tl2br w:val="nil"/>
              <w:tr2bl w:val="nil"/>
            </w:tcBorders>
          </w:tcPr>
          <w:p>
            <w:pPr>
              <w:snapToGrid w:val="0"/>
              <w:spacing w:line="360" w:lineRule="auto"/>
              <w:rPr>
                <w:rFonts w:ascii="宋体" w:hAnsi="宋体"/>
                <w:color w:val="auto"/>
                <w:szCs w:val="21"/>
                <w:highlight w:val="none"/>
              </w:rPr>
            </w:pPr>
            <w:r>
              <w:rPr>
                <w:rFonts w:hint="eastAsia" w:ascii="宋体" w:hAnsi="宋体"/>
                <w:color w:val="auto"/>
                <w:szCs w:val="21"/>
                <w:highlight w:val="none"/>
              </w:rPr>
              <w:t>杭州市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2.3.2</w:t>
            </w:r>
          </w:p>
        </w:tc>
        <w:tc>
          <w:tcPr>
            <w:tcW w:w="8197" w:type="dxa"/>
            <w:tcBorders>
              <w:tl2br w:val="nil"/>
              <w:tr2bl w:val="nil"/>
            </w:tcBorders>
            <w:vAlign w:val="center"/>
          </w:tcPr>
          <w:p>
            <w:pPr>
              <w:spacing w:line="360" w:lineRule="auto"/>
              <w:ind w:left="-420" w:leftChars="-200" w:right="-420" w:rightChars="-200"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具有知识产权的计算机软件等货物的知识产权归属：</w:t>
            </w:r>
          </w:p>
          <w:p>
            <w:pPr>
              <w:spacing w:line="360" w:lineRule="auto"/>
              <w:ind w:left="-420" w:leftChars="-200" w:right="-420" w:rightChars="-200" w:firstLine="420" w:firstLineChars="200"/>
              <w:rPr>
                <w:rFonts w:ascii="宋体" w:hAnsi="宋体" w:cs="宋体"/>
                <w:color w:val="auto"/>
                <w:szCs w:val="21"/>
                <w:highlight w:val="none"/>
              </w:rPr>
            </w:pPr>
            <w:r>
              <w:rPr>
                <w:rFonts w:ascii="宋体" w:hAnsi="宋体" w:cs="宋体"/>
                <w:color w:val="auto"/>
                <w:szCs w:val="21"/>
                <w:highlight w:val="none"/>
              </w:rPr>
              <w:t>生产厂家应取得本项目所投产品所涉及的外观、结构、工艺及技术专利或使用授权，</w:t>
            </w:r>
          </w:p>
          <w:p>
            <w:pPr>
              <w:spacing w:line="360" w:lineRule="auto"/>
              <w:ind w:left="-420" w:leftChars="-200" w:right="-420" w:rightChars="-200" w:firstLine="420" w:firstLineChars="200"/>
              <w:rPr>
                <w:rFonts w:ascii="宋体" w:hAnsi="宋体" w:cs="宋体"/>
                <w:color w:val="auto"/>
                <w:szCs w:val="21"/>
                <w:highlight w:val="none"/>
              </w:rPr>
            </w:pPr>
            <w:r>
              <w:rPr>
                <w:rFonts w:ascii="宋体" w:hAnsi="宋体" w:cs="宋体"/>
                <w:color w:val="auto"/>
                <w:szCs w:val="21"/>
                <w:highlight w:val="none"/>
              </w:rPr>
              <w:t>包括发明、实用新型、外观设计专利。</w:t>
            </w:r>
          </w:p>
          <w:p>
            <w:pPr>
              <w:spacing w:line="360" w:lineRule="auto"/>
              <w:ind w:left="-420" w:leftChars="-200" w:right="-420" w:rightChars="-200" w:firstLine="420" w:firstLineChars="200"/>
              <w:rPr>
                <w:color w:val="auto"/>
                <w:szCs w:val="21"/>
                <w:highlight w:val="none"/>
              </w:rPr>
            </w:pPr>
            <w:r>
              <w:rPr>
                <w:rFonts w:hint="eastAsia" w:ascii="宋体" w:hAnsi="宋体" w:cs="宋体"/>
                <w:color w:val="auto"/>
                <w:szCs w:val="21"/>
                <w:highlight w:val="none"/>
              </w:rPr>
              <w:t>由乙方为本项目定制开发的软件的知识产权和源代码归甲方所有。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2.4.1</w:t>
            </w:r>
          </w:p>
        </w:tc>
        <w:tc>
          <w:tcPr>
            <w:tcW w:w="8197" w:type="dxa"/>
            <w:tcBorders>
              <w:tl2br w:val="nil"/>
              <w:tr2bl w:val="nil"/>
            </w:tcBorders>
            <w:vAlign w:val="center"/>
          </w:tcPr>
          <w:p>
            <w:pPr>
              <w:spacing w:line="360" w:lineRule="auto"/>
              <w:ind w:left="-420" w:leftChars="-200" w:right="-420" w:rightChars="-200" w:firstLine="422" w:firstLineChars="200"/>
              <w:rPr>
                <w:rFonts w:ascii="宋体" w:hAnsi="宋体" w:cs="宋体"/>
                <w:color w:val="auto"/>
                <w:szCs w:val="21"/>
                <w:highlight w:val="none"/>
              </w:rPr>
            </w:pPr>
            <w:r>
              <w:rPr>
                <w:rFonts w:hint="eastAsia" w:ascii="宋体" w:hAnsi="宋体" w:cs="宋体"/>
                <w:b/>
                <w:color w:val="auto"/>
                <w:szCs w:val="21"/>
                <w:highlight w:val="none"/>
              </w:rPr>
              <w:t>按合同一般条款执行。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2.4.3</w:t>
            </w:r>
          </w:p>
        </w:tc>
        <w:tc>
          <w:tcPr>
            <w:tcW w:w="8197" w:type="dxa"/>
            <w:tcBorders>
              <w:tl2br w:val="nil"/>
              <w:tr2bl w:val="nil"/>
            </w:tcBorders>
            <w:vAlign w:val="center"/>
          </w:tcPr>
          <w:p>
            <w:pPr>
              <w:spacing w:line="360" w:lineRule="auto"/>
              <w:rPr>
                <w:rFonts w:asciiTheme="minorEastAsia" w:hAnsiTheme="minorEastAsia" w:cstheme="minorEastAsia"/>
                <w:b/>
                <w:bCs/>
                <w:color w:val="auto"/>
                <w:szCs w:val="21"/>
                <w:highlight w:val="none"/>
              </w:rPr>
            </w:pPr>
            <w:r>
              <w:rPr>
                <w:rFonts w:hint="eastAsia" w:ascii="宋体" w:hAnsi="宋体" w:cs="宋体"/>
                <w:b/>
                <w:bCs/>
                <w:color w:val="auto"/>
                <w:szCs w:val="21"/>
                <w:highlight w:val="none"/>
              </w:rPr>
              <w:t>装运货物的要求和通知：</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货物装运前应提前2日与甲方指定联系人确定。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2.8 </w:t>
            </w:r>
          </w:p>
        </w:tc>
        <w:tc>
          <w:tcPr>
            <w:tcW w:w="8197" w:type="dxa"/>
            <w:tcBorders>
              <w:tl2br w:val="nil"/>
              <w:tr2bl w:val="nil"/>
            </w:tcBorders>
          </w:tcPr>
          <w:p>
            <w:pPr>
              <w:spacing w:line="360" w:lineRule="auto"/>
              <w:rPr>
                <w:rFonts w:ascii="宋体" w:hAnsi="宋体" w:cs="宋体"/>
                <w:b/>
                <w:color w:val="auto"/>
                <w:szCs w:val="21"/>
                <w:highlight w:val="none"/>
              </w:rPr>
            </w:pPr>
            <w:r>
              <w:rPr>
                <w:rFonts w:hint="eastAsia" w:ascii="宋体" w:hAnsi="宋体" w:cs="宋体"/>
                <w:b/>
                <w:color w:val="auto"/>
                <w:szCs w:val="21"/>
                <w:highlight w:val="none"/>
              </w:rPr>
              <w:t>货物或者在途货物或者交付给第一承运人后的货物毁损、灭失的风险负担：</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由乙方承担相关费用与损失。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2.12.3</w:t>
            </w:r>
          </w:p>
        </w:tc>
        <w:tc>
          <w:tcPr>
            <w:tcW w:w="8197"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因不可抗力致使合同有变更必要的，双方当事人应在</w:t>
            </w:r>
            <w:r>
              <w:rPr>
                <w:rFonts w:hint="eastAsia" w:ascii="宋体" w:hAnsi="宋体" w:cs="宋体"/>
                <w:color w:val="auto"/>
                <w:szCs w:val="21"/>
                <w:highlight w:val="none"/>
                <w:u w:val="single"/>
              </w:rPr>
              <w:t>180日历天</w:t>
            </w:r>
            <w:r>
              <w:rPr>
                <w:rFonts w:hint="eastAsia" w:ascii="宋体" w:hAnsi="宋体" w:cs="宋体"/>
                <w:color w:val="auto"/>
                <w:szCs w:val="21"/>
                <w:highlight w:val="none"/>
              </w:rPr>
              <w:t>内以书面形式变更合同；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2.12.4</w:t>
            </w:r>
          </w:p>
        </w:tc>
        <w:tc>
          <w:tcPr>
            <w:tcW w:w="8197"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受不可抗力影响的一方在不可抗力发生后，应在</w:t>
            </w:r>
            <w:r>
              <w:rPr>
                <w:rFonts w:hint="eastAsia" w:ascii="宋体" w:hAnsi="宋体" w:cs="宋体"/>
                <w:color w:val="auto"/>
                <w:szCs w:val="21"/>
                <w:highlight w:val="none"/>
                <w:u w:val="single"/>
              </w:rPr>
              <w:t>30日历天内</w:t>
            </w:r>
            <w:r>
              <w:rPr>
                <w:rFonts w:hint="eastAsia" w:ascii="宋体" w:hAnsi="宋体" w:cs="宋体"/>
                <w:color w:val="auto"/>
                <w:szCs w:val="21"/>
                <w:highlight w:val="none"/>
              </w:rPr>
              <w:t>以书面形式通知对方当事人，并在</w:t>
            </w:r>
            <w:r>
              <w:rPr>
                <w:rFonts w:hint="eastAsia" w:ascii="宋体" w:hAnsi="宋体" w:cs="宋体"/>
                <w:color w:val="auto"/>
                <w:szCs w:val="21"/>
                <w:highlight w:val="none"/>
                <w:u w:val="single"/>
              </w:rPr>
              <w:t>30日历天内</w:t>
            </w:r>
            <w:r>
              <w:rPr>
                <w:rFonts w:hint="eastAsia" w:ascii="宋体" w:hAnsi="宋体" w:cs="宋体"/>
                <w:color w:val="auto"/>
                <w:szCs w:val="21"/>
                <w:highlight w:val="none"/>
              </w:rPr>
              <w:t>，将有关部门出具的证明文件送达对方当事人。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2.16.1</w:t>
            </w:r>
          </w:p>
        </w:tc>
        <w:tc>
          <w:tcPr>
            <w:tcW w:w="8197"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货物交付前，乙方应对货物的质量、数量等方面进行详细、全面的检验，并向甲方出具证明货物符合合同约定的文件；货物交付时，甲方在</w:t>
            </w:r>
            <w:r>
              <w:rPr>
                <w:rFonts w:hint="eastAsia" w:ascii="宋体" w:hAnsi="宋体" w:cs="宋体"/>
                <w:b/>
                <w:bCs/>
                <w:color w:val="auto"/>
                <w:szCs w:val="21"/>
                <w:highlight w:val="none"/>
                <w:u w:val="single"/>
              </w:rPr>
              <w:t>收到乙方验收申请后30日历天</w:t>
            </w:r>
            <w:r>
              <w:rPr>
                <w:rFonts w:hint="eastAsia" w:ascii="宋体" w:hAnsi="宋体" w:cs="宋体"/>
                <w:color w:val="auto"/>
                <w:szCs w:val="21"/>
                <w:highlight w:val="none"/>
              </w:rPr>
              <w:t>内组织验收，并可依法邀请相关方参加，验收应出具验收书。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2.16.3</w:t>
            </w:r>
          </w:p>
        </w:tc>
        <w:tc>
          <w:tcPr>
            <w:tcW w:w="8197" w:type="dxa"/>
            <w:tcBorders>
              <w:tl2br w:val="nil"/>
              <w:tr2bl w:val="nil"/>
            </w:tcBorders>
            <w:vAlign w:val="center"/>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检验和验收标准、程序等具体内容以及前述验收书的效力：</w:t>
            </w:r>
          </w:p>
          <w:p>
            <w:pPr>
              <w:spacing w:line="360" w:lineRule="auto"/>
              <w:rPr>
                <w:color w:val="auto"/>
                <w:szCs w:val="21"/>
                <w:highlight w:val="none"/>
              </w:rPr>
            </w:pPr>
            <w:r>
              <w:rPr>
                <w:rFonts w:hint="eastAsia" w:ascii="宋体" w:hAnsi="宋体" w:cs="宋体"/>
                <w:color w:val="auto"/>
                <w:szCs w:val="21"/>
                <w:highlight w:val="none"/>
              </w:rPr>
              <w:t>详见采购需求及投标文件，具体验收流程、程序以甲方要求为准。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5" w:hRule="atLeast"/>
        </w:trPr>
        <w:tc>
          <w:tcPr>
            <w:tcW w:w="843"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2.20</w:t>
            </w:r>
          </w:p>
        </w:tc>
        <w:tc>
          <w:tcPr>
            <w:tcW w:w="8197" w:type="dxa"/>
            <w:tcBorders>
              <w:tl2br w:val="nil"/>
              <w:tr2bl w:val="nil"/>
            </w:tcBorders>
            <w:vAlign w:val="center"/>
          </w:tcPr>
          <w:p>
            <w:pPr>
              <w:spacing w:line="360" w:lineRule="auto"/>
              <w:rPr>
                <w:rFonts w:ascii="宋体" w:hAnsi="宋体" w:cs="宋体"/>
                <w:color w:val="auto"/>
                <w:szCs w:val="21"/>
                <w:highlight w:val="none"/>
              </w:rPr>
            </w:pPr>
            <w:r>
              <w:rPr>
                <w:rFonts w:hint="eastAsia" w:ascii="宋体" w:hAnsi="宋体" w:cs="宋体"/>
                <w:b/>
                <w:color w:val="auto"/>
                <w:szCs w:val="21"/>
                <w:highlight w:val="none"/>
              </w:rPr>
              <w:t>合同份数：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一式肆份，甲方贰份，乙方贰份。</w:t>
            </w:r>
          </w:p>
        </w:tc>
      </w:tr>
    </w:tbl>
    <w:p>
      <w:pPr>
        <w:rPr>
          <w:color w:val="auto"/>
          <w:szCs w:val="21"/>
          <w:highlight w:val="none"/>
        </w:rPr>
      </w:pPr>
    </w:p>
    <w:p>
      <w:pPr>
        <w:spacing w:line="360" w:lineRule="auto"/>
        <w:jc w:val="center"/>
        <w:outlineLvl w:val="0"/>
        <w:rPr>
          <w:rFonts w:ascii="宋体" w:hAnsi="宋体" w:cs="宋体"/>
          <w:b/>
          <w:color w:val="auto"/>
          <w:sz w:val="36"/>
          <w:szCs w:val="20"/>
          <w:highlight w:val="none"/>
        </w:rPr>
      </w:pPr>
      <w:r>
        <w:rPr>
          <w:rFonts w:hint="eastAsia" w:ascii="宋体" w:hAnsi="宋体" w:cs="宋体"/>
          <w:color w:val="auto"/>
          <w:kern w:val="0"/>
          <w:szCs w:val="21"/>
          <w:highlight w:val="none"/>
        </w:rPr>
        <w:br w:type="page"/>
      </w:r>
      <w:bookmarkStart w:id="570" w:name="_Toc20677"/>
      <w:r>
        <w:rPr>
          <w:rStyle w:val="282"/>
          <w:rFonts w:hint="eastAsia"/>
          <w:color w:val="auto"/>
          <w:highlight w:val="none"/>
        </w:rPr>
        <w:t>第六部分</w:t>
      </w:r>
      <w:bookmarkEnd w:id="418"/>
      <w:r>
        <w:rPr>
          <w:rStyle w:val="282"/>
          <w:rFonts w:hint="eastAsia"/>
          <w:color w:val="auto"/>
          <w:highlight w:val="none"/>
        </w:rPr>
        <w:t xml:space="preserve"> </w:t>
      </w:r>
      <w:bookmarkEnd w:id="419"/>
      <w:r>
        <w:rPr>
          <w:rStyle w:val="282"/>
          <w:rFonts w:hint="eastAsia"/>
          <w:color w:val="auto"/>
          <w:highlight w:val="none"/>
        </w:rPr>
        <w:t>应提交的有关格式范例</w:t>
      </w:r>
      <w:bookmarkEnd w:id="570"/>
    </w:p>
    <w:p>
      <w:pPr>
        <w:spacing w:line="360" w:lineRule="auto"/>
        <w:jc w:val="center"/>
        <w:rPr>
          <w:rFonts w:ascii="宋体" w:hAnsi="宋体" w:cs="宋体"/>
          <w:b/>
          <w:color w:val="auto"/>
          <w:kern w:val="0"/>
          <w:sz w:val="36"/>
          <w:szCs w:val="36"/>
          <w:highlight w:val="none"/>
        </w:rPr>
      </w:pPr>
    </w:p>
    <w:p>
      <w:pPr>
        <w:pStyle w:val="2"/>
        <w:ind w:firstLine="0" w:firstLineChars="0"/>
        <w:jc w:val="center"/>
        <w:rPr>
          <w:color w:val="auto"/>
          <w:highlight w:val="none"/>
        </w:rPr>
      </w:pPr>
      <w:r>
        <w:rPr>
          <w:rFonts w:hint="eastAsia"/>
          <w:color w:val="auto"/>
          <w:highlight w:val="none"/>
        </w:rPr>
        <w:t>资格文件部分目录</w:t>
      </w:r>
    </w:p>
    <w:p>
      <w:pPr>
        <w:spacing w:line="360" w:lineRule="auto"/>
        <w:jc w:val="center"/>
        <w:rPr>
          <w:rFonts w:ascii="宋体" w:hAnsi="宋体" w:cs="宋体"/>
          <w:b/>
          <w:color w:val="auto"/>
          <w:kern w:val="0"/>
          <w:sz w:val="36"/>
          <w:szCs w:val="36"/>
          <w:highlight w:val="none"/>
        </w:rPr>
      </w:pPr>
    </w:p>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（1）符合参加政府采购活动应当具备的一般条件的承诺函……………（页码）</w:t>
      </w:r>
    </w:p>
    <w:p>
      <w:pPr>
        <w:snapToGrid w:val="0"/>
        <w:spacing w:line="360" w:lineRule="auto"/>
        <w:jc w:val="center"/>
        <w:rPr>
          <w:rFonts w:ascii="宋体" w:hAnsi="宋体" w:cs="宋体"/>
          <w:color w:val="auto"/>
          <w:szCs w:val="21"/>
          <w:highlight w:val="none"/>
        </w:rPr>
      </w:pPr>
      <w:r>
        <w:rPr>
          <w:rFonts w:hint="eastAsia" w:ascii="宋体" w:hAnsi="宋体" w:cs="宋体"/>
          <w:snapToGrid w:val="0"/>
          <w:color w:val="auto"/>
          <w:kern w:val="28"/>
          <w:szCs w:val="21"/>
          <w:highlight w:val="none"/>
        </w:rPr>
        <w:t>（2）联合协议</w:t>
      </w:r>
      <w:r>
        <w:rPr>
          <w:rFonts w:hint="eastAsia" w:ascii="宋体" w:hAnsi="宋体" w:cs="宋体"/>
          <w:color w:val="auto"/>
          <w:szCs w:val="21"/>
          <w:highlight w:val="none"/>
        </w:rPr>
        <w:t>………………………………………………………………（页码）</w:t>
      </w:r>
    </w:p>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）落实政府采购政策需满足的资格要求………………………………（页码）</w:t>
      </w:r>
    </w:p>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24"/>
          <w:highlight w:val="none"/>
        </w:rPr>
        <w:t xml:space="preserve"> </w:t>
      </w:r>
      <w:r>
        <w:rPr>
          <w:rFonts w:hint="eastAsia" w:ascii="宋体" w:hAnsi="宋体" w:cs="宋体"/>
          <w:b/>
          <w:color w:val="auto"/>
          <w:kern w:val="0"/>
          <w:sz w:val="28"/>
          <w:szCs w:val="28"/>
          <w:highlight w:val="none"/>
        </w:rPr>
        <w:t xml:space="preserve"> 一、 符合参加政府采购活动应当具备的一般条件的承诺函</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杭州市生态环境局钱塘分局 、浙江省成套招标代理有限公司：</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我方参与2024年钱塘区宁静工地建设项目【招标编号：</w:t>
      </w:r>
      <w:r>
        <w:rPr>
          <w:rFonts w:hint="eastAsia" w:ascii="宋体" w:hAnsi="宋体" w:cs="宋体"/>
          <w:color w:val="auto"/>
          <w:szCs w:val="21"/>
          <w:highlight w:val="none"/>
          <w:lang w:eastAsia="zh-CN"/>
        </w:rPr>
        <w:t>QTCG-GK-2024-214</w:t>
      </w:r>
      <w:r>
        <w:rPr>
          <w:rFonts w:hint="eastAsia" w:ascii="宋体" w:hAnsi="宋体" w:cs="宋体"/>
          <w:color w:val="auto"/>
          <w:szCs w:val="21"/>
          <w:highlight w:val="none"/>
        </w:rPr>
        <w:t>】政府采购活动，郑重承诺：</w:t>
      </w:r>
    </w:p>
    <w:p>
      <w:pPr>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pPr>
        <w:snapToGrid w:val="0"/>
        <w:spacing w:line="360" w:lineRule="auto"/>
        <w:ind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pPr>
        <w:snapToGrid w:val="0"/>
        <w:spacing w:line="360" w:lineRule="auto"/>
        <w:ind w:right="480"/>
        <w:jc w:val="center"/>
        <w:rPr>
          <w:rFonts w:ascii="宋体" w:hAnsi="宋体" w:cs="宋体"/>
          <w:b/>
          <w:color w:val="auto"/>
          <w:kern w:val="0"/>
          <w:szCs w:val="21"/>
          <w:highlight w:val="none"/>
        </w:rPr>
      </w:pPr>
    </w:p>
    <w:p>
      <w:pPr>
        <w:snapToGrid w:val="0"/>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rPr>
        <w:t>注：</w:t>
      </w:r>
      <w:r>
        <w:rPr>
          <w:rFonts w:hint="eastAsia" w:ascii="宋体" w:hAnsi="宋体" w:cs="宋体"/>
          <w:color w:val="auto"/>
          <w:szCs w:val="21"/>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r>
        <w:rPr>
          <w:rFonts w:hint="eastAsia" w:ascii="宋体" w:hAnsi="宋体" w:cs="宋体"/>
          <w:b/>
          <w:bCs/>
          <w:color w:val="auto"/>
          <w:szCs w:val="21"/>
          <w:highlight w:val="none"/>
          <w:u w:val="single"/>
        </w:rPr>
        <w:t>相关总机构授权或房产权证或其他有效财产证明材料附后。</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right="48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二、联合协议（如果有）</w:t>
      </w:r>
    </w:p>
    <w:p>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三、落实政府采购政策需满足的资格要求</w:t>
      </w:r>
    </w:p>
    <w:p>
      <w:pPr>
        <w:widowControl/>
        <w:spacing w:line="360" w:lineRule="auto"/>
        <w:ind w:firstLine="422" w:firstLineChars="200"/>
        <w:jc w:val="left"/>
        <w:rPr>
          <w:rFonts w:ascii="宋体" w:hAnsi="宋体" w:cs="宋体"/>
          <w:b/>
          <w:color w:val="auto"/>
          <w:szCs w:val="21"/>
          <w:highlight w:val="none"/>
        </w:rPr>
      </w:pPr>
    </w:p>
    <w:p>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专门面向中小企业，货物全部由符合政策要求的中小企业（或小微企业）制造的，提供相应的中小企业声明函（附件</w:t>
      </w:r>
      <w:r>
        <w:rPr>
          <w:rFonts w:ascii="宋体" w:hAnsi="宋体" w:cs="宋体"/>
          <w:b/>
          <w:color w:val="auto"/>
          <w:szCs w:val="21"/>
          <w:highlight w:val="none"/>
        </w:rPr>
        <w:t>7</w:t>
      </w:r>
      <w:r>
        <w:rPr>
          <w:rFonts w:hint="eastAsia" w:ascii="宋体" w:hAnsi="宋体" w:cs="宋体"/>
          <w:b/>
          <w:color w:val="auto"/>
          <w:szCs w:val="21"/>
          <w:highlight w:val="none"/>
        </w:rPr>
        <w:t>）</w:t>
      </w:r>
    </w:p>
    <w:p>
      <w:pPr>
        <w:snapToGrid w:val="0"/>
        <w:spacing w:line="360" w:lineRule="auto"/>
        <w:ind w:right="480"/>
        <w:jc w:val="center"/>
        <w:rPr>
          <w:rFonts w:ascii="宋体" w:hAnsi="宋体" w:cs="宋体"/>
          <w:b/>
          <w:color w:val="auto"/>
          <w:kern w:val="0"/>
          <w:sz w:val="28"/>
          <w:szCs w:val="28"/>
          <w:highlight w:val="none"/>
        </w:rPr>
      </w:pPr>
    </w:p>
    <w:p>
      <w:pPr>
        <w:snapToGrid w:val="0"/>
        <w:spacing w:line="360" w:lineRule="auto"/>
        <w:ind w:right="48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四、本项目的特定资格要求</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pPr>
        <w:rPr>
          <w:rFonts w:ascii="宋体" w:hAnsi="宋体" w:cs="宋体"/>
          <w:color w:val="auto"/>
          <w:szCs w:val="21"/>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pStyle w:val="2"/>
        <w:jc w:val="center"/>
        <w:rPr>
          <w:color w:val="auto"/>
          <w:highlight w:val="none"/>
        </w:rPr>
      </w:pPr>
      <w:r>
        <w:rPr>
          <w:rFonts w:hint="eastAsia"/>
          <w:color w:val="auto"/>
          <w:highlight w:val="none"/>
        </w:rPr>
        <w:t>商务技术文件部分目录</w:t>
      </w:r>
    </w:p>
    <w:p>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（1）投标函…………………………………………………………………………………（页码）（2）授权委托书或法定代表人（单位负责人、自然人本人）身份证明………………（页码）</w:t>
      </w:r>
    </w:p>
    <w:p>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）分包意向协议…………………………………………………………………………（页码）</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）符合性审查资料…………………………………………………………………………（页码）</w:t>
      </w:r>
    </w:p>
    <w:p>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）评标标准相应的商务技术资料………………………………………………………（页码）    （</w:t>
      </w:r>
      <w:r>
        <w:rPr>
          <w:rFonts w:ascii="宋体" w:hAnsi="宋体" w:cs="宋体"/>
          <w:color w:val="auto"/>
          <w:szCs w:val="21"/>
          <w:highlight w:val="none"/>
        </w:rPr>
        <w:t>6</w:t>
      </w:r>
      <w:r>
        <w:rPr>
          <w:rFonts w:hint="eastAsia" w:ascii="宋体" w:hAnsi="宋体" w:cs="宋体"/>
          <w:color w:val="auto"/>
          <w:szCs w:val="21"/>
          <w:highlight w:val="none"/>
        </w:rPr>
        <w:t>）投标标的清单………………………………………………………………………（页码）      （</w:t>
      </w:r>
      <w:r>
        <w:rPr>
          <w:rFonts w:ascii="宋体" w:hAnsi="宋体" w:cs="宋体"/>
          <w:color w:val="auto"/>
          <w:szCs w:val="21"/>
          <w:highlight w:val="none"/>
        </w:rPr>
        <w:t>7</w:t>
      </w:r>
      <w:r>
        <w:rPr>
          <w:rFonts w:hint="eastAsia" w:ascii="宋体" w:hAnsi="宋体" w:cs="宋体"/>
          <w:color w:val="auto"/>
          <w:szCs w:val="21"/>
          <w:highlight w:val="none"/>
        </w:rPr>
        <w:t>）商务技术偏离表…………………………………………………………………………（页码）</w:t>
      </w:r>
    </w:p>
    <w:p>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………………………………………………………（页码）</w:t>
      </w:r>
    </w:p>
    <w:p>
      <w:pPr>
        <w:snapToGrid w:val="0"/>
        <w:spacing w:line="360" w:lineRule="auto"/>
        <w:jc w:val="center"/>
        <w:rPr>
          <w:rFonts w:ascii="宋体" w:hAnsi="宋体" w:cs="宋体"/>
          <w:b/>
          <w:color w:val="auto"/>
          <w:kern w:val="0"/>
          <w:szCs w:val="21"/>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jc w:val="center"/>
        <w:rPr>
          <w:rFonts w:ascii="宋体" w:hAnsi="宋体" w:cs="宋体"/>
          <w:b/>
          <w:color w:val="auto"/>
          <w:kern w:val="0"/>
          <w:sz w:val="32"/>
          <w:szCs w:val="32"/>
          <w:highlight w:val="none"/>
        </w:rPr>
      </w:pPr>
    </w:p>
    <w:p>
      <w:pPr>
        <w:rPr>
          <w:rFonts w:ascii="宋体" w:hAnsi="宋体" w:cs="宋体"/>
          <w:color w:val="auto"/>
          <w:highlight w:val="none"/>
        </w:rPr>
      </w:pPr>
    </w:p>
    <w:p>
      <w:pPr>
        <w:jc w:val="left"/>
        <w:rPr>
          <w:color w:val="auto"/>
          <w:highlight w:val="none"/>
        </w:rPr>
      </w:pPr>
    </w:p>
    <w:p>
      <w:pPr>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widowControl/>
        <w:adjustRightInd/>
        <w:jc w:val="left"/>
        <w:rPr>
          <w:color w:val="auto"/>
          <w:highlight w:val="none"/>
        </w:rPr>
      </w:pPr>
      <w:r>
        <w:rPr>
          <w:color w:val="auto"/>
          <w:highlight w:val="none"/>
        </w:rPr>
        <w:br w:type="page"/>
      </w:r>
    </w:p>
    <w:p>
      <w:pPr>
        <w:snapToGrid w:val="0"/>
        <w:spacing w:line="360" w:lineRule="auto"/>
        <w:ind w:right="48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一、投标函</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杭州市生态环境局钱塘分局 、浙江省成套招标代理有限公司：</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我方参加你方组织的2024年钱塘区宁静工地建设项目【招标编号：</w:t>
      </w:r>
      <w:r>
        <w:rPr>
          <w:rFonts w:hint="eastAsia" w:ascii="宋体" w:hAnsi="宋体" w:cs="宋体"/>
          <w:color w:val="auto"/>
          <w:szCs w:val="21"/>
          <w:highlight w:val="none"/>
          <w:lang w:eastAsia="zh-CN"/>
        </w:rPr>
        <w:t>QTCG-GK-2024-214</w:t>
      </w:r>
      <w:r>
        <w:rPr>
          <w:rFonts w:hint="eastAsia" w:ascii="宋体" w:hAnsi="宋体" w:cs="宋体"/>
          <w:color w:val="auto"/>
          <w:szCs w:val="21"/>
          <w:highlight w:val="none"/>
        </w:rPr>
        <w:t>】招标的有关活动，并对此项目进行投标。为此：</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2.1资格文件：</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2.1.1承诺函；</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2.1.2</w:t>
      </w:r>
      <w:r>
        <w:rPr>
          <w:rFonts w:hint="eastAsia" w:ascii="宋体" w:hAnsi="宋体" w:cs="宋体"/>
          <w:snapToGrid w:val="0"/>
          <w:color w:val="auto"/>
          <w:kern w:val="28"/>
          <w:szCs w:val="21"/>
          <w:highlight w:val="none"/>
        </w:rPr>
        <w:t>联合协议（如果有)；</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.1.3</w:t>
      </w:r>
      <w:r>
        <w:rPr>
          <w:rFonts w:hint="eastAsia" w:ascii="宋体" w:hAnsi="宋体" w:cs="宋体"/>
          <w:color w:val="auto"/>
          <w:szCs w:val="21"/>
          <w:highlight w:val="none"/>
        </w:rPr>
        <w:t>落实政府采购政策需满足的资格要求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4</w:t>
      </w:r>
      <w:r>
        <w:rPr>
          <w:rFonts w:hint="eastAsia" w:ascii="宋体" w:hAnsi="宋体" w:cs="宋体"/>
          <w:color w:val="auto"/>
          <w:szCs w:val="21"/>
          <w:highlight w:val="none"/>
        </w:rPr>
        <w:t>本项目的特定资格要求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pPr>
        <w:snapToGrid w:val="0"/>
        <w:spacing w:line="360" w:lineRule="auto"/>
        <w:ind w:left="210" w:leftChars="1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2.2.1投标函；</w:t>
      </w:r>
      <w:r>
        <w:rPr>
          <w:rFonts w:hint="eastAsia" w:ascii="宋体" w:hAnsi="宋体" w:cs="宋体"/>
          <w:color w:val="auto"/>
          <w:szCs w:val="21"/>
          <w:highlight w:val="none"/>
          <w:lang w:val="zh-CN"/>
        </w:rPr>
        <w:t xml:space="preserve"> </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分包意向协议</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4</w:t>
      </w:r>
      <w:r>
        <w:rPr>
          <w:rFonts w:hint="eastAsia" w:ascii="宋体" w:hAnsi="宋体" w:cs="宋体"/>
          <w:color w:val="auto"/>
          <w:szCs w:val="21"/>
          <w:highlight w:val="none"/>
        </w:rPr>
        <w:t>符合性审查资料；</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6</w:t>
      </w:r>
      <w:r>
        <w:rPr>
          <w:rFonts w:hint="eastAsia" w:ascii="宋体" w:hAnsi="宋体" w:cs="宋体"/>
          <w:color w:val="auto"/>
          <w:szCs w:val="21"/>
          <w:highlight w:val="none"/>
        </w:rPr>
        <w:t>投标标的清单；</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7</w:t>
      </w:r>
      <w:r>
        <w:rPr>
          <w:rFonts w:hint="eastAsia" w:ascii="宋体" w:hAnsi="宋体" w:cs="宋体"/>
          <w:color w:val="auto"/>
          <w:szCs w:val="21"/>
          <w:highlight w:val="none"/>
        </w:rPr>
        <w:t>商务技术偏离表；</w:t>
      </w:r>
    </w:p>
    <w:p>
      <w:pPr>
        <w:snapToGrid w:val="0"/>
        <w:spacing w:line="360" w:lineRule="auto"/>
        <w:ind w:left="420" w:leftChars="2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2.3.1开标一览表（报价表）；</w:t>
      </w:r>
    </w:p>
    <w:p>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2.3.2中小企业声明函（如果有）。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 xml:space="preserve">投标人名称（电子签名）：                          </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snapToGrid w:val="0"/>
        <w:spacing w:line="360" w:lineRule="auto"/>
        <w:ind w:right="48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513" w:firstLineChars="894"/>
        <w:rPr>
          <w:rFonts w:ascii="宋体" w:hAnsi="宋体" w:cs="宋体"/>
          <w:color w:val="auto"/>
          <w:highlight w:val="none"/>
        </w:rPr>
      </w:pPr>
      <w:r>
        <w:rPr>
          <w:rFonts w:hint="eastAsia" w:ascii="宋体" w:hAnsi="宋体" w:cs="宋体"/>
          <w:b/>
          <w:color w:val="auto"/>
          <w:kern w:val="0"/>
          <w:sz w:val="28"/>
          <w:szCs w:val="28"/>
          <w:highlight w:val="none"/>
          <w:lang w:val="zh-CN"/>
        </w:rPr>
        <w:t xml:space="preserve">授权委托书（适用于非联合体投标） </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杭州市生态环境局钱塘分局 、浙江省成套招标代理有限公司</w:t>
      </w:r>
      <w:r>
        <w:rPr>
          <w:rFonts w:hint="eastAsia" w:ascii="宋体" w:hAnsi="宋体" w:cs="宋体"/>
          <w:color w:val="auto"/>
          <w:kern w:val="0"/>
          <w:szCs w:val="21"/>
          <w:highlight w:val="none"/>
          <w:lang w:val="zh-CN"/>
        </w:rPr>
        <w:t>：</w:t>
      </w:r>
    </w:p>
    <w:p>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rPr>
        <w:t>2024年钱塘区宁静工地建设项目【招标编号：</w:t>
      </w:r>
      <w:r>
        <w:rPr>
          <w:rFonts w:hint="eastAsia" w:ascii="宋体" w:hAnsi="宋体" w:cs="宋体"/>
          <w:color w:val="auto"/>
          <w:szCs w:val="21"/>
          <w:highlight w:val="none"/>
          <w:lang w:eastAsia="zh-CN"/>
        </w:rPr>
        <w:t>QTCG-GK-2024-214</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投标人名称(电子签名)：</w:t>
      </w:r>
    </w:p>
    <w:p>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签发日期：  年  月   日</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28"/>
          <w:szCs w:val="28"/>
          <w:highlight w:val="none"/>
          <w:lang w:val="zh-CN"/>
        </w:rPr>
        <w:t>授权委托书（适用于联合体投标）</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杭州市生态环境局钱塘分局 、浙江省成套招标代理有限公司</w:t>
      </w:r>
      <w:r>
        <w:rPr>
          <w:rFonts w:hint="eastAsia" w:ascii="宋体" w:hAnsi="宋体" w:cs="宋体"/>
          <w:color w:val="auto"/>
          <w:kern w:val="0"/>
          <w:szCs w:val="21"/>
          <w:highlight w:val="none"/>
          <w:lang w:val="zh-CN"/>
        </w:rPr>
        <w:t>：</w:t>
      </w:r>
    </w:p>
    <w:p>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rPr>
        <w:t>2024年钱塘区宁静工地建设项目【招标编号：</w:t>
      </w:r>
      <w:r>
        <w:rPr>
          <w:rFonts w:hint="eastAsia" w:ascii="宋体" w:hAnsi="宋体" w:cs="宋体"/>
          <w:color w:val="auto"/>
          <w:szCs w:val="21"/>
          <w:highlight w:val="none"/>
          <w:lang w:eastAsia="zh-CN"/>
        </w:rPr>
        <w:t>QTCG-GK-2024-214</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szCs w:val="21"/>
          <w:highlight w:val="none"/>
        </w:rPr>
      </w:pPr>
    </w:p>
    <w:p>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Cs w:val="21"/>
          <w:highlight w:val="none"/>
          <w:lang w:val="zh-CN"/>
        </w:rPr>
        <w:t>……</w:t>
      </w:r>
    </w:p>
    <w:p>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pPr>
        <w:jc w:val="center"/>
        <w:rPr>
          <w:rFonts w:ascii="宋体" w:hAnsi="宋体" w:cs="宋体"/>
          <w:b/>
          <w:color w:val="auto"/>
          <w:kern w:val="0"/>
          <w:sz w:val="28"/>
          <w:szCs w:val="28"/>
          <w:highlight w:val="none"/>
          <w:lang w:val="zh-CN"/>
        </w:rPr>
      </w:pPr>
    </w:p>
    <w:p>
      <w:pPr>
        <w:jc w:val="center"/>
        <w:rPr>
          <w:rFonts w:ascii="宋体" w:hAnsi="宋体" w:cs="宋体"/>
          <w:b/>
          <w:color w:val="auto"/>
          <w:kern w:val="0"/>
          <w:sz w:val="28"/>
          <w:szCs w:val="28"/>
          <w:highlight w:val="none"/>
          <w:lang w:val="zh-CN"/>
        </w:rPr>
      </w:pPr>
    </w:p>
    <w:p>
      <w:pP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br w:type="page"/>
      </w:r>
    </w:p>
    <w:p>
      <w:pPr>
        <w:spacing w:line="360" w:lineRule="auto"/>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法定代表人、单位负责人或自然人本人的身份证明（适用于法定代表人、单位负责人或者自然人本人代表投标人参加投标）</w:t>
      </w:r>
    </w:p>
    <w:p>
      <w:pPr>
        <w:pStyle w:val="148"/>
        <w:spacing w:line="360" w:lineRule="auto"/>
        <w:rPr>
          <w:rFonts w:hAnsi="宋体" w:cs="宋体"/>
          <w:bCs/>
          <w:color w:val="auto"/>
          <w:highlight w:val="none"/>
        </w:rPr>
      </w:pPr>
      <w:r>
        <w:rPr>
          <w:rFonts w:hint="eastAsia" w:hAnsi="宋体" w:cs="宋体"/>
          <w:bCs/>
          <w:color w:val="auto"/>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highlight w:val="none"/>
              </w:rPr>
            </w:pPr>
            <w:r>
              <w:rPr>
                <w:rFonts w:hint="eastAsia" w:hAnsi="宋体" w:cs="宋体"/>
                <w:bCs/>
                <w:color w:val="auto"/>
                <w:highlight w:val="none"/>
              </w:rPr>
              <w:t>正面：                                 反面：</w:t>
            </w:r>
          </w:p>
          <w:p>
            <w:pPr>
              <w:pStyle w:val="148"/>
              <w:adjustRightInd w:val="0"/>
              <w:spacing w:line="360" w:lineRule="auto"/>
              <w:rPr>
                <w:rFonts w:hAnsi="宋体" w:cs="宋体"/>
                <w:bCs/>
                <w:color w:val="auto"/>
                <w:highlight w:val="none"/>
              </w:rPr>
            </w:pPr>
          </w:p>
        </w:tc>
      </w:tr>
    </w:tbl>
    <w:p>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投标人名称(电子签名)：                              </w:t>
      </w:r>
    </w:p>
    <w:p>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pPr>
        <w:jc w:val="center"/>
        <w:rPr>
          <w:rFonts w:ascii="宋体" w:hAnsi="宋体" w:cs="宋体"/>
          <w:b/>
          <w:color w:val="auto"/>
          <w:kern w:val="0"/>
          <w:szCs w:val="21"/>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三、分包意向协议（</w:t>
      </w:r>
      <w:r>
        <w:rPr>
          <w:rFonts w:hint="eastAsia" w:ascii="宋体" w:hAnsi="宋体" w:cs="宋体"/>
          <w:b/>
          <w:color w:val="auto"/>
          <w:kern w:val="0"/>
          <w:sz w:val="28"/>
          <w:szCs w:val="28"/>
          <w:highlight w:val="none"/>
        </w:rPr>
        <w:t>如果有</w:t>
      </w:r>
      <w:r>
        <w:rPr>
          <w:rFonts w:hint="eastAsia" w:ascii="宋体" w:hAnsi="宋体" w:cs="宋体"/>
          <w:b/>
          <w:color w:val="auto"/>
          <w:kern w:val="0"/>
          <w:sz w:val="28"/>
          <w:szCs w:val="28"/>
          <w:highlight w:val="none"/>
          <w:lang w:val="zh-CN"/>
        </w:rPr>
        <w:t>）</w:t>
      </w:r>
    </w:p>
    <w:p>
      <w:pPr>
        <w:widowControl/>
        <w:spacing w:line="360" w:lineRule="auto"/>
        <w:ind w:firstLine="120" w:firstLineChars="50"/>
        <w:jc w:val="left"/>
        <w:rPr>
          <w:rFonts w:ascii="宋体" w:hAnsi="宋体" w:cs="宋体"/>
          <w:color w:val="auto"/>
          <w:sz w:val="24"/>
          <w:highlight w:val="none"/>
        </w:rPr>
      </w:pPr>
      <w:bookmarkStart w:id="571" w:name="_Hlk101169080"/>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71"/>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tabs>
          <w:tab w:val="left" w:pos="432"/>
        </w:tabs>
        <w:rPr>
          <w:color w:val="auto"/>
          <w:highlight w:val="none"/>
        </w:rPr>
      </w:pPr>
    </w:p>
    <w:p>
      <w:pPr>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24"/>
        <w:gridCol w:w="2775"/>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124" w:type="dxa"/>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实质性要求</w:t>
            </w:r>
          </w:p>
        </w:tc>
        <w:tc>
          <w:tcPr>
            <w:tcW w:w="2775" w:type="dxa"/>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2061" w:type="dxa"/>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投标文件中的</w:t>
            </w:r>
          </w:p>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124"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27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2061" w:type="dxa"/>
          </w:tcPr>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见投标文件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124"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2775"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投标函</w:t>
            </w:r>
          </w:p>
        </w:tc>
        <w:tc>
          <w:tcPr>
            <w:tcW w:w="2061"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pPr>
        <w:spacing w:line="360" w:lineRule="auto"/>
        <w:ind w:right="420"/>
        <w:rPr>
          <w:rFonts w:ascii="宋体" w:hAnsi="宋体" w:cs="宋体"/>
          <w:color w:val="auto"/>
          <w:szCs w:val="21"/>
          <w:highlight w:val="none"/>
        </w:rPr>
      </w:pPr>
    </w:p>
    <w:p>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注：1.按本格式和要求提供。</w:t>
      </w:r>
    </w:p>
    <w:p>
      <w:pPr>
        <w:spacing w:line="360" w:lineRule="auto"/>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五、评标标准相应的商务技术资料</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763"/>
        <w:gridCol w:w="2354"/>
        <w:gridCol w:w="1032"/>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品牌（如果有）</w:t>
            </w:r>
          </w:p>
        </w:tc>
        <w:tc>
          <w:tcPr>
            <w:tcW w:w="2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规格型号</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23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23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23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bl>
    <w:p>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numPr>
          <w:ilvl w:val="0"/>
          <w:numId w:val="4"/>
        </w:numPr>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商务技术偏离表</w:t>
      </w:r>
    </w:p>
    <w:p>
      <w:pPr>
        <w:rPr>
          <w:rFonts w:ascii="宋体" w:hAnsi="宋体" w:cs="宋体"/>
          <w:b/>
          <w:color w:val="auto"/>
          <w:kern w:val="0"/>
          <w:sz w:val="28"/>
          <w:szCs w:val="28"/>
          <w:highlight w:val="none"/>
          <w:lang w:val="zh-CN"/>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83" w:type="dxa"/>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招标文件章节及具体内容</w:t>
            </w:r>
          </w:p>
        </w:tc>
        <w:tc>
          <w:tcPr>
            <w:tcW w:w="3546" w:type="dxa"/>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投标文件章节及具体内容</w:t>
            </w:r>
          </w:p>
        </w:tc>
        <w:tc>
          <w:tcPr>
            <w:tcW w:w="1276" w:type="dxa"/>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83" w:type="dxa"/>
          </w:tcPr>
          <w:p>
            <w:pPr>
              <w:spacing w:line="360" w:lineRule="auto"/>
              <w:jc w:val="center"/>
              <w:rPr>
                <w:rFonts w:ascii="宋体" w:hAnsi="宋体" w:cs="宋体"/>
                <w:b/>
                <w:color w:val="auto"/>
                <w:kern w:val="0"/>
                <w:szCs w:val="21"/>
                <w:highlight w:val="none"/>
              </w:rPr>
            </w:pPr>
          </w:p>
        </w:tc>
        <w:tc>
          <w:tcPr>
            <w:tcW w:w="3546" w:type="dxa"/>
          </w:tcPr>
          <w:p>
            <w:pPr>
              <w:spacing w:line="360" w:lineRule="auto"/>
              <w:jc w:val="center"/>
              <w:rPr>
                <w:rFonts w:ascii="宋体" w:hAnsi="宋体" w:cs="宋体"/>
                <w:b/>
                <w:color w:val="auto"/>
                <w:kern w:val="0"/>
                <w:szCs w:val="21"/>
                <w:highlight w:val="none"/>
              </w:rPr>
            </w:pPr>
          </w:p>
        </w:tc>
        <w:tc>
          <w:tcPr>
            <w:tcW w:w="1276" w:type="dxa"/>
          </w:tcPr>
          <w:p>
            <w:pPr>
              <w:spacing w:line="360" w:lineRule="auto"/>
              <w:jc w:val="center"/>
              <w:rPr>
                <w:rFonts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83" w:type="dxa"/>
          </w:tcPr>
          <w:p>
            <w:pPr>
              <w:spacing w:line="360" w:lineRule="auto"/>
              <w:jc w:val="center"/>
              <w:rPr>
                <w:rFonts w:ascii="宋体" w:hAnsi="宋体" w:cs="宋体"/>
                <w:b/>
                <w:color w:val="auto"/>
                <w:kern w:val="0"/>
                <w:szCs w:val="21"/>
                <w:highlight w:val="none"/>
              </w:rPr>
            </w:pPr>
          </w:p>
        </w:tc>
        <w:tc>
          <w:tcPr>
            <w:tcW w:w="3546" w:type="dxa"/>
          </w:tcPr>
          <w:p>
            <w:pPr>
              <w:spacing w:line="360" w:lineRule="auto"/>
              <w:jc w:val="center"/>
              <w:rPr>
                <w:rFonts w:ascii="宋体" w:hAnsi="宋体" w:cs="宋体"/>
                <w:b/>
                <w:color w:val="auto"/>
                <w:kern w:val="0"/>
                <w:szCs w:val="21"/>
                <w:highlight w:val="none"/>
              </w:rPr>
            </w:pPr>
          </w:p>
        </w:tc>
        <w:tc>
          <w:tcPr>
            <w:tcW w:w="1276" w:type="dxa"/>
          </w:tcPr>
          <w:p>
            <w:pPr>
              <w:spacing w:line="360" w:lineRule="auto"/>
              <w:jc w:val="center"/>
              <w:rPr>
                <w:rFonts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83" w:type="dxa"/>
          </w:tcPr>
          <w:p>
            <w:pPr>
              <w:spacing w:line="360" w:lineRule="auto"/>
              <w:jc w:val="center"/>
              <w:rPr>
                <w:rFonts w:ascii="宋体" w:hAnsi="宋体" w:cs="宋体"/>
                <w:b/>
                <w:color w:val="auto"/>
                <w:kern w:val="0"/>
                <w:szCs w:val="21"/>
                <w:highlight w:val="none"/>
              </w:rPr>
            </w:pPr>
          </w:p>
        </w:tc>
        <w:tc>
          <w:tcPr>
            <w:tcW w:w="3546" w:type="dxa"/>
          </w:tcPr>
          <w:p>
            <w:pPr>
              <w:spacing w:line="360" w:lineRule="auto"/>
              <w:jc w:val="center"/>
              <w:rPr>
                <w:rFonts w:ascii="宋体" w:hAnsi="宋体" w:cs="宋体"/>
                <w:b/>
                <w:color w:val="auto"/>
                <w:kern w:val="0"/>
                <w:szCs w:val="21"/>
                <w:highlight w:val="none"/>
              </w:rPr>
            </w:pPr>
          </w:p>
        </w:tc>
        <w:tc>
          <w:tcPr>
            <w:tcW w:w="1276" w:type="dxa"/>
          </w:tcPr>
          <w:p>
            <w:pPr>
              <w:spacing w:line="360" w:lineRule="auto"/>
              <w:jc w:val="center"/>
              <w:rPr>
                <w:rFonts w:ascii="宋体" w:hAnsi="宋体" w:cs="宋体"/>
                <w:b/>
                <w:color w:val="auto"/>
                <w:kern w:val="0"/>
                <w:szCs w:val="21"/>
                <w:highlight w:val="none"/>
              </w:rPr>
            </w:pPr>
          </w:p>
        </w:tc>
      </w:tr>
    </w:tbl>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投标人保证：除商务技术偏离表列出的偏离外，投标人响应招标文件的全部要求</w:t>
      </w:r>
    </w:p>
    <w:p>
      <w:pPr>
        <w:spacing w:line="360" w:lineRule="auto"/>
        <w:jc w:val="center"/>
        <w:rPr>
          <w:rFonts w:ascii="宋体" w:hAnsi="宋体" w:cs="宋体"/>
          <w:b/>
          <w:color w:val="auto"/>
          <w:kern w:val="0"/>
          <w:szCs w:val="21"/>
          <w:highlight w:val="none"/>
        </w:rPr>
      </w:pPr>
    </w:p>
    <w:p>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注：1.按本格式和要求提供。</w:t>
      </w:r>
    </w:p>
    <w:p>
      <w:pPr>
        <w:spacing w:line="360" w:lineRule="auto"/>
        <w:ind w:right="420"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2.所有带★的内容的是采购人提出的关键条款，投标人需按招标文件要求提供相应佐证材料，若未提供视为负偏离。</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八、政府采购供应商廉洁自律承诺书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杭州市生态环境局钱塘分局 、浙江省成套招标代理有限公司</w:t>
      </w:r>
      <w:r>
        <w:rPr>
          <w:rFonts w:hint="eastAsia" w:ascii="宋体" w:hAnsi="宋体" w:cs="宋体"/>
          <w:color w:val="auto"/>
          <w:kern w:val="0"/>
          <w:szCs w:val="21"/>
          <w:highlight w:val="none"/>
          <w:lang w:val="zh-CN"/>
        </w:rPr>
        <w:t>：</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好处；</w:t>
      </w:r>
    </w:p>
    <w:p>
      <w:pPr>
        <w:autoSpaceDE w:val="0"/>
        <w:autoSpaceDN w:val="0"/>
        <w:spacing w:line="360" w:lineRule="auto"/>
        <w:ind w:left="481" w:leftChars="229"/>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w:t>
      </w:r>
    </w:p>
    <w:p>
      <w:pPr>
        <w:autoSpaceDE w:val="0"/>
        <w:autoSpaceDN w:val="0"/>
        <w:spacing w:line="360" w:lineRule="auto"/>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法》</w:t>
      </w:r>
      <w:r>
        <w:rPr>
          <w:rFonts w:hint="eastAsia" w:ascii="宋体" w:hAnsi="宋体" w:cs="宋体"/>
          <w:color w:val="auto"/>
          <w:szCs w:val="21"/>
          <w:highlight w:val="none"/>
          <w:lang w:val="zh-CN"/>
        </w:rPr>
        <w:t>《中华人民共和国民法典》</w:t>
      </w:r>
      <w:r>
        <w:rPr>
          <w:rFonts w:hint="eastAsia" w:ascii="宋体" w:hAnsi="宋体" w:cs="宋体"/>
          <w:color w:val="auto"/>
          <w:kern w:val="0"/>
          <w:szCs w:val="21"/>
          <w:highlight w:val="none"/>
          <w:lang w:val="zh-CN"/>
        </w:rPr>
        <w:t xml:space="preserve">等法律法规，诚实守信，合法经营，坚决抵制各种违法违纪行为。 </w:t>
      </w:r>
    </w:p>
    <w:p>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Cs w:val="21"/>
          <w:highlight w:val="none"/>
          <w:lang w:val="zh-CN"/>
        </w:rPr>
      </w:pPr>
    </w:p>
    <w:p>
      <w:pPr>
        <w:autoSpaceDE w:val="0"/>
        <w:autoSpaceDN w:val="0"/>
        <w:spacing w:line="360" w:lineRule="auto"/>
        <w:ind w:left="2"/>
        <w:jc w:val="left"/>
        <w:rPr>
          <w:rFonts w:ascii="宋体" w:hAnsi="宋体" w:cs="宋体"/>
          <w:color w:val="auto"/>
          <w:kern w:val="0"/>
          <w:szCs w:val="21"/>
          <w:highlight w:val="none"/>
          <w:lang w:val="zh-CN"/>
        </w:rPr>
      </w:pPr>
    </w:p>
    <w:p>
      <w:pPr>
        <w:autoSpaceDE w:val="0"/>
        <w:autoSpaceDN w:val="0"/>
        <w:spacing w:line="360" w:lineRule="auto"/>
        <w:ind w:left="2"/>
        <w:jc w:val="left"/>
        <w:rPr>
          <w:rFonts w:ascii="宋体" w:hAnsi="宋体" w:cs="宋体"/>
          <w:color w:val="auto"/>
          <w:kern w:val="0"/>
          <w:szCs w:val="21"/>
          <w:highlight w:val="none"/>
          <w:lang w:val="zh-CN"/>
        </w:rPr>
      </w:pPr>
    </w:p>
    <w:p>
      <w:pPr>
        <w:autoSpaceDE w:val="0"/>
        <w:autoSpaceDN w:val="0"/>
        <w:spacing w:line="360" w:lineRule="auto"/>
        <w:ind w:left="2" w:leftChars="1" w:right="1120" w:firstLine="3990" w:firstLineChars="19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 xml:space="preserve">）：                                                                                                                                                                                                               </w:t>
      </w:r>
    </w:p>
    <w:p>
      <w:pPr>
        <w:spacing w:line="360" w:lineRule="auto"/>
        <w:ind w:left="4620" w:leftChars="2200"/>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pPr>
        <w:spacing w:line="360" w:lineRule="auto"/>
        <w:jc w:val="center"/>
        <w:rPr>
          <w:rFonts w:ascii="宋体" w:hAnsi="宋体" w:cs="宋体"/>
          <w:b/>
          <w:bCs/>
          <w:color w:val="auto"/>
          <w:szCs w:val="21"/>
          <w:highlight w:val="none"/>
        </w:rPr>
      </w:pPr>
    </w:p>
    <w:p>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widowControl/>
        <w:adjustRightInd/>
        <w:jc w:val="left"/>
        <w:rPr>
          <w:rFonts w:ascii="宋体" w:hAnsi="宋体" w:cs="宋体"/>
          <w:b/>
          <w:color w:val="auto"/>
          <w:kern w:val="0"/>
          <w:szCs w:val="21"/>
          <w:highlight w:val="none"/>
        </w:rPr>
      </w:pPr>
      <w:r>
        <w:rPr>
          <w:rFonts w:ascii="宋体" w:hAnsi="宋体" w:cs="宋体"/>
          <w:b/>
          <w:color w:val="auto"/>
          <w:kern w:val="0"/>
          <w:szCs w:val="21"/>
          <w:highlight w:val="none"/>
        </w:rPr>
        <w:br w:type="page"/>
      </w:r>
    </w:p>
    <w:p>
      <w:pPr>
        <w:pStyle w:val="2"/>
        <w:jc w:val="center"/>
        <w:rPr>
          <w:color w:val="auto"/>
          <w:highlight w:val="none"/>
        </w:rPr>
      </w:pPr>
      <w:r>
        <w:rPr>
          <w:rFonts w:hint="eastAsia"/>
          <w:color w:val="auto"/>
          <w:highlight w:val="none"/>
        </w:rPr>
        <w:t>报价文件部分目录</w:t>
      </w:r>
    </w:p>
    <w:p>
      <w:pPr>
        <w:jc w:val="center"/>
        <w:rPr>
          <w:color w:val="auto"/>
          <w:szCs w:val="21"/>
          <w:highlight w:val="none"/>
        </w:rPr>
      </w:pPr>
    </w:p>
    <w:p>
      <w:pPr>
        <w:numPr>
          <w:ilvl w:val="0"/>
          <w:numId w:val="5"/>
        </w:num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开标一览表（报价表）………………………………………………………（页码）</w:t>
      </w:r>
    </w:p>
    <w:p>
      <w:pPr>
        <w:numPr>
          <w:ilvl w:val="0"/>
          <w:numId w:val="5"/>
        </w:num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报价情况说明（若有）………………………………………………………（页码）</w:t>
      </w: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一、开标一览表（报价表）</w:t>
      </w:r>
    </w:p>
    <w:p>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杭州市生态环境局钱塘分局 、浙江省成套招标代理有限公司</w:t>
      </w:r>
      <w:r>
        <w:rPr>
          <w:rFonts w:hint="eastAsia" w:ascii="宋体" w:hAnsi="宋体" w:cs="宋体"/>
          <w:color w:val="auto"/>
          <w:kern w:val="0"/>
          <w:szCs w:val="21"/>
          <w:highlight w:val="none"/>
          <w:lang w:val="zh-CN"/>
        </w:rPr>
        <w:t>：</w:t>
      </w:r>
    </w:p>
    <w:p>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rPr>
        <w:t>2024年钱塘区宁静工地建设项目</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lang w:eastAsia="zh-CN"/>
        </w:rPr>
        <w:t>QTCG-GK-2024-214</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pPr>
        <w:spacing w:line="360" w:lineRule="auto"/>
        <w:jc w:val="center"/>
        <w:rPr>
          <w:color w:val="auto"/>
          <w:highlight w:val="none"/>
          <w:lang w:val="zh-CN"/>
        </w:rPr>
      </w:pPr>
      <w:r>
        <w:rPr>
          <w:rFonts w:hint="eastAsia" w:ascii="宋体" w:hAnsi="宋体" w:cs="宋体"/>
          <w:b/>
          <w:color w:val="auto"/>
          <w:kern w:val="0"/>
          <w:szCs w:val="21"/>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417"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1843" w:type="dxa"/>
          </w:tcPr>
          <w:p>
            <w:pPr>
              <w:spacing w:line="360" w:lineRule="auto"/>
              <w:jc w:val="center"/>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品牌（如果有）</w:t>
            </w:r>
          </w:p>
        </w:tc>
        <w:tc>
          <w:tcPr>
            <w:tcW w:w="3118"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规格型号</w:t>
            </w:r>
          </w:p>
        </w:tc>
        <w:tc>
          <w:tcPr>
            <w:tcW w:w="993"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559"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单价</w:t>
            </w:r>
          </w:p>
        </w:tc>
        <w:tc>
          <w:tcPr>
            <w:tcW w:w="1984"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合计</w:t>
            </w:r>
          </w:p>
        </w:tc>
        <w:tc>
          <w:tcPr>
            <w:tcW w:w="3119" w:type="dxa"/>
            <w:vAlign w:val="center"/>
          </w:tcPr>
          <w:p>
            <w:pPr>
              <w:spacing w:line="360" w:lineRule="auto"/>
              <w:jc w:val="center"/>
              <w:rPr>
                <w:rFonts w:ascii="宋体" w:hAnsi="宋体" w:cs="宋体"/>
                <w:b/>
                <w:color w:val="auto"/>
                <w:szCs w:val="21"/>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备注（如果有）</w:t>
            </w:r>
          </w:p>
          <w:p>
            <w:pPr>
              <w:spacing w:line="360" w:lineRule="auto"/>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Cs w:val="21"/>
                <w:highlight w:val="none"/>
              </w:rPr>
            </w:pPr>
          </w:p>
        </w:tc>
        <w:tc>
          <w:tcPr>
            <w:tcW w:w="1417" w:type="dxa"/>
            <w:vAlign w:val="center"/>
          </w:tcPr>
          <w:p>
            <w:pPr>
              <w:snapToGrid w:val="0"/>
              <w:spacing w:line="360" w:lineRule="auto"/>
              <w:jc w:val="center"/>
              <w:rPr>
                <w:rFonts w:ascii="宋体" w:hAnsi="宋体" w:cs="宋体"/>
                <w:color w:val="auto"/>
                <w:szCs w:val="21"/>
                <w:highlight w:val="none"/>
              </w:rPr>
            </w:pPr>
          </w:p>
        </w:tc>
        <w:tc>
          <w:tcPr>
            <w:tcW w:w="1843" w:type="dxa"/>
            <w:vAlign w:val="center"/>
          </w:tcPr>
          <w:p>
            <w:pPr>
              <w:snapToGrid w:val="0"/>
              <w:spacing w:line="360" w:lineRule="auto"/>
              <w:jc w:val="center"/>
              <w:rPr>
                <w:rFonts w:ascii="宋体" w:hAnsi="宋体" w:cs="宋体"/>
                <w:color w:val="auto"/>
                <w:szCs w:val="21"/>
                <w:highlight w:val="none"/>
              </w:rPr>
            </w:pPr>
          </w:p>
        </w:tc>
        <w:tc>
          <w:tcPr>
            <w:tcW w:w="3118" w:type="dxa"/>
            <w:vAlign w:val="center"/>
          </w:tcPr>
          <w:p>
            <w:pPr>
              <w:snapToGrid w:val="0"/>
              <w:spacing w:line="360" w:lineRule="auto"/>
              <w:jc w:val="center"/>
              <w:rPr>
                <w:rFonts w:ascii="宋体" w:hAnsi="宋体" w:cs="宋体"/>
                <w:color w:val="auto"/>
                <w:szCs w:val="21"/>
                <w:highlight w:val="none"/>
              </w:rPr>
            </w:pPr>
          </w:p>
        </w:tc>
        <w:tc>
          <w:tcPr>
            <w:tcW w:w="993" w:type="dxa"/>
            <w:vAlign w:val="center"/>
          </w:tcPr>
          <w:p>
            <w:pPr>
              <w:snapToGrid w:val="0"/>
              <w:spacing w:line="360" w:lineRule="auto"/>
              <w:jc w:val="center"/>
              <w:rPr>
                <w:rFonts w:ascii="宋体" w:hAnsi="宋体" w:cs="宋体"/>
                <w:color w:val="auto"/>
                <w:szCs w:val="21"/>
                <w:highlight w:val="none"/>
              </w:rPr>
            </w:pPr>
          </w:p>
        </w:tc>
        <w:tc>
          <w:tcPr>
            <w:tcW w:w="1559" w:type="dxa"/>
            <w:vAlign w:val="center"/>
          </w:tcPr>
          <w:p>
            <w:pPr>
              <w:spacing w:line="360" w:lineRule="auto"/>
              <w:jc w:val="center"/>
              <w:rPr>
                <w:rFonts w:ascii="宋体" w:hAnsi="宋体" w:cs="宋体"/>
                <w:color w:val="auto"/>
                <w:szCs w:val="21"/>
                <w:highlight w:val="none"/>
              </w:rPr>
            </w:pPr>
          </w:p>
        </w:tc>
        <w:tc>
          <w:tcPr>
            <w:tcW w:w="1984" w:type="dxa"/>
            <w:vAlign w:val="center"/>
          </w:tcPr>
          <w:p>
            <w:pPr>
              <w:spacing w:line="360" w:lineRule="auto"/>
              <w:jc w:val="center"/>
              <w:rPr>
                <w:rFonts w:ascii="宋体" w:hAnsi="宋体" w:cs="宋体"/>
                <w:color w:val="auto"/>
                <w:szCs w:val="21"/>
                <w:highlight w:val="none"/>
              </w:rPr>
            </w:pPr>
          </w:p>
        </w:tc>
        <w:tc>
          <w:tcPr>
            <w:tcW w:w="3119"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Cs w:val="21"/>
                <w:highlight w:val="none"/>
              </w:rPr>
            </w:pPr>
          </w:p>
        </w:tc>
        <w:tc>
          <w:tcPr>
            <w:tcW w:w="1417" w:type="dxa"/>
            <w:vAlign w:val="center"/>
          </w:tcPr>
          <w:p>
            <w:pPr>
              <w:snapToGrid w:val="0"/>
              <w:spacing w:line="360" w:lineRule="auto"/>
              <w:jc w:val="center"/>
              <w:rPr>
                <w:rFonts w:ascii="宋体" w:hAnsi="宋体" w:cs="宋体"/>
                <w:color w:val="auto"/>
                <w:szCs w:val="21"/>
                <w:highlight w:val="none"/>
              </w:rPr>
            </w:pPr>
          </w:p>
        </w:tc>
        <w:tc>
          <w:tcPr>
            <w:tcW w:w="1843" w:type="dxa"/>
            <w:vAlign w:val="center"/>
          </w:tcPr>
          <w:p>
            <w:pPr>
              <w:snapToGrid w:val="0"/>
              <w:spacing w:line="360" w:lineRule="auto"/>
              <w:jc w:val="center"/>
              <w:rPr>
                <w:rFonts w:ascii="宋体" w:hAnsi="宋体" w:cs="宋体"/>
                <w:color w:val="auto"/>
                <w:szCs w:val="21"/>
                <w:highlight w:val="none"/>
              </w:rPr>
            </w:pPr>
          </w:p>
        </w:tc>
        <w:tc>
          <w:tcPr>
            <w:tcW w:w="3118" w:type="dxa"/>
            <w:vAlign w:val="center"/>
          </w:tcPr>
          <w:p>
            <w:pPr>
              <w:snapToGrid w:val="0"/>
              <w:spacing w:line="360" w:lineRule="auto"/>
              <w:jc w:val="center"/>
              <w:rPr>
                <w:rFonts w:ascii="宋体" w:hAnsi="宋体" w:cs="宋体"/>
                <w:color w:val="auto"/>
                <w:szCs w:val="21"/>
                <w:highlight w:val="none"/>
              </w:rPr>
            </w:pPr>
          </w:p>
        </w:tc>
        <w:tc>
          <w:tcPr>
            <w:tcW w:w="993" w:type="dxa"/>
            <w:vAlign w:val="center"/>
          </w:tcPr>
          <w:p>
            <w:pPr>
              <w:snapToGrid w:val="0"/>
              <w:spacing w:line="360" w:lineRule="auto"/>
              <w:jc w:val="center"/>
              <w:rPr>
                <w:rFonts w:ascii="宋体" w:hAnsi="宋体" w:cs="宋体"/>
                <w:color w:val="auto"/>
                <w:szCs w:val="21"/>
                <w:highlight w:val="none"/>
              </w:rPr>
            </w:pPr>
          </w:p>
        </w:tc>
        <w:tc>
          <w:tcPr>
            <w:tcW w:w="1559" w:type="dxa"/>
            <w:vAlign w:val="center"/>
          </w:tcPr>
          <w:p>
            <w:pPr>
              <w:spacing w:line="360" w:lineRule="auto"/>
              <w:jc w:val="center"/>
              <w:rPr>
                <w:rFonts w:ascii="宋体" w:hAnsi="宋体" w:cs="宋体"/>
                <w:color w:val="auto"/>
                <w:szCs w:val="21"/>
                <w:highlight w:val="none"/>
              </w:rPr>
            </w:pPr>
          </w:p>
        </w:tc>
        <w:tc>
          <w:tcPr>
            <w:tcW w:w="1984" w:type="dxa"/>
            <w:vAlign w:val="center"/>
          </w:tcPr>
          <w:p>
            <w:pPr>
              <w:spacing w:line="360" w:lineRule="auto"/>
              <w:jc w:val="center"/>
              <w:rPr>
                <w:rFonts w:ascii="宋体" w:hAnsi="宋体" w:cs="宋体"/>
                <w:color w:val="auto"/>
                <w:szCs w:val="21"/>
                <w:highlight w:val="none"/>
              </w:rPr>
            </w:pPr>
          </w:p>
        </w:tc>
        <w:tc>
          <w:tcPr>
            <w:tcW w:w="3119"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Cs w:val="21"/>
                <w:highlight w:val="none"/>
              </w:rPr>
            </w:pPr>
          </w:p>
        </w:tc>
        <w:tc>
          <w:tcPr>
            <w:tcW w:w="1417" w:type="dxa"/>
            <w:vAlign w:val="center"/>
          </w:tcPr>
          <w:p>
            <w:pPr>
              <w:snapToGrid w:val="0"/>
              <w:spacing w:line="360" w:lineRule="auto"/>
              <w:jc w:val="center"/>
              <w:rPr>
                <w:rFonts w:ascii="宋体" w:hAnsi="宋体" w:cs="宋体"/>
                <w:color w:val="auto"/>
                <w:szCs w:val="21"/>
                <w:highlight w:val="none"/>
              </w:rPr>
            </w:pPr>
          </w:p>
        </w:tc>
        <w:tc>
          <w:tcPr>
            <w:tcW w:w="1843" w:type="dxa"/>
            <w:vAlign w:val="center"/>
          </w:tcPr>
          <w:p>
            <w:pPr>
              <w:snapToGrid w:val="0"/>
              <w:spacing w:line="360" w:lineRule="auto"/>
              <w:jc w:val="center"/>
              <w:rPr>
                <w:rFonts w:ascii="宋体" w:hAnsi="宋体" w:cs="宋体"/>
                <w:color w:val="auto"/>
                <w:szCs w:val="21"/>
                <w:highlight w:val="none"/>
              </w:rPr>
            </w:pPr>
          </w:p>
        </w:tc>
        <w:tc>
          <w:tcPr>
            <w:tcW w:w="3118" w:type="dxa"/>
            <w:vAlign w:val="center"/>
          </w:tcPr>
          <w:p>
            <w:pPr>
              <w:snapToGrid w:val="0"/>
              <w:spacing w:line="360" w:lineRule="auto"/>
              <w:jc w:val="center"/>
              <w:rPr>
                <w:rFonts w:ascii="宋体" w:hAnsi="宋体" w:cs="宋体"/>
                <w:color w:val="auto"/>
                <w:szCs w:val="21"/>
                <w:highlight w:val="none"/>
              </w:rPr>
            </w:pPr>
          </w:p>
        </w:tc>
        <w:tc>
          <w:tcPr>
            <w:tcW w:w="993" w:type="dxa"/>
            <w:vAlign w:val="center"/>
          </w:tcPr>
          <w:p>
            <w:pPr>
              <w:snapToGrid w:val="0"/>
              <w:spacing w:line="360" w:lineRule="auto"/>
              <w:jc w:val="center"/>
              <w:rPr>
                <w:rFonts w:ascii="宋体" w:hAnsi="宋体" w:cs="宋体"/>
                <w:color w:val="auto"/>
                <w:szCs w:val="21"/>
                <w:highlight w:val="none"/>
              </w:rPr>
            </w:pPr>
          </w:p>
        </w:tc>
        <w:tc>
          <w:tcPr>
            <w:tcW w:w="1559" w:type="dxa"/>
            <w:vAlign w:val="center"/>
          </w:tcPr>
          <w:p>
            <w:pPr>
              <w:spacing w:line="360" w:lineRule="auto"/>
              <w:jc w:val="center"/>
              <w:rPr>
                <w:rFonts w:ascii="宋体" w:hAnsi="宋体" w:cs="宋体"/>
                <w:color w:val="auto"/>
                <w:szCs w:val="21"/>
                <w:highlight w:val="none"/>
              </w:rPr>
            </w:pPr>
          </w:p>
        </w:tc>
        <w:tc>
          <w:tcPr>
            <w:tcW w:w="1984" w:type="dxa"/>
            <w:vAlign w:val="center"/>
          </w:tcPr>
          <w:p>
            <w:pPr>
              <w:spacing w:line="360" w:lineRule="auto"/>
              <w:jc w:val="center"/>
              <w:rPr>
                <w:rFonts w:ascii="宋体" w:hAnsi="宋体" w:cs="宋体"/>
                <w:color w:val="auto"/>
                <w:szCs w:val="21"/>
                <w:highlight w:val="none"/>
              </w:rPr>
            </w:pPr>
          </w:p>
        </w:tc>
        <w:tc>
          <w:tcPr>
            <w:tcW w:w="3119"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Cs w:val="21"/>
                <w:highlight w:val="none"/>
              </w:rPr>
            </w:pPr>
          </w:p>
        </w:tc>
        <w:tc>
          <w:tcPr>
            <w:tcW w:w="1417" w:type="dxa"/>
            <w:vAlign w:val="center"/>
          </w:tcPr>
          <w:p>
            <w:pPr>
              <w:snapToGrid w:val="0"/>
              <w:spacing w:line="360" w:lineRule="auto"/>
              <w:jc w:val="center"/>
              <w:rPr>
                <w:rFonts w:ascii="宋体" w:hAnsi="宋体" w:cs="宋体"/>
                <w:color w:val="auto"/>
                <w:szCs w:val="21"/>
                <w:highlight w:val="none"/>
              </w:rPr>
            </w:pPr>
          </w:p>
        </w:tc>
        <w:tc>
          <w:tcPr>
            <w:tcW w:w="1843" w:type="dxa"/>
            <w:vAlign w:val="center"/>
          </w:tcPr>
          <w:p>
            <w:pPr>
              <w:snapToGrid w:val="0"/>
              <w:spacing w:line="360" w:lineRule="auto"/>
              <w:jc w:val="center"/>
              <w:rPr>
                <w:rFonts w:ascii="宋体" w:hAnsi="宋体" w:cs="宋体"/>
                <w:color w:val="auto"/>
                <w:szCs w:val="21"/>
                <w:highlight w:val="none"/>
              </w:rPr>
            </w:pPr>
          </w:p>
        </w:tc>
        <w:tc>
          <w:tcPr>
            <w:tcW w:w="3118" w:type="dxa"/>
            <w:vAlign w:val="center"/>
          </w:tcPr>
          <w:p>
            <w:pPr>
              <w:snapToGrid w:val="0"/>
              <w:spacing w:line="360" w:lineRule="auto"/>
              <w:jc w:val="center"/>
              <w:rPr>
                <w:rFonts w:ascii="宋体" w:hAnsi="宋体" w:cs="宋体"/>
                <w:color w:val="auto"/>
                <w:szCs w:val="21"/>
                <w:highlight w:val="none"/>
              </w:rPr>
            </w:pPr>
          </w:p>
        </w:tc>
        <w:tc>
          <w:tcPr>
            <w:tcW w:w="993" w:type="dxa"/>
            <w:vAlign w:val="center"/>
          </w:tcPr>
          <w:p>
            <w:pPr>
              <w:snapToGrid w:val="0"/>
              <w:spacing w:line="360" w:lineRule="auto"/>
              <w:jc w:val="center"/>
              <w:rPr>
                <w:rFonts w:ascii="宋体" w:hAnsi="宋体" w:cs="宋体"/>
                <w:color w:val="auto"/>
                <w:szCs w:val="21"/>
                <w:highlight w:val="none"/>
              </w:rPr>
            </w:pPr>
          </w:p>
        </w:tc>
        <w:tc>
          <w:tcPr>
            <w:tcW w:w="1559" w:type="dxa"/>
            <w:vAlign w:val="center"/>
          </w:tcPr>
          <w:p>
            <w:pPr>
              <w:spacing w:line="360" w:lineRule="auto"/>
              <w:jc w:val="center"/>
              <w:rPr>
                <w:rFonts w:ascii="宋体" w:hAnsi="宋体" w:cs="宋体"/>
                <w:color w:val="auto"/>
                <w:szCs w:val="21"/>
                <w:highlight w:val="none"/>
              </w:rPr>
            </w:pPr>
          </w:p>
        </w:tc>
        <w:tc>
          <w:tcPr>
            <w:tcW w:w="1984" w:type="dxa"/>
            <w:vAlign w:val="center"/>
          </w:tcPr>
          <w:p>
            <w:pPr>
              <w:spacing w:line="360" w:lineRule="auto"/>
              <w:jc w:val="center"/>
              <w:rPr>
                <w:rFonts w:ascii="宋体" w:hAnsi="宋体" w:cs="宋体"/>
                <w:color w:val="auto"/>
                <w:szCs w:val="21"/>
                <w:highlight w:val="none"/>
              </w:rPr>
            </w:pPr>
          </w:p>
        </w:tc>
        <w:tc>
          <w:tcPr>
            <w:tcW w:w="3119"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Cs w:val="21"/>
                <w:highlight w:val="none"/>
              </w:rPr>
            </w:pPr>
          </w:p>
        </w:tc>
        <w:tc>
          <w:tcPr>
            <w:tcW w:w="1417" w:type="dxa"/>
            <w:vAlign w:val="center"/>
          </w:tcPr>
          <w:p>
            <w:pPr>
              <w:snapToGrid w:val="0"/>
              <w:spacing w:line="360" w:lineRule="auto"/>
              <w:jc w:val="center"/>
              <w:rPr>
                <w:rFonts w:ascii="宋体" w:hAnsi="宋体" w:cs="宋体"/>
                <w:color w:val="auto"/>
                <w:szCs w:val="21"/>
                <w:highlight w:val="none"/>
              </w:rPr>
            </w:pPr>
          </w:p>
        </w:tc>
        <w:tc>
          <w:tcPr>
            <w:tcW w:w="1843" w:type="dxa"/>
            <w:vAlign w:val="center"/>
          </w:tcPr>
          <w:p>
            <w:pPr>
              <w:snapToGrid w:val="0"/>
              <w:spacing w:line="360" w:lineRule="auto"/>
              <w:jc w:val="center"/>
              <w:rPr>
                <w:rFonts w:ascii="宋体" w:hAnsi="宋体" w:cs="宋体"/>
                <w:color w:val="auto"/>
                <w:szCs w:val="21"/>
                <w:highlight w:val="none"/>
              </w:rPr>
            </w:pPr>
          </w:p>
        </w:tc>
        <w:tc>
          <w:tcPr>
            <w:tcW w:w="3118" w:type="dxa"/>
            <w:vAlign w:val="center"/>
          </w:tcPr>
          <w:p>
            <w:pPr>
              <w:snapToGrid w:val="0"/>
              <w:spacing w:line="360" w:lineRule="auto"/>
              <w:jc w:val="center"/>
              <w:rPr>
                <w:rFonts w:ascii="宋体" w:hAnsi="宋体" w:cs="宋体"/>
                <w:color w:val="auto"/>
                <w:szCs w:val="21"/>
                <w:highlight w:val="none"/>
              </w:rPr>
            </w:pPr>
          </w:p>
        </w:tc>
        <w:tc>
          <w:tcPr>
            <w:tcW w:w="993" w:type="dxa"/>
            <w:vAlign w:val="center"/>
          </w:tcPr>
          <w:p>
            <w:pPr>
              <w:snapToGrid w:val="0"/>
              <w:spacing w:line="360" w:lineRule="auto"/>
              <w:jc w:val="center"/>
              <w:rPr>
                <w:rFonts w:ascii="宋体" w:hAnsi="宋体" w:cs="宋体"/>
                <w:color w:val="auto"/>
                <w:szCs w:val="21"/>
                <w:highlight w:val="none"/>
              </w:rPr>
            </w:pPr>
          </w:p>
        </w:tc>
        <w:tc>
          <w:tcPr>
            <w:tcW w:w="1559" w:type="dxa"/>
            <w:vAlign w:val="center"/>
          </w:tcPr>
          <w:p>
            <w:pPr>
              <w:spacing w:line="360" w:lineRule="auto"/>
              <w:jc w:val="center"/>
              <w:rPr>
                <w:rFonts w:ascii="宋体" w:hAnsi="宋体" w:cs="宋体"/>
                <w:color w:val="auto"/>
                <w:szCs w:val="21"/>
                <w:highlight w:val="none"/>
              </w:rPr>
            </w:pPr>
          </w:p>
        </w:tc>
        <w:tc>
          <w:tcPr>
            <w:tcW w:w="1984" w:type="dxa"/>
            <w:vAlign w:val="center"/>
          </w:tcPr>
          <w:p>
            <w:pPr>
              <w:spacing w:line="360" w:lineRule="auto"/>
              <w:jc w:val="center"/>
              <w:rPr>
                <w:rFonts w:ascii="宋体" w:hAnsi="宋体" w:cs="宋体"/>
                <w:color w:val="auto"/>
                <w:szCs w:val="21"/>
                <w:highlight w:val="none"/>
              </w:rPr>
            </w:pPr>
          </w:p>
        </w:tc>
        <w:tc>
          <w:tcPr>
            <w:tcW w:w="3119"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投标报价（小写）</w:t>
            </w:r>
          </w:p>
        </w:tc>
        <w:tc>
          <w:tcPr>
            <w:tcW w:w="7655" w:type="dxa"/>
            <w:gridSpan w:val="4"/>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投标报价（大写）</w:t>
            </w:r>
          </w:p>
        </w:tc>
        <w:tc>
          <w:tcPr>
            <w:tcW w:w="7655" w:type="dxa"/>
            <w:gridSpan w:val="4"/>
            <w:vAlign w:val="center"/>
          </w:tcPr>
          <w:p>
            <w:pPr>
              <w:spacing w:line="360" w:lineRule="auto"/>
              <w:jc w:val="center"/>
              <w:rPr>
                <w:rFonts w:ascii="宋体" w:hAnsi="宋体" w:cs="宋体"/>
                <w:color w:val="auto"/>
                <w:szCs w:val="21"/>
                <w:highlight w:val="none"/>
              </w:rPr>
            </w:pPr>
          </w:p>
        </w:tc>
      </w:tr>
    </w:tbl>
    <w:p>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pPr>
        <w:spacing w:line="360" w:lineRule="auto"/>
        <w:ind w:left="-2" w:leftChars="-1"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w:t>
      </w:r>
      <w:r>
        <w:rPr>
          <w:rFonts w:hint="eastAsia" w:ascii="宋体" w:hAnsi="宋体" w:cs="宋体"/>
          <w:b/>
          <w:color w:val="auto"/>
          <w:kern w:val="0"/>
          <w:szCs w:val="21"/>
          <w:highlight w:val="none"/>
          <w:lang w:val="zh-CN"/>
        </w:rPr>
        <w:t>，</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color w:val="auto"/>
          <w:kern w:val="0"/>
          <w:szCs w:val="21"/>
          <w:highlight w:val="none"/>
          <w:lang w:val="zh-CN"/>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不得出现“0元”“免费赠送”等形式的无偿报价，</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b/>
          <w:color w:val="auto"/>
          <w:kern w:val="0"/>
          <w:szCs w:val="21"/>
          <w:highlight w:val="none"/>
          <w:lang w:val="zh-CN"/>
        </w:rPr>
        <w:t>；采购内容未包含在《开标一览表（报价表）》名称栏中，投标人不能作出合理解释的，</w:t>
      </w:r>
      <w:r>
        <w:rPr>
          <w:rFonts w:hint="eastAsia" w:ascii="宋体" w:hAnsi="宋体" w:cs="宋体"/>
          <w:b/>
          <w:color w:val="auto"/>
          <w:kern w:val="0"/>
          <w:szCs w:val="21"/>
          <w:highlight w:val="none"/>
        </w:rPr>
        <w:t>视为</w:t>
      </w:r>
      <w:r>
        <w:rPr>
          <w:rFonts w:hint="eastAsia" w:ascii="宋体" w:hAnsi="宋体" w:cs="宋体"/>
          <w:b/>
          <w:color w:val="auto"/>
          <w:szCs w:val="21"/>
          <w:highlight w:val="none"/>
        </w:rPr>
        <w:t>投标文件含有采购人不能接受的附加条件的，投标无效。</w:t>
      </w:r>
    </w:p>
    <w:p>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20" w:firstLineChars="200"/>
        <w:jc w:val="left"/>
        <w:rPr>
          <w:rFonts w:ascii="宋体" w:hAnsi="宋体" w:cs="宋体"/>
          <w:color w:val="auto"/>
          <w:kern w:val="0"/>
          <w:szCs w:val="21"/>
          <w:highlight w:val="none"/>
          <w:lang w:val="zh-CN"/>
        </w:rPr>
      </w:pPr>
      <w:r>
        <w:rPr>
          <w:rFonts w:ascii="宋体" w:hAnsi="宋体" w:cs="宋体"/>
          <w:color w:val="auto"/>
          <w:kern w:val="0"/>
          <w:szCs w:val="21"/>
          <w:highlight w:val="none"/>
          <w:lang w:val="zh-CN"/>
        </w:rPr>
        <w:t>4</w:t>
      </w:r>
      <w:r>
        <w:rPr>
          <w:rFonts w:hint="eastAsia" w:ascii="宋体" w:hAnsi="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ascii="宋体" w:hAnsi="宋体" w:cs="宋体"/>
          <w:color w:val="auto"/>
          <w:sz w:val="32"/>
          <w:szCs w:val="32"/>
          <w:highlight w:val="none"/>
        </w:rPr>
      </w:pPr>
      <w:r>
        <w:rPr>
          <w:rFonts w:ascii="宋体" w:hAnsi="宋体" w:cs="宋体"/>
          <w:color w:val="auto"/>
          <w:sz w:val="32"/>
          <w:szCs w:val="32"/>
          <w:highlight w:val="none"/>
        </w:rPr>
        <w:br w:type="page"/>
      </w:r>
    </w:p>
    <w:p>
      <w:pPr>
        <w:rPr>
          <w:color w:val="auto"/>
          <w:highlight w:val="none"/>
        </w:rPr>
        <w:sectPr>
          <w:pgSz w:w="16838" w:h="11906" w:orient="landscape"/>
          <w:pgMar w:top="1418" w:right="1247" w:bottom="1418" w:left="1276" w:header="851" w:footer="992" w:gutter="0"/>
          <w:cols w:space="720" w:num="1"/>
          <w:titlePg/>
          <w:docGrid w:linePitch="312" w:charSpace="0"/>
        </w:sectPr>
      </w:pPr>
    </w:p>
    <w:p>
      <w:pPr>
        <w:pStyle w:val="2"/>
        <w:ind w:firstLine="562"/>
        <w:jc w:val="center"/>
        <w:rPr>
          <w:rFonts w:ascii="宋体" w:hAnsi="宋体" w:cs="宋体"/>
          <w:bCs w:val="0"/>
          <w:color w:val="auto"/>
          <w:kern w:val="0"/>
          <w:sz w:val="28"/>
          <w:szCs w:val="28"/>
          <w:highlight w:val="none"/>
        </w:rPr>
      </w:pPr>
      <w:bookmarkStart w:id="572" w:name="_Toc465665161"/>
      <w:r>
        <w:rPr>
          <w:rFonts w:hint="eastAsia" w:ascii="宋体" w:hAnsi="宋体" w:cs="宋体"/>
          <w:bCs w:val="0"/>
          <w:color w:val="auto"/>
          <w:kern w:val="0"/>
          <w:sz w:val="28"/>
          <w:szCs w:val="28"/>
          <w:highlight w:val="none"/>
        </w:rPr>
        <w:t>附件</w:t>
      </w:r>
      <w:bookmarkEnd w:id="572"/>
    </w:p>
    <w:p>
      <w:pPr>
        <w:pStyle w:val="2"/>
        <w:ind w:firstLine="422"/>
        <w:rPr>
          <w:rFonts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附件1：</w:t>
      </w:r>
    </w:p>
    <w:p>
      <w:pPr>
        <w:spacing w:line="360" w:lineRule="auto"/>
        <w:jc w:val="center"/>
        <w:rPr>
          <w:rFonts w:ascii="宋体" w:hAnsi="宋体" w:cs="宋体"/>
          <w:b/>
          <w:color w:val="auto"/>
          <w:spacing w:val="6"/>
          <w:szCs w:val="21"/>
          <w:highlight w:val="none"/>
        </w:rPr>
      </w:pPr>
      <w:bookmarkStart w:id="573" w:name="OLE_LINK14"/>
      <w:bookmarkStart w:id="574" w:name="OLE_LINK13"/>
      <w:r>
        <w:rPr>
          <w:rFonts w:hint="eastAsia" w:ascii="宋体" w:hAnsi="宋体" w:cs="宋体"/>
          <w:b/>
          <w:color w:val="auto"/>
          <w:spacing w:val="6"/>
          <w:szCs w:val="21"/>
          <w:highlight w:val="none"/>
        </w:rPr>
        <w:t>残疾人福利性单位声明函</w:t>
      </w:r>
    </w:p>
    <w:bookmarkEnd w:id="573"/>
    <w:bookmarkEnd w:id="574"/>
    <w:p>
      <w:pPr>
        <w:spacing w:line="360" w:lineRule="auto"/>
        <w:rPr>
          <w:rFonts w:ascii="宋体" w:hAnsi="宋体" w:cs="宋体"/>
          <w:b/>
          <w:color w:val="auto"/>
          <w:spacing w:val="6"/>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Cs w:val="21"/>
          <w:highlight w:val="none"/>
          <w:u w:val="single"/>
        </w:rPr>
        <w:t xml:space="preserve">杭州市生态环境局钱塘分局 </w:t>
      </w:r>
      <w:r>
        <w:rPr>
          <w:rFonts w:hint="eastAsia" w:ascii="宋体" w:hAnsi="宋体" w:cs="宋体"/>
          <w:color w:val="auto"/>
          <w:szCs w:val="21"/>
          <w:highlight w:val="none"/>
        </w:rPr>
        <w:t>_单位的_</w:t>
      </w:r>
      <w:r>
        <w:rPr>
          <w:rFonts w:hint="eastAsia" w:ascii="宋体" w:hAnsi="宋体" w:cs="宋体"/>
          <w:color w:val="auto"/>
          <w:szCs w:val="21"/>
          <w:highlight w:val="none"/>
          <w:u w:val="single"/>
        </w:rPr>
        <w:t>2024年钱塘区宁静工地建设项目</w:t>
      </w:r>
      <w:r>
        <w:rPr>
          <w:rFonts w:hint="eastAsia" w:ascii="宋体" w:hAnsi="宋体" w:cs="宋体"/>
          <w:color w:val="auto"/>
          <w:szCs w:val="21"/>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tabs>
          <w:tab w:val="left" w:pos="4860"/>
        </w:tabs>
        <w:spacing w:line="360" w:lineRule="auto"/>
        <w:ind w:right="156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pPr>
        <w:tabs>
          <w:tab w:val="left" w:pos="4860"/>
        </w:tabs>
        <w:spacing w:line="360" w:lineRule="auto"/>
        <w:ind w:right="156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br w:type="page"/>
      </w:r>
    </w:p>
    <w:p>
      <w:pPr>
        <w:pStyle w:val="2"/>
        <w:ind w:firstLine="422"/>
        <w:rPr>
          <w:rFonts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附件2：质疑函范本及制作说明</w:t>
      </w: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Cs w:val="21"/>
          <w:highlight w:val="none"/>
        </w:rPr>
      </w:pPr>
      <w:r>
        <w:rPr>
          <w:rFonts w:hint="eastAsia" w:ascii="宋体" w:hAnsi="宋体" w:cs="宋体"/>
          <w:bCs/>
          <w:color w:val="auto"/>
          <w:szCs w:val="21"/>
          <w:highlight w:val="none"/>
        </w:rPr>
        <w:t>一、质疑供应商基本信息</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二、质疑项目基本情况</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三、质疑事项具体内容</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pPr>
        <w:spacing w:line="360" w:lineRule="auto"/>
        <w:jc w:val="center"/>
        <w:rPr>
          <w:rFonts w:ascii="宋体" w:hAnsi="宋体" w:cs="宋体"/>
          <w:b/>
          <w:bCs/>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质疑函制作说明：</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20" w:firstLineChars="200"/>
        <w:jc w:val="left"/>
        <w:rPr>
          <w:rFonts w:ascii="宋体" w:hAnsi="宋体" w:cs="宋体"/>
          <w:color w:val="auto"/>
          <w:szCs w:val="21"/>
          <w:highlight w:val="none"/>
        </w:rPr>
      </w:pPr>
    </w:p>
    <w:p>
      <w:pPr>
        <w:spacing w:line="360" w:lineRule="auto"/>
        <w:jc w:val="center"/>
        <w:rPr>
          <w:rFonts w:ascii="宋体" w:hAnsi="宋体" w:cs="宋体"/>
          <w:b/>
          <w:color w:val="auto"/>
          <w:spacing w:val="6"/>
          <w:szCs w:val="21"/>
          <w:highlight w:val="none"/>
        </w:rPr>
      </w:pPr>
    </w:p>
    <w:p>
      <w:pPr>
        <w:spacing w:line="360" w:lineRule="auto"/>
        <w:jc w:val="center"/>
        <w:rPr>
          <w:rFonts w:ascii="宋体" w:hAnsi="宋体" w:cs="宋体"/>
          <w:b/>
          <w:color w:val="auto"/>
          <w:spacing w:val="6"/>
          <w:szCs w:val="21"/>
          <w:highlight w:val="none"/>
        </w:rPr>
      </w:pPr>
    </w:p>
    <w:p>
      <w:pPr>
        <w:spacing w:line="360" w:lineRule="auto"/>
        <w:jc w:val="center"/>
        <w:rPr>
          <w:rFonts w:ascii="宋体" w:hAnsi="宋体" w:cs="宋体"/>
          <w:b/>
          <w:color w:val="auto"/>
          <w:spacing w:val="6"/>
          <w:szCs w:val="21"/>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br w:type="page"/>
      </w:r>
    </w:p>
    <w:p>
      <w:pPr>
        <w:pStyle w:val="2"/>
        <w:ind w:firstLine="422"/>
        <w:rPr>
          <w:rFonts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一、投诉相关主体基本情况</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tabs>
          <w:tab w:val="left" w:pos="651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tabs>
          <w:tab w:val="left" w:pos="6510"/>
        </w:tabs>
        <w:spacing w:line="360" w:lineRule="auto"/>
        <w:rPr>
          <w:rFonts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被投诉人2</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二、投诉项目基本情况</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三、质疑基本情况</w:t>
      </w:r>
    </w:p>
    <w:p>
      <w:pPr>
        <w:spacing w:line="360" w:lineRule="auto"/>
        <w:ind w:firstLine="420" w:firstLineChars="200"/>
        <w:rPr>
          <w:rFonts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日,向</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提出质疑，质疑事项为：</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日,就质疑事项作出了答复/没有在法定期限内作出答复。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四、投诉事项具体内容</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投诉事项2</w:t>
      </w:r>
    </w:p>
    <w:p>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五、与投诉事项相关的投诉请求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投诉书制作说明：</w:t>
      </w:r>
    </w:p>
    <w:p>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Cs w:val="21"/>
          <w:highlight w:val="none"/>
        </w:rPr>
      </w:pPr>
    </w:p>
    <w:p>
      <w:pPr>
        <w:autoSpaceDE w:val="0"/>
        <w:autoSpaceDN w:val="0"/>
        <w:jc w:val="center"/>
        <w:rPr>
          <w:rFonts w:ascii="宋体" w:hAnsi="宋体" w:cs="宋体"/>
          <w:b/>
          <w:color w:val="auto"/>
          <w:spacing w:val="6"/>
          <w:szCs w:val="21"/>
          <w:highlight w:val="none"/>
        </w:rPr>
      </w:pPr>
    </w:p>
    <w:p>
      <w:pP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br w:type="page"/>
      </w:r>
    </w:p>
    <w:p>
      <w:pPr>
        <w:pStyle w:val="2"/>
        <w:ind w:firstLine="422"/>
        <w:rPr>
          <w:rFonts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附件4：业务专用章使用说明函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杭州市生态环境局钱塘分局 、浙江省成套招标代理有限公司：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(投标人全称)是中华人民共和国依法登记注册的合法企业，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你方组织的2024年钱塘区宁静工地建设项目【招标编号：</w:t>
      </w:r>
      <w:r>
        <w:rPr>
          <w:rFonts w:hint="eastAsia" w:ascii="宋体" w:hAnsi="宋体" w:cs="宋体"/>
          <w:color w:val="auto"/>
          <w:szCs w:val="21"/>
          <w:highlight w:val="none"/>
          <w:lang w:eastAsia="zh-CN"/>
        </w:rPr>
        <w:t>QTCG-GK-2024-214</w:t>
      </w:r>
      <w:r>
        <w:rPr>
          <w:rFonts w:hint="eastAsia" w:ascii="宋体" w:hAnsi="宋体" w:cs="宋体"/>
          <w:color w:val="auto"/>
          <w:szCs w:val="21"/>
          <w:highlight w:val="none"/>
        </w:rPr>
        <w:t>】</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 xml:space="preserve">我方所使用的“XX专用章”与法定名称章具有同等的法律效力，对使用“XX专用章”的行为予以完全承认，并愿意承担相应责任。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特此说明。</w:t>
      </w:r>
    </w:p>
    <w:p>
      <w:pPr>
        <w:spacing w:line="360" w:lineRule="auto"/>
        <w:ind w:firstLine="494"/>
        <w:rPr>
          <w:rFonts w:ascii="宋体" w:hAnsi="宋体" w:cs="宋体"/>
          <w:color w:val="auto"/>
          <w:szCs w:val="21"/>
          <w:highlight w:val="none"/>
        </w:rPr>
      </w:pPr>
    </w:p>
    <w:p>
      <w:pPr>
        <w:spacing w:line="360" w:lineRule="auto"/>
        <w:ind w:firstLine="494"/>
        <w:rPr>
          <w:rFonts w:ascii="宋体" w:hAnsi="宋体" w:cs="宋体"/>
          <w:color w:val="auto"/>
          <w:szCs w:val="21"/>
          <w:highlight w:val="none"/>
        </w:rPr>
      </w:pPr>
    </w:p>
    <w:p>
      <w:pPr>
        <w:spacing w:line="360" w:lineRule="auto"/>
        <w:ind w:firstLine="494"/>
        <w:rPr>
          <w:rFonts w:ascii="宋体" w:hAnsi="宋体" w:cs="宋体"/>
          <w:color w:val="auto"/>
          <w:szCs w:val="21"/>
          <w:highlight w:val="none"/>
        </w:rPr>
      </w:pPr>
    </w:p>
    <w:p>
      <w:pPr>
        <w:spacing w:line="360" w:lineRule="auto"/>
        <w:ind w:right="480" w:firstLine="3570" w:firstLineChars="1700"/>
        <w:rPr>
          <w:rFonts w:ascii="宋体" w:hAnsi="宋体" w:cs="宋体"/>
          <w:color w:val="auto"/>
          <w:szCs w:val="21"/>
          <w:highlight w:val="none"/>
        </w:rPr>
      </w:pPr>
      <w:r>
        <w:rPr>
          <w:rFonts w:hint="eastAsia" w:ascii="宋体" w:hAnsi="宋体" w:cs="宋体"/>
          <w:color w:val="auto"/>
          <w:szCs w:val="21"/>
          <w:highlight w:val="none"/>
        </w:rPr>
        <w:t>投标单位（法定名称章）：</w:t>
      </w:r>
    </w:p>
    <w:p>
      <w:pPr>
        <w:ind w:right="1440" w:firstLine="494"/>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pPr>
        <w:rPr>
          <w:rFonts w:ascii="宋体" w:hAnsi="宋体" w:cs="宋体"/>
          <w:color w:val="auto"/>
          <w:szCs w:val="21"/>
          <w:highlight w:val="none"/>
        </w:rPr>
      </w:pPr>
      <w:r>
        <w:rPr>
          <w:rFonts w:hint="eastAsia" w:ascii="宋体" w:hAnsi="宋体" w:cs="宋体"/>
          <w:b/>
          <w:bCs/>
          <w:color w:val="auto"/>
          <w:szCs w:val="21"/>
          <w:highlight w:val="none"/>
        </w:rPr>
        <w:t>附：</w:t>
      </w:r>
    </w:p>
    <w:p>
      <w:pPr>
        <w:spacing w:line="360" w:lineRule="auto"/>
        <w:rPr>
          <w:rFonts w:ascii="宋体" w:hAnsi="宋体" w:cs="宋体"/>
          <w:bCs/>
          <w:color w:val="auto"/>
          <w:szCs w:val="21"/>
          <w:highlight w:val="none"/>
        </w:rPr>
      </w:pPr>
      <w:r>
        <w:rPr>
          <w:rFonts w:hint="eastAsia" w:ascii="宋体" w:hAnsi="宋体" w:cs="宋体"/>
          <w:b/>
          <w:bCs/>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Cs w:val="21"/>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pStyle w:val="2"/>
        <w:ind w:firstLine="422"/>
        <w:rPr>
          <w:rFonts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附件5：联合协议</w:t>
      </w:r>
    </w:p>
    <w:p>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2024年钱塘区宁静工地建设项目【招标编号：</w:t>
      </w:r>
      <w:r>
        <w:rPr>
          <w:rFonts w:hint="eastAsia" w:ascii="宋体" w:hAnsi="宋体" w:cs="宋体"/>
          <w:color w:val="auto"/>
          <w:szCs w:val="21"/>
          <w:highlight w:val="none"/>
          <w:lang w:eastAsia="zh-CN"/>
        </w:rPr>
        <w:t>QTCG-GK-2024-214</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 xml:space="preserve">投标。 </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pPr>
        <w:snapToGrid w:val="0"/>
        <w:spacing w:line="360" w:lineRule="auto"/>
        <w:ind w:firstLine="576"/>
        <w:rPr>
          <w:rFonts w:ascii="宋体" w:hAnsi="宋体" w:cs="宋体"/>
          <w:color w:val="auto"/>
          <w:kern w:val="0"/>
          <w:szCs w:val="21"/>
          <w:highlight w:val="none"/>
          <w:lang w:val="zh-CN"/>
        </w:rPr>
      </w:pPr>
      <w:bookmarkStart w:id="575" w:name="_Hlk101134295"/>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bookmarkEnd w:id="575"/>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pPr>
        <w:snapToGrid w:val="0"/>
        <w:spacing w:line="360" w:lineRule="auto"/>
        <w:ind w:firstLine="576"/>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X,</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提供的全部货物由小微企业制造，其合同份额占到合同总金额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rPr>
        <w:t>2、中小企业合同金额达到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ind w:right="960"/>
        <w:rPr>
          <w:rFonts w:ascii="宋体" w:hAnsi="宋体" w:cs="宋体"/>
          <w:color w:val="auto"/>
          <w:szCs w:val="21"/>
          <w:highlight w:val="none"/>
        </w:rPr>
      </w:pPr>
      <w:r>
        <w:rPr>
          <w:rFonts w:hint="eastAsia" w:ascii="宋体" w:hAnsi="宋体" w:cs="宋体"/>
          <w:color w:val="auto"/>
          <w:kern w:val="0"/>
          <w:szCs w:val="21"/>
          <w:highlight w:val="none"/>
          <w:lang w:val="zh-CN"/>
        </w:rPr>
        <w:t>日期：  年  月   日</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注：按本格式和要求提供。</w:t>
      </w:r>
    </w:p>
    <w:p>
      <w:pPr>
        <w:pStyle w:val="2"/>
        <w:ind w:firstLine="422"/>
        <w:rPr>
          <w:rFonts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附件6：分包意向协议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2024年钱塘区宁静工地建设项目【招标编号：</w:t>
      </w:r>
      <w:r>
        <w:rPr>
          <w:rFonts w:hint="eastAsia" w:ascii="宋体" w:hAnsi="宋体" w:cs="宋体"/>
          <w:color w:val="auto"/>
          <w:szCs w:val="21"/>
          <w:highlight w:val="none"/>
          <w:lang w:eastAsia="zh-CN"/>
        </w:rPr>
        <w:t>QTCG-GK-2024-214</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hint="eastAsia" w:ascii="宋体" w:hAnsi="宋体" w:cs="宋体"/>
          <w:color w:val="auto"/>
          <w:szCs w:val="21"/>
          <w:highlight w:val="none"/>
          <w:u w:val="single"/>
        </w:rPr>
        <w:t xml:space="preserve"> </w:t>
      </w:r>
      <w:r>
        <w:rPr>
          <w:rFonts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pPr>
        <w:ind w:left="664" w:leftChars="316" w:firstLine="199" w:firstLineChars="95"/>
        <w:rPr>
          <w:color w:val="auto"/>
          <w:szCs w:val="21"/>
          <w:highlight w:val="none"/>
        </w:rPr>
      </w:pPr>
      <w:r>
        <w:rPr>
          <w:rFonts w:hint="eastAsia"/>
          <w:color w:val="auto"/>
          <w:szCs w:val="21"/>
          <w:highlight w:val="none"/>
        </w:rPr>
        <w:t>……</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二、分包供应商中小企业合同份额</w:t>
      </w:r>
    </w:p>
    <w:p>
      <w:pPr>
        <w:snapToGrid w:val="0"/>
        <w:spacing w:line="360" w:lineRule="auto"/>
        <w:ind w:firstLine="576"/>
        <w:rPr>
          <w:rFonts w:ascii="宋体" w:hAnsi="宋体" w:cs="宋体"/>
          <w:color w:val="auto"/>
          <w:szCs w:val="21"/>
          <w:highlight w:val="none"/>
          <w:lang w:val="zh-CN"/>
        </w:rPr>
      </w:pPr>
      <w:r>
        <w:rPr>
          <w:rFonts w:ascii="宋体" w:hAnsi="宋体" w:cs="宋体"/>
          <w:color w:val="auto"/>
          <w:kern w:val="0"/>
          <w:szCs w:val="21"/>
          <w:highlight w:val="none"/>
        </w:rPr>
        <w:t>1、</w:t>
      </w:r>
      <w:r>
        <w:rPr>
          <w:rFonts w:hint="eastAsia" w:ascii="宋体" w:hAnsi="宋体" w:cs="宋体"/>
          <w:color w:val="auto"/>
          <w:kern w:val="0"/>
          <w:szCs w:val="21"/>
          <w:highlight w:val="none"/>
          <w:u w:val="single"/>
        </w:rPr>
        <w:t>（分包供应商X</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……）提供的货物全部由小微企业制造，</w:t>
      </w:r>
      <w:r>
        <w:rPr>
          <w:rFonts w:hint="eastAsia" w:ascii="宋体" w:hAnsi="宋体" w:cs="宋体"/>
          <w:color w:val="auto"/>
          <w:kern w:val="0"/>
          <w:szCs w:val="21"/>
          <w:highlight w:val="none"/>
        </w:rPr>
        <w:t>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szCs w:val="21"/>
          <w:highlight w:val="none"/>
        </w:rPr>
        <w:t>。</w:t>
      </w:r>
      <w:r>
        <w:rPr>
          <w:rFonts w:hint="eastAsia" w:ascii="宋体" w:hAnsi="宋体" w:cs="宋体"/>
          <w:color w:val="auto"/>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color w:val="auto"/>
          <w:szCs w:val="21"/>
          <w:highlight w:val="none"/>
        </w:rPr>
        <w:t>拟享受以上价格扣除政策的，填写有关内容。</w:t>
      </w:r>
      <w:r>
        <w:rPr>
          <w:rFonts w:hint="eastAsia" w:ascii="宋体" w:hAnsi="宋体" w:cs="宋体"/>
          <w:color w:val="auto"/>
          <w:szCs w:val="21"/>
          <w:highlight w:val="none"/>
          <w:lang w:val="zh-CN"/>
        </w:rPr>
        <w:t>）</w:t>
      </w:r>
    </w:p>
    <w:p>
      <w:pPr>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w:t>
      </w:r>
      <w:bookmarkStart w:id="576" w:name="_Hlk101133173"/>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bookmarkEnd w:id="576"/>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pPr>
        <w:snapToGrid w:val="0"/>
        <w:spacing w:line="360" w:lineRule="auto"/>
        <w:ind w:firstLine="576"/>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pPr>
        <w:snapToGrid w:val="0"/>
        <w:spacing w:line="360" w:lineRule="auto"/>
        <w:ind w:left="573" w:leftChars="273"/>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snapToGrid w:val="0"/>
        <w:spacing w:line="360" w:lineRule="auto"/>
        <w:ind w:left="573" w:leftChars="273"/>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pPr>
        <w:snapToGrid w:val="0"/>
        <w:spacing w:line="360" w:lineRule="auto"/>
        <w:ind w:left="5128" w:leftChars="342" w:hanging="4410" w:hanging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投标人名称(电子签名)：</w:t>
      </w:r>
    </w:p>
    <w:p>
      <w:pPr>
        <w:snapToGrid w:val="0"/>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分包供应商名称(电子签名/公章)：</w:t>
      </w:r>
    </w:p>
    <w:p>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Cs w:val="21"/>
          <w:highlight w:val="none"/>
          <w:lang w:val="zh-CN"/>
        </w:rPr>
        <w:t>……</w:t>
      </w:r>
    </w:p>
    <w:p>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pPr>
        <w:autoSpaceDE w:val="0"/>
        <w:autoSpaceDN w:val="0"/>
        <w:jc w:val="center"/>
        <w:rPr>
          <w:rFonts w:ascii="宋体" w:hAnsi="宋体" w:cs="宋体"/>
          <w:b/>
          <w:color w:val="auto"/>
          <w:spacing w:val="6"/>
          <w:szCs w:val="21"/>
          <w:highlight w:val="none"/>
        </w:rPr>
      </w:pPr>
    </w:p>
    <w:p>
      <w:pPr>
        <w:autoSpaceDE w:val="0"/>
        <w:autoSpaceDN w:val="0"/>
        <w:jc w:val="center"/>
        <w:rPr>
          <w:rFonts w:ascii="宋体" w:hAnsi="宋体" w:cs="宋体"/>
          <w:b/>
          <w:color w:val="auto"/>
          <w:spacing w:val="6"/>
          <w:szCs w:val="21"/>
          <w:highlight w:val="none"/>
        </w:rPr>
      </w:pPr>
    </w:p>
    <w:p>
      <w:pPr>
        <w:rPr>
          <w:rFonts w:ascii="宋体" w:hAnsi="宋体" w:cs="宋体"/>
          <w:b/>
          <w:color w:val="auto"/>
          <w:spacing w:val="6"/>
          <w:szCs w:val="21"/>
          <w:highlight w:val="none"/>
        </w:rPr>
      </w:pPr>
      <w:r>
        <w:rPr>
          <w:rFonts w:hint="eastAsia" w:ascii="宋体" w:hAnsi="宋体" w:cs="宋体"/>
          <w:b/>
          <w:color w:val="auto"/>
          <w:spacing w:val="6"/>
          <w:szCs w:val="21"/>
          <w:highlight w:val="none"/>
        </w:rPr>
        <w:br w:type="page"/>
      </w:r>
    </w:p>
    <w:p>
      <w:pPr>
        <w:pStyle w:val="2"/>
        <w:ind w:firstLine="422"/>
        <w:rPr>
          <w:rFonts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附件7：中小企业声明函</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中小企业声明函（货物）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Cs w:val="21"/>
          <w:highlight w:val="none"/>
          <w:u w:val="single"/>
        </w:rPr>
        <w:t xml:space="preserve">杭州市生态环境局钱塘分局  </w:t>
      </w:r>
      <w:r>
        <w:rPr>
          <w:rFonts w:hint="eastAsia" w:ascii="宋体" w:hAnsi="宋体" w:cs="宋体"/>
          <w:color w:val="auto"/>
          <w:szCs w:val="21"/>
          <w:highlight w:val="none"/>
        </w:rPr>
        <w:t xml:space="preserve">的 </w:t>
      </w:r>
      <w:r>
        <w:rPr>
          <w:rFonts w:hint="eastAsia" w:ascii="宋体" w:hAnsi="宋体" w:cs="宋体"/>
          <w:color w:val="auto"/>
          <w:szCs w:val="21"/>
          <w:highlight w:val="none"/>
          <w:u w:val="single"/>
        </w:rPr>
        <w:t>2024年钱塘区宁静工地建设项目</w:t>
      </w:r>
      <w:r>
        <w:rPr>
          <w:rFonts w:hint="eastAsia" w:ascii="宋体" w:hAnsi="宋体" w:cs="宋体"/>
          <w:color w:val="auto"/>
          <w:szCs w:val="21"/>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噪声智能监测设备（高配）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工业 </w:t>
      </w:r>
      <w:r>
        <w:rPr>
          <w:rFonts w:hint="eastAsia" w:ascii="宋体" w:hAnsi="宋体" w:cs="宋体"/>
          <w:color w:val="auto"/>
          <w:szCs w:val="21"/>
          <w:highlight w:val="none"/>
        </w:rPr>
        <w:t>行业 ；制造商为</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中型企业、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小型企业、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微型企业）</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噪声自动监测设备（标配）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工业 </w:t>
      </w:r>
      <w:r>
        <w:rPr>
          <w:rFonts w:hint="eastAsia" w:ascii="宋体" w:hAnsi="宋体" w:cs="宋体"/>
          <w:color w:val="auto"/>
          <w:szCs w:val="21"/>
          <w:highlight w:val="none"/>
        </w:rPr>
        <w:t>行业 ；制造商为</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中型企业、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小型企业、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微型企业）</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napToGrid w:val="0"/>
        <w:spacing w:line="360" w:lineRule="auto"/>
        <w:ind w:firstLine="4515" w:firstLineChars="215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1、填写要求：</w:t>
      </w:r>
      <w:r>
        <w:rPr>
          <w:rFonts w:hint="eastAsia" w:ascii="宋体" w:hAnsi="宋体" w:cs="宋体"/>
          <w:b/>
          <w:bCs/>
          <w:color w:val="auto"/>
          <w:szCs w:val="21"/>
          <w:highlight w:val="none"/>
          <w:u w:val="single"/>
        </w:rPr>
        <w:t>①“标的名称”、“采购文件中明确的所属行业”依据招标文件第二部分投标人须知前附表中“采购标的及其对应的中小企业划分标准所属行业”的指引，逐一填写，不得缺漏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Cs w:val="21"/>
          <w:highlight w:val="none"/>
          <w:u w:val="single"/>
        </w:rPr>
        <w:t>；</w:t>
      </w:r>
      <w:r>
        <w:rPr>
          <w:rFonts w:hint="eastAsia" w:ascii="宋体" w:hAnsi="宋体" w:cs="宋体"/>
          <w:color w:val="auto"/>
          <w:szCs w:val="21"/>
          <w:highlight w:val="none"/>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ind w:firstLine="422"/>
        <w:rPr>
          <w:rFonts w:ascii="宋体" w:hAnsi="宋体" w:cs="宋体"/>
          <w:bCs w:val="0"/>
          <w:color w:val="auto"/>
          <w:kern w:val="0"/>
          <w:sz w:val="21"/>
          <w:szCs w:val="21"/>
          <w:highlight w:val="none"/>
        </w:rPr>
      </w:pPr>
      <w:r>
        <w:rPr>
          <w:rFonts w:hint="eastAsia" w:ascii="宋体" w:hAnsi="宋体" w:cs="宋体"/>
          <w:bCs w:val="0"/>
          <w:color w:val="auto"/>
          <w:kern w:val="0"/>
          <w:sz w:val="21"/>
          <w:szCs w:val="21"/>
          <w:highlight w:val="none"/>
        </w:rPr>
        <w:t>附件8：政府采购活动现场确认声明书</w:t>
      </w:r>
    </w:p>
    <w:p>
      <w:pPr>
        <w:spacing w:line="360" w:lineRule="auto"/>
        <w:jc w:val="center"/>
        <w:rPr>
          <w:rFonts w:ascii="宋体" w:hAnsi="宋体" w:cs="宋体"/>
          <w:b/>
          <w:bCs/>
          <w:color w:val="auto"/>
          <w:szCs w:val="21"/>
          <w:highlight w:val="none"/>
        </w:rPr>
      </w:pP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政府采购活动现场确认声明书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浙江省成套招标代理有限公司：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本人经由单位法定代表人合法授权参加</w:t>
      </w:r>
      <w:r>
        <w:rPr>
          <w:rFonts w:hint="eastAsia" w:ascii="宋体" w:hAnsi="宋体" w:cs="宋体"/>
          <w:color w:val="auto"/>
          <w:szCs w:val="21"/>
          <w:highlight w:val="none"/>
          <w:u w:val="single"/>
        </w:rPr>
        <w:t>杭州市生态环境局钱塘分局</w:t>
      </w:r>
      <w:r>
        <w:rPr>
          <w:rFonts w:hint="eastAsia" w:ascii="宋体" w:hAnsi="宋体" w:cs="宋体"/>
          <w:color w:val="auto"/>
          <w:szCs w:val="21"/>
          <w:highlight w:val="none"/>
        </w:rPr>
        <w:t>（采购人）</w:t>
      </w:r>
      <w:r>
        <w:rPr>
          <w:rFonts w:hint="eastAsia" w:ascii="宋体" w:hAnsi="宋体" w:cs="宋体"/>
          <w:color w:val="auto"/>
          <w:szCs w:val="21"/>
          <w:highlight w:val="none"/>
          <w:u w:val="single"/>
        </w:rPr>
        <w:t>2024年钱塘区宁静工地建设项目</w:t>
      </w: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QTCG-GK-2024-214</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钱塘区生态环境应急指挥中心迭代升级</w:t>
      </w:r>
      <w:r>
        <w:rPr>
          <w:rFonts w:hint="eastAsia" w:ascii="宋体" w:hAnsi="宋体" w:cs="宋体"/>
          <w:color w:val="auto"/>
          <w:szCs w:val="21"/>
          <w:highlight w:val="none"/>
        </w:rPr>
        <w:t>（标项名称）政府采购活动，经与本单位法人代表人联系确认，现就有关公平竞争事项郑重声明如下：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一、本单位与采购人之间 </w:t>
      </w:r>
      <w:r>
        <w:rPr>
          <w:rFonts w:hint="eastAsia" w:ascii="宋体" w:hAnsi="宋体" w:cs="宋体"/>
          <w:color w:val="auto"/>
          <w:kern w:val="0"/>
          <w:szCs w:val="21"/>
          <w:highlight w:val="none"/>
        </w:rPr>
        <w:sym w:font="Wingdings 2" w:char="00A3"/>
      </w:r>
      <w:r>
        <w:rPr>
          <w:rFonts w:hint="eastAsia" w:ascii="宋体" w:hAnsi="宋体" w:cs="宋体"/>
          <w:color w:val="auto"/>
          <w:szCs w:val="21"/>
          <w:highlight w:val="none"/>
        </w:rPr>
        <w:t xml:space="preserve">不存在利害关系 </w:t>
      </w:r>
      <w:r>
        <w:rPr>
          <w:rFonts w:hint="eastAsia" w:ascii="宋体" w:hAnsi="宋体" w:cs="宋体"/>
          <w:color w:val="auto"/>
          <w:kern w:val="0"/>
          <w:szCs w:val="21"/>
          <w:highlight w:val="none"/>
        </w:rPr>
        <w:sym w:font="Wingdings 2" w:char="00A3"/>
      </w:r>
      <w:r>
        <w:rPr>
          <w:rFonts w:hint="eastAsia" w:ascii="宋体" w:hAnsi="宋体" w:cs="宋体"/>
          <w:color w:val="auto"/>
          <w:szCs w:val="21"/>
          <w:highlight w:val="none"/>
        </w:rPr>
        <w:t>存在下列利害关系【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A.投资关系    B.行政隶属关系    C.业务指导关系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D.其他可能影响采购公正的利害关系（如有，请如实说明）【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二、现已清楚知道参加本项目采购活动的其他所有供应商名称，本单位 </w:t>
      </w:r>
      <w:r>
        <w:rPr>
          <w:rFonts w:hint="eastAsia" w:ascii="宋体" w:hAnsi="宋体" w:cs="宋体"/>
          <w:color w:val="auto"/>
          <w:kern w:val="0"/>
          <w:szCs w:val="21"/>
          <w:highlight w:val="none"/>
        </w:rPr>
        <w:sym w:font="Wingdings 2" w:char="00A3"/>
      </w:r>
      <w:r>
        <w:rPr>
          <w:rFonts w:hint="eastAsia" w:ascii="宋体" w:hAnsi="宋体" w:cs="宋体"/>
          <w:color w:val="auto"/>
          <w:szCs w:val="21"/>
          <w:highlight w:val="none"/>
        </w:rPr>
        <w:t xml:space="preserve">与其他所有供应商之间均不存在利害关系 </w:t>
      </w:r>
      <w:r>
        <w:rPr>
          <w:rFonts w:hint="eastAsia" w:ascii="宋体" w:hAnsi="宋体" w:cs="宋体"/>
          <w:color w:val="auto"/>
          <w:kern w:val="0"/>
          <w:szCs w:val="21"/>
          <w:highlight w:val="none"/>
        </w:rPr>
        <w:sym w:font="Wingdings 2" w:char="00A3"/>
      </w:r>
      <w:r>
        <w:rPr>
          <w:rFonts w:hint="eastAsia" w:ascii="宋体" w:hAnsi="宋体" w:cs="宋体"/>
          <w:color w:val="auto"/>
          <w:szCs w:val="21"/>
          <w:highlight w:val="none"/>
        </w:rPr>
        <w:t>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】（供应商名称）之间存在下列利害关系【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A.法定代表人或负责人或实际控制人是同一人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B.法定代表人或负责人或实际控制人是夫妻关系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C.法定代表人或负责人或实际控制人是直系血亲关系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D.法定代表人或负责人或实际控制人存在三代以内旁系血亲关系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E.法定代表人或负责人或实际控制人存在近姻亲关系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F.法定代表人或负责人或实际控制人存在股份控制或实际控制关系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G.存在共同直接或间接投资设立子公司、联营企业和合营企业情况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H.存在分级代理或代销关系、同一生产制造商关系、管理关系、重要业务（占主营业务收入50%以上）或重要财务往来关系（如融资）等其他实质性控制关系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I.其他利害关系情况【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三、现已清楚知道并严格遵守政府采购法律法规和现场纪律。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四、我发现【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】供应商之间存在或可能存在上述第二条第【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】项利害关系。</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pPr>
        <w:pStyle w:val="319"/>
        <w:spacing w:line="360" w:lineRule="auto"/>
        <w:ind w:firstLine="420"/>
        <w:jc w:val="right"/>
        <w:rPr>
          <w:rFonts w:hAnsi="宋体" w:eastAsia="宋体" w:cs="宋体"/>
          <w:color w:val="auto"/>
          <w:sz w:val="21"/>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（1）供应商解密响应文件及获知其他供应商信息进行如实声明并盖章，以扫描件形式提交给采购代理机构，邮箱：linyy@zjsct.cn。</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（2）此声明书不用编入投标文件中。</w:t>
      </w:r>
    </w:p>
    <w:sectPr>
      <w:footerReference r:id="rId13" w:type="first"/>
      <w:footerReference r:id="rId11" w:type="default"/>
      <w:footerReference r:id="rId1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94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bookmarkStart w:id="577" w:name="_Toc131845147"/>
    <w:bookmarkStart w:id="578" w:name="_Toc36110187"/>
    <w:bookmarkStart w:id="579" w:name="_Toc91899912"/>
    <w:bookmarkStart w:id="580" w:name="_Toc164085800"/>
    <w:r>
      <w:rPr>
        <w:rFonts w:hint="eastAsia" w:ascii="仿宋_GB2312" w:eastAsia="仿宋_GB2312"/>
        <w:kern w:val="0"/>
        <w:szCs w:val="21"/>
      </w:rPr>
      <w:t xml:space="preserve"> 页</w:t>
    </w:r>
    <w:bookmarkEnd w:id="577"/>
    <w:bookmarkEnd w:id="578"/>
    <w:bookmarkEnd w:id="579"/>
    <w:bookmarkEnd w:id="5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4" w:space="1"/>
      </w:pBdr>
    </w:pPr>
    <w:r>
      <w:rPr>
        <w:lang w:val="zh-CN"/>
      </w:rPr>
      <w:t></w:t>
    </w:r>
    <w:r>
      <w:rPr>
        <w:rFonts w:hint="eastAsia"/>
      </w:rPr>
      <w:t>杭州市生态环境局钱塘分局新建工业园区空气自动监测站项目招标文件</w:t>
    </w:r>
  </w:p>
  <w:p>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rPr>
        <w:rFonts w:hint="eastAsia"/>
      </w:rPr>
      <w:t>2024年钱塘区宁静工地建设项目</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2024年钱塘区宁静工地建设项目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A383F"/>
    <w:multiLevelType w:val="singleLevel"/>
    <w:tmpl w:val="A69A383F"/>
    <w:lvl w:ilvl="0" w:tentative="0">
      <w:start w:val="1"/>
      <w:numFmt w:val="chineseCounting"/>
      <w:suff w:val="nothing"/>
      <w:lvlText w:val="%1、"/>
      <w:lvlJc w:val="left"/>
      <w:pPr>
        <w:ind w:left="0" w:firstLine="420"/>
      </w:pPr>
      <w:rPr>
        <w:rFonts w:hint="eastAsia"/>
      </w:rPr>
    </w:lvl>
  </w:abstractNum>
  <w:abstractNum w:abstractNumId="1">
    <w:nsid w:val="AA7325E6"/>
    <w:multiLevelType w:val="singleLevel"/>
    <w:tmpl w:val="AA7325E6"/>
    <w:lvl w:ilvl="0" w:tentative="0">
      <w:start w:val="1"/>
      <w:numFmt w:val="decimal"/>
      <w:suff w:val="nothing"/>
      <w:lvlText w:val="（%1）"/>
      <w:lvlJc w:val="left"/>
    </w:lvl>
  </w:abstractNum>
  <w:abstractNum w:abstractNumId="2">
    <w:nsid w:val="F1D869E2"/>
    <w:multiLevelType w:val="singleLevel"/>
    <w:tmpl w:val="F1D869E2"/>
    <w:lvl w:ilvl="0" w:tentative="0">
      <w:start w:val="7"/>
      <w:numFmt w:val="chineseCounting"/>
      <w:suff w:val="nothing"/>
      <w:lvlText w:val="%1、"/>
      <w:lvlJc w:val="left"/>
      <w:rPr>
        <w:rFonts w:hint="eastAsia"/>
      </w:rPr>
    </w:lvl>
  </w:abstractNum>
  <w:abstractNum w:abstractNumId="3">
    <w:nsid w:val="F2D5B281"/>
    <w:multiLevelType w:val="singleLevel"/>
    <w:tmpl w:val="F2D5B281"/>
    <w:lvl w:ilvl="0" w:tentative="0">
      <w:start w:val="1"/>
      <w:numFmt w:val="decimal"/>
      <w:lvlText w:val=" %1"/>
      <w:lvlJc w:val="left"/>
      <w:pPr>
        <w:tabs>
          <w:tab w:val="left" w:pos="420"/>
        </w:tabs>
        <w:ind w:left="425" w:hanging="425"/>
      </w:pPr>
      <w:rPr>
        <w:rFonts w:hint="default"/>
      </w:rPr>
    </w:lvl>
  </w:abstractNum>
  <w:abstractNum w:abstractNumId="4">
    <w:nsid w:val="7222999D"/>
    <w:multiLevelType w:val="singleLevel"/>
    <w:tmpl w:val="7222999D"/>
    <w:lvl w:ilvl="0" w:tentative="0">
      <w:start w:val="3"/>
      <w:numFmt w:val="chineseCounting"/>
      <w:suff w:val="space"/>
      <w:lvlText w:val="第%1部分"/>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mMTljZjJlMzRhMzcwZWI0YzhlYmExYTBlMzZi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DF0"/>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0BA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2F10"/>
    <w:rsid w:val="000539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332"/>
    <w:rsid w:val="000904F6"/>
    <w:rsid w:val="00090918"/>
    <w:rsid w:val="00090ED8"/>
    <w:rsid w:val="00090F9F"/>
    <w:rsid w:val="0009145F"/>
    <w:rsid w:val="0009184E"/>
    <w:rsid w:val="00091B4E"/>
    <w:rsid w:val="000923DB"/>
    <w:rsid w:val="00092467"/>
    <w:rsid w:val="00092509"/>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676"/>
    <w:rsid w:val="000B5FE8"/>
    <w:rsid w:val="000B666E"/>
    <w:rsid w:val="000C0A43"/>
    <w:rsid w:val="000C0C59"/>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824"/>
    <w:rsid w:val="000D7C9D"/>
    <w:rsid w:val="000D7CE0"/>
    <w:rsid w:val="000E063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3F7C"/>
    <w:rsid w:val="000F4495"/>
    <w:rsid w:val="000F4A05"/>
    <w:rsid w:val="000F4AA8"/>
    <w:rsid w:val="000F4AEA"/>
    <w:rsid w:val="000F4E67"/>
    <w:rsid w:val="000F505B"/>
    <w:rsid w:val="000F5677"/>
    <w:rsid w:val="000F5DDB"/>
    <w:rsid w:val="000F6095"/>
    <w:rsid w:val="000F628E"/>
    <w:rsid w:val="000F68A0"/>
    <w:rsid w:val="000F6CC2"/>
    <w:rsid w:val="000F729C"/>
    <w:rsid w:val="000F7D4B"/>
    <w:rsid w:val="00100162"/>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6F8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1F7"/>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5F64"/>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E13"/>
    <w:rsid w:val="00151820"/>
    <w:rsid w:val="00151B2F"/>
    <w:rsid w:val="001524DC"/>
    <w:rsid w:val="001525E5"/>
    <w:rsid w:val="001535CF"/>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51"/>
    <w:rsid w:val="001755DC"/>
    <w:rsid w:val="001763D8"/>
    <w:rsid w:val="00176AA6"/>
    <w:rsid w:val="00177063"/>
    <w:rsid w:val="00180A47"/>
    <w:rsid w:val="00180EC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7BE"/>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96F"/>
    <w:rsid w:val="001A06B5"/>
    <w:rsid w:val="001A07F8"/>
    <w:rsid w:val="001A0A23"/>
    <w:rsid w:val="001A0C98"/>
    <w:rsid w:val="001A128B"/>
    <w:rsid w:val="001A1475"/>
    <w:rsid w:val="001A1F0E"/>
    <w:rsid w:val="001A3335"/>
    <w:rsid w:val="001A473A"/>
    <w:rsid w:val="001A4977"/>
    <w:rsid w:val="001A4ED9"/>
    <w:rsid w:val="001A5785"/>
    <w:rsid w:val="001A5FD7"/>
    <w:rsid w:val="001A62C8"/>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15F"/>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7A7"/>
    <w:rsid w:val="001F41F3"/>
    <w:rsid w:val="001F5DA1"/>
    <w:rsid w:val="001F612E"/>
    <w:rsid w:val="001F6A92"/>
    <w:rsid w:val="001F77E8"/>
    <w:rsid w:val="0020022C"/>
    <w:rsid w:val="00201A0C"/>
    <w:rsid w:val="00201B0F"/>
    <w:rsid w:val="0020255A"/>
    <w:rsid w:val="002027B1"/>
    <w:rsid w:val="00202800"/>
    <w:rsid w:val="00202D33"/>
    <w:rsid w:val="00202E58"/>
    <w:rsid w:val="00202F99"/>
    <w:rsid w:val="00203C85"/>
    <w:rsid w:val="0020449A"/>
    <w:rsid w:val="00204E9B"/>
    <w:rsid w:val="00205298"/>
    <w:rsid w:val="002055C0"/>
    <w:rsid w:val="0020569E"/>
    <w:rsid w:val="0020622F"/>
    <w:rsid w:val="00206698"/>
    <w:rsid w:val="00206736"/>
    <w:rsid w:val="00206C88"/>
    <w:rsid w:val="00206F04"/>
    <w:rsid w:val="00210B9C"/>
    <w:rsid w:val="00211185"/>
    <w:rsid w:val="00211A94"/>
    <w:rsid w:val="002124AA"/>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6795"/>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EE"/>
    <w:rsid w:val="0024415B"/>
    <w:rsid w:val="00245565"/>
    <w:rsid w:val="002458C1"/>
    <w:rsid w:val="00245E62"/>
    <w:rsid w:val="002460D0"/>
    <w:rsid w:val="00246357"/>
    <w:rsid w:val="002467B2"/>
    <w:rsid w:val="00247422"/>
    <w:rsid w:val="00247BA2"/>
    <w:rsid w:val="00250870"/>
    <w:rsid w:val="0025151C"/>
    <w:rsid w:val="0025184F"/>
    <w:rsid w:val="00251967"/>
    <w:rsid w:val="002527CC"/>
    <w:rsid w:val="00252F48"/>
    <w:rsid w:val="002530C0"/>
    <w:rsid w:val="00253525"/>
    <w:rsid w:val="00253586"/>
    <w:rsid w:val="002537FC"/>
    <w:rsid w:val="002542F8"/>
    <w:rsid w:val="002543EF"/>
    <w:rsid w:val="00254E08"/>
    <w:rsid w:val="00254F2A"/>
    <w:rsid w:val="00255784"/>
    <w:rsid w:val="00255A29"/>
    <w:rsid w:val="0025631F"/>
    <w:rsid w:val="00256986"/>
    <w:rsid w:val="00256D61"/>
    <w:rsid w:val="00256E23"/>
    <w:rsid w:val="00257246"/>
    <w:rsid w:val="00257438"/>
    <w:rsid w:val="0025766B"/>
    <w:rsid w:val="0026119C"/>
    <w:rsid w:val="00261AFE"/>
    <w:rsid w:val="0026212A"/>
    <w:rsid w:val="002621D7"/>
    <w:rsid w:val="00262482"/>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7B3"/>
    <w:rsid w:val="00270CF6"/>
    <w:rsid w:val="00271097"/>
    <w:rsid w:val="00271C53"/>
    <w:rsid w:val="0027244F"/>
    <w:rsid w:val="00273052"/>
    <w:rsid w:val="002739CE"/>
    <w:rsid w:val="00273C0A"/>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95"/>
    <w:rsid w:val="002867C6"/>
    <w:rsid w:val="0028744E"/>
    <w:rsid w:val="002876D2"/>
    <w:rsid w:val="00287936"/>
    <w:rsid w:val="00287BB7"/>
    <w:rsid w:val="002903C5"/>
    <w:rsid w:val="0029041B"/>
    <w:rsid w:val="00290A99"/>
    <w:rsid w:val="00290EAF"/>
    <w:rsid w:val="0029159A"/>
    <w:rsid w:val="00291CF1"/>
    <w:rsid w:val="00291D0B"/>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C2C"/>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3B7E"/>
    <w:rsid w:val="002C4286"/>
    <w:rsid w:val="002C43FC"/>
    <w:rsid w:val="002C45C3"/>
    <w:rsid w:val="002C483B"/>
    <w:rsid w:val="002C4DFE"/>
    <w:rsid w:val="002C519E"/>
    <w:rsid w:val="002C5D5E"/>
    <w:rsid w:val="002C6116"/>
    <w:rsid w:val="002C643D"/>
    <w:rsid w:val="002C645F"/>
    <w:rsid w:val="002C66B8"/>
    <w:rsid w:val="002C6EBA"/>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919"/>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32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8AD"/>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F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757"/>
    <w:rsid w:val="0035455F"/>
    <w:rsid w:val="00355D75"/>
    <w:rsid w:val="00355D8F"/>
    <w:rsid w:val="00356A73"/>
    <w:rsid w:val="00356FF0"/>
    <w:rsid w:val="003577EF"/>
    <w:rsid w:val="00357A3A"/>
    <w:rsid w:val="00357A60"/>
    <w:rsid w:val="00360145"/>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993"/>
    <w:rsid w:val="0037632F"/>
    <w:rsid w:val="003775CD"/>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CAD"/>
    <w:rsid w:val="003A0F6B"/>
    <w:rsid w:val="003A12B6"/>
    <w:rsid w:val="003A1804"/>
    <w:rsid w:val="003A1C44"/>
    <w:rsid w:val="003A20D5"/>
    <w:rsid w:val="003A24CC"/>
    <w:rsid w:val="003A2512"/>
    <w:rsid w:val="003A2A53"/>
    <w:rsid w:val="003A2EE8"/>
    <w:rsid w:val="003A373C"/>
    <w:rsid w:val="003A3FE3"/>
    <w:rsid w:val="003A5378"/>
    <w:rsid w:val="003A553C"/>
    <w:rsid w:val="003A56DF"/>
    <w:rsid w:val="003A6008"/>
    <w:rsid w:val="003A703F"/>
    <w:rsid w:val="003A7E2B"/>
    <w:rsid w:val="003A7E40"/>
    <w:rsid w:val="003B0336"/>
    <w:rsid w:val="003B0922"/>
    <w:rsid w:val="003B0A3A"/>
    <w:rsid w:val="003B0A6B"/>
    <w:rsid w:val="003B0D79"/>
    <w:rsid w:val="003B261D"/>
    <w:rsid w:val="003B2930"/>
    <w:rsid w:val="003B31A7"/>
    <w:rsid w:val="003B4587"/>
    <w:rsid w:val="003B4B51"/>
    <w:rsid w:val="003B4DFE"/>
    <w:rsid w:val="003B4FE1"/>
    <w:rsid w:val="003B514E"/>
    <w:rsid w:val="003B5531"/>
    <w:rsid w:val="003B636A"/>
    <w:rsid w:val="003B69CE"/>
    <w:rsid w:val="003B7403"/>
    <w:rsid w:val="003C011C"/>
    <w:rsid w:val="003C0E32"/>
    <w:rsid w:val="003C11D7"/>
    <w:rsid w:val="003C16CB"/>
    <w:rsid w:val="003C1B97"/>
    <w:rsid w:val="003C247B"/>
    <w:rsid w:val="003C3292"/>
    <w:rsid w:val="003C38BB"/>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A50"/>
    <w:rsid w:val="003E006E"/>
    <w:rsid w:val="003E0947"/>
    <w:rsid w:val="003E0E96"/>
    <w:rsid w:val="003E1147"/>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453"/>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1C4"/>
    <w:rsid w:val="00413FEE"/>
    <w:rsid w:val="00414909"/>
    <w:rsid w:val="00414E7E"/>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A1C"/>
    <w:rsid w:val="00427FA8"/>
    <w:rsid w:val="0043009D"/>
    <w:rsid w:val="0043026B"/>
    <w:rsid w:val="00430299"/>
    <w:rsid w:val="004306D4"/>
    <w:rsid w:val="00431A2A"/>
    <w:rsid w:val="0043295F"/>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A2"/>
    <w:rsid w:val="004475F7"/>
    <w:rsid w:val="0045057B"/>
    <w:rsid w:val="0045069B"/>
    <w:rsid w:val="00450B22"/>
    <w:rsid w:val="00451709"/>
    <w:rsid w:val="004518FA"/>
    <w:rsid w:val="00451A02"/>
    <w:rsid w:val="00451AB4"/>
    <w:rsid w:val="0045277C"/>
    <w:rsid w:val="00453507"/>
    <w:rsid w:val="00453592"/>
    <w:rsid w:val="00453B88"/>
    <w:rsid w:val="004543AB"/>
    <w:rsid w:val="004545EC"/>
    <w:rsid w:val="004553AC"/>
    <w:rsid w:val="00455967"/>
    <w:rsid w:val="00455F71"/>
    <w:rsid w:val="00456272"/>
    <w:rsid w:val="0045679C"/>
    <w:rsid w:val="004570EF"/>
    <w:rsid w:val="00457517"/>
    <w:rsid w:val="00457CF7"/>
    <w:rsid w:val="00457D37"/>
    <w:rsid w:val="00457D7B"/>
    <w:rsid w:val="00457E9F"/>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9C3"/>
    <w:rsid w:val="00486A59"/>
    <w:rsid w:val="00486D00"/>
    <w:rsid w:val="00487EE3"/>
    <w:rsid w:val="00487FE1"/>
    <w:rsid w:val="00490707"/>
    <w:rsid w:val="00490815"/>
    <w:rsid w:val="0049117E"/>
    <w:rsid w:val="004913C2"/>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FEC"/>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25F"/>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B8"/>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D0A"/>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615"/>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107"/>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7E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2EA2"/>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5C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276"/>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3BB1"/>
    <w:rsid w:val="00594437"/>
    <w:rsid w:val="00594B70"/>
    <w:rsid w:val="00596CFA"/>
    <w:rsid w:val="00596EC6"/>
    <w:rsid w:val="005975CE"/>
    <w:rsid w:val="005A0088"/>
    <w:rsid w:val="005A04F6"/>
    <w:rsid w:val="005A14F0"/>
    <w:rsid w:val="005A1861"/>
    <w:rsid w:val="005A1A31"/>
    <w:rsid w:val="005A1A63"/>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843"/>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C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629"/>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E7A"/>
    <w:rsid w:val="0063001E"/>
    <w:rsid w:val="00630023"/>
    <w:rsid w:val="006308EE"/>
    <w:rsid w:val="00630C70"/>
    <w:rsid w:val="00630D67"/>
    <w:rsid w:val="00631005"/>
    <w:rsid w:val="00631C79"/>
    <w:rsid w:val="00632727"/>
    <w:rsid w:val="0063283D"/>
    <w:rsid w:val="00632C10"/>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C72"/>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BA4"/>
    <w:rsid w:val="006901AC"/>
    <w:rsid w:val="00690C8D"/>
    <w:rsid w:val="00691890"/>
    <w:rsid w:val="00691AAD"/>
    <w:rsid w:val="00691CD1"/>
    <w:rsid w:val="00692416"/>
    <w:rsid w:val="00692AFF"/>
    <w:rsid w:val="00692D2D"/>
    <w:rsid w:val="0069381E"/>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AB0"/>
    <w:rsid w:val="006A4E20"/>
    <w:rsid w:val="006A4F11"/>
    <w:rsid w:val="006A50C1"/>
    <w:rsid w:val="006A55FF"/>
    <w:rsid w:val="006A563C"/>
    <w:rsid w:val="006A5A6F"/>
    <w:rsid w:val="006A5F7E"/>
    <w:rsid w:val="006A6786"/>
    <w:rsid w:val="006A7C29"/>
    <w:rsid w:val="006B0580"/>
    <w:rsid w:val="006B0DA2"/>
    <w:rsid w:val="006B0F70"/>
    <w:rsid w:val="006B1486"/>
    <w:rsid w:val="006B169F"/>
    <w:rsid w:val="006B1BEB"/>
    <w:rsid w:val="006B1D06"/>
    <w:rsid w:val="006B2506"/>
    <w:rsid w:val="006B27F7"/>
    <w:rsid w:val="006B2823"/>
    <w:rsid w:val="006B29DC"/>
    <w:rsid w:val="006B2F60"/>
    <w:rsid w:val="006B33DB"/>
    <w:rsid w:val="006B33DD"/>
    <w:rsid w:val="006B3669"/>
    <w:rsid w:val="006B36E5"/>
    <w:rsid w:val="006B3D00"/>
    <w:rsid w:val="006B4CF8"/>
    <w:rsid w:val="006B506B"/>
    <w:rsid w:val="006B54E8"/>
    <w:rsid w:val="006B5FBC"/>
    <w:rsid w:val="006B675F"/>
    <w:rsid w:val="006B6BCD"/>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41"/>
    <w:rsid w:val="006C54DF"/>
    <w:rsid w:val="006C5D5D"/>
    <w:rsid w:val="006C627E"/>
    <w:rsid w:val="006C6303"/>
    <w:rsid w:val="006C6A51"/>
    <w:rsid w:val="006C6EBD"/>
    <w:rsid w:val="006C7053"/>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E6"/>
    <w:rsid w:val="006E727B"/>
    <w:rsid w:val="006E76C8"/>
    <w:rsid w:val="006E7A92"/>
    <w:rsid w:val="006F01FF"/>
    <w:rsid w:val="006F0CB2"/>
    <w:rsid w:val="006F1DE9"/>
    <w:rsid w:val="006F2046"/>
    <w:rsid w:val="006F2B64"/>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E3C"/>
    <w:rsid w:val="00702F2D"/>
    <w:rsid w:val="0070353F"/>
    <w:rsid w:val="00703ABE"/>
    <w:rsid w:val="0070415E"/>
    <w:rsid w:val="00704631"/>
    <w:rsid w:val="00704B79"/>
    <w:rsid w:val="00704E7D"/>
    <w:rsid w:val="00704EB4"/>
    <w:rsid w:val="00705060"/>
    <w:rsid w:val="00705351"/>
    <w:rsid w:val="00705619"/>
    <w:rsid w:val="00705E93"/>
    <w:rsid w:val="007062AF"/>
    <w:rsid w:val="007069AE"/>
    <w:rsid w:val="007069D4"/>
    <w:rsid w:val="00706C89"/>
    <w:rsid w:val="00707882"/>
    <w:rsid w:val="00707967"/>
    <w:rsid w:val="00710257"/>
    <w:rsid w:val="00710587"/>
    <w:rsid w:val="007107D5"/>
    <w:rsid w:val="00710EAD"/>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6CA8"/>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618"/>
    <w:rsid w:val="00783959"/>
    <w:rsid w:val="00783BA5"/>
    <w:rsid w:val="007844A9"/>
    <w:rsid w:val="00785091"/>
    <w:rsid w:val="0078638C"/>
    <w:rsid w:val="007869F9"/>
    <w:rsid w:val="00786B38"/>
    <w:rsid w:val="00786CBB"/>
    <w:rsid w:val="00786E21"/>
    <w:rsid w:val="00787639"/>
    <w:rsid w:val="007878ED"/>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8F8"/>
    <w:rsid w:val="00797D73"/>
    <w:rsid w:val="007A006C"/>
    <w:rsid w:val="007A0789"/>
    <w:rsid w:val="007A130E"/>
    <w:rsid w:val="007A18B1"/>
    <w:rsid w:val="007A1BBD"/>
    <w:rsid w:val="007A1F08"/>
    <w:rsid w:val="007A2549"/>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140"/>
    <w:rsid w:val="007B4271"/>
    <w:rsid w:val="007B497D"/>
    <w:rsid w:val="007B4EE9"/>
    <w:rsid w:val="007B5234"/>
    <w:rsid w:val="007B530C"/>
    <w:rsid w:val="007B54C7"/>
    <w:rsid w:val="007B5637"/>
    <w:rsid w:val="007B5DC5"/>
    <w:rsid w:val="007B5F32"/>
    <w:rsid w:val="007B63FC"/>
    <w:rsid w:val="007B6708"/>
    <w:rsid w:val="007B6C20"/>
    <w:rsid w:val="007B6E8D"/>
    <w:rsid w:val="007B7B15"/>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892"/>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772"/>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53E"/>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5A19"/>
    <w:rsid w:val="0081660C"/>
    <w:rsid w:val="00816AD8"/>
    <w:rsid w:val="00817195"/>
    <w:rsid w:val="00817416"/>
    <w:rsid w:val="00817658"/>
    <w:rsid w:val="0082034A"/>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3E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11D"/>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C56"/>
    <w:rsid w:val="008C2DBC"/>
    <w:rsid w:val="008C3A4E"/>
    <w:rsid w:val="008C448B"/>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A81"/>
    <w:rsid w:val="008E1C24"/>
    <w:rsid w:val="008E2626"/>
    <w:rsid w:val="008E27A9"/>
    <w:rsid w:val="008E323C"/>
    <w:rsid w:val="008E32E0"/>
    <w:rsid w:val="008E35A6"/>
    <w:rsid w:val="008E36D9"/>
    <w:rsid w:val="008E3A5C"/>
    <w:rsid w:val="008E3A9A"/>
    <w:rsid w:val="008E429E"/>
    <w:rsid w:val="008E478B"/>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3"/>
    <w:rsid w:val="00901F0E"/>
    <w:rsid w:val="00902A26"/>
    <w:rsid w:val="00902A57"/>
    <w:rsid w:val="00902B29"/>
    <w:rsid w:val="009035DF"/>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A1C"/>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6468"/>
    <w:rsid w:val="00947BA5"/>
    <w:rsid w:val="0095057D"/>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0578"/>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215"/>
    <w:rsid w:val="009817BC"/>
    <w:rsid w:val="009819A7"/>
    <w:rsid w:val="0098220A"/>
    <w:rsid w:val="00982E75"/>
    <w:rsid w:val="00983337"/>
    <w:rsid w:val="009836AA"/>
    <w:rsid w:val="009846BF"/>
    <w:rsid w:val="009851F5"/>
    <w:rsid w:val="0098534B"/>
    <w:rsid w:val="00986019"/>
    <w:rsid w:val="00986281"/>
    <w:rsid w:val="00986FC9"/>
    <w:rsid w:val="00987462"/>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52F"/>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0"/>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A32"/>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34"/>
    <w:rsid w:val="009E19BB"/>
    <w:rsid w:val="009E1A8B"/>
    <w:rsid w:val="009E1C47"/>
    <w:rsid w:val="009E200D"/>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F20"/>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3CC"/>
    <w:rsid w:val="00A148A0"/>
    <w:rsid w:val="00A14AA8"/>
    <w:rsid w:val="00A14F81"/>
    <w:rsid w:val="00A1535F"/>
    <w:rsid w:val="00A1542E"/>
    <w:rsid w:val="00A15A0C"/>
    <w:rsid w:val="00A15CB1"/>
    <w:rsid w:val="00A15DCC"/>
    <w:rsid w:val="00A15E7D"/>
    <w:rsid w:val="00A15E84"/>
    <w:rsid w:val="00A16021"/>
    <w:rsid w:val="00A16961"/>
    <w:rsid w:val="00A176DD"/>
    <w:rsid w:val="00A1770E"/>
    <w:rsid w:val="00A21838"/>
    <w:rsid w:val="00A2239C"/>
    <w:rsid w:val="00A22C3E"/>
    <w:rsid w:val="00A22C4D"/>
    <w:rsid w:val="00A2334E"/>
    <w:rsid w:val="00A23442"/>
    <w:rsid w:val="00A249D2"/>
    <w:rsid w:val="00A254AB"/>
    <w:rsid w:val="00A259F2"/>
    <w:rsid w:val="00A266CC"/>
    <w:rsid w:val="00A26DB4"/>
    <w:rsid w:val="00A27425"/>
    <w:rsid w:val="00A27F0F"/>
    <w:rsid w:val="00A3023E"/>
    <w:rsid w:val="00A302E8"/>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2CA"/>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5CA"/>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5DE7"/>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DF6"/>
    <w:rsid w:val="00A9151F"/>
    <w:rsid w:val="00A9196B"/>
    <w:rsid w:val="00A91BB5"/>
    <w:rsid w:val="00A91BEE"/>
    <w:rsid w:val="00A91D4B"/>
    <w:rsid w:val="00A920B2"/>
    <w:rsid w:val="00A92948"/>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A5B"/>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BC0"/>
    <w:rsid w:val="00AC2D5F"/>
    <w:rsid w:val="00AC4094"/>
    <w:rsid w:val="00AC42B6"/>
    <w:rsid w:val="00AC4AB7"/>
    <w:rsid w:val="00AC51E0"/>
    <w:rsid w:val="00AC55E0"/>
    <w:rsid w:val="00AC6D24"/>
    <w:rsid w:val="00AC6E18"/>
    <w:rsid w:val="00AC75ED"/>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ACA"/>
    <w:rsid w:val="00B03C1B"/>
    <w:rsid w:val="00B04678"/>
    <w:rsid w:val="00B047C9"/>
    <w:rsid w:val="00B04837"/>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1B3"/>
    <w:rsid w:val="00B31246"/>
    <w:rsid w:val="00B32295"/>
    <w:rsid w:val="00B33AB5"/>
    <w:rsid w:val="00B3412E"/>
    <w:rsid w:val="00B343E0"/>
    <w:rsid w:val="00B34478"/>
    <w:rsid w:val="00B35B6D"/>
    <w:rsid w:val="00B35D53"/>
    <w:rsid w:val="00B367C4"/>
    <w:rsid w:val="00B36D3E"/>
    <w:rsid w:val="00B37B8E"/>
    <w:rsid w:val="00B40222"/>
    <w:rsid w:val="00B404C3"/>
    <w:rsid w:val="00B40A19"/>
    <w:rsid w:val="00B41A04"/>
    <w:rsid w:val="00B42743"/>
    <w:rsid w:val="00B430E9"/>
    <w:rsid w:val="00B4311F"/>
    <w:rsid w:val="00B431AE"/>
    <w:rsid w:val="00B433A3"/>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2B00"/>
    <w:rsid w:val="00B83E76"/>
    <w:rsid w:val="00B83FA0"/>
    <w:rsid w:val="00B84156"/>
    <w:rsid w:val="00B846E6"/>
    <w:rsid w:val="00B8537B"/>
    <w:rsid w:val="00B85586"/>
    <w:rsid w:val="00B859FB"/>
    <w:rsid w:val="00B86289"/>
    <w:rsid w:val="00B863B3"/>
    <w:rsid w:val="00B869D3"/>
    <w:rsid w:val="00B86CF8"/>
    <w:rsid w:val="00B86E44"/>
    <w:rsid w:val="00B8707B"/>
    <w:rsid w:val="00B87359"/>
    <w:rsid w:val="00B87F1C"/>
    <w:rsid w:val="00B90B6B"/>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758"/>
    <w:rsid w:val="00BA3869"/>
    <w:rsid w:val="00BA39EB"/>
    <w:rsid w:val="00BA4399"/>
    <w:rsid w:val="00BA4452"/>
    <w:rsid w:val="00BA46C6"/>
    <w:rsid w:val="00BA4ACF"/>
    <w:rsid w:val="00BA5039"/>
    <w:rsid w:val="00BA583B"/>
    <w:rsid w:val="00BA5DF2"/>
    <w:rsid w:val="00BA5EC7"/>
    <w:rsid w:val="00BA5F35"/>
    <w:rsid w:val="00BA6319"/>
    <w:rsid w:val="00BA63CE"/>
    <w:rsid w:val="00BA676E"/>
    <w:rsid w:val="00BA6980"/>
    <w:rsid w:val="00BA6EF2"/>
    <w:rsid w:val="00BA7227"/>
    <w:rsid w:val="00BA729C"/>
    <w:rsid w:val="00BA763C"/>
    <w:rsid w:val="00BA784D"/>
    <w:rsid w:val="00BA7CD7"/>
    <w:rsid w:val="00BB00E5"/>
    <w:rsid w:val="00BB1688"/>
    <w:rsid w:val="00BB1EFB"/>
    <w:rsid w:val="00BB269F"/>
    <w:rsid w:val="00BB27CC"/>
    <w:rsid w:val="00BB2ACE"/>
    <w:rsid w:val="00BB2E4E"/>
    <w:rsid w:val="00BB2E62"/>
    <w:rsid w:val="00BB3088"/>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4C5"/>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13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30E"/>
    <w:rsid w:val="00C1110A"/>
    <w:rsid w:val="00C11689"/>
    <w:rsid w:val="00C12414"/>
    <w:rsid w:val="00C12ECB"/>
    <w:rsid w:val="00C148B2"/>
    <w:rsid w:val="00C14ABD"/>
    <w:rsid w:val="00C151E0"/>
    <w:rsid w:val="00C155A8"/>
    <w:rsid w:val="00C159FD"/>
    <w:rsid w:val="00C15B31"/>
    <w:rsid w:val="00C15CE2"/>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7F4"/>
    <w:rsid w:val="00C2397E"/>
    <w:rsid w:val="00C23A83"/>
    <w:rsid w:val="00C23F5B"/>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BB7"/>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690"/>
    <w:rsid w:val="00C56C98"/>
    <w:rsid w:val="00C56DE1"/>
    <w:rsid w:val="00C56DEE"/>
    <w:rsid w:val="00C57120"/>
    <w:rsid w:val="00C571D5"/>
    <w:rsid w:val="00C575D4"/>
    <w:rsid w:val="00C6072D"/>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5B29"/>
    <w:rsid w:val="00C76129"/>
    <w:rsid w:val="00C76981"/>
    <w:rsid w:val="00C76C0C"/>
    <w:rsid w:val="00C76FFC"/>
    <w:rsid w:val="00C774E0"/>
    <w:rsid w:val="00C776BA"/>
    <w:rsid w:val="00C7791E"/>
    <w:rsid w:val="00C8148D"/>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823"/>
    <w:rsid w:val="00CC1AF5"/>
    <w:rsid w:val="00CC1B74"/>
    <w:rsid w:val="00CC291E"/>
    <w:rsid w:val="00CC2D03"/>
    <w:rsid w:val="00CC2EB0"/>
    <w:rsid w:val="00CC4701"/>
    <w:rsid w:val="00CC56B4"/>
    <w:rsid w:val="00CC5F95"/>
    <w:rsid w:val="00CC642A"/>
    <w:rsid w:val="00CC6AC7"/>
    <w:rsid w:val="00CC7232"/>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327"/>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660"/>
    <w:rsid w:val="00D3497A"/>
    <w:rsid w:val="00D35F2F"/>
    <w:rsid w:val="00D35FC6"/>
    <w:rsid w:val="00D36BB8"/>
    <w:rsid w:val="00D373E1"/>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1F"/>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95C"/>
    <w:rsid w:val="00D70D42"/>
    <w:rsid w:val="00D71285"/>
    <w:rsid w:val="00D71ABC"/>
    <w:rsid w:val="00D71D50"/>
    <w:rsid w:val="00D721B1"/>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1F7"/>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1D"/>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1E48"/>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14"/>
    <w:rsid w:val="00DE1CB1"/>
    <w:rsid w:val="00DE1EA4"/>
    <w:rsid w:val="00DE2073"/>
    <w:rsid w:val="00DE30AC"/>
    <w:rsid w:val="00DE30AD"/>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0FF"/>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622"/>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0BE"/>
    <w:rsid w:val="00E13326"/>
    <w:rsid w:val="00E13D07"/>
    <w:rsid w:val="00E14356"/>
    <w:rsid w:val="00E14961"/>
    <w:rsid w:val="00E14D76"/>
    <w:rsid w:val="00E15183"/>
    <w:rsid w:val="00E15D6C"/>
    <w:rsid w:val="00E1646C"/>
    <w:rsid w:val="00E1720B"/>
    <w:rsid w:val="00E203DE"/>
    <w:rsid w:val="00E20A36"/>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10B"/>
    <w:rsid w:val="00E333D5"/>
    <w:rsid w:val="00E3394F"/>
    <w:rsid w:val="00E33A0B"/>
    <w:rsid w:val="00E3442B"/>
    <w:rsid w:val="00E34A2F"/>
    <w:rsid w:val="00E35025"/>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90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B3F"/>
    <w:rsid w:val="00E606C4"/>
    <w:rsid w:val="00E60811"/>
    <w:rsid w:val="00E60AB8"/>
    <w:rsid w:val="00E6103E"/>
    <w:rsid w:val="00E6185F"/>
    <w:rsid w:val="00E61D32"/>
    <w:rsid w:val="00E63178"/>
    <w:rsid w:val="00E63C60"/>
    <w:rsid w:val="00E64050"/>
    <w:rsid w:val="00E647BC"/>
    <w:rsid w:val="00E64B7B"/>
    <w:rsid w:val="00E6514D"/>
    <w:rsid w:val="00E65161"/>
    <w:rsid w:val="00E652C9"/>
    <w:rsid w:val="00E6593B"/>
    <w:rsid w:val="00E65D74"/>
    <w:rsid w:val="00E66E11"/>
    <w:rsid w:val="00E672C6"/>
    <w:rsid w:val="00E70192"/>
    <w:rsid w:val="00E708EE"/>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35"/>
    <w:rsid w:val="00E871CD"/>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48"/>
    <w:rsid w:val="00EB54AB"/>
    <w:rsid w:val="00EB6257"/>
    <w:rsid w:val="00EB63FC"/>
    <w:rsid w:val="00EB68E6"/>
    <w:rsid w:val="00EB6AE9"/>
    <w:rsid w:val="00EB6B2D"/>
    <w:rsid w:val="00EB71C9"/>
    <w:rsid w:val="00EB763E"/>
    <w:rsid w:val="00EB7B67"/>
    <w:rsid w:val="00EC07F1"/>
    <w:rsid w:val="00EC1E8A"/>
    <w:rsid w:val="00EC2BB3"/>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07E99"/>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566"/>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B"/>
    <w:rsid w:val="00F37FCC"/>
    <w:rsid w:val="00F419B8"/>
    <w:rsid w:val="00F41C0F"/>
    <w:rsid w:val="00F42856"/>
    <w:rsid w:val="00F42ED7"/>
    <w:rsid w:val="00F43777"/>
    <w:rsid w:val="00F4482B"/>
    <w:rsid w:val="00F44F02"/>
    <w:rsid w:val="00F45039"/>
    <w:rsid w:val="00F4526B"/>
    <w:rsid w:val="00F45298"/>
    <w:rsid w:val="00F454A7"/>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21"/>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AC8"/>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89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C65"/>
    <w:rsid w:val="00FB0D60"/>
    <w:rsid w:val="00FB18FD"/>
    <w:rsid w:val="00FB1A7D"/>
    <w:rsid w:val="00FB2BF5"/>
    <w:rsid w:val="00FB2F8E"/>
    <w:rsid w:val="00FB30C3"/>
    <w:rsid w:val="00FB39B0"/>
    <w:rsid w:val="00FB5138"/>
    <w:rsid w:val="00FB547F"/>
    <w:rsid w:val="00FB5A71"/>
    <w:rsid w:val="00FB63F6"/>
    <w:rsid w:val="00FB7823"/>
    <w:rsid w:val="00FB7C53"/>
    <w:rsid w:val="00FC05B2"/>
    <w:rsid w:val="00FC08B3"/>
    <w:rsid w:val="00FC09D7"/>
    <w:rsid w:val="00FC0ABE"/>
    <w:rsid w:val="00FC0DB1"/>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71F"/>
    <w:rsid w:val="00FF2A7B"/>
    <w:rsid w:val="00FF3D2B"/>
    <w:rsid w:val="00FF49B4"/>
    <w:rsid w:val="00FF49F4"/>
    <w:rsid w:val="00FF5B8D"/>
    <w:rsid w:val="00FF5C6A"/>
    <w:rsid w:val="00FF651D"/>
    <w:rsid w:val="00FF6843"/>
    <w:rsid w:val="00FF6C25"/>
    <w:rsid w:val="00FF71C4"/>
    <w:rsid w:val="01024F49"/>
    <w:rsid w:val="010651D9"/>
    <w:rsid w:val="011F6449"/>
    <w:rsid w:val="01236AFB"/>
    <w:rsid w:val="01334C8A"/>
    <w:rsid w:val="018A7D6C"/>
    <w:rsid w:val="018C0765"/>
    <w:rsid w:val="019F7441"/>
    <w:rsid w:val="01B37585"/>
    <w:rsid w:val="01CF31A7"/>
    <w:rsid w:val="01D55165"/>
    <w:rsid w:val="01DF6BF8"/>
    <w:rsid w:val="01EC2C57"/>
    <w:rsid w:val="025F0711"/>
    <w:rsid w:val="026B2E25"/>
    <w:rsid w:val="02814144"/>
    <w:rsid w:val="02824D4D"/>
    <w:rsid w:val="02DC4B10"/>
    <w:rsid w:val="02DD76CE"/>
    <w:rsid w:val="02F36323"/>
    <w:rsid w:val="02F5619C"/>
    <w:rsid w:val="02FE7F8D"/>
    <w:rsid w:val="0326446A"/>
    <w:rsid w:val="032D5555"/>
    <w:rsid w:val="036634D2"/>
    <w:rsid w:val="037442A8"/>
    <w:rsid w:val="03DD35E4"/>
    <w:rsid w:val="03F55698"/>
    <w:rsid w:val="04076900"/>
    <w:rsid w:val="041A5A3B"/>
    <w:rsid w:val="041C5514"/>
    <w:rsid w:val="042311BA"/>
    <w:rsid w:val="042B157A"/>
    <w:rsid w:val="04575F38"/>
    <w:rsid w:val="048F763B"/>
    <w:rsid w:val="049F330E"/>
    <w:rsid w:val="04AA775C"/>
    <w:rsid w:val="04AF1889"/>
    <w:rsid w:val="04F66F48"/>
    <w:rsid w:val="051C4D85"/>
    <w:rsid w:val="05251E14"/>
    <w:rsid w:val="05A16594"/>
    <w:rsid w:val="05A7762D"/>
    <w:rsid w:val="05AB0324"/>
    <w:rsid w:val="05E456DB"/>
    <w:rsid w:val="05E97064"/>
    <w:rsid w:val="060B6CBF"/>
    <w:rsid w:val="060E5941"/>
    <w:rsid w:val="06110FAF"/>
    <w:rsid w:val="061128F2"/>
    <w:rsid w:val="062F1C7E"/>
    <w:rsid w:val="06493CA7"/>
    <w:rsid w:val="064D2C7A"/>
    <w:rsid w:val="065A6178"/>
    <w:rsid w:val="066F1CF3"/>
    <w:rsid w:val="06702776"/>
    <w:rsid w:val="06930BB8"/>
    <w:rsid w:val="06944582"/>
    <w:rsid w:val="07245D42"/>
    <w:rsid w:val="07264C62"/>
    <w:rsid w:val="0779354C"/>
    <w:rsid w:val="08061376"/>
    <w:rsid w:val="08452D77"/>
    <w:rsid w:val="086401F8"/>
    <w:rsid w:val="08751CAA"/>
    <w:rsid w:val="087E4C40"/>
    <w:rsid w:val="08A871D0"/>
    <w:rsid w:val="08D66AD6"/>
    <w:rsid w:val="08DA33A3"/>
    <w:rsid w:val="08E80F13"/>
    <w:rsid w:val="091E3117"/>
    <w:rsid w:val="09335624"/>
    <w:rsid w:val="0944690F"/>
    <w:rsid w:val="09535675"/>
    <w:rsid w:val="095F057D"/>
    <w:rsid w:val="09642282"/>
    <w:rsid w:val="096F60C7"/>
    <w:rsid w:val="09733572"/>
    <w:rsid w:val="097448B1"/>
    <w:rsid w:val="09772C16"/>
    <w:rsid w:val="098353B5"/>
    <w:rsid w:val="09A92330"/>
    <w:rsid w:val="09B06B87"/>
    <w:rsid w:val="09C13146"/>
    <w:rsid w:val="09CC7647"/>
    <w:rsid w:val="09D1738E"/>
    <w:rsid w:val="09E04166"/>
    <w:rsid w:val="0A007238"/>
    <w:rsid w:val="0A060E25"/>
    <w:rsid w:val="0A1C0718"/>
    <w:rsid w:val="0A3E7710"/>
    <w:rsid w:val="0A5B7E63"/>
    <w:rsid w:val="0A6A53B4"/>
    <w:rsid w:val="0A7D50D7"/>
    <w:rsid w:val="0AA374A5"/>
    <w:rsid w:val="0AAB7649"/>
    <w:rsid w:val="0ABC5606"/>
    <w:rsid w:val="0B30404E"/>
    <w:rsid w:val="0B4C6C14"/>
    <w:rsid w:val="0B547599"/>
    <w:rsid w:val="0B631A88"/>
    <w:rsid w:val="0B683D45"/>
    <w:rsid w:val="0B795613"/>
    <w:rsid w:val="0B7F3F11"/>
    <w:rsid w:val="0B884417"/>
    <w:rsid w:val="0BB20B57"/>
    <w:rsid w:val="0BD40623"/>
    <w:rsid w:val="0BD97142"/>
    <w:rsid w:val="0BF6188C"/>
    <w:rsid w:val="0BF73C91"/>
    <w:rsid w:val="0C170175"/>
    <w:rsid w:val="0C331E3E"/>
    <w:rsid w:val="0C571A41"/>
    <w:rsid w:val="0C5C1171"/>
    <w:rsid w:val="0C5E1CBC"/>
    <w:rsid w:val="0C615B50"/>
    <w:rsid w:val="0C692CAD"/>
    <w:rsid w:val="0C7D71C1"/>
    <w:rsid w:val="0C8269C1"/>
    <w:rsid w:val="0C8445DA"/>
    <w:rsid w:val="0C87121B"/>
    <w:rsid w:val="0CA77331"/>
    <w:rsid w:val="0CC007F7"/>
    <w:rsid w:val="0CC617AC"/>
    <w:rsid w:val="0CE618DF"/>
    <w:rsid w:val="0CE61CF6"/>
    <w:rsid w:val="0CFE707A"/>
    <w:rsid w:val="0D063BDA"/>
    <w:rsid w:val="0D08375F"/>
    <w:rsid w:val="0D184CFB"/>
    <w:rsid w:val="0D2A3641"/>
    <w:rsid w:val="0D4A7419"/>
    <w:rsid w:val="0D827401"/>
    <w:rsid w:val="0D84094E"/>
    <w:rsid w:val="0D8A00E9"/>
    <w:rsid w:val="0D8D589E"/>
    <w:rsid w:val="0DA01C73"/>
    <w:rsid w:val="0DD63300"/>
    <w:rsid w:val="0DF50604"/>
    <w:rsid w:val="0DF702FE"/>
    <w:rsid w:val="0E060E51"/>
    <w:rsid w:val="0E5604B2"/>
    <w:rsid w:val="0E6D5D79"/>
    <w:rsid w:val="0E9D0089"/>
    <w:rsid w:val="0EB71DE4"/>
    <w:rsid w:val="0EB803EE"/>
    <w:rsid w:val="0EED0970"/>
    <w:rsid w:val="0EF94D4B"/>
    <w:rsid w:val="0F0C67F5"/>
    <w:rsid w:val="0F2201A6"/>
    <w:rsid w:val="0F4958DC"/>
    <w:rsid w:val="0F515DF7"/>
    <w:rsid w:val="0F59608B"/>
    <w:rsid w:val="0F596BA8"/>
    <w:rsid w:val="0F6248D2"/>
    <w:rsid w:val="0F693536"/>
    <w:rsid w:val="0F7B0511"/>
    <w:rsid w:val="0F7B76D9"/>
    <w:rsid w:val="0F816ACD"/>
    <w:rsid w:val="0F9832DB"/>
    <w:rsid w:val="0FA275ED"/>
    <w:rsid w:val="0FBF3FD2"/>
    <w:rsid w:val="0FBF7FF3"/>
    <w:rsid w:val="103F3491"/>
    <w:rsid w:val="10646583"/>
    <w:rsid w:val="107D4B15"/>
    <w:rsid w:val="108A3C80"/>
    <w:rsid w:val="10C26171"/>
    <w:rsid w:val="10D97892"/>
    <w:rsid w:val="10F33360"/>
    <w:rsid w:val="10FC16EA"/>
    <w:rsid w:val="110324D3"/>
    <w:rsid w:val="110F1D40"/>
    <w:rsid w:val="11131439"/>
    <w:rsid w:val="11266F33"/>
    <w:rsid w:val="118963A1"/>
    <w:rsid w:val="118E3A59"/>
    <w:rsid w:val="11AF54C6"/>
    <w:rsid w:val="11C6522A"/>
    <w:rsid w:val="11E104CC"/>
    <w:rsid w:val="11E20309"/>
    <w:rsid w:val="12055C6B"/>
    <w:rsid w:val="12255233"/>
    <w:rsid w:val="12530213"/>
    <w:rsid w:val="127723A9"/>
    <w:rsid w:val="12862074"/>
    <w:rsid w:val="12883966"/>
    <w:rsid w:val="129E45B4"/>
    <w:rsid w:val="12C1279E"/>
    <w:rsid w:val="12D81596"/>
    <w:rsid w:val="13072A44"/>
    <w:rsid w:val="135F4BE2"/>
    <w:rsid w:val="139B1A0A"/>
    <w:rsid w:val="139D25C7"/>
    <w:rsid w:val="13BF3CE4"/>
    <w:rsid w:val="13C23174"/>
    <w:rsid w:val="13CC7F51"/>
    <w:rsid w:val="14051E19"/>
    <w:rsid w:val="141008D8"/>
    <w:rsid w:val="14125FE6"/>
    <w:rsid w:val="142E658A"/>
    <w:rsid w:val="146D271E"/>
    <w:rsid w:val="14982588"/>
    <w:rsid w:val="149A5AD9"/>
    <w:rsid w:val="14A7619D"/>
    <w:rsid w:val="14B44987"/>
    <w:rsid w:val="150536C3"/>
    <w:rsid w:val="150C1963"/>
    <w:rsid w:val="151447A0"/>
    <w:rsid w:val="154A6454"/>
    <w:rsid w:val="15762120"/>
    <w:rsid w:val="15AD4AA7"/>
    <w:rsid w:val="15F5735F"/>
    <w:rsid w:val="16A8729C"/>
    <w:rsid w:val="16B33777"/>
    <w:rsid w:val="16BC70A7"/>
    <w:rsid w:val="16C6339E"/>
    <w:rsid w:val="17036D7E"/>
    <w:rsid w:val="171338FD"/>
    <w:rsid w:val="172F2D79"/>
    <w:rsid w:val="17557BEF"/>
    <w:rsid w:val="17D349C1"/>
    <w:rsid w:val="17D610A5"/>
    <w:rsid w:val="17FB2C27"/>
    <w:rsid w:val="18277DD2"/>
    <w:rsid w:val="1830729E"/>
    <w:rsid w:val="1870062C"/>
    <w:rsid w:val="18817102"/>
    <w:rsid w:val="18830A15"/>
    <w:rsid w:val="18852B28"/>
    <w:rsid w:val="188B5321"/>
    <w:rsid w:val="189E2A13"/>
    <w:rsid w:val="18B02CE9"/>
    <w:rsid w:val="18D731CF"/>
    <w:rsid w:val="195C76F5"/>
    <w:rsid w:val="195F3DDF"/>
    <w:rsid w:val="197C689D"/>
    <w:rsid w:val="19932372"/>
    <w:rsid w:val="19A20DD5"/>
    <w:rsid w:val="19AE03F1"/>
    <w:rsid w:val="19F636A6"/>
    <w:rsid w:val="1A071A03"/>
    <w:rsid w:val="1A1F16AE"/>
    <w:rsid w:val="1A246B33"/>
    <w:rsid w:val="1A3B5C77"/>
    <w:rsid w:val="1A5B4A2A"/>
    <w:rsid w:val="1A6C5808"/>
    <w:rsid w:val="1A984BAD"/>
    <w:rsid w:val="1AB8220E"/>
    <w:rsid w:val="1ACE56DF"/>
    <w:rsid w:val="1AE4166C"/>
    <w:rsid w:val="1AF06CFB"/>
    <w:rsid w:val="1AF11B8D"/>
    <w:rsid w:val="1B11359C"/>
    <w:rsid w:val="1B2A271F"/>
    <w:rsid w:val="1B36614E"/>
    <w:rsid w:val="1B530544"/>
    <w:rsid w:val="1B6A0A42"/>
    <w:rsid w:val="1B713184"/>
    <w:rsid w:val="1B8551E6"/>
    <w:rsid w:val="1BA209CF"/>
    <w:rsid w:val="1BB4777D"/>
    <w:rsid w:val="1BC44C96"/>
    <w:rsid w:val="1BD75AB8"/>
    <w:rsid w:val="1BF004D1"/>
    <w:rsid w:val="1C0459C2"/>
    <w:rsid w:val="1C1B3B4A"/>
    <w:rsid w:val="1C88086E"/>
    <w:rsid w:val="1CCB2F99"/>
    <w:rsid w:val="1CF6130E"/>
    <w:rsid w:val="1D061598"/>
    <w:rsid w:val="1D266CE1"/>
    <w:rsid w:val="1D282738"/>
    <w:rsid w:val="1D3963AF"/>
    <w:rsid w:val="1D6A673C"/>
    <w:rsid w:val="1D8A7655"/>
    <w:rsid w:val="1D8C44DA"/>
    <w:rsid w:val="1D9247AE"/>
    <w:rsid w:val="1DB567EC"/>
    <w:rsid w:val="1DF51A98"/>
    <w:rsid w:val="1E3D060F"/>
    <w:rsid w:val="1E3F7D2E"/>
    <w:rsid w:val="1E4134E4"/>
    <w:rsid w:val="1E5062B3"/>
    <w:rsid w:val="1E523514"/>
    <w:rsid w:val="1E6033BD"/>
    <w:rsid w:val="1E714A66"/>
    <w:rsid w:val="1E7364B5"/>
    <w:rsid w:val="1E7770DE"/>
    <w:rsid w:val="1E802593"/>
    <w:rsid w:val="1E8B6156"/>
    <w:rsid w:val="1EA703CC"/>
    <w:rsid w:val="1EB7330C"/>
    <w:rsid w:val="1EC97240"/>
    <w:rsid w:val="1F0A0FF3"/>
    <w:rsid w:val="1F3A7FF4"/>
    <w:rsid w:val="1F532E28"/>
    <w:rsid w:val="1F5771FF"/>
    <w:rsid w:val="1F6354C9"/>
    <w:rsid w:val="1F6A2B6C"/>
    <w:rsid w:val="1FA8483E"/>
    <w:rsid w:val="1FE868A9"/>
    <w:rsid w:val="1FED5F90"/>
    <w:rsid w:val="20034907"/>
    <w:rsid w:val="200E21E4"/>
    <w:rsid w:val="20173E4B"/>
    <w:rsid w:val="201C5C53"/>
    <w:rsid w:val="202F164A"/>
    <w:rsid w:val="204E48BC"/>
    <w:rsid w:val="208921B3"/>
    <w:rsid w:val="20932A64"/>
    <w:rsid w:val="209433B4"/>
    <w:rsid w:val="20973DEB"/>
    <w:rsid w:val="20B26522"/>
    <w:rsid w:val="20B44310"/>
    <w:rsid w:val="211116EB"/>
    <w:rsid w:val="21176954"/>
    <w:rsid w:val="211E2441"/>
    <w:rsid w:val="216133FC"/>
    <w:rsid w:val="216211D7"/>
    <w:rsid w:val="21BA6D39"/>
    <w:rsid w:val="21C57752"/>
    <w:rsid w:val="21CD1194"/>
    <w:rsid w:val="21D56769"/>
    <w:rsid w:val="21E52EF3"/>
    <w:rsid w:val="21FB5D7B"/>
    <w:rsid w:val="22015E94"/>
    <w:rsid w:val="220B1C3D"/>
    <w:rsid w:val="221D1D20"/>
    <w:rsid w:val="22244B28"/>
    <w:rsid w:val="22334A87"/>
    <w:rsid w:val="22915E59"/>
    <w:rsid w:val="22BE6801"/>
    <w:rsid w:val="22ED0708"/>
    <w:rsid w:val="233500BF"/>
    <w:rsid w:val="23350D46"/>
    <w:rsid w:val="23377FF7"/>
    <w:rsid w:val="234D5489"/>
    <w:rsid w:val="234F609C"/>
    <w:rsid w:val="236B425F"/>
    <w:rsid w:val="23836192"/>
    <w:rsid w:val="23901F29"/>
    <w:rsid w:val="239C0061"/>
    <w:rsid w:val="23B908A4"/>
    <w:rsid w:val="23E95BEF"/>
    <w:rsid w:val="23F72873"/>
    <w:rsid w:val="23FD0064"/>
    <w:rsid w:val="240B30B6"/>
    <w:rsid w:val="245375B0"/>
    <w:rsid w:val="24642C0A"/>
    <w:rsid w:val="249D1022"/>
    <w:rsid w:val="24B22173"/>
    <w:rsid w:val="24B95AD9"/>
    <w:rsid w:val="24BE24DA"/>
    <w:rsid w:val="24CF5825"/>
    <w:rsid w:val="24CF5F4B"/>
    <w:rsid w:val="24D12E72"/>
    <w:rsid w:val="24D663E6"/>
    <w:rsid w:val="24D77F2B"/>
    <w:rsid w:val="24EC0ED7"/>
    <w:rsid w:val="24EC7CEC"/>
    <w:rsid w:val="2508218E"/>
    <w:rsid w:val="2568323F"/>
    <w:rsid w:val="258B00E2"/>
    <w:rsid w:val="25A917A6"/>
    <w:rsid w:val="25BE27CC"/>
    <w:rsid w:val="25F74A5C"/>
    <w:rsid w:val="2628662C"/>
    <w:rsid w:val="262D45DE"/>
    <w:rsid w:val="265308BB"/>
    <w:rsid w:val="265C2AE3"/>
    <w:rsid w:val="26871DC8"/>
    <w:rsid w:val="26A53EF9"/>
    <w:rsid w:val="26A94201"/>
    <w:rsid w:val="26AC24DF"/>
    <w:rsid w:val="26AC274F"/>
    <w:rsid w:val="27044A29"/>
    <w:rsid w:val="270E49B4"/>
    <w:rsid w:val="271D34C8"/>
    <w:rsid w:val="273F0DCC"/>
    <w:rsid w:val="276142BF"/>
    <w:rsid w:val="27783712"/>
    <w:rsid w:val="27907362"/>
    <w:rsid w:val="282D7976"/>
    <w:rsid w:val="28333E1D"/>
    <w:rsid w:val="283D4410"/>
    <w:rsid w:val="28454BD6"/>
    <w:rsid w:val="28455253"/>
    <w:rsid w:val="28551971"/>
    <w:rsid w:val="285B1C53"/>
    <w:rsid w:val="289F7086"/>
    <w:rsid w:val="28AB478C"/>
    <w:rsid w:val="28BF2552"/>
    <w:rsid w:val="28C10069"/>
    <w:rsid w:val="28C32028"/>
    <w:rsid w:val="28CC490F"/>
    <w:rsid w:val="28D41136"/>
    <w:rsid w:val="28D63020"/>
    <w:rsid w:val="28DE40AA"/>
    <w:rsid w:val="29345E77"/>
    <w:rsid w:val="294C65AD"/>
    <w:rsid w:val="29806583"/>
    <w:rsid w:val="298A3E0B"/>
    <w:rsid w:val="298B3C4C"/>
    <w:rsid w:val="29A77F02"/>
    <w:rsid w:val="29F26D24"/>
    <w:rsid w:val="2A15033F"/>
    <w:rsid w:val="2A1662C1"/>
    <w:rsid w:val="2A1C7367"/>
    <w:rsid w:val="2A1F6C87"/>
    <w:rsid w:val="2A2815FA"/>
    <w:rsid w:val="2A5473CD"/>
    <w:rsid w:val="2A6D6092"/>
    <w:rsid w:val="2A7D76B4"/>
    <w:rsid w:val="2AB253C7"/>
    <w:rsid w:val="2B1725AC"/>
    <w:rsid w:val="2B1D1A9E"/>
    <w:rsid w:val="2B244B7F"/>
    <w:rsid w:val="2B265FE7"/>
    <w:rsid w:val="2B437463"/>
    <w:rsid w:val="2B7807EE"/>
    <w:rsid w:val="2B822C88"/>
    <w:rsid w:val="2BA325FA"/>
    <w:rsid w:val="2BA50BF7"/>
    <w:rsid w:val="2BBF00EC"/>
    <w:rsid w:val="2BC37CFD"/>
    <w:rsid w:val="2BD246FA"/>
    <w:rsid w:val="2BD5237F"/>
    <w:rsid w:val="2BE536CE"/>
    <w:rsid w:val="2BE758D9"/>
    <w:rsid w:val="2C09049E"/>
    <w:rsid w:val="2C0A653C"/>
    <w:rsid w:val="2C191F85"/>
    <w:rsid w:val="2C38313C"/>
    <w:rsid w:val="2CE0469C"/>
    <w:rsid w:val="2CE82D6F"/>
    <w:rsid w:val="2D343236"/>
    <w:rsid w:val="2D774EFE"/>
    <w:rsid w:val="2DD15014"/>
    <w:rsid w:val="2DF72DE4"/>
    <w:rsid w:val="2E0220AF"/>
    <w:rsid w:val="2E4B082A"/>
    <w:rsid w:val="2E5D4E86"/>
    <w:rsid w:val="2E5D790B"/>
    <w:rsid w:val="2E9A3C18"/>
    <w:rsid w:val="2EA62E8F"/>
    <w:rsid w:val="2EBB0FEE"/>
    <w:rsid w:val="2EC63002"/>
    <w:rsid w:val="2F0A6B38"/>
    <w:rsid w:val="2F946CCB"/>
    <w:rsid w:val="2FA63BC5"/>
    <w:rsid w:val="2FB02C93"/>
    <w:rsid w:val="2FD25781"/>
    <w:rsid w:val="2FDC745C"/>
    <w:rsid w:val="2FEC56FD"/>
    <w:rsid w:val="2FFD7934"/>
    <w:rsid w:val="30733ACD"/>
    <w:rsid w:val="308C3862"/>
    <w:rsid w:val="309379D8"/>
    <w:rsid w:val="30A270F7"/>
    <w:rsid w:val="30CD3F06"/>
    <w:rsid w:val="30DB6CFA"/>
    <w:rsid w:val="30DF1478"/>
    <w:rsid w:val="30EC586F"/>
    <w:rsid w:val="30EE1123"/>
    <w:rsid w:val="312F5267"/>
    <w:rsid w:val="315D6436"/>
    <w:rsid w:val="31917E3F"/>
    <w:rsid w:val="319C6071"/>
    <w:rsid w:val="31AC537E"/>
    <w:rsid w:val="31E3679B"/>
    <w:rsid w:val="31E732FD"/>
    <w:rsid w:val="32517576"/>
    <w:rsid w:val="32950EC6"/>
    <w:rsid w:val="32AE0B6A"/>
    <w:rsid w:val="32B24C23"/>
    <w:rsid w:val="32BE5C2C"/>
    <w:rsid w:val="32CD1FFC"/>
    <w:rsid w:val="32E40BD5"/>
    <w:rsid w:val="32FB6478"/>
    <w:rsid w:val="330B1D6A"/>
    <w:rsid w:val="33263B3F"/>
    <w:rsid w:val="33595EF9"/>
    <w:rsid w:val="336963EB"/>
    <w:rsid w:val="33816EEB"/>
    <w:rsid w:val="33C618E3"/>
    <w:rsid w:val="33EB55CD"/>
    <w:rsid w:val="33EC4C02"/>
    <w:rsid w:val="340D2360"/>
    <w:rsid w:val="3410665D"/>
    <w:rsid w:val="341C57EF"/>
    <w:rsid w:val="34211214"/>
    <w:rsid w:val="342C0B20"/>
    <w:rsid w:val="342E63AB"/>
    <w:rsid w:val="343B518A"/>
    <w:rsid w:val="34950E68"/>
    <w:rsid w:val="3496096B"/>
    <w:rsid w:val="34986E94"/>
    <w:rsid w:val="34AF62C9"/>
    <w:rsid w:val="34CB4388"/>
    <w:rsid w:val="34F258D9"/>
    <w:rsid w:val="34FA6E12"/>
    <w:rsid w:val="352916D7"/>
    <w:rsid w:val="354D7158"/>
    <w:rsid w:val="358D5588"/>
    <w:rsid w:val="359224E6"/>
    <w:rsid w:val="363A3B40"/>
    <w:rsid w:val="365302AE"/>
    <w:rsid w:val="365366A3"/>
    <w:rsid w:val="36607A0A"/>
    <w:rsid w:val="366E227C"/>
    <w:rsid w:val="366F2E0D"/>
    <w:rsid w:val="367B6A5C"/>
    <w:rsid w:val="36A74ADA"/>
    <w:rsid w:val="36AD60D5"/>
    <w:rsid w:val="36B224F9"/>
    <w:rsid w:val="36EC0CC9"/>
    <w:rsid w:val="36EF34FF"/>
    <w:rsid w:val="373F410B"/>
    <w:rsid w:val="37EA4A17"/>
    <w:rsid w:val="37EE7094"/>
    <w:rsid w:val="38296C89"/>
    <w:rsid w:val="383002EB"/>
    <w:rsid w:val="38414B85"/>
    <w:rsid w:val="38586797"/>
    <w:rsid w:val="385A62F6"/>
    <w:rsid w:val="38A255A2"/>
    <w:rsid w:val="38BC0149"/>
    <w:rsid w:val="38D87D1C"/>
    <w:rsid w:val="392437AF"/>
    <w:rsid w:val="39636459"/>
    <w:rsid w:val="396B7F6C"/>
    <w:rsid w:val="39874A94"/>
    <w:rsid w:val="39B417A9"/>
    <w:rsid w:val="39FC5695"/>
    <w:rsid w:val="3A006D8E"/>
    <w:rsid w:val="3A350E30"/>
    <w:rsid w:val="3A3651E5"/>
    <w:rsid w:val="3A744481"/>
    <w:rsid w:val="3A8C7BEF"/>
    <w:rsid w:val="3A906246"/>
    <w:rsid w:val="3AC0143A"/>
    <w:rsid w:val="3AE60369"/>
    <w:rsid w:val="3B0A6C0E"/>
    <w:rsid w:val="3B2349B7"/>
    <w:rsid w:val="3B404329"/>
    <w:rsid w:val="3B460847"/>
    <w:rsid w:val="3B616CFF"/>
    <w:rsid w:val="3B6259F6"/>
    <w:rsid w:val="3B976654"/>
    <w:rsid w:val="3BB43871"/>
    <w:rsid w:val="3BC01EFC"/>
    <w:rsid w:val="3BCA786A"/>
    <w:rsid w:val="3BD31E2F"/>
    <w:rsid w:val="3BF15831"/>
    <w:rsid w:val="3C105946"/>
    <w:rsid w:val="3C471448"/>
    <w:rsid w:val="3C5F759A"/>
    <w:rsid w:val="3C6C525A"/>
    <w:rsid w:val="3CCE23CB"/>
    <w:rsid w:val="3CD17D17"/>
    <w:rsid w:val="3CD554C0"/>
    <w:rsid w:val="3D3C7F39"/>
    <w:rsid w:val="3D4312FD"/>
    <w:rsid w:val="3D440F09"/>
    <w:rsid w:val="3D4504A0"/>
    <w:rsid w:val="3D8734BB"/>
    <w:rsid w:val="3D9A11D4"/>
    <w:rsid w:val="3DA16D89"/>
    <w:rsid w:val="3DA364BE"/>
    <w:rsid w:val="3DD10748"/>
    <w:rsid w:val="3DE041CB"/>
    <w:rsid w:val="3DE547B3"/>
    <w:rsid w:val="3DF4321D"/>
    <w:rsid w:val="3E0D48F6"/>
    <w:rsid w:val="3E1868B4"/>
    <w:rsid w:val="3E377251"/>
    <w:rsid w:val="3E3C2C4E"/>
    <w:rsid w:val="3E42664B"/>
    <w:rsid w:val="3E5A7334"/>
    <w:rsid w:val="3E7B5D6B"/>
    <w:rsid w:val="3E843E66"/>
    <w:rsid w:val="3E8F51FE"/>
    <w:rsid w:val="3E92088A"/>
    <w:rsid w:val="3E926F87"/>
    <w:rsid w:val="3E9A59DE"/>
    <w:rsid w:val="3E9C6EB8"/>
    <w:rsid w:val="3EAF4836"/>
    <w:rsid w:val="3EC33DFA"/>
    <w:rsid w:val="3ED319E4"/>
    <w:rsid w:val="3F0021B2"/>
    <w:rsid w:val="3F060E16"/>
    <w:rsid w:val="3F157A9E"/>
    <w:rsid w:val="3F1D1096"/>
    <w:rsid w:val="3F2312C1"/>
    <w:rsid w:val="3F2F0234"/>
    <w:rsid w:val="3F6363FE"/>
    <w:rsid w:val="3F6A4337"/>
    <w:rsid w:val="3F756B8F"/>
    <w:rsid w:val="3F95482B"/>
    <w:rsid w:val="3FA06D36"/>
    <w:rsid w:val="3FAF598D"/>
    <w:rsid w:val="3FF06529"/>
    <w:rsid w:val="3FF40F59"/>
    <w:rsid w:val="400F61DE"/>
    <w:rsid w:val="4019356B"/>
    <w:rsid w:val="40592157"/>
    <w:rsid w:val="406E1CAE"/>
    <w:rsid w:val="4081341A"/>
    <w:rsid w:val="40A0133A"/>
    <w:rsid w:val="40B1056C"/>
    <w:rsid w:val="40B732E0"/>
    <w:rsid w:val="40C31A53"/>
    <w:rsid w:val="40FF545D"/>
    <w:rsid w:val="410067C8"/>
    <w:rsid w:val="41626E05"/>
    <w:rsid w:val="418F0D2A"/>
    <w:rsid w:val="41D01505"/>
    <w:rsid w:val="41D44A26"/>
    <w:rsid w:val="42244E0B"/>
    <w:rsid w:val="42277FF1"/>
    <w:rsid w:val="42474939"/>
    <w:rsid w:val="424C3C57"/>
    <w:rsid w:val="42613FF3"/>
    <w:rsid w:val="42660D96"/>
    <w:rsid w:val="428667D2"/>
    <w:rsid w:val="42936A35"/>
    <w:rsid w:val="42CD1CE0"/>
    <w:rsid w:val="42E1381E"/>
    <w:rsid w:val="42ED6459"/>
    <w:rsid w:val="42FE58DD"/>
    <w:rsid w:val="430910DC"/>
    <w:rsid w:val="43174B3D"/>
    <w:rsid w:val="434B790E"/>
    <w:rsid w:val="4360274F"/>
    <w:rsid w:val="43687C74"/>
    <w:rsid w:val="43851473"/>
    <w:rsid w:val="438D20D6"/>
    <w:rsid w:val="43977AB6"/>
    <w:rsid w:val="439D1502"/>
    <w:rsid w:val="43A3342B"/>
    <w:rsid w:val="43C77C27"/>
    <w:rsid w:val="43DE09EE"/>
    <w:rsid w:val="44002FAD"/>
    <w:rsid w:val="449101DD"/>
    <w:rsid w:val="44B85878"/>
    <w:rsid w:val="44CC349B"/>
    <w:rsid w:val="44DE1391"/>
    <w:rsid w:val="450319A7"/>
    <w:rsid w:val="451B225C"/>
    <w:rsid w:val="452410C9"/>
    <w:rsid w:val="45317DFB"/>
    <w:rsid w:val="456D3CE4"/>
    <w:rsid w:val="4579042C"/>
    <w:rsid w:val="457F0571"/>
    <w:rsid w:val="45851176"/>
    <w:rsid w:val="45C63B94"/>
    <w:rsid w:val="45DC7235"/>
    <w:rsid w:val="460E7DA5"/>
    <w:rsid w:val="46151868"/>
    <w:rsid w:val="46422483"/>
    <w:rsid w:val="4659254A"/>
    <w:rsid w:val="465B0637"/>
    <w:rsid w:val="465E3F0D"/>
    <w:rsid w:val="466A16E6"/>
    <w:rsid w:val="46893F2B"/>
    <w:rsid w:val="46C4686E"/>
    <w:rsid w:val="47142906"/>
    <w:rsid w:val="47411859"/>
    <w:rsid w:val="477B778F"/>
    <w:rsid w:val="478203EC"/>
    <w:rsid w:val="47B025FA"/>
    <w:rsid w:val="4809698F"/>
    <w:rsid w:val="4811697D"/>
    <w:rsid w:val="48222B56"/>
    <w:rsid w:val="487A3E25"/>
    <w:rsid w:val="488B5503"/>
    <w:rsid w:val="488B5B16"/>
    <w:rsid w:val="48937E21"/>
    <w:rsid w:val="489A0361"/>
    <w:rsid w:val="48B94FF3"/>
    <w:rsid w:val="48E37AAB"/>
    <w:rsid w:val="48FD4B4C"/>
    <w:rsid w:val="490A68E0"/>
    <w:rsid w:val="491055FE"/>
    <w:rsid w:val="49163B4E"/>
    <w:rsid w:val="492D068B"/>
    <w:rsid w:val="495F5B3E"/>
    <w:rsid w:val="496F77D7"/>
    <w:rsid w:val="497654FD"/>
    <w:rsid w:val="498E392B"/>
    <w:rsid w:val="49B64211"/>
    <w:rsid w:val="49F6167F"/>
    <w:rsid w:val="4A064FA0"/>
    <w:rsid w:val="4A1022B2"/>
    <w:rsid w:val="4A16615C"/>
    <w:rsid w:val="4A4424D7"/>
    <w:rsid w:val="4A5A717C"/>
    <w:rsid w:val="4AB82D0F"/>
    <w:rsid w:val="4AB911E9"/>
    <w:rsid w:val="4AE80EAE"/>
    <w:rsid w:val="4AEB7664"/>
    <w:rsid w:val="4AFD7C19"/>
    <w:rsid w:val="4B0567D1"/>
    <w:rsid w:val="4B236AAE"/>
    <w:rsid w:val="4B707271"/>
    <w:rsid w:val="4B9739F7"/>
    <w:rsid w:val="4BEE2503"/>
    <w:rsid w:val="4C245A30"/>
    <w:rsid w:val="4C6A7D36"/>
    <w:rsid w:val="4CB6685F"/>
    <w:rsid w:val="4CC367FE"/>
    <w:rsid w:val="4D063625"/>
    <w:rsid w:val="4D077F3C"/>
    <w:rsid w:val="4D123355"/>
    <w:rsid w:val="4D2A3B31"/>
    <w:rsid w:val="4D2E492A"/>
    <w:rsid w:val="4D312C52"/>
    <w:rsid w:val="4D905305"/>
    <w:rsid w:val="4D964A72"/>
    <w:rsid w:val="4D9C1254"/>
    <w:rsid w:val="4DA22108"/>
    <w:rsid w:val="4DAB7CE8"/>
    <w:rsid w:val="4DC42B98"/>
    <w:rsid w:val="4E766588"/>
    <w:rsid w:val="4E793892"/>
    <w:rsid w:val="4E800872"/>
    <w:rsid w:val="4EC569ED"/>
    <w:rsid w:val="4EC6375F"/>
    <w:rsid w:val="4ED50EA1"/>
    <w:rsid w:val="4EE65DC1"/>
    <w:rsid w:val="4EEC050C"/>
    <w:rsid w:val="4F104EC3"/>
    <w:rsid w:val="4F2A6663"/>
    <w:rsid w:val="4F4157A8"/>
    <w:rsid w:val="4F47354A"/>
    <w:rsid w:val="4F911C54"/>
    <w:rsid w:val="4FBD11DC"/>
    <w:rsid w:val="4FC40980"/>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63383"/>
    <w:rsid w:val="522D5BCC"/>
    <w:rsid w:val="522E4CC3"/>
    <w:rsid w:val="5244713B"/>
    <w:rsid w:val="526112FD"/>
    <w:rsid w:val="52615633"/>
    <w:rsid w:val="526A34A2"/>
    <w:rsid w:val="526F4DE4"/>
    <w:rsid w:val="52977FD4"/>
    <w:rsid w:val="52A25790"/>
    <w:rsid w:val="52A96B6F"/>
    <w:rsid w:val="52B45975"/>
    <w:rsid w:val="52B86078"/>
    <w:rsid w:val="52BF53B3"/>
    <w:rsid w:val="52D622CD"/>
    <w:rsid w:val="52D94AA4"/>
    <w:rsid w:val="52D970E6"/>
    <w:rsid w:val="52EA3A62"/>
    <w:rsid w:val="52F50BB8"/>
    <w:rsid w:val="53097272"/>
    <w:rsid w:val="53544462"/>
    <w:rsid w:val="538177DD"/>
    <w:rsid w:val="5397158E"/>
    <w:rsid w:val="53CD5953"/>
    <w:rsid w:val="54013861"/>
    <w:rsid w:val="54161D0D"/>
    <w:rsid w:val="54487265"/>
    <w:rsid w:val="544D6070"/>
    <w:rsid w:val="54605E1E"/>
    <w:rsid w:val="54A5143A"/>
    <w:rsid w:val="54B3506A"/>
    <w:rsid w:val="54CA0D16"/>
    <w:rsid w:val="54DD4057"/>
    <w:rsid w:val="54E7490F"/>
    <w:rsid w:val="54ED6E78"/>
    <w:rsid w:val="550764A4"/>
    <w:rsid w:val="550B2BF6"/>
    <w:rsid w:val="55214EB5"/>
    <w:rsid w:val="55364EFD"/>
    <w:rsid w:val="555D4828"/>
    <w:rsid w:val="557A4C8B"/>
    <w:rsid w:val="558931E1"/>
    <w:rsid w:val="55923347"/>
    <w:rsid w:val="55925180"/>
    <w:rsid w:val="55983B1B"/>
    <w:rsid w:val="55A8376B"/>
    <w:rsid w:val="55D27686"/>
    <w:rsid w:val="55DC29B6"/>
    <w:rsid w:val="55DD4241"/>
    <w:rsid w:val="562550B0"/>
    <w:rsid w:val="56494EA4"/>
    <w:rsid w:val="566635E3"/>
    <w:rsid w:val="56681C49"/>
    <w:rsid w:val="566A1B3F"/>
    <w:rsid w:val="566B6D1E"/>
    <w:rsid w:val="567F7FA4"/>
    <w:rsid w:val="569B67DF"/>
    <w:rsid w:val="57032A2C"/>
    <w:rsid w:val="570F5219"/>
    <w:rsid w:val="573B24FA"/>
    <w:rsid w:val="574047D4"/>
    <w:rsid w:val="575D12B5"/>
    <w:rsid w:val="57610A87"/>
    <w:rsid w:val="577B1140"/>
    <w:rsid w:val="577B7F21"/>
    <w:rsid w:val="577F181B"/>
    <w:rsid w:val="57921984"/>
    <w:rsid w:val="579737F0"/>
    <w:rsid w:val="57AB7B30"/>
    <w:rsid w:val="57AF5251"/>
    <w:rsid w:val="57B26373"/>
    <w:rsid w:val="57B63F04"/>
    <w:rsid w:val="57CD20C2"/>
    <w:rsid w:val="57CF5A61"/>
    <w:rsid w:val="57D675AB"/>
    <w:rsid w:val="57D95FDD"/>
    <w:rsid w:val="580953D4"/>
    <w:rsid w:val="5879101D"/>
    <w:rsid w:val="58917D2F"/>
    <w:rsid w:val="5894085C"/>
    <w:rsid w:val="58AE4F0C"/>
    <w:rsid w:val="58B85899"/>
    <w:rsid w:val="58E363A9"/>
    <w:rsid w:val="591F0094"/>
    <w:rsid w:val="593B1955"/>
    <w:rsid w:val="595E1678"/>
    <w:rsid w:val="596D5BD4"/>
    <w:rsid w:val="597E3DD8"/>
    <w:rsid w:val="59F80043"/>
    <w:rsid w:val="5A070E6D"/>
    <w:rsid w:val="5A09252F"/>
    <w:rsid w:val="5A0B2778"/>
    <w:rsid w:val="5A2A7C7B"/>
    <w:rsid w:val="5A3B1010"/>
    <w:rsid w:val="5A3E2560"/>
    <w:rsid w:val="5A5D3B6E"/>
    <w:rsid w:val="5A637A76"/>
    <w:rsid w:val="5A6D33BA"/>
    <w:rsid w:val="5A6D6E55"/>
    <w:rsid w:val="5A792B1F"/>
    <w:rsid w:val="5A874767"/>
    <w:rsid w:val="5A990E56"/>
    <w:rsid w:val="5AA85BE2"/>
    <w:rsid w:val="5AAD6F28"/>
    <w:rsid w:val="5AD63A24"/>
    <w:rsid w:val="5B0E5EC1"/>
    <w:rsid w:val="5B2E1A1D"/>
    <w:rsid w:val="5B432AC3"/>
    <w:rsid w:val="5B843A1C"/>
    <w:rsid w:val="5B873E3F"/>
    <w:rsid w:val="5C02690E"/>
    <w:rsid w:val="5C196DA7"/>
    <w:rsid w:val="5C2A048C"/>
    <w:rsid w:val="5C2F1EB8"/>
    <w:rsid w:val="5C666A3C"/>
    <w:rsid w:val="5C80234E"/>
    <w:rsid w:val="5C8A680C"/>
    <w:rsid w:val="5CA3555B"/>
    <w:rsid w:val="5D0C4701"/>
    <w:rsid w:val="5D0F0395"/>
    <w:rsid w:val="5D221076"/>
    <w:rsid w:val="5D397964"/>
    <w:rsid w:val="5D417C9C"/>
    <w:rsid w:val="5D5A391C"/>
    <w:rsid w:val="5D5F10C0"/>
    <w:rsid w:val="5D891B7B"/>
    <w:rsid w:val="5D966444"/>
    <w:rsid w:val="5DAD38EE"/>
    <w:rsid w:val="5DEB5E15"/>
    <w:rsid w:val="5E006862"/>
    <w:rsid w:val="5E0207B9"/>
    <w:rsid w:val="5E162E01"/>
    <w:rsid w:val="5E1834A1"/>
    <w:rsid w:val="5E261785"/>
    <w:rsid w:val="5E3A305D"/>
    <w:rsid w:val="5E3C01E1"/>
    <w:rsid w:val="5E4A7017"/>
    <w:rsid w:val="5E552BBA"/>
    <w:rsid w:val="5E611C10"/>
    <w:rsid w:val="5E7A0F3F"/>
    <w:rsid w:val="5E8F31E5"/>
    <w:rsid w:val="5EFC7377"/>
    <w:rsid w:val="5F06174D"/>
    <w:rsid w:val="5F1E78C2"/>
    <w:rsid w:val="5F3A3602"/>
    <w:rsid w:val="5F45733B"/>
    <w:rsid w:val="5F50187E"/>
    <w:rsid w:val="5F6277C6"/>
    <w:rsid w:val="5F6D0B1D"/>
    <w:rsid w:val="5F6D308F"/>
    <w:rsid w:val="5F8D0B82"/>
    <w:rsid w:val="5F9F29E3"/>
    <w:rsid w:val="5FC905F5"/>
    <w:rsid w:val="5FCC5339"/>
    <w:rsid w:val="5FD0035F"/>
    <w:rsid w:val="5FE34A5B"/>
    <w:rsid w:val="5FFE1E36"/>
    <w:rsid w:val="60232584"/>
    <w:rsid w:val="60504142"/>
    <w:rsid w:val="60592246"/>
    <w:rsid w:val="607330CE"/>
    <w:rsid w:val="60825176"/>
    <w:rsid w:val="609F2AC4"/>
    <w:rsid w:val="60A52CFD"/>
    <w:rsid w:val="60FA2EE8"/>
    <w:rsid w:val="61054A27"/>
    <w:rsid w:val="610A52BC"/>
    <w:rsid w:val="611D2366"/>
    <w:rsid w:val="61421856"/>
    <w:rsid w:val="615227C4"/>
    <w:rsid w:val="61565A3F"/>
    <w:rsid w:val="61654E3F"/>
    <w:rsid w:val="6182292A"/>
    <w:rsid w:val="619F7F92"/>
    <w:rsid w:val="61DD07C1"/>
    <w:rsid w:val="61F94C26"/>
    <w:rsid w:val="62000E56"/>
    <w:rsid w:val="62015D11"/>
    <w:rsid w:val="624F3E49"/>
    <w:rsid w:val="62632286"/>
    <w:rsid w:val="62885958"/>
    <w:rsid w:val="62F40B65"/>
    <w:rsid w:val="62FC2CFE"/>
    <w:rsid w:val="63024505"/>
    <w:rsid w:val="633F3EBC"/>
    <w:rsid w:val="635600A5"/>
    <w:rsid w:val="635B1DB5"/>
    <w:rsid w:val="63616DA8"/>
    <w:rsid w:val="63711FED"/>
    <w:rsid w:val="63880DDC"/>
    <w:rsid w:val="638A18A9"/>
    <w:rsid w:val="638D750D"/>
    <w:rsid w:val="63AC6CC0"/>
    <w:rsid w:val="63EE470B"/>
    <w:rsid w:val="64055776"/>
    <w:rsid w:val="64074201"/>
    <w:rsid w:val="64240056"/>
    <w:rsid w:val="643E143A"/>
    <w:rsid w:val="64491666"/>
    <w:rsid w:val="64790DAF"/>
    <w:rsid w:val="647E66F3"/>
    <w:rsid w:val="648B6EEF"/>
    <w:rsid w:val="64C158BF"/>
    <w:rsid w:val="64CE2EAA"/>
    <w:rsid w:val="64D97E64"/>
    <w:rsid w:val="653C3090"/>
    <w:rsid w:val="6561540F"/>
    <w:rsid w:val="65652A5B"/>
    <w:rsid w:val="65854376"/>
    <w:rsid w:val="658767BE"/>
    <w:rsid w:val="65892531"/>
    <w:rsid w:val="65D2639F"/>
    <w:rsid w:val="660800BE"/>
    <w:rsid w:val="66195831"/>
    <w:rsid w:val="662E75B1"/>
    <w:rsid w:val="66342C2E"/>
    <w:rsid w:val="663E784C"/>
    <w:rsid w:val="668B6A45"/>
    <w:rsid w:val="66B7F0B1"/>
    <w:rsid w:val="672F3F24"/>
    <w:rsid w:val="673E055F"/>
    <w:rsid w:val="67551CE3"/>
    <w:rsid w:val="676A4358"/>
    <w:rsid w:val="67A22552"/>
    <w:rsid w:val="67A25236"/>
    <w:rsid w:val="67AE01CF"/>
    <w:rsid w:val="67B22DCC"/>
    <w:rsid w:val="67BA14E6"/>
    <w:rsid w:val="67BE71AA"/>
    <w:rsid w:val="67BF319C"/>
    <w:rsid w:val="67D2662F"/>
    <w:rsid w:val="67D90273"/>
    <w:rsid w:val="67DE5875"/>
    <w:rsid w:val="67E55852"/>
    <w:rsid w:val="67EB1AB4"/>
    <w:rsid w:val="67FA1285"/>
    <w:rsid w:val="68551F4F"/>
    <w:rsid w:val="68652C4B"/>
    <w:rsid w:val="687C10C9"/>
    <w:rsid w:val="68840C16"/>
    <w:rsid w:val="68876EFB"/>
    <w:rsid w:val="68884654"/>
    <w:rsid w:val="689F444F"/>
    <w:rsid w:val="68A65864"/>
    <w:rsid w:val="68B96DBB"/>
    <w:rsid w:val="68BD65BB"/>
    <w:rsid w:val="68CA2805"/>
    <w:rsid w:val="68E937A3"/>
    <w:rsid w:val="693E15D3"/>
    <w:rsid w:val="69591A99"/>
    <w:rsid w:val="69627681"/>
    <w:rsid w:val="6977531D"/>
    <w:rsid w:val="69CC2BFF"/>
    <w:rsid w:val="69D74AEB"/>
    <w:rsid w:val="69ED1722"/>
    <w:rsid w:val="69FD55B8"/>
    <w:rsid w:val="6A0B1C62"/>
    <w:rsid w:val="6A2406C8"/>
    <w:rsid w:val="6AD62431"/>
    <w:rsid w:val="6ADC3305"/>
    <w:rsid w:val="6ADE0BD1"/>
    <w:rsid w:val="6AE96859"/>
    <w:rsid w:val="6B147746"/>
    <w:rsid w:val="6B24787C"/>
    <w:rsid w:val="6B573233"/>
    <w:rsid w:val="6B5B6274"/>
    <w:rsid w:val="6B935D53"/>
    <w:rsid w:val="6C196F71"/>
    <w:rsid w:val="6C226FCB"/>
    <w:rsid w:val="6C31226F"/>
    <w:rsid w:val="6C552F0B"/>
    <w:rsid w:val="6C8C67B7"/>
    <w:rsid w:val="6C9D744C"/>
    <w:rsid w:val="6CE95D1F"/>
    <w:rsid w:val="6D150177"/>
    <w:rsid w:val="6D167928"/>
    <w:rsid w:val="6D26299B"/>
    <w:rsid w:val="6D4772EC"/>
    <w:rsid w:val="6D9078AF"/>
    <w:rsid w:val="6D953C72"/>
    <w:rsid w:val="6DAA3FEF"/>
    <w:rsid w:val="6DC0172B"/>
    <w:rsid w:val="6DCB690C"/>
    <w:rsid w:val="6DD37DA2"/>
    <w:rsid w:val="6DD41A5B"/>
    <w:rsid w:val="6DE83C82"/>
    <w:rsid w:val="6DF43C2E"/>
    <w:rsid w:val="6DF51CA3"/>
    <w:rsid w:val="6E0C49DE"/>
    <w:rsid w:val="6E110CEC"/>
    <w:rsid w:val="6E4050A7"/>
    <w:rsid w:val="6E551B51"/>
    <w:rsid w:val="6E8335BD"/>
    <w:rsid w:val="6E8E12EF"/>
    <w:rsid w:val="6E972936"/>
    <w:rsid w:val="6EBC7C2F"/>
    <w:rsid w:val="6ED446C5"/>
    <w:rsid w:val="6EF15980"/>
    <w:rsid w:val="6EF81CE3"/>
    <w:rsid w:val="6F2A7D94"/>
    <w:rsid w:val="6F3516F0"/>
    <w:rsid w:val="6F8331F1"/>
    <w:rsid w:val="6FAE1A09"/>
    <w:rsid w:val="6FD75BF8"/>
    <w:rsid w:val="70207CAA"/>
    <w:rsid w:val="707723D0"/>
    <w:rsid w:val="708D3FB7"/>
    <w:rsid w:val="70E55638"/>
    <w:rsid w:val="70F5661B"/>
    <w:rsid w:val="71360107"/>
    <w:rsid w:val="713B688E"/>
    <w:rsid w:val="71D43752"/>
    <w:rsid w:val="71DE1BCB"/>
    <w:rsid w:val="71F1796A"/>
    <w:rsid w:val="720D0A22"/>
    <w:rsid w:val="72154626"/>
    <w:rsid w:val="72262B5D"/>
    <w:rsid w:val="72283FF7"/>
    <w:rsid w:val="722E7212"/>
    <w:rsid w:val="723A0474"/>
    <w:rsid w:val="72490A7C"/>
    <w:rsid w:val="725923E4"/>
    <w:rsid w:val="72864BF7"/>
    <w:rsid w:val="729023FC"/>
    <w:rsid w:val="72DC47C3"/>
    <w:rsid w:val="730563AE"/>
    <w:rsid w:val="734937D8"/>
    <w:rsid w:val="73C0646E"/>
    <w:rsid w:val="73D4493F"/>
    <w:rsid w:val="73F531FC"/>
    <w:rsid w:val="73FF37A0"/>
    <w:rsid w:val="742222F5"/>
    <w:rsid w:val="74476126"/>
    <w:rsid w:val="745C79AD"/>
    <w:rsid w:val="74706664"/>
    <w:rsid w:val="747F3682"/>
    <w:rsid w:val="749C4185"/>
    <w:rsid w:val="749F2E6A"/>
    <w:rsid w:val="74D31D78"/>
    <w:rsid w:val="75067759"/>
    <w:rsid w:val="75107623"/>
    <w:rsid w:val="752C669A"/>
    <w:rsid w:val="752E6DCD"/>
    <w:rsid w:val="7551380D"/>
    <w:rsid w:val="75600BE5"/>
    <w:rsid w:val="7564475C"/>
    <w:rsid w:val="7583797F"/>
    <w:rsid w:val="75D20F1D"/>
    <w:rsid w:val="75DA2C18"/>
    <w:rsid w:val="75F54412"/>
    <w:rsid w:val="7618790C"/>
    <w:rsid w:val="761D08E0"/>
    <w:rsid w:val="76273515"/>
    <w:rsid w:val="764F3F08"/>
    <w:rsid w:val="765D347C"/>
    <w:rsid w:val="76826699"/>
    <w:rsid w:val="76C87133"/>
    <w:rsid w:val="76CD08D5"/>
    <w:rsid w:val="76DB4B92"/>
    <w:rsid w:val="77052AA4"/>
    <w:rsid w:val="77136511"/>
    <w:rsid w:val="772A533C"/>
    <w:rsid w:val="77340A39"/>
    <w:rsid w:val="77351FD0"/>
    <w:rsid w:val="77472422"/>
    <w:rsid w:val="774B1AB0"/>
    <w:rsid w:val="77541594"/>
    <w:rsid w:val="777F31F2"/>
    <w:rsid w:val="778969A8"/>
    <w:rsid w:val="779E6105"/>
    <w:rsid w:val="77D1700D"/>
    <w:rsid w:val="77EC04CC"/>
    <w:rsid w:val="78530F2F"/>
    <w:rsid w:val="786A50A4"/>
    <w:rsid w:val="78775729"/>
    <w:rsid w:val="78A42DB0"/>
    <w:rsid w:val="78A656AB"/>
    <w:rsid w:val="78B2245C"/>
    <w:rsid w:val="78E172CC"/>
    <w:rsid w:val="78EA1D1F"/>
    <w:rsid w:val="7904172F"/>
    <w:rsid w:val="790F7E27"/>
    <w:rsid w:val="792A231A"/>
    <w:rsid w:val="79316829"/>
    <w:rsid w:val="794D10FB"/>
    <w:rsid w:val="797E66A9"/>
    <w:rsid w:val="798518A4"/>
    <w:rsid w:val="799040F2"/>
    <w:rsid w:val="79A97383"/>
    <w:rsid w:val="79D02741"/>
    <w:rsid w:val="79DB5012"/>
    <w:rsid w:val="79E27E8B"/>
    <w:rsid w:val="79F37AB5"/>
    <w:rsid w:val="79F850CE"/>
    <w:rsid w:val="79FD443C"/>
    <w:rsid w:val="7A090A44"/>
    <w:rsid w:val="7A1D1975"/>
    <w:rsid w:val="7A3E5150"/>
    <w:rsid w:val="7A4670D6"/>
    <w:rsid w:val="7A534B63"/>
    <w:rsid w:val="7A615382"/>
    <w:rsid w:val="7A62202B"/>
    <w:rsid w:val="7A67303B"/>
    <w:rsid w:val="7A9E53BF"/>
    <w:rsid w:val="7AA5729F"/>
    <w:rsid w:val="7AAB1D04"/>
    <w:rsid w:val="7ABA4368"/>
    <w:rsid w:val="7AC11035"/>
    <w:rsid w:val="7AD05746"/>
    <w:rsid w:val="7B0501D6"/>
    <w:rsid w:val="7B0577E3"/>
    <w:rsid w:val="7B10180C"/>
    <w:rsid w:val="7B257FFD"/>
    <w:rsid w:val="7B343476"/>
    <w:rsid w:val="7B445194"/>
    <w:rsid w:val="7B5A2978"/>
    <w:rsid w:val="7B5A7E4C"/>
    <w:rsid w:val="7B667AF9"/>
    <w:rsid w:val="7B7468F8"/>
    <w:rsid w:val="7BB51096"/>
    <w:rsid w:val="7BCC5C5D"/>
    <w:rsid w:val="7BEE0103"/>
    <w:rsid w:val="7BF0184D"/>
    <w:rsid w:val="7BF0746E"/>
    <w:rsid w:val="7BF83D8C"/>
    <w:rsid w:val="7C0A0FE4"/>
    <w:rsid w:val="7C254906"/>
    <w:rsid w:val="7C590818"/>
    <w:rsid w:val="7C5E3822"/>
    <w:rsid w:val="7C6D071B"/>
    <w:rsid w:val="7C7B3325"/>
    <w:rsid w:val="7C7C10F6"/>
    <w:rsid w:val="7C853BEA"/>
    <w:rsid w:val="7C881368"/>
    <w:rsid w:val="7CB00608"/>
    <w:rsid w:val="7CDA7D07"/>
    <w:rsid w:val="7CE27788"/>
    <w:rsid w:val="7D0C32F1"/>
    <w:rsid w:val="7D0C7F34"/>
    <w:rsid w:val="7D0F408D"/>
    <w:rsid w:val="7D2B70C2"/>
    <w:rsid w:val="7D491C6C"/>
    <w:rsid w:val="7D5429C0"/>
    <w:rsid w:val="7D6E6D43"/>
    <w:rsid w:val="7DB57A34"/>
    <w:rsid w:val="7DC83D95"/>
    <w:rsid w:val="7DDC5A7E"/>
    <w:rsid w:val="7DE60973"/>
    <w:rsid w:val="7DEF0916"/>
    <w:rsid w:val="7E1E5218"/>
    <w:rsid w:val="7E676BEC"/>
    <w:rsid w:val="7E9A4E1F"/>
    <w:rsid w:val="7EA7723A"/>
    <w:rsid w:val="7ED77B4C"/>
    <w:rsid w:val="7EDC7492"/>
    <w:rsid w:val="7EF56FBB"/>
    <w:rsid w:val="7EF72EBA"/>
    <w:rsid w:val="7EF7C159"/>
    <w:rsid w:val="7F0768EB"/>
    <w:rsid w:val="7F1430D0"/>
    <w:rsid w:val="7F143BEC"/>
    <w:rsid w:val="7F3C8781"/>
    <w:rsid w:val="7F715AF2"/>
    <w:rsid w:val="7F886E69"/>
    <w:rsid w:val="7FE92795"/>
    <w:rsid w:val="7FF7A41B"/>
    <w:rsid w:val="BB7FA927"/>
    <w:rsid w:val="DED6C4F0"/>
    <w:rsid w:val="F36F64AD"/>
    <w:rsid w:val="F5FFD31F"/>
    <w:rsid w:val="FBE56DFE"/>
    <w:rsid w:val="FFBF642C"/>
    <w:rsid w:val="FFFBDC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28"/>
      <w:szCs w:val="44"/>
    </w:rPr>
  </w:style>
  <w:style w:type="paragraph" w:styleId="2">
    <w:name w:val="heading 2"/>
    <w:basedOn w:val="1"/>
    <w:next w:val="1"/>
    <w:autoRedefine/>
    <w:qFormat/>
    <w:uiPriority w:val="9"/>
    <w:pPr>
      <w:keepNext/>
      <w:keepLines/>
      <w:tabs>
        <w:tab w:val="left" w:pos="432"/>
      </w:tabs>
      <w:adjustRightInd/>
      <w:spacing w:before="60" w:after="60" w:line="360" w:lineRule="auto"/>
      <w:ind w:firstLine="482" w:firstLineChars="200"/>
      <w:jc w:val="left"/>
      <w:outlineLvl w:val="1"/>
    </w:pPr>
    <w:rPr>
      <w:rFonts w:ascii="仿宋_GB2312" w:hAnsi="仿宋_GB2312"/>
      <w:b/>
      <w:bCs/>
      <w:sz w:val="24"/>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4"/>
    <w:qFormat/>
    <w:uiPriority w:val="0"/>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autoRedefine/>
    <w:qFormat/>
    <w:uiPriority w:val="0"/>
    <w:rPr>
      <w:b/>
      <w:bCs/>
    </w:rPr>
  </w:style>
  <w:style w:type="paragraph" w:styleId="61">
    <w:name w:val="Body Text First Indent 2"/>
    <w:basedOn w:val="26"/>
    <w:link w:val="120"/>
    <w:autoRedefine/>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0"/>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9"/>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firstLine="0"/>
      <w:jc w:val="center"/>
    </w:pPr>
    <w:rPr>
      <w:rFonts w:ascii="Calibri" w:hAnsi="Calibri"/>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7"/>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rFonts w:ascii="Times New Roman" w:hAnsi="Times New Roman" w:eastAsia="宋体"/>
      <w:b/>
      <w:bCs/>
      <w:kern w:val="44"/>
      <w:sz w:val="28"/>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69"/>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320"/>
    <w:link w:val="318"/>
    <w:autoRedefine/>
    <w:qFormat/>
    <w:uiPriority w:val="0"/>
    <w:pPr>
      <w:tabs>
        <w:tab w:val="right" w:leader="dot" w:pos="8268"/>
      </w:tabs>
      <w:adjustRightInd/>
    </w:pPr>
    <w:rPr>
      <w:rFonts w:ascii="宋体"/>
      <w:kern w:val="0"/>
      <w:sz w:val="20"/>
      <w:szCs w:val="20"/>
    </w:rPr>
  </w:style>
  <w:style w:type="paragraph" w:customStyle="1" w:styleId="320">
    <w:name w:val="正文1"/>
    <w:basedOn w:val="33"/>
    <w:next w:val="1"/>
    <w:autoRedefine/>
    <w:qFormat/>
    <w:uiPriority w:val="0"/>
    <w:pPr>
      <w:ind w:left="0" w:leftChars="0" w:firstLine="480" w:firstLineChars="200"/>
    </w:pPr>
    <w:rPr>
      <w:rFonts w:ascii="仿宋_GB2312" w:hAnsi="Courier New" w:eastAsia="仿宋_GB2312"/>
      <w:kern w:val="28"/>
      <w:sz w:val="24"/>
    </w:rPr>
  </w:style>
  <w:style w:type="character" w:customStyle="1" w:styleId="321">
    <w:name w:val="正文文本首行缩进 字符"/>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99"/>
    <w:rPr>
      <w:kern w:val="2"/>
      <w:sz w:val="21"/>
      <w:szCs w:val="24"/>
    </w:rPr>
  </w:style>
  <w:style w:type="character" w:customStyle="1" w:styleId="345">
    <w:name w:val="签名 字符"/>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basedOn w:val="69"/>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autoRedefine/>
    <w:qFormat/>
    <w:uiPriority w:val="0"/>
    <w:pPr>
      <w:keepLines w:val="0"/>
      <w:widowControl/>
      <w:tabs>
        <w:tab w:val="left" w:pos="840"/>
        <w:tab w:val="clear" w:pos="432"/>
      </w:tabs>
      <w:adjustRightInd w:val="0"/>
      <w:snapToGrid w:val="0"/>
      <w:spacing w:before="156" w:beforeLines="5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2"/>
    <w:autoRedefine/>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autoRedefine/>
    <w:qFormat/>
    <w:uiPriority w:val="0"/>
    <w:pPr>
      <w:tabs>
        <w:tab w:val="left" w:pos="0"/>
        <w:tab w:val="clear" w:pos="432"/>
      </w:tabs>
      <w:spacing w:before="260" w:after="260" w:line="415" w:lineRule="auto"/>
      <w:ind w:firstLine="200"/>
      <w:jc w:val="both"/>
    </w:pPr>
    <w:rPr>
      <w:rFonts w:ascii="宋体" w:hAnsi="Cambria"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2"/>
    <w:autoRedefine/>
    <w:qFormat/>
    <w:uiPriority w:val="0"/>
    <w:pPr>
      <w:widowControl/>
      <w:spacing w:before="260" w:after="260" w:line="416" w:lineRule="auto"/>
      <w:ind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firstLine="0"/>
      <w:jc w:val="both"/>
    </w:pPr>
    <w:rPr>
      <w:rFonts w:ascii="宋体"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link w:val="968"/>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_Style 10"/>
    <w:basedOn w:val="1"/>
    <w:qFormat/>
    <w:uiPriority w:val="34"/>
    <w:pPr>
      <w:widowControl/>
      <w:ind w:firstLine="420" w:firstLineChars="200"/>
      <w:jc w:val="left"/>
    </w:pPr>
    <w:rPr>
      <w:rFonts w:ascii="宋体" w:hAnsi="宋体" w:cs="宋体"/>
      <w:kern w:val="0"/>
      <w:sz w:val="24"/>
    </w:rPr>
  </w:style>
  <w:style w:type="paragraph" w:customStyle="1" w:styleId="965">
    <w:name w:val="Normal Indent1"/>
    <w:basedOn w:val="1"/>
    <w:qFormat/>
    <w:uiPriority w:val="0"/>
    <w:pPr>
      <w:ind w:firstLine="420" w:firstLineChars="200"/>
    </w:pPr>
  </w:style>
  <w:style w:type="paragraph" w:customStyle="1" w:styleId="96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7">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968">
    <w:name w:val="样式1 Char Char"/>
    <w:link w:val="724"/>
    <w:qFormat/>
    <w:uiPriority w:val="0"/>
    <w:rPr>
      <w:rFonts w:ascii="宋体" w:hAnsi="宋体"/>
      <w:sz w:val="24"/>
    </w:rPr>
  </w:style>
  <w:style w:type="paragraph" w:customStyle="1" w:styleId="969">
    <w:name w:val="WPSOffice手动目录 1"/>
    <w:qFormat/>
    <w:uiPriority w:val="0"/>
    <w:rPr>
      <w:rFonts w:ascii="Times New Roman" w:hAnsi="Times New Roman" w:eastAsia="宋体" w:cs="Times New Roman"/>
      <w:lang w:val="en-US" w:eastAsia="zh-CN" w:bidi="ar-SA"/>
    </w:rPr>
  </w:style>
  <w:style w:type="paragraph" w:customStyle="1" w:styleId="97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41447</Words>
  <Characters>44080</Characters>
  <Lines>380</Lines>
  <Paragraphs>107</Paragraphs>
  <TotalTime>47</TotalTime>
  <ScaleCrop>false</ScaleCrop>
  <LinksUpToDate>false</LinksUpToDate>
  <CharactersWithSpaces>49221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2024-09-19T07:45:00Z</dcterms:created>
  <dc:creator>Hyy</dc:creator>
  <cp:lastModifiedBy>"你连蹲马桶都那么美.</cp:lastModifiedBy>
  <cp:lastPrinted>2024-04-27T09:37:00Z</cp:lastPrinted>
  <dcterms:modified xsi:type="dcterms:W3CDTF">2024-09-23T07:14:24Z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80164E48FA744902A0248A2C6FD73F97_13</vt:lpwstr>
  </property>
</Properties>
</file>