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85E7">
      <w:pPr>
        <w:spacing w:line="360" w:lineRule="auto"/>
        <w:jc w:val="center"/>
        <w:rPr>
          <w:rFonts w:ascii="宋体" w:hAnsi="宋体" w:cs="宋体"/>
          <w:b/>
          <w:szCs w:val="21"/>
        </w:rPr>
      </w:pPr>
    </w:p>
    <w:p w14:paraId="4631DE69">
      <w:pPr>
        <w:spacing w:line="360" w:lineRule="auto"/>
        <w:jc w:val="center"/>
        <w:rPr>
          <w:rFonts w:ascii="宋体" w:hAnsi="宋体" w:cs="宋体"/>
          <w:b/>
          <w:szCs w:val="21"/>
        </w:rPr>
      </w:pPr>
    </w:p>
    <w:p w14:paraId="022E46C7">
      <w:pPr>
        <w:adjustRightInd/>
        <w:spacing w:line="360" w:lineRule="auto"/>
        <w:jc w:val="center"/>
        <w:rPr>
          <w:rFonts w:ascii="宋体" w:hAnsi="宋体" w:cs="宋体"/>
          <w:b/>
          <w:bCs/>
          <w:szCs w:val="21"/>
        </w:rPr>
      </w:pPr>
    </w:p>
    <w:p w14:paraId="445DF199">
      <w:pPr>
        <w:adjustRightInd/>
        <w:spacing w:line="360" w:lineRule="auto"/>
        <w:jc w:val="center"/>
        <w:rPr>
          <w:rFonts w:hint="eastAsia" w:ascii="宋体" w:hAnsi="宋体" w:eastAsia="宋体" w:cs="宋体"/>
          <w:b/>
          <w:bCs/>
          <w:spacing w:val="-17"/>
          <w:sz w:val="48"/>
          <w:szCs w:val="48"/>
          <w:lang w:eastAsia="zh-CN"/>
        </w:rPr>
      </w:pPr>
      <w:r>
        <w:rPr>
          <w:rFonts w:hint="eastAsia" w:ascii="宋体" w:hAnsi="宋体" w:cs="宋体"/>
          <w:b/>
          <w:bCs/>
          <w:spacing w:val="-17"/>
          <w:sz w:val="48"/>
          <w:szCs w:val="48"/>
          <w:lang w:eastAsia="zh-CN"/>
        </w:rPr>
        <w:t>钱塘区政务云资源及云安全租赁服务项目（2024）</w:t>
      </w:r>
    </w:p>
    <w:p w14:paraId="630A41FD">
      <w:pPr>
        <w:adjustRightInd/>
        <w:spacing w:line="360" w:lineRule="auto"/>
        <w:jc w:val="center"/>
        <w:rPr>
          <w:rFonts w:ascii="宋体" w:hAnsi="宋体" w:cs="宋体"/>
          <w:b/>
          <w:bCs/>
          <w:szCs w:val="21"/>
        </w:rPr>
      </w:pPr>
    </w:p>
    <w:p w14:paraId="1B927BBA">
      <w:pPr>
        <w:adjustRightInd/>
        <w:spacing w:line="360" w:lineRule="auto"/>
        <w:jc w:val="center"/>
        <w:rPr>
          <w:rFonts w:ascii="宋体" w:hAnsi="宋体" w:cs="宋体"/>
          <w:b/>
          <w:bCs/>
          <w:sz w:val="84"/>
          <w:szCs w:val="84"/>
        </w:rPr>
      </w:pPr>
      <w:r>
        <w:rPr>
          <w:rFonts w:hint="eastAsia" w:ascii="宋体" w:hAnsi="宋体" w:cs="宋体"/>
          <w:b/>
          <w:bCs/>
          <w:sz w:val="84"/>
          <w:szCs w:val="84"/>
        </w:rPr>
        <w:t>招标文件</w:t>
      </w:r>
    </w:p>
    <w:p w14:paraId="5DA148DD">
      <w:pPr>
        <w:adjustRightInd/>
        <w:spacing w:line="360" w:lineRule="auto"/>
        <w:jc w:val="center"/>
        <w:rPr>
          <w:rFonts w:cs="Calibri"/>
          <w:szCs w:val="21"/>
        </w:rPr>
      </w:pPr>
      <w:r>
        <w:rPr>
          <w:rFonts w:cs="Calibri"/>
          <w:szCs w:val="21"/>
        </w:rPr>
        <w:drawing>
          <wp:inline distT="0" distB="0" distL="114300" distR="114300">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stretch>
                      <a:fillRect/>
                    </a:stretch>
                  </pic:blipFill>
                  <pic:spPr>
                    <a:xfrm>
                      <a:off x="0" y="0"/>
                      <a:ext cx="2303780" cy="1790700"/>
                    </a:xfrm>
                    <a:prstGeom prst="rect">
                      <a:avLst/>
                    </a:prstGeom>
                    <a:noFill/>
                    <a:ln w="9525">
                      <a:noFill/>
                    </a:ln>
                  </pic:spPr>
                </pic:pic>
              </a:graphicData>
            </a:graphic>
          </wp:inline>
        </w:drawing>
      </w:r>
    </w:p>
    <w:p w14:paraId="0F752C44">
      <w:pPr>
        <w:spacing w:line="360" w:lineRule="auto"/>
        <w:rPr>
          <w:sz w:val="44"/>
          <w:szCs w:val="44"/>
        </w:rPr>
      </w:pPr>
    </w:p>
    <w:p w14:paraId="1D2FE859">
      <w:pPr>
        <w:adjustRightInd/>
        <w:spacing w:line="360" w:lineRule="auto"/>
        <w:jc w:val="center"/>
        <w:rPr>
          <w:rFonts w:ascii="宋体" w:hAnsi="宋体" w:cs="宋体"/>
          <w:b/>
          <w:szCs w:val="21"/>
        </w:rPr>
      </w:pPr>
      <w:r>
        <w:rPr>
          <w:rFonts w:hint="eastAsia" w:ascii="宋体" w:hAnsi="宋体" w:cs="宋体"/>
          <w:b/>
          <w:sz w:val="44"/>
          <w:szCs w:val="44"/>
        </w:rPr>
        <w:t>（电子招投标）</w:t>
      </w:r>
    </w:p>
    <w:p w14:paraId="51F16849">
      <w:pPr>
        <w:snapToGrid w:val="0"/>
        <w:spacing w:line="360" w:lineRule="auto"/>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QTCG-GK-2024-220</w:t>
      </w:r>
    </w:p>
    <w:p w14:paraId="353A9D13">
      <w:pPr>
        <w:adjustRightInd/>
        <w:spacing w:line="360" w:lineRule="auto"/>
        <w:rPr>
          <w:rFonts w:ascii="宋体" w:hAnsi="宋体" w:cs="宋体"/>
          <w:b/>
          <w:bCs/>
          <w:szCs w:val="21"/>
        </w:rPr>
      </w:pPr>
    </w:p>
    <w:p w14:paraId="24A8B29A">
      <w:pPr>
        <w:spacing w:line="360" w:lineRule="auto"/>
        <w:rPr>
          <w:rFonts w:ascii="宋体" w:hAnsi="宋体" w:cs="宋体"/>
          <w:b/>
          <w:bCs/>
          <w:szCs w:val="21"/>
        </w:rPr>
      </w:pPr>
    </w:p>
    <w:p w14:paraId="76D88978">
      <w:pPr>
        <w:spacing w:line="360" w:lineRule="auto"/>
        <w:rPr>
          <w:szCs w:val="21"/>
        </w:rPr>
      </w:pPr>
    </w:p>
    <w:p w14:paraId="6C1EC464">
      <w:pPr>
        <w:spacing w:line="360" w:lineRule="auto"/>
        <w:rPr>
          <w:szCs w:val="21"/>
        </w:rPr>
      </w:pPr>
    </w:p>
    <w:p w14:paraId="73611DA5">
      <w:pPr>
        <w:snapToGrid w:val="0"/>
        <w:spacing w:line="360" w:lineRule="auto"/>
        <w:jc w:val="center"/>
        <w:rPr>
          <w:rFonts w:ascii="宋体" w:hAnsi="宋体" w:cs="宋体"/>
          <w:b/>
          <w:bCs/>
          <w:sz w:val="32"/>
          <w:szCs w:val="32"/>
        </w:rPr>
      </w:pPr>
      <w:r>
        <w:rPr>
          <w:rFonts w:hint="eastAsia" w:ascii="宋体" w:hAnsi="宋体" w:cs="宋体"/>
          <w:b/>
          <w:bCs/>
          <w:sz w:val="32"/>
          <w:szCs w:val="32"/>
        </w:rPr>
        <w:t>杭州市钱塘区人民政府办公室</w:t>
      </w:r>
    </w:p>
    <w:p w14:paraId="6FBB43BE">
      <w:pPr>
        <w:spacing w:line="360" w:lineRule="auto"/>
        <w:jc w:val="center"/>
        <w:rPr>
          <w:rFonts w:ascii="宋体" w:hAnsi="宋体" w:cs="宋体"/>
          <w:b/>
          <w:bCs/>
          <w:sz w:val="32"/>
          <w:szCs w:val="32"/>
        </w:rPr>
      </w:pPr>
      <w:r>
        <w:rPr>
          <w:rFonts w:hint="eastAsia" w:ascii="宋体" w:hAnsi="宋体" w:cs="宋体"/>
          <w:b/>
          <w:bCs/>
          <w:sz w:val="32"/>
          <w:szCs w:val="32"/>
        </w:rPr>
        <w:t>浙江省成套招标代理有限公司</w:t>
      </w:r>
    </w:p>
    <w:p w14:paraId="7E22B326">
      <w:pPr>
        <w:spacing w:line="360" w:lineRule="auto"/>
        <w:rPr>
          <w:sz w:val="32"/>
          <w:szCs w:val="32"/>
        </w:rPr>
      </w:pPr>
    </w:p>
    <w:p w14:paraId="143FC500">
      <w:pPr>
        <w:spacing w:line="360" w:lineRule="auto"/>
        <w:jc w:val="center"/>
        <w:rPr>
          <w:rFonts w:ascii="宋体" w:hAnsi="宋体" w:cs="宋体"/>
          <w:b/>
          <w:bCs/>
          <w:sz w:val="32"/>
          <w:szCs w:val="32"/>
        </w:rPr>
      </w:pPr>
      <w:r>
        <w:rPr>
          <w:rFonts w:hint="eastAsia" w:ascii="宋体" w:hAnsi="宋体" w:cs="宋体"/>
          <w:b/>
          <w:bCs/>
          <w:sz w:val="32"/>
          <w:szCs w:val="32"/>
        </w:rPr>
        <w:t>二〇二四年九月</w:t>
      </w:r>
    </w:p>
    <w:p w14:paraId="4334C9F2">
      <w:pPr>
        <w:spacing w:line="360" w:lineRule="auto"/>
        <w:jc w:val="center"/>
        <w:rPr>
          <w:rFonts w:ascii="宋体" w:hAnsi="宋体" w:cs="宋体"/>
          <w:szCs w:val="21"/>
        </w:rPr>
        <w:sectPr>
          <w:headerReference r:id="rId4" w:type="first"/>
          <w:headerReference r:id="rId3" w:type="default"/>
          <w:footerReference r:id="rId5" w:type="even"/>
          <w:pgSz w:w="11906" w:h="16838"/>
          <w:pgMar w:top="680" w:right="1418" w:bottom="468" w:left="1418" w:header="851" w:footer="992" w:gutter="0"/>
          <w:cols w:space="720" w:num="1"/>
          <w:docGrid w:linePitch="312" w:charSpace="0"/>
        </w:sectPr>
      </w:pPr>
    </w:p>
    <w:p w14:paraId="0A0E44C7">
      <w:pPr>
        <w:spacing w:line="360" w:lineRule="auto"/>
        <w:rPr>
          <w:szCs w:val="21"/>
        </w:rPr>
      </w:pPr>
      <w:bookmarkStart w:id="0" w:name="_Toc3116"/>
    </w:p>
    <w:p w14:paraId="60714049">
      <w:pPr>
        <w:pStyle w:val="2"/>
        <w:rPr>
          <w:rFonts w:ascii="宋体" w:hAnsi="宋体" w:cs="宋体"/>
          <w:sz w:val="30"/>
          <w:szCs w:val="30"/>
        </w:rPr>
      </w:pPr>
      <w:bookmarkStart w:id="1" w:name="_Toc28848"/>
      <w:r>
        <w:rPr>
          <w:rFonts w:hint="eastAsia" w:ascii="宋体" w:hAnsi="宋体" w:cs="宋体"/>
          <w:sz w:val="30"/>
          <w:szCs w:val="30"/>
        </w:rPr>
        <w:t>目  录</w:t>
      </w:r>
      <w:bookmarkEnd w:id="0"/>
      <w:bookmarkEnd w:id="1"/>
    </w:p>
    <w:sdt>
      <w:sdtPr>
        <w:rPr>
          <w:rFonts w:ascii="宋体" w:hAnsi="宋体"/>
          <w:szCs w:val="21"/>
        </w:rPr>
        <w:id w:val="147476306"/>
        <w15:color w:val="DBDBDB"/>
        <w:docPartObj>
          <w:docPartGallery w:val="Table of Contents"/>
          <w:docPartUnique/>
        </w:docPartObj>
      </w:sdtPr>
      <w:sdtEndPr>
        <w:rPr>
          <w:rFonts w:hint="eastAsia" w:ascii="宋体" w:hAnsi="宋体" w:cs="宋体"/>
          <w:b/>
          <w:bCs/>
          <w:szCs w:val="21"/>
        </w:rPr>
      </w:sdtEndPr>
      <w:sdtContent>
        <w:p w14:paraId="73BC20FC">
          <w:pPr>
            <w:spacing w:line="360" w:lineRule="auto"/>
            <w:jc w:val="center"/>
            <w:rPr>
              <w:szCs w:val="21"/>
            </w:rPr>
          </w:pPr>
        </w:p>
        <w:p w14:paraId="134A560A">
          <w:pPr>
            <w:pStyle w:val="42"/>
            <w:tabs>
              <w:tab w:val="right" w:leader="dot" w:pos="9070"/>
            </w:tabs>
            <w:spacing w:line="360" w:lineRule="auto"/>
            <w:rPr>
              <w:b/>
              <w:bCs/>
              <w:szCs w:val="21"/>
            </w:rPr>
          </w:pPr>
          <w:r>
            <w:rPr>
              <w:rFonts w:hint="eastAsia" w:ascii="宋体" w:hAnsi="宋体" w:cs="宋体"/>
              <w:b/>
              <w:bCs/>
              <w:szCs w:val="21"/>
            </w:rPr>
            <w:fldChar w:fldCharType="begin"/>
          </w:r>
          <w:r>
            <w:rPr>
              <w:rFonts w:hint="eastAsia" w:ascii="宋体" w:hAnsi="宋体" w:cs="宋体"/>
              <w:b/>
              <w:bCs/>
              <w:szCs w:val="21"/>
            </w:rPr>
            <w:instrText xml:space="preserve">TOC \o "1-1" \h \u </w:instrText>
          </w:r>
          <w:r>
            <w:rPr>
              <w:rFonts w:hint="eastAsia" w:ascii="宋体" w:hAnsi="宋体" w:cs="宋体"/>
              <w:b/>
              <w:bCs/>
              <w:szCs w:val="21"/>
            </w:rPr>
            <w:fldChar w:fldCharType="separate"/>
          </w:r>
          <w:r>
            <w:fldChar w:fldCharType="begin"/>
          </w:r>
          <w:r>
            <w:instrText xml:space="preserve"> HYPERLINK \l "_Toc32009" </w:instrText>
          </w:r>
          <w:r>
            <w:fldChar w:fldCharType="separate"/>
          </w:r>
          <w:r>
            <w:rPr>
              <w:rFonts w:hint="eastAsia" w:ascii="宋体" w:hAnsi="宋体" w:cs="宋体"/>
              <w:b/>
              <w:bCs/>
              <w:szCs w:val="21"/>
            </w:rPr>
            <w:t>第一部分 招标公告</w:t>
          </w:r>
          <w:r>
            <w:rPr>
              <w:b/>
              <w:bCs/>
              <w:szCs w:val="21"/>
            </w:rPr>
            <w:tab/>
          </w:r>
          <w:r>
            <w:rPr>
              <w:b/>
              <w:bCs/>
              <w:szCs w:val="21"/>
            </w:rPr>
            <w:fldChar w:fldCharType="begin"/>
          </w:r>
          <w:r>
            <w:rPr>
              <w:b/>
              <w:bCs/>
              <w:szCs w:val="21"/>
            </w:rPr>
            <w:instrText xml:space="preserve"> PAGEREF _Toc32009 \h </w:instrText>
          </w:r>
          <w:r>
            <w:rPr>
              <w:b/>
              <w:bCs/>
              <w:szCs w:val="21"/>
            </w:rPr>
            <w:fldChar w:fldCharType="separate"/>
          </w:r>
          <w:r>
            <w:rPr>
              <w:b/>
              <w:bCs/>
              <w:szCs w:val="21"/>
            </w:rPr>
            <w:t>3</w:t>
          </w:r>
          <w:r>
            <w:rPr>
              <w:b/>
              <w:bCs/>
              <w:szCs w:val="21"/>
            </w:rPr>
            <w:fldChar w:fldCharType="end"/>
          </w:r>
          <w:r>
            <w:rPr>
              <w:b/>
              <w:bCs/>
              <w:szCs w:val="21"/>
            </w:rPr>
            <w:fldChar w:fldCharType="end"/>
          </w:r>
        </w:p>
        <w:p w14:paraId="25D38617">
          <w:pPr>
            <w:pStyle w:val="42"/>
            <w:tabs>
              <w:tab w:val="right" w:leader="dot" w:pos="9070"/>
            </w:tabs>
            <w:spacing w:line="360" w:lineRule="auto"/>
            <w:rPr>
              <w:b/>
              <w:bCs/>
              <w:szCs w:val="21"/>
            </w:rPr>
          </w:pPr>
          <w:r>
            <w:fldChar w:fldCharType="begin"/>
          </w:r>
          <w:r>
            <w:instrText xml:space="preserve"> HYPERLINK \l "_Toc27473" </w:instrText>
          </w:r>
          <w:r>
            <w:fldChar w:fldCharType="separate"/>
          </w:r>
          <w:r>
            <w:rPr>
              <w:rFonts w:hint="eastAsia" w:ascii="宋体" w:hAnsi="宋体" w:cs="宋体"/>
              <w:b/>
              <w:bCs/>
              <w:szCs w:val="21"/>
            </w:rPr>
            <w:t>第二部分 投标人须知</w:t>
          </w:r>
          <w:r>
            <w:rPr>
              <w:b/>
              <w:bCs/>
              <w:szCs w:val="21"/>
            </w:rPr>
            <w:tab/>
          </w:r>
          <w:r>
            <w:rPr>
              <w:b/>
              <w:bCs/>
              <w:szCs w:val="21"/>
            </w:rPr>
            <w:fldChar w:fldCharType="begin"/>
          </w:r>
          <w:r>
            <w:rPr>
              <w:b/>
              <w:bCs/>
              <w:szCs w:val="21"/>
            </w:rPr>
            <w:instrText xml:space="preserve"> PAGEREF _Toc27473 \h </w:instrText>
          </w:r>
          <w:r>
            <w:rPr>
              <w:b/>
              <w:bCs/>
              <w:szCs w:val="21"/>
            </w:rPr>
            <w:fldChar w:fldCharType="separate"/>
          </w:r>
          <w:r>
            <w:rPr>
              <w:b/>
              <w:bCs/>
              <w:szCs w:val="21"/>
            </w:rPr>
            <w:t>6</w:t>
          </w:r>
          <w:r>
            <w:rPr>
              <w:b/>
              <w:bCs/>
              <w:szCs w:val="21"/>
            </w:rPr>
            <w:fldChar w:fldCharType="end"/>
          </w:r>
          <w:r>
            <w:rPr>
              <w:b/>
              <w:bCs/>
              <w:szCs w:val="21"/>
            </w:rPr>
            <w:fldChar w:fldCharType="end"/>
          </w:r>
        </w:p>
        <w:p w14:paraId="3ECBECA2">
          <w:pPr>
            <w:pStyle w:val="42"/>
            <w:tabs>
              <w:tab w:val="right" w:leader="dot" w:pos="9070"/>
            </w:tabs>
            <w:spacing w:line="360" w:lineRule="auto"/>
            <w:rPr>
              <w:b/>
              <w:bCs/>
              <w:szCs w:val="21"/>
            </w:rPr>
          </w:pPr>
          <w:r>
            <w:fldChar w:fldCharType="begin"/>
          </w:r>
          <w:r>
            <w:instrText xml:space="preserve"> HYPERLINK \l "_Toc19952" </w:instrText>
          </w:r>
          <w:r>
            <w:fldChar w:fldCharType="separate"/>
          </w:r>
          <w:r>
            <w:rPr>
              <w:rFonts w:hint="eastAsia" w:ascii="宋体" w:hAnsi="宋体" w:cs="宋体"/>
              <w:b/>
              <w:bCs/>
              <w:szCs w:val="21"/>
            </w:rPr>
            <w:t>第三部分 采购需求</w:t>
          </w:r>
          <w:r>
            <w:rPr>
              <w:b/>
              <w:bCs/>
              <w:szCs w:val="21"/>
            </w:rPr>
            <w:tab/>
          </w:r>
          <w:r>
            <w:rPr>
              <w:b/>
              <w:bCs/>
              <w:szCs w:val="21"/>
            </w:rPr>
            <w:fldChar w:fldCharType="begin"/>
          </w:r>
          <w:r>
            <w:rPr>
              <w:b/>
              <w:bCs/>
              <w:szCs w:val="21"/>
            </w:rPr>
            <w:instrText xml:space="preserve"> PAGEREF _Toc19952 \h </w:instrText>
          </w:r>
          <w:r>
            <w:rPr>
              <w:b/>
              <w:bCs/>
              <w:szCs w:val="21"/>
            </w:rPr>
            <w:fldChar w:fldCharType="separate"/>
          </w:r>
          <w:r>
            <w:rPr>
              <w:b/>
              <w:bCs/>
              <w:szCs w:val="21"/>
            </w:rPr>
            <w:t>20</w:t>
          </w:r>
          <w:r>
            <w:rPr>
              <w:b/>
              <w:bCs/>
              <w:szCs w:val="21"/>
            </w:rPr>
            <w:fldChar w:fldCharType="end"/>
          </w:r>
          <w:r>
            <w:rPr>
              <w:b/>
              <w:bCs/>
              <w:szCs w:val="21"/>
            </w:rPr>
            <w:fldChar w:fldCharType="end"/>
          </w:r>
        </w:p>
        <w:p w14:paraId="3041D93F">
          <w:pPr>
            <w:pStyle w:val="42"/>
            <w:tabs>
              <w:tab w:val="right" w:leader="dot" w:pos="9070"/>
            </w:tabs>
            <w:spacing w:line="360" w:lineRule="auto"/>
            <w:rPr>
              <w:b/>
              <w:bCs/>
              <w:szCs w:val="21"/>
            </w:rPr>
          </w:pPr>
          <w:r>
            <w:fldChar w:fldCharType="begin"/>
          </w:r>
          <w:r>
            <w:instrText xml:space="preserve"> HYPERLINK \l "_Toc10078" </w:instrText>
          </w:r>
          <w:r>
            <w:fldChar w:fldCharType="separate"/>
          </w:r>
          <w:r>
            <w:rPr>
              <w:rFonts w:hint="eastAsia" w:ascii="宋体" w:hAnsi="宋体" w:cs="宋体"/>
              <w:b/>
              <w:bCs/>
              <w:szCs w:val="21"/>
            </w:rPr>
            <w:t>第四部分 评标办法</w:t>
          </w:r>
          <w:r>
            <w:rPr>
              <w:b/>
              <w:bCs/>
              <w:szCs w:val="21"/>
            </w:rPr>
            <w:tab/>
          </w:r>
          <w:r>
            <w:rPr>
              <w:b/>
              <w:bCs/>
              <w:szCs w:val="21"/>
            </w:rPr>
            <w:fldChar w:fldCharType="begin"/>
          </w:r>
          <w:r>
            <w:rPr>
              <w:b/>
              <w:bCs/>
              <w:szCs w:val="21"/>
            </w:rPr>
            <w:instrText xml:space="preserve"> PAGEREF _Toc10078 \h </w:instrText>
          </w:r>
          <w:r>
            <w:rPr>
              <w:b/>
              <w:bCs/>
              <w:szCs w:val="21"/>
            </w:rPr>
            <w:fldChar w:fldCharType="separate"/>
          </w:r>
          <w:r>
            <w:rPr>
              <w:b/>
              <w:bCs/>
              <w:szCs w:val="21"/>
            </w:rPr>
            <w:t>69</w:t>
          </w:r>
          <w:r>
            <w:rPr>
              <w:b/>
              <w:bCs/>
              <w:szCs w:val="21"/>
            </w:rPr>
            <w:fldChar w:fldCharType="end"/>
          </w:r>
          <w:r>
            <w:rPr>
              <w:b/>
              <w:bCs/>
              <w:szCs w:val="21"/>
            </w:rPr>
            <w:fldChar w:fldCharType="end"/>
          </w:r>
        </w:p>
        <w:p w14:paraId="693809EB">
          <w:pPr>
            <w:pStyle w:val="42"/>
            <w:tabs>
              <w:tab w:val="right" w:leader="dot" w:pos="9070"/>
            </w:tabs>
            <w:spacing w:line="360" w:lineRule="auto"/>
            <w:rPr>
              <w:b/>
              <w:bCs/>
              <w:szCs w:val="21"/>
            </w:rPr>
          </w:pPr>
          <w:r>
            <w:fldChar w:fldCharType="begin"/>
          </w:r>
          <w:r>
            <w:instrText xml:space="preserve"> HYPERLINK \l "_Toc14882" </w:instrText>
          </w:r>
          <w:r>
            <w:fldChar w:fldCharType="separate"/>
          </w:r>
          <w:r>
            <w:rPr>
              <w:rFonts w:hint="eastAsia"/>
              <w:b/>
              <w:bCs/>
              <w:szCs w:val="21"/>
            </w:rPr>
            <w:t>第五部分 拟签订的合同文本</w:t>
          </w:r>
          <w:r>
            <w:rPr>
              <w:b/>
              <w:bCs/>
              <w:szCs w:val="21"/>
            </w:rPr>
            <w:tab/>
          </w:r>
          <w:r>
            <w:rPr>
              <w:b/>
              <w:bCs/>
              <w:szCs w:val="21"/>
            </w:rPr>
            <w:fldChar w:fldCharType="begin"/>
          </w:r>
          <w:r>
            <w:rPr>
              <w:b/>
              <w:bCs/>
              <w:szCs w:val="21"/>
            </w:rPr>
            <w:instrText xml:space="preserve"> PAGEREF _Toc14882 \h </w:instrText>
          </w:r>
          <w:r>
            <w:rPr>
              <w:b/>
              <w:bCs/>
              <w:szCs w:val="21"/>
            </w:rPr>
            <w:fldChar w:fldCharType="separate"/>
          </w:r>
          <w:r>
            <w:rPr>
              <w:b/>
              <w:bCs/>
              <w:szCs w:val="21"/>
            </w:rPr>
            <w:t>79</w:t>
          </w:r>
          <w:r>
            <w:rPr>
              <w:b/>
              <w:bCs/>
              <w:szCs w:val="21"/>
            </w:rPr>
            <w:fldChar w:fldCharType="end"/>
          </w:r>
          <w:r>
            <w:rPr>
              <w:b/>
              <w:bCs/>
              <w:szCs w:val="21"/>
            </w:rPr>
            <w:fldChar w:fldCharType="end"/>
          </w:r>
        </w:p>
        <w:p w14:paraId="25E179E1">
          <w:pPr>
            <w:pStyle w:val="42"/>
            <w:tabs>
              <w:tab w:val="right" w:leader="dot" w:pos="9070"/>
            </w:tabs>
            <w:spacing w:line="360" w:lineRule="auto"/>
            <w:rPr>
              <w:b/>
              <w:bCs/>
              <w:szCs w:val="21"/>
            </w:rPr>
          </w:pPr>
          <w:r>
            <w:fldChar w:fldCharType="begin"/>
          </w:r>
          <w:r>
            <w:instrText xml:space="preserve"> HYPERLINK \l "_Toc31714" </w:instrText>
          </w:r>
          <w:r>
            <w:fldChar w:fldCharType="separate"/>
          </w:r>
          <w:r>
            <w:rPr>
              <w:rFonts w:hint="eastAsia"/>
              <w:b/>
              <w:bCs/>
              <w:szCs w:val="21"/>
            </w:rPr>
            <w:t>第六部分 应提交的有关格式范例</w:t>
          </w:r>
          <w:r>
            <w:rPr>
              <w:b/>
              <w:bCs/>
              <w:szCs w:val="21"/>
            </w:rPr>
            <w:tab/>
          </w:r>
          <w:r>
            <w:rPr>
              <w:b/>
              <w:bCs/>
              <w:szCs w:val="21"/>
            </w:rPr>
            <w:fldChar w:fldCharType="begin"/>
          </w:r>
          <w:r>
            <w:rPr>
              <w:b/>
              <w:bCs/>
              <w:szCs w:val="21"/>
            </w:rPr>
            <w:instrText xml:space="preserve"> PAGEREF _Toc31714 \h </w:instrText>
          </w:r>
          <w:r>
            <w:rPr>
              <w:b/>
              <w:bCs/>
              <w:szCs w:val="21"/>
            </w:rPr>
            <w:fldChar w:fldCharType="separate"/>
          </w:r>
          <w:r>
            <w:rPr>
              <w:b/>
              <w:bCs/>
              <w:szCs w:val="21"/>
            </w:rPr>
            <w:t>92</w:t>
          </w:r>
          <w:r>
            <w:rPr>
              <w:b/>
              <w:bCs/>
              <w:szCs w:val="21"/>
            </w:rPr>
            <w:fldChar w:fldCharType="end"/>
          </w:r>
          <w:r>
            <w:rPr>
              <w:b/>
              <w:bCs/>
              <w:szCs w:val="21"/>
            </w:rPr>
            <w:fldChar w:fldCharType="end"/>
          </w:r>
        </w:p>
        <w:p w14:paraId="560D69BB">
          <w:pPr>
            <w:spacing w:line="360" w:lineRule="auto"/>
            <w:rPr>
              <w:rFonts w:ascii="宋体" w:hAnsi="宋体" w:cs="宋体"/>
              <w:b/>
              <w:bCs/>
              <w:szCs w:val="21"/>
            </w:rPr>
          </w:pPr>
          <w:r>
            <w:rPr>
              <w:rFonts w:hint="eastAsia" w:ascii="宋体" w:hAnsi="宋体" w:cs="宋体"/>
              <w:b/>
              <w:bCs/>
              <w:szCs w:val="21"/>
            </w:rPr>
            <w:fldChar w:fldCharType="end"/>
          </w:r>
        </w:p>
      </w:sdtContent>
    </w:sdt>
    <w:p w14:paraId="5B9DFF3A">
      <w:pPr>
        <w:spacing w:line="360" w:lineRule="auto"/>
        <w:rPr>
          <w:rFonts w:ascii="宋体" w:hAnsi="宋体" w:cs="宋体"/>
          <w:szCs w:val="21"/>
        </w:rPr>
      </w:pPr>
    </w:p>
    <w:p w14:paraId="57553B2C">
      <w:pPr>
        <w:spacing w:line="360" w:lineRule="auto"/>
        <w:ind w:firstLine="480" w:firstLineChars="229"/>
        <w:rPr>
          <w:rFonts w:ascii="宋体" w:hAnsi="宋体" w:cs="宋体"/>
          <w:szCs w:val="21"/>
        </w:rPr>
      </w:pPr>
      <w:bookmarkStart w:id="599" w:name="_GoBack"/>
      <w:bookmarkEnd w:id="599"/>
      <w:bookmarkStart w:id="2" w:name="_Hlt91233176"/>
      <w:bookmarkEnd w:id="2"/>
      <w:bookmarkStart w:id="3" w:name="_Toc91899869"/>
    </w:p>
    <w:p w14:paraId="7BCBDE6C">
      <w:pPr>
        <w:spacing w:line="360" w:lineRule="auto"/>
        <w:ind w:firstLine="480" w:firstLineChars="229"/>
        <w:rPr>
          <w:rFonts w:ascii="宋体" w:hAnsi="宋体" w:cs="宋体"/>
          <w:szCs w:val="21"/>
        </w:rPr>
      </w:pPr>
    </w:p>
    <w:p w14:paraId="5720D476">
      <w:pPr>
        <w:spacing w:line="360" w:lineRule="auto"/>
        <w:ind w:firstLine="480" w:firstLineChars="229"/>
        <w:rPr>
          <w:rFonts w:ascii="宋体" w:hAnsi="宋体" w:cs="宋体"/>
          <w:szCs w:val="21"/>
        </w:rPr>
      </w:pPr>
    </w:p>
    <w:p w14:paraId="21839D31">
      <w:pPr>
        <w:spacing w:line="360" w:lineRule="auto"/>
        <w:ind w:firstLine="480" w:firstLineChars="229"/>
        <w:rPr>
          <w:rFonts w:ascii="宋体" w:hAnsi="宋体" w:cs="宋体"/>
          <w:szCs w:val="21"/>
        </w:rPr>
      </w:pPr>
    </w:p>
    <w:p w14:paraId="513230F9">
      <w:pPr>
        <w:spacing w:line="360" w:lineRule="auto"/>
        <w:ind w:firstLine="480" w:firstLineChars="229"/>
        <w:rPr>
          <w:rFonts w:ascii="宋体" w:hAnsi="宋体" w:cs="宋体"/>
          <w:szCs w:val="21"/>
        </w:rPr>
      </w:pPr>
    </w:p>
    <w:p w14:paraId="0D8DA7F0">
      <w:pPr>
        <w:spacing w:line="360" w:lineRule="auto"/>
        <w:ind w:firstLine="480" w:firstLineChars="229"/>
        <w:rPr>
          <w:rFonts w:ascii="宋体" w:hAnsi="宋体" w:cs="宋体"/>
          <w:szCs w:val="21"/>
        </w:rPr>
      </w:pPr>
    </w:p>
    <w:p w14:paraId="0E704FBF">
      <w:pPr>
        <w:spacing w:line="360" w:lineRule="auto"/>
        <w:ind w:firstLine="480" w:firstLineChars="229"/>
        <w:rPr>
          <w:rFonts w:ascii="宋体" w:hAnsi="宋体" w:cs="宋体"/>
          <w:szCs w:val="21"/>
        </w:rPr>
      </w:pPr>
    </w:p>
    <w:p w14:paraId="05B016A6">
      <w:pPr>
        <w:spacing w:line="360" w:lineRule="auto"/>
        <w:ind w:firstLine="480" w:firstLineChars="229"/>
        <w:rPr>
          <w:rFonts w:ascii="宋体" w:hAnsi="宋体" w:cs="宋体"/>
          <w:szCs w:val="21"/>
        </w:rPr>
      </w:pPr>
    </w:p>
    <w:p w14:paraId="4F61A3FD">
      <w:pPr>
        <w:spacing w:line="360" w:lineRule="auto"/>
        <w:ind w:firstLine="480" w:firstLineChars="229"/>
        <w:rPr>
          <w:rFonts w:ascii="宋体" w:hAnsi="宋体" w:cs="宋体"/>
          <w:szCs w:val="21"/>
        </w:rPr>
      </w:pPr>
    </w:p>
    <w:p w14:paraId="6FDCF7E6">
      <w:pPr>
        <w:spacing w:line="360" w:lineRule="auto"/>
        <w:ind w:firstLine="480" w:firstLineChars="229"/>
        <w:rPr>
          <w:rFonts w:ascii="宋体" w:hAnsi="宋体" w:cs="宋体"/>
          <w:szCs w:val="21"/>
        </w:rPr>
      </w:pPr>
    </w:p>
    <w:p w14:paraId="0B1F2E57">
      <w:pPr>
        <w:spacing w:line="360" w:lineRule="auto"/>
        <w:ind w:firstLine="480" w:firstLineChars="229"/>
        <w:rPr>
          <w:rFonts w:ascii="宋体" w:hAnsi="宋体" w:cs="宋体"/>
          <w:szCs w:val="21"/>
        </w:rPr>
      </w:pPr>
    </w:p>
    <w:p w14:paraId="464175C7">
      <w:pPr>
        <w:spacing w:line="360" w:lineRule="auto"/>
        <w:ind w:firstLine="480" w:firstLineChars="229"/>
        <w:rPr>
          <w:rFonts w:ascii="宋体" w:hAnsi="宋体" w:cs="宋体"/>
          <w:szCs w:val="21"/>
        </w:rPr>
      </w:pPr>
    </w:p>
    <w:p w14:paraId="585039A5">
      <w:pPr>
        <w:spacing w:line="360" w:lineRule="auto"/>
        <w:ind w:firstLine="480" w:firstLineChars="229"/>
        <w:rPr>
          <w:rFonts w:ascii="宋体" w:hAnsi="宋体" w:cs="宋体"/>
          <w:szCs w:val="21"/>
        </w:rPr>
      </w:pPr>
    </w:p>
    <w:p w14:paraId="18C04D6E">
      <w:pPr>
        <w:spacing w:line="360" w:lineRule="auto"/>
        <w:rPr>
          <w:rFonts w:ascii="宋体" w:hAnsi="宋体" w:cs="宋体"/>
          <w:szCs w:val="21"/>
        </w:rPr>
      </w:pPr>
    </w:p>
    <w:p w14:paraId="24672A50">
      <w:pPr>
        <w:adjustRightInd/>
        <w:spacing w:line="360" w:lineRule="auto"/>
        <w:jc w:val="center"/>
        <w:outlineLvl w:val="0"/>
        <w:rPr>
          <w:rFonts w:ascii="宋体" w:hAnsi="宋体" w:cs="宋体"/>
          <w:b/>
          <w:szCs w:val="21"/>
        </w:rPr>
      </w:pPr>
      <w:bookmarkStart w:id="4" w:name="第一部分"/>
      <w:r>
        <w:rPr>
          <w:rFonts w:hint="eastAsia" w:ascii="宋体" w:hAnsi="宋体" w:cs="宋体"/>
          <w:b/>
          <w:szCs w:val="21"/>
        </w:rPr>
        <w:br w:type="page"/>
      </w:r>
      <w:bookmarkEnd w:id="3"/>
      <w:bookmarkEnd w:id="4"/>
      <w:bookmarkStart w:id="5" w:name="_Hlt74649545"/>
      <w:bookmarkEnd w:id="5"/>
      <w:bookmarkStart w:id="6" w:name="_Hlt74728647"/>
      <w:bookmarkEnd w:id="6"/>
      <w:bookmarkStart w:id="7" w:name="_Hlt74707423"/>
      <w:bookmarkEnd w:id="7"/>
      <w:bookmarkStart w:id="8" w:name="_Hlt74729822"/>
      <w:bookmarkEnd w:id="8"/>
      <w:bookmarkStart w:id="9" w:name="_Toc32009"/>
      <w:bookmarkStart w:id="10" w:name="第二部分"/>
      <w:bookmarkStart w:id="11" w:name="_Toc91899870"/>
      <w:bookmarkStart w:id="12" w:name="_Toc91899871"/>
      <w:r>
        <w:rPr>
          <w:rStyle w:val="87"/>
          <w:rFonts w:hint="eastAsia" w:ascii="宋体" w:hAnsi="宋体" w:cs="宋体"/>
          <w:sz w:val="28"/>
          <w:szCs w:val="28"/>
        </w:rPr>
        <w:t>第一部分 招标公告</w:t>
      </w:r>
      <w:bookmarkEnd w:id="9"/>
    </w:p>
    <w:p w14:paraId="24CEFF21">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szCs w:val="21"/>
        </w:rPr>
      </w:pPr>
      <w:r>
        <w:rPr>
          <w:rFonts w:hint="eastAsia" w:ascii="宋体" w:hAnsi="宋体" w:cs="宋体"/>
          <w:b/>
          <w:bCs/>
          <w:szCs w:val="21"/>
        </w:rPr>
        <w:t>项目概况</w:t>
      </w:r>
    </w:p>
    <w:p w14:paraId="341E541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钱塘区政务云资源及云安全租赁服务项目（2024）</w:t>
      </w:r>
      <w:r>
        <w:rPr>
          <w:rFonts w:hint="eastAsia" w:ascii="宋体" w:hAnsi="宋体" w:cs="宋体"/>
          <w:szCs w:val="21"/>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1"/>
          <w:szCs w:val="21"/>
        </w:rPr>
        <w:t>https://www.zcygov.cn/）获取（下载）招标文件，并于</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日09点30分</w:t>
      </w:r>
      <w:r>
        <w:rPr>
          <w:rFonts w:hint="eastAsia" w:ascii="宋体" w:hAnsi="宋体" w:cs="宋体"/>
          <w:szCs w:val="21"/>
          <w:u w:val="single"/>
        </w:rPr>
        <w:fldChar w:fldCharType="end"/>
      </w:r>
      <w:r>
        <w:rPr>
          <w:rFonts w:hint="eastAsia" w:ascii="宋体" w:hAnsi="宋体" w:cs="宋体"/>
          <w:szCs w:val="21"/>
          <w:u w:val="single"/>
        </w:rPr>
        <w:t>00秒</w:t>
      </w:r>
      <w:r>
        <w:rPr>
          <w:rFonts w:hint="eastAsia" w:ascii="宋体" w:hAnsi="宋体" w:cs="宋体"/>
          <w:bCs/>
          <w:szCs w:val="21"/>
        </w:rPr>
        <w:t>（北京时间）前</w:t>
      </w:r>
      <w:r>
        <w:rPr>
          <w:rFonts w:hint="eastAsia" w:ascii="宋体" w:hAnsi="宋体" w:cs="宋体"/>
          <w:szCs w:val="21"/>
        </w:rPr>
        <w:t>递交（上传）投标文件。</w:t>
      </w:r>
    </w:p>
    <w:p w14:paraId="0A8C5ADC">
      <w:pPr>
        <w:spacing w:line="360" w:lineRule="auto"/>
        <w:rPr>
          <w:rFonts w:ascii="宋体" w:hAnsi="宋体" w:cs="宋体"/>
          <w:b/>
          <w:szCs w:val="21"/>
        </w:rPr>
      </w:pPr>
      <w:r>
        <w:rPr>
          <w:rFonts w:hint="eastAsia" w:ascii="宋体" w:hAnsi="宋体" w:cs="宋体"/>
          <w:b/>
          <w:szCs w:val="21"/>
        </w:rPr>
        <w:t>一、项目基本情况</w:t>
      </w:r>
    </w:p>
    <w:p w14:paraId="45866A5C">
      <w:pPr>
        <w:spacing w:line="360" w:lineRule="auto"/>
        <w:ind w:firstLine="422" w:firstLineChars="200"/>
        <w:rPr>
          <w:rFonts w:hint="eastAsia" w:ascii="宋体" w:hAnsi="宋体" w:eastAsia="宋体" w:cs="宋体"/>
          <w:bCs/>
          <w:szCs w:val="21"/>
          <w:lang w:eastAsia="zh-CN"/>
        </w:rPr>
      </w:pPr>
      <w:r>
        <w:rPr>
          <w:rFonts w:hint="eastAsia" w:ascii="宋体" w:hAnsi="宋体" w:cs="宋体"/>
          <w:b/>
          <w:szCs w:val="21"/>
        </w:rPr>
        <w:t>项目编号：</w:t>
      </w:r>
      <w:r>
        <w:rPr>
          <w:rFonts w:hint="eastAsia" w:ascii="宋体" w:hAnsi="宋体" w:cs="宋体"/>
          <w:bCs/>
          <w:szCs w:val="21"/>
          <w:lang w:eastAsia="zh-CN"/>
        </w:rPr>
        <w:t>QTCG-GK-2024-220</w:t>
      </w:r>
    </w:p>
    <w:p w14:paraId="50AB2D5A">
      <w:pPr>
        <w:spacing w:line="360" w:lineRule="auto"/>
        <w:ind w:firstLine="422" w:firstLineChars="200"/>
        <w:rPr>
          <w:rFonts w:hint="eastAsia" w:ascii="宋体" w:hAnsi="宋体" w:eastAsia="宋体" w:cs="宋体"/>
          <w:bCs/>
          <w:szCs w:val="21"/>
          <w:lang w:eastAsia="zh-CN"/>
        </w:rPr>
      </w:pPr>
      <w:r>
        <w:rPr>
          <w:rFonts w:hint="eastAsia" w:ascii="宋体" w:hAnsi="宋体" w:cs="宋体"/>
          <w:b/>
          <w:szCs w:val="21"/>
        </w:rPr>
        <w:t>项目名称：</w:t>
      </w:r>
      <w:r>
        <w:rPr>
          <w:rFonts w:hint="eastAsia" w:ascii="宋体" w:hAnsi="宋体" w:cs="宋体"/>
          <w:bCs/>
          <w:szCs w:val="21"/>
          <w:lang w:eastAsia="zh-CN"/>
        </w:rPr>
        <w:t>钱塘区政务云资源及云安全租赁服务项目（2024）</w:t>
      </w:r>
    </w:p>
    <w:p w14:paraId="51F7BF0B">
      <w:pPr>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预算金额（元）</w:t>
      </w:r>
      <w:r>
        <w:rPr>
          <w:rFonts w:hint="eastAsia" w:ascii="宋体" w:hAnsi="宋体" w:cs="宋体"/>
          <w:bCs/>
          <w:szCs w:val="21"/>
        </w:rPr>
        <w:t>：</w:t>
      </w:r>
      <w:r>
        <w:rPr>
          <w:rFonts w:hint="eastAsia" w:ascii="宋体" w:hAnsi="宋体" w:cs="宋体"/>
          <w:bCs/>
          <w:szCs w:val="21"/>
          <w:lang w:eastAsia="zh-CN"/>
        </w:rPr>
        <w:t>6500000</w:t>
      </w:r>
    </w:p>
    <w:p w14:paraId="2868F1AC">
      <w:pPr>
        <w:spacing w:line="360" w:lineRule="auto"/>
        <w:ind w:firstLine="422" w:firstLineChars="200"/>
        <w:rPr>
          <w:rFonts w:hint="eastAsia" w:ascii="宋体" w:hAnsi="宋体" w:eastAsia="宋体" w:cs="宋体"/>
          <w:b/>
          <w:szCs w:val="21"/>
          <w:lang w:eastAsia="zh-CN"/>
        </w:rPr>
      </w:pPr>
      <w:r>
        <w:rPr>
          <w:rFonts w:hint="eastAsia" w:ascii="宋体" w:hAnsi="宋体" w:cs="宋体"/>
          <w:b/>
          <w:szCs w:val="21"/>
        </w:rPr>
        <w:t>最高限价（元）</w:t>
      </w:r>
      <w:r>
        <w:rPr>
          <w:rFonts w:hint="eastAsia" w:ascii="宋体" w:hAnsi="宋体" w:cs="宋体"/>
          <w:bCs/>
          <w:szCs w:val="21"/>
        </w:rPr>
        <w:t>：</w:t>
      </w:r>
      <w:r>
        <w:rPr>
          <w:rFonts w:hint="eastAsia" w:ascii="宋体" w:hAnsi="宋体" w:cs="宋体"/>
          <w:bCs/>
          <w:szCs w:val="21"/>
          <w:lang w:eastAsia="zh-CN"/>
        </w:rPr>
        <w:t>6500000</w:t>
      </w:r>
    </w:p>
    <w:p w14:paraId="5D0C23CE">
      <w:pPr>
        <w:pStyle w:val="713"/>
        <w:ind w:firstLine="373" w:firstLineChars="177"/>
        <w:rPr>
          <w:rFonts w:ascii="宋体" w:hAnsi="宋体" w:eastAsia="宋体" w:cs="宋体"/>
          <w:snapToGrid w:val="0"/>
          <w:kern w:val="28"/>
          <w:sz w:val="21"/>
        </w:rPr>
      </w:pPr>
      <w:r>
        <w:rPr>
          <w:rFonts w:hint="eastAsia" w:ascii="宋体" w:hAnsi="宋体" w:eastAsia="宋体" w:cs="宋体"/>
          <w:b/>
          <w:sz w:val="21"/>
        </w:rPr>
        <w:t>采购需求：</w:t>
      </w:r>
      <w:r>
        <w:rPr>
          <w:rFonts w:hint="eastAsia" w:ascii="宋体" w:hAnsi="宋体" w:eastAsia="宋体" w:cs="宋体"/>
          <w:snapToGrid w:val="0"/>
          <w:kern w:val="28"/>
          <w:sz w:val="21"/>
        </w:rPr>
        <w:t>根据采购人要求，提供政务云及信创云服务，以满足钱塘区行政机关的信息化系统部署需求；提供安全服务，包括云租户等保安全、密码服务、驻场服务。具体以招标文件第三部分采购需求为准，供应商可点击本公告下方“浏览采购文件”查看采购需求。</w:t>
      </w:r>
    </w:p>
    <w:p w14:paraId="35C68B40">
      <w:pPr>
        <w:pStyle w:val="713"/>
        <w:numPr>
          <w:ilvl w:val="255"/>
          <w:numId w:val="0"/>
        </w:numPr>
        <w:ind w:firstLine="480"/>
        <w:rPr>
          <w:rFonts w:eastAsia="宋体"/>
          <w:sz w:val="21"/>
        </w:rPr>
      </w:pPr>
      <w:r>
        <w:rPr>
          <w:rFonts w:hint="eastAsia" w:ascii="宋体" w:hAnsi="宋体" w:eastAsia="宋体" w:cs="宋体"/>
          <w:b/>
          <w:sz w:val="21"/>
        </w:rPr>
        <w:t>合同履约期限：</w:t>
      </w:r>
      <w:r>
        <w:rPr>
          <w:rFonts w:hint="eastAsia" w:ascii="宋体" w:hAnsi="宋体" w:eastAsia="宋体" w:cs="宋体"/>
          <w:snapToGrid w:val="0"/>
          <w:kern w:val="28"/>
          <w:sz w:val="21"/>
        </w:rPr>
        <w:t>签订合同之日起一年。</w:t>
      </w:r>
    </w:p>
    <w:p w14:paraId="1CD8E1EE">
      <w:pPr>
        <w:pStyle w:val="713"/>
        <w:ind w:firstLine="422"/>
        <w:rPr>
          <w:rFonts w:hAnsi="宋体" w:cs="宋体"/>
          <w:bCs/>
          <w:sz w:val="21"/>
        </w:rPr>
      </w:pPr>
      <w:r>
        <w:rPr>
          <w:rFonts w:hint="eastAsia" w:ascii="宋体" w:hAnsi="宋体" w:eastAsia="宋体" w:cs="宋体"/>
          <w:b/>
          <w:sz w:val="21"/>
        </w:rPr>
        <w:t>本项目接受联合体投标：</w:t>
      </w:r>
      <w:sdt>
        <w:sdtPr>
          <w:rPr>
            <w:rFonts w:hint="eastAsia" w:ascii="宋体" w:hAnsi="宋体" w:eastAsia="宋体" w:cs="宋体"/>
            <w:b/>
            <w:sz w:val="21"/>
          </w:rPr>
          <w:id w:val="2035453831"/>
          <w14:checkbox>
            <w14:checked w14:val="1"/>
            <w14:checkedState w14:val="00FE" w14:font="Wingdings"/>
            <w14:uncheckedState w14:val="2610" w14:font="MS Gothic"/>
          </w14:checkbox>
        </w:sdtPr>
        <w:sdtEndPr>
          <w:rPr>
            <w:rFonts w:hint="eastAsia" w:ascii="宋体" w:hAnsi="宋体" w:eastAsia="宋体" w:cs="宋体"/>
            <w:b w:val="0"/>
            <w:bCs/>
            <w:kern w:val="0"/>
            <w:sz w:val="21"/>
          </w:rPr>
        </w:sdtEndPr>
        <w:sdtContent>
          <w:r>
            <w:rPr>
              <w:rFonts w:ascii="Wingdings" w:hAnsi="Wingdings" w:cs="宋体"/>
              <w:bCs/>
              <w:kern w:val="0"/>
              <w:sz w:val="21"/>
            </w:rPr>
            <w:t></w:t>
          </w:r>
        </w:sdtContent>
      </w:sdt>
      <w:r>
        <w:rPr>
          <w:rFonts w:hint="eastAsia" w:ascii="宋体" w:hAnsi="宋体" w:eastAsia="宋体" w:cs="宋体"/>
          <w:bCs/>
          <w:sz w:val="21"/>
        </w:rPr>
        <w:t>是，</w:t>
      </w:r>
      <w:sdt>
        <w:sdtPr>
          <w:rPr>
            <w:rFonts w:hint="eastAsia" w:hAnsi="宋体" w:cs="宋体"/>
            <w:bCs/>
            <w:kern w:val="0"/>
            <w:sz w:val="21"/>
          </w:rPr>
          <w:id w:val="-1"/>
          <w14:checkbox>
            <w14:checked w14:val="0"/>
            <w14:checkedState w14:val="00FE" w14:font="Wingdings"/>
            <w14:uncheckedState w14:val="2610" w14:font="MS Gothic"/>
          </w14:checkbox>
        </w:sdtPr>
        <w:sdtEndPr>
          <w:rPr>
            <w:rFonts w:hint="eastAsia" w:hAnsi="宋体" w:cs="宋体"/>
            <w:bCs/>
            <w:kern w:val="0"/>
            <w:sz w:val="21"/>
          </w:rPr>
        </w:sdtEndPr>
        <w:sdtContent>
          <w:r>
            <w:rPr>
              <w:rFonts w:hint="eastAsia" w:hAnsi="宋体" w:cs="宋体"/>
              <w:bCs/>
              <w:kern w:val="0"/>
              <w:sz w:val="21"/>
            </w:rPr>
            <w:t>☐</w:t>
          </w:r>
        </w:sdtContent>
      </w:sdt>
      <w:r>
        <w:rPr>
          <w:rFonts w:hint="eastAsia" w:ascii="宋体" w:hAnsi="宋体" w:eastAsia="宋体" w:cs="宋体"/>
          <w:bCs/>
          <w:sz w:val="21"/>
        </w:rPr>
        <w:t>否</w:t>
      </w:r>
      <w:r>
        <w:rPr>
          <w:rFonts w:hint="eastAsia" w:hAnsi="宋体" w:cs="宋体"/>
          <w:bCs/>
          <w:kern w:val="0"/>
          <w:sz w:val="21"/>
        </w:rPr>
        <w:t>。</w:t>
      </w:r>
    </w:p>
    <w:p w14:paraId="47602C78">
      <w:pPr>
        <w:spacing w:line="360" w:lineRule="auto"/>
        <w:rPr>
          <w:rFonts w:ascii="宋体" w:hAnsi="宋体" w:cs="宋体"/>
          <w:b/>
          <w:szCs w:val="21"/>
        </w:rPr>
      </w:pPr>
      <w:r>
        <w:rPr>
          <w:rFonts w:hint="eastAsia" w:ascii="宋体" w:hAnsi="宋体" w:cs="宋体"/>
          <w:b/>
          <w:szCs w:val="21"/>
        </w:rPr>
        <w:t>二、申请人的资格要求：</w:t>
      </w:r>
    </w:p>
    <w:p w14:paraId="4F96DC99">
      <w:pPr>
        <w:spacing w:line="360"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999ADB9">
      <w:pPr>
        <w:spacing w:line="360" w:lineRule="auto"/>
        <w:ind w:firstLine="480"/>
        <w:rPr>
          <w:rFonts w:ascii="宋体" w:hAnsi="宋体" w:cs="宋体"/>
          <w:snapToGrid w:val="0"/>
          <w:kern w:val="28"/>
          <w:szCs w:val="21"/>
        </w:rPr>
      </w:pPr>
      <w:r>
        <w:rPr>
          <w:rFonts w:hint="eastAsia" w:ascii="宋体" w:hAnsi="宋体" w:cs="宋体"/>
          <w:snapToGrid w:val="0"/>
          <w:kern w:val="28"/>
          <w:szCs w:val="21"/>
        </w:rPr>
        <w:t>2.以联合体形式投标的，提供联合协议(本项目不接受联合体投标或者投标人不以联合体形式投标的，则不需要提供)；</w:t>
      </w:r>
    </w:p>
    <w:p w14:paraId="47AA91BC">
      <w:pPr>
        <w:spacing w:line="360" w:lineRule="auto"/>
        <w:ind w:firstLine="480"/>
        <w:rPr>
          <w:rFonts w:ascii="宋体" w:hAnsi="宋体" w:cs="宋体"/>
          <w:snapToGrid w:val="0"/>
          <w:kern w:val="28"/>
          <w:szCs w:val="21"/>
        </w:rPr>
      </w:pPr>
      <w:r>
        <w:rPr>
          <w:rFonts w:hint="eastAsia" w:ascii="宋体" w:hAnsi="宋体" w:cs="宋体"/>
          <w:snapToGrid w:val="0"/>
          <w:kern w:val="28"/>
          <w:szCs w:val="21"/>
        </w:rPr>
        <w:t>3.落实政府采购政策需满足的资格要求：无；</w:t>
      </w:r>
    </w:p>
    <w:p w14:paraId="75A5B8FA">
      <w:pPr>
        <w:spacing w:line="360" w:lineRule="auto"/>
        <w:ind w:firstLine="420" w:firstLineChars="200"/>
        <w:rPr>
          <w:rFonts w:ascii="宋体" w:hAnsi="宋体" w:cs="宋体"/>
          <w:kern w:val="0"/>
          <w:szCs w:val="21"/>
        </w:rPr>
      </w:pPr>
      <w:r>
        <w:rPr>
          <w:rFonts w:hint="eastAsia" w:ascii="宋体" w:hAnsi="宋体" w:cs="宋体"/>
          <w:kern w:val="0"/>
          <w:szCs w:val="21"/>
        </w:rPr>
        <w:t>4.本项目的特定资格要求：无；</w:t>
      </w:r>
    </w:p>
    <w:p w14:paraId="71B64D4C">
      <w:pPr>
        <w:spacing w:line="360" w:lineRule="auto"/>
        <w:ind w:firstLine="420" w:firstLineChars="200"/>
        <w:rPr>
          <w:rFonts w:ascii="宋体" w:hAnsi="宋体" w:cs="宋体"/>
          <w:kern w:val="0"/>
          <w:szCs w:val="21"/>
        </w:rPr>
      </w:pPr>
      <w:r>
        <w:rPr>
          <w:rFonts w:hint="eastAsia" w:ascii="宋体" w:hAnsi="宋体" w:cs="宋体"/>
          <w:kern w:val="0"/>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C04DD3">
      <w:pPr>
        <w:spacing w:line="360" w:lineRule="auto"/>
        <w:rPr>
          <w:rFonts w:ascii="宋体" w:hAnsi="宋体" w:cs="宋体"/>
          <w:b/>
          <w:szCs w:val="21"/>
        </w:rPr>
      </w:pPr>
      <w:r>
        <w:rPr>
          <w:rFonts w:hint="eastAsia" w:ascii="宋体" w:hAnsi="宋体" w:cs="宋体"/>
          <w:b/>
          <w:szCs w:val="21"/>
        </w:rPr>
        <w:t>三、获取招标文件</w:t>
      </w:r>
    </w:p>
    <w:p w14:paraId="6176832C">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w:t>
      </w:r>
      <w:r>
        <w:rPr>
          <w:rFonts w:hint="eastAsia" w:ascii="宋体" w:hAnsi="宋体" w:cs="宋体"/>
          <w:szCs w:val="21"/>
        </w:rPr>
        <w:t>，每天上午00:00至12:00 ，下午12:00至23:59（北京时间，线上获取法定节假日均可，线下获取文件法定节假日除外）。</w:t>
      </w:r>
    </w:p>
    <w:p w14:paraId="1A932200">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政采云平台（https://www.zcygov.cn/）。</w:t>
      </w:r>
    </w:p>
    <w:p w14:paraId="198C2CE0">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供应商登录政采云平台https://www.zcygov.cn/在线申请获取采购文件（进入“项目采购”应用，在获取采购文件菜单中选择项目，申请获取采购文件）。</w:t>
      </w:r>
    </w:p>
    <w:p w14:paraId="31A23CCE">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380383DA">
      <w:pPr>
        <w:spacing w:line="360" w:lineRule="auto"/>
        <w:rPr>
          <w:rFonts w:ascii="宋体" w:hAnsi="宋体" w:cs="宋体"/>
          <w:b/>
          <w:szCs w:val="21"/>
        </w:rPr>
      </w:pPr>
      <w:r>
        <w:rPr>
          <w:rFonts w:hint="eastAsia" w:ascii="宋体" w:hAnsi="宋体" w:cs="宋体"/>
          <w:b/>
          <w:szCs w:val="21"/>
        </w:rPr>
        <w:t>四、提交投标文件截止时间、开标时间和地点</w:t>
      </w:r>
    </w:p>
    <w:p w14:paraId="79E613F0">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日09点30分00秒</w:t>
      </w:r>
      <w:r>
        <w:rPr>
          <w:rFonts w:hint="eastAsia" w:ascii="宋体" w:hAnsi="宋体" w:cs="宋体"/>
          <w:szCs w:val="21"/>
        </w:rPr>
        <w:t>（北京时间）；</w:t>
      </w:r>
    </w:p>
    <w:p w14:paraId="0A97E4EA">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14:paraId="003588E7">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2024年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21</w:t>
      </w:r>
      <w:r>
        <w:rPr>
          <w:rFonts w:hint="eastAsia" w:ascii="宋体" w:hAnsi="宋体" w:cs="宋体"/>
          <w:szCs w:val="21"/>
          <w:u w:val="single"/>
        </w:rPr>
        <w:t>日09点30分00秒</w:t>
      </w:r>
      <w:r>
        <w:rPr>
          <w:rFonts w:hint="eastAsia" w:ascii="宋体" w:hAnsi="宋体" w:cs="宋体"/>
          <w:bCs/>
          <w:szCs w:val="21"/>
          <w:u w:val="single"/>
        </w:rPr>
        <w:t>；</w:t>
      </w:r>
    </w:p>
    <w:p w14:paraId="20D1B99F">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28CAC8FA">
      <w:pPr>
        <w:spacing w:line="360" w:lineRule="auto"/>
        <w:rPr>
          <w:rFonts w:ascii="宋体" w:hAnsi="宋体" w:cs="宋体"/>
          <w:szCs w:val="21"/>
        </w:rPr>
      </w:pPr>
      <w:r>
        <w:rPr>
          <w:rFonts w:hint="eastAsia" w:ascii="宋体" w:hAnsi="宋体" w:cs="宋体"/>
          <w:b/>
          <w:szCs w:val="21"/>
        </w:rPr>
        <w:t xml:space="preserve">五、公告期限 </w:t>
      </w:r>
    </w:p>
    <w:p w14:paraId="068CFA3D">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69689A59">
      <w:pPr>
        <w:spacing w:line="360" w:lineRule="auto"/>
        <w:rPr>
          <w:rFonts w:ascii="宋体" w:hAnsi="宋体" w:cs="宋体"/>
          <w:b/>
          <w:szCs w:val="21"/>
        </w:rPr>
      </w:pPr>
      <w:r>
        <w:rPr>
          <w:rFonts w:hint="eastAsia" w:ascii="宋体" w:hAnsi="宋体" w:cs="宋体"/>
          <w:b/>
          <w:szCs w:val="21"/>
        </w:rPr>
        <w:t>六、其他补充事宜</w:t>
      </w:r>
    </w:p>
    <w:p w14:paraId="6CF63E44">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DBFB329">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48FA7E">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EA25E">
      <w:pPr>
        <w:spacing w:line="360"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67CDE2">
      <w:pPr>
        <w:spacing w:line="360" w:lineRule="auto"/>
        <w:rPr>
          <w:rFonts w:ascii="宋体" w:hAnsi="宋体" w:cs="宋体"/>
          <w:b/>
          <w:szCs w:val="21"/>
        </w:rPr>
      </w:pPr>
      <w:r>
        <w:rPr>
          <w:rFonts w:hint="eastAsia" w:ascii="宋体" w:hAnsi="宋体" w:cs="宋体"/>
          <w:b/>
          <w:szCs w:val="21"/>
        </w:rPr>
        <w:t>七、对本次采购提出询问、质疑、投诉，请按以下方式联系</w:t>
      </w:r>
    </w:p>
    <w:p w14:paraId="755239DB">
      <w:pPr>
        <w:spacing w:line="360" w:lineRule="auto"/>
        <w:ind w:left="420" w:leftChars="200"/>
        <w:rPr>
          <w:rFonts w:ascii="宋体" w:hAnsi="宋体" w:cs="宋体"/>
          <w:szCs w:val="21"/>
        </w:rPr>
      </w:pPr>
      <w:r>
        <w:rPr>
          <w:rFonts w:hint="eastAsia" w:ascii="宋体" w:hAnsi="宋体" w:cs="宋体"/>
          <w:szCs w:val="21"/>
        </w:rPr>
        <w:t>1.采购人信息</w:t>
      </w:r>
    </w:p>
    <w:p w14:paraId="6E826FD5">
      <w:pPr>
        <w:spacing w:line="360" w:lineRule="auto"/>
        <w:ind w:left="420" w:leftChars="200"/>
        <w:rPr>
          <w:rFonts w:ascii="宋体" w:hAnsi="宋体" w:cs="宋体"/>
          <w:szCs w:val="21"/>
        </w:rPr>
      </w:pPr>
      <w:r>
        <w:rPr>
          <w:rFonts w:hint="eastAsia" w:ascii="宋体" w:hAnsi="宋体" w:cs="宋体"/>
          <w:szCs w:val="21"/>
        </w:rPr>
        <w:t>名称：杭州市钱塘区人民政府办公室</w:t>
      </w:r>
    </w:p>
    <w:p w14:paraId="1D09202A">
      <w:pPr>
        <w:spacing w:line="360" w:lineRule="auto"/>
        <w:ind w:left="420" w:leftChars="200"/>
        <w:rPr>
          <w:rFonts w:ascii="宋体" w:hAnsi="宋体" w:cs="宋体"/>
          <w:szCs w:val="21"/>
        </w:rPr>
      </w:pPr>
      <w:r>
        <w:rPr>
          <w:rFonts w:hint="eastAsia" w:ascii="宋体" w:hAnsi="宋体" w:cs="宋体"/>
          <w:szCs w:val="21"/>
        </w:rPr>
        <w:t>地址：杭州市钱塘区青六北路499号</w:t>
      </w:r>
    </w:p>
    <w:p w14:paraId="0223A063">
      <w:pPr>
        <w:spacing w:line="360" w:lineRule="auto"/>
        <w:ind w:left="420" w:leftChars="200"/>
        <w:rPr>
          <w:rFonts w:ascii="宋体" w:hAnsi="宋体" w:cs="宋体"/>
          <w:szCs w:val="21"/>
        </w:rPr>
      </w:pPr>
      <w:r>
        <w:rPr>
          <w:rFonts w:hint="eastAsia" w:ascii="宋体" w:hAnsi="宋体" w:cs="宋体"/>
          <w:szCs w:val="21"/>
        </w:rPr>
        <w:t>项目联系人（询问）：孙女士</w:t>
      </w:r>
    </w:p>
    <w:p w14:paraId="2BCCA120">
      <w:pPr>
        <w:spacing w:line="360" w:lineRule="auto"/>
        <w:ind w:left="420" w:leftChars="200"/>
        <w:rPr>
          <w:rFonts w:ascii="宋体" w:hAnsi="宋体" w:cs="宋体"/>
          <w:szCs w:val="21"/>
        </w:rPr>
      </w:pPr>
      <w:r>
        <w:rPr>
          <w:rFonts w:hint="eastAsia" w:ascii="宋体" w:hAnsi="宋体" w:cs="宋体"/>
          <w:szCs w:val="21"/>
        </w:rPr>
        <w:t>项目联系方式（询问）：0571-89535154</w:t>
      </w:r>
    </w:p>
    <w:p w14:paraId="644E1414">
      <w:pPr>
        <w:spacing w:line="360" w:lineRule="auto"/>
        <w:ind w:left="420" w:leftChars="200"/>
        <w:rPr>
          <w:rFonts w:ascii="宋体" w:hAnsi="宋体" w:cs="宋体"/>
          <w:szCs w:val="21"/>
        </w:rPr>
      </w:pPr>
      <w:r>
        <w:rPr>
          <w:rFonts w:hint="eastAsia" w:ascii="宋体" w:hAnsi="宋体" w:cs="宋体"/>
          <w:szCs w:val="21"/>
        </w:rPr>
        <w:t>质疑联系人：潘先生</w:t>
      </w:r>
    </w:p>
    <w:p w14:paraId="226530BD">
      <w:pPr>
        <w:spacing w:line="360" w:lineRule="auto"/>
        <w:ind w:left="420" w:leftChars="200"/>
        <w:rPr>
          <w:rFonts w:ascii="宋体" w:hAnsi="宋体" w:cs="宋体"/>
          <w:szCs w:val="21"/>
        </w:rPr>
      </w:pPr>
      <w:r>
        <w:rPr>
          <w:rFonts w:hint="eastAsia" w:ascii="宋体" w:hAnsi="宋体" w:cs="宋体"/>
          <w:szCs w:val="21"/>
        </w:rPr>
        <w:t>质疑联系方式：0571-89535390</w:t>
      </w:r>
    </w:p>
    <w:p w14:paraId="1F0B8499">
      <w:pPr>
        <w:spacing w:line="360" w:lineRule="auto"/>
        <w:ind w:left="420" w:leftChars="200"/>
        <w:rPr>
          <w:rFonts w:ascii="宋体" w:hAnsi="宋体" w:cs="宋体"/>
          <w:szCs w:val="21"/>
        </w:rPr>
      </w:pPr>
      <w:r>
        <w:rPr>
          <w:rFonts w:hint="eastAsia" w:ascii="宋体" w:hAnsi="宋体" w:cs="宋体"/>
          <w:szCs w:val="21"/>
        </w:rPr>
        <w:t>2.采购代理机构信息</w:t>
      </w:r>
    </w:p>
    <w:p w14:paraId="17EAB56E">
      <w:pPr>
        <w:spacing w:line="360" w:lineRule="auto"/>
        <w:ind w:left="420" w:leftChars="200"/>
        <w:rPr>
          <w:rFonts w:ascii="宋体" w:hAnsi="宋体" w:cs="宋体"/>
          <w:szCs w:val="21"/>
        </w:rPr>
      </w:pPr>
      <w:r>
        <w:rPr>
          <w:rFonts w:hint="eastAsia" w:ascii="宋体" w:hAnsi="宋体" w:cs="宋体"/>
          <w:szCs w:val="21"/>
        </w:rPr>
        <w:t>名称：浙江省成套招标代理有限公司</w:t>
      </w:r>
    </w:p>
    <w:p w14:paraId="223EFA41">
      <w:pPr>
        <w:spacing w:line="360" w:lineRule="auto"/>
        <w:ind w:left="420" w:leftChars="200"/>
        <w:rPr>
          <w:rFonts w:ascii="宋体" w:hAnsi="宋体" w:cs="宋体"/>
          <w:szCs w:val="21"/>
        </w:rPr>
      </w:pPr>
      <w:r>
        <w:rPr>
          <w:rFonts w:hint="eastAsia" w:ascii="宋体" w:hAnsi="宋体" w:cs="宋体"/>
          <w:szCs w:val="21"/>
        </w:rPr>
        <w:t>地址：杭州市文晖路42号现代置业大厦西楼17楼1704</w:t>
      </w:r>
    </w:p>
    <w:p w14:paraId="6513596A">
      <w:pPr>
        <w:spacing w:line="360" w:lineRule="auto"/>
        <w:ind w:left="420" w:leftChars="200"/>
        <w:rPr>
          <w:rFonts w:ascii="宋体" w:hAnsi="宋体" w:cs="宋体"/>
          <w:szCs w:val="21"/>
        </w:rPr>
      </w:pPr>
      <w:r>
        <w:rPr>
          <w:rFonts w:hint="eastAsia" w:ascii="宋体" w:hAnsi="宋体" w:cs="宋体"/>
          <w:szCs w:val="21"/>
        </w:rPr>
        <w:t>项目联系人（询问）：何颖楹</w:t>
      </w:r>
    </w:p>
    <w:p w14:paraId="325A347D">
      <w:pPr>
        <w:spacing w:line="360" w:lineRule="auto"/>
        <w:ind w:left="420" w:leftChars="200"/>
        <w:rPr>
          <w:rFonts w:ascii="宋体" w:hAnsi="宋体" w:cs="宋体"/>
          <w:szCs w:val="21"/>
        </w:rPr>
      </w:pPr>
      <w:r>
        <w:rPr>
          <w:rFonts w:hint="eastAsia" w:ascii="宋体" w:hAnsi="宋体" w:cs="宋体"/>
          <w:szCs w:val="21"/>
        </w:rPr>
        <w:t>项目联系方式（询问）：15700073181</w:t>
      </w:r>
    </w:p>
    <w:p w14:paraId="499C785A">
      <w:pPr>
        <w:spacing w:line="360" w:lineRule="auto"/>
        <w:ind w:left="420" w:leftChars="200"/>
        <w:rPr>
          <w:rFonts w:ascii="宋体" w:hAnsi="宋体" w:cs="宋体"/>
          <w:szCs w:val="21"/>
        </w:rPr>
      </w:pPr>
      <w:r>
        <w:rPr>
          <w:rFonts w:hint="eastAsia" w:ascii="宋体" w:hAnsi="宋体" w:cs="宋体"/>
          <w:szCs w:val="21"/>
        </w:rPr>
        <w:t>质疑联系人：冯东东</w:t>
      </w:r>
    </w:p>
    <w:p w14:paraId="12C1DF7A">
      <w:pPr>
        <w:spacing w:line="360" w:lineRule="auto"/>
        <w:ind w:left="420" w:leftChars="200"/>
        <w:rPr>
          <w:rFonts w:ascii="宋体" w:hAnsi="宋体" w:cs="宋体"/>
          <w:szCs w:val="21"/>
        </w:rPr>
      </w:pPr>
      <w:r>
        <w:rPr>
          <w:rFonts w:hint="eastAsia" w:ascii="宋体" w:hAnsi="宋体" w:cs="宋体"/>
          <w:szCs w:val="21"/>
        </w:rPr>
        <w:t xml:space="preserve">质疑联系方式：0571-85331293 </w:t>
      </w:r>
    </w:p>
    <w:p w14:paraId="32A70970">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14:paraId="4D21D76B">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名称：杭州市钱塘区财政局、浙江省政府采购行政裁决服务中心（杭州）</w:t>
      </w:r>
    </w:p>
    <w:p w14:paraId="2651F386">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lang w:eastAsia="zh-CN"/>
        </w:rPr>
        <w:t>杭州市上城区清泰街549号城建综合大楼11楼</w:t>
      </w:r>
      <w:r>
        <w:rPr>
          <w:rFonts w:hint="eastAsia" w:asciiTheme="minorEastAsia" w:hAnsiTheme="minorEastAsia" w:eastAsiaTheme="minorEastAsia" w:cstheme="minorEastAsia"/>
          <w:szCs w:val="21"/>
        </w:rPr>
        <w:t>（快递仅限ems或顺丰）</w:t>
      </w:r>
    </w:p>
    <w:p w14:paraId="30F81261">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联系人：朱女士、王女士</w:t>
      </w:r>
    </w:p>
    <w:p w14:paraId="37E5DDA5">
      <w:pPr>
        <w:spacing w:line="360" w:lineRule="auto"/>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监督投诉电话：0571-8</w:t>
      </w:r>
      <w:r>
        <w:rPr>
          <w:rFonts w:hint="eastAsia" w:asciiTheme="minorEastAsia" w:hAnsiTheme="minorEastAsia" w:eastAsiaTheme="minorEastAsia" w:cstheme="minorEastAsia"/>
          <w:szCs w:val="21"/>
          <w:lang w:val="en-US" w:eastAsia="zh-CN"/>
        </w:rPr>
        <w:t>7227671,0571-87800218</w:t>
      </w:r>
    </w:p>
    <w:p w14:paraId="0874C495">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02A6401B">
      <w:pPr>
        <w:spacing w:line="360" w:lineRule="auto"/>
        <w:ind w:firstLine="420" w:firstLineChars="200"/>
        <w:rPr>
          <w:rFonts w:ascii="宋体" w:hAnsi="宋体" w:cs="宋体"/>
          <w:b/>
          <w:szCs w:val="21"/>
        </w:rPr>
      </w:pPr>
      <w:r>
        <w:rPr>
          <w:rFonts w:hint="eastAsia" w:ascii="宋体" w:hAnsi="宋体" w:cs="宋体"/>
          <w:szCs w:val="21"/>
        </w:rPr>
        <w:t>CA问题联系电话（人工）：汇信CA 400-888-4636；天谷CA 400-087-8198。</w:t>
      </w:r>
      <w:r>
        <w:rPr>
          <w:rFonts w:hint="eastAsia" w:ascii="宋体" w:hAnsi="宋体" w:cs="宋体"/>
          <w:b/>
          <w:szCs w:val="21"/>
        </w:rPr>
        <w:br w:type="page"/>
      </w:r>
    </w:p>
    <w:p w14:paraId="3EF5F339">
      <w:pPr>
        <w:pStyle w:val="2"/>
      </w:pPr>
      <w:bookmarkStart w:id="13" w:name="_Toc27473"/>
      <w:r>
        <w:rPr>
          <w:rFonts w:hint="eastAsia"/>
        </w:rPr>
        <w:t>第二部分</w:t>
      </w:r>
      <w:bookmarkEnd w:id="10"/>
      <w:r>
        <w:rPr>
          <w:rFonts w:hint="eastAsia"/>
        </w:rPr>
        <w:t xml:space="preserve"> 投标人须知</w:t>
      </w:r>
      <w:bookmarkEnd w:id="11"/>
      <w:bookmarkEnd w:id="13"/>
    </w:p>
    <w:p w14:paraId="7C809A03">
      <w:pPr>
        <w:pStyle w:val="3"/>
        <w:ind w:firstLine="0" w:firstLineChars="0"/>
        <w:jc w:val="center"/>
        <w:rPr>
          <w:sz w:val="24"/>
          <w:szCs w:val="24"/>
        </w:rPr>
      </w:pPr>
      <w:r>
        <w:rPr>
          <w:rFonts w:hint="eastAsia"/>
          <w:sz w:val="24"/>
          <w:szCs w:val="24"/>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14:paraId="35AE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tcPr>
          <w:p w14:paraId="6CA160CB">
            <w:pPr>
              <w:snapToGrid w:val="0"/>
              <w:spacing w:line="360" w:lineRule="auto"/>
              <w:jc w:val="center"/>
              <w:rPr>
                <w:rFonts w:ascii="宋体" w:hAnsi="宋体" w:cs="宋体"/>
                <w:b/>
                <w:szCs w:val="21"/>
              </w:rPr>
            </w:pPr>
            <w:r>
              <w:rPr>
                <w:rFonts w:hint="eastAsia" w:ascii="宋体" w:hAnsi="宋体" w:cs="宋体"/>
                <w:b/>
                <w:szCs w:val="21"/>
              </w:rPr>
              <w:t>序号</w:t>
            </w:r>
          </w:p>
        </w:tc>
        <w:tc>
          <w:tcPr>
            <w:tcW w:w="1076" w:type="pct"/>
            <w:vAlign w:val="center"/>
          </w:tcPr>
          <w:p w14:paraId="060B47C2">
            <w:pPr>
              <w:snapToGrid w:val="0"/>
              <w:spacing w:line="360" w:lineRule="auto"/>
              <w:jc w:val="center"/>
              <w:rPr>
                <w:rFonts w:ascii="宋体" w:hAnsi="宋体" w:cs="宋体"/>
                <w:b/>
                <w:szCs w:val="21"/>
              </w:rPr>
            </w:pPr>
            <w:r>
              <w:rPr>
                <w:rFonts w:hint="eastAsia" w:ascii="宋体" w:hAnsi="宋体" w:cs="宋体"/>
                <w:b/>
                <w:szCs w:val="21"/>
              </w:rPr>
              <w:t>事项</w:t>
            </w:r>
          </w:p>
        </w:tc>
        <w:tc>
          <w:tcPr>
            <w:tcW w:w="3556" w:type="pct"/>
            <w:vAlign w:val="center"/>
          </w:tcPr>
          <w:p w14:paraId="79CC8243">
            <w:pPr>
              <w:snapToGrid w:val="0"/>
              <w:spacing w:line="360" w:lineRule="auto"/>
              <w:jc w:val="center"/>
              <w:rPr>
                <w:rFonts w:ascii="宋体" w:hAnsi="宋体" w:cs="宋体"/>
                <w:b/>
                <w:szCs w:val="21"/>
              </w:rPr>
            </w:pPr>
            <w:r>
              <w:rPr>
                <w:rFonts w:hint="eastAsia" w:ascii="宋体" w:hAnsi="宋体" w:cs="宋体"/>
                <w:b/>
                <w:szCs w:val="21"/>
              </w:rPr>
              <w:t>本项目的特别规定</w:t>
            </w:r>
          </w:p>
        </w:tc>
      </w:tr>
      <w:tr w14:paraId="6C5C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367" w:type="pct"/>
            <w:vAlign w:val="center"/>
          </w:tcPr>
          <w:p w14:paraId="7A996E07">
            <w:pPr>
              <w:snapToGrid w:val="0"/>
              <w:spacing w:line="360" w:lineRule="auto"/>
              <w:jc w:val="center"/>
              <w:rPr>
                <w:rFonts w:ascii="宋体" w:hAnsi="宋体" w:cs="宋体"/>
                <w:szCs w:val="21"/>
              </w:rPr>
            </w:pPr>
            <w:r>
              <w:rPr>
                <w:rFonts w:hint="eastAsia" w:ascii="宋体" w:hAnsi="宋体" w:cs="宋体"/>
                <w:szCs w:val="21"/>
              </w:rPr>
              <w:t>1</w:t>
            </w:r>
          </w:p>
        </w:tc>
        <w:tc>
          <w:tcPr>
            <w:tcW w:w="1076" w:type="pct"/>
            <w:vAlign w:val="center"/>
          </w:tcPr>
          <w:p w14:paraId="6B1F085D">
            <w:pPr>
              <w:snapToGrid w:val="0"/>
              <w:spacing w:line="360" w:lineRule="auto"/>
              <w:jc w:val="center"/>
              <w:rPr>
                <w:rFonts w:ascii="宋体" w:hAnsi="宋体" w:cs="宋体"/>
                <w:b/>
                <w:szCs w:val="21"/>
              </w:rPr>
            </w:pPr>
            <w:r>
              <w:rPr>
                <w:rFonts w:hint="eastAsia" w:ascii="宋体" w:hAnsi="宋体" w:cs="宋体"/>
                <w:b/>
                <w:szCs w:val="21"/>
              </w:rPr>
              <w:t>项目属性</w:t>
            </w:r>
          </w:p>
        </w:tc>
        <w:tc>
          <w:tcPr>
            <w:tcW w:w="3556" w:type="pct"/>
            <w:vAlign w:val="center"/>
          </w:tcPr>
          <w:p w14:paraId="2090C183">
            <w:pPr>
              <w:spacing w:line="360" w:lineRule="auto"/>
              <w:rPr>
                <w:rFonts w:ascii="宋体" w:hAnsi="宋体" w:cs="宋体"/>
                <w:szCs w:val="21"/>
              </w:rPr>
            </w:pPr>
            <w:r>
              <w:rPr>
                <w:rFonts w:hint="eastAsia" w:ascii="宋体" w:hAnsi="宋体" w:cs="宋体"/>
                <w:szCs w:val="21"/>
              </w:rPr>
              <w:t>服务类。</w:t>
            </w:r>
          </w:p>
        </w:tc>
      </w:tr>
      <w:tr w14:paraId="6E94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rPr>
        <w:tc>
          <w:tcPr>
            <w:tcW w:w="367" w:type="pct"/>
            <w:vAlign w:val="center"/>
          </w:tcPr>
          <w:p w14:paraId="3345B431">
            <w:pPr>
              <w:snapToGrid w:val="0"/>
              <w:spacing w:line="360" w:lineRule="auto"/>
              <w:jc w:val="center"/>
              <w:rPr>
                <w:rFonts w:ascii="宋体" w:hAnsi="宋体" w:cs="宋体"/>
                <w:szCs w:val="21"/>
              </w:rPr>
            </w:pPr>
            <w:r>
              <w:rPr>
                <w:rFonts w:hint="eastAsia" w:ascii="宋体" w:hAnsi="宋体" w:cs="宋体"/>
                <w:szCs w:val="21"/>
              </w:rPr>
              <w:t>2</w:t>
            </w:r>
          </w:p>
        </w:tc>
        <w:tc>
          <w:tcPr>
            <w:tcW w:w="1076" w:type="pct"/>
            <w:vAlign w:val="center"/>
          </w:tcPr>
          <w:p w14:paraId="141E88C1">
            <w:pPr>
              <w:snapToGrid w:val="0"/>
              <w:spacing w:line="360"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3556" w:type="pct"/>
            <w:vAlign w:val="center"/>
          </w:tcPr>
          <w:p w14:paraId="72711C7E">
            <w:pPr>
              <w:spacing w:line="360" w:lineRule="auto"/>
              <w:rPr>
                <w:rFonts w:ascii="宋体" w:hAnsi="宋体" w:cs="宋体"/>
                <w:kern w:val="0"/>
                <w:szCs w:val="21"/>
              </w:rPr>
            </w:pPr>
            <w:r>
              <w:rPr>
                <w:rFonts w:hint="eastAsia" w:ascii="宋体" w:hAnsi="宋体" w:cs="宋体"/>
                <w:kern w:val="0"/>
                <w:szCs w:val="21"/>
              </w:rPr>
              <w:t>（1）标的</w:t>
            </w:r>
            <w:r>
              <w:rPr>
                <w:rFonts w:hint="eastAsia" w:ascii="宋体" w:hAnsi="宋体" w:cs="宋体"/>
                <w:kern w:val="0"/>
                <w:szCs w:val="21"/>
                <w:u w:val="single"/>
              </w:rPr>
              <w:t>：</w:t>
            </w:r>
            <w:r>
              <w:rPr>
                <w:rFonts w:hint="eastAsia" w:ascii="宋体" w:hAnsi="宋体" w:cs="宋体"/>
                <w:kern w:val="0"/>
                <w:szCs w:val="21"/>
                <w:u w:val="single"/>
                <w:lang w:eastAsia="zh-CN"/>
              </w:rPr>
              <w:t>钱塘区政务云资源及云安全租赁服务项目（2024）</w:t>
            </w:r>
            <w:r>
              <w:rPr>
                <w:rFonts w:hint="eastAsia" w:ascii="宋体" w:hAnsi="宋体" w:cs="宋体"/>
                <w:kern w:val="0"/>
                <w:szCs w:val="21"/>
              </w:rPr>
              <w:t>，属于</w:t>
            </w:r>
            <w:r>
              <w:rPr>
                <w:rFonts w:hint="eastAsia" w:ascii="宋体" w:hAnsi="宋体" w:cs="宋体"/>
                <w:kern w:val="0"/>
                <w:szCs w:val="21"/>
                <w:u w:val="single"/>
              </w:rPr>
              <w:t>软件和信息技术服务业</w:t>
            </w:r>
            <w:r>
              <w:rPr>
                <w:rFonts w:hint="eastAsia" w:ascii="宋体" w:hAnsi="宋体" w:cs="宋体"/>
                <w:kern w:val="0"/>
                <w:szCs w:val="21"/>
              </w:rPr>
              <w:t>；</w:t>
            </w:r>
          </w:p>
          <w:p w14:paraId="785EF971">
            <w:pPr>
              <w:spacing w:line="360" w:lineRule="auto"/>
              <w:rPr>
                <w:szCs w:val="21"/>
              </w:rPr>
            </w:pPr>
            <w:r>
              <w:rPr>
                <w:rFonts w:hint="eastAsia" w:ascii="宋体" w:hAnsi="宋体" w:cs="宋体"/>
                <w:kern w:val="0"/>
                <w:szCs w:val="21"/>
              </w:rPr>
              <w:t>（2）</w:t>
            </w:r>
            <w:r>
              <w:rPr>
                <w:rFonts w:hint="eastAsia" w:ascii="宋体" w:hAnsi="宋体" w:cs="宋体"/>
                <w:kern w:val="0"/>
                <w:szCs w:val="21"/>
                <w:u w:val="singl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976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rPr>
        <w:tc>
          <w:tcPr>
            <w:tcW w:w="367" w:type="pct"/>
            <w:vAlign w:val="center"/>
          </w:tcPr>
          <w:p w14:paraId="4DF3A211">
            <w:pPr>
              <w:snapToGrid w:val="0"/>
              <w:spacing w:line="360" w:lineRule="auto"/>
              <w:jc w:val="center"/>
              <w:rPr>
                <w:rFonts w:ascii="宋体" w:hAnsi="宋体" w:cs="宋体"/>
                <w:szCs w:val="21"/>
              </w:rPr>
            </w:pPr>
            <w:r>
              <w:rPr>
                <w:rFonts w:hint="eastAsia" w:ascii="宋体" w:hAnsi="宋体" w:cs="宋体"/>
                <w:szCs w:val="21"/>
              </w:rPr>
              <w:t>3</w:t>
            </w:r>
          </w:p>
        </w:tc>
        <w:tc>
          <w:tcPr>
            <w:tcW w:w="1076" w:type="pct"/>
            <w:vAlign w:val="center"/>
          </w:tcPr>
          <w:p w14:paraId="169D43C4">
            <w:pPr>
              <w:snapToGrid w:val="0"/>
              <w:spacing w:line="360" w:lineRule="auto"/>
              <w:jc w:val="center"/>
              <w:rPr>
                <w:rFonts w:ascii="宋体" w:hAnsi="宋体" w:cs="宋体"/>
                <w:b/>
                <w:szCs w:val="21"/>
              </w:rPr>
            </w:pPr>
            <w:r>
              <w:rPr>
                <w:rFonts w:hint="eastAsia" w:ascii="宋体" w:hAnsi="宋体" w:cs="宋体"/>
                <w:b/>
                <w:szCs w:val="21"/>
              </w:rPr>
              <w:t>是否允许采购进口产品</w:t>
            </w:r>
          </w:p>
        </w:tc>
        <w:tc>
          <w:tcPr>
            <w:tcW w:w="3556" w:type="pct"/>
            <w:vAlign w:val="center"/>
          </w:tcPr>
          <w:p w14:paraId="2A3D64A9">
            <w:pPr>
              <w:spacing w:line="360" w:lineRule="auto"/>
              <w:rPr>
                <w:rFonts w:ascii="宋体" w:hAnsi="宋体" w:cs="宋体"/>
                <w:kern w:val="0"/>
                <w:szCs w:val="21"/>
              </w:rPr>
            </w:pPr>
            <w:sdt>
              <w:sdtPr>
                <w:rPr>
                  <w:rFonts w:hint="eastAsia" w:ascii="宋体" w:hAnsi="宋体" w:cs="宋体"/>
                  <w:kern w:val="0"/>
                  <w:szCs w:val="21"/>
                </w:rPr>
                <w:id w:val="14745234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104B728D">
            <w:pPr>
              <w:spacing w:line="360" w:lineRule="auto"/>
              <w:rPr>
                <w:rFonts w:ascii="宋体" w:hAnsi="宋体" w:cs="宋体"/>
                <w:szCs w:val="21"/>
              </w:rPr>
            </w:pPr>
            <w:sdt>
              <w:sdtPr>
                <w:rPr>
                  <w:rFonts w:hint="eastAsia" w:ascii="宋体" w:hAnsi="宋体" w:cs="宋体"/>
                  <w:kern w:val="0"/>
                  <w:szCs w:val="21"/>
                </w:rPr>
                <w:id w:val="14745692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547F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367" w:type="pct"/>
            <w:vAlign w:val="center"/>
          </w:tcPr>
          <w:p w14:paraId="09613E6B">
            <w:pPr>
              <w:snapToGrid w:val="0"/>
              <w:spacing w:line="360" w:lineRule="auto"/>
              <w:jc w:val="center"/>
              <w:rPr>
                <w:rFonts w:ascii="宋体" w:hAnsi="宋体" w:cs="宋体"/>
                <w:szCs w:val="21"/>
              </w:rPr>
            </w:pPr>
            <w:r>
              <w:rPr>
                <w:rFonts w:hint="eastAsia" w:ascii="宋体" w:hAnsi="宋体" w:cs="宋体"/>
                <w:szCs w:val="21"/>
              </w:rPr>
              <w:t>4</w:t>
            </w:r>
          </w:p>
        </w:tc>
        <w:tc>
          <w:tcPr>
            <w:tcW w:w="1076" w:type="pct"/>
            <w:vAlign w:val="center"/>
          </w:tcPr>
          <w:p w14:paraId="72A43A07">
            <w:pPr>
              <w:snapToGrid w:val="0"/>
              <w:spacing w:line="360" w:lineRule="auto"/>
              <w:jc w:val="center"/>
              <w:rPr>
                <w:rFonts w:ascii="宋体" w:hAnsi="宋体" w:cs="宋体"/>
                <w:b/>
                <w:szCs w:val="21"/>
              </w:rPr>
            </w:pPr>
            <w:r>
              <w:rPr>
                <w:rFonts w:hint="eastAsia" w:ascii="宋体" w:hAnsi="宋体" w:cs="宋体"/>
                <w:b/>
                <w:szCs w:val="21"/>
              </w:rPr>
              <w:t>分包</w:t>
            </w:r>
          </w:p>
        </w:tc>
        <w:tc>
          <w:tcPr>
            <w:tcW w:w="3556" w:type="pct"/>
            <w:vAlign w:val="center"/>
          </w:tcPr>
          <w:p w14:paraId="2153105C">
            <w:pPr>
              <w:spacing w:line="360" w:lineRule="auto"/>
              <w:rPr>
                <w:rFonts w:ascii="宋体" w:hAnsi="宋体" w:cs="宋体"/>
                <w:szCs w:val="21"/>
              </w:rPr>
            </w:pPr>
            <w:sdt>
              <w:sdtPr>
                <w:rPr>
                  <w:rFonts w:hint="eastAsia" w:ascii="宋体" w:hAnsi="宋体" w:cs="宋体"/>
                  <w:kern w:val="0"/>
                  <w:szCs w:val="21"/>
                </w:rPr>
                <w:id w:val="147482531"/>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同意将非主体、非关键性的</w:t>
            </w:r>
            <w:r>
              <w:rPr>
                <w:rFonts w:hint="eastAsia" w:ascii="宋体" w:hAnsi="宋体" w:cs="宋体"/>
                <w:szCs w:val="21"/>
                <w:u w:val="single"/>
              </w:rPr>
              <w:t>漏洞扫描服务、等保安全服务、密评加固服务</w:t>
            </w:r>
            <w:r>
              <w:rPr>
                <w:rFonts w:hint="eastAsia" w:ascii="宋体" w:hAnsi="宋体" w:cs="宋体"/>
                <w:szCs w:val="21"/>
              </w:rPr>
              <w:t>工作分包。</w:t>
            </w:r>
            <w:sdt>
              <w:sdtPr>
                <w:rPr>
                  <w:rFonts w:hint="eastAsia" w:ascii="宋体" w:hAnsi="宋体" w:cs="宋体"/>
                  <w:kern w:val="0"/>
                  <w:szCs w:val="21"/>
                </w:rPr>
                <w:id w:val="14747771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p w14:paraId="0AA76FF8">
            <w:pPr>
              <w:spacing w:line="360" w:lineRule="auto"/>
              <w:rPr>
                <w:rFonts w:ascii="宋体" w:hAnsi="宋体" w:cs="宋体"/>
                <w:szCs w:val="21"/>
              </w:rPr>
            </w:pPr>
            <w:r>
              <w:rPr>
                <w:rFonts w:hint="eastAsia" w:ascii="宋体" w:hAnsi="宋体" w:cs="宋体"/>
                <w:szCs w:val="21"/>
              </w:rPr>
              <w:t>注：不得限制大中型企业向小微企业合理分包。</w:t>
            </w:r>
          </w:p>
        </w:tc>
      </w:tr>
      <w:tr w14:paraId="6214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rPr>
        <w:tc>
          <w:tcPr>
            <w:tcW w:w="367" w:type="pct"/>
            <w:vAlign w:val="center"/>
          </w:tcPr>
          <w:p w14:paraId="2D49504B">
            <w:pPr>
              <w:snapToGrid w:val="0"/>
              <w:spacing w:line="360" w:lineRule="auto"/>
              <w:jc w:val="center"/>
              <w:rPr>
                <w:rFonts w:ascii="宋体" w:hAnsi="宋体" w:cs="宋体"/>
                <w:szCs w:val="21"/>
              </w:rPr>
            </w:pPr>
            <w:r>
              <w:rPr>
                <w:rFonts w:hint="eastAsia" w:ascii="宋体" w:hAnsi="宋体" w:cs="宋体"/>
                <w:szCs w:val="21"/>
              </w:rPr>
              <w:t>5</w:t>
            </w:r>
          </w:p>
        </w:tc>
        <w:tc>
          <w:tcPr>
            <w:tcW w:w="1076" w:type="pct"/>
            <w:vAlign w:val="center"/>
          </w:tcPr>
          <w:p w14:paraId="709A0AFC">
            <w:pPr>
              <w:snapToGrid w:val="0"/>
              <w:spacing w:line="360" w:lineRule="auto"/>
              <w:jc w:val="center"/>
              <w:rPr>
                <w:rFonts w:ascii="宋体" w:hAnsi="宋体" w:cs="宋体"/>
                <w:b/>
                <w:szCs w:val="21"/>
              </w:rPr>
            </w:pPr>
            <w:r>
              <w:rPr>
                <w:rFonts w:hint="eastAsia" w:ascii="宋体" w:hAnsi="宋体" w:cs="宋体"/>
                <w:b/>
                <w:szCs w:val="21"/>
              </w:rPr>
              <w:t>开标前答疑会或现场考察</w:t>
            </w:r>
          </w:p>
        </w:tc>
        <w:tc>
          <w:tcPr>
            <w:tcW w:w="3556" w:type="pct"/>
            <w:vAlign w:val="center"/>
          </w:tcPr>
          <w:p w14:paraId="60A45929">
            <w:pPr>
              <w:spacing w:line="360" w:lineRule="auto"/>
              <w:rPr>
                <w:rFonts w:ascii="宋体" w:hAnsi="宋体" w:cs="宋体"/>
                <w:szCs w:val="21"/>
              </w:rPr>
            </w:pPr>
            <w:sdt>
              <w:sdtPr>
                <w:rPr>
                  <w:rFonts w:hint="eastAsia" w:ascii="宋体" w:hAnsi="宋体" w:cs="宋体"/>
                  <w:kern w:val="0"/>
                  <w:szCs w:val="21"/>
                </w:rPr>
                <w:id w:val="14747595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1BFD5E3A">
            <w:pPr>
              <w:spacing w:line="360" w:lineRule="auto"/>
              <w:rPr>
                <w:rFonts w:ascii="宋体" w:hAnsi="宋体" w:cs="宋体"/>
                <w:szCs w:val="21"/>
              </w:rPr>
            </w:pPr>
            <w:sdt>
              <w:sdtPr>
                <w:rPr>
                  <w:rFonts w:hint="eastAsia" w:ascii="宋体" w:hAnsi="宋体" w:cs="宋体"/>
                  <w:kern w:val="0"/>
                  <w:szCs w:val="21"/>
                </w:rPr>
                <w:id w:val="147471257"/>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65A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vAlign w:val="center"/>
          </w:tcPr>
          <w:p w14:paraId="4A53002D">
            <w:pPr>
              <w:snapToGrid w:val="0"/>
              <w:spacing w:line="360" w:lineRule="auto"/>
              <w:jc w:val="center"/>
              <w:rPr>
                <w:rFonts w:ascii="宋体" w:hAnsi="宋体" w:cs="宋体"/>
                <w:szCs w:val="21"/>
              </w:rPr>
            </w:pPr>
            <w:r>
              <w:rPr>
                <w:rFonts w:hint="eastAsia" w:ascii="宋体" w:hAnsi="宋体" w:cs="宋体"/>
                <w:szCs w:val="21"/>
              </w:rPr>
              <w:t>6</w:t>
            </w:r>
          </w:p>
        </w:tc>
        <w:tc>
          <w:tcPr>
            <w:tcW w:w="1076" w:type="pct"/>
            <w:vAlign w:val="center"/>
          </w:tcPr>
          <w:p w14:paraId="6D3A9AA8">
            <w:pPr>
              <w:snapToGrid w:val="0"/>
              <w:spacing w:line="360" w:lineRule="auto"/>
              <w:jc w:val="center"/>
              <w:rPr>
                <w:rFonts w:ascii="宋体" w:hAnsi="宋体" w:cs="宋体"/>
                <w:b/>
                <w:szCs w:val="21"/>
              </w:rPr>
            </w:pPr>
            <w:r>
              <w:rPr>
                <w:rFonts w:hint="eastAsia" w:ascii="宋体" w:hAnsi="宋体" w:cs="宋体"/>
                <w:b/>
                <w:szCs w:val="21"/>
              </w:rPr>
              <w:t>样品提供</w:t>
            </w:r>
          </w:p>
        </w:tc>
        <w:tc>
          <w:tcPr>
            <w:tcW w:w="3556" w:type="pct"/>
            <w:vAlign w:val="center"/>
          </w:tcPr>
          <w:p w14:paraId="7C4C16D7">
            <w:pPr>
              <w:spacing w:line="360" w:lineRule="auto"/>
              <w:rPr>
                <w:rFonts w:ascii="宋体" w:hAnsi="宋体" w:cs="宋体"/>
                <w:szCs w:val="21"/>
              </w:rPr>
            </w:pPr>
            <w:sdt>
              <w:sdtPr>
                <w:rPr>
                  <w:rFonts w:hint="eastAsia" w:ascii="宋体" w:hAnsi="宋体" w:cs="宋体"/>
                  <w:kern w:val="0"/>
                  <w:szCs w:val="21"/>
                </w:rPr>
                <w:id w:val="14747809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0E152108">
            <w:pPr>
              <w:spacing w:line="360"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B要求提供，</w:t>
            </w:r>
          </w:p>
          <w:p w14:paraId="5BA0EB2C">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476AEAD3">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6BBF7372">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2ABCD19B">
            <w:pPr>
              <w:spacing w:line="360"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28C1DE15">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30719D01">
            <w:pPr>
              <w:spacing w:line="360"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A0ECE2">
            <w:pPr>
              <w:spacing w:line="360"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3767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atLeast"/>
        </w:trPr>
        <w:tc>
          <w:tcPr>
            <w:tcW w:w="367" w:type="pct"/>
            <w:vAlign w:val="center"/>
          </w:tcPr>
          <w:p w14:paraId="1EE3D009">
            <w:pPr>
              <w:snapToGrid w:val="0"/>
              <w:spacing w:line="360" w:lineRule="auto"/>
              <w:jc w:val="center"/>
              <w:rPr>
                <w:rFonts w:ascii="宋体" w:hAnsi="宋体" w:cs="宋体"/>
                <w:szCs w:val="21"/>
              </w:rPr>
            </w:pPr>
            <w:r>
              <w:rPr>
                <w:rFonts w:hint="eastAsia" w:ascii="宋体" w:hAnsi="宋体" w:cs="宋体"/>
                <w:szCs w:val="21"/>
              </w:rPr>
              <w:t>7</w:t>
            </w:r>
          </w:p>
        </w:tc>
        <w:tc>
          <w:tcPr>
            <w:tcW w:w="1076" w:type="pct"/>
            <w:vAlign w:val="center"/>
          </w:tcPr>
          <w:p w14:paraId="24B09CF9">
            <w:pPr>
              <w:snapToGrid w:val="0"/>
              <w:spacing w:line="360" w:lineRule="auto"/>
              <w:jc w:val="center"/>
              <w:rPr>
                <w:rFonts w:ascii="宋体" w:hAnsi="宋体" w:cs="宋体"/>
                <w:bCs/>
                <w:szCs w:val="21"/>
              </w:rPr>
            </w:pPr>
            <w:r>
              <w:rPr>
                <w:rFonts w:hint="eastAsia" w:ascii="宋体" w:hAnsi="宋体" w:cs="宋体"/>
                <w:b/>
                <w:szCs w:val="21"/>
              </w:rPr>
              <w:t>方案讲解演示</w:t>
            </w:r>
          </w:p>
        </w:tc>
        <w:tc>
          <w:tcPr>
            <w:tcW w:w="3556" w:type="pct"/>
            <w:vAlign w:val="center"/>
          </w:tcPr>
          <w:p w14:paraId="2682BCAC">
            <w:pPr>
              <w:spacing w:line="360" w:lineRule="auto"/>
              <w:rPr>
                <w:rFonts w:ascii="宋体" w:hAnsi="宋体" w:cs="宋体"/>
                <w:szCs w:val="21"/>
              </w:rPr>
            </w:pPr>
            <w:sdt>
              <w:sdtPr>
                <w:rPr>
                  <w:rFonts w:hint="eastAsia" w:ascii="宋体" w:hAnsi="宋体" w:cs="宋体"/>
                  <w:kern w:val="0"/>
                  <w:szCs w:val="21"/>
                </w:rPr>
                <w:id w:val="14747616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Wingdings" w:hAnsi="Wingdings" w:cs="宋体"/>
                    <w:kern w:val="0"/>
                    <w:szCs w:val="21"/>
                  </w:rPr>
                  <w:t>þ</w:t>
                </w:r>
              </w:sdtContent>
            </w:sdt>
            <w:r>
              <w:rPr>
                <w:rFonts w:hint="eastAsia" w:ascii="宋体" w:hAnsi="宋体" w:cs="宋体"/>
                <w:kern w:val="0"/>
                <w:szCs w:val="21"/>
              </w:rPr>
              <w:t>A</w:t>
            </w:r>
            <w:r>
              <w:rPr>
                <w:rFonts w:hint="eastAsia" w:ascii="宋体" w:hAnsi="宋体" w:cs="宋体"/>
                <w:szCs w:val="21"/>
              </w:rPr>
              <w:t>不组织。</w:t>
            </w:r>
          </w:p>
          <w:p w14:paraId="008CDF84">
            <w:pPr>
              <w:spacing w:line="360" w:lineRule="auto"/>
              <w:rPr>
                <w:rFonts w:ascii="宋体" w:hAnsi="宋体" w:cs="宋体"/>
                <w:b/>
                <w:kern w:val="0"/>
                <w:szCs w:val="21"/>
                <w:lang w:val="zh-CN"/>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B组织。</w:t>
            </w:r>
            <w:r>
              <w:rPr>
                <w:rFonts w:hint="eastAsia" w:ascii="宋体" w:hAnsi="宋体" w:cs="宋体"/>
                <w:kern w:val="0"/>
                <w:szCs w:val="21"/>
                <w:lang w:val="zh-CN"/>
              </w:rPr>
              <w:t>详细要求见招标文件第三部“采购需求”。</w:t>
            </w:r>
          </w:p>
        </w:tc>
      </w:tr>
      <w:tr w14:paraId="6678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7" w:type="pct"/>
            <w:vMerge w:val="restart"/>
            <w:vAlign w:val="center"/>
          </w:tcPr>
          <w:p w14:paraId="16D7A5BE">
            <w:pPr>
              <w:snapToGrid w:val="0"/>
              <w:spacing w:line="360" w:lineRule="auto"/>
              <w:jc w:val="center"/>
              <w:rPr>
                <w:rFonts w:ascii="宋体" w:hAnsi="宋体" w:cs="宋体"/>
                <w:szCs w:val="21"/>
              </w:rPr>
            </w:pPr>
            <w:r>
              <w:rPr>
                <w:rFonts w:hint="eastAsia" w:ascii="宋体" w:hAnsi="宋体" w:cs="宋体"/>
                <w:szCs w:val="21"/>
              </w:rPr>
              <w:t>8</w:t>
            </w:r>
          </w:p>
        </w:tc>
        <w:tc>
          <w:tcPr>
            <w:tcW w:w="1076" w:type="pct"/>
            <w:vMerge w:val="restart"/>
            <w:vAlign w:val="center"/>
          </w:tcPr>
          <w:p w14:paraId="69FE2A03">
            <w:pPr>
              <w:snapToGrid w:val="0"/>
              <w:spacing w:line="360" w:lineRule="auto"/>
              <w:jc w:val="center"/>
              <w:rPr>
                <w:rFonts w:ascii="宋体" w:hAnsi="宋体" w:cs="宋体"/>
                <w:b/>
                <w:szCs w:val="21"/>
              </w:rPr>
            </w:pPr>
            <w:r>
              <w:rPr>
                <w:rFonts w:hint="eastAsia" w:ascii="宋体" w:hAnsi="宋体" w:cs="宋体"/>
                <w:b/>
                <w:szCs w:val="21"/>
              </w:rPr>
              <w:t>投标人应当提供的资格、资信证明文件</w:t>
            </w:r>
          </w:p>
        </w:tc>
        <w:tc>
          <w:tcPr>
            <w:tcW w:w="3556" w:type="pct"/>
            <w:vAlign w:val="center"/>
          </w:tcPr>
          <w:p w14:paraId="569E9393">
            <w:pPr>
              <w:spacing w:line="360" w:lineRule="auto"/>
              <w:rPr>
                <w:rFonts w:ascii="宋体" w:hAnsi="宋体" w:cs="宋体"/>
                <w:szCs w:val="21"/>
              </w:rPr>
            </w:pPr>
            <w:r>
              <w:rPr>
                <w:rFonts w:hint="eastAsia" w:ascii="宋体" w:hAnsi="宋体" w:cs="宋体"/>
                <w:szCs w:val="21"/>
              </w:rPr>
              <w:t>（1）资格证明文件：见招标文件第二部分11.1。</w:t>
            </w:r>
          </w:p>
          <w:p w14:paraId="1C904A1E">
            <w:pPr>
              <w:spacing w:line="360"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2E1C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367" w:type="pct"/>
            <w:vMerge w:val="continue"/>
          </w:tcPr>
          <w:p w14:paraId="299562D2">
            <w:pPr>
              <w:snapToGrid w:val="0"/>
              <w:spacing w:line="360" w:lineRule="auto"/>
              <w:jc w:val="center"/>
              <w:rPr>
                <w:rFonts w:ascii="宋体" w:hAnsi="宋体" w:cs="宋体"/>
                <w:szCs w:val="21"/>
              </w:rPr>
            </w:pPr>
          </w:p>
        </w:tc>
        <w:tc>
          <w:tcPr>
            <w:tcW w:w="1076" w:type="pct"/>
            <w:vMerge w:val="continue"/>
            <w:vAlign w:val="center"/>
          </w:tcPr>
          <w:p w14:paraId="62FCE9E1">
            <w:pPr>
              <w:snapToGrid w:val="0"/>
              <w:spacing w:line="360" w:lineRule="auto"/>
              <w:jc w:val="center"/>
              <w:rPr>
                <w:rFonts w:ascii="宋体" w:hAnsi="宋体" w:cs="宋体"/>
                <w:b/>
                <w:szCs w:val="21"/>
              </w:rPr>
            </w:pPr>
          </w:p>
        </w:tc>
        <w:tc>
          <w:tcPr>
            <w:tcW w:w="3556" w:type="pct"/>
            <w:vAlign w:val="center"/>
          </w:tcPr>
          <w:p w14:paraId="1BA5438B">
            <w:pPr>
              <w:spacing w:line="360" w:lineRule="auto"/>
              <w:rPr>
                <w:rFonts w:ascii="宋体" w:hAnsi="宋体" w:cs="宋体"/>
                <w:szCs w:val="21"/>
              </w:rPr>
            </w:pPr>
            <w:r>
              <w:rPr>
                <w:rFonts w:hint="eastAsia" w:ascii="宋体" w:hAnsi="宋体" w:cs="宋体"/>
                <w:szCs w:val="21"/>
              </w:rPr>
              <w:t>（2）资信证明文件：根据招标文件第四部分评标标准提供。</w:t>
            </w:r>
          </w:p>
        </w:tc>
      </w:tr>
      <w:tr w14:paraId="631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5D93A2A">
            <w:pPr>
              <w:snapToGrid w:val="0"/>
              <w:spacing w:line="360" w:lineRule="auto"/>
              <w:jc w:val="center"/>
              <w:rPr>
                <w:rFonts w:ascii="宋体" w:hAnsi="宋体" w:cs="宋体"/>
                <w:szCs w:val="21"/>
              </w:rPr>
            </w:pPr>
            <w:r>
              <w:rPr>
                <w:rFonts w:hint="eastAsia" w:ascii="宋体" w:hAnsi="宋体" w:cs="宋体"/>
                <w:szCs w:val="21"/>
              </w:rPr>
              <w:t>9</w:t>
            </w:r>
          </w:p>
        </w:tc>
        <w:tc>
          <w:tcPr>
            <w:tcW w:w="1076" w:type="pct"/>
            <w:vAlign w:val="center"/>
          </w:tcPr>
          <w:p w14:paraId="19991F92">
            <w:pPr>
              <w:snapToGrid w:val="0"/>
              <w:spacing w:line="360" w:lineRule="auto"/>
              <w:jc w:val="center"/>
              <w:rPr>
                <w:rFonts w:ascii="宋体" w:hAnsi="宋体" w:cs="宋体"/>
                <w:b/>
                <w:szCs w:val="21"/>
              </w:rPr>
            </w:pPr>
            <w:r>
              <w:rPr>
                <w:rFonts w:hint="eastAsia" w:ascii="宋体" w:hAnsi="宋体" w:cs="宋体"/>
                <w:b/>
                <w:szCs w:val="21"/>
              </w:rPr>
              <w:t>节能产品、环境标志产品</w:t>
            </w:r>
          </w:p>
        </w:tc>
        <w:tc>
          <w:tcPr>
            <w:tcW w:w="3556" w:type="pct"/>
            <w:vAlign w:val="center"/>
          </w:tcPr>
          <w:p w14:paraId="225CF45D">
            <w:pPr>
              <w:snapToGrid w:val="0"/>
              <w:spacing w:line="360"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E2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1337776C">
            <w:pPr>
              <w:snapToGrid w:val="0"/>
              <w:spacing w:line="360" w:lineRule="auto"/>
              <w:jc w:val="center"/>
              <w:rPr>
                <w:rFonts w:ascii="宋体" w:hAnsi="宋体" w:cs="宋体"/>
                <w:szCs w:val="21"/>
              </w:rPr>
            </w:pPr>
            <w:r>
              <w:rPr>
                <w:rFonts w:hint="eastAsia" w:ascii="宋体" w:hAnsi="宋体" w:cs="宋体"/>
                <w:szCs w:val="21"/>
              </w:rPr>
              <w:t>10</w:t>
            </w:r>
          </w:p>
        </w:tc>
        <w:tc>
          <w:tcPr>
            <w:tcW w:w="1076" w:type="pct"/>
            <w:vAlign w:val="center"/>
          </w:tcPr>
          <w:p w14:paraId="51ED2F3E">
            <w:pPr>
              <w:snapToGrid w:val="0"/>
              <w:spacing w:line="360" w:lineRule="auto"/>
              <w:jc w:val="center"/>
              <w:rPr>
                <w:rFonts w:ascii="宋体" w:hAnsi="宋体" w:cs="宋体"/>
                <w:b/>
                <w:szCs w:val="21"/>
              </w:rPr>
            </w:pPr>
            <w:r>
              <w:rPr>
                <w:rFonts w:hint="eastAsia" w:ascii="宋体" w:hAnsi="宋体" w:cs="宋体"/>
                <w:b/>
                <w:szCs w:val="21"/>
              </w:rPr>
              <w:t>报价要求</w:t>
            </w:r>
          </w:p>
        </w:tc>
        <w:tc>
          <w:tcPr>
            <w:tcW w:w="3556" w:type="pct"/>
            <w:vAlign w:val="center"/>
          </w:tcPr>
          <w:p w14:paraId="133A4288">
            <w:pPr>
              <w:snapToGrid w:val="0"/>
              <w:spacing w:line="360" w:lineRule="auto"/>
              <w:jc w:val="left"/>
              <w:rPr>
                <w:rFonts w:ascii="宋体" w:hAnsi="宋体" w:cs="宋体"/>
                <w:b/>
                <w:kern w:val="0"/>
                <w:szCs w:val="21"/>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rPr>
              <w:t>1.</w:t>
            </w:r>
            <w:r>
              <w:rPr>
                <w:rFonts w:hint="eastAsia" w:ascii="宋体" w:hAnsi="宋体" w:cs="宋体"/>
                <w:b/>
                <w:kern w:val="0"/>
                <w:szCs w:val="21"/>
                <w:lang w:val="zh-CN"/>
              </w:rPr>
              <w:t>提醒：验收时检测费用由采购人承担，不包含在投标总价中。</w:t>
            </w:r>
            <w:r>
              <w:rPr>
                <w:rFonts w:hint="eastAsia" w:ascii="宋体" w:hAnsi="宋体" w:cs="宋体"/>
                <w:b/>
                <w:kern w:val="0"/>
                <w:szCs w:val="21"/>
              </w:rPr>
              <w:t>2.供应商报价低于项目预算50%的，应当在报价文件中详细阐述不影响产品质量或者诚信履约的具体原因。</w:t>
            </w:r>
          </w:p>
          <w:p w14:paraId="3D170930">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37C84F9A">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1AA2A6A2">
            <w:pPr>
              <w:snapToGrid w:val="0"/>
              <w:spacing w:line="360" w:lineRule="auto"/>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CDF469A">
            <w:pPr>
              <w:spacing w:line="360" w:lineRule="auto"/>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4CA47329">
            <w:pPr>
              <w:spacing w:line="360" w:lineRule="auto"/>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33CC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86EF073">
            <w:pPr>
              <w:snapToGrid w:val="0"/>
              <w:spacing w:line="360" w:lineRule="auto"/>
              <w:jc w:val="center"/>
              <w:rPr>
                <w:rFonts w:ascii="宋体" w:hAnsi="宋体" w:cs="宋体"/>
                <w:szCs w:val="21"/>
              </w:rPr>
            </w:pPr>
            <w:r>
              <w:rPr>
                <w:rFonts w:hint="eastAsia" w:ascii="宋体" w:hAnsi="宋体" w:cs="宋体"/>
                <w:szCs w:val="21"/>
              </w:rPr>
              <w:t>11</w:t>
            </w:r>
          </w:p>
        </w:tc>
        <w:tc>
          <w:tcPr>
            <w:tcW w:w="1076" w:type="pct"/>
            <w:vAlign w:val="center"/>
          </w:tcPr>
          <w:p w14:paraId="430B37AE">
            <w:pPr>
              <w:snapToGrid w:val="0"/>
              <w:spacing w:line="360" w:lineRule="auto"/>
              <w:jc w:val="center"/>
              <w:rPr>
                <w:rFonts w:ascii="宋体" w:hAnsi="宋体" w:cs="宋体"/>
                <w:b/>
                <w:szCs w:val="21"/>
              </w:rPr>
            </w:pPr>
            <w:r>
              <w:rPr>
                <w:rFonts w:hint="eastAsia" w:ascii="宋体" w:hAnsi="宋体" w:cs="宋体"/>
                <w:b/>
                <w:szCs w:val="21"/>
              </w:rPr>
              <w:t>推荐中标候选人数量</w:t>
            </w:r>
          </w:p>
        </w:tc>
        <w:tc>
          <w:tcPr>
            <w:tcW w:w="3556" w:type="pct"/>
            <w:vAlign w:val="center"/>
          </w:tcPr>
          <w:p w14:paraId="2063E821">
            <w:pPr>
              <w:spacing w:line="360" w:lineRule="auto"/>
              <w:rPr>
                <w:rFonts w:ascii="宋体" w:hAnsi="宋体" w:cs="宋体"/>
                <w:b/>
                <w:kern w:val="0"/>
                <w:szCs w:val="21"/>
              </w:rPr>
            </w:pPr>
            <w:r>
              <w:rPr>
                <w:rFonts w:hint="eastAsia" w:ascii="宋体" w:hAnsi="宋体" w:cs="宋体"/>
                <w:b/>
                <w:kern w:val="0"/>
                <w:szCs w:val="21"/>
              </w:rPr>
              <w:t>推荐1名中标候选人</w:t>
            </w:r>
          </w:p>
        </w:tc>
      </w:tr>
      <w:tr w14:paraId="67F5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6" w:hRule="atLeast"/>
        </w:trPr>
        <w:tc>
          <w:tcPr>
            <w:tcW w:w="367" w:type="pct"/>
            <w:vAlign w:val="center"/>
          </w:tcPr>
          <w:p w14:paraId="5790C1F8">
            <w:pPr>
              <w:snapToGrid w:val="0"/>
              <w:spacing w:line="360" w:lineRule="auto"/>
              <w:jc w:val="center"/>
              <w:rPr>
                <w:rFonts w:ascii="宋体" w:hAnsi="宋体" w:cs="宋体"/>
                <w:szCs w:val="21"/>
              </w:rPr>
            </w:pPr>
            <w:r>
              <w:rPr>
                <w:rFonts w:hint="eastAsia" w:ascii="宋体" w:hAnsi="宋体" w:cs="宋体"/>
                <w:szCs w:val="21"/>
              </w:rPr>
              <w:t>12</w:t>
            </w:r>
          </w:p>
        </w:tc>
        <w:tc>
          <w:tcPr>
            <w:tcW w:w="1076" w:type="pct"/>
            <w:vAlign w:val="center"/>
          </w:tcPr>
          <w:p w14:paraId="676E3C0E">
            <w:pPr>
              <w:snapToGrid w:val="0"/>
              <w:spacing w:line="360" w:lineRule="auto"/>
              <w:jc w:val="center"/>
              <w:rPr>
                <w:rFonts w:ascii="宋体" w:hAnsi="宋体" w:cs="宋体"/>
                <w:b/>
                <w:szCs w:val="21"/>
              </w:rPr>
            </w:pPr>
            <w:r>
              <w:rPr>
                <w:rFonts w:hint="eastAsia" w:ascii="宋体" w:hAnsi="宋体" w:cs="宋体"/>
                <w:b/>
                <w:szCs w:val="21"/>
              </w:rPr>
              <w:t>中小企业信用融资</w:t>
            </w:r>
          </w:p>
        </w:tc>
        <w:tc>
          <w:tcPr>
            <w:tcW w:w="3556" w:type="pct"/>
            <w:vAlign w:val="center"/>
          </w:tcPr>
          <w:p w14:paraId="0B02D3AF">
            <w:pPr>
              <w:spacing w:line="360" w:lineRule="auto"/>
              <w:rPr>
                <w:rFonts w:ascii="宋体" w:hAnsi="宋体" w:cs="宋体"/>
                <w:bCs/>
                <w:kern w:val="0"/>
                <w:szCs w:val="21"/>
              </w:rPr>
            </w:pPr>
            <w:r>
              <w:rPr>
                <w:rFonts w:hint="eastAsia" w:ascii="宋体" w:hAnsi="宋体" w:cs="宋体"/>
                <w:bCs/>
                <w:kern w:val="0"/>
                <w:szCs w:val="21"/>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公告公示”专栏，查看信用融资政策文件及各相关银行服务方案。</w:t>
            </w:r>
          </w:p>
          <w:p w14:paraId="067F97F3">
            <w:pPr>
              <w:spacing w:line="360" w:lineRule="auto"/>
              <w:rPr>
                <w:rFonts w:ascii="宋体" w:hAnsi="宋体" w:cs="宋体"/>
                <w:szCs w:val="21"/>
              </w:rPr>
            </w:pPr>
            <w:r>
              <w:rPr>
                <w:rFonts w:hint="eastAsia" w:ascii="宋体" w:hAnsi="宋体" w:cs="宋体"/>
                <w:bCs/>
                <w:kern w:val="0"/>
                <w:szCs w:val="21"/>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34CD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trPr>
        <w:tc>
          <w:tcPr>
            <w:tcW w:w="367" w:type="pct"/>
            <w:vAlign w:val="center"/>
          </w:tcPr>
          <w:p w14:paraId="3D4DE665">
            <w:pPr>
              <w:snapToGrid w:val="0"/>
              <w:spacing w:line="360" w:lineRule="auto"/>
              <w:jc w:val="center"/>
              <w:rPr>
                <w:rFonts w:ascii="宋体" w:hAnsi="宋体" w:cs="宋体"/>
                <w:szCs w:val="21"/>
              </w:rPr>
            </w:pPr>
            <w:r>
              <w:rPr>
                <w:rFonts w:hint="eastAsia" w:ascii="宋体" w:hAnsi="宋体" w:cs="宋体"/>
                <w:szCs w:val="21"/>
              </w:rPr>
              <w:t>13</w:t>
            </w:r>
          </w:p>
        </w:tc>
        <w:tc>
          <w:tcPr>
            <w:tcW w:w="1076" w:type="pct"/>
            <w:vAlign w:val="center"/>
          </w:tcPr>
          <w:p w14:paraId="708C9265">
            <w:pPr>
              <w:snapToGrid w:val="0"/>
              <w:spacing w:line="360" w:lineRule="auto"/>
              <w:jc w:val="center"/>
              <w:rPr>
                <w:rFonts w:ascii="宋体" w:hAnsi="宋体" w:cs="宋体"/>
                <w:b/>
                <w:szCs w:val="21"/>
              </w:rPr>
            </w:pPr>
            <w:r>
              <w:rPr>
                <w:rFonts w:hint="eastAsia" w:ascii="宋体" w:hAnsi="宋体" w:cs="宋体"/>
                <w:b/>
                <w:szCs w:val="21"/>
              </w:rPr>
              <w:t>备份投标文件送达地点和签收人员</w:t>
            </w:r>
          </w:p>
        </w:tc>
        <w:tc>
          <w:tcPr>
            <w:tcW w:w="3556" w:type="pct"/>
            <w:vAlign w:val="center"/>
          </w:tcPr>
          <w:p w14:paraId="5BD9277F">
            <w:pPr>
              <w:pStyle w:val="32"/>
              <w:spacing w:line="360" w:lineRule="auto"/>
              <w:rPr>
                <w:rFonts w:hAnsi="宋体" w:cs="宋体"/>
                <w:kern w:val="28"/>
              </w:rPr>
            </w:pPr>
            <w:r>
              <w:rPr>
                <w:rFonts w:hint="eastAsia" w:hAnsi="宋体" w:cs="宋体"/>
                <w:kern w:val="28"/>
              </w:rPr>
              <w:t>备份投标文件送达地点：</w:t>
            </w:r>
            <w:r>
              <w:rPr>
                <w:rFonts w:hint="eastAsia" w:hAnsi="宋体" w:cs="宋体"/>
                <w:u w:val="single"/>
              </w:rPr>
              <w:t>杭州市文晖路42号现代置业大厦西楼17楼1704室</w:t>
            </w:r>
            <w:r>
              <w:rPr>
                <w:rFonts w:hint="eastAsia" w:hAnsi="宋体" w:cs="宋体"/>
                <w:kern w:val="28"/>
              </w:rPr>
              <w:t>；备份文件如开标当天送达地址为：</w:t>
            </w:r>
            <w:r>
              <w:rPr>
                <w:rFonts w:hint="eastAsia" w:hAnsi="宋体" w:cs="宋体"/>
                <w:kern w:val="28"/>
                <w:u w:val="single"/>
              </w:rPr>
              <w:t>杭州钱塘区金沙大道600号东楼六楼</w:t>
            </w:r>
            <w:r>
              <w:rPr>
                <w:rFonts w:hint="eastAsia" w:hAnsi="宋体" w:cs="宋体"/>
                <w:kern w:val="28"/>
                <w:u w:val="single"/>
                <w:lang w:val="en-US" w:eastAsia="zh-CN"/>
              </w:rPr>
              <w:t>5</w:t>
            </w:r>
            <w:r>
              <w:rPr>
                <w:rFonts w:hint="eastAsia" w:hAnsi="宋体" w:cs="宋体"/>
                <w:kern w:val="28"/>
                <w:u w:val="single"/>
              </w:rPr>
              <w:t>号开标室</w:t>
            </w:r>
            <w:r>
              <w:rPr>
                <w:rFonts w:hint="eastAsia" w:hAnsi="宋体" w:cs="宋体"/>
                <w:kern w:val="28"/>
              </w:rPr>
              <w:t>；备份投标文件签收人员联系电话：</w:t>
            </w:r>
            <w:r>
              <w:rPr>
                <w:rFonts w:hint="eastAsia" w:hAnsi="宋体" w:cs="宋体"/>
                <w:kern w:val="28"/>
                <w:u w:val="single"/>
              </w:rPr>
              <w:t>何颖楹，15700073181</w:t>
            </w:r>
            <w:r>
              <w:rPr>
                <w:rFonts w:hint="eastAsia" w:hAnsi="宋体" w:cs="宋体"/>
              </w:rPr>
              <w:t>。</w:t>
            </w:r>
          </w:p>
        </w:tc>
      </w:tr>
      <w:tr w14:paraId="34E6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restart"/>
            <w:vAlign w:val="center"/>
          </w:tcPr>
          <w:p w14:paraId="3D8DF56B">
            <w:pPr>
              <w:snapToGrid w:val="0"/>
              <w:spacing w:line="360" w:lineRule="auto"/>
              <w:jc w:val="center"/>
              <w:rPr>
                <w:rFonts w:ascii="宋体" w:hAnsi="宋体" w:cs="宋体"/>
                <w:szCs w:val="21"/>
              </w:rPr>
            </w:pPr>
            <w:r>
              <w:rPr>
                <w:rFonts w:hint="eastAsia" w:ascii="宋体" w:hAnsi="宋体" w:cs="宋体"/>
                <w:szCs w:val="21"/>
              </w:rPr>
              <w:t>14</w:t>
            </w:r>
          </w:p>
        </w:tc>
        <w:tc>
          <w:tcPr>
            <w:tcW w:w="1076" w:type="pct"/>
            <w:vMerge w:val="restart"/>
            <w:vAlign w:val="center"/>
          </w:tcPr>
          <w:p w14:paraId="0A0CDF5E">
            <w:pPr>
              <w:snapToGrid w:val="0"/>
              <w:spacing w:line="360" w:lineRule="auto"/>
              <w:jc w:val="center"/>
              <w:rPr>
                <w:rFonts w:ascii="宋体" w:hAnsi="宋体" w:cs="宋体"/>
                <w:b/>
                <w:szCs w:val="21"/>
              </w:rPr>
            </w:pPr>
            <w:r>
              <w:rPr>
                <w:rFonts w:hint="eastAsia" w:ascii="宋体" w:hAnsi="宋体" w:cs="宋体"/>
                <w:b/>
                <w:szCs w:val="21"/>
              </w:rPr>
              <w:t>特别说明</w:t>
            </w:r>
          </w:p>
        </w:tc>
        <w:tc>
          <w:tcPr>
            <w:tcW w:w="3556" w:type="pct"/>
            <w:vAlign w:val="center"/>
          </w:tcPr>
          <w:p w14:paraId="2AE1D64B">
            <w:pPr>
              <w:spacing w:line="360"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26B6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continue"/>
            <w:vAlign w:val="center"/>
          </w:tcPr>
          <w:p w14:paraId="120BB266">
            <w:pPr>
              <w:snapToGrid w:val="0"/>
              <w:spacing w:line="360" w:lineRule="auto"/>
              <w:jc w:val="center"/>
              <w:rPr>
                <w:rFonts w:ascii="宋体" w:hAnsi="宋体" w:cs="宋体"/>
                <w:szCs w:val="21"/>
              </w:rPr>
            </w:pPr>
          </w:p>
        </w:tc>
        <w:tc>
          <w:tcPr>
            <w:tcW w:w="1076" w:type="pct"/>
            <w:vMerge w:val="continue"/>
            <w:vAlign w:val="center"/>
          </w:tcPr>
          <w:p w14:paraId="65C7A4E1">
            <w:pPr>
              <w:snapToGrid w:val="0"/>
              <w:spacing w:line="360" w:lineRule="auto"/>
              <w:jc w:val="center"/>
              <w:rPr>
                <w:rFonts w:ascii="宋体" w:hAnsi="宋体" w:cs="宋体"/>
                <w:b/>
                <w:szCs w:val="21"/>
              </w:rPr>
            </w:pPr>
          </w:p>
        </w:tc>
        <w:tc>
          <w:tcPr>
            <w:tcW w:w="3556" w:type="pct"/>
            <w:vAlign w:val="center"/>
          </w:tcPr>
          <w:p w14:paraId="370D43ED">
            <w:pPr>
              <w:spacing w:line="360" w:lineRule="auto"/>
              <w:rPr>
                <w:rFonts w:ascii="宋体" w:hAnsi="宋体" w:cs="宋体"/>
                <w:snapToGrid w:val="0"/>
                <w:kern w:val="28"/>
                <w:szCs w:val="21"/>
              </w:rPr>
            </w:pPr>
            <w:sdt>
              <w:sdtPr>
                <w:rPr>
                  <w:rFonts w:hint="eastAsia" w:ascii="宋体" w:hAnsi="宋体" w:cs="宋体"/>
                  <w:kern w:val="0"/>
                  <w:szCs w:val="21"/>
                </w:rPr>
                <w:id w:val="1474521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12F39C10">
            <w:pPr>
              <w:spacing w:line="360" w:lineRule="auto"/>
              <w:rPr>
                <w:rFonts w:ascii="宋体" w:hAnsi="宋体" w:cs="宋体"/>
                <w:snapToGrid w:val="0"/>
                <w:kern w:val="28"/>
                <w:szCs w:val="21"/>
              </w:rPr>
            </w:pPr>
            <w:sdt>
              <w:sdtPr>
                <w:rPr>
                  <w:rFonts w:hint="eastAsia" w:ascii="宋体" w:hAnsi="宋体" w:cs="宋体"/>
                  <w:kern w:val="0"/>
                  <w:szCs w:val="21"/>
                </w:rPr>
                <w:id w:val="1474539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175A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Align w:val="center"/>
          </w:tcPr>
          <w:p w14:paraId="4F81799C">
            <w:pPr>
              <w:snapToGrid w:val="0"/>
              <w:spacing w:line="360" w:lineRule="auto"/>
              <w:jc w:val="center"/>
              <w:rPr>
                <w:rFonts w:ascii="宋体" w:hAnsi="宋体" w:cs="宋体"/>
                <w:szCs w:val="21"/>
              </w:rPr>
            </w:pPr>
            <w:r>
              <w:rPr>
                <w:rFonts w:hint="eastAsia" w:ascii="宋体" w:hAnsi="宋体" w:cs="宋体"/>
                <w:szCs w:val="21"/>
              </w:rPr>
              <w:t>15</w:t>
            </w:r>
          </w:p>
        </w:tc>
        <w:tc>
          <w:tcPr>
            <w:tcW w:w="1076" w:type="pct"/>
            <w:vAlign w:val="center"/>
          </w:tcPr>
          <w:p w14:paraId="352340F8">
            <w:pPr>
              <w:snapToGrid w:val="0"/>
              <w:spacing w:line="360" w:lineRule="auto"/>
              <w:jc w:val="center"/>
              <w:rPr>
                <w:rFonts w:ascii="宋体" w:hAnsi="宋体" w:cs="宋体"/>
                <w:b/>
                <w:szCs w:val="21"/>
              </w:rPr>
            </w:pPr>
            <w:r>
              <w:rPr>
                <w:rFonts w:hint="eastAsia" w:ascii="宋体" w:hAnsi="宋体" w:cs="宋体"/>
                <w:b/>
                <w:szCs w:val="21"/>
              </w:rPr>
              <w:t>招标代理机构</w:t>
            </w:r>
          </w:p>
          <w:p w14:paraId="24804821">
            <w:pPr>
              <w:snapToGrid w:val="0"/>
              <w:spacing w:line="360" w:lineRule="auto"/>
              <w:jc w:val="center"/>
              <w:rPr>
                <w:rFonts w:ascii="宋体" w:hAnsi="宋体" w:cs="宋体"/>
                <w:b/>
                <w:szCs w:val="21"/>
              </w:rPr>
            </w:pPr>
            <w:r>
              <w:rPr>
                <w:rFonts w:hint="eastAsia" w:ascii="宋体" w:hAnsi="宋体" w:cs="宋体"/>
                <w:b/>
                <w:szCs w:val="21"/>
              </w:rPr>
              <w:t>代理费用</w:t>
            </w:r>
          </w:p>
        </w:tc>
        <w:tc>
          <w:tcPr>
            <w:tcW w:w="3556" w:type="pct"/>
            <w:vAlign w:val="center"/>
          </w:tcPr>
          <w:p w14:paraId="685BF240">
            <w:pPr>
              <w:spacing w:line="360" w:lineRule="auto"/>
              <w:rPr>
                <w:rFonts w:ascii="宋体" w:hAnsi="宋体" w:cs="宋体"/>
                <w:snapToGrid w:val="0"/>
                <w:kern w:val="28"/>
                <w:szCs w:val="21"/>
              </w:rPr>
            </w:pPr>
            <w:r>
              <w:rPr>
                <w:rFonts w:hint="eastAsia" w:ascii="宋体" w:hAnsi="宋体" w:cs="宋体"/>
                <w:snapToGrid w:val="0"/>
                <w:kern w:val="28"/>
                <w:szCs w:val="21"/>
              </w:rPr>
              <w:t>1、采购代理服务费：由中标（成交）供应商支付，受托人应在采购文件中明示代理费用收取方式及标准，随中标、成交结果一并公开本项目收费情况，包括具体收费标准及收费金额；</w:t>
            </w:r>
          </w:p>
          <w:p w14:paraId="2A698068">
            <w:pPr>
              <w:spacing w:line="360" w:lineRule="auto"/>
              <w:rPr>
                <w:rFonts w:ascii="宋体" w:hAnsi="宋体" w:cs="宋体"/>
                <w:snapToGrid w:val="0"/>
                <w:kern w:val="28"/>
                <w:szCs w:val="21"/>
              </w:rPr>
            </w:pPr>
            <w:r>
              <w:rPr>
                <w:rFonts w:hint="eastAsia" w:ascii="宋体" w:hAnsi="宋体" w:cs="宋体"/>
                <w:snapToGrid w:val="0"/>
                <w:kern w:val="28"/>
                <w:szCs w:val="21"/>
              </w:rPr>
              <w:t>2、收费标准或金额为：固定金额53750元</w:t>
            </w:r>
          </w:p>
          <w:p w14:paraId="2C6FD2A0">
            <w:pPr>
              <w:spacing w:line="360" w:lineRule="auto"/>
              <w:rPr>
                <w:rFonts w:ascii="宋体" w:hAnsi="宋体" w:cs="宋体"/>
                <w:snapToGrid w:val="0"/>
                <w:kern w:val="28"/>
                <w:szCs w:val="21"/>
              </w:rPr>
            </w:pPr>
            <w:r>
              <w:rPr>
                <w:rFonts w:hint="eastAsia" w:ascii="宋体" w:hAnsi="宋体" w:cs="宋体"/>
                <w:snapToGrid w:val="0"/>
                <w:kern w:val="28"/>
                <w:szCs w:val="21"/>
              </w:rPr>
              <w:t>3、结算方式及时间为：中标（成交）供应商在领取中标（成交）通知书时向受托人（采购代理机构）支付。</w:t>
            </w:r>
          </w:p>
          <w:p w14:paraId="58F00A7B">
            <w:pPr>
              <w:spacing w:line="360" w:lineRule="auto"/>
              <w:rPr>
                <w:rFonts w:ascii="宋体" w:hAnsi="宋体" w:cs="宋体"/>
                <w:snapToGrid w:val="0"/>
                <w:kern w:val="28"/>
                <w:szCs w:val="21"/>
              </w:rPr>
            </w:pPr>
            <w:r>
              <w:rPr>
                <w:rFonts w:hint="eastAsia" w:ascii="宋体" w:hAnsi="宋体" w:cs="宋体"/>
                <w:snapToGrid w:val="0"/>
                <w:kern w:val="28"/>
                <w:szCs w:val="21"/>
              </w:rPr>
              <w:t>收款单位（户名）：浙江省成套招标代理有限公司；</w:t>
            </w:r>
          </w:p>
          <w:p w14:paraId="0BCF0008">
            <w:pPr>
              <w:spacing w:line="360" w:lineRule="auto"/>
              <w:rPr>
                <w:rFonts w:ascii="宋体" w:hAnsi="宋体" w:cs="宋体"/>
                <w:snapToGrid w:val="0"/>
                <w:kern w:val="28"/>
                <w:szCs w:val="21"/>
              </w:rPr>
            </w:pPr>
            <w:r>
              <w:rPr>
                <w:rFonts w:hint="eastAsia" w:ascii="宋体" w:hAnsi="宋体" w:cs="宋体"/>
                <w:snapToGrid w:val="0"/>
                <w:kern w:val="28"/>
                <w:szCs w:val="21"/>
              </w:rPr>
              <w:t>开户银行：中信银行杭州西湖支行；</w:t>
            </w:r>
          </w:p>
          <w:p w14:paraId="1F40E33D">
            <w:pPr>
              <w:spacing w:line="360" w:lineRule="auto"/>
              <w:rPr>
                <w:rFonts w:ascii="宋体" w:hAnsi="宋体" w:cs="宋体"/>
                <w:kern w:val="0"/>
                <w:szCs w:val="21"/>
              </w:rPr>
            </w:pPr>
            <w:r>
              <w:rPr>
                <w:rFonts w:hint="eastAsia" w:ascii="宋体" w:hAnsi="宋体" w:cs="宋体"/>
                <w:snapToGrid w:val="0"/>
                <w:kern w:val="28"/>
                <w:szCs w:val="21"/>
              </w:rPr>
              <w:t>银行账号：7331 6101 8260 0126 385</w:t>
            </w:r>
          </w:p>
        </w:tc>
      </w:tr>
    </w:tbl>
    <w:p w14:paraId="7F706A68">
      <w:pPr>
        <w:spacing w:line="360" w:lineRule="auto"/>
        <w:rPr>
          <w:rFonts w:ascii="宋体" w:hAnsi="宋体" w:cs="宋体"/>
          <w:szCs w:val="21"/>
        </w:rPr>
      </w:pPr>
      <w:r>
        <w:rPr>
          <w:rFonts w:hint="eastAsia" w:ascii="宋体" w:hAnsi="宋体" w:cs="宋体"/>
          <w:b/>
          <w:szCs w:val="21"/>
        </w:rPr>
        <w:br w:type="page"/>
      </w:r>
    </w:p>
    <w:bookmarkEnd w:id="12"/>
    <w:p w14:paraId="16AF2300">
      <w:pPr>
        <w:pStyle w:val="4"/>
      </w:pPr>
      <w:bookmarkStart w:id="14" w:name="_Toc164416483"/>
      <w:bookmarkStart w:id="15" w:name="第三部分"/>
      <w:r>
        <w:rPr>
          <w:rFonts w:hint="eastAsia"/>
        </w:rPr>
        <w:t>一、总则</w:t>
      </w:r>
    </w:p>
    <w:p w14:paraId="57DE7D5B">
      <w:pPr>
        <w:pStyle w:val="4"/>
        <w:rPr>
          <w:rFonts w:ascii="宋体" w:hAnsi="宋体" w:cs="宋体"/>
          <w:szCs w:val="21"/>
        </w:rPr>
      </w:pPr>
      <w:r>
        <w:rPr>
          <w:rFonts w:hint="eastAsia" w:ascii="宋体" w:hAnsi="宋体" w:cs="宋体"/>
          <w:szCs w:val="21"/>
        </w:rPr>
        <w:t>1.适用范围</w:t>
      </w:r>
    </w:p>
    <w:p w14:paraId="0D7BFB68">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6868751C">
      <w:pPr>
        <w:pStyle w:val="4"/>
        <w:rPr>
          <w:rFonts w:ascii="宋体" w:hAnsi="宋体" w:cs="宋体"/>
          <w:szCs w:val="21"/>
        </w:rPr>
      </w:pPr>
      <w:r>
        <w:rPr>
          <w:rFonts w:hint="eastAsia" w:ascii="宋体" w:hAnsi="宋体" w:cs="宋体"/>
          <w:szCs w:val="21"/>
        </w:rPr>
        <w:t>2.定义</w:t>
      </w:r>
    </w:p>
    <w:p w14:paraId="0A619315">
      <w:pPr>
        <w:spacing w:line="360" w:lineRule="auto"/>
        <w:ind w:firstLine="420" w:firstLineChars="200"/>
        <w:rPr>
          <w:rFonts w:ascii="宋体" w:hAnsi="宋体" w:cs="宋体"/>
          <w:szCs w:val="21"/>
        </w:rPr>
      </w:pPr>
      <w:r>
        <w:rPr>
          <w:rFonts w:hint="eastAsia" w:ascii="宋体" w:hAnsi="宋体" w:cs="宋体"/>
          <w:szCs w:val="21"/>
        </w:rPr>
        <w:t>2.1“采购人”系指招标公告中载明的本项目的采购人。</w:t>
      </w:r>
    </w:p>
    <w:p w14:paraId="5C545349">
      <w:pPr>
        <w:spacing w:line="360" w:lineRule="auto"/>
        <w:ind w:firstLine="420" w:firstLineChars="200"/>
        <w:rPr>
          <w:rFonts w:ascii="宋体" w:hAnsi="宋体" w:cs="宋体"/>
          <w:szCs w:val="21"/>
        </w:rPr>
      </w:pPr>
      <w:r>
        <w:rPr>
          <w:rFonts w:hint="eastAsia" w:ascii="宋体" w:hAnsi="宋体" w:cs="宋体"/>
          <w:szCs w:val="21"/>
        </w:rPr>
        <w:t>2.2“采购代理机构”系指招标公告中载明的本项目的采购代理机构。</w:t>
      </w:r>
    </w:p>
    <w:p w14:paraId="2A0BFC60">
      <w:pPr>
        <w:spacing w:line="360" w:lineRule="auto"/>
        <w:ind w:firstLine="420" w:firstLineChars="200"/>
        <w:rPr>
          <w:rFonts w:ascii="宋体" w:hAnsi="宋体" w:cs="宋体"/>
          <w:szCs w:val="21"/>
        </w:rPr>
      </w:pPr>
      <w:r>
        <w:rPr>
          <w:rFonts w:hint="eastAsia" w:ascii="宋体" w:hAnsi="宋体" w:cs="宋体"/>
          <w:szCs w:val="21"/>
        </w:rPr>
        <w:t>2.3“投标人”系指是指响应招标、参加投标竞争的法人、其他组织或者自然人。</w:t>
      </w:r>
    </w:p>
    <w:p w14:paraId="28DDB516">
      <w:pPr>
        <w:spacing w:line="360" w:lineRule="auto"/>
        <w:ind w:firstLine="420" w:firstLineChars="200"/>
        <w:rPr>
          <w:rFonts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5C78C809">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9EE035">
      <w:pPr>
        <w:spacing w:line="360" w:lineRule="auto"/>
        <w:ind w:firstLine="420" w:firstLineChars="200"/>
        <w:rPr>
          <w:rFonts w:ascii="宋体" w:hAnsi="宋体" w:cs="宋体"/>
          <w:szCs w:val="21"/>
        </w:rPr>
      </w:pPr>
      <w:r>
        <w:rPr>
          <w:rFonts w:hint="eastAsia" w:ascii="宋体" w:hAnsi="宋体" w:cs="宋体"/>
          <w:szCs w:val="21"/>
        </w:rPr>
        <w:t>2.6“电子交易平台”是指本项目政府采购活动所依托的政府采购云平台（https://www.zcygov.cn/）。</w:t>
      </w:r>
    </w:p>
    <w:p w14:paraId="0A0C0A0E">
      <w:pPr>
        <w:spacing w:line="360" w:lineRule="auto"/>
        <w:ind w:firstLine="420" w:firstLineChars="200"/>
        <w:rPr>
          <w:rFonts w:ascii="宋体" w:hAnsi="宋体" w:cs="宋体"/>
          <w:szCs w:val="21"/>
        </w:rPr>
      </w:pPr>
      <w:r>
        <w:rPr>
          <w:rFonts w:hint="eastAsia" w:ascii="宋体" w:hAnsi="宋体" w:cs="宋体"/>
          <w:szCs w:val="21"/>
        </w:rPr>
        <w:t>2.7“▲”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”系指不适用本项目的要求。</w:t>
      </w:r>
    </w:p>
    <w:p w14:paraId="0AEA626D">
      <w:pPr>
        <w:pStyle w:val="4"/>
        <w:rPr>
          <w:rFonts w:ascii="宋体" w:hAnsi="宋体" w:cs="宋体"/>
          <w:szCs w:val="21"/>
        </w:rPr>
      </w:pPr>
      <w:r>
        <w:rPr>
          <w:rFonts w:hint="eastAsia" w:ascii="宋体" w:hAnsi="宋体" w:cs="宋体"/>
          <w:szCs w:val="21"/>
        </w:rPr>
        <w:t>3.采购项目需要落实的政府采购政策</w:t>
      </w:r>
    </w:p>
    <w:p w14:paraId="5CCEB0EF">
      <w:pPr>
        <w:spacing w:line="360" w:lineRule="auto"/>
        <w:ind w:firstLine="420" w:firstLineChars="200"/>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066A9A7">
      <w:pPr>
        <w:spacing w:line="360" w:lineRule="auto"/>
        <w:ind w:firstLine="420" w:firstLineChars="200"/>
        <w:rPr>
          <w:rFonts w:ascii="宋体" w:hAnsi="宋体" w:cs="宋体"/>
          <w:szCs w:val="21"/>
        </w:rPr>
      </w:pPr>
      <w:r>
        <w:rPr>
          <w:rFonts w:hint="eastAsia" w:ascii="宋体" w:hAnsi="宋体" w:cs="宋体"/>
          <w:szCs w:val="21"/>
        </w:rPr>
        <w:t>3.2支持绿色发展</w:t>
      </w:r>
    </w:p>
    <w:p w14:paraId="7D872390">
      <w:pPr>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采购人拟采购的产品属于政府强制采购的节能产品品目清单范围的，投标人未按招标文件要求提供国家确定的认证机构出具的、处于有效期之内的节能产品认证证书的，投标无效。</w:t>
      </w:r>
    </w:p>
    <w:p w14:paraId="446C387C">
      <w:pPr>
        <w:spacing w:line="360" w:lineRule="auto"/>
        <w:ind w:firstLine="420" w:firstLineChars="200"/>
        <w:rPr>
          <w:rFonts w:ascii="宋体" w:hAnsi="宋体" w:cs="宋体"/>
          <w:szCs w:val="21"/>
        </w:rPr>
      </w:pPr>
      <w:r>
        <w:rPr>
          <w:rFonts w:hint="eastAsia" w:ascii="宋体" w:hAnsi="宋体" w:cs="宋体"/>
          <w:szCs w:val="21"/>
        </w:rPr>
        <w:t>3.2.2修缮、装修类项目采购建材的，采购人应将绿色建筑和绿色建材性能、指标等作为实质性条件纳入招标文件和合同。</w:t>
      </w:r>
    </w:p>
    <w:p w14:paraId="06BFC7F0">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660254">
      <w:pPr>
        <w:spacing w:line="360" w:lineRule="auto"/>
        <w:ind w:firstLine="420" w:firstLineChars="200"/>
        <w:rPr>
          <w:rFonts w:ascii="宋体" w:hAnsi="宋体" w:cs="宋体"/>
          <w:szCs w:val="21"/>
        </w:rPr>
      </w:pPr>
      <w:r>
        <w:rPr>
          <w:rFonts w:hint="eastAsia" w:ascii="宋体" w:hAnsi="宋体" w:cs="宋体"/>
          <w:szCs w:val="21"/>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2741694">
      <w:pPr>
        <w:spacing w:line="360" w:lineRule="auto"/>
        <w:ind w:firstLine="420" w:firstLineChars="200"/>
        <w:rPr>
          <w:rFonts w:ascii="宋体" w:hAnsi="宋体" w:cs="宋体"/>
          <w:szCs w:val="21"/>
        </w:rPr>
      </w:pPr>
      <w:r>
        <w:rPr>
          <w:rFonts w:hint="eastAsia" w:ascii="宋体" w:hAnsi="宋体" w:cs="宋体"/>
          <w:szCs w:val="21"/>
        </w:rPr>
        <w:t>3.3支持中小企业发展</w:t>
      </w:r>
    </w:p>
    <w:p w14:paraId="0A92D8E0">
      <w:pPr>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96CA30">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39D771D9">
      <w:pPr>
        <w:widowControl/>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w:t>
      </w:r>
    </w:p>
    <w:p w14:paraId="1937669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3.3.2.1在货物采购项目中，货物由中小企业制造，即货物由中小企业生产且使用该中小企业商号或者注册商标；</w:t>
      </w:r>
    </w:p>
    <w:p w14:paraId="7D66FFF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3.3.2.2在工程采购项目中，工程由中小企业承建，即工程施工单位为中小企业；</w:t>
      </w:r>
    </w:p>
    <w:p w14:paraId="7375F25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3.3.2.3在服务采购项目中，服务由中小企业承接，即提供服务的人员为中小企业依照《中华人民共和国劳动合同法》订立劳动合同的从业人员。</w:t>
      </w:r>
    </w:p>
    <w:p w14:paraId="0EDF68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14:paraId="2BAF14F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76C4775C">
      <w:pPr>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Cs w:val="21"/>
        </w:rPr>
        <w:t>10%</w:t>
      </w:r>
      <w:r>
        <w:rPr>
          <w:rFonts w:hint="eastAsia" w:ascii="宋体" w:hAnsi="宋体" w:cs="宋体"/>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Cs w:val="21"/>
        </w:rPr>
        <w:t>4%</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14:paraId="6A23FBA1">
      <w:pPr>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1794F65">
      <w:pPr>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E78B7E">
      <w:pPr>
        <w:spacing w:line="360"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DF2449">
      <w:pPr>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117FDCC0">
      <w:pPr>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714473D6">
      <w:pPr>
        <w:spacing w:line="360" w:lineRule="auto"/>
        <w:ind w:firstLine="420" w:firstLineChars="200"/>
        <w:rPr>
          <w:rFonts w:ascii="宋体" w:hAnsi="宋体" w:cs="宋体"/>
          <w:szCs w:val="21"/>
        </w:rPr>
      </w:pPr>
      <w:r>
        <w:rPr>
          <w:rFonts w:hint="eastAsia" w:ascii="宋体" w:hAnsi="宋体" w:cs="宋体"/>
          <w:szCs w:val="21"/>
        </w:rPr>
        <w:t>3.4.1采购人优先采购被认定为首台套产品和“制造精品”的自主创新产品。</w:t>
      </w:r>
    </w:p>
    <w:p w14:paraId="6A1CBA85">
      <w:pPr>
        <w:spacing w:line="360" w:lineRule="auto"/>
        <w:ind w:firstLine="420" w:firstLineChars="200"/>
        <w:rPr>
          <w:rFonts w:ascii="宋体" w:hAnsi="宋体" w:cs="宋体"/>
          <w:szCs w:val="21"/>
        </w:rPr>
      </w:pPr>
      <w:r>
        <w:rPr>
          <w:rFonts w:hint="eastAsia" w:ascii="宋体" w:hAnsi="宋体" w:cs="宋体"/>
          <w:szCs w:val="21"/>
        </w:rPr>
        <w:t>3.4.2首台套产品</w:t>
      </w:r>
      <w:r>
        <w:rPr>
          <w:rFonts w:hint="eastAsia" w:ascii="宋体" w:hAnsi="宋体" w:cs="宋体"/>
          <w:szCs w:val="21"/>
        </w:rPr>
        <w:tab/>
      </w:r>
      <w:r>
        <w:rPr>
          <w:rFonts w:hint="eastAsia" w:ascii="宋体" w:hAnsi="宋体" w:cs="宋体"/>
          <w:szCs w:val="21"/>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B2C822A">
      <w:pPr>
        <w:spacing w:line="360" w:lineRule="auto"/>
        <w:ind w:firstLine="420" w:firstLineChars="200"/>
        <w:rPr>
          <w:rFonts w:ascii="宋体" w:hAnsi="宋体" w:cs="宋体"/>
          <w:szCs w:val="21"/>
        </w:rPr>
      </w:pPr>
      <w:r>
        <w:rPr>
          <w:rFonts w:hint="eastAsia" w:ascii="宋体" w:hAnsi="宋体" w:cs="宋体"/>
          <w:szCs w:val="21"/>
        </w:rPr>
        <w:t>3.5平等对待内外资企业和符合条件的破产重整企业</w:t>
      </w:r>
    </w:p>
    <w:p w14:paraId="258A7D25">
      <w:pPr>
        <w:spacing w:line="360" w:lineRule="auto"/>
        <w:ind w:firstLine="420" w:firstLineChars="200"/>
        <w:rPr>
          <w:rFonts w:ascii="宋体" w:hAnsi="宋体" w:cs="宋体"/>
          <w:szCs w:val="21"/>
        </w:rPr>
      </w:pPr>
      <w:r>
        <w:rPr>
          <w:rFonts w:hint="eastAsia" w:ascii="宋体" w:hAnsi="宋体" w:cs="宋体"/>
          <w:szCs w:val="21"/>
        </w:rPr>
        <w:t>平等对待内外资企业和符合条件的破产重整企业，切实保障企业公平竞争，平等维护企业的合法利益。</w:t>
      </w:r>
    </w:p>
    <w:p w14:paraId="4CEFBFE5">
      <w:pPr>
        <w:pStyle w:val="4"/>
        <w:rPr>
          <w:szCs w:val="21"/>
        </w:rPr>
      </w:pPr>
      <w:r>
        <w:rPr>
          <w:rFonts w:hint="eastAsia"/>
          <w:szCs w:val="21"/>
        </w:rPr>
        <w:t>4.询问、质疑、投诉</w:t>
      </w:r>
    </w:p>
    <w:p w14:paraId="24A18AA9">
      <w:pPr>
        <w:spacing w:line="360" w:lineRule="auto"/>
        <w:ind w:firstLine="420" w:firstLineChars="200"/>
        <w:rPr>
          <w:rFonts w:ascii="宋体" w:hAnsi="宋体" w:cs="宋体"/>
          <w:szCs w:val="21"/>
        </w:rPr>
      </w:pPr>
      <w:r>
        <w:rPr>
          <w:rFonts w:hint="eastAsia" w:ascii="宋体" w:hAnsi="宋体" w:cs="宋体"/>
          <w:szCs w:val="21"/>
          <w:lang w:val="zh-CN"/>
        </w:rPr>
        <w:t>4.1在线询问、质疑、投诉。根据《浙江省财政厅</w:t>
      </w:r>
      <w:r>
        <w:rPr>
          <w:rFonts w:hint="eastAsia" w:ascii="宋体" w:hAnsi="宋体" w:cs="宋体"/>
          <w:szCs w:val="21"/>
        </w:rPr>
        <w:t>关于</w:t>
      </w:r>
      <w:r>
        <w:rPr>
          <w:rFonts w:hint="eastAsia" w:ascii="宋体" w:hAnsi="宋体" w:cs="宋体"/>
          <w:szCs w:val="21"/>
          <w:lang w:val="zh-CN"/>
        </w:rPr>
        <w:t>进一步促进</w:t>
      </w:r>
      <w:r>
        <w:rPr>
          <w:rFonts w:hint="eastAsia" w:ascii="宋体" w:hAnsi="宋体" w:cs="宋体"/>
          <w:szCs w:val="21"/>
        </w:rPr>
        <w:t>政府采购</w:t>
      </w:r>
      <w:r>
        <w:rPr>
          <w:rFonts w:hint="eastAsia" w:ascii="宋体" w:hAnsi="宋体" w:cs="宋体"/>
          <w:szCs w:val="21"/>
          <w:lang w:val="zh-CN"/>
        </w:rPr>
        <w:t>公平竞争打造最优营商环境</w:t>
      </w:r>
      <w:r>
        <w:rPr>
          <w:rFonts w:hint="eastAsia" w:ascii="宋体" w:hAnsi="宋体" w:cs="宋体"/>
          <w:szCs w:val="21"/>
        </w:rPr>
        <w:t>的通知》</w:t>
      </w:r>
      <w:r>
        <w:rPr>
          <w:rFonts w:hint="eastAsia" w:ascii="宋体" w:hAnsi="宋体" w:cs="宋体"/>
          <w:szCs w:val="21"/>
          <w:lang w:val="zh-CN"/>
        </w:rPr>
        <w:t>（浙财采监（2021）22号）文件关于“健全行政裁决机制”要求，鼓励</w:t>
      </w:r>
      <w:r>
        <w:rPr>
          <w:rFonts w:hint="eastAsia" w:ascii="宋体" w:hAnsi="宋体" w:cs="宋体"/>
          <w:szCs w:val="21"/>
        </w:rPr>
        <w:t>供应商</w:t>
      </w:r>
      <w:r>
        <w:rPr>
          <w:rFonts w:hint="eastAsia" w:ascii="宋体" w:hAnsi="宋体" w:cs="宋体"/>
          <w:szCs w:val="21"/>
          <w:lang w:val="zh-CN"/>
        </w:rPr>
        <w:t>在线提起询问，路径为：政采云-项目</w:t>
      </w:r>
      <w:r>
        <w:rPr>
          <w:rFonts w:hint="eastAsia" w:ascii="宋体" w:hAnsi="宋体" w:cs="宋体"/>
          <w:szCs w:val="21"/>
        </w:rPr>
        <w:t>采购</w:t>
      </w:r>
      <w:r>
        <w:rPr>
          <w:rFonts w:hint="eastAsia" w:ascii="宋体" w:hAnsi="宋体" w:cs="宋体"/>
          <w:szCs w:val="21"/>
          <w:lang w:val="zh-CN"/>
        </w:rPr>
        <w:t>-询问质疑投诉-询问列表；鼓励供应商在线提起质疑，路径为：政采云-项目采购-询问质疑投诉-质疑列表。质疑供应商对在线</w:t>
      </w:r>
      <w:r>
        <w:rPr>
          <w:rFonts w:hint="eastAsia" w:ascii="宋体" w:hAnsi="宋体" w:cs="宋体"/>
          <w:szCs w:val="21"/>
        </w:rPr>
        <w:t>质疑</w:t>
      </w:r>
      <w:r>
        <w:rPr>
          <w:rFonts w:hint="eastAsia" w:ascii="宋体" w:hAnsi="宋体" w:cs="宋体"/>
          <w:szCs w:val="21"/>
          <w:lang w:val="zh-CN"/>
        </w:rPr>
        <w:t>答复不满意的，可在线提起投诉，路径为：浙江政府服务网-政府采购</w:t>
      </w:r>
      <w:r>
        <w:rPr>
          <w:rFonts w:hint="eastAsia" w:ascii="宋体" w:hAnsi="宋体" w:cs="宋体"/>
          <w:szCs w:val="21"/>
        </w:rPr>
        <w:t>投诉</w:t>
      </w:r>
      <w:r>
        <w:rPr>
          <w:rFonts w:hint="eastAsia" w:ascii="宋体" w:hAnsi="宋体" w:cs="宋体"/>
          <w:szCs w:val="21"/>
          <w:lang w:val="zh-CN"/>
        </w:rPr>
        <w:t>处理-在线办理。</w:t>
      </w:r>
    </w:p>
    <w:p w14:paraId="64514065">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rPr>
        <w:t>2</w:t>
      </w:r>
      <w:r>
        <w:rPr>
          <w:rFonts w:hint="eastAsia" w:ascii="宋体" w:hAnsi="宋体" w:cs="宋体"/>
          <w:kern w:val="0"/>
          <w:szCs w:val="21"/>
          <w:lang w:val="zh-CN"/>
        </w:rPr>
        <w:t>供应商询问</w:t>
      </w:r>
    </w:p>
    <w:p w14:paraId="1C205C14">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7928A2">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w:t>
      </w:r>
      <w:r>
        <w:rPr>
          <w:rFonts w:hint="eastAsia" w:ascii="宋体" w:hAnsi="宋体" w:cs="宋体"/>
          <w:kern w:val="0"/>
          <w:szCs w:val="21"/>
        </w:rPr>
        <w:t>3</w:t>
      </w:r>
      <w:r>
        <w:rPr>
          <w:rFonts w:hint="eastAsia" w:ascii="宋体" w:hAnsi="宋体" w:cs="宋体"/>
          <w:kern w:val="0"/>
          <w:szCs w:val="21"/>
          <w:lang w:val="zh-CN"/>
        </w:rPr>
        <w:t>供应商质疑</w:t>
      </w:r>
    </w:p>
    <w:p w14:paraId="63189F9F">
      <w:pPr>
        <w:pStyle w:val="32"/>
        <w:spacing w:line="360" w:lineRule="auto"/>
        <w:ind w:firstLine="420" w:firstLineChars="200"/>
        <w:rPr>
          <w:rFonts w:hAnsi="宋体" w:cs="宋体"/>
        </w:rPr>
      </w:pPr>
      <w:r>
        <w:rPr>
          <w:rFonts w:hint="eastAsia" w:hAnsi="宋体" w:cs="宋体"/>
          <w:kern w:val="0"/>
          <w:lang w:val="zh-CN"/>
        </w:rPr>
        <w:t>4.</w:t>
      </w:r>
      <w:r>
        <w:rPr>
          <w:rFonts w:hint="eastAsia" w:hAnsi="宋体" w:cs="宋体"/>
          <w:kern w:val="0"/>
        </w:rPr>
        <w:t>3</w:t>
      </w:r>
      <w:r>
        <w:rPr>
          <w:rFonts w:hint="eastAsia" w:hAnsi="宋体" w:cs="宋体"/>
        </w:rPr>
        <w:t>.1提出质疑的供应商应当是参与所质疑项目采购活动的供应商。潜在供应商已依法获取其可质疑的招标文件的，可以对该文件提出质疑。</w:t>
      </w:r>
    </w:p>
    <w:p w14:paraId="42B08F9F">
      <w:pPr>
        <w:pStyle w:val="32"/>
        <w:spacing w:line="360" w:lineRule="auto"/>
        <w:ind w:firstLine="420" w:firstLineChars="200"/>
        <w:rPr>
          <w:rFonts w:hAnsi="宋体" w:cs="宋体"/>
        </w:rPr>
      </w:pPr>
      <w:r>
        <w:rPr>
          <w:rFonts w:hint="eastAsia" w:hAnsi="宋体" w:cs="宋体"/>
          <w:kern w:val="0"/>
          <w:lang w:val="zh-CN"/>
        </w:rPr>
        <w:t>4.</w:t>
      </w:r>
      <w:r>
        <w:rPr>
          <w:rFonts w:hint="eastAsia" w:hAnsi="宋体" w:cs="宋体"/>
          <w:kern w:val="0"/>
        </w:rPr>
        <w:t>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82A014">
      <w:pPr>
        <w:pStyle w:val="1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5043E686">
      <w:pPr>
        <w:pStyle w:val="32"/>
        <w:spacing w:line="360" w:lineRule="auto"/>
        <w:ind w:firstLine="420" w:firstLineChars="200"/>
        <w:rPr>
          <w:rFonts w:hAnsi="宋体" w:cs="宋体"/>
        </w:rPr>
      </w:pPr>
      <w:r>
        <w:rPr>
          <w:rFonts w:hint="eastAsia" w:hAnsi="宋体" w:cs="宋体"/>
        </w:rPr>
        <w:t>4.3.2.2对采购过程提出质疑的，质疑期限为各采购程序环节结束之日起计算。对同一采购程序环节的质疑，供应商须一次性提出。</w:t>
      </w:r>
    </w:p>
    <w:p w14:paraId="57EF728D">
      <w:pPr>
        <w:pStyle w:val="32"/>
        <w:spacing w:line="360" w:lineRule="auto"/>
        <w:ind w:firstLine="420" w:firstLineChars="200"/>
        <w:rPr>
          <w:rFonts w:hAnsi="宋体" w:cs="宋体"/>
        </w:rPr>
      </w:pPr>
      <w:r>
        <w:rPr>
          <w:rFonts w:hint="eastAsia" w:hAnsi="宋体" w:cs="宋体"/>
        </w:rPr>
        <w:t>4.2.2.3对采购结果提出质疑的，质疑期限自采购结果公告期限届满之日起计算。</w:t>
      </w:r>
    </w:p>
    <w:p w14:paraId="180A7D31">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w:t>
      </w:r>
      <w:r>
        <w:rPr>
          <w:rFonts w:hint="eastAsia" w:hAnsi="宋体" w:cs="宋体"/>
        </w:rPr>
        <w:t>供应商提出质疑应当提交质疑函和必要的证明材料。质疑函应当包括下列内容：</w:t>
      </w:r>
    </w:p>
    <w:p w14:paraId="65717ED7">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.3.1供应商的姓名或者名称、地址、邮编、联系人及联系电话；</w:t>
      </w:r>
    </w:p>
    <w:p w14:paraId="4E1BE73B">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.3.2质疑项目的名称、编号；</w:t>
      </w:r>
    </w:p>
    <w:p w14:paraId="1F829635">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.3.3具体、明确的质疑事项和与质疑事项相关的请求；</w:t>
      </w:r>
    </w:p>
    <w:p w14:paraId="6FC92593">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.3.4事实依据；</w:t>
      </w:r>
    </w:p>
    <w:p w14:paraId="12B36CB2">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.3.5必要的法律依据；</w:t>
      </w:r>
    </w:p>
    <w:p w14:paraId="085D988C">
      <w:pPr>
        <w:pStyle w:val="32"/>
        <w:spacing w:line="360" w:lineRule="auto"/>
        <w:ind w:firstLine="420" w:firstLineChars="200"/>
        <w:rPr>
          <w:rFonts w:hAnsi="宋体" w:cs="宋体"/>
          <w:kern w:val="0"/>
          <w:lang w:val="zh-CN"/>
        </w:rPr>
      </w:pPr>
      <w:r>
        <w:rPr>
          <w:rFonts w:hint="eastAsia" w:hAnsi="宋体" w:cs="宋体"/>
          <w:kern w:val="0"/>
          <w:lang w:val="zh-CN"/>
        </w:rPr>
        <w:t>4.</w:t>
      </w:r>
      <w:r>
        <w:rPr>
          <w:rFonts w:hint="eastAsia" w:hAnsi="宋体" w:cs="宋体"/>
          <w:kern w:val="0"/>
        </w:rPr>
        <w:t>3</w:t>
      </w:r>
      <w:r>
        <w:rPr>
          <w:rFonts w:hint="eastAsia" w:hAnsi="宋体" w:cs="宋体"/>
          <w:kern w:val="0"/>
          <w:lang w:val="zh-CN"/>
        </w:rPr>
        <w:t>.3.6提出质疑的日期。</w:t>
      </w:r>
    </w:p>
    <w:p w14:paraId="09B1E8F6">
      <w:pPr>
        <w:pStyle w:val="32"/>
        <w:spacing w:line="360" w:lineRule="auto"/>
        <w:ind w:firstLine="420" w:firstLineChars="200"/>
        <w:rPr>
          <w:rFonts w:hAnsi="宋体" w:cs="宋体"/>
          <w:kern w:val="0"/>
          <w:lang w:val="zh-CN"/>
        </w:rPr>
      </w:pPr>
      <w:r>
        <w:rPr>
          <w:rFonts w:hint="eastAsia" w:hAnsi="宋体" w:cs="宋体"/>
          <w:kern w:val="0"/>
          <w:lang w:val="zh-CN"/>
        </w:rPr>
        <w:t>供应商提交的质疑函需一式三份。供应商为自然人的，应当由本人签字；供应商为法人或者其他组织的，应当由法定代表人、主要负责人，或者其授权代表签字或者盖章，并加盖公章。</w:t>
      </w:r>
    </w:p>
    <w:p w14:paraId="0942DE64">
      <w:pPr>
        <w:pStyle w:val="32"/>
        <w:spacing w:line="360" w:lineRule="auto"/>
        <w:ind w:firstLine="420" w:firstLineChars="200"/>
        <w:rPr>
          <w:rFonts w:hAnsi="宋体" w:cs="宋体"/>
          <w:kern w:val="0"/>
          <w:lang w:val="zh-CN"/>
        </w:rPr>
      </w:pPr>
      <w:r>
        <w:rPr>
          <w:rFonts w:hint="eastAsia" w:hAnsi="宋体" w:cs="宋体"/>
          <w:kern w:val="0"/>
          <w:lang w:val="zh-CN"/>
        </w:rPr>
        <w:t>质疑函范本及制作说明详见附件2。</w:t>
      </w:r>
    </w:p>
    <w:p w14:paraId="655A5E92">
      <w:pPr>
        <w:pStyle w:val="136"/>
        <w:snapToGrid w:val="0"/>
        <w:spacing w:before="0"/>
        <w:ind w:firstLine="420"/>
        <w:rPr>
          <w:rFonts w:ascii="宋体" w:hAnsi="宋体" w:cs="宋体"/>
          <w:sz w:val="21"/>
          <w:szCs w:val="21"/>
        </w:rPr>
      </w:pPr>
      <w:r>
        <w:rPr>
          <w:rFonts w:ascii="宋体" w:hAnsi="宋体" w:cs="宋体"/>
          <w:sz w:val="21"/>
          <w:szCs w:val="21"/>
          <w:lang w:val="zh-CN"/>
        </w:rPr>
        <w:t>4.</w:t>
      </w:r>
      <w:r>
        <w:rPr>
          <w:rFonts w:hint="eastAsia" w:ascii="宋体" w:hAnsi="宋体" w:cs="宋体"/>
          <w:sz w:val="21"/>
          <w:szCs w:val="21"/>
        </w:rPr>
        <w:t>3</w:t>
      </w:r>
      <w:r>
        <w:rPr>
          <w:rFonts w:ascii="宋体" w:hAnsi="宋体" w:cs="宋体"/>
          <w:sz w:val="21"/>
          <w:szCs w:val="21"/>
        </w:rPr>
        <w:t>.4</w:t>
      </w:r>
      <w:r>
        <w:rPr>
          <w:rFonts w:hint="eastAsia" w:ascii="宋体" w:hAnsi="宋体" w:cs="宋体"/>
          <w:sz w:val="21"/>
          <w:szCs w:val="21"/>
        </w:rPr>
        <w:t>对同一采购程序环节的质疑，供应商须在法定质疑期内一次性提出。</w:t>
      </w:r>
    </w:p>
    <w:p w14:paraId="56EAE260">
      <w:pPr>
        <w:pStyle w:val="136"/>
        <w:snapToGrid w:val="0"/>
        <w:spacing w:before="0"/>
        <w:ind w:firstLine="420"/>
        <w:rPr>
          <w:rFonts w:ascii="宋体" w:hAnsi="宋体" w:cs="宋体"/>
          <w:sz w:val="21"/>
          <w:szCs w:val="21"/>
        </w:rPr>
      </w:pPr>
      <w:r>
        <w:rPr>
          <w:rFonts w:hint="eastAsia" w:ascii="宋体" w:hAnsi="宋体" w:cs="宋体"/>
          <w:sz w:val="21"/>
          <w:szCs w:val="21"/>
          <w:lang w:val="zh-CN"/>
        </w:rPr>
        <w:t>4.3</w:t>
      </w:r>
      <w:r>
        <w:rPr>
          <w:rFonts w:hint="eastAsia" w:ascii="宋体" w:hAnsi="宋体" w:cs="宋体"/>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sz w:val="21"/>
          <w:szCs w:val="21"/>
        </w:rPr>
        <w:t>2021〕17号）,</w:t>
      </w:r>
      <w:r>
        <w:rPr>
          <w:rFonts w:hint="eastAsia" w:ascii="宋体" w:hAnsi="宋体" w:cs="宋体"/>
          <w:sz w:val="21"/>
          <w:szCs w:val="21"/>
        </w:rPr>
        <w:t>采购人或者采购代理机构在质疑回复后</w:t>
      </w:r>
      <w:r>
        <w:rPr>
          <w:rFonts w:ascii="宋体" w:hAnsi="宋体" w:cs="宋体"/>
          <w:sz w:val="21"/>
          <w:szCs w:val="21"/>
        </w:rPr>
        <w:t>5个工作日内，在浙江政府采购网的“其他公告”栏目公开质疑答复，答复内容应当完整。质疑</w:t>
      </w:r>
      <w:r>
        <w:rPr>
          <w:rFonts w:hint="eastAsia" w:ascii="宋体" w:hAnsi="宋体" w:cs="宋体"/>
          <w:sz w:val="21"/>
          <w:szCs w:val="21"/>
        </w:rPr>
        <w:t>函作为附件上传。</w:t>
      </w:r>
    </w:p>
    <w:p w14:paraId="0BFB66D4">
      <w:pPr>
        <w:pStyle w:val="136"/>
        <w:snapToGrid w:val="0"/>
        <w:spacing w:before="0"/>
        <w:ind w:firstLine="420"/>
        <w:rPr>
          <w:rFonts w:ascii="宋体" w:hAnsi="宋体" w:cs="宋体"/>
          <w:sz w:val="21"/>
          <w:szCs w:val="21"/>
        </w:rPr>
      </w:pPr>
      <w:r>
        <w:rPr>
          <w:rFonts w:ascii="宋体" w:hAnsi="宋体" w:cs="宋体"/>
          <w:sz w:val="21"/>
          <w:szCs w:val="21"/>
          <w:lang w:val="zh-CN"/>
        </w:rPr>
        <w:t>4.</w:t>
      </w:r>
      <w:r>
        <w:rPr>
          <w:rFonts w:hint="eastAsia" w:ascii="宋体" w:hAnsi="宋体" w:cs="宋体"/>
          <w:sz w:val="21"/>
          <w:szCs w:val="21"/>
          <w:lang w:val="zh-CN"/>
        </w:rPr>
        <w:t>3</w:t>
      </w:r>
      <w:r>
        <w:rPr>
          <w:rFonts w:hint="eastAsia" w:ascii="宋体" w:hAnsi="宋体" w:cs="宋体"/>
          <w:sz w:val="21"/>
          <w:szCs w:val="21"/>
        </w:rPr>
        <w:t>.6</w:t>
      </w:r>
      <w:r>
        <w:rPr>
          <w:rFonts w:ascii="宋体" w:hAnsi="宋体" w:cs="宋体"/>
          <w:sz w:val="21"/>
          <w:szCs w:val="21"/>
        </w:rPr>
        <w:t>询问或者质疑事项可能影响采购结果的，采购人应当暂停签订合同，已经签订合同的，应当中止履行合同。</w:t>
      </w:r>
    </w:p>
    <w:p w14:paraId="46A48059">
      <w:pPr>
        <w:pStyle w:val="136"/>
        <w:snapToGrid w:val="0"/>
        <w:spacing w:before="0"/>
        <w:ind w:firstLine="420"/>
        <w:rPr>
          <w:rFonts w:ascii="宋体" w:hAnsi="宋体" w:cs="宋体"/>
          <w:sz w:val="21"/>
          <w:szCs w:val="21"/>
          <w:lang w:val="zh-CN"/>
        </w:rPr>
      </w:pPr>
      <w:r>
        <w:rPr>
          <w:rFonts w:ascii="宋体" w:hAnsi="宋体" w:cs="宋体"/>
          <w:sz w:val="21"/>
          <w:szCs w:val="21"/>
          <w:lang w:val="zh-CN"/>
        </w:rPr>
        <w:t>4.</w:t>
      </w:r>
      <w:r>
        <w:rPr>
          <w:rFonts w:hint="eastAsia" w:ascii="宋体" w:hAnsi="宋体" w:cs="宋体"/>
          <w:sz w:val="21"/>
          <w:szCs w:val="21"/>
          <w:lang w:val="zh-CN"/>
        </w:rPr>
        <w:t>4</w:t>
      </w:r>
      <w:r>
        <w:rPr>
          <w:rFonts w:ascii="宋体" w:hAnsi="宋体" w:cs="宋体"/>
          <w:sz w:val="21"/>
          <w:szCs w:val="21"/>
          <w:lang w:val="zh-CN"/>
        </w:rPr>
        <w:t>供应商投诉</w:t>
      </w:r>
    </w:p>
    <w:p w14:paraId="2FDCAC0D">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w:t>
      </w:r>
      <w:r>
        <w:rPr>
          <w:rFonts w:ascii="宋体" w:hAnsi="宋体" w:cs="宋体"/>
          <w:sz w:val="21"/>
          <w:szCs w:val="21"/>
        </w:rPr>
        <w:t>.1质疑供应商对采购人、采购代理机构的答复不满意或者采购人、采购代理机构未在规定的时间内</w:t>
      </w:r>
      <w:r>
        <w:rPr>
          <w:rFonts w:hint="eastAsia" w:ascii="宋体" w:hAnsi="宋体" w:cs="宋体"/>
          <w:sz w:val="21"/>
          <w:szCs w:val="21"/>
        </w:rPr>
        <w:t>作出答复的，可以在答复期满后十五个工作日内向同级政府采购监督管理部门提出投诉。</w:t>
      </w:r>
    </w:p>
    <w:p w14:paraId="3FC140C5">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w:t>
      </w:r>
      <w:r>
        <w:rPr>
          <w:rFonts w:ascii="宋体" w:hAnsi="宋体" w:cs="宋体"/>
          <w:sz w:val="21"/>
          <w:szCs w:val="21"/>
        </w:rPr>
        <w:t>.</w:t>
      </w:r>
      <w:r>
        <w:rPr>
          <w:rFonts w:ascii="宋体" w:hAnsi="宋体" w:cs="宋体"/>
          <w:sz w:val="21"/>
          <w:szCs w:val="21"/>
          <w:lang w:val="zh-CN"/>
        </w:rPr>
        <w:t>2</w:t>
      </w:r>
      <w:r>
        <w:rPr>
          <w:rFonts w:hint="eastAsia" w:ascii="宋体" w:hAnsi="宋体" w:cs="宋体"/>
          <w:sz w:val="21"/>
          <w:szCs w:val="21"/>
        </w:rPr>
        <w:t>供应商投诉的事项不得超出已质疑事项的范围，基于质疑答复内容提出的投诉事项除外。</w:t>
      </w:r>
    </w:p>
    <w:p w14:paraId="73DE9B6E">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4.3供应商投诉应当有明确的请求和必要的证明材料。</w:t>
      </w:r>
    </w:p>
    <w:p w14:paraId="3DFDD14F">
      <w:pPr>
        <w:pStyle w:val="136"/>
        <w:snapToGrid w:val="0"/>
        <w:spacing w:before="0"/>
        <w:ind w:firstLine="420"/>
        <w:rPr>
          <w:rFonts w:ascii="宋体" w:hAnsi="宋体" w:cs="宋体"/>
          <w:sz w:val="21"/>
          <w:szCs w:val="21"/>
        </w:rPr>
      </w:pPr>
      <w:r>
        <w:rPr>
          <w:rFonts w:ascii="宋体" w:hAnsi="宋体" w:cs="宋体"/>
          <w:sz w:val="21"/>
          <w:szCs w:val="21"/>
        </w:rPr>
        <w:t>4.</w:t>
      </w:r>
      <w:r>
        <w:rPr>
          <w:rFonts w:hint="eastAsia" w:ascii="宋体" w:hAnsi="宋体" w:cs="宋体"/>
          <w:sz w:val="21"/>
          <w:szCs w:val="21"/>
        </w:rPr>
        <w:t>4.4以联合体形式参加政府采购活动的，其投诉应当由组成联合体的所有供应商共同提出。</w:t>
      </w:r>
    </w:p>
    <w:p w14:paraId="4D539166">
      <w:pPr>
        <w:pStyle w:val="136"/>
        <w:snapToGrid w:val="0"/>
        <w:spacing w:before="0"/>
        <w:ind w:firstLine="420"/>
        <w:rPr>
          <w:rFonts w:ascii="宋体" w:hAnsi="宋体" w:cs="宋体"/>
          <w:sz w:val="21"/>
          <w:szCs w:val="21"/>
        </w:rPr>
      </w:pPr>
      <w:r>
        <w:rPr>
          <w:rFonts w:hint="eastAsia" w:ascii="宋体" w:hAnsi="宋体" w:cs="宋体"/>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9FDDDC2">
      <w:pPr>
        <w:pStyle w:val="136"/>
        <w:snapToGrid w:val="0"/>
        <w:spacing w:before="0"/>
        <w:ind w:firstLine="420"/>
        <w:rPr>
          <w:rFonts w:ascii="宋体" w:hAnsi="宋体" w:cs="宋体"/>
          <w:sz w:val="21"/>
          <w:szCs w:val="21"/>
        </w:rPr>
      </w:pPr>
      <w:r>
        <w:rPr>
          <w:rFonts w:hint="eastAsia" w:ascii="宋体" w:hAnsi="宋体" w:cs="宋体"/>
          <w:sz w:val="21"/>
          <w:szCs w:val="21"/>
        </w:rPr>
        <w:t>投诉书范本及制作说明详见附件</w:t>
      </w:r>
      <w:r>
        <w:rPr>
          <w:rFonts w:ascii="宋体" w:hAnsi="宋体" w:cs="宋体"/>
          <w:sz w:val="21"/>
          <w:szCs w:val="21"/>
        </w:rPr>
        <w:t>3。</w:t>
      </w:r>
    </w:p>
    <w:p w14:paraId="3B311DF0">
      <w:pPr>
        <w:pStyle w:val="3"/>
        <w:rPr>
          <w:rFonts w:ascii="宋体" w:hAnsi="宋体" w:cs="宋体"/>
          <w:szCs w:val="21"/>
        </w:rPr>
      </w:pPr>
      <w:r>
        <w:rPr>
          <w:rStyle w:val="962"/>
          <w:rFonts w:hint="eastAsia" w:ascii="宋体" w:hAnsi="宋体" w:cs="宋体"/>
          <w:b/>
          <w:bCs/>
          <w:szCs w:val="21"/>
        </w:rPr>
        <w:t>二、招标文件的构成、澄清、修改</w:t>
      </w:r>
    </w:p>
    <w:p w14:paraId="66565E72">
      <w:pPr>
        <w:pStyle w:val="32"/>
        <w:spacing w:line="360" w:lineRule="auto"/>
        <w:ind w:firstLine="422" w:firstLineChars="200"/>
        <w:outlineLvl w:val="2"/>
        <w:rPr>
          <w:rFonts w:hAnsi="宋体" w:cs="宋体"/>
          <w:b/>
        </w:rPr>
      </w:pPr>
      <w:r>
        <w:rPr>
          <w:rFonts w:hint="eastAsia" w:hAnsi="宋体" w:cs="宋体"/>
          <w:b/>
        </w:rPr>
        <w:t>5．招标文件的构成</w:t>
      </w:r>
    </w:p>
    <w:p w14:paraId="1A722896">
      <w:pPr>
        <w:pStyle w:val="32"/>
        <w:spacing w:line="360" w:lineRule="auto"/>
        <w:ind w:firstLine="420" w:firstLineChars="200"/>
        <w:rPr>
          <w:rFonts w:hAnsi="宋体" w:cs="宋体"/>
        </w:rPr>
      </w:pPr>
      <w:r>
        <w:rPr>
          <w:rFonts w:hint="eastAsia" w:hAnsi="宋体" w:cs="宋体"/>
        </w:rPr>
        <w:t>5.1招标文件包括下列文件及附件：</w:t>
      </w:r>
    </w:p>
    <w:p w14:paraId="288BCEEC">
      <w:pPr>
        <w:pStyle w:val="32"/>
        <w:tabs>
          <w:tab w:val="left" w:pos="840"/>
        </w:tabs>
        <w:spacing w:line="360" w:lineRule="auto"/>
        <w:ind w:firstLine="420" w:firstLineChars="200"/>
        <w:rPr>
          <w:rFonts w:hAnsi="宋体" w:cs="宋体"/>
        </w:rPr>
      </w:pPr>
      <w:r>
        <w:rPr>
          <w:rFonts w:hint="eastAsia" w:hAnsi="宋体" w:cs="宋体"/>
        </w:rPr>
        <w:t>5.1.1招标公告；</w:t>
      </w:r>
    </w:p>
    <w:p w14:paraId="168DF1B4">
      <w:pPr>
        <w:pStyle w:val="32"/>
        <w:tabs>
          <w:tab w:val="left" w:pos="840"/>
        </w:tabs>
        <w:spacing w:line="360" w:lineRule="auto"/>
        <w:ind w:firstLine="420" w:firstLineChars="200"/>
        <w:rPr>
          <w:rFonts w:hAnsi="宋体" w:cs="宋体"/>
        </w:rPr>
      </w:pPr>
      <w:r>
        <w:rPr>
          <w:rFonts w:hint="eastAsia" w:hAnsi="宋体" w:cs="宋体"/>
        </w:rPr>
        <w:t>5.1.2投标人须知；</w:t>
      </w:r>
    </w:p>
    <w:p w14:paraId="5E7E422F">
      <w:pPr>
        <w:pStyle w:val="32"/>
        <w:tabs>
          <w:tab w:val="left" w:pos="840"/>
        </w:tabs>
        <w:spacing w:line="360" w:lineRule="auto"/>
        <w:ind w:firstLine="420" w:firstLineChars="200"/>
        <w:rPr>
          <w:rFonts w:hAnsi="宋体" w:cs="宋体"/>
        </w:rPr>
      </w:pPr>
      <w:r>
        <w:rPr>
          <w:rFonts w:hint="eastAsia" w:hAnsi="宋体" w:cs="宋体"/>
        </w:rPr>
        <w:t>5.1.3采购需求；</w:t>
      </w:r>
    </w:p>
    <w:p w14:paraId="2CBDDCF7">
      <w:pPr>
        <w:pStyle w:val="32"/>
        <w:tabs>
          <w:tab w:val="left" w:pos="840"/>
        </w:tabs>
        <w:spacing w:line="360" w:lineRule="auto"/>
        <w:ind w:firstLine="420" w:firstLineChars="200"/>
        <w:rPr>
          <w:rFonts w:hAnsi="宋体" w:cs="宋体"/>
        </w:rPr>
      </w:pPr>
      <w:r>
        <w:rPr>
          <w:rFonts w:hint="eastAsia" w:hAnsi="宋体" w:cs="宋体"/>
        </w:rPr>
        <w:t>5.1.4评标办法；</w:t>
      </w:r>
    </w:p>
    <w:p w14:paraId="0AD2CC0C">
      <w:pPr>
        <w:pStyle w:val="32"/>
        <w:tabs>
          <w:tab w:val="left" w:pos="840"/>
        </w:tabs>
        <w:spacing w:line="360" w:lineRule="auto"/>
        <w:ind w:firstLine="420" w:firstLineChars="200"/>
        <w:rPr>
          <w:rFonts w:hAnsi="宋体" w:cs="宋体"/>
        </w:rPr>
      </w:pPr>
      <w:r>
        <w:rPr>
          <w:rFonts w:hint="eastAsia" w:hAnsi="宋体" w:cs="宋体"/>
        </w:rPr>
        <w:t>5.1.5拟签订的合同文本；</w:t>
      </w:r>
    </w:p>
    <w:p w14:paraId="53EA9371">
      <w:pPr>
        <w:pStyle w:val="32"/>
        <w:tabs>
          <w:tab w:val="left" w:pos="840"/>
        </w:tabs>
        <w:spacing w:line="360" w:lineRule="auto"/>
        <w:ind w:firstLine="420" w:firstLineChars="200"/>
        <w:rPr>
          <w:rFonts w:hAnsi="宋体" w:cs="宋体"/>
        </w:rPr>
      </w:pPr>
      <w:r>
        <w:rPr>
          <w:rFonts w:hint="eastAsia" w:hAnsi="宋体" w:cs="宋体"/>
        </w:rPr>
        <w:t>5.1.6应提交的有关格式范例。</w:t>
      </w:r>
    </w:p>
    <w:p w14:paraId="692740E5">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21F19225">
      <w:pPr>
        <w:pStyle w:val="32"/>
        <w:spacing w:line="360" w:lineRule="auto"/>
        <w:ind w:firstLine="422" w:firstLineChars="200"/>
        <w:outlineLvl w:val="2"/>
        <w:rPr>
          <w:rFonts w:hAnsi="宋体" w:cs="宋体"/>
          <w:b/>
        </w:rPr>
      </w:pPr>
      <w:r>
        <w:rPr>
          <w:rFonts w:hint="eastAsia" w:hAnsi="宋体" w:cs="宋体"/>
          <w:b/>
        </w:rPr>
        <w:t>6.招标文件的澄清、修改</w:t>
      </w:r>
    </w:p>
    <w:p w14:paraId="4B806012">
      <w:pPr>
        <w:pStyle w:val="136"/>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16F26916">
      <w:pPr>
        <w:pStyle w:val="136"/>
        <w:snapToGrid w:val="0"/>
        <w:spacing w:before="0"/>
        <w:ind w:firstLine="420"/>
        <w:rPr>
          <w:rFonts w:hAnsi="宋体" w:cs="宋体"/>
          <w:sz w:val="21"/>
          <w:szCs w:val="21"/>
        </w:rPr>
      </w:pPr>
      <w:r>
        <w:rPr>
          <w:rFonts w:hint="eastAsia" w:ascii="宋体" w:hAnsi="宋体" w:cs="宋体"/>
          <w:sz w:val="21"/>
          <w:szCs w:val="21"/>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B61C99">
      <w:pPr>
        <w:pStyle w:val="3"/>
        <w:rPr>
          <w:szCs w:val="21"/>
        </w:rPr>
      </w:pPr>
      <w:r>
        <w:rPr>
          <w:rFonts w:hint="eastAsia"/>
          <w:szCs w:val="21"/>
        </w:rPr>
        <w:t>三、投标</w:t>
      </w:r>
    </w:p>
    <w:p w14:paraId="21740ED9">
      <w:pPr>
        <w:pStyle w:val="32"/>
        <w:spacing w:line="360" w:lineRule="auto"/>
        <w:ind w:firstLine="422" w:firstLineChars="200"/>
        <w:outlineLvl w:val="2"/>
        <w:rPr>
          <w:rFonts w:hAnsi="宋体" w:cs="宋体"/>
          <w:b/>
        </w:rPr>
      </w:pPr>
      <w:r>
        <w:rPr>
          <w:rFonts w:hint="eastAsia" w:hAnsi="宋体" w:cs="宋体"/>
          <w:b/>
        </w:rPr>
        <w:t>7.招标文件的获取</w:t>
      </w:r>
    </w:p>
    <w:p w14:paraId="7C6A58A5">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16D7AC87">
      <w:pPr>
        <w:pStyle w:val="32"/>
        <w:spacing w:line="360" w:lineRule="auto"/>
        <w:ind w:firstLine="422" w:firstLineChars="200"/>
        <w:outlineLvl w:val="2"/>
        <w:rPr>
          <w:rFonts w:hAnsi="宋体" w:cs="宋体"/>
          <w:b/>
        </w:rPr>
      </w:pPr>
      <w:r>
        <w:rPr>
          <w:rFonts w:hint="eastAsia" w:hAnsi="宋体" w:cs="宋体"/>
          <w:b/>
        </w:rPr>
        <w:t>8.开标前答疑会或现场考察</w:t>
      </w:r>
    </w:p>
    <w:p w14:paraId="6B0270CF">
      <w:pPr>
        <w:pStyle w:val="32"/>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57AEB720">
      <w:pPr>
        <w:pStyle w:val="32"/>
        <w:spacing w:line="360" w:lineRule="auto"/>
        <w:ind w:firstLine="422" w:firstLineChars="200"/>
        <w:outlineLvl w:val="2"/>
        <w:rPr>
          <w:rFonts w:hAnsi="宋体" w:cs="宋体"/>
          <w:b/>
        </w:rPr>
      </w:pPr>
      <w:r>
        <w:rPr>
          <w:rFonts w:hint="eastAsia" w:hAnsi="宋体" w:cs="宋体"/>
          <w:b/>
          <w:kern w:val="28"/>
        </w:rPr>
        <w:t>9.投标保证金</w:t>
      </w:r>
    </w:p>
    <w:p w14:paraId="64B41F43">
      <w:pPr>
        <w:pStyle w:val="15"/>
        <w:spacing w:line="360" w:lineRule="auto"/>
        <w:ind w:firstLine="420" w:firstLineChars="200"/>
        <w:rPr>
          <w:rFonts w:hAnsi="宋体" w:cs="宋体"/>
          <w:color w:val="auto"/>
          <w:sz w:val="21"/>
          <w:szCs w:val="21"/>
        </w:rPr>
      </w:pPr>
      <w:r>
        <w:rPr>
          <w:rFonts w:hint="eastAsia" w:hAnsi="宋体" w:cs="宋体"/>
          <w:color w:val="auto"/>
          <w:sz w:val="21"/>
          <w:szCs w:val="21"/>
        </w:rPr>
        <w:t>本项目不需缴纳投标保证金。</w:t>
      </w:r>
    </w:p>
    <w:p w14:paraId="6D2048F8">
      <w:pPr>
        <w:pStyle w:val="32"/>
        <w:spacing w:line="360" w:lineRule="auto"/>
        <w:ind w:firstLine="422" w:firstLineChars="200"/>
        <w:outlineLvl w:val="2"/>
        <w:rPr>
          <w:rFonts w:hAnsi="宋体" w:cs="宋体"/>
          <w:b/>
        </w:rPr>
      </w:pPr>
      <w:r>
        <w:rPr>
          <w:rFonts w:hint="eastAsia" w:hAnsi="宋体" w:cs="宋体"/>
          <w:b/>
        </w:rPr>
        <w:t>10.投标文件的语言</w:t>
      </w:r>
    </w:p>
    <w:p w14:paraId="0A9C470F">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285ED2C2">
      <w:pPr>
        <w:pStyle w:val="32"/>
        <w:spacing w:line="360" w:lineRule="auto"/>
        <w:ind w:firstLine="422" w:firstLineChars="200"/>
        <w:outlineLvl w:val="2"/>
        <w:rPr>
          <w:rFonts w:hAnsi="宋体" w:cs="宋体"/>
          <w:b/>
        </w:rPr>
      </w:pPr>
      <w:r>
        <w:rPr>
          <w:rFonts w:hint="eastAsia" w:hAnsi="宋体" w:cs="宋体"/>
          <w:b/>
        </w:rPr>
        <w:t>11.投标文件的组成</w:t>
      </w:r>
    </w:p>
    <w:p w14:paraId="58C81AD1">
      <w:pPr>
        <w:spacing w:line="360" w:lineRule="auto"/>
        <w:ind w:firstLine="422" w:firstLineChars="200"/>
        <w:rPr>
          <w:rFonts w:ascii="宋体" w:hAnsi="宋体" w:cs="宋体"/>
          <w:b/>
          <w:szCs w:val="21"/>
        </w:rPr>
      </w:pPr>
      <w:r>
        <w:rPr>
          <w:rFonts w:hint="eastAsia" w:ascii="宋体" w:hAnsi="宋体" w:cs="宋体"/>
          <w:b/>
          <w:szCs w:val="21"/>
        </w:rPr>
        <w:t>11.1资格文件：</w:t>
      </w:r>
    </w:p>
    <w:p w14:paraId="0FB9A290">
      <w:pPr>
        <w:spacing w:line="360" w:lineRule="auto"/>
        <w:ind w:firstLine="420" w:firstLineChars="200"/>
        <w:rPr>
          <w:rFonts w:ascii="宋体" w:hAnsi="宋体" w:cs="宋体"/>
          <w:bCs/>
          <w:szCs w:val="21"/>
        </w:rPr>
      </w:pPr>
      <w:r>
        <w:rPr>
          <w:rFonts w:hint="eastAsia" w:ascii="宋体" w:hAnsi="宋体" w:cs="宋体"/>
          <w:bCs/>
          <w:szCs w:val="21"/>
        </w:rPr>
        <w:t>11.1.1符合参加政府采购活动应当具备的一般条件的承诺函；</w:t>
      </w:r>
    </w:p>
    <w:p w14:paraId="5F9E3199">
      <w:pPr>
        <w:spacing w:line="360" w:lineRule="auto"/>
        <w:ind w:firstLine="420" w:firstLineChars="200"/>
        <w:rPr>
          <w:rFonts w:ascii="宋体" w:hAnsi="宋体" w:cs="宋体"/>
          <w:bCs/>
          <w:szCs w:val="21"/>
        </w:rPr>
      </w:pPr>
      <w:r>
        <w:rPr>
          <w:rFonts w:hint="eastAsia" w:ascii="宋体" w:hAnsi="宋体" w:cs="宋体"/>
          <w:bCs/>
          <w:szCs w:val="21"/>
        </w:rPr>
        <w:t>11.1.2联合协议（如果有)；</w:t>
      </w:r>
    </w:p>
    <w:p w14:paraId="52E198C4">
      <w:pPr>
        <w:spacing w:line="360" w:lineRule="auto"/>
        <w:ind w:firstLine="420" w:firstLineChars="200"/>
        <w:rPr>
          <w:rFonts w:ascii="宋体" w:hAnsi="宋体" w:cs="宋体"/>
          <w:bCs/>
          <w:szCs w:val="21"/>
        </w:rPr>
      </w:pPr>
      <w:r>
        <w:rPr>
          <w:rFonts w:hint="eastAsia" w:ascii="宋体" w:hAnsi="宋体" w:cs="宋体"/>
          <w:bCs/>
          <w:szCs w:val="21"/>
        </w:rPr>
        <w:t>11.1.3落实政府采购政策需满足的资格要求（如果有)；</w:t>
      </w:r>
    </w:p>
    <w:p w14:paraId="33AE7D68">
      <w:pPr>
        <w:spacing w:line="360" w:lineRule="auto"/>
        <w:ind w:firstLine="420" w:firstLineChars="200"/>
        <w:rPr>
          <w:rFonts w:ascii="宋体" w:hAnsi="宋体" w:cs="宋体"/>
          <w:bCs/>
          <w:szCs w:val="21"/>
        </w:rPr>
      </w:pPr>
      <w:r>
        <w:rPr>
          <w:rFonts w:hint="eastAsia" w:ascii="宋体" w:hAnsi="宋体" w:cs="宋体"/>
          <w:bCs/>
          <w:szCs w:val="21"/>
        </w:rPr>
        <w:t>11.1.4本项目的特定资格要求（如果有)。</w:t>
      </w:r>
    </w:p>
    <w:p w14:paraId="480DCF54">
      <w:pPr>
        <w:spacing w:line="360" w:lineRule="auto"/>
        <w:ind w:firstLine="422" w:firstLineChars="200"/>
        <w:rPr>
          <w:rFonts w:ascii="宋体" w:hAnsi="宋体" w:cs="宋体"/>
          <w:b/>
          <w:szCs w:val="21"/>
          <w:lang w:val="zh-CN"/>
        </w:rPr>
      </w:pPr>
      <w:r>
        <w:rPr>
          <w:rFonts w:hint="eastAsia" w:ascii="宋体" w:hAnsi="宋体" w:cs="宋体"/>
          <w:b/>
          <w:szCs w:val="21"/>
          <w:lang w:val="zh-CN"/>
        </w:rPr>
        <w:t>11.</w:t>
      </w:r>
      <w:r>
        <w:rPr>
          <w:rFonts w:hint="eastAsia" w:ascii="宋体" w:hAnsi="宋体" w:cs="宋体"/>
          <w:b/>
          <w:szCs w:val="21"/>
        </w:rPr>
        <w:t>2商务技术</w:t>
      </w:r>
      <w:r>
        <w:rPr>
          <w:rFonts w:hint="eastAsia" w:ascii="宋体" w:hAnsi="宋体" w:cs="宋体"/>
          <w:b/>
          <w:szCs w:val="21"/>
          <w:lang w:val="zh-CN"/>
        </w:rPr>
        <w:t>文件：</w:t>
      </w:r>
    </w:p>
    <w:p w14:paraId="54D7AD78">
      <w:pPr>
        <w:spacing w:line="360" w:lineRule="auto"/>
        <w:ind w:firstLine="420" w:firstLineChars="200"/>
        <w:rPr>
          <w:rFonts w:ascii="宋体" w:hAnsi="宋体" w:cs="宋体"/>
          <w:bCs/>
          <w:szCs w:val="21"/>
        </w:rPr>
      </w:pPr>
      <w:r>
        <w:rPr>
          <w:rFonts w:hint="eastAsia" w:ascii="宋体" w:hAnsi="宋体" w:cs="宋体"/>
          <w:bCs/>
          <w:szCs w:val="21"/>
        </w:rPr>
        <w:t>11.2.1投标函；</w:t>
      </w:r>
      <w:r>
        <w:rPr>
          <w:rFonts w:hint="eastAsia" w:ascii="宋体" w:hAnsi="宋体" w:cs="宋体"/>
          <w:bCs/>
          <w:szCs w:val="21"/>
          <w:lang w:val="zh-CN"/>
        </w:rPr>
        <w:t xml:space="preserve"> </w:t>
      </w:r>
    </w:p>
    <w:p w14:paraId="7126BA45">
      <w:pPr>
        <w:spacing w:line="360" w:lineRule="auto"/>
        <w:ind w:firstLine="420" w:firstLineChars="200"/>
        <w:rPr>
          <w:rFonts w:ascii="宋体" w:hAnsi="宋体" w:cs="宋体"/>
          <w:bCs/>
          <w:szCs w:val="21"/>
        </w:rPr>
      </w:pPr>
      <w:r>
        <w:rPr>
          <w:rFonts w:hint="eastAsia" w:ascii="宋体" w:hAnsi="宋体" w:cs="宋体"/>
          <w:bCs/>
          <w:szCs w:val="21"/>
        </w:rPr>
        <w:t>11.2.2授权委托书或法定代表人（单位负责人、自然人本人）身份证明；</w:t>
      </w:r>
    </w:p>
    <w:p w14:paraId="75C4D58F">
      <w:pPr>
        <w:spacing w:line="360" w:lineRule="auto"/>
        <w:ind w:firstLine="420" w:firstLineChars="200"/>
        <w:rPr>
          <w:rFonts w:ascii="宋体" w:hAnsi="宋体" w:cs="宋体"/>
          <w:bCs/>
          <w:szCs w:val="21"/>
        </w:rPr>
      </w:pPr>
      <w:r>
        <w:rPr>
          <w:rFonts w:hint="eastAsia" w:ascii="宋体" w:hAnsi="宋体" w:cs="宋体"/>
          <w:bCs/>
          <w:szCs w:val="21"/>
        </w:rPr>
        <w:t>11.2.3分包意向协议（如果有)；</w:t>
      </w:r>
    </w:p>
    <w:p w14:paraId="1B41CFC1">
      <w:pPr>
        <w:spacing w:line="360" w:lineRule="auto"/>
        <w:ind w:firstLine="420" w:firstLineChars="200"/>
        <w:rPr>
          <w:rFonts w:ascii="宋体" w:hAnsi="宋体" w:cs="宋体"/>
          <w:bCs/>
          <w:szCs w:val="21"/>
        </w:rPr>
      </w:pPr>
      <w:r>
        <w:rPr>
          <w:rFonts w:hint="eastAsia" w:ascii="宋体" w:hAnsi="宋体" w:cs="宋体"/>
          <w:bCs/>
          <w:szCs w:val="21"/>
        </w:rPr>
        <w:t>11.2.4符合性审查资料；</w:t>
      </w:r>
    </w:p>
    <w:p w14:paraId="46CBDBE1">
      <w:pPr>
        <w:spacing w:line="360" w:lineRule="auto"/>
        <w:ind w:firstLine="420" w:firstLineChars="200"/>
        <w:rPr>
          <w:rFonts w:ascii="宋体" w:hAnsi="宋体" w:cs="宋体"/>
          <w:bCs/>
          <w:szCs w:val="21"/>
        </w:rPr>
      </w:pPr>
      <w:r>
        <w:rPr>
          <w:rFonts w:hint="eastAsia" w:ascii="宋体" w:hAnsi="宋体" w:cs="宋体"/>
          <w:bCs/>
          <w:szCs w:val="21"/>
        </w:rPr>
        <w:t>11.2.5评标标准相应的商务技术资料；</w:t>
      </w:r>
    </w:p>
    <w:p w14:paraId="15BF2C7E">
      <w:pPr>
        <w:spacing w:line="360" w:lineRule="auto"/>
        <w:ind w:firstLine="420" w:firstLineChars="200"/>
        <w:rPr>
          <w:rFonts w:ascii="宋体" w:hAnsi="宋体" w:cs="宋体"/>
          <w:bCs/>
          <w:szCs w:val="21"/>
        </w:rPr>
      </w:pPr>
      <w:r>
        <w:rPr>
          <w:rFonts w:hint="eastAsia" w:ascii="宋体" w:hAnsi="宋体" w:cs="宋体"/>
          <w:bCs/>
          <w:szCs w:val="21"/>
        </w:rPr>
        <w:t>11.2.6投标标的清单；</w:t>
      </w:r>
    </w:p>
    <w:p w14:paraId="621AAADF">
      <w:pPr>
        <w:spacing w:line="360" w:lineRule="auto"/>
        <w:ind w:firstLine="420" w:firstLineChars="200"/>
        <w:rPr>
          <w:rFonts w:ascii="宋体" w:hAnsi="宋体" w:cs="宋体"/>
          <w:bCs/>
          <w:szCs w:val="21"/>
        </w:rPr>
      </w:pPr>
      <w:r>
        <w:rPr>
          <w:rFonts w:hint="eastAsia" w:ascii="宋体" w:hAnsi="宋体" w:cs="宋体"/>
          <w:bCs/>
          <w:szCs w:val="21"/>
        </w:rPr>
        <w:t>11.2.7商务技术偏离表；</w:t>
      </w:r>
    </w:p>
    <w:p w14:paraId="341A29B2">
      <w:pPr>
        <w:spacing w:line="360" w:lineRule="auto"/>
        <w:ind w:firstLine="420" w:firstLineChars="200"/>
        <w:rPr>
          <w:rFonts w:ascii="宋体" w:hAnsi="宋体" w:cs="宋体"/>
          <w:bCs/>
          <w:szCs w:val="21"/>
          <w:lang w:val="zh-CN"/>
        </w:rPr>
      </w:pPr>
      <w:r>
        <w:rPr>
          <w:rFonts w:hint="eastAsia" w:ascii="宋体" w:hAnsi="宋体" w:cs="宋体"/>
          <w:bCs/>
          <w:szCs w:val="21"/>
          <w:lang w:val="zh-CN"/>
        </w:rPr>
        <w:t>11.</w:t>
      </w:r>
      <w:r>
        <w:rPr>
          <w:rFonts w:hint="eastAsia" w:ascii="宋体" w:hAnsi="宋体" w:cs="宋体"/>
          <w:bCs/>
          <w:szCs w:val="21"/>
        </w:rPr>
        <w:t>2</w:t>
      </w:r>
      <w:r>
        <w:rPr>
          <w:rFonts w:hint="eastAsia" w:ascii="宋体" w:hAnsi="宋体" w:cs="宋体"/>
          <w:bCs/>
          <w:szCs w:val="21"/>
          <w:lang w:val="zh-CN"/>
        </w:rPr>
        <w:t>.</w:t>
      </w:r>
      <w:r>
        <w:rPr>
          <w:rFonts w:hint="eastAsia" w:ascii="宋体" w:hAnsi="宋体" w:cs="宋体"/>
          <w:bCs/>
          <w:szCs w:val="21"/>
        </w:rPr>
        <w:t>8</w:t>
      </w:r>
      <w:r>
        <w:rPr>
          <w:rFonts w:hint="eastAsia" w:ascii="宋体" w:hAnsi="宋体" w:cs="宋体"/>
          <w:bCs/>
          <w:szCs w:val="21"/>
          <w:lang w:val="zh-CN"/>
        </w:rPr>
        <w:t>政府采购供应商廉洁自律承诺书；</w:t>
      </w:r>
    </w:p>
    <w:p w14:paraId="6ABE4EBA">
      <w:pPr>
        <w:spacing w:line="360" w:lineRule="auto"/>
        <w:ind w:firstLine="422" w:firstLineChars="200"/>
        <w:rPr>
          <w:rFonts w:ascii="宋体" w:hAnsi="宋体" w:cs="宋体"/>
          <w:bCs/>
          <w:szCs w:val="21"/>
          <w:lang w:val="zh-CN"/>
        </w:rPr>
      </w:pPr>
      <w:r>
        <w:rPr>
          <w:rFonts w:hint="eastAsia" w:ascii="宋体" w:hAnsi="宋体" w:cs="宋体"/>
          <w:b/>
          <w:szCs w:val="21"/>
          <w:lang w:val="zh-CN"/>
        </w:rPr>
        <w:t>11.</w:t>
      </w:r>
      <w:r>
        <w:rPr>
          <w:rFonts w:hint="eastAsia" w:ascii="宋体" w:hAnsi="宋体" w:cs="宋体"/>
          <w:b/>
          <w:szCs w:val="21"/>
        </w:rPr>
        <w:t>3报价文件：</w:t>
      </w:r>
    </w:p>
    <w:p w14:paraId="21DF3733">
      <w:pPr>
        <w:spacing w:line="360" w:lineRule="auto"/>
        <w:ind w:firstLine="420" w:firstLineChars="200"/>
        <w:rPr>
          <w:rFonts w:ascii="宋体" w:hAnsi="宋体" w:cs="宋体"/>
          <w:bCs/>
          <w:szCs w:val="21"/>
        </w:rPr>
      </w:pPr>
      <w:r>
        <w:rPr>
          <w:rFonts w:hint="eastAsia" w:ascii="宋体" w:hAnsi="宋体" w:cs="宋体"/>
          <w:bCs/>
          <w:szCs w:val="21"/>
        </w:rPr>
        <w:t>11.3.1开标一览表（报价表）；</w:t>
      </w:r>
    </w:p>
    <w:p w14:paraId="0B555C26">
      <w:pPr>
        <w:spacing w:line="360" w:lineRule="auto"/>
        <w:ind w:firstLine="420" w:firstLineChars="200"/>
        <w:rPr>
          <w:rFonts w:ascii="宋体" w:hAnsi="宋体" w:cs="宋体"/>
          <w:bCs/>
          <w:szCs w:val="21"/>
        </w:rPr>
      </w:pPr>
      <w:r>
        <w:rPr>
          <w:rFonts w:hint="eastAsia" w:ascii="宋体" w:hAnsi="宋体" w:cs="宋体"/>
          <w:bCs/>
          <w:szCs w:val="21"/>
        </w:rPr>
        <w:t>11.3.1中小企业声明函（如果有）；</w:t>
      </w:r>
    </w:p>
    <w:p w14:paraId="64BCCF41">
      <w:pPr>
        <w:spacing w:line="360" w:lineRule="auto"/>
        <w:ind w:firstLine="420" w:firstLineChars="200"/>
        <w:rPr>
          <w:szCs w:val="21"/>
        </w:rPr>
      </w:pPr>
    </w:p>
    <w:p w14:paraId="3A67EC52">
      <w:pPr>
        <w:spacing w:line="360" w:lineRule="auto"/>
        <w:ind w:firstLine="422" w:firstLineChars="200"/>
        <w:rPr>
          <w:rFonts w:ascii="宋体" w:hAnsi="宋体" w:cs="宋体"/>
          <w:b/>
          <w:szCs w:val="21"/>
        </w:rPr>
      </w:pPr>
      <w:r>
        <w:rPr>
          <w:rFonts w:hint="eastAsia" w:ascii="宋体" w:hAnsi="宋体" w:cs="宋体"/>
          <w:b/>
          <w:szCs w:val="21"/>
        </w:rPr>
        <w:t>投标文件含有采购人不能接受的附加条件的，投标无效；</w:t>
      </w:r>
    </w:p>
    <w:p w14:paraId="3FE1DB5C">
      <w:pPr>
        <w:spacing w:line="360" w:lineRule="auto"/>
        <w:ind w:firstLine="422" w:firstLineChars="200"/>
        <w:rPr>
          <w:rFonts w:ascii="宋体" w:hAnsi="宋体" w:cs="宋体"/>
          <w:b/>
          <w:szCs w:val="21"/>
        </w:rPr>
      </w:pPr>
      <w:r>
        <w:rPr>
          <w:rFonts w:hint="eastAsia" w:ascii="宋体" w:hAnsi="宋体" w:cs="宋体"/>
          <w:b/>
          <w:szCs w:val="21"/>
        </w:rPr>
        <w:t>投标人提供虚假材料投标的，投标无效。</w:t>
      </w:r>
    </w:p>
    <w:p w14:paraId="56A91C88">
      <w:pPr>
        <w:spacing w:line="360" w:lineRule="auto"/>
        <w:ind w:firstLine="422" w:firstLineChars="200"/>
        <w:rPr>
          <w:rFonts w:ascii="宋体" w:hAnsi="宋体" w:cs="宋体"/>
          <w:b/>
          <w:szCs w:val="21"/>
        </w:rPr>
      </w:pPr>
      <w:r>
        <w:rPr>
          <w:rFonts w:hint="eastAsia" w:ascii="宋体" w:hAnsi="宋体" w:cs="宋体"/>
          <w:b/>
          <w:szCs w:val="21"/>
        </w:rPr>
        <w:t>投标人应对投标文件中材料的真实性、合法性负责。</w:t>
      </w:r>
    </w:p>
    <w:p w14:paraId="30B86B84">
      <w:pPr>
        <w:pStyle w:val="136"/>
        <w:snapToGrid w:val="0"/>
        <w:spacing w:before="0"/>
        <w:ind w:firstLine="422"/>
        <w:outlineLvl w:val="2"/>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投标文件的编制</w:t>
      </w:r>
    </w:p>
    <w:p w14:paraId="2E018630">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85B41C">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35B5364">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019AE62B">
      <w:pPr>
        <w:snapToGrid w:val="0"/>
        <w:spacing w:line="360" w:lineRule="auto"/>
        <w:ind w:firstLine="422" w:firstLineChars="200"/>
        <w:outlineLvl w:val="2"/>
        <w:rPr>
          <w:rFonts w:ascii="宋体" w:hAnsi="宋体" w:cs="宋体"/>
          <w:b/>
          <w:szCs w:val="21"/>
        </w:rPr>
      </w:pPr>
      <w:r>
        <w:rPr>
          <w:rFonts w:hint="eastAsia" w:ascii="宋体" w:hAnsi="宋体" w:cs="宋体"/>
          <w:b/>
          <w:szCs w:val="21"/>
        </w:rPr>
        <w:t>13.投标文件的签署、盖章</w:t>
      </w:r>
    </w:p>
    <w:p w14:paraId="2E7CB3FF">
      <w:pPr>
        <w:pStyle w:val="136"/>
        <w:snapToGrid w:val="0"/>
        <w:spacing w:before="0"/>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01121635">
      <w:pPr>
        <w:pStyle w:val="136"/>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2DEAA2B2">
      <w:pPr>
        <w:pStyle w:val="136"/>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1D7041AC">
      <w:pPr>
        <w:pStyle w:val="136"/>
        <w:spacing w:before="0"/>
        <w:ind w:firstLine="422"/>
        <w:outlineLvl w:val="2"/>
        <w:rPr>
          <w:rFonts w:ascii="宋体" w:hAnsi="宋体" w:cs="宋体"/>
          <w:b/>
          <w:sz w:val="21"/>
          <w:szCs w:val="21"/>
        </w:rPr>
      </w:pPr>
      <w:r>
        <w:rPr>
          <w:rFonts w:hint="eastAsia" w:ascii="宋体" w:hAnsi="宋体" w:cs="宋体"/>
          <w:b/>
          <w:sz w:val="21"/>
          <w:szCs w:val="21"/>
        </w:rPr>
        <w:t>14.投标文件的提交、补充、修改、撤回</w:t>
      </w:r>
    </w:p>
    <w:p w14:paraId="76943740">
      <w:pPr>
        <w:pStyle w:val="136"/>
        <w:spacing w:before="0"/>
        <w:ind w:firstLine="420"/>
        <w:rPr>
          <w:rFonts w:ascii="宋体" w:hAnsi="宋体" w:cs="宋体"/>
          <w:sz w:val="21"/>
          <w:szCs w:val="21"/>
        </w:rPr>
      </w:pPr>
      <w:r>
        <w:rPr>
          <w:rFonts w:hint="eastAsia" w:ascii="宋体" w:hAnsi="宋体" w:cs="宋体"/>
          <w:sz w:val="21"/>
          <w:szCs w:val="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18954D">
      <w:pPr>
        <w:pStyle w:val="136"/>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D2478F9">
      <w:pPr>
        <w:pStyle w:val="136"/>
        <w:spacing w:before="0"/>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5B41C5AB">
      <w:pPr>
        <w:pStyle w:val="32"/>
        <w:spacing w:line="360" w:lineRule="auto"/>
        <w:ind w:firstLine="422" w:firstLineChars="200"/>
        <w:outlineLvl w:val="2"/>
        <w:rPr>
          <w:rFonts w:hAnsi="宋体" w:cs="宋体"/>
          <w:b/>
        </w:rPr>
      </w:pPr>
      <w:r>
        <w:rPr>
          <w:rFonts w:hint="eastAsia" w:hAnsi="宋体" w:cs="宋体"/>
          <w:b/>
        </w:rPr>
        <w:t>15.备份投标文件</w:t>
      </w:r>
    </w:p>
    <w:p w14:paraId="05490977">
      <w:pPr>
        <w:pStyle w:val="32"/>
        <w:spacing w:line="360" w:lineRule="auto"/>
        <w:ind w:firstLine="420" w:firstLineChars="20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5DFCD3A0">
      <w:pPr>
        <w:pStyle w:val="32"/>
        <w:spacing w:line="360" w:lineRule="auto"/>
        <w:ind w:firstLine="420" w:firstLineChars="200"/>
        <w:rPr>
          <w:rFonts w:hAnsi="宋体" w:cs="宋体"/>
          <w:b/>
        </w:rPr>
      </w:pPr>
      <w:r>
        <w:rPr>
          <w:rFonts w:hint="eastAsia" w:hAnsi="宋体" w:cs="宋体"/>
        </w:rPr>
        <w:t>15.2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474F8035">
      <w:pPr>
        <w:pStyle w:val="32"/>
        <w:spacing w:line="360"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14:paraId="4FF65E59">
      <w:pPr>
        <w:pStyle w:val="32"/>
        <w:spacing w:line="360"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14:paraId="398E6828">
      <w:pPr>
        <w:pStyle w:val="32"/>
        <w:spacing w:line="360" w:lineRule="auto"/>
        <w:ind w:firstLine="422" w:firstLineChars="200"/>
        <w:rPr>
          <w:rFonts w:hAnsi="宋体" w:cs="宋体"/>
          <w:b/>
        </w:rPr>
      </w:pPr>
      <w:r>
        <w:rPr>
          <w:rFonts w:hint="eastAsia" w:hAnsi="宋体" w:cs="宋体"/>
          <w:b/>
        </w:rPr>
        <w:t>15.5投标人仅提交备份投标文件，未在电子交易平台传输递交投标文件的，投标无效。</w:t>
      </w:r>
    </w:p>
    <w:p w14:paraId="273E889F">
      <w:pPr>
        <w:pStyle w:val="136"/>
        <w:spacing w:before="0"/>
        <w:ind w:firstLine="422"/>
        <w:outlineLvl w:val="2"/>
        <w:rPr>
          <w:rFonts w:ascii="宋体" w:hAnsi="宋体" w:cs="宋体"/>
          <w:b/>
          <w:sz w:val="21"/>
          <w:szCs w:val="21"/>
        </w:rPr>
      </w:pPr>
      <w:r>
        <w:rPr>
          <w:rFonts w:hint="eastAsia" w:ascii="宋体" w:hAnsi="宋体" w:cs="宋体"/>
          <w:b/>
          <w:sz w:val="21"/>
          <w:szCs w:val="21"/>
        </w:rPr>
        <w:t>16.投标文件的无效处理</w:t>
      </w:r>
    </w:p>
    <w:p w14:paraId="250BF72F">
      <w:pPr>
        <w:pStyle w:val="24"/>
        <w:spacing w:line="360" w:lineRule="auto"/>
        <w:ind w:firstLine="420"/>
        <w:rPr>
          <w:rFonts w:cs="宋体"/>
          <w:sz w:val="21"/>
          <w:szCs w:val="21"/>
        </w:rPr>
      </w:pPr>
      <w:r>
        <w:rPr>
          <w:rFonts w:hint="eastAsia" w:cs="宋体"/>
          <w:sz w:val="21"/>
          <w:szCs w:val="21"/>
        </w:rPr>
        <w:t>有招标文件第四部分第4.2项规定的情形之一的，投标无效：</w:t>
      </w:r>
    </w:p>
    <w:p w14:paraId="57167B1F">
      <w:pPr>
        <w:pStyle w:val="136"/>
        <w:spacing w:before="0"/>
        <w:ind w:firstLine="422"/>
        <w:outlineLvl w:val="2"/>
        <w:rPr>
          <w:rFonts w:ascii="宋体" w:hAnsi="宋体" w:cs="宋体"/>
          <w:b/>
          <w:sz w:val="21"/>
          <w:szCs w:val="21"/>
        </w:rPr>
      </w:pPr>
      <w:r>
        <w:rPr>
          <w:rFonts w:hint="eastAsia" w:ascii="宋体" w:hAnsi="宋体" w:cs="宋体"/>
          <w:b/>
          <w:sz w:val="21"/>
          <w:szCs w:val="21"/>
        </w:rPr>
        <w:t>17.投标有效期</w:t>
      </w:r>
    </w:p>
    <w:p w14:paraId="147E452E">
      <w:pPr>
        <w:spacing w:line="360" w:lineRule="auto"/>
        <w:ind w:firstLine="420" w:firstLineChars="200"/>
        <w:rPr>
          <w:rFonts w:ascii="宋体" w:hAnsi="宋体" w:cs="宋体"/>
          <w:b/>
          <w:szCs w:val="21"/>
          <w:u w:val="single"/>
        </w:rPr>
      </w:pPr>
      <w:r>
        <w:rPr>
          <w:rFonts w:hint="eastAsia" w:ascii="宋体" w:hAnsi="宋体" w:cs="宋体"/>
          <w:szCs w:val="21"/>
        </w:rPr>
        <w:t>17.1投标有效期为从提交投标文件的截止之日起90天。</w:t>
      </w:r>
      <w:r>
        <w:rPr>
          <w:rFonts w:hint="eastAsia" w:ascii="宋体" w:hAnsi="宋体" w:cs="宋体"/>
          <w:szCs w:val="21"/>
          <w:u w:val="single"/>
        </w:rPr>
        <w:t>▲</w:t>
      </w:r>
      <w:r>
        <w:rPr>
          <w:rFonts w:hint="eastAsia" w:ascii="宋体" w:hAnsi="宋体" w:cs="宋体"/>
          <w:b/>
          <w:szCs w:val="21"/>
          <w:u w:val="single"/>
        </w:rPr>
        <w:t>投标人的投标文件中承诺的投标有效期少于招标文件中载明的投标有效期的，投标无效。</w:t>
      </w:r>
    </w:p>
    <w:p w14:paraId="4B30C549">
      <w:pPr>
        <w:pStyle w:val="136"/>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90D579D">
      <w:pPr>
        <w:pStyle w:val="136"/>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7FE6F08E">
      <w:pPr>
        <w:pStyle w:val="3"/>
        <w:rPr>
          <w:szCs w:val="21"/>
        </w:rPr>
      </w:pPr>
      <w:r>
        <w:rPr>
          <w:rFonts w:hint="eastAsia"/>
          <w:szCs w:val="21"/>
        </w:rPr>
        <w:t>四、开标、资格审查与信用信息查询</w:t>
      </w:r>
    </w:p>
    <w:p w14:paraId="59A78593">
      <w:pPr>
        <w:pStyle w:val="557"/>
        <w:spacing w:before="0" w:line="360" w:lineRule="auto"/>
        <w:ind w:left="0" w:firstLine="422" w:firstLineChars="200"/>
        <w:contextualSpacing/>
        <w:outlineLvl w:val="2"/>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0ABC3A56">
      <w:pPr>
        <w:pStyle w:val="557"/>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7216B83A">
      <w:pPr>
        <w:pStyle w:val="557"/>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18.2开标时，电子交易平台按开标时间自动提取所有投标文件。采购代理机构依托电子交易平台发起开始解密指令，投标人按照平台提示和招标文件的规定在半小时内完成在线解密。</w:t>
      </w:r>
    </w:p>
    <w:p w14:paraId="6CA671BE">
      <w:pPr>
        <w:pStyle w:val="557"/>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18.3投标文件未按时解密，投标人提供了备份投标文件的，以备份投标文件作为依据，否则视为投标文件撤回。投标文件已按时解密的，备份投标文件自动失效。</w:t>
      </w:r>
    </w:p>
    <w:p w14:paraId="48667CC9">
      <w:pPr>
        <w:pStyle w:val="557"/>
        <w:spacing w:before="0" w:line="360" w:lineRule="auto"/>
        <w:ind w:left="0" w:firstLine="422" w:firstLineChars="200"/>
        <w:contextualSpacing/>
        <w:outlineLvl w:val="2"/>
        <w:rPr>
          <w:rFonts w:ascii="宋体" w:hAnsi="宋体" w:cs="宋体"/>
          <w:b/>
          <w:sz w:val="21"/>
          <w:szCs w:val="21"/>
        </w:rPr>
      </w:pPr>
      <w:r>
        <w:rPr>
          <w:rFonts w:hint="eastAsia" w:ascii="宋体" w:hAnsi="宋体" w:cs="宋体"/>
          <w:b/>
          <w:sz w:val="21"/>
          <w:szCs w:val="21"/>
        </w:rPr>
        <w:t>19.资格审查</w:t>
      </w:r>
    </w:p>
    <w:p w14:paraId="01901B14">
      <w:pPr>
        <w:pStyle w:val="136"/>
        <w:ind w:firstLine="420"/>
        <w:rPr>
          <w:rFonts w:ascii="宋体" w:hAnsi="宋体" w:cs="宋体"/>
          <w:sz w:val="21"/>
          <w:szCs w:val="21"/>
        </w:rPr>
      </w:pPr>
      <w:r>
        <w:rPr>
          <w:rFonts w:hint="eastAsia" w:ascii="宋体" w:hAnsi="宋体" w:cs="宋体"/>
          <w:sz w:val="21"/>
          <w:szCs w:val="21"/>
        </w:rPr>
        <w:t>19.1采购人或采购代理机构依据法律法规和招标文件的规定，对投标人的资格进行审查。</w:t>
      </w:r>
    </w:p>
    <w:p w14:paraId="106B89C3">
      <w:pPr>
        <w:pStyle w:val="136"/>
        <w:spacing w:before="0"/>
        <w:ind w:firstLine="420"/>
        <w:rPr>
          <w:rFonts w:ascii="宋体" w:hAnsi="宋体" w:cs="宋体"/>
          <w:sz w:val="21"/>
          <w:szCs w:val="21"/>
        </w:rPr>
      </w:pPr>
      <w:r>
        <w:rPr>
          <w:rFonts w:hint="eastAsia" w:ascii="宋体" w:hAnsi="宋体" w:cs="宋体"/>
          <w:sz w:val="21"/>
          <w:szCs w:val="21"/>
        </w:rPr>
        <w:t>19.2投标人未按照招标文件要求提供与资格条件相应的有效资格证明材料的，视为投标人不具备招标文件中规定的资格要求，其投标无效。</w:t>
      </w:r>
    </w:p>
    <w:p w14:paraId="0890B9DD">
      <w:pPr>
        <w:pStyle w:val="136"/>
        <w:spacing w:before="0"/>
        <w:ind w:firstLine="420"/>
        <w:rPr>
          <w:rFonts w:ascii="宋体" w:hAnsi="宋体" w:cs="宋体"/>
          <w:sz w:val="21"/>
          <w:szCs w:val="21"/>
        </w:rPr>
      </w:pPr>
      <w:r>
        <w:rPr>
          <w:rFonts w:hint="eastAsia" w:ascii="宋体" w:hAnsi="宋体" w:cs="宋体"/>
          <w:sz w:val="21"/>
          <w:szCs w:val="21"/>
        </w:rPr>
        <w:t>19.3对未通过资格审查的投标人，采购人或采购代理机构告知其未通过的原因。</w:t>
      </w:r>
    </w:p>
    <w:p w14:paraId="3336FEDB">
      <w:pPr>
        <w:pStyle w:val="136"/>
        <w:spacing w:before="0"/>
        <w:ind w:firstLine="420"/>
        <w:rPr>
          <w:rFonts w:ascii="宋体" w:hAnsi="宋体" w:cs="宋体"/>
          <w:sz w:val="21"/>
          <w:szCs w:val="21"/>
        </w:rPr>
      </w:pPr>
      <w:r>
        <w:rPr>
          <w:rFonts w:hint="eastAsia" w:ascii="宋体" w:hAnsi="宋体" w:cs="宋体"/>
          <w:sz w:val="21"/>
          <w:szCs w:val="21"/>
        </w:rPr>
        <w:t>19.4合格投标人不足3家的，不再评标。</w:t>
      </w:r>
    </w:p>
    <w:p w14:paraId="5FDBF627">
      <w:pPr>
        <w:pStyle w:val="136"/>
        <w:spacing w:before="0"/>
        <w:ind w:firstLine="420"/>
        <w:rPr>
          <w:rFonts w:ascii="宋体" w:hAnsi="宋体" w:cs="宋体"/>
          <w:sz w:val="21"/>
          <w:szCs w:val="21"/>
        </w:rPr>
      </w:pPr>
      <w:r>
        <w:rPr>
          <w:rFonts w:hint="eastAsia" w:ascii="宋体" w:hAnsi="宋体" w:cs="宋体"/>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7F2F84">
      <w:pPr>
        <w:pStyle w:val="136"/>
        <w:spacing w:before="0"/>
        <w:ind w:firstLine="422"/>
        <w:outlineLvl w:val="2"/>
        <w:rPr>
          <w:rFonts w:ascii="宋体" w:hAnsi="宋体" w:cs="宋体"/>
          <w:b/>
          <w:sz w:val="21"/>
          <w:szCs w:val="21"/>
        </w:rPr>
      </w:pPr>
      <w:r>
        <w:rPr>
          <w:rFonts w:hint="eastAsia" w:ascii="宋体" w:hAnsi="宋体" w:cs="宋体"/>
          <w:b/>
          <w:sz w:val="21"/>
          <w:szCs w:val="21"/>
        </w:rPr>
        <w:t>20.信用信息查询</w:t>
      </w:r>
    </w:p>
    <w:p w14:paraId="6E4EA7FA">
      <w:pPr>
        <w:pStyle w:val="136"/>
        <w:spacing w:before="0"/>
        <w:ind w:firstLine="42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20.1信用信息查询渠道及截止时间：采购代理机构将在资格审查时通过“信用中国”网站(www.creditchina.gov.cn)、中国政府采购网(www.ccgp.gov.cn)等渠道查询投标人接受资格时的信用记录。</w:t>
      </w:r>
    </w:p>
    <w:p w14:paraId="5A8F1788">
      <w:pPr>
        <w:pStyle w:val="136"/>
        <w:spacing w:before="0"/>
        <w:ind w:firstLine="42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3E86A408">
      <w:pPr>
        <w:pStyle w:val="136"/>
        <w:spacing w:before="0"/>
        <w:ind w:firstLine="42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4E4FA8C3">
      <w:pPr>
        <w:pStyle w:val="136"/>
        <w:spacing w:before="0"/>
        <w:ind w:firstLine="420"/>
        <w:rPr>
          <w:rFonts w:ascii="宋体" w:hAnsi="宋体" w:cs="宋体"/>
          <w:kern w:val="0"/>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610A2338">
      <w:pPr>
        <w:pStyle w:val="3"/>
        <w:rPr>
          <w:szCs w:val="21"/>
        </w:rPr>
      </w:pPr>
      <w:r>
        <w:rPr>
          <w:rFonts w:hint="eastAsia"/>
          <w:szCs w:val="21"/>
        </w:rPr>
        <w:t>五、评标</w:t>
      </w:r>
    </w:p>
    <w:p w14:paraId="5CF60823">
      <w:pPr>
        <w:spacing w:line="360" w:lineRule="auto"/>
        <w:ind w:firstLine="422" w:firstLineChars="200"/>
        <w:rPr>
          <w:rFonts w:ascii="宋体" w:hAnsi="宋体" w:cs="宋体"/>
          <w:b/>
          <w:szCs w:val="21"/>
        </w:rPr>
      </w:pPr>
      <w:bookmarkStart w:id="16" w:name="_Toc91899903"/>
      <w:r>
        <w:rPr>
          <w:rFonts w:hint="eastAsia" w:ascii="宋体" w:hAnsi="宋体" w:cs="宋体"/>
          <w:b/>
          <w:szCs w:val="21"/>
        </w:rPr>
        <w:t>21.</w:t>
      </w:r>
      <w:r>
        <w:rPr>
          <w:rFonts w:hint="eastAsia" w:ascii="宋体" w:hAnsi="宋体" w:cs="宋体"/>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5A31D06">
      <w:pPr>
        <w:pStyle w:val="3"/>
        <w:rPr>
          <w:szCs w:val="21"/>
        </w:rPr>
      </w:pPr>
      <w:r>
        <w:rPr>
          <w:rFonts w:hint="eastAsia"/>
          <w:szCs w:val="21"/>
        </w:rPr>
        <w:t>六、定标</w:t>
      </w:r>
    </w:p>
    <w:p w14:paraId="3D9D681D">
      <w:pPr>
        <w:pStyle w:val="24"/>
        <w:spacing w:line="360" w:lineRule="auto"/>
        <w:ind w:firstLine="422"/>
        <w:outlineLvl w:val="2"/>
        <w:rPr>
          <w:rFonts w:cs="宋体"/>
          <w:b/>
          <w:sz w:val="21"/>
          <w:szCs w:val="21"/>
        </w:rPr>
      </w:pPr>
      <w:r>
        <w:rPr>
          <w:rFonts w:hint="eastAsia" w:cs="宋体"/>
          <w:b/>
          <w:sz w:val="21"/>
          <w:szCs w:val="21"/>
        </w:rPr>
        <w:t>22.确定中标供应商</w:t>
      </w:r>
    </w:p>
    <w:p w14:paraId="5AB000D1">
      <w:pPr>
        <w:pStyle w:val="136"/>
        <w:snapToGrid w:val="0"/>
        <w:spacing w:before="0"/>
        <w:ind w:firstLine="420"/>
        <w:outlineLvl w:val="2"/>
        <w:rPr>
          <w:rFonts w:ascii="宋体" w:hAnsi="宋体" w:cs="宋体"/>
          <w:kern w:val="0"/>
          <w:sz w:val="21"/>
          <w:szCs w:val="21"/>
        </w:rPr>
      </w:pPr>
      <w:r>
        <w:rPr>
          <w:rFonts w:ascii="宋体" w:hAnsi="宋体" w:cs="宋体"/>
          <w:kern w:val="0"/>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D1C3B6D">
      <w:pPr>
        <w:pStyle w:val="136"/>
        <w:snapToGrid w:val="0"/>
        <w:spacing w:before="0"/>
        <w:ind w:firstLine="422"/>
        <w:outlineLvl w:val="2"/>
        <w:rPr>
          <w:rFonts w:ascii="宋体" w:hAnsi="宋体" w:cs="宋体"/>
          <w:b/>
          <w:sz w:val="21"/>
          <w:szCs w:val="21"/>
        </w:rPr>
      </w:pPr>
      <w:r>
        <w:rPr>
          <w:rFonts w:hint="eastAsia" w:ascii="宋体" w:hAnsi="宋体" w:cs="宋体"/>
          <w:b/>
          <w:sz w:val="21"/>
          <w:szCs w:val="21"/>
        </w:rPr>
        <w:t>23.中标通知与中标结果公告</w:t>
      </w:r>
    </w:p>
    <w:p w14:paraId="2F2094D9">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23.1自中标人确定之日起1个工作日内，采购代理机构通过电子交易平台向中标人发出中标通知书，同时编制发布采购结果公告。采购代理机构也可以以纸质形式进行中标通知。</w:t>
      </w:r>
    </w:p>
    <w:p w14:paraId="0FFB10EB">
      <w:pPr>
        <w:widowControl/>
        <w:shd w:val="clear" w:color="auto" w:fill="FFFFFF"/>
        <w:spacing w:line="360" w:lineRule="auto"/>
        <w:ind w:firstLine="420" w:firstLineChars="200"/>
        <w:jc w:val="left"/>
        <w:rPr>
          <w:rFonts w:ascii="宋体" w:hAnsi="宋体" w:cs="宋体"/>
          <w:szCs w:val="21"/>
        </w:rPr>
      </w:pPr>
      <w:r>
        <w:rPr>
          <w:rFonts w:ascii="宋体" w:hAnsi="宋体" w:cs="宋体"/>
          <w:szCs w:val="21"/>
        </w:rPr>
        <w:t>23.2中标结果公告内容包括采购人及其委托的</w:t>
      </w:r>
      <w:r>
        <w:rPr>
          <w:rFonts w:hint="eastAsia" w:ascii="宋体" w:hAnsi="宋体" w:cs="宋体"/>
          <w:szCs w:val="21"/>
        </w:rPr>
        <w:t>采购代理机构</w:t>
      </w:r>
      <w:r>
        <w:rPr>
          <w:rFonts w:ascii="宋体" w:hAnsi="宋体" w:cs="宋体"/>
          <w:szCs w:val="21"/>
        </w:rPr>
        <w:t>的名称、地址、联系方式，项目名称和项目编号，中标人名称、地址和中标金额，主要中标标的</w:t>
      </w:r>
      <w:r>
        <w:rPr>
          <w:rFonts w:hint="eastAsia" w:ascii="宋体" w:hAnsi="宋体" w:cs="宋体"/>
          <w:szCs w:val="21"/>
        </w:rPr>
        <w:t>的名称、规格型号、数量、单价、服务要求，开标记录、</w:t>
      </w:r>
      <w:bookmarkStart w:id="17" w:name="_Hlk101184471"/>
      <w:r>
        <w:rPr>
          <w:rFonts w:hint="eastAsia" w:ascii="宋体" w:hAnsi="宋体" w:cs="宋体"/>
          <w:szCs w:val="21"/>
        </w:rPr>
        <w:t>资格审查情况、评审专家抽取规则、符合性审查情况、</w:t>
      </w:r>
      <w:bookmarkEnd w:id="17"/>
      <w:r>
        <w:rPr>
          <w:rFonts w:hint="eastAsia" w:ascii="宋体" w:hAnsi="宋体" w:cs="宋体"/>
          <w:szCs w:val="21"/>
        </w:rPr>
        <w:t>未中标情况说明、中标公告期限以及评审专家名单、评分汇总及明细。</w:t>
      </w:r>
    </w:p>
    <w:p w14:paraId="2DC4B0CF">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szCs w:val="21"/>
        </w:rPr>
        <w:t>23.3公告期限为1个工作日。</w:t>
      </w:r>
    </w:p>
    <w:p w14:paraId="6DBFB9D5">
      <w:pPr>
        <w:pStyle w:val="136"/>
        <w:widowControl/>
        <w:shd w:val="clear" w:color="auto" w:fill="FFFFFF"/>
        <w:snapToGrid w:val="0"/>
        <w:ind w:firstLine="422"/>
        <w:jc w:val="left"/>
        <w:outlineLvl w:val="2"/>
        <w:rPr>
          <w:rFonts w:ascii="宋体" w:hAnsi="宋体" w:cs="宋体"/>
          <w:b/>
          <w:sz w:val="21"/>
          <w:szCs w:val="21"/>
        </w:rPr>
      </w:pPr>
      <w:r>
        <w:rPr>
          <w:rFonts w:hint="eastAsia" w:ascii="宋体" w:hAnsi="宋体" w:cs="宋体"/>
          <w:b/>
          <w:sz w:val="21"/>
          <w:szCs w:val="21"/>
        </w:rPr>
        <w:t>由于中标、成交供应商原因导致重新采购的，应当承担支付代理费和专家评审费等费用在内的赔偿责任。</w:t>
      </w:r>
    </w:p>
    <w:p w14:paraId="6F4908E7">
      <w:pPr>
        <w:widowControl/>
        <w:shd w:val="clear" w:color="auto" w:fill="FFFFFF"/>
        <w:spacing w:line="360" w:lineRule="auto"/>
        <w:ind w:firstLine="420" w:firstLineChars="200"/>
        <w:jc w:val="left"/>
        <w:rPr>
          <w:rFonts w:ascii="宋体" w:hAnsi="宋体" w:cs="宋体"/>
          <w:szCs w:val="21"/>
        </w:rPr>
      </w:pPr>
    </w:p>
    <w:p w14:paraId="5FE76EBE">
      <w:pPr>
        <w:pStyle w:val="3"/>
        <w:rPr>
          <w:szCs w:val="21"/>
        </w:rPr>
      </w:pPr>
      <w:r>
        <w:rPr>
          <w:rFonts w:hint="eastAsia"/>
          <w:szCs w:val="21"/>
        </w:rPr>
        <w:t>七、合同授予</w:t>
      </w:r>
    </w:p>
    <w:p w14:paraId="4C904D5C">
      <w:pPr>
        <w:pStyle w:val="24"/>
        <w:spacing w:line="360" w:lineRule="auto"/>
        <w:ind w:firstLine="422"/>
        <w:outlineLvl w:val="2"/>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56F49032">
      <w:pPr>
        <w:pStyle w:val="24"/>
        <w:spacing w:line="360" w:lineRule="auto"/>
        <w:ind w:firstLine="422"/>
        <w:outlineLvl w:val="2"/>
        <w:rPr>
          <w:rFonts w:cs="宋体"/>
          <w:b/>
          <w:sz w:val="21"/>
          <w:szCs w:val="21"/>
        </w:rPr>
      </w:pPr>
      <w:r>
        <w:rPr>
          <w:rFonts w:hint="eastAsia" w:cs="宋体"/>
          <w:b/>
          <w:sz w:val="21"/>
          <w:szCs w:val="21"/>
        </w:rPr>
        <w:t>25.合同的签订</w:t>
      </w:r>
    </w:p>
    <w:p w14:paraId="7F4CBCD4">
      <w:pPr>
        <w:widowControl/>
        <w:shd w:val="clear" w:color="auto" w:fill="FFFFFF"/>
        <w:spacing w:line="360" w:lineRule="auto"/>
        <w:ind w:firstLine="420" w:firstLineChars="200"/>
        <w:jc w:val="left"/>
        <w:rPr>
          <w:rFonts w:ascii="宋体" w:hAnsi="宋体" w:cs="宋体"/>
          <w:kern w:val="0"/>
          <w:szCs w:val="21"/>
        </w:rPr>
      </w:pPr>
      <w:r>
        <w:rPr>
          <w:rFonts w:ascii="宋体" w:hAnsi="宋体" w:cs="宋体"/>
          <w:kern w:val="0"/>
          <w:szCs w:val="21"/>
        </w:rPr>
        <w:t>25.1采购人与中标人应当通过电子交易平台在中标通知书发出之日起三十日内，按照招标文件确定的事项签订政府采购合同，并在</w:t>
      </w:r>
      <w:r>
        <w:rPr>
          <w:rFonts w:hint="eastAsia" w:ascii="宋体" w:hAnsi="宋体" w:cs="宋体"/>
          <w:kern w:val="0"/>
          <w:szCs w:val="21"/>
        </w:rPr>
        <w:t>签订之日起2个工作日内将政府采购</w:t>
      </w:r>
      <w:r>
        <w:rPr>
          <w:rFonts w:ascii="宋体" w:hAnsi="宋体" w:cs="宋体"/>
          <w:kern w:val="0"/>
          <w:szCs w:val="21"/>
        </w:rPr>
        <w:t>合同</w:t>
      </w:r>
      <w:r>
        <w:rPr>
          <w:rFonts w:hint="eastAsia" w:ascii="宋体" w:hAnsi="宋体" w:cs="宋体"/>
          <w:kern w:val="0"/>
          <w:szCs w:val="21"/>
        </w:rPr>
        <w:t>在浙江政府采购网上</w:t>
      </w:r>
      <w:r>
        <w:rPr>
          <w:rFonts w:ascii="宋体" w:hAnsi="宋体" w:cs="宋体"/>
          <w:kern w:val="0"/>
          <w:szCs w:val="21"/>
        </w:rPr>
        <w:t>公告</w:t>
      </w:r>
      <w:r>
        <w:rPr>
          <w:rFonts w:hint="eastAsia" w:ascii="宋体" w:hAnsi="宋体" w:cs="宋体"/>
          <w:kern w:val="0"/>
          <w:szCs w:val="21"/>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kern w:val="0"/>
          <w:szCs w:val="21"/>
        </w:rPr>
        <w:t>。</w:t>
      </w:r>
    </w:p>
    <w:p w14:paraId="3DF51C15">
      <w:pPr>
        <w:pStyle w:val="136"/>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7F433043">
      <w:pPr>
        <w:pStyle w:val="136"/>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F9F63FD">
      <w:pPr>
        <w:pStyle w:val="136"/>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30CBBF3F">
      <w:pPr>
        <w:pStyle w:val="136"/>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1374A1AA">
      <w:pPr>
        <w:pStyle w:val="24"/>
        <w:spacing w:line="360" w:lineRule="auto"/>
        <w:ind w:firstLine="422"/>
        <w:outlineLvl w:val="2"/>
        <w:rPr>
          <w:rFonts w:cs="宋体"/>
          <w:b/>
          <w:sz w:val="21"/>
          <w:szCs w:val="21"/>
        </w:rPr>
      </w:pPr>
      <w:r>
        <w:rPr>
          <w:rFonts w:hint="eastAsia" w:cs="宋体"/>
          <w:b/>
          <w:sz w:val="21"/>
          <w:szCs w:val="21"/>
        </w:rPr>
        <w:t>26.履约保证金</w:t>
      </w:r>
    </w:p>
    <w:p w14:paraId="7C6ABF0F">
      <w:pPr>
        <w:pStyle w:val="136"/>
        <w:snapToGrid w:val="0"/>
        <w:spacing w:before="0"/>
        <w:ind w:firstLine="420"/>
        <w:rPr>
          <w:rFonts w:ascii="宋体" w:hAnsi="宋体" w:cs="宋体"/>
          <w:sz w:val="21"/>
          <w:szCs w:val="21"/>
        </w:rPr>
      </w:pPr>
      <w:r>
        <w:rPr>
          <w:rFonts w:hint="eastAsia" w:ascii="宋体" w:hAnsi="宋体" w:cs="宋体"/>
          <w:sz w:val="21"/>
          <w:szCs w:val="21"/>
        </w:rPr>
        <w:t>杭州市政府采购网公布的供应商履约评价为满分的免收履约保证金。确需收取履约保证金的，履约保证金的数额不得超过政府采购合同金额的1%，鼓励根据项目特点、供应商诚信等因素免收履约保证金或降低缴纳比例。鼓励和支持供应商以银行、保险公司出具的电子保函形式提供履约保证金。</w:t>
      </w:r>
      <w:r>
        <w:rPr>
          <w:rFonts w:hint="eastAsia" w:ascii="宋体" w:hAnsi="宋体" w:cs="宋体"/>
          <w:b/>
          <w:bCs/>
          <w:sz w:val="21"/>
          <w:szCs w:val="21"/>
        </w:rPr>
        <w:t>采购人不得拒收履约保函。项目验收结束后应及时退还，延迟退还的，应当按照合同约定和法律规定承担相应的赔偿责任</w:t>
      </w:r>
    </w:p>
    <w:p w14:paraId="2630AD85">
      <w:pPr>
        <w:pStyle w:val="136"/>
        <w:snapToGrid w:val="0"/>
        <w:spacing w:before="0"/>
        <w:ind w:firstLine="420"/>
        <w:rPr>
          <w:rFonts w:ascii="宋体" w:hAnsi="宋体" w:cs="宋体"/>
          <w:sz w:val="21"/>
          <w:szCs w:val="21"/>
        </w:rPr>
      </w:pPr>
      <w:r>
        <w:rPr>
          <w:rFonts w:hint="eastAsia" w:ascii="宋体" w:hAnsi="宋体" w:cs="宋体"/>
          <w:sz w:val="21"/>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7D7F97">
      <w:pPr>
        <w:pStyle w:val="4"/>
        <w:rPr>
          <w:szCs w:val="21"/>
        </w:rPr>
      </w:pPr>
      <w:r>
        <w:rPr>
          <w:rFonts w:hint="eastAsia"/>
          <w:szCs w:val="21"/>
        </w:rPr>
        <w:t>27.预付款</w:t>
      </w:r>
    </w:p>
    <w:p w14:paraId="4D948724">
      <w:pPr>
        <w:pStyle w:val="136"/>
        <w:snapToGrid w:val="0"/>
        <w:ind w:firstLine="420"/>
        <w:rPr>
          <w:rFonts w:ascii="宋体" w:hAnsi="宋体" w:cs="宋体"/>
          <w:sz w:val="21"/>
          <w:szCs w:val="21"/>
        </w:rPr>
      </w:pPr>
      <w:r>
        <w:rPr>
          <w:rFonts w:hint="eastAsia" w:ascii="宋体" w:hAnsi="宋体" w:cs="宋体"/>
          <w:sz w:val="21"/>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56114E43">
      <w:pPr>
        <w:pStyle w:val="3"/>
        <w:rPr>
          <w:szCs w:val="21"/>
        </w:rPr>
      </w:pPr>
      <w:r>
        <w:rPr>
          <w:rFonts w:hint="eastAsia"/>
          <w:szCs w:val="21"/>
        </w:rPr>
        <w:t>八、电子交易活动的中止</w:t>
      </w:r>
    </w:p>
    <w:p w14:paraId="70F4468A">
      <w:pPr>
        <w:pStyle w:val="136"/>
        <w:snapToGrid w:val="0"/>
        <w:spacing w:before="0"/>
        <w:ind w:firstLine="422"/>
        <w:outlineLvl w:val="2"/>
        <w:rPr>
          <w:rFonts w:ascii="宋体" w:hAnsi="宋体" w:cs="宋体"/>
          <w:b/>
          <w:bCs/>
          <w:sz w:val="21"/>
          <w:szCs w:val="21"/>
        </w:rPr>
      </w:pPr>
      <w:r>
        <w:rPr>
          <w:rFonts w:hint="eastAsia" w:ascii="宋体" w:hAnsi="宋体" w:cs="宋体"/>
          <w:b/>
          <w:bCs/>
          <w:sz w:val="21"/>
          <w:szCs w:val="21"/>
        </w:rPr>
        <w:t>28.电子交易活动的中止</w:t>
      </w:r>
    </w:p>
    <w:p w14:paraId="6643130B">
      <w:pPr>
        <w:pStyle w:val="136"/>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363E7107">
      <w:pPr>
        <w:pStyle w:val="136"/>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1482DFD4">
      <w:pPr>
        <w:pStyle w:val="136"/>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7BD18A06">
      <w:pPr>
        <w:pStyle w:val="136"/>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30A9095B">
      <w:pPr>
        <w:pStyle w:val="136"/>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FD8C797">
      <w:pPr>
        <w:pStyle w:val="136"/>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1A6DDC66">
      <w:pPr>
        <w:pStyle w:val="136"/>
        <w:snapToGrid w:val="0"/>
        <w:spacing w:before="0"/>
        <w:ind w:firstLine="420"/>
        <w:outlineLvl w:val="2"/>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03AD0827">
      <w:pPr>
        <w:pStyle w:val="3"/>
        <w:rPr>
          <w:szCs w:val="21"/>
        </w:rPr>
      </w:pPr>
      <w:r>
        <w:rPr>
          <w:rFonts w:hint="eastAsia"/>
          <w:szCs w:val="21"/>
        </w:rPr>
        <w:t>九、验收</w:t>
      </w:r>
    </w:p>
    <w:p w14:paraId="201E8481">
      <w:pPr>
        <w:pStyle w:val="24"/>
        <w:spacing w:line="360" w:lineRule="auto"/>
        <w:ind w:firstLine="422"/>
        <w:outlineLvl w:val="2"/>
        <w:rPr>
          <w:rFonts w:cs="宋体"/>
          <w:b/>
          <w:sz w:val="21"/>
          <w:szCs w:val="21"/>
        </w:rPr>
      </w:pPr>
      <w:r>
        <w:rPr>
          <w:rFonts w:hint="eastAsia" w:cs="宋体"/>
          <w:b/>
          <w:sz w:val="21"/>
          <w:szCs w:val="21"/>
        </w:rPr>
        <w:t>30.验收</w:t>
      </w:r>
    </w:p>
    <w:p w14:paraId="4DCE1584">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1C3BD2">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342FE372">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356581">
      <w:pPr>
        <w:tabs>
          <w:tab w:val="left" w:pos="0"/>
        </w:tabs>
        <w:spacing w:line="360" w:lineRule="auto"/>
        <w:ind w:firstLine="420" w:firstLineChars="20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1783DE95">
      <w:pPr>
        <w:tabs>
          <w:tab w:val="left" w:pos="0"/>
        </w:tabs>
        <w:spacing w:line="360" w:lineRule="auto"/>
        <w:ind w:firstLine="420" w:firstLineChars="200"/>
        <w:rPr>
          <w:rFonts w:ascii="宋体" w:hAnsi="宋体" w:cs="宋体"/>
          <w:kern w:val="0"/>
          <w:szCs w:val="21"/>
        </w:rPr>
      </w:pPr>
      <w:bookmarkStart w:id="18" w:name="_Hlt68057669"/>
      <w:bookmarkEnd w:id="18"/>
      <w:bookmarkStart w:id="19" w:name="_Hlt68072990"/>
      <w:bookmarkEnd w:id="19"/>
      <w:bookmarkStart w:id="20" w:name="_Hlt74729768"/>
      <w:bookmarkEnd w:id="20"/>
      <w:bookmarkStart w:id="21" w:name="_Hlt74730295"/>
      <w:bookmarkEnd w:id="21"/>
      <w:bookmarkStart w:id="22" w:name="_Hlt75236011"/>
      <w:bookmarkEnd w:id="22"/>
      <w:bookmarkStart w:id="23" w:name="_Hlt68072998"/>
      <w:bookmarkEnd w:id="23"/>
      <w:bookmarkStart w:id="24" w:name="_Hlt68403820"/>
      <w:bookmarkEnd w:id="24"/>
      <w:bookmarkStart w:id="25" w:name="_Hlt75236290"/>
      <w:bookmarkEnd w:id="25"/>
      <w:bookmarkStart w:id="26" w:name="_Hlt74707468"/>
      <w:bookmarkEnd w:id="26"/>
      <w:bookmarkStart w:id="27" w:name="_Hlt74714665"/>
      <w:bookmarkEnd w:id="27"/>
      <w:bookmarkStart w:id="28" w:name="_Hlt68073093"/>
      <w:bookmarkEnd w:id="28"/>
      <w:bookmarkStart w:id="29" w:name="_Hlt75236101"/>
      <w:bookmarkEnd w:id="29"/>
      <w:r>
        <w:rPr>
          <w:rFonts w:hint="eastAsia" w:ascii="宋体" w:hAnsi="宋体" w:cs="宋体"/>
          <w:kern w:val="0"/>
          <w:szCs w:val="21"/>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435BA30">
      <w:pPr>
        <w:tabs>
          <w:tab w:val="left" w:pos="0"/>
        </w:tabs>
        <w:spacing w:line="360" w:lineRule="auto"/>
        <w:ind w:firstLine="480"/>
        <w:rPr>
          <w:rFonts w:ascii="宋体" w:hAnsi="宋体" w:cs="宋体"/>
          <w:kern w:val="0"/>
          <w:szCs w:val="21"/>
        </w:rPr>
        <w:sectPr>
          <w:footerReference r:id="rId8" w:type="first"/>
          <w:headerReference r:id="rId6" w:type="default"/>
          <w:footerReference r:id="rId7" w:type="default"/>
          <w:pgSz w:w="11906" w:h="16838"/>
          <w:pgMar w:top="680" w:right="1418" w:bottom="468" w:left="1418" w:header="851" w:footer="992" w:gutter="0"/>
          <w:pgNumType w:start="2"/>
          <w:cols w:space="720" w:num="1"/>
          <w:docGrid w:linePitch="312" w:charSpace="0"/>
        </w:sectPr>
      </w:pPr>
    </w:p>
    <w:bookmarkEnd w:id="14"/>
    <w:bookmarkEnd w:id="15"/>
    <w:p w14:paraId="5C976BB8">
      <w:pPr>
        <w:pStyle w:val="2"/>
      </w:pPr>
      <w:bookmarkStart w:id="30" w:name="_Toc19952"/>
      <w:bookmarkStart w:id="31" w:name="第四部分"/>
      <w:r>
        <w:rPr>
          <w:rFonts w:hint="eastAsia"/>
        </w:rPr>
        <w:t>第三部分 采购需求</w:t>
      </w:r>
      <w:bookmarkEnd w:id="30"/>
    </w:p>
    <w:p w14:paraId="1B77C74A">
      <w:pPr>
        <w:pStyle w:val="3"/>
        <w:spacing w:before="120" w:after="120"/>
        <w:rPr>
          <w:rFonts w:ascii="宋体" w:hAnsi="宋体" w:cs="宋体"/>
          <w:sz w:val="21"/>
          <w:szCs w:val="21"/>
        </w:rPr>
      </w:pPr>
      <w:bookmarkStart w:id="32" w:name="_Toc30857"/>
      <w:bookmarkStart w:id="33" w:name="_Toc21967"/>
      <w:bookmarkStart w:id="34" w:name="_Toc28332"/>
      <w:bookmarkStart w:id="35" w:name="_Toc32543"/>
      <w:bookmarkStart w:id="36" w:name="_Toc418846105"/>
      <w:bookmarkStart w:id="37" w:name="_Toc22609"/>
      <w:bookmarkStart w:id="38" w:name="_Toc5589"/>
      <w:bookmarkStart w:id="39" w:name="_Toc13313"/>
      <w:r>
        <w:rPr>
          <w:rFonts w:hint="eastAsia" w:ascii="宋体" w:hAnsi="宋体" w:cs="宋体"/>
          <w:sz w:val="21"/>
          <w:szCs w:val="21"/>
        </w:rPr>
        <w:t>一、项目概况</w:t>
      </w:r>
      <w:bookmarkEnd w:id="32"/>
      <w:bookmarkEnd w:id="33"/>
      <w:bookmarkEnd w:id="34"/>
      <w:bookmarkEnd w:id="35"/>
      <w:bookmarkEnd w:id="36"/>
      <w:bookmarkEnd w:id="37"/>
    </w:p>
    <w:p w14:paraId="2265A746">
      <w:pPr>
        <w:tabs>
          <w:tab w:val="left" w:pos="0"/>
        </w:tabs>
        <w:snapToGrid w:val="0"/>
        <w:spacing w:line="360" w:lineRule="auto"/>
        <w:ind w:firstLine="420" w:firstLineChars="200"/>
        <w:rPr>
          <w:rFonts w:ascii="宋体" w:hAnsi="宋体" w:cs="宋体"/>
          <w:szCs w:val="21"/>
        </w:rPr>
      </w:pPr>
      <w:bookmarkStart w:id="40" w:name="_Toc418846106"/>
      <w:r>
        <w:rPr>
          <w:rFonts w:hint="eastAsia" w:ascii="宋体" w:hAnsi="宋体" w:cs="宋体"/>
          <w:szCs w:val="21"/>
        </w:rPr>
        <w:t>1.1项目名称：钱塘区政务云资源及云安全租赁服务项目（</w:t>
      </w:r>
      <w:r>
        <w:rPr>
          <w:rFonts w:hint="eastAsia" w:ascii="宋体" w:hAnsi="宋体" w:cs="宋体"/>
          <w:szCs w:val="21"/>
          <w:lang w:eastAsia="zh-CN"/>
        </w:rPr>
        <w:t>2024</w:t>
      </w:r>
      <w:r>
        <w:rPr>
          <w:rFonts w:hint="eastAsia" w:ascii="宋体" w:hAnsi="宋体" w:cs="宋体"/>
          <w:szCs w:val="21"/>
        </w:rPr>
        <w:t>）。</w:t>
      </w:r>
    </w:p>
    <w:p w14:paraId="37CE0110">
      <w:pPr>
        <w:pStyle w:val="23"/>
        <w:snapToGrid w:val="0"/>
        <w:ind w:firstLine="420" w:firstLineChars="200"/>
        <w:rPr>
          <w:rFonts w:hAnsi="宋体" w:cs="宋体"/>
          <w:sz w:val="21"/>
        </w:rPr>
      </w:pPr>
      <w:r>
        <w:rPr>
          <w:rFonts w:hint="eastAsia" w:hAnsi="宋体" w:cs="宋体"/>
          <w:sz w:val="21"/>
        </w:rPr>
        <w:t>1.2项目地点：按采购人指定地点。</w:t>
      </w:r>
    </w:p>
    <w:p w14:paraId="5600720F">
      <w:pPr>
        <w:pStyle w:val="23"/>
        <w:snapToGrid w:val="0"/>
        <w:ind w:firstLine="420" w:firstLineChars="200"/>
        <w:rPr>
          <w:rFonts w:hAnsi="宋体" w:cs="宋体"/>
          <w:sz w:val="21"/>
        </w:rPr>
      </w:pPr>
      <w:r>
        <w:rPr>
          <w:rFonts w:hint="eastAsia" w:hAnsi="宋体" w:cs="宋体"/>
          <w:sz w:val="21"/>
        </w:rPr>
        <w:t>1.3实施期限：整体服务期为签订合同之日起一年。具体时间根据采购人要求安排。</w:t>
      </w:r>
    </w:p>
    <w:p w14:paraId="01FD108C">
      <w:pPr>
        <w:pStyle w:val="23"/>
        <w:snapToGrid w:val="0"/>
        <w:ind w:firstLine="420" w:firstLineChars="200"/>
        <w:rPr>
          <w:rFonts w:hAnsi="宋体" w:cs="宋体"/>
          <w:sz w:val="21"/>
        </w:rPr>
      </w:pPr>
      <w:r>
        <w:rPr>
          <w:rFonts w:hint="eastAsia" w:hAnsi="宋体" w:cs="宋体"/>
          <w:sz w:val="21"/>
        </w:rPr>
        <w:t>1.4项目背景：</w:t>
      </w:r>
    </w:p>
    <w:p w14:paraId="6DFF9E7A">
      <w:pPr>
        <w:pStyle w:val="23"/>
        <w:snapToGrid w:val="0"/>
        <w:ind w:firstLine="420" w:firstLineChars="200"/>
        <w:rPr>
          <w:rFonts w:hAnsi="宋体" w:cs="宋体"/>
          <w:sz w:val="21"/>
        </w:rPr>
      </w:pPr>
      <w:r>
        <w:rPr>
          <w:rFonts w:hint="eastAsia" w:hAnsi="宋体" w:cs="宋体"/>
          <w:sz w:val="21"/>
        </w:rPr>
        <w:t>作为云计算试点城市之一，杭州市委、市政府一直以来对云计算产业非常重视。随着杭州打造“数字经济第一城”的工作逐步展开，钱塘区各类信息化应用在不断建设，大数据服务的开发与应用不断深入。政务云平台作为基础资源平台，可实现集约化建设，降低成本，节约社会资源，实现各部门内部以及部门之间的业务数据互通与开放，形成能够服务于各部门的共享能力中心，为各部门提供公共数据服务，钱塘区电子政务基础设施重复建设、数据资源分散等问题得以解决。</w:t>
      </w:r>
    </w:p>
    <w:p w14:paraId="3439F157">
      <w:pPr>
        <w:pStyle w:val="23"/>
        <w:snapToGrid w:val="0"/>
        <w:ind w:firstLine="420" w:firstLineChars="200"/>
        <w:rPr>
          <w:rFonts w:hAnsi="宋体" w:cs="宋体"/>
          <w:b/>
          <w:bCs/>
          <w:sz w:val="21"/>
        </w:rPr>
      </w:pPr>
      <w:r>
        <w:rPr>
          <w:rFonts w:hint="eastAsia" w:hAnsi="宋体" w:cs="宋体"/>
          <w:sz w:val="21"/>
        </w:rPr>
        <w:t>根据中办的工作部署，全国自2020年起加快推进国产自主可控替代计划，构建安全可控的信息技术体系。钱塘区将同步建设信创云平台，为区内信息化应用信创建设或改造提供基础资源。</w:t>
      </w:r>
    </w:p>
    <w:p w14:paraId="32D3051B">
      <w:pPr>
        <w:tabs>
          <w:tab w:val="left" w:pos="0"/>
        </w:tabs>
        <w:snapToGrid w:val="0"/>
        <w:spacing w:line="360" w:lineRule="auto"/>
        <w:ind w:firstLine="420" w:firstLineChars="200"/>
        <w:rPr>
          <w:rFonts w:ascii="宋体" w:hAnsi="宋体" w:cs="宋体"/>
          <w:szCs w:val="21"/>
        </w:rPr>
      </w:pPr>
      <w:r>
        <w:rPr>
          <w:rFonts w:hint="eastAsia" w:ascii="宋体" w:hAnsi="宋体" w:cs="宋体"/>
          <w:szCs w:val="21"/>
        </w:rPr>
        <w:t>1.5投标人提供的服务、证明材料等实际情况与投标文件中所承诺或响应内容不符合，可视为虚假应标及欺诈行为，并追究相应责任。</w:t>
      </w:r>
    </w:p>
    <w:bookmarkEnd w:id="40"/>
    <w:p w14:paraId="4D3B4FFE">
      <w:pPr>
        <w:pStyle w:val="3"/>
        <w:rPr>
          <w:rFonts w:ascii="宋体" w:hAnsi="宋体" w:cs="宋体"/>
          <w:sz w:val="21"/>
          <w:szCs w:val="21"/>
        </w:rPr>
      </w:pPr>
      <w:bookmarkStart w:id="41" w:name="_Toc378"/>
      <w:bookmarkStart w:id="42" w:name="_Toc3585"/>
      <w:bookmarkStart w:id="43" w:name="_Toc3088"/>
      <w:bookmarkStart w:id="44" w:name="_Toc14920"/>
      <w:r>
        <w:rPr>
          <w:rFonts w:hint="eastAsia" w:ascii="宋体" w:hAnsi="宋体" w:cs="宋体"/>
          <w:sz w:val="21"/>
          <w:szCs w:val="21"/>
        </w:rPr>
        <w:t>二、</w:t>
      </w:r>
      <w:bookmarkEnd w:id="41"/>
      <w:bookmarkEnd w:id="42"/>
      <w:bookmarkEnd w:id="43"/>
      <w:r>
        <w:rPr>
          <w:rFonts w:hint="eastAsia" w:ascii="宋体" w:hAnsi="宋体" w:cs="宋体"/>
          <w:sz w:val="21"/>
          <w:szCs w:val="21"/>
        </w:rPr>
        <w:t>项目内容</w:t>
      </w:r>
      <w:bookmarkEnd w:id="44"/>
    </w:p>
    <w:p w14:paraId="4D3A9950">
      <w:pPr>
        <w:tabs>
          <w:tab w:val="left" w:pos="0"/>
        </w:tabs>
        <w:snapToGrid w:val="0"/>
        <w:spacing w:line="360" w:lineRule="auto"/>
        <w:ind w:firstLine="420" w:firstLineChars="200"/>
        <w:rPr>
          <w:rFonts w:ascii="宋体" w:hAnsi="宋体" w:cs="宋体"/>
          <w:szCs w:val="21"/>
        </w:rPr>
      </w:pPr>
      <w:bookmarkStart w:id="45" w:name="_Toc8027"/>
      <w:r>
        <w:rPr>
          <w:rFonts w:hint="eastAsia" w:ascii="宋体" w:hAnsi="宋体" w:cs="宋体"/>
          <w:szCs w:val="21"/>
        </w:rPr>
        <w:t>本项目主要为相应的钱塘政务云及信创云资源组建及租赁，主要内容包括：完整的云独立专区、完整的云上安全体系、可扩展云专区应用支撑PaaS平台、云内无缝互联互通、数据共享平台，同时提供钱塘承载的所有租户业务系统的等保安全服务及国产密码服务。</w:t>
      </w:r>
    </w:p>
    <w:p w14:paraId="07253935">
      <w:pPr>
        <w:tabs>
          <w:tab w:val="left" w:pos="0"/>
        </w:tabs>
        <w:snapToGrid w:val="0"/>
        <w:spacing w:line="360" w:lineRule="auto"/>
        <w:ind w:firstLine="420" w:firstLineChars="200"/>
        <w:rPr>
          <w:rFonts w:ascii="宋体" w:hAnsi="宋体" w:cs="宋体"/>
          <w:szCs w:val="21"/>
        </w:rPr>
      </w:pPr>
      <w:r>
        <w:rPr>
          <w:rFonts w:hint="eastAsia" w:ascii="宋体" w:hAnsi="宋体" w:cs="宋体"/>
          <w:szCs w:val="21"/>
        </w:rPr>
        <w:t>说明：根据“项目内容”，投标人在投标文件中</w:t>
      </w:r>
      <w:r>
        <w:rPr>
          <w:rFonts w:hint="eastAsia" w:ascii="宋体" w:hAnsi="宋体" w:cs="宋体"/>
          <w:szCs w:val="21"/>
          <w:lang w:val="zh-CN"/>
        </w:rPr>
        <w:t>对项目的业务情况、技术要求、业务风险点</w:t>
      </w:r>
      <w:r>
        <w:rPr>
          <w:rFonts w:hint="eastAsia" w:ascii="宋体" w:hAnsi="宋体" w:cs="宋体"/>
          <w:szCs w:val="21"/>
        </w:rPr>
        <w:t>进行分析，并</w:t>
      </w:r>
      <w:r>
        <w:rPr>
          <w:rFonts w:hint="eastAsia" w:ascii="宋体" w:hAnsi="宋体" w:cs="宋体"/>
          <w:szCs w:val="21"/>
          <w:lang w:val="zh-CN"/>
        </w:rPr>
        <w:t>对所投云计算平台的技术架构，技术难点</w:t>
      </w:r>
      <w:r>
        <w:rPr>
          <w:rFonts w:hint="eastAsia" w:ascii="宋体" w:hAnsi="宋体" w:cs="宋体"/>
          <w:szCs w:val="21"/>
        </w:rPr>
        <w:t>进行说明。</w:t>
      </w:r>
    </w:p>
    <w:p w14:paraId="5D069768">
      <w:pPr>
        <w:pStyle w:val="3"/>
        <w:rPr>
          <w:rFonts w:ascii="宋体" w:hAnsi="宋体" w:cs="宋体"/>
          <w:sz w:val="21"/>
          <w:szCs w:val="21"/>
        </w:rPr>
      </w:pPr>
      <w:bookmarkStart w:id="46" w:name="_Toc16654"/>
      <w:r>
        <w:rPr>
          <w:rFonts w:hint="eastAsia" w:ascii="宋体" w:hAnsi="宋体" w:cs="宋体"/>
          <w:sz w:val="21"/>
          <w:szCs w:val="21"/>
        </w:rPr>
        <w:t>三、需满足的标准</w:t>
      </w:r>
      <w:bookmarkEnd w:id="46"/>
    </w:p>
    <w:p w14:paraId="26E0B743">
      <w:pPr>
        <w:snapToGrid w:val="0"/>
        <w:spacing w:line="360" w:lineRule="auto"/>
        <w:ind w:firstLine="420" w:firstLineChars="200"/>
        <w:jc w:val="left"/>
        <w:outlineLvl w:val="2"/>
        <w:rPr>
          <w:rFonts w:ascii="宋体" w:hAnsi="宋体" w:cs="宋体"/>
          <w:snapToGrid w:val="0"/>
          <w:kern w:val="0"/>
          <w:szCs w:val="21"/>
          <w:u w:val="single"/>
        </w:rPr>
      </w:pPr>
      <w:r>
        <w:rPr>
          <w:rFonts w:hint="eastAsia" w:ascii="宋体" w:hAnsi="宋体" w:cs="宋体"/>
          <w:snapToGrid w:val="0"/>
          <w:kern w:val="0"/>
          <w:szCs w:val="21"/>
          <w:u w:val="single"/>
        </w:rPr>
        <w:t>▲3.1国家相关标准、行业标准、地方标准</w:t>
      </w:r>
    </w:p>
    <w:p w14:paraId="50A637D2">
      <w:pPr>
        <w:tabs>
          <w:tab w:val="left" w:pos="0"/>
        </w:tabs>
        <w:snapToGrid w:val="0"/>
        <w:spacing w:line="360" w:lineRule="auto"/>
        <w:ind w:firstLine="420" w:firstLineChars="200"/>
        <w:rPr>
          <w:rFonts w:ascii="宋体" w:hAnsi="宋体" w:cs="宋体"/>
          <w:szCs w:val="21"/>
          <w:u w:val="single"/>
        </w:rPr>
      </w:pPr>
      <w:r>
        <w:rPr>
          <w:rFonts w:hint="eastAsia" w:ascii="宋体" w:hAnsi="宋体" w:cs="宋体"/>
          <w:szCs w:val="21"/>
          <w:u w:val="single"/>
        </w:rPr>
        <w:t>《数据中心设计规范》(GB50174-2017)</w:t>
      </w:r>
    </w:p>
    <w:p w14:paraId="59BF6532">
      <w:pPr>
        <w:tabs>
          <w:tab w:val="left" w:pos="0"/>
        </w:tabs>
        <w:snapToGrid w:val="0"/>
        <w:spacing w:line="360" w:lineRule="auto"/>
        <w:ind w:firstLine="420" w:firstLineChars="200"/>
        <w:rPr>
          <w:rFonts w:ascii="宋体" w:hAnsi="宋体" w:cs="宋体"/>
          <w:szCs w:val="21"/>
          <w:u w:val="single"/>
        </w:rPr>
      </w:pPr>
      <w:r>
        <w:rPr>
          <w:rFonts w:hint="eastAsia" w:ascii="宋体" w:hAnsi="宋体" w:cs="宋体"/>
          <w:szCs w:val="21"/>
          <w:u w:val="single"/>
        </w:rPr>
        <w:t>《云计算基础设施工程技术标准》 (GB/T 51399-2019)</w:t>
      </w:r>
    </w:p>
    <w:p w14:paraId="72210743">
      <w:pPr>
        <w:tabs>
          <w:tab w:val="left" w:pos="0"/>
        </w:tabs>
        <w:snapToGrid w:val="0"/>
        <w:spacing w:line="360" w:lineRule="auto"/>
        <w:ind w:firstLine="420" w:firstLineChars="200"/>
        <w:rPr>
          <w:rFonts w:ascii="宋体" w:hAnsi="宋体" w:cs="宋体"/>
          <w:szCs w:val="21"/>
          <w:u w:val="single"/>
        </w:rPr>
      </w:pPr>
      <w:r>
        <w:rPr>
          <w:rFonts w:hint="eastAsia" w:ascii="宋体" w:hAnsi="宋体" w:cs="宋体"/>
          <w:szCs w:val="21"/>
          <w:u w:val="single"/>
        </w:rPr>
        <w:t>《信息安全技术 网络安全等级保护基本要求》(GB/T 22239-2019)</w:t>
      </w:r>
    </w:p>
    <w:p w14:paraId="1BC8AD3D">
      <w:pPr>
        <w:tabs>
          <w:tab w:val="left" w:pos="0"/>
        </w:tabs>
        <w:snapToGrid w:val="0"/>
        <w:spacing w:line="360" w:lineRule="auto"/>
        <w:ind w:firstLine="420" w:firstLineChars="200"/>
        <w:rPr>
          <w:rFonts w:ascii="宋体" w:hAnsi="宋体" w:cs="宋体"/>
          <w:szCs w:val="21"/>
          <w:u w:val="single"/>
        </w:rPr>
      </w:pPr>
      <w:r>
        <w:rPr>
          <w:rFonts w:hint="eastAsia" w:ascii="宋体" w:hAnsi="宋体" w:cs="宋体"/>
          <w:szCs w:val="21"/>
          <w:u w:val="single"/>
        </w:rPr>
        <w:t>除以上规范、标准外，国家相关标准、行业标准、地方标准或者其他标准、规范对本项目相关内容有要求的，请按最新标准执行。</w:t>
      </w:r>
    </w:p>
    <w:p w14:paraId="63B76189">
      <w:pPr>
        <w:tabs>
          <w:tab w:val="left" w:pos="0"/>
        </w:tabs>
        <w:snapToGrid w:val="0"/>
        <w:spacing w:line="360" w:lineRule="auto"/>
        <w:ind w:firstLine="420" w:firstLineChars="200"/>
        <w:rPr>
          <w:rFonts w:ascii="宋体" w:hAnsi="宋体" w:cs="宋体"/>
          <w:szCs w:val="21"/>
          <w:u w:val="single"/>
        </w:rPr>
      </w:pPr>
      <w:r>
        <w:rPr>
          <w:rFonts w:hint="eastAsia" w:ascii="宋体" w:hAnsi="宋体" w:cs="宋体"/>
          <w:szCs w:val="21"/>
          <w:u w:val="single"/>
        </w:rPr>
        <w:t>投标文件中提供承诺函，否则投标无效。</w:t>
      </w:r>
    </w:p>
    <w:p w14:paraId="0C82051C">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3.2本项目应达到的其他标准</w:t>
      </w:r>
    </w:p>
    <w:p w14:paraId="6957B958">
      <w:pPr>
        <w:snapToGrid w:val="0"/>
        <w:spacing w:line="360" w:lineRule="auto"/>
        <w:ind w:firstLine="420" w:firstLineChars="200"/>
        <w:jc w:val="left"/>
        <w:rPr>
          <w:rFonts w:ascii="宋体" w:hAnsi="宋体" w:cs="宋体"/>
          <w:snapToGrid w:val="0"/>
          <w:szCs w:val="21"/>
        </w:rPr>
      </w:pPr>
      <w:r>
        <w:rPr>
          <w:rFonts w:hint="eastAsia" w:ascii="宋体" w:hAnsi="宋体" w:cs="宋体"/>
          <w:szCs w:val="21"/>
          <w:lang w:val="en-US" w:eastAsia="zh-CN"/>
        </w:rPr>
        <w:t>3.2.1</w:t>
      </w:r>
      <w:r>
        <w:rPr>
          <w:rFonts w:hint="eastAsia" w:ascii="宋体" w:hAnsi="宋体" w:cs="宋体"/>
          <w:szCs w:val="21"/>
        </w:rPr>
        <w:t>为保障信息化应用服务器使用或扩容需求及平台非满载平稳运行，要求平台服务能力有一定冗余，本项目要求达到的</w:t>
      </w:r>
      <w:r>
        <w:rPr>
          <w:rFonts w:hint="eastAsia" w:ascii="宋体" w:hAnsi="宋体" w:cs="宋体"/>
          <w:snapToGrid w:val="0"/>
          <w:szCs w:val="21"/>
        </w:rPr>
        <w:t>其他标准、规范如下：</w:t>
      </w:r>
    </w:p>
    <w:p w14:paraId="0FB874C4">
      <w:pPr>
        <w:snapToGrid w:val="0"/>
        <w:spacing w:line="360" w:lineRule="auto"/>
        <w:ind w:firstLine="420" w:firstLineChars="200"/>
        <w:jc w:val="left"/>
        <w:rPr>
          <w:rFonts w:ascii="宋体" w:hAnsi="宋体" w:cs="宋体"/>
          <w:snapToGrid w:val="0"/>
          <w:szCs w:val="21"/>
        </w:rPr>
      </w:pPr>
      <w:r>
        <w:rPr>
          <w:rFonts w:hint="eastAsia" w:ascii="宋体" w:hAnsi="宋体" w:cs="宋体"/>
          <w:snapToGrid w:val="0"/>
          <w:szCs w:val="21"/>
        </w:rPr>
        <w:t>（1）具有云计算服务器服务，可提供物理核不小于8000核，内存不小于90T的云计算服务器能力；可提供服务器清单。</w:t>
      </w:r>
    </w:p>
    <w:p w14:paraId="7069525B">
      <w:pPr>
        <w:snapToGrid w:val="0"/>
        <w:spacing w:line="360" w:lineRule="auto"/>
        <w:ind w:firstLine="420" w:firstLineChars="200"/>
        <w:jc w:val="left"/>
        <w:rPr>
          <w:rFonts w:ascii="宋体" w:hAnsi="宋体" w:cs="宋体"/>
          <w:snapToGrid w:val="0"/>
          <w:szCs w:val="21"/>
        </w:rPr>
      </w:pPr>
      <w:r>
        <w:rPr>
          <w:rFonts w:hint="eastAsia" w:ascii="宋体" w:hAnsi="宋体" w:cs="宋体"/>
          <w:snapToGrid w:val="0"/>
          <w:szCs w:val="21"/>
        </w:rPr>
        <w:t>（2）具有云数据库（含MySQL、SQL Server等）服务，且内存不小于20T；</w:t>
      </w:r>
    </w:p>
    <w:p w14:paraId="7FD0A6A9">
      <w:pPr>
        <w:snapToGrid w:val="0"/>
        <w:spacing w:line="360" w:lineRule="auto"/>
        <w:ind w:firstLine="420" w:firstLineChars="200"/>
        <w:jc w:val="left"/>
        <w:rPr>
          <w:rFonts w:ascii="宋体" w:hAnsi="宋体" w:cs="宋体"/>
          <w:snapToGrid w:val="0"/>
          <w:szCs w:val="21"/>
        </w:rPr>
      </w:pPr>
      <w:r>
        <w:rPr>
          <w:rFonts w:hint="eastAsia" w:ascii="宋体" w:hAnsi="宋体" w:cs="宋体"/>
          <w:snapToGrid w:val="0"/>
          <w:szCs w:val="21"/>
        </w:rPr>
        <w:t>（3）具有非结构化云存储，且裸容量不小于7000T。</w:t>
      </w:r>
    </w:p>
    <w:p w14:paraId="2A72806F">
      <w:pPr>
        <w:snapToGrid w:val="0"/>
        <w:spacing w:line="360" w:lineRule="auto"/>
        <w:ind w:firstLine="420" w:firstLineChars="200"/>
        <w:jc w:val="left"/>
        <w:rPr>
          <w:rFonts w:ascii="宋体" w:hAnsi="宋体" w:cs="宋体"/>
          <w:snapToGrid w:val="0"/>
          <w:szCs w:val="21"/>
        </w:rPr>
      </w:pPr>
      <w:r>
        <w:rPr>
          <w:rFonts w:hint="eastAsia" w:ascii="宋体" w:hAnsi="宋体" w:cs="宋体"/>
          <w:snapToGrid w:val="0"/>
          <w:szCs w:val="21"/>
          <w:lang w:val="en-US" w:eastAsia="zh-CN"/>
        </w:rPr>
        <w:t>3.2.2</w:t>
      </w:r>
      <w:r>
        <w:rPr>
          <w:rFonts w:hint="eastAsia" w:ascii="宋体" w:hAnsi="宋体" w:cs="宋体"/>
          <w:snapToGrid w:val="0"/>
          <w:szCs w:val="21"/>
        </w:rPr>
        <w:t>投标的云平台可为所投云平台提供分布式的近源网络安全防护能力，其防护能力可提供相关有效的证明材料（</w:t>
      </w:r>
      <w:r>
        <w:rPr>
          <w:rFonts w:hint="eastAsia" w:ascii="宋体" w:hAnsi="宋体" w:cs="宋体"/>
          <w:szCs w:val="21"/>
        </w:rPr>
        <w:t>提供CMA或CNAS评测机构出具的检验报告</w:t>
      </w:r>
      <w:r>
        <w:rPr>
          <w:rFonts w:hint="eastAsia" w:ascii="宋体" w:hAnsi="宋体" w:cs="宋体"/>
          <w:snapToGrid w:val="0"/>
          <w:szCs w:val="21"/>
        </w:rPr>
        <w:t>），证明其具备相关安全保障防护能力。</w:t>
      </w:r>
    </w:p>
    <w:p w14:paraId="3BBF4B58">
      <w:pPr>
        <w:snapToGrid w:val="0"/>
        <w:spacing w:line="360" w:lineRule="auto"/>
        <w:ind w:firstLine="420" w:firstLineChars="200"/>
        <w:jc w:val="left"/>
        <w:rPr>
          <w:rFonts w:ascii="宋体" w:hAnsi="宋体" w:cs="宋体"/>
          <w:snapToGrid w:val="0"/>
          <w:szCs w:val="21"/>
        </w:rPr>
      </w:pPr>
      <w:r>
        <w:rPr>
          <w:rFonts w:hint="eastAsia" w:ascii="宋体" w:hAnsi="宋体" w:cs="宋体"/>
          <w:snapToGrid w:val="0"/>
          <w:szCs w:val="21"/>
          <w:lang w:val="en-US" w:eastAsia="zh-CN"/>
        </w:rPr>
        <w:t>3.2.3</w:t>
      </w:r>
      <w:r>
        <w:rPr>
          <w:rFonts w:hint="eastAsia" w:ascii="宋体" w:hAnsi="宋体" w:cs="宋体"/>
          <w:snapToGrid w:val="0"/>
          <w:szCs w:val="21"/>
          <w:lang w:val="zh-CN"/>
        </w:rPr>
        <w:t>所投云计算平台，</w:t>
      </w:r>
      <w:r>
        <w:rPr>
          <w:rFonts w:hint="eastAsia" w:ascii="宋体" w:hAnsi="宋体" w:cs="宋体"/>
          <w:snapToGrid w:val="0"/>
          <w:szCs w:val="21"/>
        </w:rPr>
        <w:t>包括</w:t>
      </w:r>
      <w:r>
        <w:rPr>
          <w:rFonts w:hint="eastAsia" w:ascii="宋体" w:hAnsi="宋体" w:cs="宋体"/>
          <w:snapToGrid w:val="0"/>
          <w:szCs w:val="21"/>
          <w:lang w:val="zh-CN"/>
        </w:rPr>
        <w:t>①基础网络系统、②云计算及存储系统、③数据库系统、④云安全服务系统⑤中间件及大数据系统，</w:t>
      </w:r>
      <w:r>
        <w:rPr>
          <w:rFonts w:hint="eastAsia" w:ascii="宋体" w:hAnsi="宋体" w:cs="宋体"/>
          <w:snapToGrid w:val="0"/>
          <w:szCs w:val="21"/>
        </w:rPr>
        <w:t>上述5个主要系统</w:t>
      </w:r>
      <w:r>
        <w:rPr>
          <w:rFonts w:hint="eastAsia" w:ascii="宋体" w:hAnsi="宋体" w:cs="宋体"/>
          <w:snapToGrid w:val="0"/>
          <w:szCs w:val="21"/>
          <w:lang w:val="zh-CN"/>
        </w:rPr>
        <w:t>需通过信息系统安全等级保护2.0三级测评，</w:t>
      </w:r>
      <w:r>
        <w:rPr>
          <w:rFonts w:hint="eastAsia" w:ascii="宋体" w:hAnsi="宋体" w:cs="宋体"/>
          <w:snapToGrid w:val="0"/>
          <w:szCs w:val="21"/>
        </w:rPr>
        <w:t>可提供等保测评报告。</w:t>
      </w:r>
    </w:p>
    <w:p w14:paraId="13B2016C">
      <w:pPr>
        <w:snapToGrid w:val="0"/>
        <w:spacing w:line="360" w:lineRule="auto"/>
        <w:ind w:firstLine="420" w:firstLineChars="200"/>
        <w:jc w:val="left"/>
        <w:rPr>
          <w:rFonts w:ascii="宋体" w:hAnsi="宋体" w:cs="宋体"/>
          <w:snapToGrid w:val="0"/>
          <w:szCs w:val="21"/>
          <w:lang w:val="zh-CN"/>
        </w:rPr>
      </w:pPr>
      <w:r>
        <w:rPr>
          <w:rFonts w:hint="eastAsia" w:ascii="宋体" w:hAnsi="宋体" w:cs="宋体"/>
          <w:snapToGrid w:val="0"/>
          <w:szCs w:val="21"/>
          <w:lang w:val="en-US" w:eastAsia="zh-CN"/>
        </w:rPr>
        <w:t>3.2.4</w:t>
      </w:r>
      <w:r>
        <w:rPr>
          <w:rFonts w:hint="eastAsia" w:ascii="宋体" w:hAnsi="宋体" w:cs="宋体"/>
          <w:snapToGrid w:val="0"/>
          <w:szCs w:val="21"/>
          <w:lang w:val="zh-CN"/>
        </w:rPr>
        <w:t>所投云计算平台，</w:t>
      </w:r>
      <w:r>
        <w:rPr>
          <w:rFonts w:hint="eastAsia" w:ascii="宋体" w:hAnsi="宋体" w:cs="宋体"/>
          <w:snapToGrid w:val="0"/>
          <w:szCs w:val="21"/>
        </w:rPr>
        <w:t>包括</w:t>
      </w:r>
      <w:r>
        <w:rPr>
          <w:rFonts w:hint="eastAsia" w:ascii="宋体" w:hAnsi="宋体" w:cs="宋体"/>
          <w:snapToGrid w:val="0"/>
          <w:szCs w:val="21"/>
          <w:lang w:val="zh-CN"/>
        </w:rPr>
        <w:t>①政务云计算平台、②信创云计算平台，</w:t>
      </w:r>
      <w:r>
        <w:rPr>
          <w:rFonts w:hint="eastAsia" w:ascii="宋体" w:hAnsi="宋体" w:cs="宋体"/>
          <w:snapToGrid w:val="0"/>
          <w:szCs w:val="21"/>
        </w:rPr>
        <w:t>上述平台</w:t>
      </w:r>
      <w:r>
        <w:rPr>
          <w:rFonts w:hint="eastAsia" w:ascii="宋体" w:hAnsi="宋体" w:cs="宋体"/>
          <w:snapToGrid w:val="0"/>
          <w:szCs w:val="21"/>
          <w:lang w:val="zh-CN"/>
        </w:rPr>
        <w:t>需</w:t>
      </w:r>
      <w:r>
        <w:rPr>
          <w:rFonts w:hint="eastAsia" w:ascii="宋体" w:hAnsi="宋体" w:cs="宋体"/>
          <w:snapToGrid w:val="0"/>
          <w:szCs w:val="21"/>
        </w:rPr>
        <w:t>分别</w:t>
      </w:r>
      <w:r>
        <w:rPr>
          <w:rFonts w:hint="eastAsia" w:ascii="宋体" w:hAnsi="宋体" w:cs="宋体"/>
          <w:snapToGrid w:val="0"/>
          <w:szCs w:val="21"/>
          <w:lang w:val="zh-CN"/>
        </w:rPr>
        <w:t>通过商用密码应用安全性评估，提供</w:t>
      </w:r>
      <w:r>
        <w:rPr>
          <w:rFonts w:hint="eastAsia" w:ascii="宋体" w:hAnsi="宋体" w:cs="宋体"/>
          <w:snapToGrid w:val="0"/>
          <w:szCs w:val="21"/>
        </w:rPr>
        <w:t>密评</w:t>
      </w:r>
      <w:r>
        <w:rPr>
          <w:rFonts w:hint="eastAsia" w:ascii="宋体" w:hAnsi="宋体" w:cs="宋体"/>
          <w:snapToGrid w:val="0"/>
          <w:szCs w:val="21"/>
          <w:lang w:val="zh-CN"/>
        </w:rPr>
        <w:t>机构的测评报告。</w:t>
      </w:r>
    </w:p>
    <w:p w14:paraId="514CB3AA">
      <w:pPr>
        <w:snapToGrid w:val="0"/>
        <w:spacing w:line="360" w:lineRule="auto"/>
        <w:ind w:firstLine="420" w:firstLineChars="200"/>
        <w:jc w:val="left"/>
        <w:rPr>
          <w:rFonts w:ascii="宋体" w:hAnsi="宋体" w:cs="宋体"/>
          <w:snapToGrid w:val="0"/>
          <w:szCs w:val="21"/>
          <w:lang w:val="zh-CN"/>
        </w:rPr>
      </w:pPr>
      <w:r>
        <w:rPr>
          <w:rFonts w:hint="eastAsia" w:ascii="宋体" w:hAnsi="宋体" w:cs="宋体"/>
          <w:snapToGrid w:val="0"/>
          <w:szCs w:val="21"/>
          <w:lang w:val="en-US" w:eastAsia="zh-CN"/>
        </w:rPr>
        <w:t>3.2.5</w:t>
      </w:r>
      <w:r>
        <w:rPr>
          <w:rFonts w:hint="eastAsia" w:ascii="宋体" w:hAnsi="宋体" w:cs="宋体"/>
          <w:snapToGrid w:val="0"/>
          <w:szCs w:val="21"/>
          <w:lang w:val="zh-CN"/>
        </w:rPr>
        <w:t>投标人通过ISO27001、ISO20000信息安全管理体系认证等；具有</w:t>
      </w:r>
      <w:r>
        <w:rPr>
          <w:rFonts w:hint="eastAsia" w:ascii="宋体" w:hAnsi="宋体" w:cs="宋体"/>
          <w:snapToGrid w:val="0"/>
          <w:szCs w:val="21"/>
        </w:rPr>
        <w:t>对象存储、云平台网络（云组网）、物理云主机、混合云安全能力</w:t>
      </w:r>
      <w:r>
        <w:rPr>
          <w:rFonts w:hint="eastAsia" w:ascii="宋体" w:hAnsi="宋体" w:cs="宋体"/>
          <w:snapToGrid w:val="0"/>
          <w:szCs w:val="21"/>
          <w:lang w:val="zh-CN"/>
        </w:rPr>
        <w:t>的可信云认证证书。</w:t>
      </w:r>
    </w:p>
    <w:p w14:paraId="2389E437">
      <w:pPr>
        <w:pStyle w:val="3"/>
        <w:rPr>
          <w:rFonts w:ascii="宋体" w:hAnsi="宋体" w:cs="宋体"/>
          <w:sz w:val="21"/>
          <w:szCs w:val="21"/>
        </w:rPr>
      </w:pPr>
      <w:bookmarkStart w:id="47" w:name="_Toc27225"/>
      <w:r>
        <w:rPr>
          <w:rFonts w:hint="eastAsia" w:ascii="宋体" w:hAnsi="宋体" w:cs="宋体"/>
          <w:sz w:val="21"/>
          <w:szCs w:val="21"/>
        </w:rPr>
        <w:t>四、项目目标</w:t>
      </w:r>
      <w:bookmarkEnd w:id="47"/>
    </w:p>
    <w:p w14:paraId="329EB049">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4.1政务云</w:t>
      </w:r>
    </w:p>
    <w:p w14:paraId="74A1F71F">
      <w:pPr>
        <w:pStyle w:val="23"/>
        <w:snapToGrid w:val="0"/>
        <w:ind w:firstLine="420" w:firstLineChars="200"/>
        <w:rPr>
          <w:rFonts w:hint="eastAsia" w:hAnsi="宋体" w:cs="宋体"/>
          <w:sz w:val="21"/>
        </w:rPr>
      </w:pPr>
      <w:r>
        <w:rPr>
          <w:rFonts w:hint="eastAsia" w:hAnsi="宋体" w:cs="宋体"/>
          <w:sz w:val="21"/>
        </w:rPr>
        <w:t>租赁服务主要包括：1）云服务器（含Windows、Linux等操作系统）；2）云数据库（含MySQL、SQL Server、PostgreSQL、Oracle、OceanBase等数据库）；3）分析型数据库 MySQL版；4）分布式关系型数据库服务；5）云数据库Redis版；6）云存储（对象存储、文件存储）；7）表格存储；8）大数据计算服务；9）负载均衡；10）专有网络；11）实时计算；12）实时数据分发平台； 13）数据传输服务；14）企业级分布式应用服务；15）大数据开发治理平台；16）GPU云主机服务；17）API网关服务；18）日志服务；19）弹性收缩服务；20）IPV6服务；21）消息队列;22）搜索服务Elasticsearch；23)容器服务；24）数据资源平台。</w:t>
      </w:r>
    </w:p>
    <w:p w14:paraId="629DC2A5">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4.2信创云</w:t>
      </w:r>
    </w:p>
    <w:p w14:paraId="73115587">
      <w:pPr>
        <w:pStyle w:val="23"/>
        <w:snapToGrid w:val="0"/>
        <w:ind w:firstLine="420" w:firstLineChars="200"/>
        <w:rPr>
          <w:rFonts w:hAnsi="宋体" w:cs="宋体"/>
          <w:sz w:val="21"/>
        </w:rPr>
      </w:pPr>
      <w:r>
        <w:rPr>
          <w:rFonts w:hint="eastAsia" w:hAnsi="宋体" w:cs="宋体"/>
          <w:sz w:val="21"/>
        </w:rPr>
        <w:t>租赁服务主要包括：1）云服务器；2）云存储（对象存储）；3）负载均衡；4）专有网络；5）数据库；6）中间件；7）操作系统；8) 其他满足信创相关要求的云上SAAS应用服务。</w:t>
      </w:r>
    </w:p>
    <w:p w14:paraId="47637598">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4.3安全及其他服务</w:t>
      </w:r>
    </w:p>
    <w:p w14:paraId="3E6A314A">
      <w:pPr>
        <w:pStyle w:val="23"/>
        <w:snapToGrid w:val="0"/>
        <w:ind w:firstLine="420" w:firstLineChars="200"/>
        <w:rPr>
          <w:rFonts w:hint="eastAsia" w:hAnsi="宋体" w:cs="宋体"/>
          <w:sz w:val="21"/>
        </w:rPr>
      </w:pPr>
      <w:r>
        <w:rPr>
          <w:rFonts w:hint="eastAsia" w:hAnsi="宋体" w:cs="宋体"/>
          <w:sz w:val="21"/>
        </w:rPr>
        <w:t>租赁服务主要包括：1）云租户安全服务(含等保安全、密评加固服务)，其中云租户包含政务云租户和信创云租户；2）堡垒机服务；3）漏洞扫描服务；4）渗透测试服务；5）互联网出口服务；6）DLP数据防泄漏服务。</w:t>
      </w:r>
    </w:p>
    <w:p w14:paraId="070E993E">
      <w:pPr>
        <w:pStyle w:val="23"/>
        <w:snapToGrid w:val="0"/>
        <w:ind w:firstLine="420" w:firstLineChars="200"/>
        <w:rPr>
          <w:rFonts w:hAnsi="宋体" w:cs="宋体"/>
          <w:sz w:val="21"/>
        </w:rPr>
      </w:pPr>
      <w:r>
        <w:rPr>
          <w:rFonts w:hint="eastAsia" w:hAnsi="宋体" w:cs="宋体"/>
          <w:sz w:val="21"/>
        </w:rPr>
        <w:t>说明：根据“项目目标”及前述相关规范/标准的要求，投标人在投标文件中对所投云计算平台的技术架构，技术难点分析情况，并提供应对措施。</w:t>
      </w:r>
    </w:p>
    <w:p w14:paraId="69EF3762">
      <w:pPr>
        <w:pStyle w:val="3"/>
        <w:rPr>
          <w:rFonts w:ascii="宋体" w:hAnsi="宋体" w:cs="宋体"/>
          <w:sz w:val="21"/>
          <w:szCs w:val="21"/>
        </w:rPr>
      </w:pPr>
      <w:bookmarkStart w:id="48" w:name="_Toc26383"/>
      <w:r>
        <w:rPr>
          <w:rFonts w:hint="eastAsia" w:ascii="宋体" w:hAnsi="宋体" w:cs="宋体"/>
          <w:sz w:val="21"/>
          <w:szCs w:val="21"/>
        </w:rPr>
        <w:t>五、实施原则</w:t>
      </w:r>
      <w:bookmarkEnd w:id="48"/>
    </w:p>
    <w:p w14:paraId="6897D0BF">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5.1完整性</w:t>
      </w:r>
    </w:p>
    <w:p w14:paraId="08315B10">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云基础设施的建设应从全局出发、从长远的角度考虑，统筹规划和统一设计系统结构，提供体系完备、功能完整、企业级信息架构全覆盖的服务能力。云计算平台不仅要满足单节点云服务的互联互通，还要满足多节点之间的数据同步、任务调度和统一运维管理。</w:t>
      </w:r>
    </w:p>
    <w:p w14:paraId="73EC5FCE">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5.2成熟性</w:t>
      </w:r>
    </w:p>
    <w:p w14:paraId="2E460F76">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云基础设施的建设应采用成熟的架构和体系。云计算平台应采用先进的设计思想和方法，符合技术发展趋势。云计算平台既可以适应地理环境、应用场景、运维能力以及投资规模等客观因素，又可以灵活地配置云服务种类和硬件、网络等设备型号，具有较高的性价比，满足业务管理的需求。同时，云计算平台应该经受过高并发、高可靠的实践验证，确保采用的技术体系是在更大适用范围验证过的。</w:t>
      </w:r>
    </w:p>
    <w:p w14:paraId="1D36CE8E">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5.3扩展性</w:t>
      </w:r>
    </w:p>
    <w:p w14:paraId="520F9FC1">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云基础设施的建设应具备一定的扩展性。云计算平台的资源能够快速、弹性和自动化地供应，从而提供持续的云服务能力。云计算平台应提供大规模、分布式集群的管控能力，通过增加物理设备，实现总体网络资源、计算/存储资源、内存资源和数据库资源的自动扩展。</w:t>
      </w:r>
    </w:p>
    <w:p w14:paraId="0F4DA045">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5.4可维护性</w:t>
      </w:r>
    </w:p>
    <w:p w14:paraId="32F9D6AA">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可维护性是今后项目能否长期稳定运行的基础，是项目成功与否的重要保障。任何软、硬件系统都有可能出现故障，不存在绝对不会出现故障的系统。很容易或很方便地排除故障是在信息规划时首要考虑的重要因素。</w:t>
      </w:r>
    </w:p>
    <w:p w14:paraId="5D7D02B9">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说明：根据“实施原则”，投标人在投标文件中提供整体架构方案，</w:t>
      </w:r>
      <w:r>
        <w:rPr>
          <w:rFonts w:hint="eastAsia" w:ascii="宋体" w:hAnsi="宋体" w:cs="宋体"/>
          <w:snapToGrid w:val="0"/>
          <w:kern w:val="0"/>
          <w:szCs w:val="21"/>
          <w:lang w:val="zh-CN"/>
        </w:rPr>
        <w:t>对云产品技术参数</w:t>
      </w:r>
      <w:r>
        <w:rPr>
          <w:rFonts w:hint="eastAsia" w:ascii="宋体" w:hAnsi="宋体" w:cs="宋体"/>
          <w:snapToGrid w:val="0"/>
          <w:kern w:val="0"/>
          <w:szCs w:val="21"/>
        </w:rPr>
        <w:t>进行</w:t>
      </w:r>
      <w:r>
        <w:rPr>
          <w:rFonts w:hint="eastAsia" w:ascii="宋体" w:hAnsi="宋体" w:cs="宋体"/>
          <w:snapToGrid w:val="0"/>
          <w:kern w:val="0"/>
          <w:szCs w:val="21"/>
          <w:lang w:val="zh-CN"/>
        </w:rPr>
        <w:t>阐述，要求能体现云服务的先进、可靠、稳定和</w:t>
      </w:r>
      <w:r>
        <w:rPr>
          <w:rFonts w:hint="eastAsia" w:ascii="宋体" w:hAnsi="宋体" w:cs="宋体"/>
          <w:snapToGrid w:val="0"/>
          <w:kern w:val="0"/>
          <w:szCs w:val="21"/>
        </w:rPr>
        <w:t>可扩</w:t>
      </w:r>
      <w:r>
        <w:rPr>
          <w:rFonts w:hint="eastAsia" w:ascii="宋体" w:hAnsi="宋体" w:cs="宋体"/>
          <w:snapToGrid w:val="0"/>
          <w:kern w:val="0"/>
          <w:szCs w:val="21"/>
          <w:lang w:val="zh-CN"/>
        </w:rPr>
        <w:t>展情况，满足本项目对当前和未来发展的要求</w:t>
      </w:r>
      <w:r>
        <w:rPr>
          <w:rFonts w:hint="eastAsia" w:ascii="宋体" w:hAnsi="宋体" w:cs="宋体"/>
          <w:snapToGrid w:val="0"/>
          <w:kern w:val="0"/>
          <w:szCs w:val="21"/>
        </w:rPr>
        <w:t>。</w:t>
      </w:r>
    </w:p>
    <w:p w14:paraId="60F1EC72">
      <w:pPr>
        <w:pStyle w:val="3"/>
        <w:rPr>
          <w:rFonts w:ascii="宋体" w:hAnsi="宋体" w:cs="宋体"/>
          <w:sz w:val="21"/>
          <w:szCs w:val="21"/>
          <w:highlight w:val="none"/>
        </w:rPr>
      </w:pPr>
      <w:bookmarkStart w:id="49" w:name="_Toc13015"/>
      <w:r>
        <w:rPr>
          <w:rFonts w:hint="eastAsia" w:ascii="宋体" w:hAnsi="宋体" w:cs="宋体"/>
          <w:sz w:val="21"/>
          <w:szCs w:val="21"/>
          <w:highlight w:val="none"/>
        </w:rPr>
        <w:t>六、项目服务清单</w:t>
      </w:r>
      <w:bookmarkEnd w:id="49"/>
    </w:p>
    <w:p w14:paraId="51904DB4">
      <w:pPr>
        <w:snapToGrid w:val="0"/>
        <w:spacing w:line="360" w:lineRule="auto"/>
        <w:ind w:firstLine="422" w:firstLineChars="200"/>
        <w:jc w:val="left"/>
        <w:outlineLvl w:val="2"/>
        <w:rPr>
          <w:rFonts w:ascii="宋体" w:hAnsi="宋体" w:cs="宋体"/>
          <w:b/>
          <w:bCs/>
          <w:snapToGrid w:val="0"/>
          <w:kern w:val="0"/>
          <w:szCs w:val="21"/>
          <w:highlight w:val="none"/>
        </w:rPr>
      </w:pPr>
      <w:r>
        <w:rPr>
          <w:rFonts w:hint="eastAsia" w:ascii="宋体" w:hAnsi="宋体" w:cs="宋体"/>
          <w:b/>
          <w:bCs/>
          <w:snapToGrid w:val="0"/>
          <w:kern w:val="0"/>
          <w:szCs w:val="21"/>
          <w:highlight w:val="none"/>
        </w:rPr>
        <w:t>6.1政务云服务</w:t>
      </w:r>
    </w:p>
    <w:tbl>
      <w:tblPr>
        <w:tblStyle w:val="62"/>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11"/>
        <w:gridCol w:w="2316"/>
        <w:gridCol w:w="3604"/>
        <w:gridCol w:w="1303"/>
      </w:tblGrid>
      <w:tr w14:paraId="3A7D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912" w:type="pct"/>
            <w:shd w:val="clear" w:color="auto" w:fill="FFFFFF"/>
            <w:vAlign w:val="center"/>
          </w:tcPr>
          <w:p w14:paraId="2AB0DAC8">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lang w:bidi="ar"/>
              </w:rPr>
              <w:t>产品名称</w:t>
            </w:r>
          </w:p>
        </w:tc>
        <w:tc>
          <w:tcPr>
            <w:tcW w:w="1310" w:type="pct"/>
            <w:shd w:val="clear" w:color="auto" w:fill="FFFFFF"/>
            <w:vAlign w:val="center"/>
          </w:tcPr>
          <w:p w14:paraId="1D1774C7">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lang w:bidi="ar"/>
              </w:rPr>
              <w:t>计费规则</w:t>
            </w:r>
          </w:p>
        </w:tc>
        <w:tc>
          <w:tcPr>
            <w:tcW w:w="2039" w:type="pct"/>
            <w:shd w:val="clear" w:color="auto" w:fill="FFFFFF"/>
            <w:vAlign w:val="center"/>
          </w:tcPr>
          <w:p w14:paraId="003A7E96">
            <w:pPr>
              <w:widowControl/>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lang w:bidi="ar"/>
              </w:rPr>
              <w:t>规格（单位）</w:t>
            </w:r>
          </w:p>
        </w:tc>
        <w:tc>
          <w:tcPr>
            <w:tcW w:w="737" w:type="pct"/>
            <w:shd w:val="clear" w:color="auto" w:fill="FFFFFF"/>
            <w:vAlign w:val="center"/>
          </w:tcPr>
          <w:p w14:paraId="34332101">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▲最高限价（元/月）</w:t>
            </w:r>
          </w:p>
        </w:tc>
      </w:tr>
      <w:tr w14:paraId="3510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4618E50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云服务器</w:t>
            </w:r>
          </w:p>
        </w:tc>
        <w:tc>
          <w:tcPr>
            <w:tcW w:w="1310" w:type="pct"/>
            <w:vMerge w:val="restart"/>
            <w:shd w:val="clear" w:color="auto" w:fill="FFFFFF"/>
            <w:vAlign w:val="center"/>
          </w:tcPr>
          <w:p w14:paraId="65AC522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根据规格及数量按月计费，由弹性伸缩增加的实例按天计费</w:t>
            </w:r>
          </w:p>
        </w:tc>
        <w:tc>
          <w:tcPr>
            <w:tcW w:w="2039" w:type="pct"/>
            <w:shd w:val="clear" w:color="auto" w:fill="FFFFFF"/>
            <w:vAlign w:val="center"/>
          </w:tcPr>
          <w:p w14:paraId="2C8D3AE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1核1G</w:t>
            </w:r>
          </w:p>
        </w:tc>
        <w:tc>
          <w:tcPr>
            <w:tcW w:w="737" w:type="pct"/>
            <w:shd w:val="clear" w:color="auto" w:fill="FFFFFF"/>
            <w:vAlign w:val="center"/>
          </w:tcPr>
          <w:p w14:paraId="44D2B51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17.367</w:t>
            </w:r>
          </w:p>
        </w:tc>
      </w:tr>
      <w:tr w14:paraId="3405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CEFB544">
            <w:pPr>
              <w:jc w:val="center"/>
              <w:rPr>
                <w:rFonts w:hint="eastAsia" w:ascii="宋体" w:hAnsi="宋体" w:eastAsia="宋体" w:cs="宋体"/>
                <w:sz w:val="21"/>
                <w:szCs w:val="21"/>
              </w:rPr>
            </w:pPr>
          </w:p>
        </w:tc>
        <w:tc>
          <w:tcPr>
            <w:tcW w:w="1310" w:type="pct"/>
            <w:vMerge w:val="continue"/>
            <w:shd w:val="clear" w:color="auto" w:fill="FFFFFF"/>
            <w:vAlign w:val="center"/>
          </w:tcPr>
          <w:p w14:paraId="04D7F60F">
            <w:pPr>
              <w:jc w:val="center"/>
              <w:rPr>
                <w:rFonts w:hint="eastAsia" w:ascii="宋体" w:hAnsi="宋体" w:eastAsia="宋体" w:cs="宋体"/>
                <w:sz w:val="21"/>
                <w:szCs w:val="21"/>
              </w:rPr>
            </w:pPr>
          </w:p>
        </w:tc>
        <w:tc>
          <w:tcPr>
            <w:tcW w:w="2039" w:type="pct"/>
            <w:shd w:val="clear" w:color="auto" w:fill="FFFFFF"/>
            <w:vAlign w:val="center"/>
          </w:tcPr>
          <w:p w14:paraId="2C504D8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1核2G</w:t>
            </w:r>
          </w:p>
        </w:tc>
        <w:tc>
          <w:tcPr>
            <w:tcW w:w="737" w:type="pct"/>
            <w:shd w:val="clear" w:color="auto" w:fill="FFFFFF"/>
            <w:vAlign w:val="center"/>
          </w:tcPr>
          <w:p w14:paraId="6475064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31.326</w:t>
            </w:r>
          </w:p>
        </w:tc>
      </w:tr>
      <w:tr w14:paraId="35E6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243F714">
            <w:pPr>
              <w:jc w:val="center"/>
              <w:rPr>
                <w:rFonts w:hint="eastAsia" w:ascii="宋体" w:hAnsi="宋体" w:eastAsia="宋体" w:cs="宋体"/>
                <w:sz w:val="21"/>
                <w:szCs w:val="21"/>
              </w:rPr>
            </w:pPr>
          </w:p>
        </w:tc>
        <w:tc>
          <w:tcPr>
            <w:tcW w:w="1310" w:type="pct"/>
            <w:vMerge w:val="continue"/>
            <w:shd w:val="clear" w:color="auto" w:fill="FFFFFF"/>
            <w:vAlign w:val="center"/>
          </w:tcPr>
          <w:p w14:paraId="4E4C162F">
            <w:pPr>
              <w:jc w:val="center"/>
              <w:rPr>
                <w:rFonts w:hint="eastAsia" w:ascii="宋体" w:hAnsi="宋体" w:eastAsia="宋体" w:cs="宋体"/>
                <w:sz w:val="21"/>
                <w:szCs w:val="21"/>
              </w:rPr>
            </w:pPr>
          </w:p>
        </w:tc>
        <w:tc>
          <w:tcPr>
            <w:tcW w:w="2039" w:type="pct"/>
            <w:shd w:val="clear" w:color="auto" w:fill="FFFFFF"/>
            <w:vAlign w:val="center"/>
          </w:tcPr>
          <w:p w14:paraId="1704EC1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1核4G</w:t>
            </w:r>
          </w:p>
        </w:tc>
        <w:tc>
          <w:tcPr>
            <w:tcW w:w="737" w:type="pct"/>
            <w:shd w:val="clear" w:color="auto" w:fill="FFFFFF"/>
            <w:vAlign w:val="center"/>
          </w:tcPr>
          <w:p w14:paraId="52ABF6A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61.4</w:t>
            </w:r>
          </w:p>
        </w:tc>
      </w:tr>
      <w:tr w14:paraId="379A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6FC4F82">
            <w:pPr>
              <w:jc w:val="center"/>
              <w:rPr>
                <w:rFonts w:hint="eastAsia" w:ascii="宋体" w:hAnsi="宋体" w:eastAsia="宋体" w:cs="宋体"/>
                <w:sz w:val="21"/>
                <w:szCs w:val="21"/>
              </w:rPr>
            </w:pPr>
          </w:p>
        </w:tc>
        <w:tc>
          <w:tcPr>
            <w:tcW w:w="1310" w:type="pct"/>
            <w:vMerge w:val="continue"/>
            <w:shd w:val="clear" w:color="auto" w:fill="FFFFFF"/>
            <w:vAlign w:val="center"/>
          </w:tcPr>
          <w:p w14:paraId="4592512E">
            <w:pPr>
              <w:jc w:val="center"/>
              <w:rPr>
                <w:rFonts w:hint="eastAsia" w:ascii="宋体" w:hAnsi="宋体" w:eastAsia="宋体" w:cs="宋体"/>
                <w:sz w:val="21"/>
                <w:szCs w:val="21"/>
              </w:rPr>
            </w:pPr>
          </w:p>
        </w:tc>
        <w:tc>
          <w:tcPr>
            <w:tcW w:w="2039" w:type="pct"/>
            <w:shd w:val="clear" w:color="auto" w:fill="FFFFFF"/>
            <w:vAlign w:val="center"/>
          </w:tcPr>
          <w:p w14:paraId="3AED98E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1核8G</w:t>
            </w:r>
          </w:p>
        </w:tc>
        <w:tc>
          <w:tcPr>
            <w:tcW w:w="737" w:type="pct"/>
            <w:shd w:val="clear" w:color="auto" w:fill="FFFFFF"/>
            <w:vAlign w:val="center"/>
          </w:tcPr>
          <w:p w14:paraId="6EA5AB6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137.227</w:t>
            </w:r>
          </w:p>
        </w:tc>
      </w:tr>
      <w:tr w14:paraId="1451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38E2CBF">
            <w:pPr>
              <w:jc w:val="center"/>
              <w:rPr>
                <w:rFonts w:hint="eastAsia" w:ascii="宋体" w:hAnsi="宋体" w:eastAsia="宋体" w:cs="宋体"/>
                <w:sz w:val="21"/>
                <w:szCs w:val="21"/>
              </w:rPr>
            </w:pPr>
          </w:p>
        </w:tc>
        <w:tc>
          <w:tcPr>
            <w:tcW w:w="1310" w:type="pct"/>
            <w:vMerge w:val="continue"/>
            <w:shd w:val="clear" w:color="auto" w:fill="FFFFFF"/>
            <w:vAlign w:val="center"/>
          </w:tcPr>
          <w:p w14:paraId="28B0D955">
            <w:pPr>
              <w:jc w:val="center"/>
              <w:rPr>
                <w:rFonts w:hint="eastAsia" w:ascii="宋体" w:hAnsi="宋体" w:eastAsia="宋体" w:cs="宋体"/>
                <w:sz w:val="21"/>
                <w:szCs w:val="21"/>
              </w:rPr>
            </w:pPr>
          </w:p>
        </w:tc>
        <w:tc>
          <w:tcPr>
            <w:tcW w:w="2039" w:type="pct"/>
            <w:shd w:val="clear" w:color="auto" w:fill="FFFFFF"/>
            <w:vAlign w:val="center"/>
          </w:tcPr>
          <w:p w14:paraId="0C8D047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2核2G</w:t>
            </w:r>
          </w:p>
        </w:tc>
        <w:tc>
          <w:tcPr>
            <w:tcW w:w="737" w:type="pct"/>
            <w:shd w:val="clear" w:color="auto" w:fill="FFFFFF"/>
            <w:vAlign w:val="center"/>
          </w:tcPr>
          <w:p w14:paraId="7515A73D">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40.412</w:t>
            </w:r>
          </w:p>
        </w:tc>
      </w:tr>
      <w:tr w14:paraId="60A0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12" w:type="pct"/>
            <w:vMerge w:val="continue"/>
            <w:shd w:val="clear" w:color="auto" w:fill="FFFFFF"/>
            <w:vAlign w:val="center"/>
          </w:tcPr>
          <w:p w14:paraId="2CBCC3F5">
            <w:pPr>
              <w:jc w:val="center"/>
              <w:rPr>
                <w:rFonts w:hint="eastAsia" w:ascii="宋体" w:hAnsi="宋体" w:eastAsia="宋体" w:cs="宋体"/>
                <w:sz w:val="21"/>
                <w:szCs w:val="21"/>
              </w:rPr>
            </w:pPr>
          </w:p>
        </w:tc>
        <w:tc>
          <w:tcPr>
            <w:tcW w:w="1310" w:type="pct"/>
            <w:vMerge w:val="continue"/>
            <w:shd w:val="clear" w:color="auto" w:fill="FFFFFF"/>
            <w:vAlign w:val="center"/>
          </w:tcPr>
          <w:p w14:paraId="6C1A9DBA">
            <w:pPr>
              <w:jc w:val="center"/>
              <w:rPr>
                <w:rFonts w:hint="eastAsia" w:ascii="宋体" w:hAnsi="宋体" w:eastAsia="宋体" w:cs="宋体"/>
                <w:sz w:val="21"/>
                <w:szCs w:val="21"/>
              </w:rPr>
            </w:pPr>
          </w:p>
        </w:tc>
        <w:tc>
          <w:tcPr>
            <w:tcW w:w="2039" w:type="pct"/>
            <w:shd w:val="clear" w:color="auto" w:fill="FFFFFF"/>
            <w:vAlign w:val="center"/>
          </w:tcPr>
          <w:p w14:paraId="3738C02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2核4G</w:t>
            </w:r>
          </w:p>
        </w:tc>
        <w:tc>
          <w:tcPr>
            <w:tcW w:w="737" w:type="pct"/>
            <w:shd w:val="clear" w:color="auto" w:fill="FFFFFF"/>
            <w:vAlign w:val="center"/>
          </w:tcPr>
          <w:p w14:paraId="713C8B4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62.601</w:t>
            </w:r>
          </w:p>
        </w:tc>
      </w:tr>
      <w:tr w14:paraId="1C93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21E5507">
            <w:pPr>
              <w:jc w:val="center"/>
              <w:rPr>
                <w:rFonts w:hint="eastAsia" w:ascii="宋体" w:hAnsi="宋体" w:eastAsia="宋体" w:cs="宋体"/>
                <w:sz w:val="21"/>
                <w:szCs w:val="21"/>
              </w:rPr>
            </w:pPr>
          </w:p>
        </w:tc>
        <w:tc>
          <w:tcPr>
            <w:tcW w:w="1310" w:type="pct"/>
            <w:vMerge w:val="continue"/>
            <w:shd w:val="clear" w:color="auto" w:fill="FFFFFF"/>
            <w:vAlign w:val="center"/>
          </w:tcPr>
          <w:p w14:paraId="464AE6A2">
            <w:pPr>
              <w:jc w:val="center"/>
              <w:rPr>
                <w:rFonts w:hint="eastAsia" w:ascii="宋体" w:hAnsi="宋体" w:eastAsia="宋体" w:cs="宋体"/>
                <w:sz w:val="21"/>
                <w:szCs w:val="21"/>
              </w:rPr>
            </w:pPr>
          </w:p>
        </w:tc>
        <w:tc>
          <w:tcPr>
            <w:tcW w:w="2039" w:type="pct"/>
            <w:shd w:val="clear" w:color="auto" w:fill="FFFFFF"/>
            <w:vAlign w:val="center"/>
          </w:tcPr>
          <w:p w14:paraId="235FCD7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2核8G</w:t>
            </w:r>
          </w:p>
        </w:tc>
        <w:tc>
          <w:tcPr>
            <w:tcW w:w="737" w:type="pct"/>
            <w:shd w:val="clear" w:color="auto" w:fill="FFFFFF"/>
            <w:vAlign w:val="center"/>
          </w:tcPr>
          <w:p w14:paraId="172AE564">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149.025</w:t>
            </w:r>
          </w:p>
        </w:tc>
      </w:tr>
      <w:tr w14:paraId="0581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0C34A25">
            <w:pPr>
              <w:jc w:val="center"/>
              <w:rPr>
                <w:rFonts w:hint="eastAsia" w:ascii="宋体" w:hAnsi="宋体" w:eastAsia="宋体" w:cs="宋体"/>
                <w:sz w:val="21"/>
                <w:szCs w:val="21"/>
              </w:rPr>
            </w:pPr>
          </w:p>
        </w:tc>
        <w:tc>
          <w:tcPr>
            <w:tcW w:w="1310" w:type="pct"/>
            <w:vMerge w:val="continue"/>
            <w:shd w:val="clear" w:color="auto" w:fill="FFFFFF"/>
            <w:vAlign w:val="center"/>
          </w:tcPr>
          <w:p w14:paraId="5597EF5B">
            <w:pPr>
              <w:jc w:val="center"/>
              <w:rPr>
                <w:rFonts w:hint="eastAsia" w:ascii="宋体" w:hAnsi="宋体" w:eastAsia="宋体" w:cs="宋体"/>
                <w:sz w:val="21"/>
                <w:szCs w:val="21"/>
              </w:rPr>
            </w:pPr>
          </w:p>
        </w:tc>
        <w:tc>
          <w:tcPr>
            <w:tcW w:w="2039" w:type="pct"/>
            <w:shd w:val="clear" w:color="auto" w:fill="FFFFFF"/>
            <w:vAlign w:val="center"/>
          </w:tcPr>
          <w:p w14:paraId="3DD8684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2核16G</w:t>
            </w:r>
          </w:p>
        </w:tc>
        <w:tc>
          <w:tcPr>
            <w:tcW w:w="737" w:type="pct"/>
            <w:shd w:val="clear" w:color="auto" w:fill="FFFFFF"/>
            <w:vAlign w:val="center"/>
          </w:tcPr>
          <w:p w14:paraId="797B852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191.87</w:t>
            </w:r>
          </w:p>
        </w:tc>
      </w:tr>
      <w:tr w14:paraId="7417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912" w:type="pct"/>
            <w:vMerge w:val="continue"/>
            <w:shd w:val="clear" w:color="auto" w:fill="FFFFFF"/>
            <w:vAlign w:val="center"/>
          </w:tcPr>
          <w:p w14:paraId="6DD0EEC9">
            <w:pPr>
              <w:jc w:val="center"/>
              <w:rPr>
                <w:rFonts w:hint="eastAsia" w:ascii="宋体" w:hAnsi="宋体" w:eastAsia="宋体" w:cs="宋体"/>
                <w:sz w:val="21"/>
                <w:szCs w:val="21"/>
              </w:rPr>
            </w:pPr>
          </w:p>
        </w:tc>
        <w:tc>
          <w:tcPr>
            <w:tcW w:w="1310" w:type="pct"/>
            <w:vMerge w:val="continue"/>
            <w:shd w:val="clear" w:color="auto" w:fill="FFFFFF"/>
            <w:vAlign w:val="center"/>
          </w:tcPr>
          <w:p w14:paraId="0C6B85B9">
            <w:pPr>
              <w:jc w:val="center"/>
              <w:rPr>
                <w:rFonts w:hint="eastAsia" w:ascii="宋体" w:hAnsi="宋体" w:eastAsia="宋体" w:cs="宋体"/>
                <w:sz w:val="21"/>
                <w:szCs w:val="21"/>
              </w:rPr>
            </w:pPr>
          </w:p>
        </w:tc>
        <w:tc>
          <w:tcPr>
            <w:tcW w:w="2039" w:type="pct"/>
            <w:shd w:val="clear" w:color="auto" w:fill="FFFFFF"/>
            <w:vAlign w:val="center"/>
          </w:tcPr>
          <w:p w14:paraId="214EA56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4核4G</w:t>
            </w:r>
          </w:p>
        </w:tc>
        <w:tc>
          <w:tcPr>
            <w:tcW w:w="737" w:type="pct"/>
            <w:shd w:val="clear" w:color="auto" w:fill="FFFFFF"/>
            <w:vAlign w:val="center"/>
          </w:tcPr>
          <w:p w14:paraId="57CAECF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109.221</w:t>
            </w:r>
          </w:p>
        </w:tc>
      </w:tr>
      <w:tr w14:paraId="5941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1B9A7C1">
            <w:pPr>
              <w:jc w:val="center"/>
              <w:rPr>
                <w:rFonts w:hint="eastAsia" w:ascii="宋体" w:hAnsi="宋体" w:eastAsia="宋体" w:cs="宋体"/>
                <w:sz w:val="21"/>
                <w:szCs w:val="21"/>
              </w:rPr>
            </w:pPr>
          </w:p>
        </w:tc>
        <w:tc>
          <w:tcPr>
            <w:tcW w:w="1310" w:type="pct"/>
            <w:vMerge w:val="continue"/>
            <w:shd w:val="clear" w:color="auto" w:fill="FFFFFF"/>
            <w:vAlign w:val="center"/>
          </w:tcPr>
          <w:p w14:paraId="299D581E">
            <w:pPr>
              <w:jc w:val="center"/>
              <w:rPr>
                <w:rFonts w:hint="eastAsia" w:ascii="宋体" w:hAnsi="宋体" w:eastAsia="宋体" w:cs="宋体"/>
                <w:sz w:val="21"/>
                <w:szCs w:val="21"/>
              </w:rPr>
            </w:pPr>
          </w:p>
        </w:tc>
        <w:tc>
          <w:tcPr>
            <w:tcW w:w="2039" w:type="pct"/>
            <w:shd w:val="clear" w:color="auto" w:fill="FFFFFF"/>
            <w:vAlign w:val="center"/>
          </w:tcPr>
          <w:p w14:paraId="682BF0E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4核8G</w:t>
            </w:r>
          </w:p>
        </w:tc>
        <w:tc>
          <w:tcPr>
            <w:tcW w:w="737" w:type="pct"/>
            <w:shd w:val="clear" w:color="auto" w:fill="FFFFFF"/>
            <w:vAlign w:val="center"/>
          </w:tcPr>
          <w:p w14:paraId="0E2ED3D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152.215</w:t>
            </w:r>
          </w:p>
        </w:tc>
      </w:tr>
      <w:tr w14:paraId="367F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352CE8A">
            <w:pPr>
              <w:jc w:val="center"/>
              <w:rPr>
                <w:rFonts w:hint="eastAsia" w:ascii="宋体" w:hAnsi="宋体" w:eastAsia="宋体" w:cs="宋体"/>
                <w:sz w:val="21"/>
                <w:szCs w:val="21"/>
              </w:rPr>
            </w:pPr>
          </w:p>
        </w:tc>
        <w:tc>
          <w:tcPr>
            <w:tcW w:w="1310" w:type="pct"/>
            <w:vMerge w:val="continue"/>
            <w:shd w:val="clear" w:color="auto" w:fill="FFFFFF"/>
            <w:vAlign w:val="center"/>
          </w:tcPr>
          <w:p w14:paraId="42A7E968">
            <w:pPr>
              <w:jc w:val="center"/>
              <w:rPr>
                <w:rFonts w:hint="eastAsia" w:ascii="宋体" w:hAnsi="宋体" w:eastAsia="宋体" w:cs="宋体"/>
                <w:sz w:val="21"/>
                <w:szCs w:val="21"/>
              </w:rPr>
            </w:pPr>
          </w:p>
        </w:tc>
        <w:tc>
          <w:tcPr>
            <w:tcW w:w="2039" w:type="pct"/>
            <w:shd w:val="clear" w:color="auto" w:fill="FFFFFF"/>
            <w:vAlign w:val="center"/>
          </w:tcPr>
          <w:p w14:paraId="54820A1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4核16G</w:t>
            </w:r>
          </w:p>
        </w:tc>
        <w:tc>
          <w:tcPr>
            <w:tcW w:w="737" w:type="pct"/>
            <w:shd w:val="clear" w:color="auto" w:fill="FFFFFF"/>
            <w:vAlign w:val="center"/>
          </w:tcPr>
          <w:p w14:paraId="6BDE0ED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234.869</w:t>
            </w:r>
          </w:p>
        </w:tc>
      </w:tr>
      <w:tr w14:paraId="24BA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2D0D6632">
            <w:pPr>
              <w:jc w:val="center"/>
              <w:rPr>
                <w:rFonts w:hint="eastAsia" w:ascii="宋体" w:hAnsi="宋体" w:eastAsia="宋体" w:cs="宋体"/>
                <w:sz w:val="21"/>
                <w:szCs w:val="21"/>
              </w:rPr>
            </w:pPr>
          </w:p>
        </w:tc>
        <w:tc>
          <w:tcPr>
            <w:tcW w:w="1310" w:type="pct"/>
            <w:vMerge w:val="continue"/>
            <w:shd w:val="clear" w:color="auto" w:fill="FFFFFF"/>
            <w:vAlign w:val="center"/>
          </w:tcPr>
          <w:p w14:paraId="706515CA">
            <w:pPr>
              <w:jc w:val="center"/>
              <w:rPr>
                <w:rFonts w:hint="eastAsia" w:ascii="宋体" w:hAnsi="宋体" w:eastAsia="宋体" w:cs="宋体"/>
                <w:sz w:val="21"/>
                <w:szCs w:val="21"/>
              </w:rPr>
            </w:pPr>
          </w:p>
        </w:tc>
        <w:tc>
          <w:tcPr>
            <w:tcW w:w="2039" w:type="pct"/>
            <w:shd w:val="clear" w:color="auto" w:fill="FFFFFF"/>
            <w:vAlign w:val="center"/>
          </w:tcPr>
          <w:p w14:paraId="4F60BD3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4核32G</w:t>
            </w:r>
          </w:p>
        </w:tc>
        <w:tc>
          <w:tcPr>
            <w:tcW w:w="737" w:type="pct"/>
            <w:shd w:val="clear" w:color="auto" w:fill="FFFFFF"/>
            <w:vAlign w:val="center"/>
          </w:tcPr>
          <w:p w14:paraId="21DD236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434.654</w:t>
            </w:r>
          </w:p>
        </w:tc>
      </w:tr>
      <w:tr w14:paraId="760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2F2FB58">
            <w:pPr>
              <w:jc w:val="center"/>
              <w:rPr>
                <w:rFonts w:hint="eastAsia" w:ascii="宋体" w:hAnsi="宋体" w:eastAsia="宋体" w:cs="宋体"/>
                <w:sz w:val="21"/>
                <w:szCs w:val="21"/>
              </w:rPr>
            </w:pPr>
          </w:p>
        </w:tc>
        <w:tc>
          <w:tcPr>
            <w:tcW w:w="1310" w:type="pct"/>
            <w:vMerge w:val="continue"/>
            <w:shd w:val="clear" w:color="auto" w:fill="FFFFFF"/>
            <w:vAlign w:val="center"/>
          </w:tcPr>
          <w:p w14:paraId="25C7D3D1">
            <w:pPr>
              <w:jc w:val="center"/>
              <w:rPr>
                <w:rFonts w:hint="eastAsia" w:ascii="宋体" w:hAnsi="宋体" w:eastAsia="宋体" w:cs="宋体"/>
                <w:sz w:val="21"/>
                <w:szCs w:val="21"/>
              </w:rPr>
            </w:pPr>
          </w:p>
        </w:tc>
        <w:tc>
          <w:tcPr>
            <w:tcW w:w="2039" w:type="pct"/>
            <w:shd w:val="clear" w:color="auto" w:fill="FFFFFF"/>
            <w:vAlign w:val="center"/>
          </w:tcPr>
          <w:p w14:paraId="0EE51B3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8核8G</w:t>
            </w:r>
          </w:p>
        </w:tc>
        <w:tc>
          <w:tcPr>
            <w:tcW w:w="737" w:type="pct"/>
            <w:shd w:val="clear" w:color="auto" w:fill="FFFFFF"/>
            <w:vAlign w:val="center"/>
          </w:tcPr>
          <w:p w14:paraId="25A66D7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233.004</w:t>
            </w:r>
          </w:p>
        </w:tc>
      </w:tr>
      <w:tr w14:paraId="3775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DB5ACC3">
            <w:pPr>
              <w:jc w:val="center"/>
              <w:rPr>
                <w:rFonts w:hint="eastAsia" w:ascii="宋体" w:hAnsi="宋体" w:eastAsia="宋体" w:cs="宋体"/>
                <w:sz w:val="21"/>
                <w:szCs w:val="21"/>
              </w:rPr>
            </w:pPr>
          </w:p>
        </w:tc>
        <w:tc>
          <w:tcPr>
            <w:tcW w:w="1310" w:type="pct"/>
            <w:vMerge w:val="continue"/>
            <w:shd w:val="clear" w:color="auto" w:fill="FFFFFF"/>
            <w:vAlign w:val="center"/>
          </w:tcPr>
          <w:p w14:paraId="08640331">
            <w:pPr>
              <w:jc w:val="center"/>
              <w:rPr>
                <w:rFonts w:hint="eastAsia" w:ascii="宋体" w:hAnsi="宋体" w:eastAsia="宋体" w:cs="宋体"/>
                <w:sz w:val="21"/>
                <w:szCs w:val="21"/>
              </w:rPr>
            </w:pPr>
          </w:p>
        </w:tc>
        <w:tc>
          <w:tcPr>
            <w:tcW w:w="2039" w:type="pct"/>
            <w:shd w:val="clear" w:color="auto" w:fill="FFFFFF"/>
            <w:vAlign w:val="center"/>
          </w:tcPr>
          <w:p w14:paraId="7732A77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8核16G</w:t>
            </w:r>
          </w:p>
        </w:tc>
        <w:tc>
          <w:tcPr>
            <w:tcW w:w="737" w:type="pct"/>
            <w:shd w:val="clear" w:color="auto" w:fill="FFFFFF"/>
            <w:vAlign w:val="center"/>
          </w:tcPr>
          <w:p w14:paraId="261CFC5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304.482</w:t>
            </w:r>
          </w:p>
        </w:tc>
      </w:tr>
      <w:tr w14:paraId="71CC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86B4C90">
            <w:pPr>
              <w:jc w:val="center"/>
              <w:rPr>
                <w:rFonts w:hint="eastAsia" w:ascii="宋体" w:hAnsi="宋体" w:eastAsia="宋体" w:cs="宋体"/>
                <w:sz w:val="21"/>
                <w:szCs w:val="21"/>
              </w:rPr>
            </w:pPr>
          </w:p>
        </w:tc>
        <w:tc>
          <w:tcPr>
            <w:tcW w:w="1310" w:type="pct"/>
            <w:vMerge w:val="continue"/>
            <w:shd w:val="clear" w:color="auto" w:fill="FFFFFF"/>
            <w:vAlign w:val="center"/>
          </w:tcPr>
          <w:p w14:paraId="7E692DCD">
            <w:pPr>
              <w:jc w:val="center"/>
              <w:rPr>
                <w:rFonts w:hint="eastAsia" w:ascii="宋体" w:hAnsi="宋体" w:eastAsia="宋体" w:cs="宋体"/>
                <w:sz w:val="21"/>
                <w:szCs w:val="21"/>
              </w:rPr>
            </w:pPr>
          </w:p>
        </w:tc>
        <w:tc>
          <w:tcPr>
            <w:tcW w:w="2039" w:type="pct"/>
            <w:shd w:val="clear" w:color="auto" w:fill="FFFFFF"/>
            <w:vAlign w:val="center"/>
          </w:tcPr>
          <w:p w14:paraId="4BF62AD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8核32G</w:t>
            </w:r>
          </w:p>
        </w:tc>
        <w:tc>
          <w:tcPr>
            <w:tcW w:w="737" w:type="pct"/>
            <w:shd w:val="clear" w:color="auto" w:fill="FFFFFF"/>
            <w:vAlign w:val="center"/>
          </w:tcPr>
          <w:p w14:paraId="53AFFAD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469.743</w:t>
            </w:r>
          </w:p>
        </w:tc>
      </w:tr>
      <w:tr w14:paraId="09C6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0198689">
            <w:pPr>
              <w:jc w:val="center"/>
              <w:rPr>
                <w:rFonts w:hint="eastAsia" w:ascii="宋体" w:hAnsi="宋体" w:eastAsia="宋体" w:cs="宋体"/>
                <w:sz w:val="21"/>
                <w:szCs w:val="21"/>
              </w:rPr>
            </w:pPr>
          </w:p>
        </w:tc>
        <w:tc>
          <w:tcPr>
            <w:tcW w:w="1310" w:type="pct"/>
            <w:vMerge w:val="continue"/>
            <w:shd w:val="clear" w:color="auto" w:fill="FFFFFF"/>
            <w:vAlign w:val="center"/>
          </w:tcPr>
          <w:p w14:paraId="7DA68F0B">
            <w:pPr>
              <w:jc w:val="center"/>
              <w:rPr>
                <w:rFonts w:hint="eastAsia" w:ascii="宋体" w:hAnsi="宋体" w:eastAsia="宋体" w:cs="宋体"/>
                <w:sz w:val="21"/>
                <w:szCs w:val="21"/>
              </w:rPr>
            </w:pPr>
          </w:p>
        </w:tc>
        <w:tc>
          <w:tcPr>
            <w:tcW w:w="2039" w:type="pct"/>
            <w:shd w:val="clear" w:color="auto" w:fill="FFFFFF"/>
            <w:vAlign w:val="center"/>
          </w:tcPr>
          <w:p w14:paraId="4D65F66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8核64G</w:t>
            </w:r>
          </w:p>
        </w:tc>
        <w:tc>
          <w:tcPr>
            <w:tcW w:w="737" w:type="pct"/>
            <w:shd w:val="clear" w:color="auto" w:fill="FFFFFF"/>
            <w:vAlign w:val="center"/>
          </w:tcPr>
          <w:p w14:paraId="4BA0E1D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869.309</w:t>
            </w:r>
          </w:p>
        </w:tc>
      </w:tr>
      <w:tr w14:paraId="21E8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CA7EFF1">
            <w:pPr>
              <w:jc w:val="center"/>
              <w:rPr>
                <w:rFonts w:hint="eastAsia" w:ascii="宋体" w:hAnsi="宋体" w:eastAsia="宋体" w:cs="宋体"/>
                <w:sz w:val="21"/>
                <w:szCs w:val="21"/>
              </w:rPr>
            </w:pPr>
          </w:p>
        </w:tc>
        <w:tc>
          <w:tcPr>
            <w:tcW w:w="1310" w:type="pct"/>
            <w:vMerge w:val="continue"/>
            <w:shd w:val="clear" w:color="auto" w:fill="FFFFFF"/>
            <w:vAlign w:val="center"/>
          </w:tcPr>
          <w:p w14:paraId="2B129F06">
            <w:pPr>
              <w:jc w:val="center"/>
              <w:rPr>
                <w:rFonts w:hint="eastAsia" w:ascii="宋体" w:hAnsi="宋体" w:eastAsia="宋体" w:cs="宋体"/>
                <w:sz w:val="21"/>
                <w:szCs w:val="21"/>
              </w:rPr>
            </w:pPr>
          </w:p>
        </w:tc>
        <w:tc>
          <w:tcPr>
            <w:tcW w:w="2039" w:type="pct"/>
            <w:shd w:val="clear" w:color="auto" w:fill="FFFFFF"/>
            <w:vAlign w:val="center"/>
          </w:tcPr>
          <w:p w14:paraId="2044E6F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16核16G</w:t>
            </w:r>
          </w:p>
        </w:tc>
        <w:tc>
          <w:tcPr>
            <w:tcW w:w="737" w:type="pct"/>
            <w:shd w:val="clear" w:color="auto" w:fill="FFFFFF"/>
            <w:vAlign w:val="center"/>
          </w:tcPr>
          <w:p w14:paraId="4FFFF49D">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691.732</w:t>
            </w:r>
          </w:p>
        </w:tc>
      </w:tr>
      <w:tr w14:paraId="0627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A8AC711">
            <w:pPr>
              <w:jc w:val="center"/>
              <w:rPr>
                <w:rFonts w:hint="eastAsia" w:ascii="宋体" w:hAnsi="宋体" w:eastAsia="宋体" w:cs="宋体"/>
                <w:sz w:val="21"/>
                <w:szCs w:val="21"/>
              </w:rPr>
            </w:pPr>
          </w:p>
        </w:tc>
        <w:tc>
          <w:tcPr>
            <w:tcW w:w="1310" w:type="pct"/>
            <w:vMerge w:val="continue"/>
            <w:shd w:val="clear" w:color="auto" w:fill="FFFFFF"/>
            <w:vAlign w:val="center"/>
          </w:tcPr>
          <w:p w14:paraId="5096CEB2">
            <w:pPr>
              <w:jc w:val="center"/>
              <w:rPr>
                <w:rFonts w:hint="eastAsia" w:ascii="宋体" w:hAnsi="宋体" w:eastAsia="宋体" w:cs="宋体"/>
                <w:sz w:val="21"/>
                <w:szCs w:val="21"/>
              </w:rPr>
            </w:pPr>
          </w:p>
        </w:tc>
        <w:tc>
          <w:tcPr>
            <w:tcW w:w="2039" w:type="pct"/>
            <w:shd w:val="clear" w:color="auto" w:fill="FFFFFF"/>
            <w:vAlign w:val="center"/>
          </w:tcPr>
          <w:p w14:paraId="4660FFB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16核32G</w:t>
            </w:r>
          </w:p>
        </w:tc>
        <w:tc>
          <w:tcPr>
            <w:tcW w:w="737" w:type="pct"/>
            <w:shd w:val="clear" w:color="auto" w:fill="FFFFFF"/>
            <w:vAlign w:val="center"/>
          </w:tcPr>
          <w:p w14:paraId="360AD35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861.361</w:t>
            </w:r>
          </w:p>
        </w:tc>
      </w:tr>
      <w:tr w14:paraId="3BED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A2967EF">
            <w:pPr>
              <w:jc w:val="center"/>
              <w:rPr>
                <w:rFonts w:hint="eastAsia" w:ascii="宋体" w:hAnsi="宋体" w:eastAsia="宋体" w:cs="宋体"/>
                <w:sz w:val="21"/>
                <w:szCs w:val="21"/>
              </w:rPr>
            </w:pPr>
          </w:p>
        </w:tc>
        <w:tc>
          <w:tcPr>
            <w:tcW w:w="1310" w:type="pct"/>
            <w:vMerge w:val="continue"/>
            <w:shd w:val="clear" w:color="auto" w:fill="FFFFFF"/>
            <w:vAlign w:val="center"/>
          </w:tcPr>
          <w:p w14:paraId="12E97E98">
            <w:pPr>
              <w:jc w:val="center"/>
              <w:rPr>
                <w:rFonts w:hint="eastAsia" w:ascii="宋体" w:hAnsi="宋体" w:eastAsia="宋体" w:cs="宋体"/>
                <w:sz w:val="21"/>
                <w:szCs w:val="21"/>
              </w:rPr>
            </w:pPr>
          </w:p>
        </w:tc>
        <w:tc>
          <w:tcPr>
            <w:tcW w:w="2039" w:type="pct"/>
            <w:shd w:val="clear" w:color="auto" w:fill="FFFFFF"/>
            <w:vAlign w:val="center"/>
          </w:tcPr>
          <w:p w14:paraId="30EDA36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16核64G</w:t>
            </w:r>
          </w:p>
        </w:tc>
        <w:tc>
          <w:tcPr>
            <w:tcW w:w="737" w:type="pct"/>
            <w:shd w:val="clear" w:color="auto" w:fill="FFFFFF"/>
            <w:vAlign w:val="center"/>
          </w:tcPr>
          <w:p w14:paraId="5FD66C2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1308.931</w:t>
            </w:r>
          </w:p>
        </w:tc>
      </w:tr>
      <w:tr w14:paraId="7696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95B2BBD">
            <w:pPr>
              <w:jc w:val="center"/>
              <w:rPr>
                <w:rFonts w:hint="eastAsia" w:ascii="宋体" w:hAnsi="宋体" w:eastAsia="宋体" w:cs="宋体"/>
                <w:sz w:val="21"/>
                <w:szCs w:val="21"/>
              </w:rPr>
            </w:pPr>
          </w:p>
        </w:tc>
        <w:tc>
          <w:tcPr>
            <w:tcW w:w="1310" w:type="pct"/>
            <w:vMerge w:val="continue"/>
            <w:shd w:val="clear" w:color="auto" w:fill="FFFFFF"/>
            <w:vAlign w:val="center"/>
          </w:tcPr>
          <w:p w14:paraId="06863A47">
            <w:pPr>
              <w:jc w:val="center"/>
              <w:rPr>
                <w:rFonts w:hint="eastAsia" w:ascii="宋体" w:hAnsi="宋体" w:eastAsia="宋体" w:cs="宋体"/>
                <w:sz w:val="21"/>
                <w:szCs w:val="21"/>
              </w:rPr>
            </w:pPr>
          </w:p>
        </w:tc>
        <w:tc>
          <w:tcPr>
            <w:tcW w:w="2039" w:type="pct"/>
            <w:shd w:val="clear" w:color="auto" w:fill="FFFFFF"/>
            <w:vAlign w:val="center"/>
          </w:tcPr>
          <w:p w14:paraId="228BCBC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 128G</w:t>
            </w:r>
          </w:p>
        </w:tc>
        <w:tc>
          <w:tcPr>
            <w:tcW w:w="737" w:type="pct"/>
            <w:shd w:val="clear" w:color="auto" w:fill="FFFFFF"/>
            <w:vAlign w:val="center"/>
          </w:tcPr>
          <w:p w14:paraId="22BA964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1726.824</w:t>
            </w:r>
          </w:p>
        </w:tc>
      </w:tr>
      <w:tr w14:paraId="626A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E0AF710">
            <w:pPr>
              <w:jc w:val="center"/>
              <w:rPr>
                <w:rFonts w:hint="eastAsia" w:ascii="宋体" w:hAnsi="宋体" w:eastAsia="宋体" w:cs="宋体"/>
                <w:sz w:val="21"/>
                <w:szCs w:val="21"/>
              </w:rPr>
            </w:pPr>
          </w:p>
        </w:tc>
        <w:tc>
          <w:tcPr>
            <w:tcW w:w="1310" w:type="pct"/>
            <w:vMerge w:val="continue"/>
            <w:shd w:val="clear" w:color="auto" w:fill="FFFFFF"/>
            <w:vAlign w:val="center"/>
          </w:tcPr>
          <w:p w14:paraId="62D6E4FC">
            <w:pPr>
              <w:jc w:val="center"/>
              <w:rPr>
                <w:rFonts w:hint="eastAsia" w:ascii="宋体" w:hAnsi="宋体" w:eastAsia="宋体" w:cs="宋体"/>
                <w:sz w:val="21"/>
                <w:szCs w:val="21"/>
              </w:rPr>
            </w:pPr>
          </w:p>
        </w:tc>
        <w:tc>
          <w:tcPr>
            <w:tcW w:w="2039" w:type="pct"/>
            <w:shd w:val="clear" w:color="auto" w:fill="FFFFFF"/>
            <w:vAlign w:val="center"/>
          </w:tcPr>
          <w:p w14:paraId="281EB84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32核64G</w:t>
            </w:r>
          </w:p>
        </w:tc>
        <w:tc>
          <w:tcPr>
            <w:tcW w:w="737" w:type="pct"/>
            <w:shd w:val="clear" w:color="auto" w:fill="FFFFFF"/>
            <w:vAlign w:val="center"/>
          </w:tcPr>
          <w:p w14:paraId="7FDE769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1722.722</w:t>
            </w:r>
          </w:p>
        </w:tc>
      </w:tr>
      <w:tr w14:paraId="5BED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D1E080A">
            <w:pPr>
              <w:jc w:val="center"/>
              <w:rPr>
                <w:rFonts w:hint="eastAsia" w:ascii="宋体" w:hAnsi="宋体" w:eastAsia="宋体" w:cs="宋体"/>
                <w:sz w:val="21"/>
                <w:szCs w:val="21"/>
              </w:rPr>
            </w:pPr>
          </w:p>
        </w:tc>
        <w:tc>
          <w:tcPr>
            <w:tcW w:w="1310" w:type="pct"/>
            <w:vMerge w:val="continue"/>
            <w:shd w:val="clear" w:color="auto" w:fill="FFFFFF"/>
            <w:vAlign w:val="center"/>
          </w:tcPr>
          <w:p w14:paraId="0AA8DDEE">
            <w:pPr>
              <w:jc w:val="center"/>
              <w:rPr>
                <w:rFonts w:hint="eastAsia" w:ascii="宋体" w:hAnsi="宋体" w:eastAsia="宋体" w:cs="宋体"/>
                <w:sz w:val="21"/>
                <w:szCs w:val="21"/>
              </w:rPr>
            </w:pPr>
          </w:p>
        </w:tc>
        <w:tc>
          <w:tcPr>
            <w:tcW w:w="2039" w:type="pct"/>
            <w:shd w:val="clear" w:color="auto" w:fill="FFFFFF"/>
            <w:vAlign w:val="center"/>
          </w:tcPr>
          <w:p w14:paraId="0A8C11C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32核128G</w:t>
            </w:r>
          </w:p>
        </w:tc>
        <w:tc>
          <w:tcPr>
            <w:tcW w:w="737" w:type="pct"/>
            <w:shd w:val="clear" w:color="auto" w:fill="FFFFFF"/>
            <w:vAlign w:val="center"/>
          </w:tcPr>
          <w:p w14:paraId="59E664A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2617.863</w:t>
            </w:r>
          </w:p>
        </w:tc>
      </w:tr>
      <w:tr w14:paraId="63E6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jc w:val="center"/>
        </w:trPr>
        <w:tc>
          <w:tcPr>
            <w:tcW w:w="912" w:type="pct"/>
            <w:shd w:val="clear" w:color="auto" w:fill="FFFFFF"/>
            <w:vAlign w:val="center"/>
          </w:tcPr>
          <w:p w14:paraId="0A81E8F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块存储-高效云盘</w:t>
            </w:r>
          </w:p>
        </w:tc>
        <w:tc>
          <w:tcPr>
            <w:tcW w:w="1310" w:type="pct"/>
            <w:vMerge w:val="restart"/>
            <w:shd w:val="clear" w:color="auto" w:fill="FFFFFF"/>
            <w:vAlign w:val="center"/>
          </w:tcPr>
          <w:p w14:paraId="227F100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根据存储容量按月计费</w:t>
            </w:r>
          </w:p>
        </w:tc>
        <w:tc>
          <w:tcPr>
            <w:tcW w:w="2039" w:type="pct"/>
            <w:shd w:val="clear" w:color="auto" w:fill="FFFFFF"/>
            <w:vAlign w:val="center"/>
          </w:tcPr>
          <w:p w14:paraId="401F31D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340D5481">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0.218</w:t>
            </w:r>
          </w:p>
        </w:tc>
      </w:tr>
      <w:tr w14:paraId="4B5F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912" w:type="pct"/>
            <w:shd w:val="clear" w:color="auto" w:fill="FFFFFF"/>
            <w:vAlign w:val="center"/>
          </w:tcPr>
          <w:p w14:paraId="57E64E6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块存储-ssd云盘</w:t>
            </w:r>
          </w:p>
        </w:tc>
        <w:tc>
          <w:tcPr>
            <w:tcW w:w="1310" w:type="pct"/>
            <w:vMerge w:val="continue"/>
            <w:shd w:val="clear" w:color="auto" w:fill="FFFFFF"/>
            <w:vAlign w:val="center"/>
          </w:tcPr>
          <w:p w14:paraId="56293DDD">
            <w:pPr>
              <w:jc w:val="center"/>
              <w:rPr>
                <w:rFonts w:hint="eastAsia" w:ascii="宋体" w:hAnsi="宋体" w:eastAsia="宋体" w:cs="宋体"/>
                <w:sz w:val="21"/>
                <w:szCs w:val="21"/>
              </w:rPr>
            </w:pPr>
          </w:p>
        </w:tc>
        <w:tc>
          <w:tcPr>
            <w:tcW w:w="2039" w:type="pct"/>
            <w:shd w:val="clear" w:color="auto" w:fill="FFFFFF"/>
            <w:vAlign w:val="center"/>
          </w:tcPr>
          <w:p w14:paraId="1B42C0E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77421B3B">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0.62</w:t>
            </w:r>
          </w:p>
        </w:tc>
      </w:tr>
      <w:tr w14:paraId="3322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912" w:type="pct"/>
            <w:shd w:val="clear" w:color="auto" w:fill="FFFFFF"/>
            <w:vAlign w:val="center"/>
          </w:tcPr>
          <w:p w14:paraId="3BE0BDE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快照</w:t>
            </w:r>
          </w:p>
        </w:tc>
        <w:tc>
          <w:tcPr>
            <w:tcW w:w="1310" w:type="pct"/>
            <w:shd w:val="clear" w:color="auto" w:fill="FFFFFF"/>
            <w:vAlign w:val="center"/>
          </w:tcPr>
          <w:p w14:paraId="1EBCC3D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根据快照所占的存储空间大小按月计费</w:t>
            </w:r>
          </w:p>
        </w:tc>
        <w:tc>
          <w:tcPr>
            <w:tcW w:w="2039" w:type="pct"/>
            <w:shd w:val="clear" w:color="auto" w:fill="FFFFFF"/>
            <w:vAlign w:val="center"/>
          </w:tcPr>
          <w:p w14:paraId="2A3EE8E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0DF2FFB8">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0.073</w:t>
            </w:r>
          </w:p>
        </w:tc>
      </w:tr>
      <w:tr w14:paraId="507C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12" w:type="pct"/>
            <w:vMerge w:val="restart"/>
            <w:shd w:val="clear" w:color="auto" w:fill="FFFFFF"/>
            <w:vAlign w:val="center"/>
          </w:tcPr>
          <w:p w14:paraId="5915737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NAT 网关</w:t>
            </w:r>
          </w:p>
        </w:tc>
        <w:tc>
          <w:tcPr>
            <w:tcW w:w="1310" w:type="pct"/>
            <w:vMerge w:val="restart"/>
            <w:shd w:val="clear" w:color="auto" w:fill="FFFFFF"/>
            <w:vAlign w:val="center"/>
          </w:tcPr>
          <w:p w14:paraId="143EAB0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根据实例类型数量+公网IP数计费</w:t>
            </w:r>
          </w:p>
        </w:tc>
        <w:tc>
          <w:tcPr>
            <w:tcW w:w="2039" w:type="pct"/>
            <w:shd w:val="clear" w:color="auto" w:fill="FFFFFF"/>
            <w:vAlign w:val="center"/>
          </w:tcPr>
          <w:p w14:paraId="4694538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标准型</w:t>
            </w:r>
          </w:p>
        </w:tc>
        <w:tc>
          <w:tcPr>
            <w:tcW w:w="737" w:type="pct"/>
            <w:shd w:val="clear" w:color="auto" w:fill="FFFFFF"/>
            <w:vAlign w:val="center"/>
          </w:tcPr>
          <w:p w14:paraId="0C409C49">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22.896</w:t>
            </w:r>
          </w:p>
        </w:tc>
      </w:tr>
      <w:tr w14:paraId="6CF7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atLeast"/>
          <w:jc w:val="center"/>
        </w:trPr>
        <w:tc>
          <w:tcPr>
            <w:tcW w:w="912" w:type="pct"/>
            <w:vMerge w:val="continue"/>
            <w:shd w:val="clear" w:color="auto" w:fill="FFFFFF"/>
            <w:vAlign w:val="center"/>
          </w:tcPr>
          <w:p w14:paraId="60E314CD">
            <w:pPr>
              <w:jc w:val="center"/>
              <w:rPr>
                <w:rFonts w:hint="eastAsia" w:ascii="宋体" w:hAnsi="宋体" w:eastAsia="宋体" w:cs="宋体"/>
                <w:sz w:val="21"/>
                <w:szCs w:val="21"/>
              </w:rPr>
            </w:pPr>
          </w:p>
        </w:tc>
        <w:tc>
          <w:tcPr>
            <w:tcW w:w="1310" w:type="pct"/>
            <w:vMerge w:val="continue"/>
            <w:shd w:val="clear" w:color="auto" w:fill="FFFFFF"/>
            <w:vAlign w:val="center"/>
          </w:tcPr>
          <w:p w14:paraId="1C8AA75F">
            <w:pPr>
              <w:jc w:val="center"/>
              <w:rPr>
                <w:rFonts w:hint="eastAsia" w:ascii="宋体" w:hAnsi="宋体" w:eastAsia="宋体" w:cs="宋体"/>
                <w:sz w:val="21"/>
                <w:szCs w:val="21"/>
              </w:rPr>
            </w:pPr>
          </w:p>
        </w:tc>
        <w:tc>
          <w:tcPr>
            <w:tcW w:w="2039" w:type="pct"/>
            <w:shd w:val="clear" w:color="auto" w:fill="FFFFFF"/>
            <w:vAlign w:val="center"/>
          </w:tcPr>
          <w:p w14:paraId="52E85C0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公网 IP 数：个</w:t>
            </w:r>
          </w:p>
        </w:tc>
        <w:tc>
          <w:tcPr>
            <w:tcW w:w="737" w:type="pct"/>
            <w:shd w:val="clear" w:color="auto" w:fill="FFFFFF"/>
            <w:vAlign w:val="center"/>
          </w:tcPr>
          <w:p w14:paraId="06A57310">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8.944</w:t>
            </w:r>
          </w:p>
        </w:tc>
      </w:tr>
      <w:tr w14:paraId="539D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jc w:val="center"/>
        </w:trPr>
        <w:tc>
          <w:tcPr>
            <w:tcW w:w="912" w:type="pct"/>
            <w:shd w:val="clear" w:color="auto" w:fill="FFFFFF"/>
            <w:vAlign w:val="center"/>
          </w:tcPr>
          <w:p w14:paraId="1659C17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高速通道</w:t>
            </w:r>
          </w:p>
        </w:tc>
        <w:tc>
          <w:tcPr>
            <w:tcW w:w="1310" w:type="pct"/>
            <w:shd w:val="clear" w:color="auto" w:fill="FFFFFF"/>
            <w:vAlign w:val="center"/>
          </w:tcPr>
          <w:p w14:paraId="4579F2C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根据跨专有网络互通策略数量，按月计费</w:t>
            </w:r>
          </w:p>
        </w:tc>
        <w:tc>
          <w:tcPr>
            <w:tcW w:w="2039" w:type="pct"/>
            <w:shd w:val="clear" w:color="auto" w:fill="FFFFFF"/>
            <w:vAlign w:val="center"/>
          </w:tcPr>
          <w:p w14:paraId="115C976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每策略</w:t>
            </w:r>
          </w:p>
        </w:tc>
        <w:tc>
          <w:tcPr>
            <w:tcW w:w="737" w:type="pct"/>
            <w:shd w:val="clear" w:color="auto" w:fill="FFFFFF"/>
            <w:vAlign w:val="center"/>
          </w:tcPr>
          <w:p w14:paraId="1F80B571">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auto"/>
                <w:kern w:val="0"/>
                <w:sz w:val="21"/>
                <w:szCs w:val="21"/>
                <w:highlight w:val="none"/>
                <w:u w:val="none"/>
                <w:lang w:bidi="ar"/>
              </w:rPr>
              <w:t>136.8</w:t>
            </w:r>
          </w:p>
        </w:tc>
      </w:tr>
      <w:tr w14:paraId="4AEE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jc w:val="center"/>
        </w:trPr>
        <w:tc>
          <w:tcPr>
            <w:tcW w:w="912" w:type="pct"/>
            <w:shd w:val="clear" w:color="auto" w:fill="FFFFFF"/>
            <w:vAlign w:val="center"/>
          </w:tcPr>
          <w:p w14:paraId="16F28E0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弹性公网IP</w:t>
            </w:r>
          </w:p>
        </w:tc>
        <w:tc>
          <w:tcPr>
            <w:tcW w:w="1310" w:type="pct"/>
            <w:shd w:val="clear" w:color="auto" w:fill="FFFFFF"/>
            <w:vAlign w:val="center"/>
          </w:tcPr>
          <w:p w14:paraId="2C03F5F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根据实例个数按月计费</w:t>
            </w:r>
          </w:p>
        </w:tc>
        <w:tc>
          <w:tcPr>
            <w:tcW w:w="2039" w:type="pct"/>
            <w:shd w:val="clear" w:color="auto" w:fill="FFFFFF"/>
            <w:vAlign w:val="center"/>
          </w:tcPr>
          <w:p w14:paraId="1963C4C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w:t>
            </w:r>
          </w:p>
        </w:tc>
        <w:tc>
          <w:tcPr>
            <w:tcW w:w="737" w:type="pct"/>
            <w:shd w:val="clear" w:color="auto" w:fill="FFFFFF"/>
            <w:vAlign w:val="center"/>
          </w:tcPr>
          <w:p w14:paraId="2273CBFC">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8.944</w:t>
            </w:r>
          </w:p>
        </w:tc>
      </w:tr>
      <w:tr w14:paraId="3FE9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2DADF7F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云数据库RDS MySQL 版</w:t>
            </w:r>
          </w:p>
        </w:tc>
        <w:tc>
          <w:tcPr>
            <w:tcW w:w="1310" w:type="pct"/>
            <w:vMerge w:val="restart"/>
            <w:shd w:val="clear" w:color="auto" w:fill="FFFFFF"/>
            <w:vAlign w:val="center"/>
          </w:tcPr>
          <w:p w14:paraId="0A39B96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根据实例规格和个数+存储空间按月计费</w:t>
            </w:r>
          </w:p>
        </w:tc>
        <w:tc>
          <w:tcPr>
            <w:tcW w:w="2039" w:type="pct"/>
            <w:shd w:val="clear" w:color="auto" w:fill="FFFFFF"/>
            <w:vAlign w:val="center"/>
          </w:tcPr>
          <w:p w14:paraId="534D4A7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4核600M（连接数150）</w:t>
            </w:r>
          </w:p>
        </w:tc>
        <w:tc>
          <w:tcPr>
            <w:tcW w:w="737" w:type="pct"/>
            <w:shd w:val="clear" w:color="auto" w:fill="FFFFFF"/>
            <w:vAlign w:val="center"/>
          </w:tcPr>
          <w:p w14:paraId="31830A8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48.305</w:t>
            </w:r>
          </w:p>
        </w:tc>
      </w:tr>
      <w:tr w14:paraId="31B3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7384D30">
            <w:pPr>
              <w:jc w:val="center"/>
              <w:rPr>
                <w:rFonts w:hint="eastAsia" w:ascii="宋体" w:hAnsi="宋体" w:eastAsia="宋体" w:cs="宋体"/>
                <w:sz w:val="21"/>
                <w:szCs w:val="21"/>
              </w:rPr>
            </w:pPr>
          </w:p>
        </w:tc>
        <w:tc>
          <w:tcPr>
            <w:tcW w:w="1310" w:type="pct"/>
            <w:vMerge w:val="continue"/>
            <w:shd w:val="clear" w:color="auto" w:fill="FFFFFF"/>
            <w:vAlign w:val="center"/>
          </w:tcPr>
          <w:p w14:paraId="45393351">
            <w:pPr>
              <w:jc w:val="center"/>
              <w:rPr>
                <w:rFonts w:hint="eastAsia" w:ascii="宋体" w:hAnsi="宋体" w:eastAsia="宋体" w:cs="宋体"/>
                <w:sz w:val="21"/>
                <w:szCs w:val="21"/>
              </w:rPr>
            </w:pPr>
          </w:p>
        </w:tc>
        <w:tc>
          <w:tcPr>
            <w:tcW w:w="2039" w:type="pct"/>
            <w:shd w:val="clear" w:color="auto" w:fill="FFFFFF"/>
            <w:vAlign w:val="center"/>
          </w:tcPr>
          <w:p w14:paraId="12AEFB2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6核1200M（连接数300）</w:t>
            </w:r>
          </w:p>
        </w:tc>
        <w:tc>
          <w:tcPr>
            <w:tcW w:w="737" w:type="pct"/>
            <w:shd w:val="clear" w:color="auto" w:fill="FFFFFF"/>
            <w:vAlign w:val="center"/>
          </w:tcPr>
          <w:p w14:paraId="15C7D53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96.603</w:t>
            </w:r>
          </w:p>
        </w:tc>
      </w:tr>
      <w:tr w14:paraId="298C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2E777571">
            <w:pPr>
              <w:jc w:val="center"/>
              <w:rPr>
                <w:rFonts w:hint="eastAsia" w:ascii="宋体" w:hAnsi="宋体" w:eastAsia="宋体" w:cs="宋体"/>
                <w:sz w:val="21"/>
                <w:szCs w:val="21"/>
              </w:rPr>
            </w:pPr>
          </w:p>
        </w:tc>
        <w:tc>
          <w:tcPr>
            <w:tcW w:w="1310" w:type="pct"/>
            <w:vMerge w:val="continue"/>
            <w:shd w:val="clear" w:color="auto" w:fill="FFFFFF"/>
            <w:vAlign w:val="center"/>
          </w:tcPr>
          <w:p w14:paraId="660B3938">
            <w:pPr>
              <w:jc w:val="center"/>
              <w:rPr>
                <w:rFonts w:hint="eastAsia" w:ascii="宋体" w:hAnsi="宋体" w:eastAsia="宋体" w:cs="宋体"/>
                <w:sz w:val="21"/>
                <w:szCs w:val="21"/>
              </w:rPr>
            </w:pPr>
          </w:p>
        </w:tc>
        <w:tc>
          <w:tcPr>
            <w:tcW w:w="2039" w:type="pct"/>
            <w:shd w:val="clear" w:color="auto" w:fill="FFFFFF"/>
            <w:vAlign w:val="center"/>
          </w:tcPr>
          <w:p w14:paraId="02B7D62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8核2400M（连接数600）</w:t>
            </w:r>
          </w:p>
        </w:tc>
        <w:tc>
          <w:tcPr>
            <w:tcW w:w="737" w:type="pct"/>
            <w:shd w:val="clear" w:color="auto" w:fill="FFFFFF"/>
            <w:vAlign w:val="center"/>
          </w:tcPr>
          <w:p w14:paraId="5E9615C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179.405</w:t>
            </w:r>
          </w:p>
        </w:tc>
      </w:tr>
      <w:tr w14:paraId="519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FA56338">
            <w:pPr>
              <w:jc w:val="center"/>
              <w:rPr>
                <w:rFonts w:hint="eastAsia" w:ascii="宋体" w:hAnsi="宋体" w:eastAsia="宋体" w:cs="宋体"/>
                <w:sz w:val="21"/>
                <w:szCs w:val="21"/>
              </w:rPr>
            </w:pPr>
          </w:p>
        </w:tc>
        <w:tc>
          <w:tcPr>
            <w:tcW w:w="1310" w:type="pct"/>
            <w:vMerge w:val="continue"/>
            <w:shd w:val="clear" w:color="auto" w:fill="FFFFFF"/>
            <w:vAlign w:val="center"/>
          </w:tcPr>
          <w:p w14:paraId="0EA9C23B">
            <w:pPr>
              <w:jc w:val="center"/>
              <w:rPr>
                <w:rFonts w:hint="eastAsia" w:ascii="宋体" w:hAnsi="宋体" w:eastAsia="宋体" w:cs="宋体"/>
                <w:sz w:val="21"/>
                <w:szCs w:val="21"/>
              </w:rPr>
            </w:pPr>
          </w:p>
        </w:tc>
        <w:tc>
          <w:tcPr>
            <w:tcW w:w="2039" w:type="pct"/>
            <w:shd w:val="clear" w:color="auto" w:fill="FFFFFF"/>
            <w:vAlign w:val="center"/>
          </w:tcPr>
          <w:p w14:paraId="6367497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9核6000M（连接数1500）</w:t>
            </w:r>
          </w:p>
        </w:tc>
        <w:tc>
          <w:tcPr>
            <w:tcW w:w="737" w:type="pct"/>
            <w:shd w:val="clear" w:color="auto" w:fill="FFFFFF"/>
            <w:vAlign w:val="center"/>
          </w:tcPr>
          <w:p w14:paraId="3DA0BE7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465.802</w:t>
            </w:r>
          </w:p>
        </w:tc>
      </w:tr>
      <w:tr w14:paraId="2612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B6678AE">
            <w:pPr>
              <w:jc w:val="center"/>
              <w:rPr>
                <w:rFonts w:hint="eastAsia" w:ascii="宋体" w:hAnsi="宋体" w:eastAsia="宋体" w:cs="宋体"/>
                <w:sz w:val="21"/>
                <w:szCs w:val="21"/>
              </w:rPr>
            </w:pPr>
          </w:p>
        </w:tc>
        <w:tc>
          <w:tcPr>
            <w:tcW w:w="1310" w:type="pct"/>
            <w:vMerge w:val="continue"/>
            <w:shd w:val="clear" w:color="auto" w:fill="FFFFFF"/>
            <w:vAlign w:val="center"/>
          </w:tcPr>
          <w:p w14:paraId="18D2D7D1">
            <w:pPr>
              <w:jc w:val="center"/>
              <w:rPr>
                <w:rFonts w:hint="eastAsia" w:ascii="宋体" w:hAnsi="宋体" w:eastAsia="宋体" w:cs="宋体"/>
                <w:sz w:val="21"/>
                <w:szCs w:val="21"/>
              </w:rPr>
            </w:pPr>
          </w:p>
        </w:tc>
        <w:tc>
          <w:tcPr>
            <w:tcW w:w="2039" w:type="pct"/>
            <w:shd w:val="clear" w:color="auto" w:fill="FFFFFF"/>
            <w:vAlign w:val="center"/>
          </w:tcPr>
          <w:p w14:paraId="455E3D4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10核12000M（连接数2000）</w:t>
            </w:r>
          </w:p>
        </w:tc>
        <w:tc>
          <w:tcPr>
            <w:tcW w:w="737" w:type="pct"/>
            <w:shd w:val="clear" w:color="auto" w:fill="FFFFFF"/>
            <w:vAlign w:val="center"/>
          </w:tcPr>
          <w:p w14:paraId="60514F35">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931.531</w:t>
            </w:r>
          </w:p>
        </w:tc>
      </w:tr>
      <w:tr w14:paraId="747E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BE71B09">
            <w:pPr>
              <w:jc w:val="center"/>
              <w:rPr>
                <w:rFonts w:hint="eastAsia" w:ascii="宋体" w:hAnsi="宋体" w:eastAsia="宋体" w:cs="宋体"/>
                <w:sz w:val="21"/>
                <w:szCs w:val="21"/>
              </w:rPr>
            </w:pPr>
          </w:p>
        </w:tc>
        <w:tc>
          <w:tcPr>
            <w:tcW w:w="1310" w:type="pct"/>
            <w:vMerge w:val="continue"/>
            <w:shd w:val="clear" w:color="auto" w:fill="FFFFFF"/>
            <w:vAlign w:val="center"/>
          </w:tcPr>
          <w:p w14:paraId="6F600D6B">
            <w:pPr>
              <w:jc w:val="center"/>
              <w:rPr>
                <w:rFonts w:hint="eastAsia" w:ascii="宋体" w:hAnsi="宋体" w:eastAsia="宋体" w:cs="宋体"/>
                <w:sz w:val="21"/>
                <w:szCs w:val="21"/>
              </w:rPr>
            </w:pPr>
          </w:p>
        </w:tc>
        <w:tc>
          <w:tcPr>
            <w:tcW w:w="2039" w:type="pct"/>
            <w:shd w:val="clear" w:color="auto" w:fill="FFFFFF"/>
            <w:vAlign w:val="center"/>
          </w:tcPr>
          <w:p w14:paraId="03C2EA6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11核24000M（连接数2000）</w:t>
            </w:r>
          </w:p>
        </w:tc>
        <w:tc>
          <w:tcPr>
            <w:tcW w:w="737" w:type="pct"/>
            <w:shd w:val="clear" w:color="auto" w:fill="FFFFFF"/>
            <w:vAlign w:val="center"/>
          </w:tcPr>
          <w:p w14:paraId="2D29BAA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1863.056</w:t>
            </w:r>
          </w:p>
        </w:tc>
      </w:tr>
      <w:tr w14:paraId="3A87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3DCDF277">
            <w:pPr>
              <w:jc w:val="center"/>
              <w:rPr>
                <w:rFonts w:hint="eastAsia" w:ascii="宋体" w:hAnsi="宋体" w:eastAsia="宋体" w:cs="宋体"/>
                <w:sz w:val="21"/>
                <w:szCs w:val="21"/>
              </w:rPr>
            </w:pPr>
          </w:p>
        </w:tc>
        <w:tc>
          <w:tcPr>
            <w:tcW w:w="1310" w:type="pct"/>
            <w:vMerge w:val="continue"/>
            <w:shd w:val="clear" w:color="auto" w:fill="FFFFFF"/>
            <w:vAlign w:val="center"/>
          </w:tcPr>
          <w:p w14:paraId="28891FE5">
            <w:pPr>
              <w:jc w:val="center"/>
              <w:rPr>
                <w:rFonts w:hint="eastAsia" w:ascii="宋体" w:hAnsi="宋体" w:eastAsia="宋体" w:cs="宋体"/>
                <w:sz w:val="21"/>
                <w:szCs w:val="21"/>
              </w:rPr>
            </w:pPr>
          </w:p>
        </w:tc>
        <w:tc>
          <w:tcPr>
            <w:tcW w:w="2039" w:type="pct"/>
            <w:shd w:val="clear" w:color="auto" w:fill="FFFFFF"/>
            <w:vAlign w:val="center"/>
          </w:tcPr>
          <w:p w14:paraId="5F02ACB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13核48000M（连接数2000）</w:t>
            </w:r>
          </w:p>
        </w:tc>
        <w:tc>
          <w:tcPr>
            <w:tcW w:w="737" w:type="pct"/>
            <w:shd w:val="clear" w:color="auto" w:fill="FFFFFF"/>
            <w:vAlign w:val="center"/>
          </w:tcPr>
          <w:p w14:paraId="4D697E0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3726.111</w:t>
            </w:r>
          </w:p>
        </w:tc>
      </w:tr>
      <w:tr w14:paraId="6F29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15786B8C">
            <w:pPr>
              <w:jc w:val="center"/>
              <w:rPr>
                <w:rFonts w:hint="eastAsia" w:ascii="宋体" w:hAnsi="宋体" w:eastAsia="宋体" w:cs="宋体"/>
                <w:sz w:val="21"/>
                <w:szCs w:val="21"/>
              </w:rPr>
            </w:pPr>
          </w:p>
        </w:tc>
        <w:tc>
          <w:tcPr>
            <w:tcW w:w="1310" w:type="pct"/>
            <w:vMerge w:val="continue"/>
            <w:shd w:val="clear" w:color="auto" w:fill="FFFFFF"/>
            <w:vAlign w:val="center"/>
          </w:tcPr>
          <w:p w14:paraId="57BFFA97">
            <w:pPr>
              <w:jc w:val="center"/>
              <w:rPr>
                <w:rFonts w:hint="eastAsia" w:ascii="宋体" w:hAnsi="宋体" w:eastAsia="宋体" w:cs="宋体"/>
                <w:sz w:val="21"/>
                <w:szCs w:val="21"/>
              </w:rPr>
            </w:pPr>
          </w:p>
        </w:tc>
        <w:tc>
          <w:tcPr>
            <w:tcW w:w="2039" w:type="pct"/>
            <w:shd w:val="clear" w:color="auto" w:fill="FFFFFF"/>
            <w:vAlign w:val="center"/>
          </w:tcPr>
          <w:p w14:paraId="4D7D2FC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1核1G（通用型，连接数300）</w:t>
            </w:r>
          </w:p>
        </w:tc>
        <w:tc>
          <w:tcPr>
            <w:tcW w:w="737" w:type="pct"/>
            <w:shd w:val="clear" w:color="auto" w:fill="FFFFFF"/>
            <w:vAlign w:val="center"/>
          </w:tcPr>
          <w:p w14:paraId="6EAE6B75">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73.892</w:t>
            </w:r>
          </w:p>
        </w:tc>
      </w:tr>
      <w:tr w14:paraId="54EF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5C83B3CC">
            <w:pPr>
              <w:jc w:val="center"/>
              <w:rPr>
                <w:rFonts w:hint="eastAsia" w:ascii="宋体" w:hAnsi="宋体" w:eastAsia="宋体" w:cs="宋体"/>
                <w:sz w:val="21"/>
                <w:szCs w:val="21"/>
              </w:rPr>
            </w:pPr>
          </w:p>
        </w:tc>
        <w:tc>
          <w:tcPr>
            <w:tcW w:w="1310" w:type="pct"/>
            <w:vMerge w:val="continue"/>
            <w:shd w:val="clear" w:color="auto" w:fill="FFFFFF"/>
            <w:vAlign w:val="center"/>
          </w:tcPr>
          <w:p w14:paraId="5B434D8C">
            <w:pPr>
              <w:jc w:val="center"/>
              <w:rPr>
                <w:rFonts w:hint="eastAsia" w:ascii="宋体" w:hAnsi="宋体" w:eastAsia="宋体" w:cs="宋体"/>
                <w:sz w:val="21"/>
                <w:szCs w:val="21"/>
              </w:rPr>
            </w:pPr>
          </w:p>
        </w:tc>
        <w:tc>
          <w:tcPr>
            <w:tcW w:w="2039" w:type="pct"/>
            <w:shd w:val="clear" w:color="auto" w:fill="FFFFFF"/>
            <w:vAlign w:val="center"/>
          </w:tcPr>
          <w:p w14:paraId="141D38C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1核2G（通用型，连接数600）</w:t>
            </w:r>
          </w:p>
        </w:tc>
        <w:tc>
          <w:tcPr>
            <w:tcW w:w="737" w:type="pct"/>
            <w:shd w:val="clear" w:color="auto" w:fill="FFFFFF"/>
            <w:vAlign w:val="center"/>
          </w:tcPr>
          <w:p w14:paraId="606248F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137.227</w:t>
            </w:r>
          </w:p>
        </w:tc>
      </w:tr>
      <w:tr w14:paraId="7DC5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355B68A2">
            <w:pPr>
              <w:jc w:val="center"/>
              <w:rPr>
                <w:rFonts w:hint="eastAsia" w:ascii="宋体" w:hAnsi="宋体" w:eastAsia="宋体" w:cs="宋体"/>
                <w:sz w:val="21"/>
                <w:szCs w:val="21"/>
              </w:rPr>
            </w:pPr>
          </w:p>
        </w:tc>
        <w:tc>
          <w:tcPr>
            <w:tcW w:w="1310" w:type="pct"/>
            <w:vMerge w:val="continue"/>
            <w:shd w:val="clear" w:color="auto" w:fill="FFFFFF"/>
            <w:vAlign w:val="center"/>
          </w:tcPr>
          <w:p w14:paraId="503CCE09">
            <w:pPr>
              <w:jc w:val="center"/>
              <w:rPr>
                <w:rFonts w:hint="eastAsia" w:ascii="宋体" w:hAnsi="宋体" w:eastAsia="宋体" w:cs="宋体"/>
                <w:sz w:val="21"/>
                <w:szCs w:val="21"/>
              </w:rPr>
            </w:pPr>
          </w:p>
        </w:tc>
        <w:tc>
          <w:tcPr>
            <w:tcW w:w="2039" w:type="pct"/>
            <w:shd w:val="clear" w:color="auto" w:fill="FFFFFF"/>
            <w:vAlign w:val="center"/>
          </w:tcPr>
          <w:p w14:paraId="0A5B62F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2核4G（通用型，连接数1200）</w:t>
            </w:r>
          </w:p>
        </w:tc>
        <w:tc>
          <w:tcPr>
            <w:tcW w:w="737" w:type="pct"/>
            <w:shd w:val="clear" w:color="auto" w:fill="FFFFFF"/>
            <w:vAlign w:val="center"/>
          </w:tcPr>
          <w:p w14:paraId="41879BF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263.898</w:t>
            </w:r>
          </w:p>
        </w:tc>
      </w:tr>
      <w:tr w14:paraId="49F5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31D9206E">
            <w:pPr>
              <w:jc w:val="center"/>
              <w:rPr>
                <w:rFonts w:hint="eastAsia" w:ascii="宋体" w:hAnsi="宋体" w:eastAsia="宋体" w:cs="宋体"/>
                <w:sz w:val="21"/>
                <w:szCs w:val="21"/>
              </w:rPr>
            </w:pPr>
          </w:p>
        </w:tc>
        <w:tc>
          <w:tcPr>
            <w:tcW w:w="1310" w:type="pct"/>
            <w:vMerge w:val="continue"/>
            <w:shd w:val="clear" w:color="auto" w:fill="FFFFFF"/>
            <w:vAlign w:val="center"/>
          </w:tcPr>
          <w:p w14:paraId="1984C98A">
            <w:pPr>
              <w:jc w:val="center"/>
              <w:rPr>
                <w:rFonts w:hint="eastAsia" w:ascii="宋体" w:hAnsi="宋体" w:eastAsia="宋体" w:cs="宋体"/>
                <w:sz w:val="21"/>
                <w:szCs w:val="21"/>
              </w:rPr>
            </w:pPr>
          </w:p>
        </w:tc>
        <w:tc>
          <w:tcPr>
            <w:tcW w:w="2039" w:type="pct"/>
            <w:shd w:val="clear" w:color="auto" w:fill="FFFFFF"/>
            <w:vAlign w:val="center"/>
          </w:tcPr>
          <w:p w14:paraId="6971A28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2核8G（通用型，连接数2000）</w:t>
            </w:r>
          </w:p>
        </w:tc>
        <w:tc>
          <w:tcPr>
            <w:tcW w:w="737" w:type="pct"/>
            <w:shd w:val="clear" w:color="auto" w:fill="FFFFFF"/>
            <w:vAlign w:val="center"/>
          </w:tcPr>
          <w:p w14:paraId="0A8B074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475.015</w:t>
            </w:r>
          </w:p>
        </w:tc>
      </w:tr>
      <w:tr w14:paraId="518A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2D5709DA">
            <w:pPr>
              <w:jc w:val="center"/>
              <w:rPr>
                <w:rFonts w:hint="eastAsia" w:ascii="宋体" w:hAnsi="宋体" w:eastAsia="宋体" w:cs="宋体"/>
                <w:sz w:val="21"/>
                <w:szCs w:val="21"/>
              </w:rPr>
            </w:pPr>
          </w:p>
        </w:tc>
        <w:tc>
          <w:tcPr>
            <w:tcW w:w="1310" w:type="pct"/>
            <w:vMerge w:val="continue"/>
            <w:shd w:val="clear" w:color="auto" w:fill="FFFFFF"/>
            <w:vAlign w:val="center"/>
          </w:tcPr>
          <w:p w14:paraId="7E7A96A5">
            <w:pPr>
              <w:jc w:val="center"/>
              <w:rPr>
                <w:rFonts w:hint="eastAsia" w:ascii="宋体" w:hAnsi="宋体" w:eastAsia="宋体" w:cs="宋体"/>
                <w:sz w:val="21"/>
                <w:szCs w:val="21"/>
              </w:rPr>
            </w:pPr>
          </w:p>
        </w:tc>
        <w:tc>
          <w:tcPr>
            <w:tcW w:w="2039" w:type="pct"/>
            <w:shd w:val="clear" w:color="auto" w:fill="FFFFFF"/>
            <w:vAlign w:val="center"/>
          </w:tcPr>
          <w:p w14:paraId="77F3A67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4核8G（通用型，连接数2000）</w:t>
            </w:r>
          </w:p>
        </w:tc>
        <w:tc>
          <w:tcPr>
            <w:tcW w:w="737" w:type="pct"/>
            <w:shd w:val="clear" w:color="auto" w:fill="FFFFFF"/>
            <w:vAlign w:val="center"/>
          </w:tcPr>
          <w:p w14:paraId="2DC5787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497.183</w:t>
            </w:r>
          </w:p>
        </w:tc>
      </w:tr>
      <w:tr w14:paraId="2421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6C2A6D63">
            <w:pPr>
              <w:jc w:val="center"/>
              <w:rPr>
                <w:rFonts w:hint="eastAsia" w:ascii="宋体" w:hAnsi="宋体" w:eastAsia="宋体" w:cs="宋体"/>
                <w:sz w:val="21"/>
                <w:szCs w:val="21"/>
              </w:rPr>
            </w:pPr>
          </w:p>
        </w:tc>
        <w:tc>
          <w:tcPr>
            <w:tcW w:w="1310" w:type="pct"/>
            <w:vMerge w:val="continue"/>
            <w:shd w:val="clear" w:color="auto" w:fill="FFFFFF"/>
            <w:vAlign w:val="center"/>
          </w:tcPr>
          <w:p w14:paraId="0313E4F6">
            <w:pPr>
              <w:jc w:val="center"/>
              <w:rPr>
                <w:rFonts w:hint="eastAsia" w:ascii="宋体" w:hAnsi="宋体" w:eastAsia="宋体" w:cs="宋体"/>
                <w:sz w:val="21"/>
                <w:szCs w:val="21"/>
              </w:rPr>
            </w:pPr>
          </w:p>
        </w:tc>
        <w:tc>
          <w:tcPr>
            <w:tcW w:w="2039" w:type="pct"/>
            <w:shd w:val="clear" w:color="auto" w:fill="FFFFFF"/>
            <w:vAlign w:val="center"/>
          </w:tcPr>
          <w:p w14:paraId="4DF97BD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4核16G（通用型，连接数4000）</w:t>
            </w:r>
          </w:p>
        </w:tc>
        <w:tc>
          <w:tcPr>
            <w:tcW w:w="737" w:type="pct"/>
            <w:shd w:val="clear" w:color="auto" w:fill="FFFFFF"/>
            <w:vAlign w:val="center"/>
          </w:tcPr>
          <w:p w14:paraId="3823718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1055.59</w:t>
            </w:r>
          </w:p>
        </w:tc>
      </w:tr>
      <w:tr w14:paraId="18CE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70B1940D">
            <w:pPr>
              <w:jc w:val="center"/>
              <w:rPr>
                <w:rFonts w:hint="eastAsia" w:ascii="宋体" w:hAnsi="宋体" w:eastAsia="宋体" w:cs="宋体"/>
                <w:sz w:val="21"/>
                <w:szCs w:val="21"/>
              </w:rPr>
            </w:pPr>
          </w:p>
        </w:tc>
        <w:tc>
          <w:tcPr>
            <w:tcW w:w="1310" w:type="pct"/>
            <w:vMerge w:val="continue"/>
            <w:shd w:val="clear" w:color="auto" w:fill="FFFFFF"/>
            <w:vAlign w:val="center"/>
          </w:tcPr>
          <w:p w14:paraId="67B6C2D0">
            <w:pPr>
              <w:jc w:val="center"/>
              <w:rPr>
                <w:rFonts w:hint="eastAsia" w:ascii="宋体" w:hAnsi="宋体" w:eastAsia="宋体" w:cs="宋体"/>
                <w:sz w:val="21"/>
                <w:szCs w:val="21"/>
              </w:rPr>
            </w:pPr>
          </w:p>
        </w:tc>
        <w:tc>
          <w:tcPr>
            <w:tcW w:w="2039" w:type="pct"/>
            <w:shd w:val="clear" w:color="auto" w:fill="FFFFFF"/>
            <w:vAlign w:val="center"/>
          </w:tcPr>
          <w:p w14:paraId="4F07AC5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8核16G（通用型，连接数4000）</w:t>
            </w:r>
          </w:p>
        </w:tc>
        <w:tc>
          <w:tcPr>
            <w:tcW w:w="737" w:type="pct"/>
            <w:shd w:val="clear" w:color="auto" w:fill="FFFFFF"/>
            <w:vAlign w:val="center"/>
          </w:tcPr>
          <w:p w14:paraId="1A8CE67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1117.684</w:t>
            </w:r>
          </w:p>
        </w:tc>
      </w:tr>
      <w:tr w14:paraId="798B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494A12D5">
            <w:pPr>
              <w:jc w:val="center"/>
              <w:rPr>
                <w:rFonts w:hint="eastAsia" w:ascii="宋体" w:hAnsi="宋体" w:eastAsia="宋体" w:cs="宋体"/>
                <w:sz w:val="21"/>
                <w:szCs w:val="21"/>
              </w:rPr>
            </w:pPr>
          </w:p>
        </w:tc>
        <w:tc>
          <w:tcPr>
            <w:tcW w:w="1310" w:type="pct"/>
            <w:vMerge w:val="continue"/>
            <w:shd w:val="clear" w:color="auto" w:fill="FFFFFF"/>
            <w:vAlign w:val="center"/>
          </w:tcPr>
          <w:p w14:paraId="3980F134">
            <w:pPr>
              <w:jc w:val="center"/>
              <w:rPr>
                <w:rFonts w:hint="eastAsia" w:ascii="宋体" w:hAnsi="宋体" w:eastAsia="宋体" w:cs="宋体"/>
                <w:sz w:val="21"/>
                <w:szCs w:val="21"/>
              </w:rPr>
            </w:pPr>
          </w:p>
        </w:tc>
        <w:tc>
          <w:tcPr>
            <w:tcW w:w="2039" w:type="pct"/>
            <w:shd w:val="clear" w:color="auto" w:fill="FFFFFF"/>
            <w:vAlign w:val="center"/>
          </w:tcPr>
          <w:p w14:paraId="6C31075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8核32G（通用型，连接数8000）</w:t>
            </w:r>
          </w:p>
        </w:tc>
        <w:tc>
          <w:tcPr>
            <w:tcW w:w="737" w:type="pct"/>
            <w:shd w:val="clear" w:color="auto" w:fill="FFFFFF"/>
            <w:vAlign w:val="center"/>
          </w:tcPr>
          <w:p w14:paraId="49A0D61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2049.086</w:t>
            </w:r>
          </w:p>
        </w:tc>
      </w:tr>
      <w:tr w14:paraId="6C45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2D47388F">
            <w:pPr>
              <w:jc w:val="center"/>
              <w:rPr>
                <w:rFonts w:hint="eastAsia" w:ascii="宋体" w:hAnsi="宋体" w:eastAsia="宋体" w:cs="宋体"/>
                <w:sz w:val="21"/>
                <w:szCs w:val="21"/>
              </w:rPr>
            </w:pPr>
          </w:p>
        </w:tc>
        <w:tc>
          <w:tcPr>
            <w:tcW w:w="1310" w:type="pct"/>
            <w:vMerge w:val="continue"/>
            <w:shd w:val="clear" w:color="auto" w:fill="FFFFFF"/>
            <w:vAlign w:val="center"/>
          </w:tcPr>
          <w:p w14:paraId="5BAF9781">
            <w:pPr>
              <w:jc w:val="center"/>
              <w:rPr>
                <w:rFonts w:hint="eastAsia" w:ascii="宋体" w:hAnsi="宋体" w:eastAsia="宋体" w:cs="宋体"/>
                <w:sz w:val="21"/>
                <w:szCs w:val="21"/>
              </w:rPr>
            </w:pPr>
          </w:p>
        </w:tc>
        <w:tc>
          <w:tcPr>
            <w:tcW w:w="2039" w:type="pct"/>
            <w:shd w:val="clear" w:color="auto" w:fill="FFFFFF"/>
            <w:vAlign w:val="center"/>
          </w:tcPr>
          <w:p w14:paraId="5B8A879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16核64G（通用型，连接数16000）</w:t>
            </w:r>
          </w:p>
        </w:tc>
        <w:tc>
          <w:tcPr>
            <w:tcW w:w="737" w:type="pct"/>
            <w:shd w:val="clear" w:color="auto" w:fill="FFFFFF"/>
            <w:vAlign w:val="center"/>
          </w:tcPr>
          <w:p w14:paraId="77F361C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3430.667</w:t>
            </w:r>
          </w:p>
        </w:tc>
      </w:tr>
      <w:tr w14:paraId="2C9A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7758BA44">
            <w:pPr>
              <w:jc w:val="center"/>
              <w:rPr>
                <w:rFonts w:hint="eastAsia" w:ascii="宋体" w:hAnsi="宋体" w:eastAsia="宋体" w:cs="宋体"/>
                <w:sz w:val="21"/>
                <w:szCs w:val="21"/>
              </w:rPr>
            </w:pPr>
          </w:p>
        </w:tc>
        <w:tc>
          <w:tcPr>
            <w:tcW w:w="1310" w:type="pct"/>
            <w:vMerge w:val="continue"/>
            <w:shd w:val="clear" w:color="auto" w:fill="FFFFFF"/>
            <w:vAlign w:val="center"/>
          </w:tcPr>
          <w:p w14:paraId="5379F471">
            <w:pPr>
              <w:jc w:val="center"/>
              <w:rPr>
                <w:rFonts w:hint="eastAsia" w:ascii="宋体" w:hAnsi="宋体" w:eastAsia="宋体" w:cs="宋体"/>
                <w:sz w:val="21"/>
                <w:szCs w:val="21"/>
              </w:rPr>
            </w:pPr>
          </w:p>
        </w:tc>
        <w:tc>
          <w:tcPr>
            <w:tcW w:w="2039" w:type="pct"/>
            <w:shd w:val="clear" w:color="auto" w:fill="FFFFFF"/>
            <w:vAlign w:val="center"/>
          </w:tcPr>
          <w:p w14:paraId="352D2CA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 96G（通用型，连接数 24000）</w:t>
            </w:r>
          </w:p>
        </w:tc>
        <w:tc>
          <w:tcPr>
            <w:tcW w:w="737" w:type="pct"/>
            <w:shd w:val="clear" w:color="auto" w:fill="FFFFFF"/>
            <w:vAlign w:val="center"/>
          </w:tcPr>
          <w:p w14:paraId="767CDD6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5119.611</w:t>
            </w:r>
          </w:p>
        </w:tc>
      </w:tr>
      <w:tr w14:paraId="6498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4FA591E8">
            <w:pPr>
              <w:jc w:val="center"/>
              <w:rPr>
                <w:rFonts w:hint="eastAsia" w:ascii="宋体" w:hAnsi="宋体" w:eastAsia="宋体" w:cs="宋体"/>
                <w:sz w:val="21"/>
                <w:szCs w:val="21"/>
              </w:rPr>
            </w:pPr>
          </w:p>
        </w:tc>
        <w:tc>
          <w:tcPr>
            <w:tcW w:w="1310" w:type="pct"/>
            <w:vMerge w:val="continue"/>
            <w:shd w:val="clear" w:color="auto" w:fill="FFFFFF"/>
            <w:vAlign w:val="center"/>
          </w:tcPr>
          <w:p w14:paraId="2809896C">
            <w:pPr>
              <w:jc w:val="center"/>
              <w:rPr>
                <w:rFonts w:hint="eastAsia" w:ascii="宋体" w:hAnsi="宋体" w:eastAsia="宋体" w:cs="宋体"/>
                <w:sz w:val="21"/>
                <w:szCs w:val="21"/>
              </w:rPr>
            </w:pPr>
          </w:p>
        </w:tc>
        <w:tc>
          <w:tcPr>
            <w:tcW w:w="2039" w:type="pct"/>
            <w:shd w:val="clear" w:color="auto" w:fill="FFFFFF"/>
            <w:vAlign w:val="center"/>
          </w:tcPr>
          <w:p w14:paraId="6FCF7D0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32 核 128G,2000GB Disk（独享型，连接数 20000）</w:t>
            </w:r>
          </w:p>
        </w:tc>
        <w:tc>
          <w:tcPr>
            <w:tcW w:w="737" w:type="pct"/>
            <w:shd w:val="clear" w:color="auto" w:fill="FFFFFF"/>
            <w:vAlign w:val="center"/>
          </w:tcPr>
          <w:p w14:paraId="01D7C657">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10928.46</w:t>
            </w:r>
          </w:p>
        </w:tc>
      </w:tr>
      <w:tr w14:paraId="2EB3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2BC3D58">
            <w:pPr>
              <w:jc w:val="center"/>
              <w:rPr>
                <w:rFonts w:hint="eastAsia" w:ascii="宋体" w:hAnsi="宋体" w:eastAsia="宋体" w:cs="宋体"/>
                <w:sz w:val="21"/>
                <w:szCs w:val="21"/>
              </w:rPr>
            </w:pPr>
          </w:p>
        </w:tc>
        <w:tc>
          <w:tcPr>
            <w:tcW w:w="1310" w:type="pct"/>
            <w:vMerge w:val="continue"/>
            <w:shd w:val="clear" w:color="auto" w:fill="FFFFFF"/>
            <w:vAlign w:val="center"/>
          </w:tcPr>
          <w:p w14:paraId="3C97930E">
            <w:pPr>
              <w:jc w:val="center"/>
              <w:rPr>
                <w:rFonts w:hint="eastAsia" w:ascii="宋体" w:hAnsi="宋体" w:eastAsia="宋体" w:cs="宋体"/>
                <w:sz w:val="21"/>
                <w:szCs w:val="21"/>
              </w:rPr>
            </w:pPr>
          </w:p>
        </w:tc>
        <w:tc>
          <w:tcPr>
            <w:tcW w:w="2039" w:type="pct"/>
            <w:shd w:val="clear" w:color="auto" w:fill="FFFFFF"/>
            <w:vAlign w:val="center"/>
          </w:tcPr>
          <w:p w14:paraId="1A96307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存储空间：GB</w:t>
            </w:r>
          </w:p>
        </w:tc>
        <w:tc>
          <w:tcPr>
            <w:tcW w:w="737" w:type="pct"/>
            <w:shd w:val="clear" w:color="auto" w:fill="FFFFFF"/>
            <w:vAlign w:val="center"/>
          </w:tcPr>
          <w:p w14:paraId="571DE2CA">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0.61</w:t>
            </w:r>
          </w:p>
        </w:tc>
      </w:tr>
      <w:tr w14:paraId="05F9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04DDCBC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云数据库RDS SQL Server 版</w:t>
            </w:r>
          </w:p>
        </w:tc>
        <w:tc>
          <w:tcPr>
            <w:tcW w:w="1310" w:type="pct"/>
            <w:vMerge w:val="restart"/>
            <w:shd w:val="clear" w:color="auto" w:fill="FFFFFF"/>
            <w:vAlign w:val="center"/>
          </w:tcPr>
          <w:p w14:paraId="4AA57D2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根据实例规格和个数+存储空间按月计费</w:t>
            </w:r>
          </w:p>
        </w:tc>
        <w:tc>
          <w:tcPr>
            <w:tcW w:w="2039" w:type="pct"/>
            <w:shd w:val="clear" w:color="auto" w:fill="FFFFFF"/>
            <w:vAlign w:val="center"/>
          </w:tcPr>
          <w:p w14:paraId="7A32C23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6核1000M</w:t>
            </w:r>
          </w:p>
        </w:tc>
        <w:tc>
          <w:tcPr>
            <w:tcW w:w="737" w:type="pct"/>
            <w:shd w:val="clear" w:color="auto" w:fill="FFFFFF"/>
            <w:vAlign w:val="center"/>
          </w:tcPr>
          <w:p w14:paraId="7288B6A4">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323.568</w:t>
            </w:r>
          </w:p>
        </w:tc>
      </w:tr>
      <w:tr w14:paraId="1C0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8CA53C5">
            <w:pPr>
              <w:jc w:val="center"/>
              <w:rPr>
                <w:rFonts w:hint="eastAsia" w:ascii="宋体" w:hAnsi="宋体" w:eastAsia="宋体" w:cs="宋体"/>
                <w:sz w:val="21"/>
                <w:szCs w:val="21"/>
              </w:rPr>
            </w:pPr>
          </w:p>
        </w:tc>
        <w:tc>
          <w:tcPr>
            <w:tcW w:w="1310" w:type="pct"/>
            <w:vMerge w:val="continue"/>
            <w:shd w:val="clear" w:color="auto" w:fill="FFFFFF"/>
            <w:vAlign w:val="center"/>
          </w:tcPr>
          <w:p w14:paraId="628FC63B">
            <w:pPr>
              <w:jc w:val="center"/>
              <w:rPr>
                <w:rFonts w:hint="eastAsia" w:ascii="宋体" w:hAnsi="宋体" w:eastAsia="宋体" w:cs="宋体"/>
                <w:sz w:val="21"/>
                <w:szCs w:val="21"/>
              </w:rPr>
            </w:pPr>
          </w:p>
        </w:tc>
        <w:tc>
          <w:tcPr>
            <w:tcW w:w="2039" w:type="pct"/>
            <w:shd w:val="clear" w:color="auto" w:fill="FFFFFF"/>
            <w:vAlign w:val="center"/>
          </w:tcPr>
          <w:p w14:paraId="4EBE28F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8核2000M</w:t>
            </w:r>
          </w:p>
        </w:tc>
        <w:tc>
          <w:tcPr>
            <w:tcW w:w="737" w:type="pct"/>
            <w:shd w:val="clear" w:color="auto" w:fill="FFFFFF"/>
            <w:vAlign w:val="center"/>
          </w:tcPr>
          <w:p w14:paraId="53A1D89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330.767</w:t>
            </w:r>
          </w:p>
        </w:tc>
      </w:tr>
      <w:tr w14:paraId="4870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A723FA8">
            <w:pPr>
              <w:jc w:val="center"/>
              <w:rPr>
                <w:rFonts w:hint="eastAsia" w:ascii="宋体" w:hAnsi="宋体" w:eastAsia="宋体" w:cs="宋体"/>
                <w:sz w:val="21"/>
                <w:szCs w:val="21"/>
              </w:rPr>
            </w:pPr>
          </w:p>
        </w:tc>
        <w:tc>
          <w:tcPr>
            <w:tcW w:w="1310" w:type="pct"/>
            <w:vMerge w:val="continue"/>
            <w:shd w:val="clear" w:color="auto" w:fill="FFFFFF"/>
            <w:vAlign w:val="center"/>
          </w:tcPr>
          <w:p w14:paraId="769D3B0B">
            <w:pPr>
              <w:jc w:val="center"/>
              <w:rPr>
                <w:rFonts w:hint="eastAsia" w:ascii="宋体" w:hAnsi="宋体" w:eastAsia="宋体" w:cs="宋体"/>
                <w:sz w:val="21"/>
                <w:szCs w:val="21"/>
              </w:rPr>
            </w:pPr>
          </w:p>
        </w:tc>
        <w:tc>
          <w:tcPr>
            <w:tcW w:w="2039" w:type="pct"/>
            <w:shd w:val="clear" w:color="auto" w:fill="FFFFFF"/>
            <w:vAlign w:val="center"/>
          </w:tcPr>
          <w:p w14:paraId="42298C2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9核4000M</w:t>
            </w:r>
          </w:p>
        </w:tc>
        <w:tc>
          <w:tcPr>
            <w:tcW w:w="737" w:type="pct"/>
            <w:shd w:val="clear" w:color="auto" w:fill="FFFFFF"/>
            <w:vAlign w:val="center"/>
          </w:tcPr>
          <w:p w14:paraId="719D55A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349.542</w:t>
            </w:r>
          </w:p>
        </w:tc>
      </w:tr>
      <w:tr w14:paraId="6A1B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C84D19E">
            <w:pPr>
              <w:jc w:val="center"/>
              <w:rPr>
                <w:rFonts w:hint="eastAsia" w:ascii="宋体" w:hAnsi="宋体" w:eastAsia="宋体" w:cs="宋体"/>
                <w:sz w:val="21"/>
                <w:szCs w:val="21"/>
              </w:rPr>
            </w:pPr>
          </w:p>
        </w:tc>
        <w:tc>
          <w:tcPr>
            <w:tcW w:w="1310" w:type="pct"/>
            <w:vMerge w:val="continue"/>
            <w:shd w:val="clear" w:color="auto" w:fill="FFFFFF"/>
            <w:vAlign w:val="center"/>
          </w:tcPr>
          <w:p w14:paraId="0C0B4443">
            <w:pPr>
              <w:jc w:val="center"/>
              <w:rPr>
                <w:rFonts w:hint="eastAsia" w:ascii="宋体" w:hAnsi="宋体" w:eastAsia="宋体" w:cs="宋体"/>
                <w:sz w:val="21"/>
                <w:szCs w:val="21"/>
              </w:rPr>
            </w:pPr>
          </w:p>
        </w:tc>
        <w:tc>
          <w:tcPr>
            <w:tcW w:w="2039" w:type="pct"/>
            <w:shd w:val="clear" w:color="auto" w:fill="FFFFFF"/>
            <w:vAlign w:val="center"/>
          </w:tcPr>
          <w:p w14:paraId="6BB05BA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10核6000M</w:t>
            </w:r>
          </w:p>
        </w:tc>
        <w:tc>
          <w:tcPr>
            <w:tcW w:w="737" w:type="pct"/>
            <w:shd w:val="clear" w:color="auto" w:fill="FFFFFF"/>
            <w:vAlign w:val="center"/>
          </w:tcPr>
          <w:p w14:paraId="031FA5F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584.093</w:t>
            </w:r>
          </w:p>
        </w:tc>
      </w:tr>
      <w:tr w14:paraId="0C3B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8932344">
            <w:pPr>
              <w:jc w:val="center"/>
              <w:rPr>
                <w:rFonts w:hint="eastAsia" w:ascii="宋体" w:hAnsi="宋体" w:eastAsia="宋体" w:cs="宋体"/>
                <w:sz w:val="21"/>
                <w:szCs w:val="21"/>
              </w:rPr>
            </w:pPr>
          </w:p>
        </w:tc>
        <w:tc>
          <w:tcPr>
            <w:tcW w:w="1310" w:type="pct"/>
            <w:vMerge w:val="continue"/>
            <w:shd w:val="clear" w:color="auto" w:fill="FFFFFF"/>
            <w:vAlign w:val="center"/>
          </w:tcPr>
          <w:p w14:paraId="105F8B01">
            <w:pPr>
              <w:jc w:val="center"/>
              <w:rPr>
                <w:rFonts w:hint="eastAsia" w:ascii="宋体" w:hAnsi="宋体" w:eastAsia="宋体" w:cs="宋体"/>
                <w:sz w:val="21"/>
                <w:szCs w:val="21"/>
              </w:rPr>
            </w:pPr>
          </w:p>
        </w:tc>
        <w:tc>
          <w:tcPr>
            <w:tcW w:w="2039" w:type="pct"/>
            <w:shd w:val="clear" w:color="auto" w:fill="FFFFFF"/>
            <w:vAlign w:val="center"/>
          </w:tcPr>
          <w:p w14:paraId="250B97E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11核8000M</w:t>
            </w:r>
          </w:p>
        </w:tc>
        <w:tc>
          <w:tcPr>
            <w:tcW w:w="737" w:type="pct"/>
            <w:shd w:val="clear" w:color="auto" w:fill="FFFFFF"/>
            <w:vAlign w:val="center"/>
          </w:tcPr>
          <w:p w14:paraId="40DA49D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621.625</w:t>
            </w:r>
          </w:p>
        </w:tc>
      </w:tr>
      <w:tr w14:paraId="498E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EAF1C25">
            <w:pPr>
              <w:jc w:val="center"/>
              <w:rPr>
                <w:rFonts w:hint="eastAsia" w:ascii="宋体" w:hAnsi="宋体" w:eastAsia="宋体" w:cs="宋体"/>
                <w:sz w:val="21"/>
                <w:szCs w:val="21"/>
              </w:rPr>
            </w:pPr>
          </w:p>
        </w:tc>
        <w:tc>
          <w:tcPr>
            <w:tcW w:w="1310" w:type="pct"/>
            <w:vMerge w:val="continue"/>
            <w:shd w:val="clear" w:color="auto" w:fill="FFFFFF"/>
            <w:vAlign w:val="center"/>
          </w:tcPr>
          <w:p w14:paraId="423DC6C4">
            <w:pPr>
              <w:jc w:val="center"/>
              <w:rPr>
                <w:rFonts w:hint="eastAsia" w:ascii="宋体" w:hAnsi="宋体" w:eastAsia="宋体" w:cs="宋体"/>
                <w:sz w:val="21"/>
                <w:szCs w:val="21"/>
              </w:rPr>
            </w:pPr>
          </w:p>
        </w:tc>
        <w:tc>
          <w:tcPr>
            <w:tcW w:w="2039" w:type="pct"/>
            <w:shd w:val="clear" w:color="auto" w:fill="FFFFFF"/>
            <w:vAlign w:val="center"/>
          </w:tcPr>
          <w:p w14:paraId="0C45C72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12核12000M</w:t>
            </w:r>
          </w:p>
        </w:tc>
        <w:tc>
          <w:tcPr>
            <w:tcW w:w="737" w:type="pct"/>
            <w:shd w:val="clear" w:color="auto" w:fill="FFFFFF"/>
            <w:vAlign w:val="center"/>
          </w:tcPr>
          <w:p w14:paraId="5A9E506D">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1109.419</w:t>
            </w:r>
          </w:p>
        </w:tc>
      </w:tr>
      <w:tr w14:paraId="31B3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328ECA8E">
            <w:pPr>
              <w:jc w:val="center"/>
              <w:rPr>
                <w:rFonts w:hint="eastAsia" w:ascii="宋体" w:hAnsi="宋体" w:eastAsia="宋体" w:cs="宋体"/>
                <w:sz w:val="21"/>
                <w:szCs w:val="21"/>
              </w:rPr>
            </w:pPr>
          </w:p>
        </w:tc>
        <w:tc>
          <w:tcPr>
            <w:tcW w:w="1310" w:type="pct"/>
            <w:vMerge w:val="continue"/>
            <w:shd w:val="clear" w:color="auto" w:fill="FFFFFF"/>
            <w:vAlign w:val="center"/>
          </w:tcPr>
          <w:p w14:paraId="089C4C1E">
            <w:pPr>
              <w:jc w:val="center"/>
              <w:rPr>
                <w:rFonts w:hint="eastAsia" w:ascii="宋体" w:hAnsi="宋体" w:eastAsia="宋体" w:cs="宋体"/>
                <w:sz w:val="21"/>
                <w:szCs w:val="21"/>
              </w:rPr>
            </w:pPr>
          </w:p>
        </w:tc>
        <w:tc>
          <w:tcPr>
            <w:tcW w:w="2039" w:type="pct"/>
            <w:shd w:val="clear" w:color="auto" w:fill="FFFFFF"/>
            <w:vAlign w:val="center"/>
          </w:tcPr>
          <w:p w14:paraId="122668D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13核24000M</w:t>
            </w:r>
          </w:p>
        </w:tc>
        <w:tc>
          <w:tcPr>
            <w:tcW w:w="737" w:type="pct"/>
            <w:shd w:val="clear" w:color="auto" w:fill="FFFFFF"/>
            <w:vAlign w:val="center"/>
          </w:tcPr>
          <w:p w14:paraId="64A6BFA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1184.508</w:t>
            </w:r>
          </w:p>
        </w:tc>
      </w:tr>
      <w:tr w14:paraId="4260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FB8F40C">
            <w:pPr>
              <w:jc w:val="center"/>
              <w:rPr>
                <w:rFonts w:hint="eastAsia" w:ascii="宋体" w:hAnsi="宋体" w:eastAsia="宋体" w:cs="宋体"/>
                <w:sz w:val="21"/>
                <w:szCs w:val="21"/>
              </w:rPr>
            </w:pPr>
          </w:p>
        </w:tc>
        <w:tc>
          <w:tcPr>
            <w:tcW w:w="1310" w:type="pct"/>
            <w:vMerge w:val="continue"/>
            <w:shd w:val="clear" w:color="auto" w:fill="FFFFFF"/>
            <w:vAlign w:val="center"/>
          </w:tcPr>
          <w:p w14:paraId="5B9EDFDB">
            <w:pPr>
              <w:jc w:val="center"/>
              <w:rPr>
                <w:rFonts w:hint="eastAsia" w:ascii="宋体" w:hAnsi="宋体" w:eastAsia="宋体" w:cs="宋体"/>
                <w:sz w:val="21"/>
                <w:szCs w:val="21"/>
              </w:rPr>
            </w:pPr>
          </w:p>
        </w:tc>
        <w:tc>
          <w:tcPr>
            <w:tcW w:w="2039" w:type="pct"/>
            <w:shd w:val="clear" w:color="auto" w:fill="FFFFFF"/>
            <w:vAlign w:val="center"/>
          </w:tcPr>
          <w:p w14:paraId="3076FBB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13核48000M</w:t>
            </w:r>
          </w:p>
        </w:tc>
        <w:tc>
          <w:tcPr>
            <w:tcW w:w="737" w:type="pct"/>
            <w:shd w:val="clear" w:color="auto" w:fill="FFFFFF"/>
            <w:vAlign w:val="center"/>
          </w:tcPr>
          <w:p w14:paraId="1B2773B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2310.25</w:t>
            </w:r>
          </w:p>
        </w:tc>
      </w:tr>
      <w:tr w14:paraId="6DC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4ED3308B">
            <w:pPr>
              <w:jc w:val="center"/>
              <w:rPr>
                <w:rFonts w:hint="eastAsia" w:ascii="宋体" w:hAnsi="宋体" w:eastAsia="宋体" w:cs="宋体"/>
                <w:sz w:val="21"/>
                <w:szCs w:val="21"/>
              </w:rPr>
            </w:pPr>
          </w:p>
        </w:tc>
        <w:tc>
          <w:tcPr>
            <w:tcW w:w="1310" w:type="pct"/>
            <w:vMerge w:val="continue"/>
            <w:shd w:val="clear" w:color="auto" w:fill="FFFFFF"/>
            <w:vAlign w:val="center"/>
          </w:tcPr>
          <w:p w14:paraId="3FD5569F">
            <w:pPr>
              <w:jc w:val="center"/>
              <w:rPr>
                <w:rFonts w:hint="eastAsia" w:ascii="宋体" w:hAnsi="宋体" w:eastAsia="宋体" w:cs="宋体"/>
                <w:sz w:val="21"/>
                <w:szCs w:val="21"/>
              </w:rPr>
            </w:pPr>
          </w:p>
        </w:tc>
        <w:tc>
          <w:tcPr>
            <w:tcW w:w="2039" w:type="pct"/>
            <w:shd w:val="clear" w:color="auto" w:fill="FFFFFF"/>
            <w:vAlign w:val="center"/>
          </w:tcPr>
          <w:p w14:paraId="5EBA98E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 核 2G（通用型，连接数 600）</w:t>
            </w:r>
          </w:p>
        </w:tc>
        <w:tc>
          <w:tcPr>
            <w:tcW w:w="737" w:type="pct"/>
            <w:shd w:val="clear" w:color="auto" w:fill="FFFFFF"/>
            <w:vAlign w:val="center"/>
          </w:tcPr>
          <w:p w14:paraId="132B3DF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263.187</w:t>
            </w:r>
          </w:p>
        </w:tc>
      </w:tr>
      <w:tr w14:paraId="5E87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5F5A4E78">
            <w:pPr>
              <w:jc w:val="center"/>
              <w:rPr>
                <w:rFonts w:hint="eastAsia" w:ascii="宋体" w:hAnsi="宋体" w:eastAsia="宋体" w:cs="宋体"/>
                <w:sz w:val="21"/>
                <w:szCs w:val="21"/>
              </w:rPr>
            </w:pPr>
          </w:p>
        </w:tc>
        <w:tc>
          <w:tcPr>
            <w:tcW w:w="1310" w:type="pct"/>
            <w:vMerge w:val="continue"/>
            <w:shd w:val="clear" w:color="auto" w:fill="FFFFFF"/>
            <w:vAlign w:val="center"/>
          </w:tcPr>
          <w:p w14:paraId="7FC24632">
            <w:pPr>
              <w:jc w:val="center"/>
              <w:rPr>
                <w:rFonts w:hint="eastAsia" w:ascii="宋体" w:hAnsi="宋体" w:eastAsia="宋体" w:cs="宋体"/>
                <w:sz w:val="21"/>
                <w:szCs w:val="21"/>
              </w:rPr>
            </w:pPr>
          </w:p>
        </w:tc>
        <w:tc>
          <w:tcPr>
            <w:tcW w:w="2039" w:type="pct"/>
            <w:shd w:val="clear" w:color="auto" w:fill="FFFFFF"/>
            <w:vAlign w:val="center"/>
          </w:tcPr>
          <w:p w14:paraId="0621195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 核 4G（通用型，连接数 1200）</w:t>
            </w:r>
          </w:p>
        </w:tc>
        <w:tc>
          <w:tcPr>
            <w:tcW w:w="737" w:type="pct"/>
            <w:shd w:val="clear" w:color="auto" w:fill="FFFFFF"/>
            <w:vAlign w:val="center"/>
          </w:tcPr>
          <w:p w14:paraId="5FFD508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269.047</w:t>
            </w:r>
          </w:p>
        </w:tc>
      </w:tr>
      <w:tr w14:paraId="483A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467B18CD">
            <w:pPr>
              <w:jc w:val="center"/>
              <w:rPr>
                <w:rFonts w:hint="eastAsia" w:ascii="宋体" w:hAnsi="宋体" w:eastAsia="宋体" w:cs="宋体"/>
                <w:sz w:val="21"/>
                <w:szCs w:val="21"/>
              </w:rPr>
            </w:pPr>
          </w:p>
        </w:tc>
        <w:tc>
          <w:tcPr>
            <w:tcW w:w="1310" w:type="pct"/>
            <w:vMerge w:val="continue"/>
            <w:shd w:val="clear" w:color="auto" w:fill="FFFFFF"/>
            <w:vAlign w:val="center"/>
          </w:tcPr>
          <w:p w14:paraId="3254E699">
            <w:pPr>
              <w:jc w:val="center"/>
              <w:rPr>
                <w:rFonts w:hint="eastAsia" w:ascii="宋体" w:hAnsi="宋体" w:eastAsia="宋体" w:cs="宋体"/>
                <w:sz w:val="21"/>
                <w:szCs w:val="21"/>
              </w:rPr>
            </w:pPr>
          </w:p>
        </w:tc>
        <w:tc>
          <w:tcPr>
            <w:tcW w:w="2039" w:type="pct"/>
            <w:shd w:val="clear" w:color="auto" w:fill="FFFFFF"/>
            <w:vAlign w:val="center"/>
          </w:tcPr>
          <w:p w14:paraId="23C4E7A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 核 8G（通用型，连接数 2000）</w:t>
            </w:r>
          </w:p>
        </w:tc>
        <w:tc>
          <w:tcPr>
            <w:tcW w:w="737" w:type="pct"/>
            <w:shd w:val="clear" w:color="auto" w:fill="FFFFFF"/>
            <w:vAlign w:val="center"/>
          </w:tcPr>
          <w:p w14:paraId="32FC04A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284.315</w:t>
            </w:r>
          </w:p>
        </w:tc>
      </w:tr>
      <w:tr w14:paraId="4562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700FB6E4">
            <w:pPr>
              <w:jc w:val="center"/>
              <w:rPr>
                <w:rFonts w:hint="eastAsia" w:ascii="宋体" w:hAnsi="宋体" w:eastAsia="宋体" w:cs="宋体"/>
                <w:sz w:val="21"/>
                <w:szCs w:val="21"/>
              </w:rPr>
            </w:pPr>
          </w:p>
        </w:tc>
        <w:tc>
          <w:tcPr>
            <w:tcW w:w="1310" w:type="pct"/>
            <w:vMerge w:val="continue"/>
            <w:shd w:val="clear" w:color="auto" w:fill="FFFFFF"/>
            <w:vAlign w:val="center"/>
          </w:tcPr>
          <w:p w14:paraId="45BF6031">
            <w:pPr>
              <w:jc w:val="center"/>
              <w:rPr>
                <w:rFonts w:hint="eastAsia" w:ascii="宋体" w:hAnsi="宋体" w:eastAsia="宋体" w:cs="宋体"/>
                <w:sz w:val="21"/>
                <w:szCs w:val="21"/>
              </w:rPr>
            </w:pPr>
          </w:p>
        </w:tc>
        <w:tc>
          <w:tcPr>
            <w:tcW w:w="2039" w:type="pct"/>
            <w:shd w:val="clear" w:color="auto" w:fill="FFFFFF"/>
            <w:vAlign w:val="center"/>
          </w:tcPr>
          <w:p w14:paraId="423B82C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 核 8G（通用型，连接数 2000）</w:t>
            </w:r>
          </w:p>
        </w:tc>
        <w:tc>
          <w:tcPr>
            <w:tcW w:w="737" w:type="pct"/>
            <w:shd w:val="clear" w:color="auto" w:fill="FFFFFF"/>
            <w:vAlign w:val="center"/>
          </w:tcPr>
          <w:p w14:paraId="71847C3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475.101</w:t>
            </w:r>
          </w:p>
        </w:tc>
      </w:tr>
      <w:tr w14:paraId="07DB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424433A9">
            <w:pPr>
              <w:jc w:val="center"/>
              <w:rPr>
                <w:rFonts w:hint="eastAsia" w:ascii="宋体" w:hAnsi="宋体" w:eastAsia="宋体" w:cs="宋体"/>
                <w:sz w:val="21"/>
                <w:szCs w:val="21"/>
              </w:rPr>
            </w:pPr>
          </w:p>
        </w:tc>
        <w:tc>
          <w:tcPr>
            <w:tcW w:w="1310" w:type="pct"/>
            <w:vMerge w:val="continue"/>
            <w:shd w:val="clear" w:color="auto" w:fill="FFFFFF"/>
            <w:vAlign w:val="center"/>
          </w:tcPr>
          <w:p w14:paraId="76B7C91C">
            <w:pPr>
              <w:jc w:val="center"/>
              <w:rPr>
                <w:rFonts w:hint="eastAsia" w:ascii="宋体" w:hAnsi="宋体" w:eastAsia="宋体" w:cs="宋体"/>
                <w:sz w:val="21"/>
                <w:szCs w:val="21"/>
              </w:rPr>
            </w:pPr>
          </w:p>
        </w:tc>
        <w:tc>
          <w:tcPr>
            <w:tcW w:w="2039" w:type="pct"/>
            <w:shd w:val="clear" w:color="auto" w:fill="FFFFFF"/>
            <w:vAlign w:val="center"/>
          </w:tcPr>
          <w:p w14:paraId="7392621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 核 16G（通用型，连接数 4000）</w:t>
            </w:r>
          </w:p>
        </w:tc>
        <w:tc>
          <w:tcPr>
            <w:tcW w:w="737" w:type="pct"/>
            <w:shd w:val="clear" w:color="auto" w:fill="FFFFFF"/>
            <w:vAlign w:val="center"/>
          </w:tcPr>
          <w:p w14:paraId="536D10EB">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505.626</w:t>
            </w:r>
          </w:p>
        </w:tc>
      </w:tr>
      <w:tr w14:paraId="30D7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1495DC71">
            <w:pPr>
              <w:jc w:val="center"/>
              <w:rPr>
                <w:rFonts w:hint="eastAsia" w:ascii="宋体" w:hAnsi="宋体" w:eastAsia="宋体" w:cs="宋体"/>
                <w:sz w:val="21"/>
                <w:szCs w:val="21"/>
              </w:rPr>
            </w:pPr>
          </w:p>
        </w:tc>
        <w:tc>
          <w:tcPr>
            <w:tcW w:w="1310" w:type="pct"/>
            <w:vMerge w:val="continue"/>
            <w:shd w:val="clear" w:color="auto" w:fill="FFFFFF"/>
            <w:vAlign w:val="center"/>
          </w:tcPr>
          <w:p w14:paraId="146415DC">
            <w:pPr>
              <w:jc w:val="center"/>
              <w:rPr>
                <w:rFonts w:hint="eastAsia" w:ascii="宋体" w:hAnsi="宋体" w:eastAsia="宋体" w:cs="宋体"/>
                <w:sz w:val="21"/>
                <w:szCs w:val="21"/>
              </w:rPr>
            </w:pPr>
          </w:p>
        </w:tc>
        <w:tc>
          <w:tcPr>
            <w:tcW w:w="2039" w:type="pct"/>
            <w:shd w:val="clear" w:color="auto" w:fill="FFFFFF"/>
            <w:vAlign w:val="center"/>
          </w:tcPr>
          <w:p w14:paraId="103C32D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 核 16G（通用型，连接数 4000）</w:t>
            </w:r>
          </w:p>
        </w:tc>
        <w:tc>
          <w:tcPr>
            <w:tcW w:w="737" w:type="pct"/>
            <w:shd w:val="clear" w:color="auto" w:fill="FFFFFF"/>
            <w:vAlign w:val="center"/>
          </w:tcPr>
          <w:p w14:paraId="6A738B4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902.401</w:t>
            </w:r>
          </w:p>
        </w:tc>
      </w:tr>
      <w:tr w14:paraId="2AA8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60340D18">
            <w:pPr>
              <w:jc w:val="center"/>
              <w:rPr>
                <w:rFonts w:hint="eastAsia" w:ascii="宋体" w:hAnsi="宋体" w:eastAsia="宋体" w:cs="宋体"/>
                <w:sz w:val="21"/>
                <w:szCs w:val="21"/>
              </w:rPr>
            </w:pPr>
          </w:p>
        </w:tc>
        <w:tc>
          <w:tcPr>
            <w:tcW w:w="1310" w:type="pct"/>
            <w:vMerge w:val="continue"/>
            <w:shd w:val="clear" w:color="auto" w:fill="FFFFFF"/>
            <w:vAlign w:val="center"/>
          </w:tcPr>
          <w:p w14:paraId="614579E5">
            <w:pPr>
              <w:jc w:val="center"/>
              <w:rPr>
                <w:rFonts w:hint="eastAsia" w:ascii="宋体" w:hAnsi="宋体" w:eastAsia="宋体" w:cs="宋体"/>
                <w:sz w:val="21"/>
                <w:szCs w:val="21"/>
              </w:rPr>
            </w:pPr>
          </w:p>
        </w:tc>
        <w:tc>
          <w:tcPr>
            <w:tcW w:w="2039" w:type="pct"/>
            <w:shd w:val="clear" w:color="auto" w:fill="FFFFFF"/>
            <w:vAlign w:val="center"/>
          </w:tcPr>
          <w:p w14:paraId="4EC840E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 核 32G（通用型，连接数 8000）</w:t>
            </w:r>
          </w:p>
        </w:tc>
        <w:tc>
          <w:tcPr>
            <w:tcW w:w="737" w:type="pct"/>
            <w:shd w:val="clear" w:color="auto" w:fill="FFFFFF"/>
            <w:vAlign w:val="center"/>
          </w:tcPr>
          <w:p w14:paraId="026DDCE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963.473</w:t>
            </w:r>
          </w:p>
        </w:tc>
      </w:tr>
      <w:tr w14:paraId="3476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4E191E23">
            <w:pPr>
              <w:jc w:val="center"/>
              <w:rPr>
                <w:rFonts w:hint="eastAsia" w:ascii="宋体" w:hAnsi="宋体" w:eastAsia="宋体" w:cs="宋体"/>
                <w:sz w:val="21"/>
                <w:szCs w:val="21"/>
              </w:rPr>
            </w:pPr>
          </w:p>
        </w:tc>
        <w:tc>
          <w:tcPr>
            <w:tcW w:w="1310" w:type="pct"/>
            <w:vMerge w:val="continue"/>
            <w:shd w:val="clear" w:color="auto" w:fill="FFFFFF"/>
            <w:vAlign w:val="center"/>
          </w:tcPr>
          <w:p w14:paraId="576EDF38">
            <w:pPr>
              <w:jc w:val="center"/>
              <w:rPr>
                <w:rFonts w:hint="eastAsia" w:ascii="宋体" w:hAnsi="宋体" w:eastAsia="宋体" w:cs="宋体"/>
                <w:sz w:val="21"/>
                <w:szCs w:val="21"/>
              </w:rPr>
            </w:pPr>
          </w:p>
        </w:tc>
        <w:tc>
          <w:tcPr>
            <w:tcW w:w="2039" w:type="pct"/>
            <w:shd w:val="clear" w:color="auto" w:fill="FFFFFF"/>
            <w:vAlign w:val="center"/>
          </w:tcPr>
          <w:p w14:paraId="2365082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 64G（通用型，连接数 16000）</w:t>
            </w:r>
          </w:p>
        </w:tc>
        <w:tc>
          <w:tcPr>
            <w:tcW w:w="737" w:type="pct"/>
            <w:shd w:val="clear" w:color="auto" w:fill="FFFFFF"/>
            <w:vAlign w:val="center"/>
          </w:tcPr>
          <w:p w14:paraId="20F2F05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1879.149</w:t>
            </w:r>
          </w:p>
        </w:tc>
      </w:tr>
      <w:tr w14:paraId="41FD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3434BFE3">
            <w:pPr>
              <w:jc w:val="center"/>
              <w:rPr>
                <w:rFonts w:hint="eastAsia" w:ascii="宋体" w:hAnsi="宋体" w:eastAsia="宋体" w:cs="宋体"/>
                <w:sz w:val="21"/>
                <w:szCs w:val="21"/>
              </w:rPr>
            </w:pPr>
          </w:p>
        </w:tc>
        <w:tc>
          <w:tcPr>
            <w:tcW w:w="1310" w:type="pct"/>
            <w:vMerge w:val="continue"/>
            <w:shd w:val="clear" w:color="auto" w:fill="FFFFFF"/>
            <w:vAlign w:val="center"/>
          </w:tcPr>
          <w:p w14:paraId="3DC4E21A">
            <w:pPr>
              <w:jc w:val="center"/>
              <w:rPr>
                <w:rFonts w:hint="eastAsia" w:ascii="宋体" w:hAnsi="宋体" w:eastAsia="宋体" w:cs="宋体"/>
                <w:sz w:val="21"/>
                <w:szCs w:val="21"/>
              </w:rPr>
            </w:pPr>
          </w:p>
        </w:tc>
        <w:tc>
          <w:tcPr>
            <w:tcW w:w="2039" w:type="pct"/>
            <w:shd w:val="clear" w:color="auto" w:fill="FFFFFF"/>
            <w:vAlign w:val="center"/>
          </w:tcPr>
          <w:p w14:paraId="02FF929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 96G（通用型，连接数 24000）</w:t>
            </w:r>
          </w:p>
        </w:tc>
        <w:tc>
          <w:tcPr>
            <w:tcW w:w="737" w:type="pct"/>
            <w:shd w:val="clear" w:color="auto" w:fill="FFFFFF"/>
            <w:vAlign w:val="center"/>
          </w:tcPr>
          <w:p w14:paraId="0570BDB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14902.445</w:t>
            </w:r>
          </w:p>
        </w:tc>
      </w:tr>
      <w:tr w14:paraId="5D8B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 w:hRule="atLeast"/>
          <w:jc w:val="center"/>
        </w:trPr>
        <w:tc>
          <w:tcPr>
            <w:tcW w:w="912" w:type="pct"/>
            <w:vMerge w:val="continue"/>
            <w:shd w:val="clear" w:color="auto" w:fill="FFFFFF"/>
            <w:vAlign w:val="center"/>
          </w:tcPr>
          <w:p w14:paraId="50C56AB4">
            <w:pPr>
              <w:jc w:val="center"/>
              <w:rPr>
                <w:rFonts w:hint="eastAsia" w:ascii="宋体" w:hAnsi="宋体" w:eastAsia="宋体" w:cs="宋体"/>
                <w:sz w:val="21"/>
                <w:szCs w:val="21"/>
              </w:rPr>
            </w:pPr>
          </w:p>
        </w:tc>
        <w:tc>
          <w:tcPr>
            <w:tcW w:w="1310" w:type="pct"/>
            <w:vMerge w:val="continue"/>
            <w:shd w:val="clear" w:color="auto" w:fill="FFFFFF"/>
            <w:vAlign w:val="center"/>
          </w:tcPr>
          <w:p w14:paraId="4D17E4BE">
            <w:pPr>
              <w:jc w:val="center"/>
              <w:rPr>
                <w:rFonts w:hint="eastAsia" w:ascii="宋体" w:hAnsi="宋体" w:eastAsia="宋体" w:cs="宋体"/>
                <w:sz w:val="21"/>
                <w:szCs w:val="21"/>
              </w:rPr>
            </w:pPr>
          </w:p>
        </w:tc>
        <w:tc>
          <w:tcPr>
            <w:tcW w:w="2039" w:type="pct"/>
            <w:shd w:val="clear" w:color="auto" w:fill="FFFFFF"/>
            <w:vAlign w:val="center"/>
          </w:tcPr>
          <w:p w14:paraId="54D1938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核128G,2000GB Disk（独享型， 连接数 20000）</w:t>
            </w:r>
          </w:p>
        </w:tc>
        <w:tc>
          <w:tcPr>
            <w:tcW w:w="737" w:type="pct"/>
            <w:shd w:val="clear" w:color="auto" w:fill="FFFFFF"/>
            <w:vAlign w:val="center"/>
          </w:tcPr>
          <w:p w14:paraId="7136B35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19621.553</w:t>
            </w:r>
          </w:p>
        </w:tc>
      </w:tr>
      <w:tr w14:paraId="1A5D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A9711A0">
            <w:pPr>
              <w:jc w:val="center"/>
              <w:rPr>
                <w:rFonts w:hint="eastAsia" w:ascii="宋体" w:hAnsi="宋体" w:eastAsia="宋体" w:cs="宋体"/>
                <w:sz w:val="21"/>
                <w:szCs w:val="21"/>
              </w:rPr>
            </w:pPr>
          </w:p>
        </w:tc>
        <w:tc>
          <w:tcPr>
            <w:tcW w:w="1310" w:type="pct"/>
            <w:vMerge w:val="continue"/>
            <w:shd w:val="clear" w:color="auto" w:fill="FFFFFF"/>
            <w:vAlign w:val="center"/>
          </w:tcPr>
          <w:p w14:paraId="6706FC09">
            <w:pPr>
              <w:jc w:val="center"/>
              <w:rPr>
                <w:rFonts w:hint="eastAsia" w:ascii="宋体" w:hAnsi="宋体" w:eastAsia="宋体" w:cs="宋体"/>
                <w:sz w:val="21"/>
                <w:szCs w:val="21"/>
              </w:rPr>
            </w:pPr>
          </w:p>
        </w:tc>
        <w:tc>
          <w:tcPr>
            <w:tcW w:w="2039" w:type="pct"/>
            <w:shd w:val="clear" w:color="auto" w:fill="FFFFFF"/>
            <w:vAlign w:val="center"/>
          </w:tcPr>
          <w:p w14:paraId="4E2BEB1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存储空间：GB</w:t>
            </w:r>
          </w:p>
        </w:tc>
        <w:tc>
          <w:tcPr>
            <w:tcW w:w="737" w:type="pct"/>
            <w:shd w:val="clear" w:color="auto" w:fill="FFFFFF"/>
            <w:vAlign w:val="center"/>
          </w:tcPr>
          <w:p w14:paraId="45DE626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0.496</w:t>
            </w:r>
          </w:p>
        </w:tc>
      </w:tr>
      <w:tr w14:paraId="015C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 w:hRule="atLeast"/>
          <w:jc w:val="center"/>
        </w:trPr>
        <w:tc>
          <w:tcPr>
            <w:tcW w:w="912" w:type="pct"/>
            <w:shd w:val="clear" w:color="auto" w:fill="auto"/>
            <w:vAlign w:val="center"/>
          </w:tcPr>
          <w:p w14:paraId="3C47FBC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数据库备份</w:t>
            </w:r>
          </w:p>
        </w:tc>
        <w:tc>
          <w:tcPr>
            <w:tcW w:w="1310" w:type="pct"/>
            <w:shd w:val="clear" w:color="auto" w:fill="auto"/>
            <w:vAlign w:val="center"/>
          </w:tcPr>
          <w:p w14:paraId="50E1F79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根据备份空间的大小按月计费</w:t>
            </w:r>
          </w:p>
        </w:tc>
        <w:tc>
          <w:tcPr>
            <w:tcW w:w="2039" w:type="pct"/>
            <w:shd w:val="clear" w:color="auto" w:fill="FFFFFF"/>
            <w:vAlign w:val="center"/>
          </w:tcPr>
          <w:p w14:paraId="6940193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05F91298">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0.05</w:t>
            </w:r>
          </w:p>
        </w:tc>
      </w:tr>
      <w:tr w14:paraId="5730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restart"/>
            <w:shd w:val="clear" w:color="auto" w:fill="auto"/>
            <w:vAlign w:val="center"/>
          </w:tcPr>
          <w:p w14:paraId="35B6691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云数据库 RDS PostgreSQL 版</w:t>
            </w:r>
          </w:p>
        </w:tc>
        <w:tc>
          <w:tcPr>
            <w:tcW w:w="1310" w:type="pct"/>
            <w:vMerge w:val="restart"/>
            <w:shd w:val="clear" w:color="auto" w:fill="auto"/>
            <w:vAlign w:val="center"/>
          </w:tcPr>
          <w:p w14:paraId="4B7A81A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根据实例规格和个数+存储空间按月计费</w:t>
            </w:r>
          </w:p>
        </w:tc>
        <w:tc>
          <w:tcPr>
            <w:tcW w:w="2039" w:type="pct"/>
            <w:shd w:val="clear" w:color="auto" w:fill="FFFFFF"/>
            <w:vAlign w:val="center"/>
          </w:tcPr>
          <w:p w14:paraId="68FD5C5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 核 1G（通用型，连接数 100）</w:t>
            </w:r>
          </w:p>
        </w:tc>
        <w:tc>
          <w:tcPr>
            <w:tcW w:w="737" w:type="pct"/>
            <w:shd w:val="clear" w:color="auto" w:fill="FFFFFF"/>
            <w:vAlign w:val="center"/>
          </w:tcPr>
          <w:p w14:paraId="60516F2F">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86.931</w:t>
            </w:r>
          </w:p>
        </w:tc>
      </w:tr>
      <w:tr w14:paraId="056D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39CC8766">
            <w:pPr>
              <w:jc w:val="center"/>
              <w:rPr>
                <w:rFonts w:hint="eastAsia" w:ascii="宋体" w:hAnsi="宋体" w:eastAsia="宋体" w:cs="宋体"/>
                <w:sz w:val="21"/>
                <w:szCs w:val="21"/>
              </w:rPr>
            </w:pPr>
          </w:p>
        </w:tc>
        <w:tc>
          <w:tcPr>
            <w:tcW w:w="1310" w:type="pct"/>
            <w:vMerge w:val="continue"/>
            <w:shd w:val="clear" w:color="auto" w:fill="auto"/>
            <w:vAlign w:val="center"/>
          </w:tcPr>
          <w:p w14:paraId="1FA2CEE4">
            <w:pPr>
              <w:jc w:val="center"/>
              <w:rPr>
                <w:rFonts w:hint="eastAsia" w:ascii="宋体" w:hAnsi="宋体" w:eastAsia="宋体" w:cs="宋体"/>
                <w:sz w:val="21"/>
                <w:szCs w:val="21"/>
              </w:rPr>
            </w:pPr>
          </w:p>
        </w:tc>
        <w:tc>
          <w:tcPr>
            <w:tcW w:w="2039" w:type="pct"/>
            <w:shd w:val="clear" w:color="auto" w:fill="FFFFFF"/>
            <w:vAlign w:val="center"/>
          </w:tcPr>
          <w:p w14:paraId="4F409BA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 核 2G（通用型，连接数 200）</w:t>
            </w:r>
          </w:p>
        </w:tc>
        <w:tc>
          <w:tcPr>
            <w:tcW w:w="737" w:type="pct"/>
            <w:shd w:val="clear" w:color="auto" w:fill="FFFFFF"/>
            <w:vAlign w:val="center"/>
          </w:tcPr>
          <w:p w14:paraId="3D57603E">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161.44</w:t>
            </w:r>
          </w:p>
        </w:tc>
      </w:tr>
      <w:tr w14:paraId="168D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6B80B521">
            <w:pPr>
              <w:jc w:val="center"/>
              <w:rPr>
                <w:rFonts w:hint="eastAsia" w:ascii="宋体" w:hAnsi="宋体" w:eastAsia="宋体" w:cs="宋体"/>
                <w:sz w:val="21"/>
                <w:szCs w:val="21"/>
              </w:rPr>
            </w:pPr>
          </w:p>
        </w:tc>
        <w:tc>
          <w:tcPr>
            <w:tcW w:w="1310" w:type="pct"/>
            <w:vMerge w:val="continue"/>
            <w:shd w:val="clear" w:color="auto" w:fill="auto"/>
            <w:vAlign w:val="center"/>
          </w:tcPr>
          <w:p w14:paraId="4CF9B1B8">
            <w:pPr>
              <w:jc w:val="center"/>
              <w:rPr>
                <w:rFonts w:hint="eastAsia" w:ascii="宋体" w:hAnsi="宋体" w:eastAsia="宋体" w:cs="宋体"/>
                <w:sz w:val="21"/>
                <w:szCs w:val="21"/>
              </w:rPr>
            </w:pPr>
          </w:p>
        </w:tc>
        <w:tc>
          <w:tcPr>
            <w:tcW w:w="2039" w:type="pct"/>
            <w:shd w:val="clear" w:color="auto" w:fill="FFFFFF"/>
            <w:vAlign w:val="center"/>
          </w:tcPr>
          <w:p w14:paraId="119D1B9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 核 4G（通用型，连接数 400）</w:t>
            </w:r>
          </w:p>
        </w:tc>
        <w:tc>
          <w:tcPr>
            <w:tcW w:w="737" w:type="pct"/>
            <w:shd w:val="clear" w:color="auto" w:fill="FFFFFF"/>
            <w:vAlign w:val="center"/>
          </w:tcPr>
          <w:p w14:paraId="1E010ED0">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263.898</w:t>
            </w:r>
          </w:p>
        </w:tc>
      </w:tr>
      <w:tr w14:paraId="4511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2656E3F1">
            <w:pPr>
              <w:jc w:val="center"/>
              <w:rPr>
                <w:rFonts w:hint="eastAsia" w:ascii="宋体" w:hAnsi="宋体" w:eastAsia="宋体" w:cs="宋体"/>
                <w:sz w:val="21"/>
                <w:szCs w:val="21"/>
              </w:rPr>
            </w:pPr>
          </w:p>
        </w:tc>
        <w:tc>
          <w:tcPr>
            <w:tcW w:w="1310" w:type="pct"/>
            <w:vMerge w:val="continue"/>
            <w:shd w:val="clear" w:color="auto" w:fill="auto"/>
            <w:vAlign w:val="center"/>
          </w:tcPr>
          <w:p w14:paraId="1B4F6EEF">
            <w:pPr>
              <w:jc w:val="center"/>
              <w:rPr>
                <w:rFonts w:hint="eastAsia" w:ascii="宋体" w:hAnsi="宋体" w:eastAsia="宋体" w:cs="宋体"/>
                <w:sz w:val="21"/>
                <w:szCs w:val="21"/>
              </w:rPr>
            </w:pPr>
          </w:p>
        </w:tc>
        <w:tc>
          <w:tcPr>
            <w:tcW w:w="2039" w:type="pct"/>
            <w:shd w:val="clear" w:color="auto" w:fill="FFFFFF"/>
            <w:vAlign w:val="center"/>
          </w:tcPr>
          <w:p w14:paraId="0F322F5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 核 8G（通用型，连接数 800）</w:t>
            </w:r>
          </w:p>
        </w:tc>
        <w:tc>
          <w:tcPr>
            <w:tcW w:w="737" w:type="pct"/>
            <w:shd w:val="clear" w:color="auto" w:fill="FFFFFF"/>
            <w:vAlign w:val="center"/>
          </w:tcPr>
          <w:p w14:paraId="2CF174E6">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497.183</w:t>
            </w:r>
          </w:p>
        </w:tc>
      </w:tr>
      <w:tr w14:paraId="45B9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1DFADCFD">
            <w:pPr>
              <w:jc w:val="center"/>
              <w:rPr>
                <w:rFonts w:hint="eastAsia" w:ascii="宋体" w:hAnsi="宋体" w:eastAsia="宋体" w:cs="宋体"/>
                <w:sz w:val="21"/>
                <w:szCs w:val="21"/>
              </w:rPr>
            </w:pPr>
          </w:p>
        </w:tc>
        <w:tc>
          <w:tcPr>
            <w:tcW w:w="1310" w:type="pct"/>
            <w:vMerge w:val="continue"/>
            <w:shd w:val="clear" w:color="auto" w:fill="auto"/>
            <w:vAlign w:val="center"/>
          </w:tcPr>
          <w:p w14:paraId="5EB64FC6">
            <w:pPr>
              <w:jc w:val="center"/>
              <w:rPr>
                <w:rFonts w:hint="eastAsia" w:ascii="宋体" w:hAnsi="宋体" w:eastAsia="宋体" w:cs="宋体"/>
                <w:sz w:val="21"/>
                <w:szCs w:val="21"/>
              </w:rPr>
            </w:pPr>
          </w:p>
        </w:tc>
        <w:tc>
          <w:tcPr>
            <w:tcW w:w="2039" w:type="pct"/>
            <w:shd w:val="clear" w:color="auto" w:fill="FFFFFF"/>
            <w:vAlign w:val="center"/>
          </w:tcPr>
          <w:p w14:paraId="7091493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 核 16G（通用型，连接数 1500）</w:t>
            </w:r>
          </w:p>
        </w:tc>
        <w:tc>
          <w:tcPr>
            <w:tcW w:w="737" w:type="pct"/>
            <w:shd w:val="clear" w:color="auto" w:fill="FFFFFF"/>
            <w:vAlign w:val="center"/>
          </w:tcPr>
          <w:p w14:paraId="4CA5F5AC">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994.893</w:t>
            </w:r>
          </w:p>
        </w:tc>
      </w:tr>
      <w:tr w14:paraId="020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1748878A">
            <w:pPr>
              <w:jc w:val="center"/>
              <w:rPr>
                <w:rFonts w:hint="eastAsia" w:ascii="宋体" w:hAnsi="宋体" w:eastAsia="宋体" w:cs="宋体"/>
                <w:sz w:val="21"/>
                <w:szCs w:val="21"/>
              </w:rPr>
            </w:pPr>
          </w:p>
        </w:tc>
        <w:tc>
          <w:tcPr>
            <w:tcW w:w="1310" w:type="pct"/>
            <w:vMerge w:val="continue"/>
            <w:shd w:val="clear" w:color="auto" w:fill="auto"/>
            <w:vAlign w:val="center"/>
          </w:tcPr>
          <w:p w14:paraId="29FB2FE5">
            <w:pPr>
              <w:jc w:val="center"/>
              <w:rPr>
                <w:rFonts w:hint="eastAsia" w:ascii="宋体" w:hAnsi="宋体" w:eastAsia="宋体" w:cs="宋体"/>
                <w:sz w:val="21"/>
                <w:szCs w:val="21"/>
              </w:rPr>
            </w:pPr>
          </w:p>
        </w:tc>
        <w:tc>
          <w:tcPr>
            <w:tcW w:w="2039" w:type="pct"/>
            <w:shd w:val="clear" w:color="auto" w:fill="FFFFFF"/>
            <w:vAlign w:val="center"/>
          </w:tcPr>
          <w:p w14:paraId="1A9D9B1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 核 32G（通用型，连接数 2000）</w:t>
            </w:r>
          </w:p>
        </w:tc>
        <w:tc>
          <w:tcPr>
            <w:tcW w:w="737" w:type="pct"/>
            <w:shd w:val="clear" w:color="auto" w:fill="FFFFFF"/>
            <w:vAlign w:val="center"/>
          </w:tcPr>
          <w:p w14:paraId="74845225">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1148.731</w:t>
            </w:r>
          </w:p>
        </w:tc>
      </w:tr>
      <w:tr w14:paraId="384C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2A7E4D09">
            <w:pPr>
              <w:jc w:val="center"/>
              <w:rPr>
                <w:rFonts w:hint="eastAsia" w:ascii="宋体" w:hAnsi="宋体" w:eastAsia="宋体" w:cs="宋体"/>
                <w:sz w:val="21"/>
                <w:szCs w:val="21"/>
              </w:rPr>
            </w:pPr>
          </w:p>
        </w:tc>
        <w:tc>
          <w:tcPr>
            <w:tcW w:w="1310" w:type="pct"/>
            <w:vMerge w:val="continue"/>
            <w:shd w:val="clear" w:color="auto" w:fill="auto"/>
            <w:vAlign w:val="center"/>
          </w:tcPr>
          <w:p w14:paraId="48043104">
            <w:pPr>
              <w:jc w:val="center"/>
              <w:rPr>
                <w:rFonts w:hint="eastAsia" w:ascii="宋体" w:hAnsi="宋体" w:eastAsia="宋体" w:cs="宋体"/>
                <w:sz w:val="21"/>
                <w:szCs w:val="21"/>
              </w:rPr>
            </w:pPr>
          </w:p>
        </w:tc>
        <w:tc>
          <w:tcPr>
            <w:tcW w:w="2039" w:type="pct"/>
            <w:shd w:val="clear" w:color="auto" w:fill="FFFFFF"/>
            <w:vAlign w:val="center"/>
          </w:tcPr>
          <w:p w14:paraId="28CE842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 64G（通用型，连接数 2000）</w:t>
            </w:r>
          </w:p>
        </w:tc>
        <w:tc>
          <w:tcPr>
            <w:tcW w:w="737" w:type="pct"/>
            <w:shd w:val="clear" w:color="auto" w:fill="FFFFFF"/>
            <w:vAlign w:val="center"/>
          </w:tcPr>
          <w:p w14:paraId="056AD852">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2266.413</w:t>
            </w:r>
          </w:p>
        </w:tc>
      </w:tr>
      <w:tr w14:paraId="1734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24729A81">
            <w:pPr>
              <w:jc w:val="center"/>
              <w:rPr>
                <w:rFonts w:hint="eastAsia" w:ascii="宋体" w:hAnsi="宋体" w:eastAsia="宋体" w:cs="宋体"/>
                <w:sz w:val="21"/>
                <w:szCs w:val="21"/>
              </w:rPr>
            </w:pPr>
          </w:p>
        </w:tc>
        <w:tc>
          <w:tcPr>
            <w:tcW w:w="1310" w:type="pct"/>
            <w:vMerge w:val="continue"/>
            <w:shd w:val="clear" w:color="auto" w:fill="auto"/>
            <w:vAlign w:val="center"/>
          </w:tcPr>
          <w:p w14:paraId="6D570EE3">
            <w:pPr>
              <w:jc w:val="center"/>
              <w:rPr>
                <w:rFonts w:hint="eastAsia" w:ascii="宋体" w:hAnsi="宋体" w:eastAsia="宋体" w:cs="宋体"/>
                <w:sz w:val="21"/>
                <w:szCs w:val="21"/>
              </w:rPr>
            </w:pPr>
          </w:p>
        </w:tc>
        <w:tc>
          <w:tcPr>
            <w:tcW w:w="2039" w:type="pct"/>
            <w:shd w:val="clear" w:color="auto" w:fill="FFFFFF"/>
            <w:vAlign w:val="center"/>
          </w:tcPr>
          <w:p w14:paraId="6E67286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存储空间：GB</w:t>
            </w:r>
          </w:p>
        </w:tc>
        <w:tc>
          <w:tcPr>
            <w:tcW w:w="737" w:type="pct"/>
            <w:shd w:val="clear" w:color="auto" w:fill="FFFFFF"/>
            <w:vAlign w:val="center"/>
          </w:tcPr>
          <w:p w14:paraId="7A17447B">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0.496</w:t>
            </w:r>
          </w:p>
        </w:tc>
      </w:tr>
      <w:tr w14:paraId="58D4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0A96A1E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Oracle一体机服务(不含RAC)</w:t>
            </w:r>
          </w:p>
        </w:tc>
        <w:tc>
          <w:tcPr>
            <w:tcW w:w="1310" w:type="pct"/>
            <w:shd w:val="clear" w:color="auto" w:fill="FFFFFF"/>
            <w:vAlign w:val="center"/>
          </w:tcPr>
          <w:p w14:paraId="2D54715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CPU</w:t>
            </w:r>
          </w:p>
        </w:tc>
        <w:tc>
          <w:tcPr>
            <w:tcW w:w="2039" w:type="pct"/>
            <w:shd w:val="clear" w:color="auto" w:fill="FFFFFF"/>
            <w:vAlign w:val="center"/>
          </w:tcPr>
          <w:p w14:paraId="742EE57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核</w:t>
            </w:r>
          </w:p>
        </w:tc>
        <w:tc>
          <w:tcPr>
            <w:tcW w:w="737" w:type="pct"/>
            <w:shd w:val="clear" w:color="auto" w:fill="FFFFFF"/>
            <w:vAlign w:val="center"/>
          </w:tcPr>
          <w:p w14:paraId="6DDF7C25">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760.32</w:t>
            </w:r>
          </w:p>
        </w:tc>
      </w:tr>
      <w:tr w14:paraId="44C4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3C47DC3C">
            <w:pPr>
              <w:jc w:val="center"/>
              <w:rPr>
                <w:rFonts w:hint="eastAsia" w:ascii="宋体" w:hAnsi="宋体" w:eastAsia="宋体" w:cs="宋体"/>
                <w:sz w:val="21"/>
                <w:szCs w:val="21"/>
              </w:rPr>
            </w:pPr>
          </w:p>
        </w:tc>
        <w:tc>
          <w:tcPr>
            <w:tcW w:w="1310" w:type="pct"/>
            <w:shd w:val="clear" w:color="auto" w:fill="FFFFFF"/>
            <w:vAlign w:val="center"/>
          </w:tcPr>
          <w:p w14:paraId="17BCE18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内存</w:t>
            </w:r>
          </w:p>
        </w:tc>
        <w:tc>
          <w:tcPr>
            <w:tcW w:w="2039" w:type="pct"/>
            <w:shd w:val="clear" w:color="auto" w:fill="FFFFFF"/>
            <w:vAlign w:val="center"/>
          </w:tcPr>
          <w:p w14:paraId="2F9FB4D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每GB</w:t>
            </w:r>
          </w:p>
        </w:tc>
        <w:tc>
          <w:tcPr>
            <w:tcW w:w="737" w:type="pct"/>
            <w:shd w:val="clear" w:color="auto" w:fill="FFFFFF"/>
            <w:vAlign w:val="center"/>
          </w:tcPr>
          <w:p w14:paraId="63F4794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456.192</w:t>
            </w:r>
          </w:p>
        </w:tc>
      </w:tr>
      <w:tr w14:paraId="6F75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422B421">
            <w:pPr>
              <w:jc w:val="center"/>
              <w:rPr>
                <w:rFonts w:hint="eastAsia" w:ascii="宋体" w:hAnsi="宋体" w:eastAsia="宋体" w:cs="宋体"/>
                <w:sz w:val="21"/>
                <w:szCs w:val="21"/>
              </w:rPr>
            </w:pPr>
          </w:p>
        </w:tc>
        <w:tc>
          <w:tcPr>
            <w:tcW w:w="1310" w:type="pct"/>
            <w:shd w:val="clear" w:color="auto" w:fill="FFFFFF"/>
            <w:vAlign w:val="center"/>
          </w:tcPr>
          <w:p w14:paraId="703393A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存储空间</w:t>
            </w:r>
          </w:p>
        </w:tc>
        <w:tc>
          <w:tcPr>
            <w:tcW w:w="2039" w:type="pct"/>
            <w:shd w:val="clear" w:color="auto" w:fill="FFFFFF"/>
            <w:vAlign w:val="center"/>
          </w:tcPr>
          <w:p w14:paraId="6866B9F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每TB</w:t>
            </w:r>
          </w:p>
        </w:tc>
        <w:tc>
          <w:tcPr>
            <w:tcW w:w="737" w:type="pct"/>
            <w:shd w:val="clear" w:color="auto" w:fill="FFFFFF"/>
            <w:vAlign w:val="center"/>
          </w:tcPr>
          <w:p w14:paraId="1A1A6E2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1277.3376</w:t>
            </w:r>
          </w:p>
        </w:tc>
      </w:tr>
      <w:tr w14:paraId="5BA1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364B0E3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Oracle一体机服务(含RAC)</w:t>
            </w:r>
          </w:p>
        </w:tc>
        <w:tc>
          <w:tcPr>
            <w:tcW w:w="1310" w:type="pct"/>
            <w:shd w:val="clear" w:color="auto" w:fill="FFFFFF"/>
            <w:vAlign w:val="center"/>
          </w:tcPr>
          <w:p w14:paraId="0CEA913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CPU</w:t>
            </w:r>
          </w:p>
        </w:tc>
        <w:tc>
          <w:tcPr>
            <w:tcW w:w="2039" w:type="pct"/>
            <w:shd w:val="clear" w:color="auto" w:fill="FFFFFF"/>
            <w:vAlign w:val="center"/>
          </w:tcPr>
          <w:p w14:paraId="4F46B8D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核</w:t>
            </w:r>
          </w:p>
        </w:tc>
        <w:tc>
          <w:tcPr>
            <w:tcW w:w="737" w:type="pct"/>
            <w:shd w:val="clear" w:color="auto" w:fill="FFFFFF"/>
            <w:vAlign w:val="center"/>
          </w:tcPr>
          <w:p w14:paraId="635B52C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988.416</w:t>
            </w:r>
          </w:p>
        </w:tc>
      </w:tr>
      <w:tr w14:paraId="601B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5B73FF1">
            <w:pPr>
              <w:jc w:val="center"/>
              <w:rPr>
                <w:rFonts w:hint="eastAsia" w:ascii="宋体" w:hAnsi="宋体" w:eastAsia="宋体" w:cs="宋体"/>
                <w:sz w:val="21"/>
                <w:szCs w:val="21"/>
              </w:rPr>
            </w:pPr>
          </w:p>
        </w:tc>
        <w:tc>
          <w:tcPr>
            <w:tcW w:w="1310" w:type="pct"/>
            <w:shd w:val="clear" w:color="auto" w:fill="FFFFFF"/>
            <w:vAlign w:val="center"/>
          </w:tcPr>
          <w:p w14:paraId="0E28CC7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内存</w:t>
            </w:r>
          </w:p>
        </w:tc>
        <w:tc>
          <w:tcPr>
            <w:tcW w:w="2039" w:type="pct"/>
            <w:shd w:val="clear" w:color="auto" w:fill="FFFFFF"/>
            <w:vAlign w:val="center"/>
          </w:tcPr>
          <w:p w14:paraId="45A477F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每GB</w:t>
            </w:r>
          </w:p>
        </w:tc>
        <w:tc>
          <w:tcPr>
            <w:tcW w:w="737" w:type="pct"/>
            <w:shd w:val="clear" w:color="auto" w:fill="FFFFFF"/>
            <w:vAlign w:val="center"/>
          </w:tcPr>
          <w:p w14:paraId="7919D85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646.272</w:t>
            </w:r>
          </w:p>
        </w:tc>
      </w:tr>
      <w:tr w14:paraId="14C3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20EC48AC">
            <w:pPr>
              <w:jc w:val="center"/>
              <w:rPr>
                <w:rFonts w:hint="eastAsia" w:ascii="宋体" w:hAnsi="宋体" w:eastAsia="宋体" w:cs="宋体"/>
                <w:sz w:val="21"/>
                <w:szCs w:val="21"/>
              </w:rPr>
            </w:pPr>
          </w:p>
        </w:tc>
        <w:tc>
          <w:tcPr>
            <w:tcW w:w="1310" w:type="pct"/>
            <w:shd w:val="clear" w:color="auto" w:fill="FFFFFF"/>
            <w:vAlign w:val="center"/>
          </w:tcPr>
          <w:p w14:paraId="054D0AE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存储空间</w:t>
            </w:r>
          </w:p>
        </w:tc>
        <w:tc>
          <w:tcPr>
            <w:tcW w:w="2039" w:type="pct"/>
            <w:shd w:val="clear" w:color="auto" w:fill="FFFFFF"/>
            <w:vAlign w:val="center"/>
          </w:tcPr>
          <w:p w14:paraId="7DA0F47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每TB</w:t>
            </w:r>
          </w:p>
        </w:tc>
        <w:tc>
          <w:tcPr>
            <w:tcW w:w="737" w:type="pct"/>
            <w:shd w:val="clear" w:color="auto" w:fill="FFFFFF"/>
            <w:vAlign w:val="center"/>
          </w:tcPr>
          <w:p w14:paraId="7F67A31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1277.3376</w:t>
            </w:r>
          </w:p>
        </w:tc>
      </w:tr>
      <w:tr w14:paraId="6368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jc w:val="center"/>
        </w:trPr>
        <w:tc>
          <w:tcPr>
            <w:tcW w:w="912" w:type="pct"/>
            <w:vMerge w:val="restart"/>
            <w:shd w:val="clear" w:color="auto" w:fill="auto"/>
            <w:vAlign w:val="center"/>
          </w:tcPr>
          <w:p w14:paraId="79EC552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分布式数据库（OceanBase）</w:t>
            </w:r>
          </w:p>
        </w:tc>
        <w:tc>
          <w:tcPr>
            <w:tcW w:w="1310" w:type="pct"/>
            <w:vMerge w:val="restart"/>
            <w:shd w:val="clear" w:color="auto" w:fill="auto"/>
            <w:vAlign w:val="center"/>
          </w:tcPr>
          <w:p w14:paraId="0C70C72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根据实例规格和个数+存储空间按月计费</w:t>
            </w:r>
          </w:p>
        </w:tc>
        <w:tc>
          <w:tcPr>
            <w:tcW w:w="2039" w:type="pct"/>
            <w:shd w:val="clear" w:color="auto" w:fill="FFFFFF"/>
            <w:vAlign w:val="center"/>
          </w:tcPr>
          <w:p w14:paraId="2AC0F2C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8C 32G 200GB（通用型）</w:t>
            </w:r>
          </w:p>
        </w:tc>
        <w:tc>
          <w:tcPr>
            <w:tcW w:w="737" w:type="pct"/>
            <w:shd w:val="clear" w:color="auto" w:fill="FFFFFF"/>
            <w:vAlign w:val="center"/>
          </w:tcPr>
          <w:p w14:paraId="3E5073D6">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3047.063</w:t>
            </w:r>
          </w:p>
        </w:tc>
      </w:tr>
      <w:tr w14:paraId="1CDC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912" w:type="pct"/>
            <w:vMerge w:val="continue"/>
            <w:shd w:val="clear" w:color="auto" w:fill="auto"/>
            <w:vAlign w:val="center"/>
          </w:tcPr>
          <w:p w14:paraId="4144EE6F">
            <w:pPr>
              <w:jc w:val="center"/>
              <w:rPr>
                <w:rFonts w:hint="eastAsia" w:ascii="宋体" w:hAnsi="宋体" w:eastAsia="宋体" w:cs="宋体"/>
                <w:sz w:val="21"/>
                <w:szCs w:val="21"/>
              </w:rPr>
            </w:pPr>
          </w:p>
        </w:tc>
        <w:tc>
          <w:tcPr>
            <w:tcW w:w="1310" w:type="pct"/>
            <w:vMerge w:val="continue"/>
            <w:shd w:val="clear" w:color="auto" w:fill="auto"/>
            <w:vAlign w:val="center"/>
          </w:tcPr>
          <w:p w14:paraId="028D578C">
            <w:pPr>
              <w:jc w:val="center"/>
              <w:rPr>
                <w:rFonts w:hint="eastAsia" w:ascii="宋体" w:hAnsi="宋体" w:eastAsia="宋体" w:cs="宋体"/>
                <w:sz w:val="21"/>
                <w:szCs w:val="21"/>
              </w:rPr>
            </w:pPr>
          </w:p>
        </w:tc>
        <w:tc>
          <w:tcPr>
            <w:tcW w:w="2039" w:type="pct"/>
            <w:shd w:val="clear" w:color="auto" w:fill="FFFFFF"/>
            <w:vAlign w:val="center"/>
          </w:tcPr>
          <w:p w14:paraId="139CDFD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14C 70G 200GB（通用型）</w:t>
            </w:r>
          </w:p>
        </w:tc>
        <w:tc>
          <w:tcPr>
            <w:tcW w:w="737" w:type="pct"/>
            <w:shd w:val="clear" w:color="auto" w:fill="FFFFFF"/>
            <w:vAlign w:val="center"/>
          </w:tcPr>
          <w:p w14:paraId="347A4D9F">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8757.173</w:t>
            </w:r>
          </w:p>
        </w:tc>
      </w:tr>
      <w:tr w14:paraId="52BD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912" w:type="pct"/>
            <w:vMerge w:val="continue"/>
            <w:shd w:val="clear" w:color="auto" w:fill="auto"/>
            <w:vAlign w:val="center"/>
          </w:tcPr>
          <w:p w14:paraId="4F051D46">
            <w:pPr>
              <w:jc w:val="center"/>
              <w:rPr>
                <w:rFonts w:hint="eastAsia" w:ascii="宋体" w:hAnsi="宋体" w:eastAsia="宋体" w:cs="宋体"/>
                <w:sz w:val="21"/>
                <w:szCs w:val="21"/>
              </w:rPr>
            </w:pPr>
          </w:p>
        </w:tc>
        <w:tc>
          <w:tcPr>
            <w:tcW w:w="1310" w:type="pct"/>
            <w:vMerge w:val="continue"/>
            <w:shd w:val="clear" w:color="auto" w:fill="auto"/>
            <w:vAlign w:val="center"/>
          </w:tcPr>
          <w:p w14:paraId="01C0666C">
            <w:pPr>
              <w:jc w:val="center"/>
              <w:rPr>
                <w:rFonts w:hint="eastAsia" w:ascii="宋体" w:hAnsi="宋体" w:eastAsia="宋体" w:cs="宋体"/>
                <w:sz w:val="21"/>
                <w:szCs w:val="21"/>
              </w:rPr>
            </w:pPr>
          </w:p>
        </w:tc>
        <w:tc>
          <w:tcPr>
            <w:tcW w:w="2039" w:type="pct"/>
            <w:shd w:val="clear" w:color="auto" w:fill="FFFFFF"/>
            <w:vAlign w:val="center"/>
          </w:tcPr>
          <w:p w14:paraId="0047531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30C 180G 400GB（通用型）</w:t>
            </w:r>
          </w:p>
        </w:tc>
        <w:tc>
          <w:tcPr>
            <w:tcW w:w="737" w:type="pct"/>
            <w:shd w:val="clear" w:color="auto" w:fill="FFFFFF"/>
            <w:vAlign w:val="center"/>
          </w:tcPr>
          <w:p w14:paraId="7362BCFC">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14448.386</w:t>
            </w:r>
          </w:p>
        </w:tc>
      </w:tr>
      <w:tr w14:paraId="091A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912" w:type="pct"/>
            <w:vMerge w:val="continue"/>
            <w:shd w:val="clear" w:color="auto" w:fill="auto"/>
            <w:vAlign w:val="center"/>
          </w:tcPr>
          <w:p w14:paraId="7839632C">
            <w:pPr>
              <w:jc w:val="center"/>
              <w:rPr>
                <w:rFonts w:hint="eastAsia" w:ascii="宋体" w:hAnsi="宋体" w:eastAsia="宋体" w:cs="宋体"/>
                <w:sz w:val="21"/>
                <w:szCs w:val="21"/>
              </w:rPr>
            </w:pPr>
          </w:p>
        </w:tc>
        <w:tc>
          <w:tcPr>
            <w:tcW w:w="1310" w:type="pct"/>
            <w:vMerge w:val="continue"/>
            <w:shd w:val="clear" w:color="auto" w:fill="auto"/>
            <w:vAlign w:val="center"/>
          </w:tcPr>
          <w:p w14:paraId="11FDB054">
            <w:pPr>
              <w:jc w:val="center"/>
              <w:rPr>
                <w:rFonts w:hint="eastAsia" w:ascii="宋体" w:hAnsi="宋体" w:eastAsia="宋体" w:cs="宋体"/>
                <w:sz w:val="21"/>
                <w:szCs w:val="21"/>
              </w:rPr>
            </w:pPr>
          </w:p>
        </w:tc>
        <w:tc>
          <w:tcPr>
            <w:tcW w:w="2039" w:type="pct"/>
            <w:shd w:val="clear" w:color="auto" w:fill="FFFFFF"/>
            <w:vAlign w:val="center"/>
          </w:tcPr>
          <w:p w14:paraId="5C96803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62C 400G 800GB（通用型）</w:t>
            </w:r>
          </w:p>
        </w:tc>
        <w:tc>
          <w:tcPr>
            <w:tcW w:w="737" w:type="pct"/>
            <w:shd w:val="clear" w:color="auto" w:fill="FFFFFF"/>
            <w:vAlign w:val="center"/>
          </w:tcPr>
          <w:p w14:paraId="5A97205F">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25314.059</w:t>
            </w:r>
          </w:p>
        </w:tc>
      </w:tr>
      <w:tr w14:paraId="03D3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1" w:hRule="atLeast"/>
          <w:jc w:val="center"/>
        </w:trPr>
        <w:tc>
          <w:tcPr>
            <w:tcW w:w="912" w:type="pct"/>
            <w:vMerge w:val="continue"/>
            <w:shd w:val="clear" w:color="auto" w:fill="auto"/>
            <w:vAlign w:val="center"/>
          </w:tcPr>
          <w:p w14:paraId="0CFCE4D2">
            <w:pPr>
              <w:jc w:val="center"/>
              <w:rPr>
                <w:rFonts w:hint="eastAsia" w:ascii="宋体" w:hAnsi="宋体" w:eastAsia="宋体" w:cs="宋体"/>
                <w:sz w:val="21"/>
                <w:szCs w:val="21"/>
              </w:rPr>
            </w:pPr>
          </w:p>
        </w:tc>
        <w:tc>
          <w:tcPr>
            <w:tcW w:w="1310" w:type="pct"/>
            <w:vMerge w:val="continue"/>
            <w:shd w:val="clear" w:color="auto" w:fill="auto"/>
            <w:vAlign w:val="center"/>
          </w:tcPr>
          <w:p w14:paraId="2FF72745">
            <w:pPr>
              <w:jc w:val="center"/>
              <w:rPr>
                <w:rFonts w:hint="eastAsia" w:ascii="宋体" w:hAnsi="宋体" w:eastAsia="宋体" w:cs="宋体"/>
                <w:sz w:val="21"/>
                <w:szCs w:val="21"/>
              </w:rPr>
            </w:pPr>
          </w:p>
        </w:tc>
        <w:tc>
          <w:tcPr>
            <w:tcW w:w="2039" w:type="pct"/>
            <w:shd w:val="clear" w:color="auto" w:fill="FFFFFF"/>
            <w:vAlign w:val="center"/>
          </w:tcPr>
          <w:p w14:paraId="39C504C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储存空间：GB</w:t>
            </w:r>
          </w:p>
        </w:tc>
        <w:tc>
          <w:tcPr>
            <w:tcW w:w="737" w:type="pct"/>
            <w:shd w:val="clear" w:color="auto" w:fill="FFFFFF"/>
            <w:vAlign w:val="center"/>
          </w:tcPr>
          <w:p w14:paraId="66BEDDAF">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0.423</w:t>
            </w:r>
          </w:p>
        </w:tc>
      </w:tr>
      <w:tr w14:paraId="11C4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912" w:type="pct"/>
            <w:vMerge w:val="continue"/>
            <w:shd w:val="clear" w:color="auto" w:fill="auto"/>
            <w:vAlign w:val="center"/>
          </w:tcPr>
          <w:p w14:paraId="7BF82226">
            <w:pPr>
              <w:jc w:val="center"/>
              <w:rPr>
                <w:rFonts w:hint="eastAsia" w:ascii="宋体" w:hAnsi="宋体" w:eastAsia="宋体" w:cs="宋体"/>
                <w:sz w:val="21"/>
                <w:szCs w:val="21"/>
              </w:rPr>
            </w:pPr>
          </w:p>
        </w:tc>
        <w:tc>
          <w:tcPr>
            <w:tcW w:w="1310" w:type="pct"/>
            <w:vMerge w:val="continue"/>
            <w:shd w:val="clear" w:color="auto" w:fill="auto"/>
            <w:vAlign w:val="center"/>
          </w:tcPr>
          <w:p w14:paraId="6209C2F3">
            <w:pPr>
              <w:jc w:val="center"/>
              <w:rPr>
                <w:rFonts w:hint="eastAsia" w:ascii="宋体" w:hAnsi="宋体" w:eastAsia="宋体" w:cs="宋体"/>
                <w:sz w:val="21"/>
                <w:szCs w:val="21"/>
              </w:rPr>
            </w:pPr>
          </w:p>
        </w:tc>
        <w:tc>
          <w:tcPr>
            <w:tcW w:w="2039" w:type="pct"/>
            <w:shd w:val="clear" w:color="auto" w:fill="FFFFFF"/>
            <w:vAlign w:val="center"/>
          </w:tcPr>
          <w:p w14:paraId="78A2830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88C 608G 8TB（独立物理机）</w:t>
            </w:r>
          </w:p>
        </w:tc>
        <w:tc>
          <w:tcPr>
            <w:tcW w:w="737" w:type="pct"/>
            <w:shd w:val="clear" w:color="auto" w:fill="FFFFFF"/>
            <w:vAlign w:val="center"/>
          </w:tcPr>
          <w:p w14:paraId="3F5B85A4">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57793.544</w:t>
            </w:r>
          </w:p>
        </w:tc>
      </w:tr>
      <w:tr w14:paraId="74EE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jc w:val="center"/>
        </w:trPr>
        <w:tc>
          <w:tcPr>
            <w:tcW w:w="912" w:type="pct"/>
            <w:vMerge w:val="restart"/>
            <w:shd w:val="clear" w:color="auto" w:fill="auto"/>
            <w:vAlign w:val="center"/>
          </w:tcPr>
          <w:p w14:paraId="23D597B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迁移服务OMS</w:t>
            </w:r>
          </w:p>
        </w:tc>
        <w:tc>
          <w:tcPr>
            <w:tcW w:w="1310" w:type="pct"/>
            <w:vMerge w:val="restart"/>
            <w:shd w:val="clear" w:color="auto" w:fill="auto"/>
            <w:vAlign w:val="center"/>
          </w:tcPr>
          <w:p w14:paraId="76BB125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根据实例个数按月计费</w:t>
            </w:r>
          </w:p>
        </w:tc>
        <w:tc>
          <w:tcPr>
            <w:tcW w:w="2039" w:type="pct"/>
            <w:shd w:val="clear" w:color="auto" w:fill="FFFFFF"/>
            <w:vAlign w:val="center"/>
          </w:tcPr>
          <w:p w14:paraId="2606DD2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数据同步订阅（标准版）</w:t>
            </w:r>
          </w:p>
        </w:tc>
        <w:tc>
          <w:tcPr>
            <w:tcW w:w="737" w:type="pct"/>
            <w:shd w:val="clear" w:color="auto" w:fill="FFFFFF"/>
            <w:vAlign w:val="center"/>
          </w:tcPr>
          <w:p w14:paraId="388A6E2F">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514.977</w:t>
            </w:r>
          </w:p>
        </w:tc>
      </w:tr>
      <w:tr w14:paraId="2A85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912" w:type="pct"/>
            <w:vMerge w:val="continue"/>
            <w:shd w:val="clear" w:color="auto" w:fill="auto"/>
            <w:vAlign w:val="center"/>
          </w:tcPr>
          <w:p w14:paraId="66550D73">
            <w:pPr>
              <w:jc w:val="center"/>
              <w:rPr>
                <w:rFonts w:hint="eastAsia" w:ascii="宋体" w:hAnsi="宋体" w:eastAsia="宋体" w:cs="宋体"/>
                <w:sz w:val="21"/>
                <w:szCs w:val="21"/>
              </w:rPr>
            </w:pPr>
          </w:p>
        </w:tc>
        <w:tc>
          <w:tcPr>
            <w:tcW w:w="1310" w:type="pct"/>
            <w:vMerge w:val="continue"/>
            <w:shd w:val="clear" w:color="auto" w:fill="auto"/>
            <w:vAlign w:val="center"/>
          </w:tcPr>
          <w:p w14:paraId="4BC03A00">
            <w:pPr>
              <w:jc w:val="center"/>
              <w:rPr>
                <w:rFonts w:hint="eastAsia" w:ascii="宋体" w:hAnsi="宋体" w:eastAsia="宋体" w:cs="宋体"/>
                <w:sz w:val="21"/>
                <w:szCs w:val="21"/>
              </w:rPr>
            </w:pPr>
          </w:p>
        </w:tc>
        <w:tc>
          <w:tcPr>
            <w:tcW w:w="2039" w:type="pct"/>
            <w:shd w:val="clear" w:color="auto" w:fill="FFFFFF"/>
            <w:vAlign w:val="center"/>
          </w:tcPr>
          <w:p w14:paraId="331D6D6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eastAsia="zh-Hans" w:bidi="ar"/>
              </w:rPr>
              <w:t>数据同步和订阅（高性能版</w:t>
            </w:r>
            <w:r>
              <w:rPr>
                <w:rFonts w:hint="eastAsia" w:ascii="宋体" w:hAnsi="宋体" w:eastAsia="宋体" w:cs="宋体"/>
                <w:kern w:val="0"/>
                <w:sz w:val="21"/>
                <w:szCs w:val="21"/>
                <w:lang w:bidi="ar"/>
              </w:rPr>
              <w:t>）</w:t>
            </w:r>
          </w:p>
        </w:tc>
        <w:tc>
          <w:tcPr>
            <w:tcW w:w="737" w:type="pct"/>
            <w:shd w:val="clear" w:color="auto" w:fill="FFFFFF"/>
            <w:vAlign w:val="center"/>
          </w:tcPr>
          <w:p w14:paraId="3066EA36">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1017.365</w:t>
            </w:r>
          </w:p>
        </w:tc>
      </w:tr>
      <w:tr w14:paraId="249B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restart"/>
            <w:shd w:val="clear" w:color="auto" w:fill="auto"/>
            <w:vAlign w:val="center"/>
          </w:tcPr>
          <w:p w14:paraId="1223604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分析型数据库MySQL版</w:t>
            </w:r>
          </w:p>
        </w:tc>
        <w:tc>
          <w:tcPr>
            <w:tcW w:w="1310" w:type="pct"/>
            <w:vMerge w:val="restart"/>
            <w:shd w:val="clear" w:color="auto" w:fill="FFFFFF"/>
            <w:vAlign w:val="center"/>
          </w:tcPr>
          <w:p w14:paraId="458D7DC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根据实例规格和个数按月计费</w:t>
            </w:r>
          </w:p>
        </w:tc>
        <w:tc>
          <w:tcPr>
            <w:tcW w:w="2039" w:type="pct"/>
            <w:shd w:val="clear" w:color="auto" w:fill="FFFFFF"/>
            <w:vAlign w:val="center"/>
          </w:tcPr>
          <w:p w14:paraId="0E25528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规格：C1：1CORE，7.5GB内存，60GB SSD</w:t>
            </w:r>
          </w:p>
        </w:tc>
        <w:tc>
          <w:tcPr>
            <w:tcW w:w="737" w:type="pct"/>
            <w:shd w:val="clear" w:color="auto" w:fill="FFFFFF"/>
            <w:vAlign w:val="center"/>
          </w:tcPr>
          <w:p w14:paraId="59B5EC09">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279.421</w:t>
            </w:r>
          </w:p>
        </w:tc>
      </w:tr>
      <w:tr w14:paraId="165E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45F38794">
            <w:pPr>
              <w:jc w:val="center"/>
              <w:rPr>
                <w:rFonts w:hint="eastAsia" w:ascii="宋体" w:hAnsi="宋体" w:eastAsia="宋体" w:cs="宋体"/>
                <w:sz w:val="21"/>
                <w:szCs w:val="21"/>
              </w:rPr>
            </w:pPr>
          </w:p>
        </w:tc>
        <w:tc>
          <w:tcPr>
            <w:tcW w:w="1310" w:type="pct"/>
            <w:vMerge w:val="continue"/>
            <w:shd w:val="clear" w:color="auto" w:fill="FFFFFF"/>
            <w:vAlign w:val="center"/>
          </w:tcPr>
          <w:p w14:paraId="3A8552C2">
            <w:pPr>
              <w:jc w:val="center"/>
              <w:rPr>
                <w:rFonts w:hint="eastAsia" w:ascii="宋体" w:hAnsi="宋体" w:eastAsia="宋体" w:cs="宋体"/>
                <w:sz w:val="21"/>
                <w:szCs w:val="21"/>
              </w:rPr>
            </w:pPr>
          </w:p>
        </w:tc>
        <w:tc>
          <w:tcPr>
            <w:tcW w:w="2039" w:type="pct"/>
            <w:shd w:val="clear" w:color="auto" w:fill="FFFFFF"/>
            <w:vAlign w:val="center"/>
          </w:tcPr>
          <w:p w14:paraId="35DE1A7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规格：C8：4CORE ，45G内存，480G SSD</w:t>
            </w:r>
          </w:p>
        </w:tc>
        <w:tc>
          <w:tcPr>
            <w:tcW w:w="737" w:type="pct"/>
            <w:shd w:val="clear" w:color="auto" w:fill="FFFFFF"/>
            <w:vAlign w:val="center"/>
          </w:tcPr>
          <w:p w14:paraId="5AC835CF">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1480.31</w:t>
            </w:r>
          </w:p>
        </w:tc>
      </w:tr>
      <w:tr w14:paraId="3500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jc w:val="center"/>
        </w:trPr>
        <w:tc>
          <w:tcPr>
            <w:tcW w:w="912" w:type="pct"/>
            <w:vMerge w:val="continue"/>
            <w:shd w:val="clear" w:color="auto" w:fill="auto"/>
            <w:vAlign w:val="center"/>
          </w:tcPr>
          <w:p w14:paraId="0267970B">
            <w:pPr>
              <w:jc w:val="center"/>
              <w:rPr>
                <w:rFonts w:hint="eastAsia" w:ascii="宋体" w:hAnsi="宋体" w:eastAsia="宋体" w:cs="宋体"/>
                <w:sz w:val="21"/>
                <w:szCs w:val="21"/>
              </w:rPr>
            </w:pPr>
          </w:p>
        </w:tc>
        <w:tc>
          <w:tcPr>
            <w:tcW w:w="1310" w:type="pct"/>
            <w:vMerge w:val="continue"/>
            <w:shd w:val="clear" w:color="auto" w:fill="FFFFFF"/>
            <w:vAlign w:val="center"/>
          </w:tcPr>
          <w:p w14:paraId="128DDD09">
            <w:pPr>
              <w:jc w:val="center"/>
              <w:rPr>
                <w:rFonts w:hint="eastAsia" w:ascii="宋体" w:hAnsi="宋体" w:eastAsia="宋体" w:cs="宋体"/>
                <w:sz w:val="21"/>
                <w:szCs w:val="21"/>
              </w:rPr>
            </w:pPr>
          </w:p>
        </w:tc>
        <w:tc>
          <w:tcPr>
            <w:tcW w:w="2039" w:type="pct"/>
            <w:shd w:val="clear" w:color="auto" w:fill="FFFFFF"/>
            <w:vAlign w:val="center"/>
          </w:tcPr>
          <w:p w14:paraId="43B075C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规格：S1（mem:25G,ssd:250G,sata:1536G）</w:t>
            </w:r>
          </w:p>
        </w:tc>
        <w:tc>
          <w:tcPr>
            <w:tcW w:w="737" w:type="pct"/>
            <w:shd w:val="clear" w:color="auto" w:fill="FFFFFF"/>
            <w:vAlign w:val="center"/>
          </w:tcPr>
          <w:p w14:paraId="6ACAA7F6">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795.421</w:t>
            </w:r>
          </w:p>
        </w:tc>
      </w:tr>
      <w:tr w14:paraId="21C7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6470BB78">
            <w:pPr>
              <w:jc w:val="center"/>
              <w:rPr>
                <w:rFonts w:hint="eastAsia" w:ascii="宋体" w:hAnsi="宋体" w:eastAsia="宋体" w:cs="宋体"/>
                <w:sz w:val="21"/>
                <w:szCs w:val="21"/>
              </w:rPr>
            </w:pPr>
          </w:p>
        </w:tc>
        <w:tc>
          <w:tcPr>
            <w:tcW w:w="1310" w:type="pct"/>
            <w:vMerge w:val="continue"/>
            <w:shd w:val="clear" w:color="auto" w:fill="FFFFFF"/>
            <w:vAlign w:val="center"/>
          </w:tcPr>
          <w:p w14:paraId="05748FBB">
            <w:pPr>
              <w:jc w:val="center"/>
              <w:rPr>
                <w:rFonts w:hint="eastAsia" w:ascii="宋体" w:hAnsi="宋体" w:eastAsia="宋体" w:cs="宋体"/>
                <w:sz w:val="21"/>
                <w:szCs w:val="21"/>
              </w:rPr>
            </w:pPr>
          </w:p>
        </w:tc>
        <w:tc>
          <w:tcPr>
            <w:tcW w:w="2039" w:type="pct"/>
            <w:shd w:val="clear" w:color="auto" w:fill="FFFFFF"/>
            <w:vAlign w:val="center"/>
          </w:tcPr>
          <w:p w14:paraId="02A14D5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规格：S8：10CORE ，60G内存，600G SSD，6T SATA</w:t>
            </w:r>
          </w:p>
        </w:tc>
        <w:tc>
          <w:tcPr>
            <w:tcW w:w="737" w:type="pct"/>
            <w:shd w:val="clear" w:color="auto" w:fill="FFFFFF"/>
            <w:vAlign w:val="center"/>
          </w:tcPr>
          <w:p w14:paraId="5AB10E1A">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2179.48</w:t>
            </w:r>
          </w:p>
        </w:tc>
      </w:tr>
      <w:tr w14:paraId="0801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auto"/>
            <w:vAlign w:val="center"/>
          </w:tcPr>
          <w:p w14:paraId="0DAE8824">
            <w:pPr>
              <w:jc w:val="center"/>
              <w:rPr>
                <w:rFonts w:hint="eastAsia" w:ascii="宋体" w:hAnsi="宋体" w:eastAsia="宋体" w:cs="宋体"/>
                <w:sz w:val="21"/>
                <w:szCs w:val="21"/>
              </w:rPr>
            </w:pPr>
          </w:p>
        </w:tc>
        <w:tc>
          <w:tcPr>
            <w:tcW w:w="1310" w:type="pct"/>
            <w:vMerge w:val="continue"/>
            <w:shd w:val="clear" w:color="auto" w:fill="FFFFFF"/>
            <w:vAlign w:val="center"/>
          </w:tcPr>
          <w:p w14:paraId="602AC8A1">
            <w:pPr>
              <w:jc w:val="center"/>
              <w:rPr>
                <w:rFonts w:hint="eastAsia" w:ascii="宋体" w:hAnsi="宋体" w:eastAsia="宋体" w:cs="宋体"/>
                <w:sz w:val="21"/>
                <w:szCs w:val="21"/>
              </w:rPr>
            </w:pPr>
          </w:p>
        </w:tc>
        <w:tc>
          <w:tcPr>
            <w:tcW w:w="2039" w:type="pct"/>
            <w:shd w:val="clear" w:color="auto" w:fill="FFFFFF"/>
            <w:vAlign w:val="center"/>
          </w:tcPr>
          <w:p w14:paraId="469CCB9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规格：S8N：6CORE；120G内存；1T SSD：12T SATA</w:t>
            </w:r>
          </w:p>
        </w:tc>
        <w:tc>
          <w:tcPr>
            <w:tcW w:w="737" w:type="pct"/>
            <w:shd w:val="clear" w:color="auto" w:fill="FFFFFF"/>
            <w:vAlign w:val="center"/>
          </w:tcPr>
          <w:p w14:paraId="39A23D96">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3162.424</w:t>
            </w:r>
          </w:p>
        </w:tc>
      </w:tr>
      <w:tr w14:paraId="5636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377BB0A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分布式关系型数据库入门版</w:t>
            </w:r>
          </w:p>
        </w:tc>
        <w:tc>
          <w:tcPr>
            <w:tcW w:w="1310" w:type="pct"/>
            <w:vMerge w:val="restart"/>
            <w:shd w:val="clear" w:color="auto" w:fill="FFFFFF"/>
            <w:vAlign w:val="center"/>
          </w:tcPr>
          <w:p w14:paraId="77A3C72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根据实例规格和个数按月计费</w:t>
            </w:r>
          </w:p>
        </w:tc>
        <w:tc>
          <w:tcPr>
            <w:tcW w:w="2039" w:type="pct"/>
            <w:shd w:val="clear" w:color="auto" w:fill="FFFFFF"/>
            <w:vAlign w:val="center"/>
          </w:tcPr>
          <w:p w14:paraId="408E0BD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实例规格：8核16G</w:t>
            </w:r>
          </w:p>
        </w:tc>
        <w:tc>
          <w:tcPr>
            <w:tcW w:w="737" w:type="pct"/>
            <w:shd w:val="clear" w:color="auto" w:fill="FFFFFF"/>
            <w:vAlign w:val="center"/>
          </w:tcPr>
          <w:p w14:paraId="2CC32E1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1025.785</w:t>
            </w:r>
          </w:p>
        </w:tc>
      </w:tr>
      <w:tr w14:paraId="09F3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9FDC46D">
            <w:pPr>
              <w:jc w:val="center"/>
              <w:rPr>
                <w:rFonts w:hint="eastAsia" w:ascii="宋体" w:hAnsi="宋体" w:eastAsia="宋体" w:cs="宋体"/>
                <w:sz w:val="21"/>
                <w:szCs w:val="21"/>
              </w:rPr>
            </w:pPr>
          </w:p>
        </w:tc>
        <w:tc>
          <w:tcPr>
            <w:tcW w:w="1310" w:type="pct"/>
            <w:vMerge w:val="continue"/>
            <w:shd w:val="clear" w:color="auto" w:fill="FFFFFF"/>
            <w:vAlign w:val="center"/>
          </w:tcPr>
          <w:p w14:paraId="172BCF47">
            <w:pPr>
              <w:jc w:val="center"/>
              <w:rPr>
                <w:rFonts w:hint="eastAsia" w:ascii="宋体" w:hAnsi="宋体" w:eastAsia="宋体" w:cs="宋体"/>
                <w:sz w:val="21"/>
                <w:szCs w:val="21"/>
              </w:rPr>
            </w:pPr>
          </w:p>
        </w:tc>
        <w:tc>
          <w:tcPr>
            <w:tcW w:w="2039" w:type="pct"/>
            <w:shd w:val="clear" w:color="auto" w:fill="FFFFFF"/>
            <w:vAlign w:val="center"/>
          </w:tcPr>
          <w:p w14:paraId="5627E1B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实例规格：8核32G</w:t>
            </w:r>
          </w:p>
        </w:tc>
        <w:tc>
          <w:tcPr>
            <w:tcW w:w="737" w:type="pct"/>
            <w:shd w:val="clear" w:color="auto" w:fill="FFFFFF"/>
            <w:vAlign w:val="center"/>
          </w:tcPr>
          <w:p w14:paraId="7B1E211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935.252</w:t>
            </w:r>
          </w:p>
        </w:tc>
      </w:tr>
      <w:tr w14:paraId="3D08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E8FC048">
            <w:pPr>
              <w:jc w:val="center"/>
              <w:rPr>
                <w:rFonts w:hint="eastAsia" w:ascii="宋体" w:hAnsi="宋体" w:eastAsia="宋体" w:cs="宋体"/>
                <w:sz w:val="21"/>
                <w:szCs w:val="21"/>
              </w:rPr>
            </w:pPr>
          </w:p>
        </w:tc>
        <w:tc>
          <w:tcPr>
            <w:tcW w:w="1310" w:type="pct"/>
            <w:vMerge w:val="continue"/>
            <w:shd w:val="clear" w:color="auto" w:fill="FFFFFF"/>
            <w:vAlign w:val="center"/>
          </w:tcPr>
          <w:p w14:paraId="2234171C">
            <w:pPr>
              <w:jc w:val="center"/>
              <w:rPr>
                <w:rFonts w:hint="eastAsia" w:ascii="宋体" w:hAnsi="宋体" w:eastAsia="宋体" w:cs="宋体"/>
                <w:sz w:val="21"/>
                <w:szCs w:val="21"/>
              </w:rPr>
            </w:pPr>
          </w:p>
        </w:tc>
        <w:tc>
          <w:tcPr>
            <w:tcW w:w="2039" w:type="pct"/>
            <w:shd w:val="clear" w:color="auto" w:fill="FFFFFF"/>
            <w:vAlign w:val="center"/>
          </w:tcPr>
          <w:p w14:paraId="495FE78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实例规格：12核24G</w:t>
            </w:r>
          </w:p>
        </w:tc>
        <w:tc>
          <w:tcPr>
            <w:tcW w:w="737" w:type="pct"/>
            <w:shd w:val="clear" w:color="auto" w:fill="FFFFFF"/>
            <w:vAlign w:val="center"/>
          </w:tcPr>
          <w:p w14:paraId="6D50499B">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1857.834</w:t>
            </w:r>
          </w:p>
        </w:tc>
      </w:tr>
      <w:tr w14:paraId="2DD3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2D4CC596">
            <w:pPr>
              <w:jc w:val="center"/>
              <w:rPr>
                <w:rFonts w:hint="eastAsia" w:ascii="宋体" w:hAnsi="宋体" w:eastAsia="宋体" w:cs="宋体"/>
                <w:sz w:val="21"/>
                <w:szCs w:val="21"/>
              </w:rPr>
            </w:pPr>
          </w:p>
        </w:tc>
        <w:tc>
          <w:tcPr>
            <w:tcW w:w="1310" w:type="pct"/>
            <w:vMerge w:val="continue"/>
            <w:shd w:val="clear" w:color="auto" w:fill="FFFFFF"/>
            <w:vAlign w:val="center"/>
          </w:tcPr>
          <w:p w14:paraId="45D08296">
            <w:pPr>
              <w:jc w:val="center"/>
              <w:rPr>
                <w:rFonts w:hint="eastAsia" w:ascii="宋体" w:hAnsi="宋体" w:eastAsia="宋体" w:cs="宋体"/>
                <w:sz w:val="21"/>
                <w:szCs w:val="21"/>
              </w:rPr>
            </w:pPr>
          </w:p>
        </w:tc>
        <w:tc>
          <w:tcPr>
            <w:tcW w:w="2039" w:type="pct"/>
            <w:shd w:val="clear" w:color="auto" w:fill="FFFFFF"/>
            <w:vAlign w:val="center"/>
          </w:tcPr>
          <w:p w14:paraId="65EA1CC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实例规格：16核32G</w:t>
            </w:r>
          </w:p>
        </w:tc>
        <w:tc>
          <w:tcPr>
            <w:tcW w:w="737" w:type="pct"/>
            <w:shd w:val="clear" w:color="auto" w:fill="FFFFFF"/>
            <w:vAlign w:val="center"/>
          </w:tcPr>
          <w:p w14:paraId="117E18D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2434.066</w:t>
            </w:r>
          </w:p>
        </w:tc>
      </w:tr>
      <w:tr w14:paraId="5E71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44CB302">
            <w:pPr>
              <w:jc w:val="center"/>
              <w:rPr>
                <w:rFonts w:hint="eastAsia" w:ascii="宋体" w:hAnsi="宋体" w:eastAsia="宋体" w:cs="宋体"/>
                <w:sz w:val="21"/>
                <w:szCs w:val="21"/>
              </w:rPr>
            </w:pPr>
          </w:p>
        </w:tc>
        <w:tc>
          <w:tcPr>
            <w:tcW w:w="1310" w:type="pct"/>
            <w:vMerge w:val="continue"/>
            <w:shd w:val="clear" w:color="auto" w:fill="FFFFFF"/>
            <w:vAlign w:val="center"/>
          </w:tcPr>
          <w:p w14:paraId="738B60B8">
            <w:pPr>
              <w:jc w:val="center"/>
              <w:rPr>
                <w:rFonts w:hint="eastAsia" w:ascii="宋体" w:hAnsi="宋体" w:eastAsia="宋体" w:cs="宋体"/>
                <w:sz w:val="21"/>
                <w:szCs w:val="21"/>
              </w:rPr>
            </w:pPr>
          </w:p>
        </w:tc>
        <w:tc>
          <w:tcPr>
            <w:tcW w:w="2039" w:type="pct"/>
            <w:shd w:val="clear" w:color="auto" w:fill="FFFFFF"/>
            <w:vAlign w:val="center"/>
          </w:tcPr>
          <w:p w14:paraId="2480373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实例规格：20核40G</w:t>
            </w:r>
          </w:p>
        </w:tc>
        <w:tc>
          <w:tcPr>
            <w:tcW w:w="737" w:type="pct"/>
            <w:shd w:val="clear" w:color="auto" w:fill="FFFFFF"/>
            <w:vAlign w:val="center"/>
          </w:tcPr>
          <w:p w14:paraId="77E0025D">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3009.676</w:t>
            </w:r>
          </w:p>
        </w:tc>
      </w:tr>
      <w:tr w14:paraId="0FC7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41DC8CF">
            <w:pPr>
              <w:jc w:val="center"/>
              <w:rPr>
                <w:rFonts w:hint="eastAsia" w:ascii="宋体" w:hAnsi="宋体" w:eastAsia="宋体" w:cs="宋体"/>
                <w:sz w:val="21"/>
                <w:szCs w:val="21"/>
              </w:rPr>
            </w:pPr>
          </w:p>
        </w:tc>
        <w:tc>
          <w:tcPr>
            <w:tcW w:w="1310" w:type="pct"/>
            <w:vMerge w:val="continue"/>
            <w:shd w:val="clear" w:color="auto" w:fill="FFFFFF"/>
            <w:vAlign w:val="center"/>
          </w:tcPr>
          <w:p w14:paraId="465FA68D">
            <w:pPr>
              <w:jc w:val="center"/>
              <w:rPr>
                <w:rFonts w:hint="eastAsia" w:ascii="宋体" w:hAnsi="宋体" w:eastAsia="宋体" w:cs="宋体"/>
                <w:sz w:val="21"/>
                <w:szCs w:val="21"/>
              </w:rPr>
            </w:pPr>
          </w:p>
        </w:tc>
        <w:tc>
          <w:tcPr>
            <w:tcW w:w="2039" w:type="pct"/>
            <w:shd w:val="clear" w:color="auto" w:fill="FFFFFF"/>
            <w:vAlign w:val="center"/>
          </w:tcPr>
          <w:p w14:paraId="563FB53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实例规格：24核48G</w:t>
            </w:r>
          </w:p>
        </w:tc>
        <w:tc>
          <w:tcPr>
            <w:tcW w:w="737" w:type="pct"/>
            <w:shd w:val="clear" w:color="auto" w:fill="FFFFFF"/>
            <w:vAlign w:val="center"/>
          </w:tcPr>
          <w:p w14:paraId="5A8F5B3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3585.9</w:t>
            </w:r>
          </w:p>
        </w:tc>
      </w:tr>
      <w:tr w14:paraId="3F40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AF0AAFA">
            <w:pPr>
              <w:jc w:val="center"/>
              <w:rPr>
                <w:rFonts w:hint="eastAsia" w:ascii="宋体" w:hAnsi="宋体" w:eastAsia="宋体" w:cs="宋体"/>
                <w:sz w:val="21"/>
                <w:szCs w:val="21"/>
              </w:rPr>
            </w:pPr>
          </w:p>
        </w:tc>
        <w:tc>
          <w:tcPr>
            <w:tcW w:w="1310" w:type="pct"/>
            <w:vMerge w:val="continue"/>
            <w:shd w:val="clear" w:color="auto" w:fill="FFFFFF"/>
            <w:vAlign w:val="center"/>
          </w:tcPr>
          <w:p w14:paraId="4C6C117F">
            <w:pPr>
              <w:jc w:val="center"/>
              <w:rPr>
                <w:rFonts w:hint="eastAsia" w:ascii="宋体" w:hAnsi="宋体" w:eastAsia="宋体" w:cs="宋体"/>
                <w:sz w:val="21"/>
                <w:szCs w:val="21"/>
              </w:rPr>
            </w:pPr>
          </w:p>
        </w:tc>
        <w:tc>
          <w:tcPr>
            <w:tcW w:w="2039" w:type="pct"/>
            <w:shd w:val="clear" w:color="auto" w:fill="FFFFFF"/>
            <w:vAlign w:val="center"/>
          </w:tcPr>
          <w:p w14:paraId="1A50AAD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实例规格：28核56G</w:t>
            </w:r>
          </w:p>
        </w:tc>
        <w:tc>
          <w:tcPr>
            <w:tcW w:w="737" w:type="pct"/>
            <w:shd w:val="clear" w:color="auto" w:fill="FFFFFF"/>
            <w:vAlign w:val="center"/>
          </w:tcPr>
          <w:p w14:paraId="3AB05BF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4161.508</w:t>
            </w:r>
          </w:p>
        </w:tc>
      </w:tr>
      <w:tr w14:paraId="60E4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DAB9C95">
            <w:pPr>
              <w:jc w:val="center"/>
              <w:rPr>
                <w:rFonts w:hint="eastAsia" w:ascii="宋体" w:hAnsi="宋体" w:eastAsia="宋体" w:cs="宋体"/>
                <w:sz w:val="21"/>
                <w:szCs w:val="21"/>
              </w:rPr>
            </w:pPr>
          </w:p>
        </w:tc>
        <w:tc>
          <w:tcPr>
            <w:tcW w:w="1310" w:type="pct"/>
            <w:vMerge w:val="continue"/>
            <w:shd w:val="clear" w:color="auto" w:fill="FFFFFF"/>
            <w:vAlign w:val="center"/>
          </w:tcPr>
          <w:p w14:paraId="6B2AFFC0">
            <w:pPr>
              <w:jc w:val="center"/>
              <w:rPr>
                <w:rFonts w:hint="eastAsia" w:ascii="宋体" w:hAnsi="宋体" w:eastAsia="宋体" w:cs="宋体"/>
                <w:sz w:val="21"/>
                <w:szCs w:val="21"/>
              </w:rPr>
            </w:pPr>
          </w:p>
        </w:tc>
        <w:tc>
          <w:tcPr>
            <w:tcW w:w="2039" w:type="pct"/>
            <w:shd w:val="clear" w:color="auto" w:fill="FFFFFF"/>
            <w:vAlign w:val="center"/>
          </w:tcPr>
          <w:p w14:paraId="2E6783E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实例规格：32核64G</w:t>
            </w:r>
          </w:p>
        </w:tc>
        <w:tc>
          <w:tcPr>
            <w:tcW w:w="737" w:type="pct"/>
            <w:shd w:val="clear" w:color="auto" w:fill="FFFFFF"/>
            <w:vAlign w:val="center"/>
          </w:tcPr>
          <w:p w14:paraId="3A25229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4737.734</w:t>
            </w:r>
          </w:p>
        </w:tc>
      </w:tr>
      <w:tr w14:paraId="38BA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auto"/>
            <w:vAlign w:val="center"/>
          </w:tcPr>
          <w:p w14:paraId="7A7F7FD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分布式关系型数据库标准版</w:t>
            </w:r>
          </w:p>
        </w:tc>
        <w:tc>
          <w:tcPr>
            <w:tcW w:w="1310" w:type="pct"/>
            <w:vMerge w:val="restart"/>
            <w:shd w:val="clear" w:color="auto" w:fill="auto"/>
            <w:vAlign w:val="center"/>
          </w:tcPr>
          <w:p w14:paraId="5C92FC6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根据实例规格和个数按月计费</w:t>
            </w:r>
          </w:p>
        </w:tc>
        <w:tc>
          <w:tcPr>
            <w:tcW w:w="2039" w:type="pct"/>
            <w:shd w:val="clear" w:color="auto" w:fill="FFFFFF"/>
            <w:vAlign w:val="center"/>
          </w:tcPr>
          <w:p w14:paraId="4D0C07D4">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实例规格：16核32GB</w:t>
            </w:r>
          </w:p>
        </w:tc>
        <w:tc>
          <w:tcPr>
            <w:tcW w:w="737" w:type="pct"/>
            <w:shd w:val="clear" w:color="auto" w:fill="FFFFFF"/>
            <w:vAlign w:val="center"/>
          </w:tcPr>
          <w:p w14:paraId="60814B1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2469.46</w:t>
            </w:r>
          </w:p>
        </w:tc>
      </w:tr>
      <w:tr w14:paraId="68C8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46D8429D">
            <w:pPr>
              <w:jc w:val="center"/>
              <w:rPr>
                <w:rFonts w:hint="eastAsia" w:ascii="宋体" w:hAnsi="宋体" w:eastAsia="宋体" w:cs="宋体"/>
                <w:sz w:val="21"/>
                <w:szCs w:val="21"/>
              </w:rPr>
            </w:pPr>
          </w:p>
        </w:tc>
        <w:tc>
          <w:tcPr>
            <w:tcW w:w="1310" w:type="pct"/>
            <w:vMerge w:val="continue"/>
            <w:shd w:val="clear" w:color="auto" w:fill="auto"/>
            <w:vAlign w:val="center"/>
          </w:tcPr>
          <w:p w14:paraId="0EDB84D1">
            <w:pPr>
              <w:jc w:val="center"/>
              <w:rPr>
                <w:rFonts w:hint="eastAsia" w:ascii="宋体" w:hAnsi="宋体" w:eastAsia="宋体" w:cs="宋体"/>
                <w:sz w:val="21"/>
                <w:szCs w:val="21"/>
              </w:rPr>
            </w:pPr>
          </w:p>
        </w:tc>
        <w:tc>
          <w:tcPr>
            <w:tcW w:w="2039" w:type="pct"/>
            <w:shd w:val="clear" w:color="auto" w:fill="FFFFFF"/>
            <w:vAlign w:val="center"/>
          </w:tcPr>
          <w:p w14:paraId="6D0C645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实例规格：24核48GB</w:t>
            </w:r>
          </w:p>
        </w:tc>
        <w:tc>
          <w:tcPr>
            <w:tcW w:w="737" w:type="pct"/>
            <w:shd w:val="clear" w:color="auto" w:fill="FFFFFF"/>
            <w:vAlign w:val="center"/>
          </w:tcPr>
          <w:p w14:paraId="0BB06BC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3637.438</w:t>
            </w:r>
          </w:p>
        </w:tc>
      </w:tr>
      <w:tr w14:paraId="6A89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3DA819BD">
            <w:pPr>
              <w:jc w:val="center"/>
              <w:rPr>
                <w:rFonts w:hint="eastAsia" w:ascii="宋体" w:hAnsi="宋体" w:eastAsia="宋体" w:cs="宋体"/>
                <w:sz w:val="21"/>
                <w:szCs w:val="21"/>
              </w:rPr>
            </w:pPr>
          </w:p>
        </w:tc>
        <w:tc>
          <w:tcPr>
            <w:tcW w:w="1310" w:type="pct"/>
            <w:vMerge w:val="continue"/>
            <w:shd w:val="clear" w:color="auto" w:fill="auto"/>
            <w:vAlign w:val="center"/>
          </w:tcPr>
          <w:p w14:paraId="521766B1">
            <w:pPr>
              <w:jc w:val="center"/>
              <w:rPr>
                <w:rFonts w:hint="eastAsia" w:ascii="宋体" w:hAnsi="宋体" w:eastAsia="宋体" w:cs="宋体"/>
                <w:sz w:val="21"/>
                <w:szCs w:val="21"/>
              </w:rPr>
            </w:pPr>
          </w:p>
        </w:tc>
        <w:tc>
          <w:tcPr>
            <w:tcW w:w="2039" w:type="pct"/>
            <w:shd w:val="clear" w:color="auto" w:fill="FFFFFF"/>
            <w:vAlign w:val="center"/>
          </w:tcPr>
          <w:p w14:paraId="6840007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实例规格：32核64GB</w:t>
            </w:r>
          </w:p>
        </w:tc>
        <w:tc>
          <w:tcPr>
            <w:tcW w:w="737" w:type="pct"/>
            <w:shd w:val="clear" w:color="auto" w:fill="FFFFFF"/>
            <w:vAlign w:val="center"/>
          </w:tcPr>
          <w:p w14:paraId="513E7D1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4805.421</w:t>
            </w:r>
          </w:p>
        </w:tc>
      </w:tr>
      <w:tr w14:paraId="6C6C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1620C0A2">
            <w:pPr>
              <w:jc w:val="center"/>
              <w:rPr>
                <w:rFonts w:hint="eastAsia" w:ascii="宋体" w:hAnsi="宋体" w:eastAsia="宋体" w:cs="宋体"/>
                <w:sz w:val="21"/>
                <w:szCs w:val="21"/>
              </w:rPr>
            </w:pPr>
          </w:p>
        </w:tc>
        <w:tc>
          <w:tcPr>
            <w:tcW w:w="1310" w:type="pct"/>
            <w:vMerge w:val="continue"/>
            <w:shd w:val="clear" w:color="auto" w:fill="auto"/>
            <w:vAlign w:val="center"/>
          </w:tcPr>
          <w:p w14:paraId="38598670">
            <w:pPr>
              <w:jc w:val="center"/>
              <w:rPr>
                <w:rFonts w:hint="eastAsia" w:ascii="宋体" w:hAnsi="宋体" w:eastAsia="宋体" w:cs="宋体"/>
                <w:sz w:val="21"/>
                <w:szCs w:val="21"/>
              </w:rPr>
            </w:pPr>
          </w:p>
        </w:tc>
        <w:tc>
          <w:tcPr>
            <w:tcW w:w="2039" w:type="pct"/>
            <w:shd w:val="clear" w:color="auto" w:fill="FFFFFF"/>
            <w:vAlign w:val="center"/>
          </w:tcPr>
          <w:p w14:paraId="53595B71">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实例规格：32核128GB</w:t>
            </w:r>
          </w:p>
        </w:tc>
        <w:tc>
          <w:tcPr>
            <w:tcW w:w="737" w:type="pct"/>
            <w:shd w:val="clear" w:color="auto" w:fill="FFFFFF"/>
            <w:vAlign w:val="center"/>
          </w:tcPr>
          <w:p w14:paraId="53639E8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4877.88</w:t>
            </w:r>
          </w:p>
        </w:tc>
      </w:tr>
      <w:tr w14:paraId="3AA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261A3E1F">
            <w:pPr>
              <w:jc w:val="center"/>
              <w:rPr>
                <w:rFonts w:hint="eastAsia" w:ascii="宋体" w:hAnsi="宋体" w:eastAsia="宋体" w:cs="宋体"/>
                <w:sz w:val="21"/>
                <w:szCs w:val="21"/>
              </w:rPr>
            </w:pPr>
          </w:p>
        </w:tc>
        <w:tc>
          <w:tcPr>
            <w:tcW w:w="1310" w:type="pct"/>
            <w:vMerge w:val="continue"/>
            <w:shd w:val="clear" w:color="auto" w:fill="auto"/>
            <w:vAlign w:val="center"/>
          </w:tcPr>
          <w:p w14:paraId="683F24F0">
            <w:pPr>
              <w:jc w:val="center"/>
              <w:rPr>
                <w:rFonts w:hint="eastAsia" w:ascii="宋体" w:hAnsi="宋体" w:eastAsia="宋体" w:cs="宋体"/>
                <w:sz w:val="21"/>
                <w:szCs w:val="21"/>
              </w:rPr>
            </w:pPr>
          </w:p>
        </w:tc>
        <w:tc>
          <w:tcPr>
            <w:tcW w:w="2039" w:type="pct"/>
            <w:shd w:val="clear" w:color="auto" w:fill="FFFFFF"/>
            <w:vAlign w:val="center"/>
          </w:tcPr>
          <w:p w14:paraId="3397A3F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实例规格：40核80GB</w:t>
            </w:r>
          </w:p>
        </w:tc>
        <w:tc>
          <w:tcPr>
            <w:tcW w:w="737" w:type="pct"/>
            <w:shd w:val="clear" w:color="auto" w:fill="FFFFFF"/>
            <w:vAlign w:val="center"/>
          </w:tcPr>
          <w:p w14:paraId="41E8542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5824.37</w:t>
            </w:r>
          </w:p>
        </w:tc>
      </w:tr>
      <w:tr w14:paraId="15DF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633BCDB4">
            <w:pPr>
              <w:jc w:val="center"/>
              <w:rPr>
                <w:rFonts w:hint="eastAsia" w:ascii="宋体" w:hAnsi="宋体" w:eastAsia="宋体" w:cs="宋体"/>
                <w:sz w:val="21"/>
                <w:szCs w:val="21"/>
              </w:rPr>
            </w:pPr>
          </w:p>
        </w:tc>
        <w:tc>
          <w:tcPr>
            <w:tcW w:w="1310" w:type="pct"/>
            <w:vMerge w:val="continue"/>
            <w:shd w:val="clear" w:color="auto" w:fill="auto"/>
            <w:vAlign w:val="center"/>
          </w:tcPr>
          <w:p w14:paraId="7AB1CBA3">
            <w:pPr>
              <w:jc w:val="center"/>
              <w:rPr>
                <w:rFonts w:hint="eastAsia" w:ascii="宋体" w:hAnsi="宋体" w:eastAsia="宋体" w:cs="宋体"/>
                <w:sz w:val="21"/>
                <w:szCs w:val="21"/>
              </w:rPr>
            </w:pPr>
          </w:p>
        </w:tc>
        <w:tc>
          <w:tcPr>
            <w:tcW w:w="2039" w:type="pct"/>
            <w:shd w:val="clear" w:color="auto" w:fill="FFFFFF"/>
            <w:vAlign w:val="center"/>
          </w:tcPr>
          <w:p w14:paraId="3888002F">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实例规格：48核96GB</w:t>
            </w:r>
          </w:p>
        </w:tc>
        <w:tc>
          <w:tcPr>
            <w:tcW w:w="737" w:type="pct"/>
            <w:shd w:val="clear" w:color="auto" w:fill="FFFFFF"/>
            <w:vAlign w:val="center"/>
          </w:tcPr>
          <w:p w14:paraId="1F4D3FA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6963.166</w:t>
            </w:r>
          </w:p>
        </w:tc>
      </w:tr>
      <w:tr w14:paraId="2C46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407D15E6">
            <w:pPr>
              <w:jc w:val="center"/>
              <w:rPr>
                <w:rFonts w:hint="eastAsia" w:ascii="宋体" w:hAnsi="宋体" w:eastAsia="宋体" w:cs="宋体"/>
                <w:sz w:val="21"/>
                <w:szCs w:val="21"/>
              </w:rPr>
            </w:pPr>
          </w:p>
        </w:tc>
        <w:tc>
          <w:tcPr>
            <w:tcW w:w="1310" w:type="pct"/>
            <w:vMerge w:val="continue"/>
            <w:shd w:val="clear" w:color="auto" w:fill="auto"/>
            <w:vAlign w:val="center"/>
          </w:tcPr>
          <w:p w14:paraId="546500F4">
            <w:pPr>
              <w:jc w:val="center"/>
              <w:rPr>
                <w:rFonts w:hint="eastAsia" w:ascii="宋体" w:hAnsi="宋体" w:eastAsia="宋体" w:cs="宋体"/>
                <w:sz w:val="21"/>
                <w:szCs w:val="21"/>
              </w:rPr>
            </w:pPr>
          </w:p>
        </w:tc>
        <w:tc>
          <w:tcPr>
            <w:tcW w:w="2039" w:type="pct"/>
            <w:shd w:val="clear" w:color="auto" w:fill="FFFFFF"/>
            <w:vAlign w:val="center"/>
          </w:tcPr>
          <w:p w14:paraId="6AE22551">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实例规格：48核192GB</w:t>
            </w:r>
          </w:p>
        </w:tc>
        <w:tc>
          <w:tcPr>
            <w:tcW w:w="737" w:type="pct"/>
            <w:shd w:val="clear" w:color="auto" w:fill="FFFFFF"/>
            <w:vAlign w:val="center"/>
          </w:tcPr>
          <w:p w14:paraId="5451889B">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7298.876</w:t>
            </w:r>
          </w:p>
        </w:tc>
      </w:tr>
      <w:tr w14:paraId="5858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06B0DC57">
            <w:pPr>
              <w:jc w:val="center"/>
              <w:rPr>
                <w:rFonts w:hint="eastAsia" w:ascii="宋体" w:hAnsi="宋体" w:eastAsia="宋体" w:cs="宋体"/>
                <w:sz w:val="21"/>
                <w:szCs w:val="21"/>
              </w:rPr>
            </w:pPr>
          </w:p>
        </w:tc>
        <w:tc>
          <w:tcPr>
            <w:tcW w:w="1310" w:type="pct"/>
            <w:vMerge w:val="continue"/>
            <w:shd w:val="clear" w:color="auto" w:fill="auto"/>
            <w:vAlign w:val="center"/>
          </w:tcPr>
          <w:p w14:paraId="45B1A069">
            <w:pPr>
              <w:jc w:val="center"/>
              <w:rPr>
                <w:rFonts w:hint="eastAsia" w:ascii="宋体" w:hAnsi="宋体" w:eastAsia="宋体" w:cs="宋体"/>
                <w:sz w:val="21"/>
                <w:szCs w:val="21"/>
              </w:rPr>
            </w:pPr>
          </w:p>
        </w:tc>
        <w:tc>
          <w:tcPr>
            <w:tcW w:w="2039" w:type="pct"/>
            <w:shd w:val="clear" w:color="auto" w:fill="FFFFFF"/>
            <w:vAlign w:val="center"/>
          </w:tcPr>
          <w:p w14:paraId="1CFABD2F">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实例规格：56核112GB</w:t>
            </w:r>
          </w:p>
        </w:tc>
        <w:tc>
          <w:tcPr>
            <w:tcW w:w="737" w:type="pct"/>
            <w:shd w:val="clear" w:color="auto" w:fill="FFFFFF"/>
            <w:vAlign w:val="center"/>
          </w:tcPr>
          <w:p w14:paraId="1189217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8101.962</w:t>
            </w:r>
          </w:p>
        </w:tc>
      </w:tr>
      <w:tr w14:paraId="0476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26748BBF">
            <w:pPr>
              <w:jc w:val="center"/>
              <w:rPr>
                <w:rFonts w:hint="eastAsia" w:ascii="宋体" w:hAnsi="宋体" w:eastAsia="宋体" w:cs="宋体"/>
                <w:sz w:val="21"/>
                <w:szCs w:val="21"/>
              </w:rPr>
            </w:pPr>
          </w:p>
        </w:tc>
        <w:tc>
          <w:tcPr>
            <w:tcW w:w="1310" w:type="pct"/>
            <w:vMerge w:val="continue"/>
            <w:shd w:val="clear" w:color="auto" w:fill="auto"/>
            <w:vAlign w:val="center"/>
          </w:tcPr>
          <w:p w14:paraId="0DA4DBA3">
            <w:pPr>
              <w:jc w:val="center"/>
              <w:rPr>
                <w:rFonts w:hint="eastAsia" w:ascii="宋体" w:hAnsi="宋体" w:eastAsia="宋体" w:cs="宋体"/>
                <w:sz w:val="21"/>
                <w:szCs w:val="21"/>
              </w:rPr>
            </w:pPr>
          </w:p>
        </w:tc>
        <w:tc>
          <w:tcPr>
            <w:tcW w:w="2039" w:type="pct"/>
            <w:shd w:val="clear" w:color="auto" w:fill="FFFFFF"/>
            <w:vAlign w:val="center"/>
          </w:tcPr>
          <w:p w14:paraId="1C4067A2">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实例规格：64核128GB</w:t>
            </w:r>
          </w:p>
        </w:tc>
        <w:tc>
          <w:tcPr>
            <w:tcW w:w="737" w:type="pct"/>
            <w:shd w:val="clear" w:color="auto" w:fill="FFFFFF"/>
            <w:vAlign w:val="center"/>
          </w:tcPr>
          <w:p w14:paraId="264D01C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9240.757</w:t>
            </w:r>
          </w:p>
        </w:tc>
      </w:tr>
      <w:tr w14:paraId="38D9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5DE8B8DE">
            <w:pPr>
              <w:jc w:val="center"/>
              <w:rPr>
                <w:rFonts w:hint="eastAsia" w:ascii="宋体" w:hAnsi="宋体" w:eastAsia="宋体" w:cs="宋体"/>
                <w:sz w:val="21"/>
                <w:szCs w:val="21"/>
              </w:rPr>
            </w:pPr>
          </w:p>
        </w:tc>
        <w:tc>
          <w:tcPr>
            <w:tcW w:w="1310" w:type="pct"/>
            <w:vMerge w:val="continue"/>
            <w:shd w:val="clear" w:color="auto" w:fill="auto"/>
            <w:vAlign w:val="center"/>
          </w:tcPr>
          <w:p w14:paraId="53F81834">
            <w:pPr>
              <w:jc w:val="center"/>
              <w:rPr>
                <w:rFonts w:hint="eastAsia" w:ascii="宋体" w:hAnsi="宋体" w:eastAsia="宋体" w:cs="宋体"/>
                <w:sz w:val="21"/>
                <w:szCs w:val="21"/>
              </w:rPr>
            </w:pPr>
          </w:p>
        </w:tc>
        <w:tc>
          <w:tcPr>
            <w:tcW w:w="2039" w:type="pct"/>
            <w:shd w:val="clear" w:color="auto" w:fill="FFFFFF"/>
            <w:vAlign w:val="center"/>
          </w:tcPr>
          <w:p w14:paraId="6E830738">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实例规格：72核144GB</w:t>
            </w:r>
          </w:p>
        </w:tc>
        <w:tc>
          <w:tcPr>
            <w:tcW w:w="737" w:type="pct"/>
            <w:shd w:val="clear" w:color="auto" w:fill="FFFFFF"/>
            <w:vAlign w:val="center"/>
          </w:tcPr>
          <w:p w14:paraId="5EE3AE0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10379.553</w:t>
            </w:r>
          </w:p>
        </w:tc>
      </w:tr>
      <w:tr w14:paraId="3C09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7000B648">
            <w:pPr>
              <w:jc w:val="center"/>
              <w:rPr>
                <w:rFonts w:hint="eastAsia" w:ascii="宋体" w:hAnsi="宋体" w:eastAsia="宋体" w:cs="宋体"/>
                <w:sz w:val="21"/>
                <w:szCs w:val="21"/>
              </w:rPr>
            </w:pPr>
          </w:p>
        </w:tc>
        <w:tc>
          <w:tcPr>
            <w:tcW w:w="1310" w:type="pct"/>
            <w:vMerge w:val="continue"/>
            <w:shd w:val="clear" w:color="auto" w:fill="auto"/>
            <w:vAlign w:val="center"/>
          </w:tcPr>
          <w:p w14:paraId="1805E1B6">
            <w:pPr>
              <w:jc w:val="center"/>
              <w:rPr>
                <w:rFonts w:hint="eastAsia" w:ascii="宋体" w:hAnsi="宋体" w:eastAsia="宋体" w:cs="宋体"/>
                <w:sz w:val="21"/>
                <w:szCs w:val="21"/>
              </w:rPr>
            </w:pPr>
          </w:p>
        </w:tc>
        <w:tc>
          <w:tcPr>
            <w:tcW w:w="2039" w:type="pct"/>
            <w:shd w:val="clear" w:color="auto" w:fill="FFFFFF"/>
            <w:vAlign w:val="center"/>
          </w:tcPr>
          <w:p w14:paraId="7ADD36F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实例规格：80核160GB</w:t>
            </w:r>
          </w:p>
        </w:tc>
        <w:tc>
          <w:tcPr>
            <w:tcW w:w="737" w:type="pct"/>
            <w:shd w:val="clear" w:color="auto" w:fill="FFFFFF"/>
            <w:vAlign w:val="center"/>
          </w:tcPr>
          <w:p w14:paraId="7DC0FA4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11518.348</w:t>
            </w:r>
          </w:p>
        </w:tc>
      </w:tr>
      <w:tr w14:paraId="3602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176E29C6">
            <w:pPr>
              <w:jc w:val="center"/>
              <w:rPr>
                <w:rFonts w:hint="eastAsia" w:ascii="宋体" w:hAnsi="宋体" w:eastAsia="宋体" w:cs="宋体"/>
                <w:sz w:val="21"/>
                <w:szCs w:val="21"/>
              </w:rPr>
            </w:pPr>
          </w:p>
        </w:tc>
        <w:tc>
          <w:tcPr>
            <w:tcW w:w="1310" w:type="pct"/>
            <w:vMerge w:val="continue"/>
            <w:shd w:val="clear" w:color="auto" w:fill="auto"/>
            <w:vAlign w:val="center"/>
          </w:tcPr>
          <w:p w14:paraId="10871633">
            <w:pPr>
              <w:jc w:val="center"/>
              <w:rPr>
                <w:rFonts w:hint="eastAsia" w:ascii="宋体" w:hAnsi="宋体" w:eastAsia="宋体" w:cs="宋体"/>
                <w:sz w:val="21"/>
                <w:szCs w:val="21"/>
              </w:rPr>
            </w:pPr>
          </w:p>
        </w:tc>
        <w:tc>
          <w:tcPr>
            <w:tcW w:w="2039" w:type="pct"/>
            <w:shd w:val="clear" w:color="auto" w:fill="FFFFFF"/>
            <w:vAlign w:val="center"/>
          </w:tcPr>
          <w:p w14:paraId="26FFFC6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实例规格：88核176GB</w:t>
            </w:r>
          </w:p>
        </w:tc>
        <w:tc>
          <w:tcPr>
            <w:tcW w:w="737" w:type="pct"/>
            <w:shd w:val="clear" w:color="auto" w:fill="FFFFFF"/>
            <w:vAlign w:val="center"/>
          </w:tcPr>
          <w:p w14:paraId="7CCA80C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12567.144</w:t>
            </w:r>
          </w:p>
        </w:tc>
      </w:tr>
      <w:tr w14:paraId="67DE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33EADF27">
            <w:pPr>
              <w:jc w:val="center"/>
              <w:rPr>
                <w:rFonts w:hint="eastAsia" w:ascii="宋体" w:hAnsi="宋体" w:eastAsia="宋体" w:cs="宋体"/>
                <w:sz w:val="21"/>
                <w:szCs w:val="21"/>
              </w:rPr>
            </w:pPr>
          </w:p>
        </w:tc>
        <w:tc>
          <w:tcPr>
            <w:tcW w:w="1310" w:type="pct"/>
            <w:vMerge w:val="continue"/>
            <w:shd w:val="clear" w:color="auto" w:fill="auto"/>
            <w:vAlign w:val="center"/>
          </w:tcPr>
          <w:p w14:paraId="28BB4CA7">
            <w:pPr>
              <w:jc w:val="center"/>
              <w:rPr>
                <w:rFonts w:hint="eastAsia" w:ascii="宋体" w:hAnsi="宋体" w:eastAsia="宋体" w:cs="宋体"/>
                <w:sz w:val="21"/>
                <w:szCs w:val="21"/>
              </w:rPr>
            </w:pPr>
          </w:p>
        </w:tc>
        <w:tc>
          <w:tcPr>
            <w:tcW w:w="2039" w:type="pct"/>
            <w:shd w:val="clear" w:color="auto" w:fill="FFFFFF"/>
            <w:vAlign w:val="center"/>
          </w:tcPr>
          <w:p w14:paraId="4594657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实例规格：96核192GB</w:t>
            </w:r>
          </w:p>
        </w:tc>
        <w:tc>
          <w:tcPr>
            <w:tcW w:w="737" w:type="pct"/>
            <w:shd w:val="clear" w:color="auto" w:fill="FFFFFF"/>
            <w:vAlign w:val="center"/>
          </w:tcPr>
          <w:p w14:paraId="6204698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13795.938</w:t>
            </w:r>
          </w:p>
        </w:tc>
      </w:tr>
      <w:tr w14:paraId="582C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058A745E">
            <w:pPr>
              <w:jc w:val="center"/>
              <w:rPr>
                <w:rFonts w:hint="eastAsia" w:ascii="宋体" w:hAnsi="宋体" w:eastAsia="宋体" w:cs="宋体"/>
                <w:sz w:val="21"/>
                <w:szCs w:val="21"/>
              </w:rPr>
            </w:pPr>
          </w:p>
        </w:tc>
        <w:tc>
          <w:tcPr>
            <w:tcW w:w="1310" w:type="pct"/>
            <w:vMerge w:val="continue"/>
            <w:shd w:val="clear" w:color="auto" w:fill="auto"/>
            <w:vAlign w:val="center"/>
          </w:tcPr>
          <w:p w14:paraId="24ED233A">
            <w:pPr>
              <w:jc w:val="center"/>
              <w:rPr>
                <w:rFonts w:hint="eastAsia" w:ascii="宋体" w:hAnsi="宋体" w:eastAsia="宋体" w:cs="宋体"/>
                <w:sz w:val="21"/>
                <w:szCs w:val="21"/>
              </w:rPr>
            </w:pPr>
          </w:p>
        </w:tc>
        <w:tc>
          <w:tcPr>
            <w:tcW w:w="2039" w:type="pct"/>
            <w:shd w:val="clear" w:color="auto" w:fill="FFFFFF"/>
            <w:vAlign w:val="center"/>
          </w:tcPr>
          <w:p w14:paraId="78BDB231">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实例规格：104核208GB</w:t>
            </w:r>
          </w:p>
        </w:tc>
        <w:tc>
          <w:tcPr>
            <w:tcW w:w="737" w:type="pct"/>
            <w:shd w:val="clear" w:color="auto" w:fill="FFFFFF"/>
            <w:vAlign w:val="center"/>
          </w:tcPr>
          <w:p w14:paraId="3B58ECD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14934.733</w:t>
            </w:r>
          </w:p>
        </w:tc>
      </w:tr>
      <w:tr w14:paraId="588D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5277B0F4">
            <w:pPr>
              <w:jc w:val="center"/>
              <w:rPr>
                <w:rFonts w:hint="eastAsia" w:ascii="宋体" w:hAnsi="宋体" w:eastAsia="宋体" w:cs="宋体"/>
                <w:sz w:val="21"/>
                <w:szCs w:val="21"/>
              </w:rPr>
            </w:pPr>
          </w:p>
        </w:tc>
        <w:tc>
          <w:tcPr>
            <w:tcW w:w="1310" w:type="pct"/>
            <w:vMerge w:val="continue"/>
            <w:shd w:val="clear" w:color="auto" w:fill="auto"/>
            <w:vAlign w:val="center"/>
          </w:tcPr>
          <w:p w14:paraId="7A65DE6B">
            <w:pPr>
              <w:jc w:val="center"/>
              <w:rPr>
                <w:rFonts w:hint="eastAsia" w:ascii="宋体" w:hAnsi="宋体" w:eastAsia="宋体" w:cs="宋体"/>
                <w:sz w:val="21"/>
                <w:szCs w:val="21"/>
              </w:rPr>
            </w:pPr>
          </w:p>
        </w:tc>
        <w:tc>
          <w:tcPr>
            <w:tcW w:w="2039" w:type="pct"/>
            <w:shd w:val="clear" w:color="auto" w:fill="FFFFFF"/>
            <w:vAlign w:val="center"/>
          </w:tcPr>
          <w:p w14:paraId="54B5F00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实例规格：112核224GB</w:t>
            </w:r>
          </w:p>
        </w:tc>
        <w:tc>
          <w:tcPr>
            <w:tcW w:w="737" w:type="pct"/>
            <w:shd w:val="clear" w:color="auto" w:fill="FFFFFF"/>
            <w:vAlign w:val="center"/>
          </w:tcPr>
          <w:p w14:paraId="505FEDE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16073.528</w:t>
            </w:r>
          </w:p>
        </w:tc>
      </w:tr>
      <w:tr w14:paraId="7304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622C81E5">
            <w:pPr>
              <w:jc w:val="center"/>
              <w:rPr>
                <w:rFonts w:hint="eastAsia" w:ascii="宋体" w:hAnsi="宋体" w:eastAsia="宋体" w:cs="宋体"/>
                <w:sz w:val="21"/>
                <w:szCs w:val="21"/>
              </w:rPr>
            </w:pPr>
          </w:p>
        </w:tc>
        <w:tc>
          <w:tcPr>
            <w:tcW w:w="1310" w:type="pct"/>
            <w:vMerge w:val="continue"/>
            <w:shd w:val="clear" w:color="auto" w:fill="auto"/>
            <w:vAlign w:val="center"/>
          </w:tcPr>
          <w:p w14:paraId="04719A07">
            <w:pPr>
              <w:jc w:val="center"/>
              <w:rPr>
                <w:rFonts w:hint="eastAsia" w:ascii="宋体" w:hAnsi="宋体" w:eastAsia="宋体" w:cs="宋体"/>
                <w:sz w:val="21"/>
                <w:szCs w:val="21"/>
              </w:rPr>
            </w:pPr>
          </w:p>
        </w:tc>
        <w:tc>
          <w:tcPr>
            <w:tcW w:w="2039" w:type="pct"/>
            <w:shd w:val="clear" w:color="auto" w:fill="FFFFFF"/>
            <w:vAlign w:val="center"/>
          </w:tcPr>
          <w:p w14:paraId="49285F6B">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实例规格：120核240GB</w:t>
            </w:r>
          </w:p>
        </w:tc>
        <w:tc>
          <w:tcPr>
            <w:tcW w:w="737" w:type="pct"/>
            <w:shd w:val="clear" w:color="auto" w:fill="FFFFFF"/>
            <w:vAlign w:val="center"/>
          </w:tcPr>
          <w:p w14:paraId="229F3A7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17212.324</w:t>
            </w:r>
          </w:p>
        </w:tc>
      </w:tr>
      <w:tr w14:paraId="6255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0088C0D9">
            <w:pPr>
              <w:jc w:val="center"/>
              <w:rPr>
                <w:rFonts w:hint="eastAsia" w:ascii="宋体" w:hAnsi="宋体" w:eastAsia="宋体" w:cs="宋体"/>
                <w:sz w:val="21"/>
                <w:szCs w:val="21"/>
              </w:rPr>
            </w:pPr>
          </w:p>
        </w:tc>
        <w:tc>
          <w:tcPr>
            <w:tcW w:w="1310" w:type="pct"/>
            <w:vMerge w:val="continue"/>
            <w:shd w:val="clear" w:color="auto" w:fill="auto"/>
            <w:vAlign w:val="center"/>
          </w:tcPr>
          <w:p w14:paraId="005EE77E">
            <w:pPr>
              <w:jc w:val="center"/>
              <w:rPr>
                <w:rFonts w:hint="eastAsia" w:ascii="宋体" w:hAnsi="宋体" w:eastAsia="宋体" w:cs="宋体"/>
                <w:sz w:val="21"/>
                <w:szCs w:val="21"/>
              </w:rPr>
            </w:pPr>
          </w:p>
        </w:tc>
        <w:tc>
          <w:tcPr>
            <w:tcW w:w="2039" w:type="pct"/>
            <w:shd w:val="clear" w:color="auto" w:fill="FFFFFF"/>
            <w:vAlign w:val="center"/>
          </w:tcPr>
          <w:p w14:paraId="75357D25">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实例规格：128核256GB</w:t>
            </w:r>
          </w:p>
        </w:tc>
        <w:tc>
          <w:tcPr>
            <w:tcW w:w="737" w:type="pct"/>
            <w:shd w:val="clear" w:color="auto" w:fill="FFFFFF"/>
            <w:vAlign w:val="center"/>
          </w:tcPr>
          <w:p w14:paraId="1712377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18351.12</w:t>
            </w:r>
          </w:p>
        </w:tc>
      </w:tr>
      <w:tr w14:paraId="13D4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auto"/>
            <w:vAlign w:val="center"/>
          </w:tcPr>
          <w:p w14:paraId="4AB7A65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分布式关系型数据库企业版</w:t>
            </w:r>
          </w:p>
        </w:tc>
        <w:tc>
          <w:tcPr>
            <w:tcW w:w="1310" w:type="pct"/>
            <w:vMerge w:val="restart"/>
            <w:shd w:val="clear" w:color="auto" w:fill="auto"/>
            <w:vAlign w:val="center"/>
          </w:tcPr>
          <w:p w14:paraId="196C235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根据实例规格和个数按月计费</w:t>
            </w:r>
          </w:p>
        </w:tc>
        <w:tc>
          <w:tcPr>
            <w:tcW w:w="2039" w:type="pct"/>
            <w:shd w:val="clear" w:color="auto" w:fill="FFFFFF"/>
            <w:vAlign w:val="center"/>
          </w:tcPr>
          <w:p w14:paraId="58053D35">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实例规格：32核64GB</w:t>
            </w:r>
          </w:p>
        </w:tc>
        <w:tc>
          <w:tcPr>
            <w:tcW w:w="737" w:type="pct"/>
            <w:shd w:val="clear" w:color="auto" w:fill="FFFFFF"/>
            <w:vAlign w:val="center"/>
          </w:tcPr>
          <w:p w14:paraId="721DC5D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4904.771</w:t>
            </w:r>
          </w:p>
        </w:tc>
      </w:tr>
      <w:tr w14:paraId="084C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44F1117F">
            <w:pPr>
              <w:jc w:val="center"/>
              <w:rPr>
                <w:rFonts w:hint="eastAsia" w:ascii="宋体" w:hAnsi="宋体" w:eastAsia="宋体" w:cs="宋体"/>
                <w:sz w:val="21"/>
                <w:szCs w:val="21"/>
              </w:rPr>
            </w:pPr>
          </w:p>
        </w:tc>
        <w:tc>
          <w:tcPr>
            <w:tcW w:w="1310" w:type="pct"/>
            <w:vMerge w:val="continue"/>
            <w:shd w:val="clear" w:color="auto" w:fill="auto"/>
            <w:vAlign w:val="center"/>
          </w:tcPr>
          <w:p w14:paraId="3533E015">
            <w:pPr>
              <w:jc w:val="center"/>
              <w:rPr>
                <w:rFonts w:hint="eastAsia" w:ascii="宋体" w:hAnsi="宋体" w:eastAsia="宋体" w:cs="宋体"/>
                <w:sz w:val="21"/>
                <w:szCs w:val="21"/>
              </w:rPr>
            </w:pPr>
          </w:p>
        </w:tc>
        <w:tc>
          <w:tcPr>
            <w:tcW w:w="2039" w:type="pct"/>
            <w:shd w:val="clear" w:color="auto" w:fill="FFFFFF"/>
            <w:vAlign w:val="center"/>
          </w:tcPr>
          <w:p w14:paraId="111C7A0E">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实例规格：64核128GB</w:t>
            </w:r>
          </w:p>
        </w:tc>
        <w:tc>
          <w:tcPr>
            <w:tcW w:w="737" w:type="pct"/>
            <w:shd w:val="clear" w:color="auto" w:fill="FFFFFF"/>
            <w:vAlign w:val="center"/>
          </w:tcPr>
          <w:p w14:paraId="06BD495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9423.934</w:t>
            </w:r>
          </w:p>
        </w:tc>
      </w:tr>
      <w:tr w14:paraId="0412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504260E0">
            <w:pPr>
              <w:jc w:val="center"/>
              <w:rPr>
                <w:rFonts w:hint="eastAsia" w:ascii="宋体" w:hAnsi="宋体" w:eastAsia="宋体" w:cs="宋体"/>
                <w:sz w:val="21"/>
                <w:szCs w:val="21"/>
              </w:rPr>
            </w:pPr>
          </w:p>
        </w:tc>
        <w:tc>
          <w:tcPr>
            <w:tcW w:w="1310" w:type="pct"/>
            <w:vMerge w:val="continue"/>
            <w:shd w:val="clear" w:color="auto" w:fill="auto"/>
            <w:vAlign w:val="center"/>
          </w:tcPr>
          <w:p w14:paraId="684C66E1">
            <w:pPr>
              <w:jc w:val="center"/>
              <w:rPr>
                <w:rFonts w:hint="eastAsia" w:ascii="宋体" w:hAnsi="宋体" w:eastAsia="宋体" w:cs="宋体"/>
                <w:sz w:val="21"/>
                <w:szCs w:val="21"/>
              </w:rPr>
            </w:pPr>
          </w:p>
        </w:tc>
        <w:tc>
          <w:tcPr>
            <w:tcW w:w="2039" w:type="pct"/>
            <w:shd w:val="clear" w:color="auto" w:fill="FFFFFF"/>
            <w:vAlign w:val="center"/>
          </w:tcPr>
          <w:p w14:paraId="2BC5DB1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实例规格：80核160GB</w:t>
            </w:r>
          </w:p>
        </w:tc>
        <w:tc>
          <w:tcPr>
            <w:tcW w:w="737" w:type="pct"/>
            <w:shd w:val="clear" w:color="auto" w:fill="FFFFFF"/>
            <w:vAlign w:val="center"/>
          </w:tcPr>
          <w:p w14:paraId="1364EF0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11746.852</w:t>
            </w:r>
          </w:p>
        </w:tc>
      </w:tr>
      <w:tr w14:paraId="0457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7141F1D5">
            <w:pPr>
              <w:jc w:val="center"/>
              <w:rPr>
                <w:rFonts w:hint="eastAsia" w:ascii="宋体" w:hAnsi="宋体" w:eastAsia="宋体" w:cs="宋体"/>
                <w:sz w:val="21"/>
                <w:szCs w:val="21"/>
              </w:rPr>
            </w:pPr>
          </w:p>
        </w:tc>
        <w:tc>
          <w:tcPr>
            <w:tcW w:w="1310" w:type="pct"/>
            <w:vMerge w:val="continue"/>
            <w:shd w:val="clear" w:color="auto" w:fill="auto"/>
            <w:vAlign w:val="center"/>
          </w:tcPr>
          <w:p w14:paraId="1B91DFB0">
            <w:pPr>
              <w:jc w:val="center"/>
              <w:rPr>
                <w:rFonts w:hint="eastAsia" w:ascii="宋体" w:hAnsi="宋体" w:eastAsia="宋体" w:cs="宋体"/>
                <w:sz w:val="21"/>
                <w:szCs w:val="21"/>
              </w:rPr>
            </w:pPr>
          </w:p>
        </w:tc>
        <w:tc>
          <w:tcPr>
            <w:tcW w:w="2039" w:type="pct"/>
            <w:shd w:val="clear" w:color="auto" w:fill="FFFFFF"/>
            <w:vAlign w:val="center"/>
          </w:tcPr>
          <w:p w14:paraId="4C3FD14B">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实例规格：96核192GB</w:t>
            </w:r>
          </w:p>
        </w:tc>
        <w:tc>
          <w:tcPr>
            <w:tcW w:w="737" w:type="pct"/>
            <w:shd w:val="clear" w:color="auto" w:fill="FFFFFF"/>
            <w:vAlign w:val="center"/>
          </w:tcPr>
          <w:p w14:paraId="2BE10BC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14069.149</w:t>
            </w:r>
          </w:p>
        </w:tc>
      </w:tr>
      <w:tr w14:paraId="5631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23810EFE">
            <w:pPr>
              <w:jc w:val="center"/>
              <w:rPr>
                <w:rFonts w:hint="eastAsia" w:ascii="宋体" w:hAnsi="宋体" w:eastAsia="宋体" w:cs="宋体"/>
                <w:sz w:val="21"/>
                <w:szCs w:val="21"/>
              </w:rPr>
            </w:pPr>
          </w:p>
        </w:tc>
        <w:tc>
          <w:tcPr>
            <w:tcW w:w="1310" w:type="pct"/>
            <w:vMerge w:val="continue"/>
            <w:shd w:val="clear" w:color="auto" w:fill="auto"/>
            <w:vAlign w:val="center"/>
          </w:tcPr>
          <w:p w14:paraId="4DD8E38F">
            <w:pPr>
              <w:jc w:val="center"/>
              <w:rPr>
                <w:rFonts w:hint="eastAsia" w:ascii="宋体" w:hAnsi="宋体" w:eastAsia="宋体" w:cs="宋体"/>
                <w:sz w:val="21"/>
                <w:szCs w:val="21"/>
              </w:rPr>
            </w:pPr>
          </w:p>
        </w:tc>
        <w:tc>
          <w:tcPr>
            <w:tcW w:w="2039" w:type="pct"/>
            <w:shd w:val="clear" w:color="auto" w:fill="FFFFFF"/>
            <w:vAlign w:val="center"/>
          </w:tcPr>
          <w:p w14:paraId="0122C537">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实例规格：112核224GB</w:t>
            </w:r>
          </w:p>
        </w:tc>
        <w:tc>
          <w:tcPr>
            <w:tcW w:w="737" w:type="pct"/>
            <w:shd w:val="clear" w:color="auto" w:fill="FFFFFF"/>
            <w:vAlign w:val="center"/>
          </w:tcPr>
          <w:p w14:paraId="3443F3E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16184.68</w:t>
            </w:r>
          </w:p>
        </w:tc>
      </w:tr>
      <w:tr w14:paraId="0273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68DAD777">
            <w:pPr>
              <w:jc w:val="center"/>
              <w:rPr>
                <w:rFonts w:hint="eastAsia" w:ascii="宋体" w:hAnsi="宋体" w:eastAsia="宋体" w:cs="宋体"/>
                <w:sz w:val="21"/>
                <w:szCs w:val="21"/>
              </w:rPr>
            </w:pPr>
          </w:p>
        </w:tc>
        <w:tc>
          <w:tcPr>
            <w:tcW w:w="1310" w:type="pct"/>
            <w:vMerge w:val="continue"/>
            <w:shd w:val="clear" w:color="auto" w:fill="auto"/>
            <w:vAlign w:val="center"/>
          </w:tcPr>
          <w:p w14:paraId="0E8EA5A0">
            <w:pPr>
              <w:jc w:val="center"/>
              <w:rPr>
                <w:rFonts w:hint="eastAsia" w:ascii="宋体" w:hAnsi="宋体" w:eastAsia="宋体" w:cs="宋体"/>
                <w:sz w:val="21"/>
                <w:szCs w:val="21"/>
              </w:rPr>
            </w:pPr>
          </w:p>
        </w:tc>
        <w:tc>
          <w:tcPr>
            <w:tcW w:w="2039" w:type="pct"/>
            <w:shd w:val="clear" w:color="auto" w:fill="FFFFFF"/>
            <w:vAlign w:val="center"/>
          </w:tcPr>
          <w:p w14:paraId="55F2107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实例规格：128核256GB</w:t>
            </w:r>
          </w:p>
        </w:tc>
        <w:tc>
          <w:tcPr>
            <w:tcW w:w="737" w:type="pct"/>
            <w:shd w:val="clear" w:color="auto" w:fill="FFFFFF"/>
            <w:vAlign w:val="center"/>
          </w:tcPr>
          <w:p w14:paraId="697A69B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18477.79</w:t>
            </w:r>
          </w:p>
        </w:tc>
      </w:tr>
      <w:tr w14:paraId="5A81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3D907834">
            <w:pPr>
              <w:jc w:val="center"/>
              <w:rPr>
                <w:rFonts w:hint="eastAsia" w:ascii="宋体" w:hAnsi="宋体" w:eastAsia="宋体" w:cs="宋体"/>
                <w:sz w:val="21"/>
                <w:szCs w:val="21"/>
              </w:rPr>
            </w:pPr>
          </w:p>
        </w:tc>
        <w:tc>
          <w:tcPr>
            <w:tcW w:w="1310" w:type="pct"/>
            <w:vMerge w:val="continue"/>
            <w:shd w:val="clear" w:color="auto" w:fill="auto"/>
            <w:vAlign w:val="center"/>
          </w:tcPr>
          <w:p w14:paraId="6BA8FFB8">
            <w:pPr>
              <w:jc w:val="center"/>
              <w:rPr>
                <w:rFonts w:hint="eastAsia" w:ascii="宋体" w:hAnsi="宋体" w:eastAsia="宋体" w:cs="宋体"/>
                <w:sz w:val="21"/>
                <w:szCs w:val="21"/>
              </w:rPr>
            </w:pPr>
          </w:p>
        </w:tc>
        <w:tc>
          <w:tcPr>
            <w:tcW w:w="2039" w:type="pct"/>
            <w:shd w:val="clear" w:color="auto" w:fill="FFFFFF"/>
            <w:vAlign w:val="center"/>
          </w:tcPr>
          <w:p w14:paraId="1FEBDEA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实例规格：160核320GB</w:t>
            </w:r>
          </w:p>
        </w:tc>
        <w:tc>
          <w:tcPr>
            <w:tcW w:w="737" w:type="pct"/>
            <w:shd w:val="clear" w:color="auto" w:fill="FFFFFF"/>
            <w:vAlign w:val="center"/>
          </w:tcPr>
          <w:p w14:paraId="57E13C44">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22775.901</w:t>
            </w:r>
          </w:p>
        </w:tc>
      </w:tr>
      <w:tr w14:paraId="625F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38671E82">
            <w:pPr>
              <w:jc w:val="center"/>
              <w:rPr>
                <w:rFonts w:hint="eastAsia" w:ascii="宋体" w:hAnsi="宋体" w:eastAsia="宋体" w:cs="宋体"/>
                <w:sz w:val="21"/>
                <w:szCs w:val="21"/>
              </w:rPr>
            </w:pPr>
          </w:p>
        </w:tc>
        <w:tc>
          <w:tcPr>
            <w:tcW w:w="1310" w:type="pct"/>
            <w:vMerge w:val="continue"/>
            <w:shd w:val="clear" w:color="auto" w:fill="auto"/>
            <w:vAlign w:val="center"/>
          </w:tcPr>
          <w:p w14:paraId="4C9260AA">
            <w:pPr>
              <w:jc w:val="center"/>
              <w:rPr>
                <w:rFonts w:hint="eastAsia" w:ascii="宋体" w:hAnsi="宋体" w:eastAsia="宋体" w:cs="宋体"/>
                <w:sz w:val="21"/>
                <w:szCs w:val="21"/>
              </w:rPr>
            </w:pPr>
          </w:p>
        </w:tc>
        <w:tc>
          <w:tcPr>
            <w:tcW w:w="2039" w:type="pct"/>
            <w:shd w:val="clear" w:color="auto" w:fill="FFFFFF"/>
            <w:vAlign w:val="center"/>
          </w:tcPr>
          <w:p w14:paraId="5F9BFBB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实例规格：176核352GB</w:t>
            </w:r>
          </w:p>
        </w:tc>
        <w:tc>
          <w:tcPr>
            <w:tcW w:w="737" w:type="pct"/>
            <w:shd w:val="clear" w:color="auto" w:fill="FFFFFF"/>
            <w:vAlign w:val="center"/>
          </w:tcPr>
          <w:p w14:paraId="0120199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25040.455</w:t>
            </w:r>
          </w:p>
        </w:tc>
      </w:tr>
      <w:tr w14:paraId="641B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6DB83F59">
            <w:pPr>
              <w:jc w:val="center"/>
              <w:rPr>
                <w:rFonts w:hint="eastAsia" w:ascii="宋体" w:hAnsi="宋体" w:eastAsia="宋体" w:cs="宋体"/>
                <w:sz w:val="21"/>
                <w:szCs w:val="21"/>
              </w:rPr>
            </w:pPr>
          </w:p>
        </w:tc>
        <w:tc>
          <w:tcPr>
            <w:tcW w:w="1310" w:type="pct"/>
            <w:vMerge w:val="continue"/>
            <w:shd w:val="clear" w:color="auto" w:fill="auto"/>
            <w:vAlign w:val="center"/>
          </w:tcPr>
          <w:p w14:paraId="6B4D6264">
            <w:pPr>
              <w:jc w:val="center"/>
              <w:rPr>
                <w:rFonts w:hint="eastAsia" w:ascii="宋体" w:hAnsi="宋体" w:eastAsia="宋体" w:cs="宋体"/>
                <w:sz w:val="21"/>
                <w:szCs w:val="21"/>
              </w:rPr>
            </w:pPr>
          </w:p>
        </w:tc>
        <w:tc>
          <w:tcPr>
            <w:tcW w:w="2039" w:type="pct"/>
            <w:shd w:val="clear" w:color="auto" w:fill="FFFFFF"/>
            <w:vAlign w:val="center"/>
          </w:tcPr>
          <w:p w14:paraId="209317D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实例规格：192核384GB</w:t>
            </w:r>
          </w:p>
        </w:tc>
        <w:tc>
          <w:tcPr>
            <w:tcW w:w="737" w:type="pct"/>
            <w:shd w:val="clear" w:color="auto" w:fill="FFFFFF"/>
            <w:vAlign w:val="center"/>
          </w:tcPr>
          <w:p w14:paraId="349492E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27305.005</w:t>
            </w:r>
          </w:p>
        </w:tc>
      </w:tr>
      <w:tr w14:paraId="3BA2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613794A1">
            <w:pPr>
              <w:jc w:val="center"/>
              <w:rPr>
                <w:rFonts w:hint="eastAsia" w:ascii="宋体" w:hAnsi="宋体" w:eastAsia="宋体" w:cs="宋体"/>
                <w:sz w:val="21"/>
                <w:szCs w:val="21"/>
              </w:rPr>
            </w:pPr>
          </w:p>
        </w:tc>
        <w:tc>
          <w:tcPr>
            <w:tcW w:w="1310" w:type="pct"/>
            <w:vMerge w:val="continue"/>
            <w:shd w:val="clear" w:color="auto" w:fill="auto"/>
            <w:vAlign w:val="center"/>
          </w:tcPr>
          <w:p w14:paraId="7052FCB2">
            <w:pPr>
              <w:jc w:val="center"/>
              <w:rPr>
                <w:rFonts w:hint="eastAsia" w:ascii="宋体" w:hAnsi="宋体" w:eastAsia="宋体" w:cs="宋体"/>
                <w:sz w:val="21"/>
                <w:szCs w:val="21"/>
              </w:rPr>
            </w:pPr>
          </w:p>
        </w:tc>
        <w:tc>
          <w:tcPr>
            <w:tcW w:w="2039" w:type="pct"/>
            <w:shd w:val="clear" w:color="auto" w:fill="FFFFFF"/>
            <w:vAlign w:val="center"/>
          </w:tcPr>
          <w:p w14:paraId="619C8B3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实例规格：192核768GB</w:t>
            </w:r>
          </w:p>
        </w:tc>
        <w:tc>
          <w:tcPr>
            <w:tcW w:w="737" w:type="pct"/>
            <w:shd w:val="clear" w:color="auto" w:fill="FFFFFF"/>
            <w:vAlign w:val="center"/>
          </w:tcPr>
          <w:p w14:paraId="7CD58F5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39345.528</w:t>
            </w:r>
          </w:p>
        </w:tc>
      </w:tr>
      <w:tr w14:paraId="36E0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293F3976">
            <w:pPr>
              <w:jc w:val="center"/>
              <w:rPr>
                <w:rFonts w:hint="eastAsia" w:ascii="宋体" w:hAnsi="宋体" w:eastAsia="宋体" w:cs="宋体"/>
                <w:sz w:val="21"/>
                <w:szCs w:val="21"/>
              </w:rPr>
            </w:pPr>
          </w:p>
        </w:tc>
        <w:tc>
          <w:tcPr>
            <w:tcW w:w="1310" w:type="pct"/>
            <w:vMerge w:val="continue"/>
            <w:shd w:val="clear" w:color="auto" w:fill="auto"/>
            <w:vAlign w:val="center"/>
          </w:tcPr>
          <w:p w14:paraId="73A547BE">
            <w:pPr>
              <w:jc w:val="center"/>
              <w:rPr>
                <w:rFonts w:hint="eastAsia" w:ascii="宋体" w:hAnsi="宋体" w:eastAsia="宋体" w:cs="宋体"/>
                <w:sz w:val="21"/>
                <w:szCs w:val="21"/>
              </w:rPr>
            </w:pPr>
          </w:p>
        </w:tc>
        <w:tc>
          <w:tcPr>
            <w:tcW w:w="2039" w:type="pct"/>
            <w:shd w:val="clear" w:color="auto" w:fill="FFFFFF"/>
            <w:vAlign w:val="center"/>
          </w:tcPr>
          <w:p w14:paraId="30B1CA7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实例规格：256核1024GB</w:t>
            </w:r>
          </w:p>
        </w:tc>
        <w:tc>
          <w:tcPr>
            <w:tcW w:w="737" w:type="pct"/>
            <w:shd w:val="clear" w:color="auto" w:fill="FFFFFF"/>
            <w:vAlign w:val="center"/>
          </w:tcPr>
          <w:p w14:paraId="0396CD0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52444.342</w:t>
            </w:r>
          </w:p>
        </w:tc>
      </w:tr>
      <w:tr w14:paraId="6E6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restart"/>
            <w:shd w:val="clear" w:color="auto" w:fill="FFFFFF"/>
            <w:vAlign w:val="center"/>
          </w:tcPr>
          <w:p w14:paraId="2F75F47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云数据库Redis版</w:t>
            </w:r>
          </w:p>
        </w:tc>
        <w:tc>
          <w:tcPr>
            <w:tcW w:w="1310" w:type="pct"/>
            <w:vMerge w:val="restart"/>
            <w:shd w:val="clear" w:color="auto" w:fill="FFFFFF"/>
            <w:vAlign w:val="center"/>
          </w:tcPr>
          <w:p w14:paraId="1D4BE6C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根据实例规格和个数按月计费</w:t>
            </w:r>
          </w:p>
        </w:tc>
        <w:tc>
          <w:tcPr>
            <w:tcW w:w="2039" w:type="pct"/>
            <w:shd w:val="clear" w:color="auto" w:fill="FFFFFF"/>
            <w:vAlign w:val="center"/>
          </w:tcPr>
          <w:p w14:paraId="1A925F5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规格1:标准版（主从版）1G，连接数10000</w:t>
            </w:r>
          </w:p>
        </w:tc>
        <w:tc>
          <w:tcPr>
            <w:tcW w:w="737" w:type="pct"/>
            <w:shd w:val="clear" w:color="auto" w:fill="FFFFFF"/>
            <w:vAlign w:val="center"/>
          </w:tcPr>
          <w:p w14:paraId="174ACD1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62.094</w:t>
            </w:r>
          </w:p>
        </w:tc>
      </w:tr>
      <w:tr w14:paraId="5E80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392E3765">
            <w:pPr>
              <w:jc w:val="center"/>
              <w:rPr>
                <w:rFonts w:hint="eastAsia" w:ascii="宋体" w:hAnsi="宋体" w:eastAsia="宋体" w:cs="宋体"/>
                <w:sz w:val="21"/>
                <w:szCs w:val="21"/>
              </w:rPr>
            </w:pPr>
          </w:p>
        </w:tc>
        <w:tc>
          <w:tcPr>
            <w:tcW w:w="1310" w:type="pct"/>
            <w:vMerge w:val="continue"/>
            <w:shd w:val="clear" w:color="auto" w:fill="FFFFFF"/>
            <w:vAlign w:val="center"/>
          </w:tcPr>
          <w:p w14:paraId="48F0701D">
            <w:pPr>
              <w:jc w:val="center"/>
              <w:rPr>
                <w:rFonts w:hint="eastAsia" w:ascii="宋体" w:hAnsi="宋体" w:eastAsia="宋体" w:cs="宋体"/>
                <w:sz w:val="21"/>
                <w:szCs w:val="21"/>
              </w:rPr>
            </w:pPr>
          </w:p>
        </w:tc>
        <w:tc>
          <w:tcPr>
            <w:tcW w:w="2039" w:type="pct"/>
            <w:shd w:val="clear" w:color="auto" w:fill="FFFFFF"/>
            <w:vAlign w:val="center"/>
          </w:tcPr>
          <w:p w14:paraId="76DA87B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规格2:标准版（主从版）2G，连接数10000</w:t>
            </w:r>
          </w:p>
        </w:tc>
        <w:tc>
          <w:tcPr>
            <w:tcW w:w="737" w:type="pct"/>
            <w:shd w:val="clear" w:color="auto" w:fill="FFFFFF"/>
            <w:vAlign w:val="center"/>
          </w:tcPr>
          <w:p w14:paraId="7D0CB14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111.767</w:t>
            </w:r>
          </w:p>
        </w:tc>
      </w:tr>
      <w:tr w14:paraId="0D56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321D15FF">
            <w:pPr>
              <w:jc w:val="center"/>
              <w:rPr>
                <w:rFonts w:hint="eastAsia" w:ascii="宋体" w:hAnsi="宋体" w:eastAsia="宋体" w:cs="宋体"/>
                <w:sz w:val="21"/>
                <w:szCs w:val="21"/>
              </w:rPr>
            </w:pPr>
          </w:p>
        </w:tc>
        <w:tc>
          <w:tcPr>
            <w:tcW w:w="1310" w:type="pct"/>
            <w:vMerge w:val="continue"/>
            <w:shd w:val="clear" w:color="auto" w:fill="FFFFFF"/>
            <w:vAlign w:val="center"/>
          </w:tcPr>
          <w:p w14:paraId="779DB1C2">
            <w:pPr>
              <w:jc w:val="center"/>
              <w:rPr>
                <w:rFonts w:hint="eastAsia" w:ascii="宋体" w:hAnsi="宋体" w:eastAsia="宋体" w:cs="宋体"/>
                <w:sz w:val="21"/>
                <w:szCs w:val="21"/>
              </w:rPr>
            </w:pPr>
          </w:p>
        </w:tc>
        <w:tc>
          <w:tcPr>
            <w:tcW w:w="2039" w:type="pct"/>
            <w:shd w:val="clear" w:color="auto" w:fill="FFFFFF"/>
            <w:vAlign w:val="center"/>
          </w:tcPr>
          <w:p w14:paraId="460443E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规格3:标准版（主从版）4G，连接数10000</w:t>
            </w:r>
          </w:p>
        </w:tc>
        <w:tc>
          <w:tcPr>
            <w:tcW w:w="737" w:type="pct"/>
            <w:shd w:val="clear" w:color="auto" w:fill="FFFFFF"/>
            <w:vAlign w:val="center"/>
          </w:tcPr>
          <w:p w14:paraId="4B2A641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211.118</w:t>
            </w:r>
          </w:p>
        </w:tc>
      </w:tr>
      <w:tr w14:paraId="4698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7603CC9A">
            <w:pPr>
              <w:jc w:val="center"/>
              <w:rPr>
                <w:rFonts w:hint="eastAsia" w:ascii="宋体" w:hAnsi="宋体" w:eastAsia="宋体" w:cs="宋体"/>
                <w:sz w:val="21"/>
                <w:szCs w:val="21"/>
              </w:rPr>
            </w:pPr>
          </w:p>
        </w:tc>
        <w:tc>
          <w:tcPr>
            <w:tcW w:w="1310" w:type="pct"/>
            <w:vMerge w:val="continue"/>
            <w:shd w:val="clear" w:color="auto" w:fill="FFFFFF"/>
            <w:vAlign w:val="center"/>
          </w:tcPr>
          <w:p w14:paraId="7905CE24">
            <w:pPr>
              <w:jc w:val="center"/>
              <w:rPr>
                <w:rFonts w:hint="eastAsia" w:ascii="宋体" w:hAnsi="宋体" w:eastAsia="宋体" w:cs="宋体"/>
                <w:sz w:val="21"/>
                <w:szCs w:val="21"/>
              </w:rPr>
            </w:pPr>
          </w:p>
        </w:tc>
        <w:tc>
          <w:tcPr>
            <w:tcW w:w="2039" w:type="pct"/>
            <w:shd w:val="clear" w:color="auto" w:fill="FFFFFF"/>
            <w:vAlign w:val="center"/>
          </w:tcPr>
          <w:p w14:paraId="3BA9FE5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规格4:标准版（主从版）8G，连接数10000</w:t>
            </w:r>
          </w:p>
        </w:tc>
        <w:tc>
          <w:tcPr>
            <w:tcW w:w="737" w:type="pct"/>
            <w:shd w:val="clear" w:color="auto" w:fill="FFFFFF"/>
            <w:vAlign w:val="center"/>
          </w:tcPr>
          <w:p w14:paraId="1508E93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409.814</w:t>
            </w:r>
          </w:p>
        </w:tc>
      </w:tr>
      <w:tr w14:paraId="4158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16F89844">
            <w:pPr>
              <w:jc w:val="center"/>
              <w:rPr>
                <w:rFonts w:hint="eastAsia" w:ascii="宋体" w:hAnsi="宋体" w:eastAsia="宋体" w:cs="宋体"/>
                <w:sz w:val="21"/>
                <w:szCs w:val="21"/>
              </w:rPr>
            </w:pPr>
          </w:p>
        </w:tc>
        <w:tc>
          <w:tcPr>
            <w:tcW w:w="1310" w:type="pct"/>
            <w:vMerge w:val="continue"/>
            <w:shd w:val="clear" w:color="auto" w:fill="FFFFFF"/>
            <w:vAlign w:val="center"/>
          </w:tcPr>
          <w:p w14:paraId="34DFFD5F">
            <w:pPr>
              <w:jc w:val="center"/>
              <w:rPr>
                <w:rFonts w:hint="eastAsia" w:ascii="宋体" w:hAnsi="宋体" w:eastAsia="宋体" w:cs="宋体"/>
                <w:sz w:val="21"/>
                <w:szCs w:val="21"/>
              </w:rPr>
            </w:pPr>
          </w:p>
        </w:tc>
        <w:tc>
          <w:tcPr>
            <w:tcW w:w="2039" w:type="pct"/>
            <w:shd w:val="clear" w:color="auto" w:fill="FFFFFF"/>
            <w:vAlign w:val="center"/>
          </w:tcPr>
          <w:p w14:paraId="77BD256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规格5:标准版（主从版）16G，连接数10000</w:t>
            </w:r>
          </w:p>
        </w:tc>
        <w:tc>
          <w:tcPr>
            <w:tcW w:w="737" w:type="pct"/>
            <w:shd w:val="clear" w:color="auto" w:fill="FFFFFF"/>
            <w:vAlign w:val="center"/>
          </w:tcPr>
          <w:p w14:paraId="3A4A4BE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807.216</w:t>
            </w:r>
          </w:p>
        </w:tc>
      </w:tr>
      <w:tr w14:paraId="3B3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14A25D8B">
            <w:pPr>
              <w:jc w:val="center"/>
              <w:rPr>
                <w:rFonts w:hint="eastAsia" w:ascii="宋体" w:hAnsi="宋体" w:eastAsia="宋体" w:cs="宋体"/>
                <w:sz w:val="21"/>
                <w:szCs w:val="21"/>
              </w:rPr>
            </w:pPr>
          </w:p>
        </w:tc>
        <w:tc>
          <w:tcPr>
            <w:tcW w:w="1310" w:type="pct"/>
            <w:vMerge w:val="continue"/>
            <w:shd w:val="clear" w:color="auto" w:fill="FFFFFF"/>
            <w:vAlign w:val="center"/>
          </w:tcPr>
          <w:p w14:paraId="22364250">
            <w:pPr>
              <w:jc w:val="center"/>
              <w:rPr>
                <w:rFonts w:hint="eastAsia" w:ascii="宋体" w:hAnsi="宋体" w:eastAsia="宋体" w:cs="宋体"/>
                <w:sz w:val="21"/>
                <w:szCs w:val="21"/>
              </w:rPr>
            </w:pPr>
          </w:p>
        </w:tc>
        <w:tc>
          <w:tcPr>
            <w:tcW w:w="2039" w:type="pct"/>
            <w:shd w:val="clear" w:color="auto" w:fill="FFFFFF"/>
            <w:vAlign w:val="center"/>
          </w:tcPr>
          <w:p w14:paraId="544B9C9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规格6:标准版（主从版）32G，连接数10000</w:t>
            </w:r>
          </w:p>
        </w:tc>
        <w:tc>
          <w:tcPr>
            <w:tcW w:w="737" w:type="pct"/>
            <w:shd w:val="clear" w:color="auto" w:fill="FFFFFF"/>
            <w:vAlign w:val="center"/>
          </w:tcPr>
          <w:p w14:paraId="00D1B46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1602.012</w:t>
            </w:r>
          </w:p>
        </w:tc>
      </w:tr>
      <w:tr w14:paraId="21C1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2238BD48">
            <w:pPr>
              <w:jc w:val="center"/>
              <w:rPr>
                <w:rFonts w:hint="eastAsia" w:ascii="宋体" w:hAnsi="宋体" w:eastAsia="宋体" w:cs="宋体"/>
                <w:sz w:val="21"/>
                <w:szCs w:val="21"/>
              </w:rPr>
            </w:pPr>
          </w:p>
        </w:tc>
        <w:tc>
          <w:tcPr>
            <w:tcW w:w="1310" w:type="pct"/>
            <w:vMerge w:val="continue"/>
            <w:shd w:val="clear" w:color="auto" w:fill="FFFFFF"/>
            <w:vAlign w:val="center"/>
          </w:tcPr>
          <w:p w14:paraId="68FF0B1F">
            <w:pPr>
              <w:jc w:val="center"/>
              <w:rPr>
                <w:rFonts w:hint="eastAsia" w:ascii="宋体" w:hAnsi="宋体" w:eastAsia="宋体" w:cs="宋体"/>
                <w:sz w:val="21"/>
                <w:szCs w:val="21"/>
              </w:rPr>
            </w:pPr>
          </w:p>
        </w:tc>
        <w:tc>
          <w:tcPr>
            <w:tcW w:w="2039" w:type="pct"/>
            <w:shd w:val="clear" w:color="auto" w:fill="FFFFFF"/>
            <w:vAlign w:val="center"/>
          </w:tcPr>
          <w:p w14:paraId="2A493CE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 7：标准版（主从高配版）1G，连接数 20000</w:t>
            </w:r>
          </w:p>
        </w:tc>
        <w:tc>
          <w:tcPr>
            <w:tcW w:w="737" w:type="pct"/>
            <w:shd w:val="clear" w:color="auto" w:fill="FFFFFF"/>
            <w:vAlign w:val="center"/>
          </w:tcPr>
          <w:p w14:paraId="0E32CD8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163.927</w:t>
            </w:r>
          </w:p>
        </w:tc>
      </w:tr>
      <w:tr w14:paraId="22A4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68A881B7">
            <w:pPr>
              <w:jc w:val="center"/>
              <w:rPr>
                <w:rFonts w:hint="eastAsia" w:ascii="宋体" w:hAnsi="宋体" w:eastAsia="宋体" w:cs="宋体"/>
                <w:sz w:val="21"/>
                <w:szCs w:val="21"/>
              </w:rPr>
            </w:pPr>
          </w:p>
        </w:tc>
        <w:tc>
          <w:tcPr>
            <w:tcW w:w="1310" w:type="pct"/>
            <w:vMerge w:val="continue"/>
            <w:shd w:val="clear" w:color="auto" w:fill="FFFFFF"/>
            <w:vAlign w:val="center"/>
          </w:tcPr>
          <w:p w14:paraId="47A654E8">
            <w:pPr>
              <w:jc w:val="center"/>
              <w:rPr>
                <w:rFonts w:hint="eastAsia" w:ascii="宋体" w:hAnsi="宋体" w:eastAsia="宋体" w:cs="宋体"/>
                <w:sz w:val="21"/>
                <w:szCs w:val="21"/>
              </w:rPr>
            </w:pPr>
          </w:p>
        </w:tc>
        <w:tc>
          <w:tcPr>
            <w:tcW w:w="2039" w:type="pct"/>
            <w:shd w:val="clear" w:color="auto" w:fill="FFFFFF"/>
            <w:vAlign w:val="center"/>
          </w:tcPr>
          <w:p w14:paraId="6C28CFD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 8：标准版（主从高配版）2G，连接数 20000</w:t>
            </w:r>
          </w:p>
        </w:tc>
        <w:tc>
          <w:tcPr>
            <w:tcW w:w="737" w:type="pct"/>
            <w:shd w:val="clear" w:color="auto" w:fill="FFFFFF"/>
            <w:vAlign w:val="center"/>
          </w:tcPr>
          <w:p w14:paraId="0DEFDC6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290.597</w:t>
            </w:r>
          </w:p>
        </w:tc>
      </w:tr>
      <w:tr w14:paraId="0D76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353282F4">
            <w:pPr>
              <w:jc w:val="center"/>
              <w:rPr>
                <w:rFonts w:hint="eastAsia" w:ascii="宋体" w:hAnsi="宋体" w:eastAsia="宋体" w:cs="宋体"/>
                <w:sz w:val="21"/>
                <w:szCs w:val="21"/>
              </w:rPr>
            </w:pPr>
          </w:p>
        </w:tc>
        <w:tc>
          <w:tcPr>
            <w:tcW w:w="1310" w:type="pct"/>
            <w:vMerge w:val="continue"/>
            <w:shd w:val="clear" w:color="auto" w:fill="FFFFFF"/>
            <w:vAlign w:val="center"/>
          </w:tcPr>
          <w:p w14:paraId="16652634">
            <w:pPr>
              <w:jc w:val="center"/>
              <w:rPr>
                <w:rFonts w:hint="eastAsia" w:ascii="宋体" w:hAnsi="宋体" w:eastAsia="宋体" w:cs="宋体"/>
                <w:sz w:val="21"/>
                <w:szCs w:val="21"/>
              </w:rPr>
            </w:pPr>
          </w:p>
        </w:tc>
        <w:tc>
          <w:tcPr>
            <w:tcW w:w="2039" w:type="pct"/>
            <w:shd w:val="clear" w:color="auto" w:fill="FFFFFF"/>
            <w:vAlign w:val="center"/>
          </w:tcPr>
          <w:p w14:paraId="51E6EF2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 9：标准版（主从高配版）4G，连接数 20000</w:t>
            </w:r>
          </w:p>
        </w:tc>
        <w:tc>
          <w:tcPr>
            <w:tcW w:w="737" w:type="pct"/>
            <w:shd w:val="clear" w:color="auto" w:fill="FFFFFF"/>
            <w:vAlign w:val="center"/>
          </w:tcPr>
          <w:p w14:paraId="275B6E6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496.748</w:t>
            </w:r>
          </w:p>
        </w:tc>
      </w:tr>
      <w:tr w14:paraId="5499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5EC8B44E">
            <w:pPr>
              <w:jc w:val="center"/>
              <w:rPr>
                <w:rFonts w:hint="eastAsia" w:ascii="宋体" w:hAnsi="宋体" w:eastAsia="宋体" w:cs="宋体"/>
                <w:sz w:val="21"/>
                <w:szCs w:val="21"/>
              </w:rPr>
            </w:pPr>
          </w:p>
        </w:tc>
        <w:tc>
          <w:tcPr>
            <w:tcW w:w="1310" w:type="pct"/>
            <w:vMerge w:val="continue"/>
            <w:shd w:val="clear" w:color="auto" w:fill="FFFFFF"/>
            <w:vAlign w:val="center"/>
          </w:tcPr>
          <w:p w14:paraId="6F8C74E5">
            <w:pPr>
              <w:jc w:val="center"/>
              <w:rPr>
                <w:rFonts w:hint="eastAsia" w:ascii="宋体" w:hAnsi="宋体" w:eastAsia="宋体" w:cs="宋体"/>
                <w:sz w:val="21"/>
                <w:szCs w:val="21"/>
              </w:rPr>
            </w:pPr>
          </w:p>
        </w:tc>
        <w:tc>
          <w:tcPr>
            <w:tcW w:w="2039" w:type="pct"/>
            <w:shd w:val="clear" w:color="auto" w:fill="FFFFFF"/>
            <w:vAlign w:val="center"/>
          </w:tcPr>
          <w:p w14:paraId="7894DCB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 10：标准版（主从高配版）8G，连接数 20000</w:t>
            </w:r>
          </w:p>
        </w:tc>
        <w:tc>
          <w:tcPr>
            <w:tcW w:w="737" w:type="pct"/>
            <w:shd w:val="clear" w:color="auto" w:fill="FFFFFF"/>
            <w:vAlign w:val="center"/>
          </w:tcPr>
          <w:p w14:paraId="704B3EB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745.122</w:t>
            </w:r>
          </w:p>
        </w:tc>
      </w:tr>
      <w:tr w14:paraId="26A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752C130E">
            <w:pPr>
              <w:jc w:val="center"/>
              <w:rPr>
                <w:rFonts w:hint="eastAsia" w:ascii="宋体" w:hAnsi="宋体" w:eastAsia="宋体" w:cs="宋体"/>
                <w:sz w:val="21"/>
                <w:szCs w:val="21"/>
              </w:rPr>
            </w:pPr>
          </w:p>
        </w:tc>
        <w:tc>
          <w:tcPr>
            <w:tcW w:w="1310" w:type="pct"/>
            <w:vMerge w:val="continue"/>
            <w:shd w:val="clear" w:color="auto" w:fill="FFFFFF"/>
            <w:vAlign w:val="center"/>
          </w:tcPr>
          <w:p w14:paraId="39F162C1">
            <w:pPr>
              <w:jc w:val="center"/>
              <w:rPr>
                <w:rFonts w:hint="eastAsia" w:ascii="宋体" w:hAnsi="宋体" w:eastAsia="宋体" w:cs="宋体"/>
                <w:sz w:val="21"/>
                <w:szCs w:val="21"/>
              </w:rPr>
            </w:pPr>
          </w:p>
        </w:tc>
        <w:tc>
          <w:tcPr>
            <w:tcW w:w="2039" w:type="pct"/>
            <w:shd w:val="clear" w:color="auto" w:fill="FFFFFF"/>
            <w:vAlign w:val="center"/>
          </w:tcPr>
          <w:p w14:paraId="2DA3FF2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规格 11：标准版（主从高配版）16G，连接数 20000</w:t>
            </w:r>
          </w:p>
        </w:tc>
        <w:tc>
          <w:tcPr>
            <w:tcW w:w="737" w:type="pct"/>
            <w:shd w:val="clear" w:color="auto" w:fill="FFFFFF"/>
            <w:vAlign w:val="center"/>
          </w:tcPr>
          <w:p w14:paraId="06D7679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1241.87</w:t>
            </w:r>
          </w:p>
        </w:tc>
      </w:tr>
      <w:tr w14:paraId="0C9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jc w:val="center"/>
        </w:trPr>
        <w:tc>
          <w:tcPr>
            <w:tcW w:w="912" w:type="pct"/>
            <w:shd w:val="clear" w:color="auto" w:fill="FFFFFF"/>
            <w:vAlign w:val="center"/>
          </w:tcPr>
          <w:p w14:paraId="67B8B42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对象存储</w:t>
            </w:r>
          </w:p>
        </w:tc>
        <w:tc>
          <w:tcPr>
            <w:tcW w:w="1310" w:type="pct"/>
            <w:shd w:val="clear" w:color="auto" w:fill="FFFFFF"/>
            <w:vAlign w:val="center"/>
          </w:tcPr>
          <w:p w14:paraId="14E7420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根据开通的存储容量按月计费</w:t>
            </w:r>
          </w:p>
        </w:tc>
        <w:tc>
          <w:tcPr>
            <w:tcW w:w="2039" w:type="pct"/>
            <w:shd w:val="clear" w:color="auto" w:fill="FFFFFF"/>
            <w:vAlign w:val="center"/>
          </w:tcPr>
          <w:p w14:paraId="1805A10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1D1D064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0.05</w:t>
            </w:r>
          </w:p>
        </w:tc>
      </w:tr>
      <w:tr w14:paraId="743A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jc w:val="center"/>
        </w:trPr>
        <w:tc>
          <w:tcPr>
            <w:tcW w:w="912" w:type="pct"/>
            <w:shd w:val="clear" w:color="auto" w:fill="FFFFFF"/>
            <w:vAlign w:val="center"/>
          </w:tcPr>
          <w:p w14:paraId="7F43F7B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文件存储</w:t>
            </w:r>
          </w:p>
        </w:tc>
        <w:tc>
          <w:tcPr>
            <w:tcW w:w="1310" w:type="pct"/>
            <w:shd w:val="clear" w:color="auto" w:fill="FFFFFF"/>
            <w:vAlign w:val="center"/>
          </w:tcPr>
          <w:p w14:paraId="1B3D885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根据开通的存储容量按月计费</w:t>
            </w:r>
          </w:p>
        </w:tc>
        <w:tc>
          <w:tcPr>
            <w:tcW w:w="2039" w:type="pct"/>
            <w:shd w:val="clear" w:color="auto" w:fill="FFFFFF"/>
            <w:vAlign w:val="center"/>
          </w:tcPr>
          <w:p w14:paraId="09FB02C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7AEE87D0">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0.167</w:t>
            </w:r>
          </w:p>
        </w:tc>
      </w:tr>
      <w:tr w14:paraId="2780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912" w:type="pct"/>
            <w:vMerge w:val="restart"/>
            <w:shd w:val="clear" w:color="auto" w:fill="FFFFFF"/>
            <w:vAlign w:val="center"/>
          </w:tcPr>
          <w:p w14:paraId="2C52862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表格存储</w:t>
            </w:r>
          </w:p>
        </w:tc>
        <w:tc>
          <w:tcPr>
            <w:tcW w:w="1310" w:type="pct"/>
            <w:vMerge w:val="restart"/>
            <w:shd w:val="clear" w:color="auto" w:fill="FFFFFF"/>
            <w:vAlign w:val="center"/>
          </w:tcPr>
          <w:p w14:paraId="535D4F00">
            <w:pPr>
              <w:widowControl/>
              <w:jc w:val="center"/>
              <w:textAlignment w:val="center"/>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性能型实例：</w:t>
            </w:r>
          </w:p>
          <w:p w14:paraId="0EC27B98">
            <w:pPr>
              <w:widowControl/>
              <w:jc w:val="center"/>
              <w:textAlignment w:val="center"/>
              <w:rPr>
                <w:rFonts w:hint="eastAsia" w:ascii="宋体" w:hAnsi="宋体" w:eastAsia="宋体" w:cs="宋体"/>
                <w:sz w:val="21"/>
                <w:szCs w:val="21"/>
                <w:lang w:eastAsia="zh-Hans"/>
              </w:rPr>
            </w:pPr>
            <w:r>
              <w:rPr>
                <w:rFonts w:hint="eastAsia" w:ascii="宋体" w:hAnsi="宋体" w:eastAsia="宋体" w:cs="宋体"/>
                <w:kern w:val="0"/>
                <w:sz w:val="21"/>
                <w:szCs w:val="21"/>
                <w:lang w:eastAsia="zh-Hans" w:bidi="ar"/>
              </w:rPr>
              <w:t>根据开通的存储容量+预留CU数量计费</w:t>
            </w:r>
          </w:p>
        </w:tc>
        <w:tc>
          <w:tcPr>
            <w:tcW w:w="2039" w:type="pct"/>
            <w:shd w:val="clear" w:color="auto" w:fill="FFFFFF"/>
            <w:vAlign w:val="center"/>
          </w:tcPr>
          <w:p w14:paraId="157179F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0A046E69">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0.671</w:t>
            </w:r>
          </w:p>
        </w:tc>
      </w:tr>
      <w:tr w14:paraId="415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3FAA13C1">
            <w:pPr>
              <w:jc w:val="center"/>
              <w:rPr>
                <w:rFonts w:hint="eastAsia" w:ascii="宋体" w:hAnsi="宋体" w:eastAsia="宋体" w:cs="宋体"/>
                <w:sz w:val="21"/>
                <w:szCs w:val="21"/>
              </w:rPr>
            </w:pPr>
          </w:p>
        </w:tc>
        <w:tc>
          <w:tcPr>
            <w:tcW w:w="1310" w:type="pct"/>
            <w:vMerge w:val="continue"/>
            <w:shd w:val="clear" w:color="auto" w:fill="FFFFFF"/>
            <w:vAlign w:val="center"/>
          </w:tcPr>
          <w:p w14:paraId="7C64E81A">
            <w:pPr>
              <w:jc w:val="center"/>
              <w:rPr>
                <w:rFonts w:hint="eastAsia" w:ascii="宋体" w:hAnsi="宋体" w:eastAsia="宋体" w:cs="宋体"/>
                <w:sz w:val="21"/>
                <w:szCs w:val="21"/>
              </w:rPr>
            </w:pPr>
          </w:p>
        </w:tc>
        <w:tc>
          <w:tcPr>
            <w:tcW w:w="2039" w:type="pct"/>
            <w:shd w:val="clear" w:color="auto" w:fill="FFFFFF"/>
            <w:vAlign w:val="center"/>
          </w:tcPr>
          <w:p w14:paraId="4D6F4950">
            <w:pPr>
              <w:widowControl/>
              <w:jc w:val="center"/>
              <w:textAlignment w:val="center"/>
              <w:rPr>
                <w:rFonts w:hint="eastAsia" w:ascii="宋体" w:hAnsi="宋体" w:eastAsia="宋体" w:cs="宋体"/>
                <w:sz w:val="21"/>
                <w:szCs w:val="21"/>
                <w:lang w:eastAsia="zh-Hans"/>
              </w:rPr>
            </w:pPr>
            <w:r>
              <w:rPr>
                <w:rFonts w:hint="eastAsia" w:ascii="宋体" w:hAnsi="宋体" w:eastAsia="宋体" w:cs="宋体"/>
                <w:kern w:val="0"/>
                <w:sz w:val="21"/>
                <w:szCs w:val="21"/>
                <w:lang w:eastAsia="zh-Hans" w:bidi="ar"/>
              </w:rPr>
              <w:t>VCU</w:t>
            </w:r>
          </w:p>
        </w:tc>
        <w:tc>
          <w:tcPr>
            <w:tcW w:w="737" w:type="pct"/>
            <w:shd w:val="clear" w:color="auto" w:fill="FFFFFF"/>
            <w:vAlign w:val="center"/>
          </w:tcPr>
          <w:p w14:paraId="339ABE3A">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372.562</w:t>
            </w:r>
          </w:p>
        </w:tc>
      </w:tr>
      <w:tr w14:paraId="4BB0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jc w:val="center"/>
        </w:trPr>
        <w:tc>
          <w:tcPr>
            <w:tcW w:w="912" w:type="pct"/>
            <w:vMerge w:val="continue"/>
            <w:shd w:val="clear" w:color="auto" w:fill="FFFFFF"/>
            <w:vAlign w:val="center"/>
          </w:tcPr>
          <w:p w14:paraId="3124848F">
            <w:pPr>
              <w:jc w:val="center"/>
              <w:rPr>
                <w:rFonts w:hint="eastAsia" w:ascii="宋体" w:hAnsi="宋体" w:eastAsia="宋体" w:cs="宋体"/>
                <w:sz w:val="21"/>
                <w:szCs w:val="21"/>
              </w:rPr>
            </w:pPr>
          </w:p>
        </w:tc>
        <w:tc>
          <w:tcPr>
            <w:tcW w:w="1310" w:type="pct"/>
            <w:vMerge w:val="restart"/>
            <w:shd w:val="clear" w:color="auto" w:fill="auto"/>
            <w:vAlign w:val="center"/>
          </w:tcPr>
          <w:p w14:paraId="20ABCDD9">
            <w:pPr>
              <w:widowControl/>
              <w:jc w:val="center"/>
              <w:textAlignment w:val="center"/>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*容量型实例：</w:t>
            </w:r>
          </w:p>
          <w:p w14:paraId="6C0925D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eastAsia="zh-Hans" w:bidi="ar"/>
              </w:rPr>
              <w:t>根据开通的存储容量+预留CU数量计费</w:t>
            </w:r>
          </w:p>
        </w:tc>
        <w:tc>
          <w:tcPr>
            <w:tcW w:w="2039" w:type="pct"/>
            <w:shd w:val="clear" w:color="auto" w:fill="FFFFFF"/>
            <w:vAlign w:val="center"/>
          </w:tcPr>
          <w:p w14:paraId="52D6661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6C1F1AAB">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0.186</w:t>
            </w:r>
          </w:p>
        </w:tc>
      </w:tr>
      <w:tr w14:paraId="5E0F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95540A1">
            <w:pPr>
              <w:jc w:val="center"/>
              <w:rPr>
                <w:rFonts w:hint="eastAsia" w:ascii="宋体" w:hAnsi="宋体" w:eastAsia="宋体" w:cs="宋体"/>
                <w:sz w:val="21"/>
                <w:szCs w:val="21"/>
              </w:rPr>
            </w:pPr>
          </w:p>
        </w:tc>
        <w:tc>
          <w:tcPr>
            <w:tcW w:w="1310" w:type="pct"/>
            <w:vMerge w:val="continue"/>
            <w:shd w:val="clear" w:color="auto" w:fill="auto"/>
            <w:vAlign w:val="center"/>
          </w:tcPr>
          <w:p w14:paraId="27A89A5F">
            <w:pPr>
              <w:widowControl/>
              <w:jc w:val="center"/>
              <w:textAlignment w:val="center"/>
              <w:rPr>
                <w:rFonts w:hint="eastAsia" w:ascii="宋体" w:hAnsi="宋体" w:eastAsia="宋体" w:cs="宋体"/>
                <w:kern w:val="0"/>
                <w:sz w:val="21"/>
                <w:szCs w:val="21"/>
                <w:lang w:eastAsia="zh-Hans" w:bidi="ar"/>
              </w:rPr>
            </w:pPr>
          </w:p>
        </w:tc>
        <w:tc>
          <w:tcPr>
            <w:tcW w:w="2039" w:type="pct"/>
            <w:shd w:val="clear" w:color="auto" w:fill="FFFFFF"/>
            <w:vAlign w:val="center"/>
          </w:tcPr>
          <w:p w14:paraId="58D97C17">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eastAsia="zh-Hans" w:bidi="ar"/>
              </w:rPr>
              <w:t>VCU</w:t>
            </w:r>
          </w:p>
        </w:tc>
        <w:tc>
          <w:tcPr>
            <w:tcW w:w="737" w:type="pct"/>
            <w:shd w:val="clear" w:color="auto" w:fill="FFFFFF"/>
            <w:vAlign w:val="center"/>
          </w:tcPr>
          <w:p w14:paraId="235C8901">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372.562</w:t>
            </w:r>
          </w:p>
        </w:tc>
      </w:tr>
      <w:tr w14:paraId="67B2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jc w:val="center"/>
        </w:trPr>
        <w:tc>
          <w:tcPr>
            <w:tcW w:w="912" w:type="pct"/>
            <w:vMerge w:val="continue"/>
            <w:shd w:val="clear" w:color="auto" w:fill="FFFFFF"/>
            <w:vAlign w:val="center"/>
          </w:tcPr>
          <w:p w14:paraId="6AF052A2">
            <w:pPr>
              <w:jc w:val="center"/>
              <w:rPr>
                <w:rFonts w:hint="eastAsia" w:ascii="宋体" w:hAnsi="宋体" w:eastAsia="宋体" w:cs="宋体"/>
                <w:sz w:val="21"/>
                <w:szCs w:val="21"/>
              </w:rPr>
            </w:pPr>
          </w:p>
        </w:tc>
        <w:tc>
          <w:tcPr>
            <w:tcW w:w="1310" w:type="pct"/>
            <w:shd w:val="clear" w:color="auto" w:fill="auto"/>
            <w:vAlign w:val="center"/>
          </w:tcPr>
          <w:p w14:paraId="57F2CE99">
            <w:pPr>
              <w:widowControl/>
              <w:jc w:val="center"/>
              <w:textAlignment w:val="center"/>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*索引存储：根据开通的存储容量计费</w:t>
            </w:r>
          </w:p>
        </w:tc>
        <w:tc>
          <w:tcPr>
            <w:tcW w:w="2039" w:type="pct"/>
            <w:shd w:val="clear" w:color="auto" w:fill="FFFFFF"/>
            <w:vAlign w:val="center"/>
          </w:tcPr>
          <w:p w14:paraId="6CC40F8A">
            <w:pPr>
              <w:widowControl/>
              <w:jc w:val="center"/>
              <w:textAlignment w:val="center"/>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GB</w:t>
            </w:r>
          </w:p>
        </w:tc>
        <w:tc>
          <w:tcPr>
            <w:tcW w:w="737" w:type="pct"/>
            <w:shd w:val="clear" w:color="auto" w:fill="FFFFFF"/>
            <w:vAlign w:val="center"/>
          </w:tcPr>
          <w:p w14:paraId="4F06E908">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3.105</w:t>
            </w:r>
          </w:p>
        </w:tc>
      </w:tr>
      <w:tr w14:paraId="5B5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9" w:hRule="atLeast"/>
          <w:jc w:val="center"/>
        </w:trPr>
        <w:tc>
          <w:tcPr>
            <w:tcW w:w="912" w:type="pct"/>
            <w:vMerge w:val="restart"/>
            <w:shd w:val="clear" w:color="auto" w:fill="FFFFFF"/>
            <w:vAlign w:val="center"/>
          </w:tcPr>
          <w:p w14:paraId="099C082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大数据计算服务</w:t>
            </w:r>
          </w:p>
        </w:tc>
        <w:tc>
          <w:tcPr>
            <w:tcW w:w="1310" w:type="pct"/>
            <w:vMerge w:val="restart"/>
            <w:shd w:val="clear" w:color="auto" w:fill="FFFFFF"/>
            <w:vAlign w:val="center"/>
          </w:tcPr>
          <w:p w14:paraId="1179694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根据实例开通的CU数（10CU起步）+存储容量（500GB起步）</w:t>
            </w:r>
          </w:p>
        </w:tc>
        <w:tc>
          <w:tcPr>
            <w:tcW w:w="2039" w:type="pct"/>
            <w:shd w:val="clear" w:color="auto" w:fill="FFFFFF"/>
            <w:vAlign w:val="center"/>
          </w:tcPr>
          <w:p w14:paraId="1FED932E">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实例开通CU数：CU</w:t>
            </w:r>
          </w:p>
        </w:tc>
        <w:tc>
          <w:tcPr>
            <w:tcW w:w="737" w:type="pct"/>
            <w:shd w:val="clear" w:color="auto" w:fill="FFFFFF"/>
            <w:vAlign w:val="center"/>
          </w:tcPr>
          <w:p w14:paraId="48F97DB5">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87.661</w:t>
            </w:r>
          </w:p>
        </w:tc>
      </w:tr>
      <w:tr w14:paraId="36CA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912" w:type="pct"/>
            <w:vMerge w:val="continue"/>
            <w:shd w:val="clear" w:color="auto" w:fill="FFFFFF"/>
            <w:vAlign w:val="center"/>
          </w:tcPr>
          <w:p w14:paraId="2909E666">
            <w:pPr>
              <w:jc w:val="center"/>
              <w:rPr>
                <w:rFonts w:hint="eastAsia" w:ascii="宋体" w:hAnsi="宋体" w:eastAsia="宋体" w:cs="宋体"/>
                <w:sz w:val="21"/>
                <w:szCs w:val="21"/>
              </w:rPr>
            </w:pPr>
          </w:p>
        </w:tc>
        <w:tc>
          <w:tcPr>
            <w:tcW w:w="1310" w:type="pct"/>
            <w:vMerge w:val="continue"/>
            <w:shd w:val="clear" w:color="auto" w:fill="FFFFFF"/>
            <w:vAlign w:val="center"/>
          </w:tcPr>
          <w:p w14:paraId="0095FC01">
            <w:pPr>
              <w:jc w:val="center"/>
              <w:rPr>
                <w:rFonts w:hint="eastAsia" w:ascii="宋体" w:hAnsi="宋体" w:eastAsia="宋体" w:cs="宋体"/>
                <w:sz w:val="21"/>
                <w:szCs w:val="21"/>
              </w:rPr>
            </w:pPr>
          </w:p>
        </w:tc>
        <w:tc>
          <w:tcPr>
            <w:tcW w:w="2039" w:type="pct"/>
            <w:shd w:val="clear" w:color="auto" w:fill="FFFFFF"/>
            <w:vAlign w:val="center"/>
          </w:tcPr>
          <w:p w14:paraId="3F923E4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存储容量：GB</w:t>
            </w:r>
          </w:p>
        </w:tc>
        <w:tc>
          <w:tcPr>
            <w:tcW w:w="737" w:type="pct"/>
            <w:shd w:val="clear" w:color="auto" w:fill="FFFFFF"/>
            <w:vAlign w:val="center"/>
          </w:tcPr>
          <w:p w14:paraId="55876577">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0.07</w:t>
            </w:r>
          </w:p>
        </w:tc>
      </w:tr>
      <w:tr w14:paraId="77B8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7D7E449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负载均衡</w:t>
            </w:r>
          </w:p>
        </w:tc>
        <w:tc>
          <w:tcPr>
            <w:tcW w:w="1310" w:type="pct"/>
            <w:vMerge w:val="restart"/>
            <w:shd w:val="clear" w:color="auto" w:fill="FFFFFF"/>
            <w:vAlign w:val="center"/>
          </w:tcPr>
          <w:p w14:paraId="2A470AE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计费方式：根据实例个数+规格</w:t>
            </w:r>
          </w:p>
        </w:tc>
        <w:tc>
          <w:tcPr>
            <w:tcW w:w="2039" w:type="pct"/>
            <w:shd w:val="clear" w:color="auto" w:fill="FFFFFF"/>
            <w:vAlign w:val="center"/>
          </w:tcPr>
          <w:p w14:paraId="3251E40B">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w:t>
            </w:r>
          </w:p>
        </w:tc>
        <w:tc>
          <w:tcPr>
            <w:tcW w:w="737" w:type="pct"/>
            <w:shd w:val="clear" w:color="auto" w:fill="FFFFFF"/>
            <w:vAlign w:val="center"/>
          </w:tcPr>
          <w:p w14:paraId="2FA876EB">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7.153</w:t>
            </w:r>
          </w:p>
        </w:tc>
      </w:tr>
      <w:tr w14:paraId="6A8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A8410E4">
            <w:pPr>
              <w:jc w:val="center"/>
              <w:rPr>
                <w:rFonts w:hint="eastAsia" w:ascii="宋体" w:hAnsi="宋体" w:eastAsia="宋体" w:cs="宋体"/>
                <w:sz w:val="21"/>
                <w:szCs w:val="21"/>
              </w:rPr>
            </w:pPr>
          </w:p>
        </w:tc>
        <w:tc>
          <w:tcPr>
            <w:tcW w:w="1310" w:type="pct"/>
            <w:vMerge w:val="continue"/>
            <w:shd w:val="clear" w:color="auto" w:fill="FFFFFF"/>
            <w:vAlign w:val="center"/>
          </w:tcPr>
          <w:p w14:paraId="37A125EB">
            <w:pPr>
              <w:jc w:val="center"/>
              <w:rPr>
                <w:rFonts w:hint="eastAsia" w:ascii="宋体" w:hAnsi="宋体" w:eastAsia="宋体" w:cs="宋体"/>
                <w:sz w:val="21"/>
                <w:szCs w:val="21"/>
              </w:rPr>
            </w:pPr>
          </w:p>
        </w:tc>
        <w:tc>
          <w:tcPr>
            <w:tcW w:w="2039" w:type="pct"/>
            <w:shd w:val="clear" w:color="auto" w:fill="FFFFFF"/>
            <w:vAlign w:val="center"/>
          </w:tcPr>
          <w:p w14:paraId="5710FF6E">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性能共享型</w:t>
            </w:r>
          </w:p>
        </w:tc>
        <w:tc>
          <w:tcPr>
            <w:tcW w:w="737" w:type="pct"/>
            <w:shd w:val="clear" w:color="auto" w:fill="FFFFFF"/>
            <w:vAlign w:val="center"/>
          </w:tcPr>
          <w:p w14:paraId="0B7F3707">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105.445</w:t>
            </w:r>
          </w:p>
        </w:tc>
      </w:tr>
      <w:tr w14:paraId="6C21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912" w:type="pct"/>
            <w:shd w:val="clear" w:color="auto" w:fill="FFFFFF"/>
            <w:vAlign w:val="center"/>
          </w:tcPr>
          <w:p w14:paraId="1BB24D9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专有网络</w:t>
            </w:r>
          </w:p>
        </w:tc>
        <w:tc>
          <w:tcPr>
            <w:tcW w:w="1310" w:type="pct"/>
            <w:shd w:val="clear" w:color="auto" w:fill="FFFFFF"/>
            <w:vAlign w:val="center"/>
          </w:tcPr>
          <w:p w14:paraId="056EFFD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根据专有网络个数按月计费</w:t>
            </w:r>
          </w:p>
        </w:tc>
        <w:tc>
          <w:tcPr>
            <w:tcW w:w="2039" w:type="pct"/>
            <w:shd w:val="clear" w:color="auto" w:fill="FFFFFF"/>
            <w:vAlign w:val="center"/>
          </w:tcPr>
          <w:p w14:paraId="54E0B9F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实例</w:t>
            </w:r>
          </w:p>
        </w:tc>
        <w:tc>
          <w:tcPr>
            <w:tcW w:w="737" w:type="pct"/>
            <w:shd w:val="clear" w:color="auto" w:fill="FFFFFF"/>
            <w:vAlign w:val="center"/>
          </w:tcPr>
          <w:p w14:paraId="08F84B8D">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33.66</w:t>
            </w:r>
          </w:p>
        </w:tc>
      </w:tr>
      <w:tr w14:paraId="3889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912" w:type="pct"/>
            <w:shd w:val="clear" w:color="auto" w:fill="FFFFFF"/>
            <w:vAlign w:val="center"/>
          </w:tcPr>
          <w:p w14:paraId="52F63A3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实时计算</w:t>
            </w:r>
          </w:p>
        </w:tc>
        <w:tc>
          <w:tcPr>
            <w:tcW w:w="1310" w:type="pct"/>
            <w:shd w:val="clear" w:color="auto" w:fill="FFFFFF"/>
            <w:vAlign w:val="center"/>
          </w:tcPr>
          <w:p w14:paraId="0666076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根据实例开通的CU数按月计费</w:t>
            </w:r>
          </w:p>
        </w:tc>
        <w:tc>
          <w:tcPr>
            <w:tcW w:w="2039" w:type="pct"/>
            <w:shd w:val="clear" w:color="auto" w:fill="FFFFFF"/>
            <w:vAlign w:val="center"/>
          </w:tcPr>
          <w:p w14:paraId="605D828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CU</w:t>
            </w:r>
          </w:p>
        </w:tc>
        <w:tc>
          <w:tcPr>
            <w:tcW w:w="737" w:type="pct"/>
            <w:shd w:val="clear" w:color="auto" w:fill="FFFFFF"/>
            <w:vAlign w:val="center"/>
          </w:tcPr>
          <w:p w14:paraId="6B78FD49">
            <w:pPr>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105.194</w:t>
            </w:r>
          </w:p>
        </w:tc>
      </w:tr>
      <w:tr w14:paraId="5E54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912" w:type="pct"/>
            <w:shd w:val="clear" w:color="auto" w:fill="FFFFFF"/>
            <w:vAlign w:val="center"/>
          </w:tcPr>
          <w:p w14:paraId="3522F75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实时数据分发平台</w:t>
            </w:r>
          </w:p>
        </w:tc>
        <w:tc>
          <w:tcPr>
            <w:tcW w:w="1310" w:type="pct"/>
            <w:shd w:val="clear" w:color="auto" w:fill="FFFFFF"/>
            <w:vAlign w:val="center"/>
          </w:tcPr>
          <w:p w14:paraId="6F84A44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根据shard个数月收费</w:t>
            </w:r>
          </w:p>
        </w:tc>
        <w:tc>
          <w:tcPr>
            <w:tcW w:w="2039" w:type="pct"/>
            <w:shd w:val="clear" w:color="auto" w:fill="FFFFFF"/>
            <w:vAlign w:val="center"/>
          </w:tcPr>
          <w:p w14:paraId="615C3CF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shard：10个</w:t>
            </w:r>
          </w:p>
        </w:tc>
        <w:tc>
          <w:tcPr>
            <w:tcW w:w="737" w:type="pct"/>
            <w:shd w:val="clear" w:color="auto" w:fill="FFFFFF"/>
            <w:vAlign w:val="center"/>
          </w:tcPr>
          <w:p w14:paraId="7469993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438.307</w:t>
            </w:r>
          </w:p>
        </w:tc>
      </w:tr>
      <w:tr w14:paraId="572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765FBB0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数据传输服务</w:t>
            </w:r>
          </w:p>
        </w:tc>
        <w:tc>
          <w:tcPr>
            <w:tcW w:w="1310" w:type="pct"/>
            <w:vMerge w:val="restart"/>
            <w:shd w:val="clear" w:color="auto" w:fill="FFFFFF"/>
            <w:vAlign w:val="center"/>
          </w:tcPr>
          <w:p w14:paraId="75F9DAE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根据实例类型及个数按月计费</w:t>
            </w:r>
          </w:p>
        </w:tc>
        <w:tc>
          <w:tcPr>
            <w:tcW w:w="2039" w:type="pct"/>
            <w:shd w:val="clear" w:color="auto" w:fill="FFFFFF"/>
            <w:vAlign w:val="center"/>
          </w:tcPr>
          <w:p w14:paraId="6DEC2A4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数据同步</w:t>
            </w:r>
          </w:p>
        </w:tc>
        <w:tc>
          <w:tcPr>
            <w:tcW w:w="737" w:type="pct"/>
            <w:shd w:val="clear" w:color="auto" w:fill="FFFFFF"/>
            <w:vAlign w:val="center"/>
          </w:tcPr>
          <w:p w14:paraId="36F71A9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628.076</w:t>
            </w:r>
          </w:p>
        </w:tc>
      </w:tr>
      <w:tr w14:paraId="6DE1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EE44C62">
            <w:pPr>
              <w:jc w:val="center"/>
              <w:rPr>
                <w:rFonts w:hint="eastAsia" w:ascii="宋体" w:hAnsi="宋体" w:eastAsia="宋体" w:cs="宋体"/>
                <w:sz w:val="21"/>
                <w:szCs w:val="21"/>
              </w:rPr>
            </w:pPr>
          </w:p>
        </w:tc>
        <w:tc>
          <w:tcPr>
            <w:tcW w:w="1310" w:type="pct"/>
            <w:vMerge w:val="continue"/>
            <w:shd w:val="clear" w:color="auto" w:fill="FFFFFF"/>
            <w:vAlign w:val="center"/>
          </w:tcPr>
          <w:p w14:paraId="153B0043">
            <w:pPr>
              <w:jc w:val="center"/>
              <w:rPr>
                <w:rFonts w:hint="eastAsia" w:ascii="宋体" w:hAnsi="宋体" w:eastAsia="宋体" w:cs="宋体"/>
                <w:sz w:val="21"/>
                <w:szCs w:val="21"/>
              </w:rPr>
            </w:pPr>
          </w:p>
        </w:tc>
        <w:tc>
          <w:tcPr>
            <w:tcW w:w="2039" w:type="pct"/>
            <w:shd w:val="clear" w:color="auto" w:fill="FFFFFF"/>
            <w:vAlign w:val="center"/>
          </w:tcPr>
          <w:p w14:paraId="6647FE2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数据不停服迁移</w:t>
            </w:r>
          </w:p>
        </w:tc>
        <w:tc>
          <w:tcPr>
            <w:tcW w:w="737" w:type="pct"/>
            <w:shd w:val="clear" w:color="auto" w:fill="FFFFFF"/>
            <w:vAlign w:val="center"/>
          </w:tcPr>
          <w:p w14:paraId="2512AA4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755.089</w:t>
            </w:r>
          </w:p>
        </w:tc>
      </w:tr>
      <w:tr w14:paraId="6243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02712941">
            <w:pPr>
              <w:jc w:val="center"/>
              <w:rPr>
                <w:rFonts w:hint="eastAsia" w:ascii="宋体" w:hAnsi="宋体" w:eastAsia="宋体" w:cs="宋体"/>
                <w:sz w:val="21"/>
                <w:szCs w:val="21"/>
              </w:rPr>
            </w:pPr>
          </w:p>
        </w:tc>
        <w:tc>
          <w:tcPr>
            <w:tcW w:w="1310" w:type="pct"/>
            <w:vMerge w:val="continue"/>
            <w:shd w:val="clear" w:color="auto" w:fill="FFFFFF"/>
            <w:vAlign w:val="center"/>
          </w:tcPr>
          <w:p w14:paraId="2F103B13">
            <w:pPr>
              <w:jc w:val="center"/>
              <w:rPr>
                <w:rFonts w:hint="eastAsia" w:ascii="宋体" w:hAnsi="宋体" w:eastAsia="宋体" w:cs="宋体"/>
                <w:sz w:val="21"/>
                <w:szCs w:val="21"/>
              </w:rPr>
            </w:pPr>
          </w:p>
        </w:tc>
        <w:tc>
          <w:tcPr>
            <w:tcW w:w="2039" w:type="pct"/>
            <w:shd w:val="clear" w:color="auto" w:fill="FFFFFF"/>
            <w:vAlign w:val="center"/>
          </w:tcPr>
          <w:p w14:paraId="2E0F2C3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数据订阅</w:t>
            </w:r>
          </w:p>
        </w:tc>
        <w:tc>
          <w:tcPr>
            <w:tcW w:w="737" w:type="pct"/>
            <w:shd w:val="clear" w:color="auto" w:fill="FFFFFF"/>
            <w:vAlign w:val="center"/>
          </w:tcPr>
          <w:p w14:paraId="52B9CC25">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380.012</w:t>
            </w:r>
          </w:p>
        </w:tc>
      </w:tr>
      <w:tr w14:paraId="568B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restart"/>
            <w:shd w:val="clear" w:color="auto" w:fill="FFFFFF"/>
            <w:vAlign w:val="center"/>
          </w:tcPr>
          <w:p w14:paraId="2B72D22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企业级分布式应用服务</w:t>
            </w:r>
          </w:p>
        </w:tc>
        <w:tc>
          <w:tcPr>
            <w:tcW w:w="1310" w:type="pct"/>
            <w:vMerge w:val="restart"/>
            <w:shd w:val="clear" w:color="auto" w:fill="FFFFFF"/>
            <w:vAlign w:val="center"/>
          </w:tcPr>
          <w:p w14:paraId="1278C62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根据每个应用部署的vCPU数按月计费（仅包括服务管理费用，不包含资源费用）</w:t>
            </w:r>
          </w:p>
        </w:tc>
        <w:tc>
          <w:tcPr>
            <w:tcW w:w="2039" w:type="pct"/>
            <w:shd w:val="clear" w:color="auto" w:fill="FFFFFF"/>
            <w:vAlign w:val="center"/>
          </w:tcPr>
          <w:p w14:paraId="59026A1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租户使用10vCPU内（含）每vCPU</w:t>
            </w:r>
          </w:p>
        </w:tc>
        <w:tc>
          <w:tcPr>
            <w:tcW w:w="737" w:type="pct"/>
            <w:shd w:val="clear" w:color="auto" w:fill="FFFFFF"/>
            <w:vAlign w:val="center"/>
          </w:tcPr>
          <w:p w14:paraId="030BDCBC">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105.194</w:t>
            </w:r>
          </w:p>
        </w:tc>
      </w:tr>
      <w:tr w14:paraId="6632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7BDC76EC">
            <w:pPr>
              <w:jc w:val="center"/>
              <w:rPr>
                <w:rFonts w:hint="eastAsia" w:ascii="宋体" w:hAnsi="宋体" w:eastAsia="宋体" w:cs="宋体"/>
                <w:sz w:val="21"/>
                <w:szCs w:val="21"/>
              </w:rPr>
            </w:pPr>
          </w:p>
        </w:tc>
        <w:tc>
          <w:tcPr>
            <w:tcW w:w="1310" w:type="pct"/>
            <w:vMerge w:val="continue"/>
            <w:shd w:val="clear" w:color="auto" w:fill="FFFFFF"/>
            <w:vAlign w:val="center"/>
          </w:tcPr>
          <w:p w14:paraId="47954AB2">
            <w:pPr>
              <w:jc w:val="center"/>
              <w:rPr>
                <w:rFonts w:hint="eastAsia" w:ascii="宋体" w:hAnsi="宋体" w:eastAsia="宋体" w:cs="宋体"/>
                <w:sz w:val="21"/>
                <w:szCs w:val="21"/>
              </w:rPr>
            </w:pPr>
          </w:p>
        </w:tc>
        <w:tc>
          <w:tcPr>
            <w:tcW w:w="2039" w:type="pct"/>
            <w:shd w:val="clear" w:color="auto" w:fill="FFFFFF"/>
            <w:vAlign w:val="center"/>
          </w:tcPr>
          <w:p w14:paraId="71847E6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租户使用11-100vCPU内（含以内）每vCPU</w:t>
            </w:r>
          </w:p>
        </w:tc>
        <w:tc>
          <w:tcPr>
            <w:tcW w:w="737" w:type="pct"/>
            <w:shd w:val="clear" w:color="auto" w:fill="FFFFFF"/>
            <w:vAlign w:val="center"/>
          </w:tcPr>
          <w:p w14:paraId="073F847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99.346</w:t>
            </w:r>
          </w:p>
        </w:tc>
      </w:tr>
      <w:tr w14:paraId="5B5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vMerge w:val="continue"/>
            <w:shd w:val="clear" w:color="auto" w:fill="FFFFFF"/>
            <w:vAlign w:val="center"/>
          </w:tcPr>
          <w:p w14:paraId="58B817B9">
            <w:pPr>
              <w:jc w:val="center"/>
              <w:rPr>
                <w:rFonts w:hint="eastAsia" w:ascii="宋体" w:hAnsi="宋体" w:eastAsia="宋体" w:cs="宋体"/>
                <w:sz w:val="21"/>
                <w:szCs w:val="21"/>
              </w:rPr>
            </w:pPr>
          </w:p>
        </w:tc>
        <w:tc>
          <w:tcPr>
            <w:tcW w:w="1310" w:type="pct"/>
            <w:vMerge w:val="continue"/>
            <w:shd w:val="clear" w:color="auto" w:fill="FFFFFF"/>
            <w:vAlign w:val="center"/>
          </w:tcPr>
          <w:p w14:paraId="5C0D1728">
            <w:pPr>
              <w:jc w:val="center"/>
              <w:rPr>
                <w:rFonts w:hint="eastAsia" w:ascii="宋体" w:hAnsi="宋体" w:eastAsia="宋体" w:cs="宋体"/>
                <w:sz w:val="21"/>
                <w:szCs w:val="21"/>
              </w:rPr>
            </w:pPr>
          </w:p>
        </w:tc>
        <w:tc>
          <w:tcPr>
            <w:tcW w:w="2039" w:type="pct"/>
            <w:shd w:val="clear" w:color="auto" w:fill="FFFFFF"/>
            <w:vAlign w:val="center"/>
          </w:tcPr>
          <w:p w14:paraId="420EBFD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租户使用超出100vCPU部分每vCPU</w:t>
            </w:r>
          </w:p>
        </w:tc>
        <w:tc>
          <w:tcPr>
            <w:tcW w:w="737" w:type="pct"/>
            <w:shd w:val="clear" w:color="auto" w:fill="FFFFFF"/>
            <w:vAlign w:val="center"/>
          </w:tcPr>
          <w:p w14:paraId="5A37CFF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84.736</w:t>
            </w:r>
          </w:p>
        </w:tc>
      </w:tr>
      <w:tr w14:paraId="63FF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FFFFFF"/>
            <w:vAlign w:val="center"/>
          </w:tcPr>
          <w:p w14:paraId="1005405D">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大数据开发治理平台</w:t>
            </w:r>
          </w:p>
        </w:tc>
        <w:tc>
          <w:tcPr>
            <w:tcW w:w="1310" w:type="pct"/>
            <w:shd w:val="clear" w:color="auto" w:fill="FFFFFF"/>
            <w:vAlign w:val="center"/>
          </w:tcPr>
          <w:p w14:paraId="18A65EFC">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标准版</w:t>
            </w:r>
          </w:p>
        </w:tc>
        <w:tc>
          <w:tcPr>
            <w:tcW w:w="2039" w:type="pct"/>
            <w:shd w:val="clear" w:color="auto" w:fill="FFFFFF"/>
            <w:vAlign w:val="center"/>
          </w:tcPr>
          <w:p w14:paraId="050ADA4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737" w:type="pct"/>
            <w:shd w:val="clear" w:color="auto" w:fill="FFFFFF"/>
            <w:vAlign w:val="center"/>
          </w:tcPr>
          <w:p w14:paraId="35E95E09">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1461.024</w:t>
            </w:r>
          </w:p>
        </w:tc>
      </w:tr>
      <w:tr w14:paraId="0857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630A88C">
            <w:pPr>
              <w:jc w:val="center"/>
              <w:rPr>
                <w:rFonts w:hint="eastAsia" w:ascii="宋体" w:hAnsi="宋体" w:eastAsia="宋体" w:cs="宋体"/>
                <w:sz w:val="21"/>
                <w:szCs w:val="21"/>
              </w:rPr>
            </w:pPr>
          </w:p>
        </w:tc>
        <w:tc>
          <w:tcPr>
            <w:tcW w:w="1310" w:type="pct"/>
            <w:shd w:val="clear" w:color="auto" w:fill="FFFFFF"/>
            <w:vAlign w:val="center"/>
          </w:tcPr>
          <w:p w14:paraId="6D18618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企业版</w:t>
            </w:r>
          </w:p>
        </w:tc>
        <w:tc>
          <w:tcPr>
            <w:tcW w:w="2039" w:type="pct"/>
            <w:shd w:val="clear" w:color="auto" w:fill="FFFFFF"/>
            <w:vAlign w:val="center"/>
          </w:tcPr>
          <w:p w14:paraId="24F8C11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737" w:type="pct"/>
            <w:shd w:val="clear" w:color="auto" w:fill="FFFFFF"/>
            <w:vAlign w:val="center"/>
          </w:tcPr>
          <w:p w14:paraId="49D84C8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11688.192</w:t>
            </w:r>
          </w:p>
        </w:tc>
      </w:tr>
      <w:tr w14:paraId="3C90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0E94465">
            <w:pPr>
              <w:jc w:val="center"/>
              <w:rPr>
                <w:rFonts w:hint="eastAsia" w:ascii="宋体" w:hAnsi="宋体" w:eastAsia="宋体" w:cs="宋体"/>
                <w:sz w:val="21"/>
                <w:szCs w:val="21"/>
              </w:rPr>
            </w:pPr>
          </w:p>
        </w:tc>
        <w:tc>
          <w:tcPr>
            <w:tcW w:w="1310" w:type="pct"/>
            <w:vMerge w:val="restart"/>
            <w:shd w:val="clear" w:color="auto" w:fill="FFFFFF"/>
            <w:vAlign w:val="center"/>
          </w:tcPr>
          <w:p w14:paraId="4764F56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公共调度资源组</w:t>
            </w:r>
          </w:p>
        </w:tc>
        <w:tc>
          <w:tcPr>
            <w:tcW w:w="2039" w:type="pct"/>
            <w:shd w:val="clear" w:color="auto" w:fill="FFFFFF"/>
            <w:vAlign w:val="center"/>
          </w:tcPr>
          <w:p w14:paraId="2C334F8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500调度任务数</w:t>
            </w:r>
          </w:p>
        </w:tc>
        <w:tc>
          <w:tcPr>
            <w:tcW w:w="737" w:type="pct"/>
            <w:shd w:val="clear" w:color="auto" w:fill="FFFFFF"/>
            <w:vAlign w:val="center"/>
          </w:tcPr>
          <w:p w14:paraId="0043420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701.292</w:t>
            </w:r>
          </w:p>
        </w:tc>
      </w:tr>
      <w:tr w14:paraId="6FA8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BEDB909">
            <w:pPr>
              <w:jc w:val="center"/>
              <w:rPr>
                <w:rFonts w:hint="eastAsia" w:ascii="宋体" w:hAnsi="宋体" w:eastAsia="宋体" w:cs="宋体"/>
                <w:sz w:val="21"/>
                <w:szCs w:val="21"/>
              </w:rPr>
            </w:pPr>
          </w:p>
        </w:tc>
        <w:tc>
          <w:tcPr>
            <w:tcW w:w="1310" w:type="pct"/>
            <w:vMerge w:val="continue"/>
            <w:shd w:val="clear" w:color="auto" w:fill="FFFFFF"/>
            <w:vAlign w:val="center"/>
          </w:tcPr>
          <w:p w14:paraId="60815C58">
            <w:pPr>
              <w:jc w:val="center"/>
              <w:rPr>
                <w:rFonts w:hint="eastAsia" w:ascii="宋体" w:hAnsi="宋体" w:eastAsia="宋体" w:cs="宋体"/>
                <w:sz w:val="21"/>
                <w:szCs w:val="21"/>
              </w:rPr>
            </w:pPr>
          </w:p>
        </w:tc>
        <w:tc>
          <w:tcPr>
            <w:tcW w:w="2039" w:type="pct"/>
            <w:shd w:val="clear" w:color="auto" w:fill="FFFFFF"/>
            <w:vAlign w:val="center"/>
          </w:tcPr>
          <w:p w14:paraId="0C61A2E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1000调度任务数</w:t>
            </w:r>
          </w:p>
        </w:tc>
        <w:tc>
          <w:tcPr>
            <w:tcW w:w="737" w:type="pct"/>
            <w:shd w:val="clear" w:color="auto" w:fill="FFFFFF"/>
            <w:vAlign w:val="center"/>
          </w:tcPr>
          <w:p w14:paraId="4C82ABA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1168.819</w:t>
            </w:r>
          </w:p>
        </w:tc>
      </w:tr>
      <w:tr w14:paraId="43A4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4C56C17">
            <w:pPr>
              <w:jc w:val="center"/>
              <w:rPr>
                <w:rFonts w:hint="eastAsia" w:ascii="宋体" w:hAnsi="宋体" w:eastAsia="宋体" w:cs="宋体"/>
                <w:sz w:val="21"/>
                <w:szCs w:val="21"/>
              </w:rPr>
            </w:pPr>
          </w:p>
        </w:tc>
        <w:tc>
          <w:tcPr>
            <w:tcW w:w="1310" w:type="pct"/>
            <w:vMerge w:val="continue"/>
            <w:shd w:val="clear" w:color="auto" w:fill="FFFFFF"/>
            <w:vAlign w:val="center"/>
          </w:tcPr>
          <w:p w14:paraId="2FEF5874">
            <w:pPr>
              <w:jc w:val="center"/>
              <w:rPr>
                <w:rFonts w:hint="eastAsia" w:ascii="宋体" w:hAnsi="宋体" w:eastAsia="宋体" w:cs="宋体"/>
                <w:sz w:val="21"/>
                <w:szCs w:val="21"/>
              </w:rPr>
            </w:pPr>
          </w:p>
        </w:tc>
        <w:tc>
          <w:tcPr>
            <w:tcW w:w="2039" w:type="pct"/>
            <w:shd w:val="clear" w:color="auto" w:fill="FFFFFF"/>
            <w:vAlign w:val="center"/>
          </w:tcPr>
          <w:p w14:paraId="482CC3A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2000调度任务数</w:t>
            </w:r>
          </w:p>
        </w:tc>
        <w:tc>
          <w:tcPr>
            <w:tcW w:w="737" w:type="pct"/>
            <w:shd w:val="clear" w:color="auto" w:fill="FFFFFF"/>
            <w:vAlign w:val="center"/>
          </w:tcPr>
          <w:p w14:paraId="0A9607C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1753.229</w:t>
            </w:r>
          </w:p>
        </w:tc>
      </w:tr>
      <w:tr w14:paraId="4B0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671FC3E">
            <w:pPr>
              <w:jc w:val="center"/>
              <w:rPr>
                <w:rFonts w:hint="eastAsia" w:ascii="宋体" w:hAnsi="宋体" w:eastAsia="宋体" w:cs="宋体"/>
                <w:sz w:val="21"/>
                <w:szCs w:val="21"/>
              </w:rPr>
            </w:pPr>
          </w:p>
        </w:tc>
        <w:tc>
          <w:tcPr>
            <w:tcW w:w="1310" w:type="pct"/>
            <w:vMerge w:val="continue"/>
            <w:shd w:val="clear" w:color="auto" w:fill="FFFFFF"/>
            <w:vAlign w:val="center"/>
          </w:tcPr>
          <w:p w14:paraId="70572174">
            <w:pPr>
              <w:jc w:val="center"/>
              <w:rPr>
                <w:rFonts w:hint="eastAsia" w:ascii="宋体" w:hAnsi="宋体" w:eastAsia="宋体" w:cs="宋体"/>
                <w:sz w:val="21"/>
                <w:szCs w:val="21"/>
              </w:rPr>
            </w:pPr>
          </w:p>
        </w:tc>
        <w:tc>
          <w:tcPr>
            <w:tcW w:w="2039" w:type="pct"/>
            <w:shd w:val="clear" w:color="auto" w:fill="FFFFFF"/>
            <w:vAlign w:val="center"/>
          </w:tcPr>
          <w:p w14:paraId="3CC5A13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5000调度任务数</w:t>
            </w:r>
          </w:p>
        </w:tc>
        <w:tc>
          <w:tcPr>
            <w:tcW w:w="737" w:type="pct"/>
            <w:shd w:val="clear" w:color="auto" w:fill="FFFFFF"/>
            <w:vAlign w:val="center"/>
          </w:tcPr>
          <w:p w14:paraId="24F656D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5259.686</w:t>
            </w:r>
          </w:p>
        </w:tc>
      </w:tr>
      <w:tr w14:paraId="59AC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56805BE9">
            <w:pPr>
              <w:jc w:val="center"/>
              <w:rPr>
                <w:rFonts w:hint="eastAsia" w:ascii="宋体" w:hAnsi="宋体" w:eastAsia="宋体" w:cs="宋体"/>
                <w:sz w:val="21"/>
                <w:szCs w:val="21"/>
              </w:rPr>
            </w:pPr>
          </w:p>
        </w:tc>
        <w:tc>
          <w:tcPr>
            <w:tcW w:w="1310" w:type="pct"/>
            <w:vMerge w:val="continue"/>
            <w:shd w:val="clear" w:color="auto" w:fill="FFFFFF"/>
            <w:vAlign w:val="center"/>
          </w:tcPr>
          <w:p w14:paraId="7A180FD5">
            <w:pPr>
              <w:jc w:val="center"/>
              <w:rPr>
                <w:rFonts w:hint="eastAsia" w:ascii="宋体" w:hAnsi="宋体" w:eastAsia="宋体" w:cs="宋体"/>
                <w:sz w:val="21"/>
                <w:szCs w:val="21"/>
              </w:rPr>
            </w:pPr>
          </w:p>
        </w:tc>
        <w:tc>
          <w:tcPr>
            <w:tcW w:w="2039" w:type="pct"/>
            <w:shd w:val="clear" w:color="auto" w:fill="FFFFFF"/>
            <w:vAlign w:val="center"/>
          </w:tcPr>
          <w:p w14:paraId="38C1BEC5">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20000调度任务数</w:t>
            </w:r>
          </w:p>
        </w:tc>
        <w:tc>
          <w:tcPr>
            <w:tcW w:w="737" w:type="pct"/>
            <w:shd w:val="clear" w:color="auto" w:fill="FFFFFF"/>
            <w:vAlign w:val="center"/>
          </w:tcPr>
          <w:p w14:paraId="5011D54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18701.107</w:t>
            </w:r>
          </w:p>
        </w:tc>
      </w:tr>
      <w:tr w14:paraId="4910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ADA56AE">
            <w:pPr>
              <w:jc w:val="center"/>
              <w:rPr>
                <w:rFonts w:hint="eastAsia" w:ascii="宋体" w:hAnsi="宋体" w:eastAsia="宋体" w:cs="宋体"/>
                <w:sz w:val="21"/>
                <w:szCs w:val="21"/>
              </w:rPr>
            </w:pPr>
          </w:p>
        </w:tc>
        <w:tc>
          <w:tcPr>
            <w:tcW w:w="1310" w:type="pct"/>
            <w:vMerge w:val="continue"/>
            <w:shd w:val="clear" w:color="auto" w:fill="FFFFFF"/>
            <w:vAlign w:val="center"/>
          </w:tcPr>
          <w:p w14:paraId="4805A478">
            <w:pPr>
              <w:jc w:val="center"/>
              <w:rPr>
                <w:rFonts w:hint="eastAsia" w:ascii="宋体" w:hAnsi="宋体" w:eastAsia="宋体" w:cs="宋体"/>
                <w:sz w:val="21"/>
                <w:szCs w:val="21"/>
              </w:rPr>
            </w:pPr>
          </w:p>
        </w:tc>
        <w:tc>
          <w:tcPr>
            <w:tcW w:w="2039" w:type="pct"/>
            <w:shd w:val="clear" w:color="auto" w:fill="FFFFFF"/>
            <w:vAlign w:val="center"/>
          </w:tcPr>
          <w:p w14:paraId="59D3CF3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50000调度任务数</w:t>
            </w:r>
          </w:p>
        </w:tc>
        <w:tc>
          <w:tcPr>
            <w:tcW w:w="737" w:type="pct"/>
            <w:shd w:val="clear" w:color="auto" w:fill="FFFFFF"/>
            <w:vAlign w:val="center"/>
          </w:tcPr>
          <w:p w14:paraId="547CA504">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37402.214</w:t>
            </w:r>
          </w:p>
        </w:tc>
      </w:tr>
      <w:tr w14:paraId="675A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1C2F4EFB">
            <w:pPr>
              <w:jc w:val="center"/>
              <w:rPr>
                <w:rFonts w:hint="eastAsia" w:ascii="宋体" w:hAnsi="宋体" w:eastAsia="宋体" w:cs="宋体"/>
                <w:sz w:val="21"/>
                <w:szCs w:val="21"/>
              </w:rPr>
            </w:pPr>
          </w:p>
        </w:tc>
        <w:tc>
          <w:tcPr>
            <w:tcW w:w="1310" w:type="pct"/>
            <w:vMerge w:val="continue"/>
            <w:shd w:val="clear" w:color="auto" w:fill="FFFFFF"/>
            <w:vAlign w:val="center"/>
          </w:tcPr>
          <w:p w14:paraId="436156B8">
            <w:pPr>
              <w:jc w:val="center"/>
              <w:rPr>
                <w:rFonts w:hint="eastAsia" w:ascii="宋体" w:hAnsi="宋体" w:eastAsia="宋体" w:cs="宋体"/>
                <w:sz w:val="21"/>
                <w:szCs w:val="21"/>
              </w:rPr>
            </w:pPr>
          </w:p>
        </w:tc>
        <w:tc>
          <w:tcPr>
            <w:tcW w:w="2039" w:type="pct"/>
            <w:shd w:val="clear" w:color="auto" w:fill="FFFFFF"/>
            <w:vAlign w:val="center"/>
          </w:tcPr>
          <w:p w14:paraId="42B40F7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120000调度任务数</w:t>
            </w:r>
          </w:p>
        </w:tc>
        <w:tc>
          <w:tcPr>
            <w:tcW w:w="737" w:type="pct"/>
            <w:shd w:val="clear" w:color="auto" w:fill="FFFFFF"/>
            <w:vAlign w:val="center"/>
          </w:tcPr>
          <w:p w14:paraId="39E6941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87661.44</w:t>
            </w:r>
          </w:p>
        </w:tc>
      </w:tr>
      <w:tr w14:paraId="148A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D6BDCD0">
            <w:pPr>
              <w:jc w:val="center"/>
              <w:rPr>
                <w:rFonts w:hint="eastAsia" w:ascii="宋体" w:hAnsi="宋体" w:eastAsia="宋体" w:cs="宋体"/>
                <w:sz w:val="21"/>
                <w:szCs w:val="21"/>
              </w:rPr>
            </w:pPr>
          </w:p>
        </w:tc>
        <w:tc>
          <w:tcPr>
            <w:tcW w:w="1310" w:type="pct"/>
            <w:vMerge w:val="restart"/>
            <w:shd w:val="clear" w:color="auto" w:fill="auto"/>
            <w:vAlign w:val="center"/>
          </w:tcPr>
          <w:p w14:paraId="1AA6211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公共数据集成资源组</w:t>
            </w:r>
          </w:p>
        </w:tc>
        <w:tc>
          <w:tcPr>
            <w:tcW w:w="2039" w:type="pct"/>
            <w:shd w:val="clear" w:color="auto" w:fill="FFFFFF"/>
            <w:vAlign w:val="center"/>
          </w:tcPr>
          <w:p w14:paraId="57ED357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500调度任务数</w:t>
            </w:r>
          </w:p>
        </w:tc>
        <w:tc>
          <w:tcPr>
            <w:tcW w:w="737" w:type="pct"/>
            <w:shd w:val="clear" w:color="auto" w:fill="FFFFFF"/>
            <w:vAlign w:val="center"/>
          </w:tcPr>
          <w:p w14:paraId="4553CD0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701.292</w:t>
            </w:r>
          </w:p>
        </w:tc>
      </w:tr>
      <w:tr w14:paraId="61D1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29961E3C">
            <w:pPr>
              <w:jc w:val="center"/>
              <w:rPr>
                <w:rFonts w:hint="eastAsia" w:ascii="宋体" w:hAnsi="宋体" w:eastAsia="宋体" w:cs="宋体"/>
                <w:sz w:val="21"/>
                <w:szCs w:val="21"/>
              </w:rPr>
            </w:pPr>
          </w:p>
        </w:tc>
        <w:tc>
          <w:tcPr>
            <w:tcW w:w="1310" w:type="pct"/>
            <w:vMerge w:val="continue"/>
            <w:shd w:val="clear" w:color="auto" w:fill="auto"/>
            <w:vAlign w:val="center"/>
          </w:tcPr>
          <w:p w14:paraId="1FA3960B">
            <w:pPr>
              <w:jc w:val="center"/>
              <w:rPr>
                <w:rFonts w:hint="eastAsia" w:ascii="宋体" w:hAnsi="宋体" w:eastAsia="宋体" w:cs="宋体"/>
                <w:sz w:val="21"/>
                <w:szCs w:val="21"/>
              </w:rPr>
            </w:pPr>
          </w:p>
        </w:tc>
        <w:tc>
          <w:tcPr>
            <w:tcW w:w="2039" w:type="pct"/>
            <w:shd w:val="clear" w:color="auto" w:fill="FFFFFF"/>
            <w:vAlign w:val="center"/>
          </w:tcPr>
          <w:p w14:paraId="37788B2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1000调度任务数</w:t>
            </w:r>
          </w:p>
        </w:tc>
        <w:tc>
          <w:tcPr>
            <w:tcW w:w="737" w:type="pct"/>
            <w:shd w:val="clear" w:color="auto" w:fill="FFFFFF"/>
            <w:vAlign w:val="center"/>
          </w:tcPr>
          <w:p w14:paraId="28725ED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1168.819</w:t>
            </w:r>
          </w:p>
        </w:tc>
      </w:tr>
      <w:tr w14:paraId="032F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848CDDC">
            <w:pPr>
              <w:jc w:val="center"/>
              <w:rPr>
                <w:rFonts w:hint="eastAsia" w:ascii="宋体" w:hAnsi="宋体" w:eastAsia="宋体" w:cs="宋体"/>
                <w:sz w:val="21"/>
                <w:szCs w:val="21"/>
              </w:rPr>
            </w:pPr>
          </w:p>
        </w:tc>
        <w:tc>
          <w:tcPr>
            <w:tcW w:w="1310" w:type="pct"/>
            <w:vMerge w:val="continue"/>
            <w:shd w:val="clear" w:color="auto" w:fill="auto"/>
            <w:vAlign w:val="center"/>
          </w:tcPr>
          <w:p w14:paraId="76C3FA2F">
            <w:pPr>
              <w:jc w:val="center"/>
              <w:rPr>
                <w:rFonts w:hint="eastAsia" w:ascii="宋体" w:hAnsi="宋体" w:eastAsia="宋体" w:cs="宋体"/>
                <w:sz w:val="21"/>
                <w:szCs w:val="21"/>
              </w:rPr>
            </w:pPr>
          </w:p>
        </w:tc>
        <w:tc>
          <w:tcPr>
            <w:tcW w:w="2039" w:type="pct"/>
            <w:shd w:val="clear" w:color="auto" w:fill="FFFFFF"/>
            <w:vAlign w:val="center"/>
          </w:tcPr>
          <w:p w14:paraId="0303CCD8">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2000调度任务数</w:t>
            </w:r>
          </w:p>
        </w:tc>
        <w:tc>
          <w:tcPr>
            <w:tcW w:w="737" w:type="pct"/>
            <w:shd w:val="clear" w:color="auto" w:fill="FFFFFF"/>
            <w:vAlign w:val="center"/>
          </w:tcPr>
          <w:p w14:paraId="3F267F7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1753.229</w:t>
            </w:r>
          </w:p>
        </w:tc>
      </w:tr>
      <w:tr w14:paraId="40D0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76D0B31A">
            <w:pPr>
              <w:jc w:val="center"/>
              <w:rPr>
                <w:rFonts w:hint="eastAsia" w:ascii="宋体" w:hAnsi="宋体" w:eastAsia="宋体" w:cs="宋体"/>
                <w:sz w:val="21"/>
                <w:szCs w:val="21"/>
              </w:rPr>
            </w:pPr>
          </w:p>
        </w:tc>
        <w:tc>
          <w:tcPr>
            <w:tcW w:w="1310" w:type="pct"/>
            <w:vMerge w:val="continue"/>
            <w:shd w:val="clear" w:color="auto" w:fill="auto"/>
            <w:vAlign w:val="center"/>
          </w:tcPr>
          <w:p w14:paraId="07EFDAC0">
            <w:pPr>
              <w:jc w:val="center"/>
              <w:rPr>
                <w:rFonts w:hint="eastAsia" w:ascii="宋体" w:hAnsi="宋体" w:eastAsia="宋体" w:cs="宋体"/>
                <w:sz w:val="21"/>
                <w:szCs w:val="21"/>
              </w:rPr>
            </w:pPr>
          </w:p>
        </w:tc>
        <w:tc>
          <w:tcPr>
            <w:tcW w:w="2039" w:type="pct"/>
            <w:shd w:val="clear" w:color="auto" w:fill="FFFFFF"/>
            <w:vAlign w:val="center"/>
          </w:tcPr>
          <w:p w14:paraId="63682F9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5000调度任务数</w:t>
            </w:r>
          </w:p>
        </w:tc>
        <w:tc>
          <w:tcPr>
            <w:tcW w:w="737" w:type="pct"/>
            <w:shd w:val="clear" w:color="auto" w:fill="FFFFFF"/>
            <w:vAlign w:val="center"/>
          </w:tcPr>
          <w:p w14:paraId="7FB61FCB">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5259.686</w:t>
            </w:r>
          </w:p>
        </w:tc>
      </w:tr>
      <w:tr w14:paraId="0E67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21C595D5">
            <w:pPr>
              <w:jc w:val="center"/>
              <w:rPr>
                <w:rFonts w:hint="eastAsia" w:ascii="宋体" w:hAnsi="宋体" w:eastAsia="宋体" w:cs="宋体"/>
                <w:sz w:val="21"/>
                <w:szCs w:val="21"/>
              </w:rPr>
            </w:pPr>
          </w:p>
        </w:tc>
        <w:tc>
          <w:tcPr>
            <w:tcW w:w="1310" w:type="pct"/>
            <w:vMerge w:val="continue"/>
            <w:shd w:val="clear" w:color="auto" w:fill="auto"/>
            <w:vAlign w:val="center"/>
          </w:tcPr>
          <w:p w14:paraId="7361F0AD">
            <w:pPr>
              <w:jc w:val="center"/>
              <w:rPr>
                <w:rFonts w:hint="eastAsia" w:ascii="宋体" w:hAnsi="宋体" w:eastAsia="宋体" w:cs="宋体"/>
                <w:sz w:val="21"/>
                <w:szCs w:val="21"/>
              </w:rPr>
            </w:pPr>
          </w:p>
        </w:tc>
        <w:tc>
          <w:tcPr>
            <w:tcW w:w="2039" w:type="pct"/>
            <w:shd w:val="clear" w:color="auto" w:fill="FFFFFF"/>
            <w:vAlign w:val="center"/>
          </w:tcPr>
          <w:p w14:paraId="6EC0738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20000调度任务数</w:t>
            </w:r>
          </w:p>
        </w:tc>
        <w:tc>
          <w:tcPr>
            <w:tcW w:w="737" w:type="pct"/>
            <w:shd w:val="clear" w:color="auto" w:fill="FFFFFF"/>
            <w:vAlign w:val="center"/>
          </w:tcPr>
          <w:p w14:paraId="4C5F021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18701.107</w:t>
            </w:r>
          </w:p>
        </w:tc>
      </w:tr>
      <w:tr w14:paraId="4C96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6113C42B">
            <w:pPr>
              <w:jc w:val="center"/>
              <w:rPr>
                <w:rFonts w:hint="eastAsia" w:ascii="宋体" w:hAnsi="宋体" w:eastAsia="宋体" w:cs="宋体"/>
                <w:sz w:val="21"/>
                <w:szCs w:val="21"/>
              </w:rPr>
            </w:pPr>
          </w:p>
        </w:tc>
        <w:tc>
          <w:tcPr>
            <w:tcW w:w="1310" w:type="pct"/>
            <w:vMerge w:val="continue"/>
            <w:shd w:val="clear" w:color="auto" w:fill="auto"/>
            <w:vAlign w:val="center"/>
          </w:tcPr>
          <w:p w14:paraId="79AD9897">
            <w:pPr>
              <w:jc w:val="center"/>
              <w:rPr>
                <w:rFonts w:hint="eastAsia" w:ascii="宋体" w:hAnsi="宋体" w:eastAsia="宋体" w:cs="宋体"/>
                <w:sz w:val="21"/>
                <w:szCs w:val="21"/>
              </w:rPr>
            </w:pPr>
          </w:p>
        </w:tc>
        <w:tc>
          <w:tcPr>
            <w:tcW w:w="2039" w:type="pct"/>
            <w:shd w:val="clear" w:color="auto" w:fill="FFFFFF"/>
            <w:vAlign w:val="center"/>
          </w:tcPr>
          <w:p w14:paraId="4D9A3043">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50000调度任务数</w:t>
            </w:r>
          </w:p>
        </w:tc>
        <w:tc>
          <w:tcPr>
            <w:tcW w:w="737" w:type="pct"/>
            <w:shd w:val="clear" w:color="auto" w:fill="FFFFFF"/>
            <w:vAlign w:val="center"/>
          </w:tcPr>
          <w:p w14:paraId="3A2E7711">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37402.214</w:t>
            </w:r>
          </w:p>
        </w:tc>
      </w:tr>
      <w:tr w14:paraId="3D1C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FFFFFF"/>
            <w:vAlign w:val="center"/>
          </w:tcPr>
          <w:p w14:paraId="44BFDB51">
            <w:pPr>
              <w:jc w:val="center"/>
              <w:rPr>
                <w:rFonts w:hint="eastAsia" w:ascii="宋体" w:hAnsi="宋体" w:eastAsia="宋体" w:cs="宋体"/>
                <w:sz w:val="21"/>
                <w:szCs w:val="21"/>
              </w:rPr>
            </w:pPr>
          </w:p>
        </w:tc>
        <w:tc>
          <w:tcPr>
            <w:tcW w:w="1310" w:type="pct"/>
            <w:vMerge w:val="continue"/>
            <w:shd w:val="clear" w:color="auto" w:fill="auto"/>
            <w:vAlign w:val="center"/>
          </w:tcPr>
          <w:p w14:paraId="76F0AFC8">
            <w:pPr>
              <w:jc w:val="center"/>
              <w:rPr>
                <w:rFonts w:hint="eastAsia" w:ascii="宋体" w:hAnsi="宋体" w:eastAsia="宋体" w:cs="宋体"/>
                <w:sz w:val="21"/>
                <w:szCs w:val="21"/>
              </w:rPr>
            </w:pPr>
          </w:p>
        </w:tc>
        <w:tc>
          <w:tcPr>
            <w:tcW w:w="2039" w:type="pct"/>
            <w:shd w:val="clear" w:color="auto" w:fill="FFFFFF"/>
            <w:vAlign w:val="center"/>
          </w:tcPr>
          <w:p w14:paraId="0AE2A671">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120000调度任务数</w:t>
            </w:r>
          </w:p>
        </w:tc>
        <w:tc>
          <w:tcPr>
            <w:tcW w:w="737" w:type="pct"/>
            <w:shd w:val="clear" w:color="auto" w:fill="FFFFFF"/>
            <w:vAlign w:val="center"/>
          </w:tcPr>
          <w:p w14:paraId="1FDF8BCE">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87661.44</w:t>
            </w:r>
          </w:p>
        </w:tc>
      </w:tr>
      <w:tr w14:paraId="1192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restart"/>
            <w:shd w:val="clear" w:color="auto" w:fill="auto"/>
            <w:vAlign w:val="center"/>
          </w:tcPr>
          <w:p w14:paraId="759F543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GPU 云服务器</w:t>
            </w:r>
          </w:p>
        </w:tc>
        <w:tc>
          <w:tcPr>
            <w:tcW w:w="1310" w:type="pct"/>
            <w:vMerge w:val="restart"/>
            <w:shd w:val="clear" w:color="auto" w:fill="auto"/>
            <w:vAlign w:val="center"/>
          </w:tcPr>
          <w:p w14:paraId="7E5FECE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根据规格及数量按月计费</w:t>
            </w:r>
          </w:p>
        </w:tc>
        <w:tc>
          <w:tcPr>
            <w:tcW w:w="2039" w:type="pct"/>
            <w:shd w:val="clear" w:color="auto" w:fill="FFFFFF"/>
            <w:vAlign w:val="center"/>
          </w:tcPr>
          <w:p w14:paraId="3632A700">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 核 15G，1*NVIDIA T4</w:t>
            </w:r>
          </w:p>
        </w:tc>
        <w:tc>
          <w:tcPr>
            <w:tcW w:w="737" w:type="pct"/>
            <w:shd w:val="clear" w:color="auto" w:fill="FFFFFF"/>
            <w:vAlign w:val="center"/>
          </w:tcPr>
          <w:p w14:paraId="2EED4382">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1039.446</w:t>
            </w:r>
          </w:p>
        </w:tc>
      </w:tr>
      <w:tr w14:paraId="1C03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3EA5BC9A">
            <w:pPr>
              <w:jc w:val="center"/>
              <w:rPr>
                <w:rFonts w:hint="eastAsia" w:ascii="宋体" w:hAnsi="宋体" w:eastAsia="宋体" w:cs="宋体"/>
                <w:sz w:val="21"/>
                <w:szCs w:val="21"/>
              </w:rPr>
            </w:pPr>
          </w:p>
        </w:tc>
        <w:tc>
          <w:tcPr>
            <w:tcW w:w="1310" w:type="pct"/>
            <w:vMerge w:val="continue"/>
            <w:shd w:val="clear" w:color="auto" w:fill="auto"/>
            <w:vAlign w:val="center"/>
          </w:tcPr>
          <w:p w14:paraId="762953BE">
            <w:pPr>
              <w:jc w:val="center"/>
              <w:rPr>
                <w:rFonts w:hint="eastAsia" w:ascii="宋体" w:hAnsi="宋体" w:eastAsia="宋体" w:cs="宋体"/>
                <w:sz w:val="21"/>
                <w:szCs w:val="21"/>
              </w:rPr>
            </w:pPr>
          </w:p>
        </w:tc>
        <w:tc>
          <w:tcPr>
            <w:tcW w:w="2039" w:type="pct"/>
            <w:shd w:val="clear" w:color="auto" w:fill="FFFFFF"/>
            <w:vAlign w:val="center"/>
          </w:tcPr>
          <w:p w14:paraId="52CDE7C7">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 核 31G，1*NVIDIA T4</w:t>
            </w:r>
          </w:p>
        </w:tc>
        <w:tc>
          <w:tcPr>
            <w:tcW w:w="737" w:type="pct"/>
            <w:shd w:val="clear" w:color="auto" w:fill="FFFFFF"/>
            <w:vAlign w:val="center"/>
          </w:tcPr>
          <w:p w14:paraId="295E1C1D">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1251.806</w:t>
            </w:r>
          </w:p>
        </w:tc>
      </w:tr>
      <w:tr w14:paraId="3355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3098D14B">
            <w:pPr>
              <w:jc w:val="center"/>
              <w:rPr>
                <w:rFonts w:hint="eastAsia" w:ascii="宋体" w:hAnsi="宋体" w:eastAsia="宋体" w:cs="宋体"/>
                <w:sz w:val="21"/>
                <w:szCs w:val="21"/>
              </w:rPr>
            </w:pPr>
          </w:p>
        </w:tc>
        <w:tc>
          <w:tcPr>
            <w:tcW w:w="1310" w:type="pct"/>
            <w:vMerge w:val="continue"/>
            <w:shd w:val="clear" w:color="auto" w:fill="auto"/>
            <w:vAlign w:val="center"/>
          </w:tcPr>
          <w:p w14:paraId="3757AF75">
            <w:pPr>
              <w:jc w:val="center"/>
              <w:rPr>
                <w:rFonts w:hint="eastAsia" w:ascii="宋体" w:hAnsi="宋体" w:eastAsia="宋体" w:cs="宋体"/>
                <w:sz w:val="21"/>
                <w:szCs w:val="21"/>
              </w:rPr>
            </w:pPr>
          </w:p>
        </w:tc>
        <w:tc>
          <w:tcPr>
            <w:tcW w:w="2039" w:type="pct"/>
            <w:shd w:val="clear" w:color="auto" w:fill="FFFFFF"/>
            <w:vAlign w:val="center"/>
          </w:tcPr>
          <w:p w14:paraId="4F239859">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 核 62G，1*NVIDIA T4</w:t>
            </w:r>
          </w:p>
        </w:tc>
        <w:tc>
          <w:tcPr>
            <w:tcW w:w="737" w:type="pct"/>
            <w:shd w:val="clear" w:color="auto" w:fill="FFFFFF"/>
            <w:vAlign w:val="center"/>
          </w:tcPr>
          <w:p w14:paraId="4919B4A2">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1466.96</w:t>
            </w:r>
          </w:p>
        </w:tc>
      </w:tr>
      <w:tr w14:paraId="52B8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1E018E77">
            <w:pPr>
              <w:jc w:val="center"/>
              <w:rPr>
                <w:rFonts w:hint="eastAsia" w:ascii="宋体" w:hAnsi="宋体" w:eastAsia="宋体" w:cs="宋体"/>
                <w:sz w:val="21"/>
                <w:szCs w:val="21"/>
              </w:rPr>
            </w:pPr>
          </w:p>
        </w:tc>
        <w:tc>
          <w:tcPr>
            <w:tcW w:w="1310" w:type="pct"/>
            <w:vMerge w:val="continue"/>
            <w:shd w:val="clear" w:color="auto" w:fill="auto"/>
            <w:vAlign w:val="center"/>
          </w:tcPr>
          <w:p w14:paraId="350F4842">
            <w:pPr>
              <w:jc w:val="center"/>
              <w:rPr>
                <w:rFonts w:hint="eastAsia" w:ascii="宋体" w:hAnsi="宋体" w:eastAsia="宋体" w:cs="宋体"/>
                <w:sz w:val="21"/>
                <w:szCs w:val="21"/>
              </w:rPr>
            </w:pPr>
          </w:p>
        </w:tc>
        <w:tc>
          <w:tcPr>
            <w:tcW w:w="2039" w:type="pct"/>
            <w:shd w:val="clear" w:color="auto" w:fill="FFFFFF"/>
            <w:vAlign w:val="center"/>
          </w:tcPr>
          <w:p w14:paraId="4020B9D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24 核 93G，1*NVIDIA T4</w:t>
            </w:r>
          </w:p>
        </w:tc>
        <w:tc>
          <w:tcPr>
            <w:tcW w:w="737" w:type="pct"/>
            <w:shd w:val="clear" w:color="auto" w:fill="FFFFFF"/>
            <w:vAlign w:val="center"/>
          </w:tcPr>
          <w:p w14:paraId="0D31FC8D">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1536.815</w:t>
            </w:r>
          </w:p>
        </w:tc>
      </w:tr>
      <w:tr w14:paraId="7638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12" w:type="pct"/>
            <w:vMerge w:val="continue"/>
            <w:shd w:val="clear" w:color="auto" w:fill="auto"/>
            <w:vAlign w:val="center"/>
          </w:tcPr>
          <w:p w14:paraId="67B1D4A9">
            <w:pPr>
              <w:jc w:val="center"/>
              <w:rPr>
                <w:rFonts w:hint="eastAsia" w:ascii="宋体" w:hAnsi="宋体" w:eastAsia="宋体" w:cs="宋体"/>
                <w:sz w:val="21"/>
                <w:szCs w:val="21"/>
              </w:rPr>
            </w:pPr>
          </w:p>
        </w:tc>
        <w:tc>
          <w:tcPr>
            <w:tcW w:w="1310" w:type="pct"/>
            <w:vMerge w:val="continue"/>
            <w:shd w:val="clear" w:color="auto" w:fill="auto"/>
            <w:vAlign w:val="center"/>
          </w:tcPr>
          <w:p w14:paraId="1E33C05E">
            <w:pPr>
              <w:jc w:val="center"/>
              <w:rPr>
                <w:rFonts w:hint="eastAsia" w:ascii="宋体" w:hAnsi="宋体" w:eastAsia="宋体" w:cs="宋体"/>
                <w:sz w:val="21"/>
                <w:szCs w:val="21"/>
              </w:rPr>
            </w:pPr>
          </w:p>
        </w:tc>
        <w:tc>
          <w:tcPr>
            <w:tcW w:w="2039" w:type="pct"/>
            <w:shd w:val="clear" w:color="auto" w:fill="FFFFFF"/>
            <w:vAlign w:val="center"/>
          </w:tcPr>
          <w:p w14:paraId="29B319AF">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48 核 186G，2*NVIDIA T4</w:t>
            </w:r>
          </w:p>
        </w:tc>
        <w:tc>
          <w:tcPr>
            <w:tcW w:w="737" w:type="pct"/>
            <w:shd w:val="clear" w:color="auto" w:fill="FFFFFF"/>
            <w:vAlign w:val="center"/>
          </w:tcPr>
          <w:p w14:paraId="60BDD509">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3073.629</w:t>
            </w:r>
          </w:p>
        </w:tc>
      </w:tr>
      <w:tr w14:paraId="4051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912" w:type="pct"/>
            <w:shd w:val="clear" w:color="auto" w:fill="auto"/>
            <w:vAlign w:val="center"/>
          </w:tcPr>
          <w:p w14:paraId="7134C1D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API网关</w:t>
            </w:r>
          </w:p>
        </w:tc>
        <w:tc>
          <w:tcPr>
            <w:tcW w:w="1310" w:type="pct"/>
            <w:shd w:val="clear" w:color="auto" w:fill="auto"/>
            <w:vAlign w:val="center"/>
          </w:tcPr>
          <w:p w14:paraId="1F53DF7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根据配置规格计费</w:t>
            </w:r>
          </w:p>
        </w:tc>
        <w:tc>
          <w:tcPr>
            <w:tcW w:w="2039" w:type="pct"/>
            <w:shd w:val="clear" w:color="auto" w:fill="FFFFFF"/>
            <w:vAlign w:val="center"/>
          </w:tcPr>
          <w:p w14:paraId="327BC846">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10000 RPS，每套</w:t>
            </w:r>
          </w:p>
        </w:tc>
        <w:tc>
          <w:tcPr>
            <w:tcW w:w="737" w:type="pct"/>
            <w:shd w:val="clear" w:color="auto" w:fill="FFFFFF"/>
            <w:vAlign w:val="center"/>
          </w:tcPr>
          <w:p w14:paraId="5272BB49">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16714.115</w:t>
            </w:r>
          </w:p>
        </w:tc>
      </w:tr>
      <w:tr w14:paraId="7FCC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912" w:type="pct"/>
            <w:shd w:val="clear" w:color="auto" w:fill="FFFFFF"/>
            <w:vAlign w:val="center"/>
          </w:tcPr>
          <w:p w14:paraId="203E0C34">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日志服务</w:t>
            </w:r>
          </w:p>
        </w:tc>
        <w:tc>
          <w:tcPr>
            <w:tcW w:w="1310" w:type="pct"/>
            <w:shd w:val="clear" w:color="auto" w:fill="FFFFFF"/>
            <w:vAlign w:val="center"/>
          </w:tcPr>
          <w:p w14:paraId="23766752">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根据实例的存储容量按月计费</w:t>
            </w:r>
          </w:p>
        </w:tc>
        <w:tc>
          <w:tcPr>
            <w:tcW w:w="2039" w:type="pct"/>
            <w:shd w:val="clear" w:color="auto" w:fill="FFFFFF"/>
            <w:vAlign w:val="center"/>
          </w:tcPr>
          <w:p w14:paraId="13C6707A">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GB</w:t>
            </w:r>
          </w:p>
        </w:tc>
        <w:tc>
          <w:tcPr>
            <w:tcW w:w="737" w:type="pct"/>
            <w:shd w:val="clear" w:color="auto" w:fill="FFFFFF"/>
            <w:vAlign w:val="center"/>
          </w:tcPr>
          <w:p w14:paraId="14652F3E">
            <w:pPr>
              <w:keepNext w:val="0"/>
              <w:keepLines w:val="0"/>
              <w:widowControl/>
              <w:suppressLineNumbers w:val="0"/>
              <w:jc w:val="center"/>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auto"/>
                <w:kern w:val="0"/>
                <w:sz w:val="21"/>
                <w:szCs w:val="21"/>
                <w:highlight w:val="none"/>
                <w:u w:val="none"/>
                <w:lang w:val="en-US" w:eastAsia="zh-CN" w:bidi="ar"/>
              </w:rPr>
              <w:t>0.162</w:t>
            </w:r>
          </w:p>
        </w:tc>
      </w:tr>
      <w:tr w14:paraId="3B70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12" w:type="pct"/>
            <w:vMerge w:val="restart"/>
            <w:shd w:val="clear" w:color="auto" w:fill="FFFFFF"/>
            <w:vAlign w:val="center"/>
          </w:tcPr>
          <w:p w14:paraId="5F02FB7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消息队列</w:t>
            </w:r>
          </w:p>
        </w:tc>
        <w:tc>
          <w:tcPr>
            <w:tcW w:w="1310" w:type="pct"/>
            <w:vMerge w:val="restart"/>
            <w:shd w:val="clear" w:color="auto" w:fill="FFFFFF"/>
            <w:vAlign w:val="center"/>
          </w:tcPr>
          <w:p w14:paraId="2CE70BC2">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根据实例 Topic 数量+消息发送</w:t>
            </w:r>
          </w:p>
          <w:p w14:paraId="7EDA165F">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TPS+消息订阅 TPS 按月计费</w:t>
            </w:r>
          </w:p>
        </w:tc>
        <w:tc>
          <w:tcPr>
            <w:tcW w:w="2039" w:type="pct"/>
            <w:shd w:val="clear" w:color="auto" w:fill="FFFFFF"/>
            <w:vAlign w:val="center"/>
          </w:tcPr>
          <w:p w14:paraId="73DE687E">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Topic基础包：10个</w:t>
            </w:r>
          </w:p>
        </w:tc>
        <w:tc>
          <w:tcPr>
            <w:tcW w:w="737" w:type="pct"/>
            <w:shd w:val="clear" w:color="auto" w:fill="FFFFFF"/>
            <w:vAlign w:val="center"/>
          </w:tcPr>
          <w:p w14:paraId="1D2CAB06">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288</w:t>
            </w:r>
          </w:p>
        </w:tc>
      </w:tr>
      <w:tr w14:paraId="3BF9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12" w:type="pct"/>
            <w:vMerge w:val="continue"/>
          </w:tcPr>
          <w:p w14:paraId="51A6CBF5">
            <w:pPr>
              <w:widowControl/>
              <w:jc w:val="center"/>
              <w:textAlignment w:val="center"/>
              <w:rPr>
                <w:rFonts w:hint="eastAsia" w:ascii="宋体" w:hAnsi="宋体" w:eastAsia="宋体" w:cs="宋体"/>
                <w:kern w:val="0"/>
                <w:sz w:val="21"/>
                <w:szCs w:val="21"/>
                <w:lang w:bidi="ar"/>
              </w:rPr>
            </w:pPr>
          </w:p>
        </w:tc>
        <w:tc>
          <w:tcPr>
            <w:tcW w:w="1310" w:type="pct"/>
            <w:vMerge w:val="continue"/>
          </w:tcPr>
          <w:p w14:paraId="71EC2CB1">
            <w:pPr>
              <w:widowControl/>
              <w:jc w:val="center"/>
              <w:textAlignment w:val="center"/>
              <w:rPr>
                <w:rFonts w:hint="eastAsia" w:ascii="宋体" w:hAnsi="宋体" w:eastAsia="宋体" w:cs="宋体"/>
                <w:kern w:val="0"/>
                <w:sz w:val="21"/>
                <w:szCs w:val="21"/>
                <w:lang w:bidi="ar"/>
              </w:rPr>
            </w:pPr>
          </w:p>
        </w:tc>
        <w:tc>
          <w:tcPr>
            <w:tcW w:w="2039" w:type="pct"/>
            <w:vAlign w:val="center"/>
          </w:tcPr>
          <w:p w14:paraId="44633642">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消息发送基础包：1000TPS</w:t>
            </w:r>
          </w:p>
        </w:tc>
        <w:tc>
          <w:tcPr>
            <w:tcW w:w="737" w:type="pct"/>
            <w:shd w:val="clear" w:color="auto" w:fill="auto"/>
            <w:vAlign w:val="center"/>
          </w:tcPr>
          <w:p w14:paraId="537BD1E0">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1753.52</w:t>
            </w:r>
          </w:p>
        </w:tc>
      </w:tr>
      <w:tr w14:paraId="3850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12" w:type="pct"/>
            <w:vMerge w:val="continue"/>
          </w:tcPr>
          <w:p w14:paraId="533D3F2B">
            <w:pPr>
              <w:widowControl/>
              <w:jc w:val="center"/>
              <w:textAlignment w:val="center"/>
              <w:rPr>
                <w:rFonts w:hint="eastAsia" w:ascii="宋体" w:hAnsi="宋体" w:eastAsia="宋体" w:cs="宋体"/>
                <w:kern w:val="0"/>
                <w:sz w:val="21"/>
                <w:szCs w:val="21"/>
                <w:lang w:bidi="ar"/>
              </w:rPr>
            </w:pPr>
          </w:p>
        </w:tc>
        <w:tc>
          <w:tcPr>
            <w:tcW w:w="1310" w:type="pct"/>
            <w:vMerge w:val="continue"/>
          </w:tcPr>
          <w:p w14:paraId="2ED6F674">
            <w:pPr>
              <w:widowControl/>
              <w:jc w:val="center"/>
              <w:textAlignment w:val="center"/>
              <w:rPr>
                <w:rFonts w:hint="eastAsia" w:ascii="宋体" w:hAnsi="宋体" w:eastAsia="宋体" w:cs="宋体"/>
                <w:kern w:val="0"/>
                <w:sz w:val="21"/>
                <w:szCs w:val="21"/>
                <w:lang w:bidi="ar"/>
              </w:rPr>
            </w:pPr>
          </w:p>
        </w:tc>
        <w:tc>
          <w:tcPr>
            <w:tcW w:w="2039" w:type="pct"/>
            <w:vAlign w:val="center"/>
          </w:tcPr>
          <w:p w14:paraId="433451B3">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消息发送扩展包：500TPS</w:t>
            </w:r>
          </w:p>
        </w:tc>
        <w:tc>
          <w:tcPr>
            <w:tcW w:w="737" w:type="pct"/>
            <w:shd w:val="clear" w:color="auto" w:fill="auto"/>
            <w:vAlign w:val="center"/>
          </w:tcPr>
          <w:p w14:paraId="292E596F">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876.75</w:t>
            </w:r>
          </w:p>
        </w:tc>
      </w:tr>
      <w:tr w14:paraId="4296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12" w:type="pct"/>
            <w:vMerge w:val="continue"/>
          </w:tcPr>
          <w:p w14:paraId="6CC14EC5">
            <w:pPr>
              <w:widowControl/>
              <w:jc w:val="center"/>
              <w:textAlignment w:val="center"/>
              <w:rPr>
                <w:rFonts w:hint="eastAsia" w:ascii="宋体" w:hAnsi="宋体" w:eastAsia="宋体" w:cs="宋体"/>
                <w:kern w:val="0"/>
                <w:sz w:val="21"/>
                <w:szCs w:val="21"/>
                <w:lang w:bidi="ar"/>
              </w:rPr>
            </w:pPr>
          </w:p>
        </w:tc>
        <w:tc>
          <w:tcPr>
            <w:tcW w:w="1310" w:type="pct"/>
            <w:vMerge w:val="continue"/>
          </w:tcPr>
          <w:p w14:paraId="697CD1AF">
            <w:pPr>
              <w:widowControl/>
              <w:jc w:val="center"/>
              <w:textAlignment w:val="center"/>
              <w:rPr>
                <w:rFonts w:hint="eastAsia" w:ascii="宋体" w:hAnsi="宋体" w:eastAsia="宋体" w:cs="宋体"/>
                <w:kern w:val="0"/>
                <w:sz w:val="21"/>
                <w:szCs w:val="21"/>
                <w:lang w:bidi="ar"/>
              </w:rPr>
            </w:pPr>
          </w:p>
        </w:tc>
        <w:tc>
          <w:tcPr>
            <w:tcW w:w="2039" w:type="pct"/>
            <w:vAlign w:val="center"/>
          </w:tcPr>
          <w:p w14:paraId="0BFC31E4">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消息订阅基础包：500TPS</w:t>
            </w:r>
          </w:p>
        </w:tc>
        <w:tc>
          <w:tcPr>
            <w:tcW w:w="737" w:type="pct"/>
            <w:shd w:val="clear" w:color="auto" w:fill="auto"/>
            <w:vAlign w:val="center"/>
          </w:tcPr>
          <w:p w14:paraId="1DDC4319">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876.75</w:t>
            </w:r>
          </w:p>
        </w:tc>
      </w:tr>
      <w:tr w14:paraId="4001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56C1CF4C">
            <w:pPr>
              <w:widowControl/>
              <w:jc w:val="center"/>
              <w:textAlignment w:val="center"/>
              <w:rPr>
                <w:rFonts w:hint="eastAsia" w:ascii="宋体" w:hAnsi="宋体" w:eastAsia="宋体" w:cs="宋体"/>
                <w:kern w:val="0"/>
                <w:sz w:val="21"/>
                <w:szCs w:val="21"/>
                <w:lang w:bidi="ar"/>
              </w:rPr>
            </w:pPr>
          </w:p>
        </w:tc>
        <w:tc>
          <w:tcPr>
            <w:tcW w:w="1310" w:type="pct"/>
            <w:vMerge w:val="continue"/>
          </w:tcPr>
          <w:p w14:paraId="36C16B10">
            <w:pPr>
              <w:widowControl/>
              <w:jc w:val="center"/>
              <w:textAlignment w:val="center"/>
              <w:rPr>
                <w:rFonts w:hint="eastAsia" w:ascii="宋体" w:hAnsi="宋体" w:eastAsia="宋体" w:cs="宋体"/>
                <w:kern w:val="0"/>
                <w:sz w:val="21"/>
                <w:szCs w:val="21"/>
                <w:lang w:bidi="ar"/>
              </w:rPr>
            </w:pPr>
          </w:p>
        </w:tc>
        <w:tc>
          <w:tcPr>
            <w:tcW w:w="2039" w:type="pct"/>
            <w:vAlign w:val="center"/>
          </w:tcPr>
          <w:p w14:paraId="161D8779">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消息订阅扩展包：500TPS</w:t>
            </w:r>
          </w:p>
        </w:tc>
        <w:tc>
          <w:tcPr>
            <w:tcW w:w="737" w:type="pct"/>
            <w:shd w:val="clear" w:color="auto" w:fill="auto"/>
            <w:vAlign w:val="center"/>
          </w:tcPr>
          <w:p w14:paraId="0CC35441">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876.75</w:t>
            </w:r>
          </w:p>
        </w:tc>
      </w:tr>
      <w:tr w14:paraId="4C71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restart"/>
          </w:tcPr>
          <w:p w14:paraId="1C0E1D72">
            <w:pPr>
              <w:widowControl/>
              <w:jc w:val="center"/>
              <w:textAlignment w:val="center"/>
              <w:rPr>
                <w:rFonts w:hint="eastAsia" w:ascii="宋体" w:hAnsi="宋体" w:eastAsia="宋体" w:cs="宋体"/>
                <w:kern w:val="0"/>
                <w:sz w:val="21"/>
                <w:szCs w:val="21"/>
                <w:lang w:eastAsia="zh-Hans" w:bidi="ar"/>
              </w:rPr>
            </w:pPr>
            <w:r>
              <w:rPr>
                <w:rFonts w:hint="eastAsia" w:ascii="宋体" w:hAnsi="宋体" w:eastAsia="宋体" w:cs="宋体"/>
                <w:kern w:val="0"/>
                <w:sz w:val="21"/>
                <w:szCs w:val="21"/>
                <w:lang w:eastAsia="zh-Hans" w:bidi="ar"/>
              </w:rPr>
              <w:t>搜索服务</w:t>
            </w:r>
          </w:p>
        </w:tc>
        <w:tc>
          <w:tcPr>
            <w:tcW w:w="1310" w:type="pct"/>
            <w:vMerge w:val="restart"/>
            <w:vAlign w:val="center"/>
          </w:tcPr>
          <w:p w14:paraId="446227E6">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根据数据节点规格及数量+专有主节点规格及数量+协调节点规格及数量+存储类型及空间、按月计费</w:t>
            </w:r>
          </w:p>
        </w:tc>
        <w:tc>
          <w:tcPr>
            <w:tcW w:w="2039" w:type="pct"/>
            <w:vAlign w:val="center"/>
          </w:tcPr>
          <w:p w14:paraId="3B1EB6FD">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数据节点实例规格：4核16G</w:t>
            </w:r>
          </w:p>
        </w:tc>
        <w:tc>
          <w:tcPr>
            <w:tcW w:w="737" w:type="pct"/>
            <w:shd w:val="clear" w:color="auto" w:fill="auto"/>
            <w:vAlign w:val="center"/>
          </w:tcPr>
          <w:p w14:paraId="112CC478">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562.32</w:t>
            </w:r>
          </w:p>
        </w:tc>
      </w:tr>
      <w:tr w14:paraId="2681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1B0F4AB5">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2EDEFC2C">
            <w:pPr>
              <w:widowControl/>
              <w:jc w:val="center"/>
              <w:textAlignment w:val="center"/>
              <w:rPr>
                <w:rFonts w:hint="eastAsia" w:ascii="宋体" w:hAnsi="宋体" w:eastAsia="宋体" w:cs="宋体"/>
                <w:kern w:val="0"/>
                <w:sz w:val="21"/>
                <w:szCs w:val="21"/>
                <w:lang w:bidi="ar"/>
              </w:rPr>
            </w:pPr>
          </w:p>
        </w:tc>
        <w:tc>
          <w:tcPr>
            <w:tcW w:w="2039" w:type="pct"/>
            <w:vAlign w:val="center"/>
          </w:tcPr>
          <w:p w14:paraId="081B4C65">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数据节点实例规格：8核32G</w:t>
            </w:r>
          </w:p>
        </w:tc>
        <w:tc>
          <w:tcPr>
            <w:tcW w:w="737" w:type="pct"/>
            <w:shd w:val="clear" w:color="auto" w:fill="auto"/>
            <w:vAlign w:val="center"/>
          </w:tcPr>
          <w:p w14:paraId="292ABAB9">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1090.08</w:t>
            </w:r>
          </w:p>
        </w:tc>
      </w:tr>
      <w:tr w14:paraId="38F8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01B6BDCF">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5DE7AB23">
            <w:pPr>
              <w:widowControl/>
              <w:jc w:val="center"/>
              <w:textAlignment w:val="center"/>
              <w:rPr>
                <w:rFonts w:hint="eastAsia" w:ascii="宋体" w:hAnsi="宋体" w:eastAsia="宋体" w:cs="宋体"/>
                <w:kern w:val="0"/>
                <w:sz w:val="21"/>
                <w:szCs w:val="21"/>
                <w:lang w:bidi="ar"/>
              </w:rPr>
            </w:pPr>
          </w:p>
        </w:tc>
        <w:tc>
          <w:tcPr>
            <w:tcW w:w="2039" w:type="pct"/>
            <w:vAlign w:val="center"/>
          </w:tcPr>
          <w:p w14:paraId="5C76E3D8">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数据节点实例规格：16核32G</w:t>
            </w:r>
          </w:p>
        </w:tc>
        <w:tc>
          <w:tcPr>
            <w:tcW w:w="737" w:type="pct"/>
            <w:shd w:val="clear" w:color="auto" w:fill="auto"/>
            <w:vAlign w:val="center"/>
          </w:tcPr>
          <w:p w14:paraId="0D4199D3">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1566.00</w:t>
            </w:r>
          </w:p>
        </w:tc>
      </w:tr>
      <w:tr w14:paraId="1D60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44AE6289">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30BB52DC">
            <w:pPr>
              <w:widowControl/>
              <w:jc w:val="center"/>
              <w:textAlignment w:val="center"/>
              <w:rPr>
                <w:rFonts w:hint="eastAsia" w:ascii="宋体" w:hAnsi="宋体" w:eastAsia="宋体" w:cs="宋体"/>
                <w:kern w:val="0"/>
                <w:sz w:val="21"/>
                <w:szCs w:val="21"/>
                <w:lang w:bidi="ar"/>
              </w:rPr>
            </w:pPr>
          </w:p>
        </w:tc>
        <w:tc>
          <w:tcPr>
            <w:tcW w:w="2039" w:type="pct"/>
            <w:vAlign w:val="center"/>
          </w:tcPr>
          <w:p w14:paraId="37A98D12">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数据节点实例规格：16核64G</w:t>
            </w:r>
          </w:p>
        </w:tc>
        <w:tc>
          <w:tcPr>
            <w:tcW w:w="737" w:type="pct"/>
            <w:shd w:val="clear" w:color="auto" w:fill="auto"/>
            <w:vAlign w:val="center"/>
          </w:tcPr>
          <w:p w14:paraId="34422D19">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2147.04</w:t>
            </w:r>
          </w:p>
        </w:tc>
      </w:tr>
      <w:tr w14:paraId="1088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6E24ABED">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6268803F">
            <w:pPr>
              <w:widowControl/>
              <w:jc w:val="center"/>
              <w:textAlignment w:val="center"/>
              <w:rPr>
                <w:rFonts w:hint="eastAsia" w:ascii="宋体" w:hAnsi="宋体" w:eastAsia="宋体" w:cs="宋体"/>
                <w:kern w:val="0"/>
                <w:sz w:val="21"/>
                <w:szCs w:val="21"/>
                <w:lang w:bidi="ar"/>
              </w:rPr>
            </w:pPr>
          </w:p>
        </w:tc>
        <w:tc>
          <w:tcPr>
            <w:tcW w:w="2039" w:type="pct"/>
            <w:vAlign w:val="center"/>
          </w:tcPr>
          <w:p w14:paraId="5BC85460">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数据节点实例规格：8核32G, 894G SSD</w:t>
            </w:r>
          </w:p>
        </w:tc>
        <w:tc>
          <w:tcPr>
            <w:tcW w:w="737" w:type="pct"/>
            <w:shd w:val="clear" w:color="auto" w:fill="auto"/>
            <w:vAlign w:val="center"/>
          </w:tcPr>
          <w:p w14:paraId="1C19B6AA">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1468.08</w:t>
            </w:r>
          </w:p>
        </w:tc>
      </w:tr>
      <w:tr w14:paraId="1202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2753E7A7">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61C25C1C">
            <w:pPr>
              <w:widowControl/>
              <w:jc w:val="center"/>
              <w:textAlignment w:val="center"/>
              <w:rPr>
                <w:rFonts w:hint="eastAsia" w:ascii="宋体" w:hAnsi="宋体" w:eastAsia="宋体" w:cs="宋体"/>
                <w:kern w:val="0"/>
                <w:sz w:val="21"/>
                <w:szCs w:val="21"/>
                <w:lang w:bidi="ar"/>
              </w:rPr>
            </w:pPr>
          </w:p>
        </w:tc>
        <w:tc>
          <w:tcPr>
            <w:tcW w:w="2039" w:type="pct"/>
            <w:vAlign w:val="center"/>
          </w:tcPr>
          <w:p w14:paraId="4AED4240">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数据节点实例规格：16核64G, 1788G SSD</w:t>
            </w:r>
          </w:p>
        </w:tc>
        <w:tc>
          <w:tcPr>
            <w:tcW w:w="737" w:type="pct"/>
            <w:shd w:val="clear" w:color="auto" w:fill="auto"/>
            <w:vAlign w:val="center"/>
          </w:tcPr>
          <w:p w14:paraId="7F34EB43">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2901.60</w:t>
            </w:r>
          </w:p>
        </w:tc>
      </w:tr>
      <w:tr w14:paraId="1DFE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7F2FBE83">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39BA788F">
            <w:pPr>
              <w:widowControl/>
              <w:jc w:val="center"/>
              <w:textAlignment w:val="center"/>
              <w:rPr>
                <w:rFonts w:hint="eastAsia" w:ascii="宋体" w:hAnsi="宋体" w:eastAsia="宋体" w:cs="宋体"/>
                <w:kern w:val="0"/>
                <w:sz w:val="21"/>
                <w:szCs w:val="21"/>
                <w:lang w:bidi="ar"/>
              </w:rPr>
            </w:pPr>
          </w:p>
        </w:tc>
        <w:tc>
          <w:tcPr>
            <w:tcW w:w="2039" w:type="pct"/>
            <w:vAlign w:val="center"/>
          </w:tcPr>
          <w:p w14:paraId="7380FDF2">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数据节点实例规格：8核32G, 22000G SATA</w:t>
            </w:r>
          </w:p>
        </w:tc>
        <w:tc>
          <w:tcPr>
            <w:tcW w:w="737" w:type="pct"/>
            <w:shd w:val="clear" w:color="auto" w:fill="auto"/>
            <w:vAlign w:val="center"/>
          </w:tcPr>
          <w:p w14:paraId="700C214F">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1726.56</w:t>
            </w:r>
          </w:p>
        </w:tc>
      </w:tr>
      <w:tr w14:paraId="2FCA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31EAE5F0">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3FE8A511">
            <w:pPr>
              <w:widowControl/>
              <w:jc w:val="center"/>
              <w:textAlignment w:val="center"/>
              <w:rPr>
                <w:rFonts w:hint="eastAsia" w:ascii="宋体" w:hAnsi="宋体" w:eastAsia="宋体" w:cs="宋体"/>
                <w:kern w:val="0"/>
                <w:sz w:val="21"/>
                <w:szCs w:val="21"/>
                <w:lang w:bidi="ar"/>
              </w:rPr>
            </w:pPr>
          </w:p>
        </w:tc>
        <w:tc>
          <w:tcPr>
            <w:tcW w:w="2039" w:type="pct"/>
            <w:vAlign w:val="center"/>
          </w:tcPr>
          <w:p w14:paraId="6CF98BAC">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数据节点实例规格：16核64G, 44000SATA</w:t>
            </w:r>
          </w:p>
        </w:tc>
        <w:tc>
          <w:tcPr>
            <w:tcW w:w="737" w:type="pct"/>
            <w:shd w:val="clear" w:color="auto" w:fill="auto"/>
            <w:vAlign w:val="center"/>
          </w:tcPr>
          <w:p w14:paraId="555F03DA">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3419.28</w:t>
            </w:r>
          </w:p>
        </w:tc>
      </w:tr>
      <w:tr w14:paraId="1F56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532134EF">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28149DBF">
            <w:pPr>
              <w:widowControl/>
              <w:jc w:val="center"/>
              <w:textAlignment w:val="center"/>
              <w:rPr>
                <w:rFonts w:hint="eastAsia" w:ascii="宋体" w:hAnsi="宋体" w:eastAsia="宋体" w:cs="宋体"/>
                <w:kern w:val="0"/>
                <w:sz w:val="21"/>
                <w:szCs w:val="21"/>
                <w:lang w:bidi="ar"/>
              </w:rPr>
            </w:pPr>
          </w:p>
        </w:tc>
        <w:tc>
          <w:tcPr>
            <w:tcW w:w="2039" w:type="pct"/>
            <w:vAlign w:val="center"/>
          </w:tcPr>
          <w:p w14:paraId="0196F06D">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DedicatedMaster（专有主节点）规格：4核16G</w:t>
            </w:r>
          </w:p>
        </w:tc>
        <w:tc>
          <w:tcPr>
            <w:tcW w:w="737" w:type="pct"/>
            <w:shd w:val="clear" w:color="auto" w:fill="auto"/>
            <w:vAlign w:val="center"/>
          </w:tcPr>
          <w:p w14:paraId="2A0CD4C7">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1538.57</w:t>
            </w:r>
          </w:p>
        </w:tc>
      </w:tr>
      <w:tr w14:paraId="75C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912" w:type="pct"/>
            <w:vMerge w:val="continue"/>
          </w:tcPr>
          <w:p w14:paraId="521D60DA">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769E9F4D">
            <w:pPr>
              <w:widowControl/>
              <w:jc w:val="center"/>
              <w:textAlignment w:val="center"/>
              <w:rPr>
                <w:rFonts w:hint="eastAsia" w:ascii="宋体" w:hAnsi="宋体" w:eastAsia="宋体" w:cs="宋体"/>
                <w:kern w:val="0"/>
                <w:sz w:val="21"/>
                <w:szCs w:val="21"/>
                <w:lang w:bidi="ar"/>
              </w:rPr>
            </w:pPr>
          </w:p>
        </w:tc>
        <w:tc>
          <w:tcPr>
            <w:tcW w:w="2039" w:type="pct"/>
            <w:vAlign w:val="center"/>
          </w:tcPr>
          <w:p w14:paraId="4FB6017E">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DedicatedMaster（专有主节点）规格：8核32G</w:t>
            </w:r>
          </w:p>
        </w:tc>
        <w:tc>
          <w:tcPr>
            <w:tcW w:w="737" w:type="pct"/>
            <w:shd w:val="clear" w:color="auto" w:fill="auto"/>
            <w:vAlign w:val="center"/>
          </w:tcPr>
          <w:p w14:paraId="59EF212B">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3042.62</w:t>
            </w:r>
          </w:p>
        </w:tc>
      </w:tr>
      <w:tr w14:paraId="1BA2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5DCFFCCE">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0618F398">
            <w:pPr>
              <w:widowControl/>
              <w:jc w:val="center"/>
              <w:textAlignment w:val="center"/>
              <w:rPr>
                <w:rFonts w:hint="eastAsia" w:ascii="宋体" w:hAnsi="宋体" w:eastAsia="宋体" w:cs="宋体"/>
                <w:kern w:val="0"/>
                <w:sz w:val="21"/>
                <w:szCs w:val="21"/>
                <w:lang w:bidi="ar"/>
              </w:rPr>
            </w:pPr>
          </w:p>
        </w:tc>
        <w:tc>
          <w:tcPr>
            <w:tcW w:w="2039" w:type="pct"/>
            <w:vAlign w:val="center"/>
          </w:tcPr>
          <w:p w14:paraId="324E5EA7">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DedicatedMaster（专有主节点）规格：16核32G</w:t>
            </w:r>
          </w:p>
        </w:tc>
        <w:tc>
          <w:tcPr>
            <w:tcW w:w="737" w:type="pct"/>
            <w:shd w:val="clear" w:color="auto" w:fill="auto"/>
            <w:vAlign w:val="center"/>
          </w:tcPr>
          <w:p w14:paraId="7BF18E77">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4698.00</w:t>
            </w:r>
          </w:p>
        </w:tc>
      </w:tr>
      <w:tr w14:paraId="18F6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154FB3DF">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3B268923">
            <w:pPr>
              <w:widowControl/>
              <w:jc w:val="center"/>
              <w:textAlignment w:val="center"/>
              <w:rPr>
                <w:rFonts w:hint="eastAsia" w:ascii="宋体" w:hAnsi="宋体" w:eastAsia="宋体" w:cs="宋体"/>
                <w:kern w:val="0"/>
                <w:sz w:val="21"/>
                <w:szCs w:val="21"/>
                <w:lang w:bidi="ar"/>
              </w:rPr>
            </w:pPr>
          </w:p>
        </w:tc>
        <w:tc>
          <w:tcPr>
            <w:tcW w:w="2039" w:type="pct"/>
            <w:vAlign w:val="center"/>
          </w:tcPr>
          <w:p w14:paraId="45826804">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DedicatedMaster（专有主节点）规格：16核64G</w:t>
            </w:r>
          </w:p>
        </w:tc>
        <w:tc>
          <w:tcPr>
            <w:tcW w:w="737" w:type="pct"/>
            <w:shd w:val="clear" w:color="auto" w:fill="auto"/>
            <w:vAlign w:val="center"/>
          </w:tcPr>
          <w:p w14:paraId="2EDD538D">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5630.64</w:t>
            </w:r>
          </w:p>
        </w:tc>
      </w:tr>
      <w:tr w14:paraId="549D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451DDD99">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778D016E">
            <w:pPr>
              <w:widowControl/>
              <w:jc w:val="center"/>
              <w:textAlignment w:val="center"/>
              <w:rPr>
                <w:rFonts w:hint="eastAsia" w:ascii="宋体" w:hAnsi="宋体" w:eastAsia="宋体" w:cs="宋体"/>
                <w:kern w:val="0"/>
                <w:sz w:val="21"/>
                <w:szCs w:val="21"/>
                <w:lang w:bidi="ar"/>
              </w:rPr>
            </w:pPr>
          </w:p>
        </w:tc>
        <w:tc>
          <w:tcPr>
            <w:tcW w:w="2039" w:type="pct"/>
            <w:vAlign w:val="center"/>
          </w:tcPr>
          <w:p w14:paraId="4E1EF335">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ClientNode（协调节点）规格：4核16G</w:t>
            </w:r>
          </w:p>
        </w:tc>
        <w:tc>
          <w:tcPr>
            <w:tcW w:w="737" w:type="pct"/>
            <w:shd w:val="clear" w:color="auto" w:fill="auto"/>
            <w:vAlign w:val="center"/>
          </w:tcPr>
          <w:p w14:paraId="19AF2C30">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562.32</w:t>
            </w:r>
          </w:p>
        </w:tc>
      </w:tr>
      <w:tr w14:paraId="5F99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6F4B0678">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031B2D75">
            <w:pPr>
              <w:widowControl/>
              <w:jc w:val="center"/>
              <w:textAlignment w:val="center"/>
              <w:rPr>
                <w:rFonts w:hint="eastAsia" w:ascii="宋体" w:hAnsi="宋体" w:eastAsia="宋体" w:cs="宋体"/>
                <w:kern w:val="0"/>
                <w:sz w:val="21"/>
                <w:szCs w:val="21"/>
                <w:lang w:bidi="ar"/>
              </w:rPr>
            </w:pPr>
          </w:p>
        </w:tc>
        <w:tc>
          <w:tcPr>
            <w:tcW w:w="2039" w:type="pct"/>
            <w:vAlign w:val="center"/>
          </w:tcPr>
          <w:p w14:paraId="6449D57E">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ClientNode（协调节点）规格：8核32G</w:t>
            </w:r>
          </w:p>
        </w:tc>
        <w:tc>
          <w:tcPr>
            <w:tcW w:w="737" w:type="pct"/>
            <w:shd w:val="clear" w:color="auto" w:fill="auto"/>
            <w:vAlign w:val="center"/>
          </w:tcPr>
          <w:p w14:paraId="546B68C4">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1090.08</w:t>
            </w:r>
          </w:p>
        </w:tc>
      </w:tr>
      <w:tr w14:paraId="4854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3DF26B6A">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729EFA1D">
            <w:pPr>
              <w:widowControl/>
              <w:jc w:val="center"/>
              <w:textAlignment w:val="center"/>
              <w:rPr>
                <w:rFonts w:hint="eastAsia" w:ascii="宋体" w:hAnsi="宋体" w:eastAsia="宋体" w:cs="宋体"/>
                <w:kern w:val="0"/>
                <w:sz w:val="21"/>
                <w:szCs w:val="21"/>
                <w:lang w:bidi="ar"/>
              </w:rPr>
            </w:pPr>
          </w:p>
        </w:tc>
        <w:tc>
          <w:tcPr>
            <w:tcW w:w="2039" w:type="pct"/>
            <w:vAlign w:val="center"/>
          </w:tcPr>
          <w:p w14:paraId="6440FBCF">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ClientNode（协调节点）规格：16核32G</w:t>
            </w:r>
          </w:p>
        </w:tc>
        <w:tc>
          <w:tcPr>
            <w:tcW w:w="737" w:type="pct"/>
            <w:shd w:val="clear" w:color="auto" w:fill="auto"/>
            <w:vAlign w:val="center"/>
          </w:tcPr>
          <w:p w14:paraId="10F683C2">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1566.00</w:t>
            </w:r>
          </w:p>
        </w:tc>
      </w:tr>
      <w:tr w14:paraId="2775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2E5D6F98">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71EA64AB">
            <w:pPr>
              <w:widowControl/>
              <w:jc w:val="center"/>
              <w:textAlignment w:val="center"/>
              <w:rPr>
                <w:rFonts w:hint="eastAsia" w:ascii="宋体" w:hAnsi="宋体" w:eastAsia="宋体" w:cs="宋体"/>
                <w:kern w:val="0"/>
                <w:sz w:val="21"/>
                <w:szCs w:val="21"/>
                <w:lang w:bidi="ar"/>
              </w:rPr>
            </w:pPr>
          </w:p>
        </w:tc>
        <w:tc>
          <w:tcPr>
            <w:tcW w:w="2039" w:type="pct"/>
            <w:vAlign w:val="center"/>
          </w:tcPr>
          <w:p w14:paraId="24C44779">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ClientNode（协调节点）规格：16核64G</w:t>
            </w:r>
          </w:p>
        </w:tc>
        <w:tc>
          <w:tcPr>
            <w:tcW w:w="737" w:type="pct"/>
            <w:shd w:val="clear" w:color="auto" w:fill="auto"/>
            <w:vAlign w:val="center"/>
          </w:tcPr>
          <w:p w14:paraId="19F8A728">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2147.04</w:t>
            </w:r>
          </w:p>
        </w:tc>
      </w:tr>
      <w:tr w14:paraId="613F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1E0941B7">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131CDBC5">
            <w:pPr>
              <w:widowControl/>
              <w:jc w:val="center"/>
              <w:textAlignment w:val="center"/>
              <w:rPr>
                <w:rFonts w:hint="eastAsia" w:ascii="宋体" w:hAnsi="宋体" w:eastAsia="宋体" w:cs="宋体"/>
                <w:kern w:val="0"/>
                <w:sz w:val="21"/>
                <w:szCs w:val="21"/>
                <w:lang w:bidi="ar"/>
              </w:rPr>
            </w:pPr>
          </w:p>
        </w:tc>
        <w:tc>
          <w:tcPr>
            <w:tcW w:w="2039" w:type="pct"/>
            <w:vAlign w:val="center"/>
          </w:tcPr>
          <w:p w14:paraId="21EA4BE7">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存储计费：SSD云盘（GB）</w:t>
            </w:r>
          </w:p>
        </w:tc>
        <w:tc>
          <w:tcPr>
            <w:tcW w:w="737" w:type="pct"/>
            <w:shd w:val="clear" w:color="auto" w:fill="auto"/>
            <w:vAlign w:val="center"/>
          </w:tcPr>
          <w:p w14:paraId="104EE14A">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0.72</w:t>
            </w:r>
          </w:p>
        </w:tc>
      </w:tr>
      <w:tr w14:paraId="7506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19F87AFD">
            <w:pPr>
              <w:widowControl/>
              <w:jc w:val="center"/>
              <w:textAlignment w:val="center"/>
              <w:rPr>
                <w:rFonts w:hint="eastAsia" w:ascii="宋体" w:hAnsi="宋体" w:eastAsia="宋体" w:cs="宋体"/>
                <w:kern w:val="0"/>
                <w:sz w:val="21"/>
                <w:szCs w:val="21"/>
                <w:lang w:eastAsia="zh-Hans" w:bidi="ar"/>
              </w:rPr>
            </w:pPr>
          </w:p>
        </w:tc>
        <w:tc>
          <w:tcPr>
            <w:tcW w:w="1310" w:type="pct"/>
            <w:vMerge w:val="continue"/>
          </w:tcPr>
          <w:p w14:paraId="44412842">
            <w:pPr>
              <w:widowControl/>
              <w:jc w:val="center"/>
              <w:textAlignment w:val="center"/>
              <w:rPr>
                <w:rFonts w:hint="eastAsia" w:ascii="宋体" w:hAnsi="宋体" w:eastAsia="宋体" w:cs="宋体"/>
                <w:kern w:val="0"/>
                <w:sz w:val="21"/>
                <w:szCs w:val="21"/>
                <w:lang w:bidi="ar"/>
              </w:rPr>
            </w:pPr>
          </w:p>
        </w:tc>
        <w:tc>
          <w:tcPr>
            <w:tcW w:w="2039" w:type="pct"/>
            <w:vAlign w:val="center"/>
          </w:tcPr>
          <w:p w14:paraId="4F5EDD23">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存储计费：高效云盘（GB）</w:t>
            </w:r>
          </w:p>
        </w:tc>
        <w:tc>
          <w:tcPr>
            <w:tcW w:w="737" w:type="pct"/>
            <w:shd w:val="clear" w:color="auto" w:fill="auto"/>
            <w:vAlign w:val="center"/>
          </w:tcPr>
          <w:p w14:paraId="1E6ADCAC">
            <w:pPr>
              <w:jc w:val="center"/>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bidi="ar"/>
              </w:rPr>
              <w:t>0.25</w:t>
            </w:r>
          </w:p>
        </w:tc>
      </w:tr>
      <w:tr w14:paraId="5123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Align w:val="center"/>
          </w:tcPr>
          <w:p w14:paraId="68838629">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容器服务</w:t>
            </w:r>
          </w:p>
        </w:tc>
        <w:tc>
          <w:tcPr>
            <w:tcW w:w="1310" w:type="pct"/>
            <w:vAlign w:val="center"/>
          </w:tcPr>
          <w:p w14:paraId="406E5284">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根据部署容器的节点数按月计费（仅包括节点管理费用，不包含资源费用，云服务器/云服务器</w:t>
            </w:r>
            <w:r>
              <w:rPr>
                <w:rFonts w:hint="eastAsia" w:ascii="宋体" w:hAnsi="宋体" w:eastAsia="宋体" w:cs="宋体"/>
                <w:kern w:val="0"/>
                <w:sz w:val="21"/>
                <w:szCs w:val="21"/>
                <w:lang w:eastAsia="zh-Hans"/>
              </w:rPr>
              <w:t>硬盘</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负载均衡</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弹性IP</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专有网络</w:t>
            </w:r>
            <w:r>
              <w:rPr>
                <w:rFonts w:hint="eastAsia" w:ascii="宋体" w:hAnsi="宋体" w:eastAsia="宋体" w:cs="宋体"/>
                <w:kern w:val="0"/>
                <w:sz w:val="21"/>
                <w:szCs w:val="21"/>
              </w:rPr>
              <w:t>等资源另行计算）</w:t>
            </w:r>
          </w:p>
        </w:tc>
        <w:tc>
          <w:tcPr>
            <w:tcW w:w="2039" w:type="pct"/>
            <w:vAlign w:val="center"/>
          </w:tcPr>
          <w:p w14:paraId="4A2658A6">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ECS节点</w:t>
            </w:r>
          </w:p>
        </w:tc>
        <w:tc>
          <w:tcPr>
            <w:tcW w:w="737" w:type="pct"/>
            <w:shd w:val="clear" w:color="auto" w:fill="FFFFFF"/>
            <w:vAlign w:val="center"/>
          </w:tcPr>
          <w:p w14:paraId="22C418C3">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142.337</w:t>
            </w:r>
          </w:p>
        </w:tc>
      </w:tr>
      <w:tr w14:paraId="12EA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restart"/>
            <w:vAlign w:val="center"/>
          </w:tcPr>
          <w:p w14:paraId="498EF8D6">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eastAsia="zh-Hans"/>
              </w:rPr>
              <w:t>数据资源平台</w:t>
            </w:r>
          </w:p>
        </w:tc>
        <w:tc>
          <w:tcPr>
            <w:tcW w:w="1310" w:type="pct"/>
            <w:vAlign w:val="center"/>
          </w:tcPr>
          <w:p w14:paraId="7590595C">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专业版（默认含10个工作组，含 1000 任务节点数，含3000 个服务 API，总 QPS 500）</w:t>
            </w:r>
          </w:p>
        </w:tc>
        <w:tc>
          <w:tcPr>
            <w:tcW w:w="2039" w:type="pct"/>
            <w:vAlign w:val="center"/>
          </w:tcPr>
          <w:p w14:paraId="007FEA16">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套</w:t>
            </w:r>
          </w:p>
        </w:tc>
        <w:tc>
          <w:tcPr>
            <w:tcW w:w="737" w:type="pct"/>
            <w:shd w:val="clear" w:color="auto" w:fill="FFFFFF"/>
            <w:vAlign w:val="center"/>
          </w:tcPr>
          <w:p w14:paraId="2E4AD67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17532.288</w:t>
            </w:r>
          </w:p>
        </w:tc>
      </w:tr>
      <w:tr w14:paraId="00A0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0F35E19E">
            <w:pPr>
              <w:widowControl/>
              <w:snapToGrid w:val="0"/>
              <w:jc w:val="center"/>
              <w:rPr>
                <w:rFonts w:hint="eastAsia" w:ascii="宋体" w:hAnsi="宋体" w:eastAsia="宋体" w:cs="宋体"/>
                <w:kern w:val="0"/>
                <w:sz w:val="21"/>
                <w:szCs w:val="21"/>
              </w:rPr>
            </w:pPr>
          </w:p>
        </w:tc>
        <w:tc>
          <w:tcPr>
            <w:tcW w:w="1310" w:type="pct"/>
            <w:vAlign w:val="center"/>
          </w:tcPr>
          <w:p w14:paraId="5701FC3E">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实时数据归集专用版</w:t>
            </w:r>
          </w:p>
        </w:tc>
        <w:tc>
          <w:tcPr>
            <w:tcW w:w="2039" w:type="pct"/>
            <w:vAlign w:val="center"/>
          </w:tcPr>
          <w:p w14:paraId="536B0ED4">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套</w:t>
            </w:r>
          </w:p>
        </w:tc>
        <w:tc>
          <w:tcPr>
            <w:tcW w:w="737" w:type="pct"/>
            <w:shd w:val="clear" w:color="auto" w:fill="FFFFFF"/>
            <w:vAlign w:val="center"/>
          </w:tcPr>
          <w:p w14:paraId="436D6D8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5844.096</w:t>
            </w:r>
          </w:p>
        </w:tc>
      </w:tr>
      <w:tr w14:paraId="5CE0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6026AE2E">
            <w:pPr>
              <w:widowControl/>
              <w:snapToGrid w:val="0"/>
              <w:jc w:val="center"/>
              <w:rPr>
                <w:rFonts w:hint="eastAsia" w:ascii="宋体" w:hAnsi="宋体" w:eastAsia="宋体" w:cs="宋体"/>
                <w:kern w:val="0"/>
                <w:sz w:val="21"/>
                <w:szCs w:val="21"/>
              </w:rPr>
            </w:pPr>
          </w:p>
        </w:tc>
        <w:tc>
          <w:tcPr>
            <w:tcW w:w="1310" w:type="pct"/>
            <w:vAlign w:val="center"/>
          </w:tcPr>
          <w:p w14:paraId="03C5A757">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工作组-增量包</w:t>
            </w:r>
          </w:p>
        </w:tc>
        <w:tc>
          <w:tcPr>
            <w:tcW w:w="2039" w:type="pct"/>
            <w:vAlign w:val="center"/>
          </w:tcPr>
          <w:p w14:paraId="08A886A8">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1 个工作组</w:t>
            </w:r>
          </w:p>
        </w:tc>
        <w:tc>
          <w:tcPr>
            <w:tcW w:w="737" w:type="pct"/>
            <w:shd w:val="clear" w:color="auto" w:fill="FFFFFF"/>
            <w:vAlign w:val="center"/>
          </w:tcPr>
          <w:p w14:paraId="5DC303E5">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584.41</w:t>
            </w:r>
          </w:p>
        </w:tc>
      </w:tr>
      <w:tr w14:paraId="66AB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912" w:type="pct"/>
            <w:vMerge w:val="continue"/>
          </w:tcPr>
          <w:p w14:paraId="40678AA5">
            <w:pPr>
              <w:widowControl/>
              <w:snapToGrid w:val="0"/>
              <w:jc w:val="center"/>
              <w:rPr>
                <w:rFonts w:hint="eastAsia" w:ascii="宋体" w:hAnsi="宋体" w:eastAsia="宋体" w:cs="宋体"/>
                <w:kern w:val="0"/>
                <w:sz w:val="21"/>
                <w:szCs w:val="21"/>
              </w:rPr>
            </w:pPr>
          </w:p>
        </w:tc>
        <w:tc>
          <w:tcPr>
            <w:tcW w:w="1310" w:type="pct"/>
            <w:vMerge w:val="restart"/>
            <w:vAlign w:val="center"/>
          </w:tcPr>
          <w:p w14:paraId="3F9C4A9A">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服务 API 及 QPS-增量包</w:t>
            </w:r>
          </w:p>
        </w:tc>
        <w:tc>
          <w:tcPr>
            <w:tcW w:w="2039" w:type="pct"/>
            <w:vAlign w:val="center"/>
          </w:tcPr>
          <w:p w14:paraId="700670BF">
            <w:pPr>
              <w:widowControl/>
              <w:snapToGrid w:val="0"/>
              <w:ind w:firstLine="0" w:firstLineChars="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100 个服务 API</w:t>
            </w:r>
          </w:p>
        </w:tc>
        <w:tc>
          <w:tcPr>
            <w:tcW w:w="737" w:type="pct"/>
            <w:shd w:val="clear" w:color="auto" w:fill="FFFFFF"/>
            <w:vAlign w:val="center"/>
          </w:tcPr>
          <w:p w14:paraId="49AEC928">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1461.024</w:t>
            </w:r>
          </w:p>
        </w:tc>
      </w:tr>
      <w:tr w14:paraId="77A7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35A0AB12">
            <w:pPr>
              <w:widowControl/>
              <w:snapToGrid w:val="0"/>
              <w:jc w:val="center"/>
              <w:rPr>
                <w:rFonts w:hint="eastAsia" w:ascii="宋体" w:hAnsi="宋体" w:eastAsia="宋体" w:cs="宋体"/>
                <w:kern w:val="0"/>
                <w:sz w:val="21"/>
                <w:szCs w:val="21"/>
              </w:rPr>
            </w:pPr>
          </w:p>
        </w:tc>
        <w:tc>
          <w:tcPr>
            <w:tcW w:w="1310" w:type="pct"/>
            <w:vMerge w:val="continue"/>
          </w:tcPr>
          <w:p w14:paraId="621A2594">
            <w:pPr>
              <w:widowControl/>
              <w:snapToGrid w:val="0"/>
              <w:jc w:val="center"/>
              <w:rPr>
                <w:rFonts w:hint="eastAsia" w:ascii="宋体" w:hAnsi="宋体" w:eastAsia="宋体" w:cs="宋体"/>
                <w:kern w:val="0"/>
                <w:sz w:val="21"/>
                <w:szCs w:val="21"/>
              </w:rPr>
            </w:pPr>
          </w:p>
        </w:tc>
        <w:tc>
          <w:tcPr>
            <w:tcW w:w="2039" w:type="pct"/>
            <w:vAlign w:val="center"/>
          </w:tcPr>
          <w:p w14:paraId="41468C0D">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50 QPS</w:t>
            </w:r>
          </w:p>
        </w:tc>
        <w:tc>
          <w:tcPr>
            <w:tcW w:w="737" w:type="pct"/>
            <w:shd w:val="clear" w:color="auto" w:fill="FFFFFF"/>
            <w:vAlign w:val="center"/>
          </w:tcPr>
          <w:p w14:paraId="170D8C92">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1227.26</w:t>
            </w:r>
          </w:p>
        </w:tc>
      </w:tr>
      <w:tr w14:paraId="322B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7C82CCA3">
            <w:pPr>
              <w:widowControl/>
              <w:snapToGrid w:val="0"/>
              <w:jc w:val="center"/>
              <w:rPr>
                <w:rFonts w:hint="eastAsia" w:ascii="宋体" w:hAnsi="宋体" w:eastAsia="宋体" w:cs="宋体"/>
                <w:kern w:val="0"/>
                <w:sz w:val="21"/>
                <w:szCs w:val="21"/>
              </w:rPr>
            </w:pPr>
          </w:p>
        </w:tc>
        <w:tc>
          <w:tcPr>
            <w:tcW w:w="1310" w:type="pct"/>
            <w:vMerge w:val="restart"/>
            <w:vAlign w:val="center"/>
          </w:tcPr>
          <w:p w14:paraId="271D0EFE">
            <w:pPr>
              <w:widowControl/>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任务节点套餐</w:t>
            </w:r>
          </w:p>
        </w:tc>
        <w:tc>
          <w:tcPr>
            <w:tcW w:w="2039" w:type="pct"/>
            <w:vAlign w:val="center"/>
          </w:tcPr>
          <w:p w14:paraId="28DC298A">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500 任务节点数</w:t>
            </w:r>
          </w:p>
        </w:tc>
        <w:tc>
          <w:tcPr>
            <w:tcW w:w="737" w:type="pct"/>
            <w:shd w:val="clear" w:color="auto" w:fill="FFFFFF"/>
            <w:vAlign w:val="center"/>
          </w:tcPr>
          <w:p w14:paraId="47B71C1A">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701.292</w:t>
            </w:r>
          </w:p>
        </w:tc>
      </w:tr>
      <w:tr w14:paraId="23F8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281AC0E4">
            <w:pPr>
              <w:widowControl/>
              <w:snapToGrid w:val="0"/>
              <w:jc w:val="center"/>
              <w:rPr>
                <w:rFonts w:hint="eastAsia" w:ascii="宋体" w:hAnsi="宋体" w:eastAsia="宋体" w:cs="宋体"/>
                <w:kern w:val="0"/>
                <w:sz w:val="21"/>
                <w:szCs w:val="21"/>
              </w:rPr>
            </w:pPr>
          </w:p>
        </w:tc>
        <w:tc>
          <w:tcPr>
            <w:tcW w:w="1310" w:type="pct"/>
            <w:vMerge w:val="continue"/>
          </w:tcPr>
          <w:p w14:paraId="0DEBC2B2">
            <w:pPr>
              <w:widowControl/>
              <w:snapToGrid w:val="0"/>
              <w:jc w:val="center"/>
              <w:rPr>
                <w:rFonts w:hint="eastAsia" w:ascii="宋体" w:hAnsi="宋体" w:eastAsia="宋体" w:cs="宋体"/>
                <w:kern w:val="0"/>
                <w:sz w:val="21"/>
                <w:szCs w:val="21"/>
              </w:rPr>
            </w:pPr>
          </w:p>
        </w:tc>
        <w:tc>
          <w:tcPr>
            <w:tcW w:w="2039" w:type="pct"/>
            <w:vAlign w:val="center"/>
          </w:tcPr>
          <w:p w14:paraId="21027423">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1000 任务节点数</w:t>
            </w:r>
          </w:p>
        </w:tc>
        <w:tc>
          <w:tcPr>
            <w:tcW w:w="737" w:type="pct"/>
            <w:shd w:val="clear" w:color="auto" w:fill="FFFFFF"/>
            <w:vAlign w:val="center"/>
          </w:tcPr>
          <w:p w14:paraId="56D6F30D">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1168.819</w:t>
            </w:r>
          </w:p>
        </w:tc>
      </w:tr>
      <w:tr w14:paraId="3A5E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78D65E3D">
            <w:pPr>
              <w:widowControl/>
              <w:snapToGrid w:val="0"/>
              <w:jc w:val="center"/>
              <w:rPr>
                <w:rFonts w:hint="eastAsia" w:ascii="宋体" w:hAnsi="宋体" w:eastAsia="宋体" w:cs="宋体"/>
                <w:kern w:val="0"/>
                <w:sz w:val="21"/>
                <w:szCs w:val="21"/>
              </w:rPr>
            </w:pPr>
          </w:p>
        </w:tc>
        <w:tc>
          <w:tcPr>
            <w:tcW w:w="1310" w:type="pct"/>
            <w:vMerge w:val="continue"/>
          </w:tcPr>
          <w:p w14:paraId="43C8F319">
            <w:pPr>
              <w:widowControl/>
              <w:snapToGrid w:val="0"/>
              <w:jc w:val="center"/>
              <w:rPr>
                <w:rFonts w:hint="eastAsia" w:ascii="宋体" w:hAnsi="宋体" w:eastAsia="宋体" w:cs="宋体"/>
                <w:kern w:val="0"/>
                <w:sz w:val="21"/>
                <w:szCs w:val="21"/>
              </w:rPr>
            </w:pPr>
          </w:p>
        </w:tc>
        <w:tc>
          <w:tcPr>
            <w:tcW w:w="2039" w:type="pct"/>
            <w:vAlign w:val="center"/>
          </w:tcPr>
          <w:p w14:paraId="77B3F902">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5000 任务节点数</w:t>
            </w:r>
          </w:p>
        </w:tc>
        <w:tc>
          <w:tcPr>
            <w:tcW w:w="737" w:type="pct"/>
            <w:shd w:val="clear" w:color="auto" w:fill="FFFFFF"/>
            <w:vAlign w:val="center"/>
          </w:tcPr>
          <w:p w14:paraId="21699827">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5844.096</w:t>
            </w:r>
          </w:p>
        </w:tc>
      </w:tr>
      <w:tr w14:paraId="1B70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662B7CE4">
            <w:pPr>
              <w:widowControl/>
              <w:snapToGrid w:val="0"/>
              <w:jc w:val="center"/>
              <w:rPr>
                <w:rFonts w:hint="eastAsia" w:ascii="宋体" w:hAnsi="宋体" w:eastAsia="宋体" w:cs="宋体"/>
                <w:kern w:val="0"/>
                <w:sz w:val="21"/>
                <w:szCs w:val="21"/>
              </w:rPr>
            </w:pPr>
          </w:p>
        </w:tc>
        <w:tc>
          <w:tcPr>
            <w:tcW w:w="1310" w:type="pct"/>
            <w:vMerge w:val="continue"/>
          </w:tcPr>
          <w:p w14:paraId="0AA5864E">
            <w:pPr>
              <w:widowControl/>
              <w:snapToGrid w:val="0"/>
              <w:jc w:val="center"/>
              <w:rPr>
                <w:rFonts w:hint="eastAsia" w:ascii="宋体" w:hAnsi="宋体" w:eastAsia="宋体" w:cs="宋体"/>
                <w:kern w:val="0"/>
                <w:sz w:val="21"/>
                <w:szCs w:val="21"/>
              </w:rPr>
            </w:pPr>
          </w:p>
        </w:tc>
        <w:tc>
          <w:tcPr>
            <w:tcW w:w="2039" w:type="pct"/>
            <w:vAlign w:val="center"/>
          </w:tcPr>
          <w:p w14:paraId="78BBBEFB">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10000 任务节点数</w:t>
            </w:r>
          </w:p>
        </w:tc>
        <w:tc>
          <w:tcPr>
            <w:tcW w:w="737" w:type="pct"/>
            <w:shd w:val="clear" w:color="auto" w:fill="FFFFFF"/>
            <w:vAlign w:val="center"/>
          </w:tcPr>
          <w:p w14:paraId="03E471E4">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10519.373</w:t>
            </w:r>
          </w:p>
        </w:tc>
      </w:tr>
      <w:tr w14:paraId="5D37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2C631FCD">
            <w:pPr>
              <w:widowControl/>
              <w:snapToGrid w:val="0"/>
              <w:jc w:val="center"/>
              <w:rPr>
                <w:rFonts w:hint="eastAsia" w:ascii="宋体" w:hAnsi="宋体" w:eastAsia="宋体" w:cs="宋体"/>
                <w:kern w:val="0"/>
                <w:sz w:val="21"/>
                <w:szCs w:val="21"/>
              </w:rPr>
            </w:pPr>
          </w:p>
        </w:tc>
        <w:tc>
          <w:tcPr>
            <w:tcW w:w="1310" w:type="pct"/>
            <w:vMerge w:val="continue"/>
          </w:tcPr>
          <w:p w14:paraId="43CB0385">
            <w:pPr>
              <w:widowControl/>
              <w:snapToGrid w:val="0"/>
              <w:jc w:val="center"/>
              <w:rPr>
                <w:rFonts w:hint="eastAsia" w:ascii="宋体" w:hAnsi="宋体" w:eastAsia="宋体" w:cs="宋体"/>
                <w:kern w:val="0"/>
                <w:sz w:val="21"/>
                <w:szCs w:val="21"/>
              </w:rPr>
            </w:pPr>
          </w:p>
        </w:tc>
        <w:tc>
          <w:tcPr>
            <w:tcW w:w="2039" w:type="pct"/>
            <w:vAlign w:val="center"/>
          </w:tcPr>
          <w:p w14:paraId="7DA671A0">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20000 任务节点数</w:t>
            </w:r>
          </w:p>
        </w:tc>
        <w:tc>
          <w:tcPr>
            <w:tcW w:w="737" w:type="pct"/>
            <w:shd w:val="clear" w:color="auto" w:fill="FFFFFF"/>
            <w:vAlign w:val="center"/>
          </w:tcPr>
          <w:p w14:paraId="569B1BCF">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18701.107</w:t>
            </w:r>
          </w:p>
        </w:tc>
      </w:tr>
      <w:tr w14:paraId="293A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714BACF2">
            <w:pPr>
              <w:widowControl/>
              <w:snapToGrid w:val="0"/>
              <w:jc w:val="center"/>
              <w:rPr>
                <w:rFonts w:hint="eastAsia" w:ascii="宋体" w:hAnsi="宋体" w:eastAsia="宋体" w:cs="宋体"/>
                <w:kern w:val="0"/>
                <w:sz w:val="21"/>
                <w:szCs w:val="21"/>
              </w:rPr>
            </w:pPr>
          </w:p>
        </w:tc>
        <w:tc>
          <w:tcPr>
            <w:tcW w:w="1310" w:type="pct"/>
            <w:vMerge w:val="continue"/>
          </w:tcPr>
          <w:p w14:paraId="7CE2BCBC">
            <w:pPr>
              <w:widowControl/>
              <w:snapToGrid w:val="0"/>
              <w:jc w:val="center"/>
              <w:rPr>
                <w:rFonts w:hint="eastAsia" w:ascii="宋体" w:hAnsi="宋体" w:eastAsia="宋体" w:cs="宋体"/>
                <w:kern w:val="0"/>
                <w:sz w:val="21"/>
                <w:szCs w:val="21"/>
              </w:rPr>
            </w:pPr>
          </w:p>
        </w:tc>
        <w:tc>
          <w:tcPr>
            <w:tcW w:w="2039" w:type="pct"/>
            <w:vAlign w:val="center"/>
          </w:tcPr>
          <w:p w14:paraId="49A9FCA2">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50000 任务节点数</w:t>
            </w:r>
          </w:p>
        </w:tc>
        <w:tc>
          <w:tcPr>
            <w:tcW w:w="737" w:type="pct"/>
            <w:shd w:val="clear" w:color="auto" w:fill="FFFFFF"/>
            <w:vAlign w:val="center"/>
          </w:tcPr>
          <w:p w14:paraId="242F3540">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40908.672</w:t>
            </w:r>
          </w:p>
        </w:tc>
      </w:tr>
      <w:tr w14:paraId="72A0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912" w:type="pct"/>
            <w:vMerge w:val="continue"/>
          </w:tcPr>
          <w:p w14:paraId="7F420BDF">
            <w:pPr>
              <w:widowControl/>
              <w:snapToGrid w:val="0"/>
              <w:jc w:val="center"/>
              <w:rPr>
                <w:rFonts w:hint="eastAsia" w:ascii="宋体" w:hAnsi="宋体" w:eastAsia="宋体" w:cs="宋体"/>
                <w:kern w:val="0"/>
                <w:sz w:val="21"/>
                <w:szCs w:val="21"/>
              </w:rPr>
            </w:pPr>
          </w:p>
        </w:tc>
        <w:tc>
          <w:tcPr>
            <w:tcW w:w="1310" w:type="pct"/>
            <w:vMerge w:val="continue"/>
          </w:tcPr>
          <w:p w14:paraId="0B978962">
            <w:pPr>
              <w:widowControl/>
              <w:snapToGrid w:val="0"/>
              <w:jc w:val="center"/>
              <w:rPr>
                <w:rFonts w:hint="eastAsia" w:ascii="宋体" w:hAnsi="宋体" w:eastAsia="宋体" w:cs="宋体"/>
                <w:kern w:val="0"/>
                <w:sz w:val="21"/>
                <w:szCs w:val="21"/>
              </w:rPr>
            </w:pPr>
          </w:p>
        </w:tc>
        <w:tc>
          <w:tcPr>
            <w:tcW w:w="2039" w:type="pct"/>
            <w:vAlign w:val="center"/>
          </w:tcPr>
          <w:p w14:paraId="68C9B1C0">
            <w:pPr>
              <w:widowControl/>
              <w:snapToGrid w:val="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rPr>
              <w:t>120000 任务节点数</w:t>
            </w:r>
          </w:p>
        </w:tc>
        <w:tc>
          <w:tcPr>
            <w:tcW w:w="737" w:type="pct"/>
            <w:shd w:val="clear" w:color="auto" w:fill="FFFFFF"/>
            <w:vAlign w:val="center"/>
          </w:tcPr>
          <w:p w14:paraId="6ABEAD86">
            <w:pPr>
              <w:keepNext w:val="0"/>
              <w:keepLines w:val="0"/>
              <w:widowControl/>
              <w:suppressLineNumbers w:val="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87661.44</w:t>
            </w:r>
          </w:p>
        </w:tc>
      </w:tr>
    </w:tbl>
    <w:p w14:paraId="20B62751">
      <w:pPr>
        <w:rPr>
          <w:rFonts w:ascii="宋体" w:hAnsi="宋体" w:cs="宋体"/>
          <w:szCs w:val="21"/>
        </w:rPr>
      </w:pPr>
    </w:p>
    <w:p w14:paraId="467596E7">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6.2</w:t>
      </w:r>
      <w:r>
        <w:rPr>
          <w:rFonts w:hint="eastAsia" w:ascii="宋体" w:hAnsi="宋体" w:cs="宋体"/>
          <w:b/>
          <w:bCs/>
          <w:snapToGrid w:val="0"/>
          <w:kern w:val="0"/>
          <w:szCs w:val="21"/>
          <w:lang w:eastAsia="zh-Hans"/>
        </w:rPr>
        <w:t>信创云服务</w:t>
      </w:r>
    </w:p>
    <w:tbl>
      <w:tblPr>
        <w:tblStyle w:val="62"/>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94"/>
        <w:gridCol w:w="2042"/>
        <w:gridCol w:w="3605"/>
        <w:gridCol w:w="1267"/>
      </w:tblGrid>
      <w:tr w14:paraId="26CF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2C632AC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产品名称</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14:paraId="12219AE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计费规则</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7AC872A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规格（单位）</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3430070">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bidi="ar"/>
                <w14:textFill>
                  <w14:solidFill>
                    <w14:schemeClr w14:val="tx1"/>
                  </w14:solidFill>
                </w14:textFill>
              </w:rPr>
              <w:t>▲最高限价（元/月）</w:t>
            </w:r>
          </w:p>
        </w:tc>
      </w:tr>
      <w:tr w14:paraId="32BA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1075" w:type="pct"/>
            <w:vMerge w:val="restart"/>
            <w:tcBorders>
              <w:top w:val="single" w:color="auto" w:sz="4" w:space="0"/>
              <w:left w:val="single" w:color="auto" w:sz="4" w:space="0"/>
              <w:right w:val="single" w:color="auto" w:sz="4" w:space="0"/>
            </w:tcBorders>
            <w:shd w:val="clear" w:color="auto" w:fill="auto"/>
            <w:vAlign w:val="center"/>
          </w:tcPr>
          <w:p w14:paraId="53B18B2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云服务器</w:t>
            </w:r>
          </w:p>
        </w:tc>
        <w:tc>
          <w:tcPr>
            <w:tcW w:w="1159" w:type="pct"/>
            <w:vMerge w:val="restart"/>
            <w:tcBorders>
              <w:top w:val="single" w:color="auto" w:sz="4" w:space="0"/>
              <w:left w:val="single" w:color="auto" w:sz="4" w:space="0"/>
              <w:right w:val="single" w:color="auto" w:sz="4" w:space="0"/>
            </w:tcBorders>
            <w:shd w:val="clear" w:color="auto" w:fill="auto"/>
            <w:vAlign w:val="center"/>
          </w:tcPr>
          <w:p w14:paraId="642DB884">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根据规格及数量按月计费，由弹性伸缩增加的实例按天计费</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71262334">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2核4G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79A8E22">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61.975 </w:t>
            </w:r>
          </w:p>
        </w:tc>
      </w:tr>
      <w:tr w14:paraId="6EEB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jc w:val="center"/>
        </w:trPr>
        <w:tc>
          <w:tcPr>
            <w:tcW w:w="1075" w:type="pct"/>
            <w:vMerge w:val="continue"/>
            <w:tcBorders>
              <w:left w:val="single" w:color="auto" w:sz="4" w:space="0"/>
              <w:right w:val="single" w:color="auto" w:sz="4" w:space="0"/>
            </w:tcBorders>
            <w:shd w:val="clear" w:color="auto" w:fill="auto"/>
            <w:vAlign w:val="center"/>
          </w:tcPr>
          <w:p w14:paraId="67EB5A65">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391AF9E8">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9088E7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2核8G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E71BE57">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147.535 </w:t>
            </w:r>
          </w:p>
        </w:tc>
      </w:tr>
      <w:tr w14:paraId="1C48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 w:hRule="atLeast"/>
          <w:jc w:val="center"/>
        </w:trPr>
        <w:tc>
          <w:tcPr>
            <w:tcW w:w="1075" w:type="pct"/>
            <w:vMerge w:val="continue"/>
            <w:tcBorders>
              <w:left w:val="single" w:color="auto" w:sz="4" w:space="0"/>
              <w:right w:val="single" w:color="auto" w:sz="4" w:space="0"/>
            </w:tcBorders>
            <w:shd w:val="clear" w:color="auto" w:fill="auto"/>
            <w:vAlign w:val="center"/>
          </w:tcPr>
          <w:p w14:paraId="4574225A">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1BDC81D9">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0B52604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2核16G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CF73CAC">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189.951 </w:t>
            </w:r>
          </w:p>
        </w:tc>
      </w:tr>
      <w:tr w14:paraId="6D1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 w:hRule="atLeast"/>
          <w:jc w:val="center"/>
        </w:trPr>
        <w:tc>
          <w:tcPr>
            <w:tcW w:w="1075" w:type="pct"/>
            <w:vMerge w:val="continue"/>
            <w:tcBorders>
              <w:left w:val="single" w:color="auto" w:sz="4" w:space="0"/>
              <w:right w:val="single" w:color="auto" w:sz="4" w:space="0"/>
            </w:tcBorders>
            <w:shd w:val="clear" w:color="auto" w:fill="auto"/>
            <w:vAlign w:val="center"/>
          </w:tcPr>
          <w:p w14:paraId="1992ED60">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7EE05DBF">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28C7342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4核4G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28E24D5">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108.129 </w:t>
            </w:r>
          </w:p>
        </w:tc>
      </w:tr>
      <w:tr w14:paraId="45C0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7DD0F6A2">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7E1EE70">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4B34D13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4核8G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F76CE15">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150.693 </w:t>
            </w:r>
          </w:p>
        </w:tc>
      </w:tr>
      <w:tr w14:paraId="619A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1075" w:type="pct"/>
            <w:vMerge w:val="continue"/>
            <w:tcBorders>
              <w:left w:val="single" w:color="auto" w:sz="4" w:space="0"/>
              <w:right w:val="single" w:color="auto" w:sz="4" w:space="0"/>
            </w:tcBorders>
            <w:shd w:val="clear" w:color="auto" w:fill="auto"/>
            <w:vAlign w:val="center"/>
          </w:tcPr>
          <w:p w14:paraId="671ADBE1">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13E8D8C3">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69A9046E">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4核16G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09CBBBE">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232.52 </w:t>
            </w:r>
          </w:p>
        </w:tc>
      </w:tr>
      <w:tr w14:paraId="6487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 w:hRule="atLeast"/>
          <w:jc w:val="center"/>
        </w:trPr>
        <w:tc>
          <w:tcPr>
            <w:tcW w:w="1075" w:type="pct"/>
            <w:vMerge w:val="continue"/>
            <w:tcBorders>
              <w:left w:val="single" w:color="auto" w:sz="4" w:space="0"/>
              <w:right w:val="single" w:color="auto" w:sz="4" w:space="0"/>
            </w:tcBorders>
            <w:shd w:val="clear" w:color="auto" w:fill="auto"/>
            <w:vAlign w:val="center"/>
          </w:tcPr>
          <w:p w14:paraId="2CE36C2D">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61989E7E">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14094ED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4核32G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6CE5E1A">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430.307 </w:t>
            </w:r>
          </w:p>
        </w:tc>
      </w:tr>
      <w:tr w14:paraId="50A6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 w:hRule="atLeast"/>
          <w:jc w:val="center"/>
        </w:trPr>
        <w:tc>
          <w:tcPr>
            <w:tcW w:w="1075" w:type="pct"/>
            <w:vMerge w:val="continue"/>
            <w:tcBorders>
              <w:left w:val="single" w:color="auto" w:sz="4" w:space="0"/>
              <w:right w:val="single" w:color="auto" w:sz="4" w:space="0"/>
            </w:tcBorders>
            <w:shd w:val="clear" w:color="auto" w:fill="auto"/>
            <w:vAlign w:val="center"/>
          </w:tcPr>
          <w:p w14:paraId="10170099">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5014C311">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0EAA64AE">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8核8G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63D1D50">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230.674 </w:t>
            </w:r>
          </w:p>
        </w:tc>
      </w:tr>
      <w:tr w14:paraId="73B3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1075" w:type="pct"/>
            <w:vMerge w:val="continue"/>
            <w:tcBorders>
              <w:left w:val="single" w:color="auto" w:sz="4" w:space="0"/>
              <w:right w:val="single" w:color="auto" w:sz="4" w:space="0"/>
            </w:tcBorders>
            <w:shd w:val="clear" w:color="auto" w:fill="auto"/>
            <w:vAlign w:val="center"/>
          </w:tcPr>
          <w:p w14:paraId="5F5D5E4E">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B047BE6">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799E99A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8核16G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C396D5D">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301.437 </w:t>
            </w:r>
          </w:p>
        </w:tc>
      </w:tr>
      <w:tr w14:paraId="742F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 w:hRule="atLeast"/>
          <w:jc w:val="center"/>
        </w:trPr>
        <w:tc>
          <w:tcPr>
            <w:tcW w:w="1075" w:type="pct"/>
            <w:vMerge w:val="continue"/>
            <w:tcBorders>
              <w:left w:val="single" w:color="auto" w:sz="4" w:space="0"/>
              <w:right w:val="single" w:color="auto" w:sz="4" w:space="0"/>
            </w:tcBorders>
            <w:shd w:val="clear" w:color="auto" w:fill="auto"/>
            <w:vAlign w:val="center"/>
          </w:tcPr>
          <w:p w14:paraId="47ABD74A">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1D777CBC">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1B953F8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8核32G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630B536">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465.046 </w:t>
            </w:r>
          </w:p>
        </w:tc>
      </w:tr>
      <w:tr w14:paraId="1378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 w:hRule="atLeast"/>
          <w:jc w:val="center"/>
        </w:trPr>
        <w:tc>
          <w:tcPr>
            <w:tcW w:w="1075" w:type="pct"/>
            <w:vMerge w:val="continue"/>
            <w:tcBorders>
              <w:left w:val="single" w:color="auto" w:sz="4" w:space="0"/>
              <w:right w:val="single" w:color="auto" w:sz="4" w:space="0"/>
            </w:tcBorders>
            <w:shd w:val="clear" w:color="auto" w:fill="auto"/>
            <w:vAlign w:val="center"/>
          </w:tcPr>
          <w:p w14:paraId="37C3EF1C">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71E0854">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215EDCA8">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8核64G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74963CD">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860.616 </w:t>
            </w:r>
          </w:p>
        </w:tc>
      </w:tr>
      <w:tr w14:paraId="5595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 w:hRule="atLeast"/>
          <w:jc w:val="center"/>
        </w:trPr>
        <w:tc>
          <w:tcPr>
            <w:tcW w:w="1075" w:type="pct"/>
            <w:vMerge w:val="continue"/>
            <w:tcBorders>
              <w:left w:val="single" w:color="auto" w:sz="4" w:space="0"/>
              <w:right w:val="single" w:color="auto" w:sz="4" w:space="0"/>
            </w:tcBorders>
            <w:shd w:val="clear" w:color="auto" w:fill="auto"/>
            <w:vAlign w:val="center"/>
          </w:tcPr>
          <w:p w14:paraId="1A61C16A">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57D4ED6E">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7EB5F34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12核24G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458C1019">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505.65 </w:t>
            </w:r>
          </w:p>
        </w:tc>
      </w:tr>
      <w:tr w14:paraId="7C29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7DF063E8">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74475C40">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4059C2CF">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12核48G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279DB826">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795.625 </w:t>
            </w:r>
          </w:p>
        </w:tc>
      </w:tr>
      <w:tr w14:paraId="2B90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1075" w:type="pct"/>
            <w:vMerge w:val="continue"/>
            <w:tcBorders>
              <w:left w:val="single" w:color="auto" w:sz="4" w:space="0"/>
              <w:right w:val="single" w:color="auto" w:sz="4" w:space="0"/>
            </w:tcBorders>
            <w:shd w:val="clear" w:color="auto" w:fill="auto"/>
            <w:vAlign w:val="center"/>
          </w:tcPr>
          <w:p w14:paraId="55D2B812">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3D00907D">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5A3F4B8B">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12核96G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522EF8F1">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1375.582 </w:t>
            </w:r>
          </w:p>
        </w:tc>
      </w:tr>
      <w:tr w14:paraId="4BBC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jc w:val="center"/>
        </w:trPr>
        <w:tc>
          <w:tcPr>
            <w:tcW w:w="1075" w:type="pct"/>
            <w:vMerge w:val="continue"/>
            <w:tcBorders>
              <w:left w:val="single" w:color="auto" w:sz="4" w:space="0"/>
              <w:right w:val="single" w:color="auto" w:sz="4" w:space="0"/>
            </w:tcBorders>
            <w:shd w:val="clear" w:color="auto" w:fill="auto"/>
            <w:vAlign w:val="center"/>
          </w:tcPr>
          <w:p w14:paraId="64950C5A">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624DC12">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19374CF">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16核16G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7B25EA2C">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684.815 </w:t>
            </w:r>
          </w:p>
        </w:tc>
      </w:tr>
      <w:tr w14:paraId="1F92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75" w:type="pct"/>
            <w:vMerge w:val="continue"/>
            <w:tcBorders>
              <w:left w:val="single" w:color="auto" w:sz="4" w:space="0"/>
              <w:right w:val="single" w:color="auto" w:sz="4" w:space="0"/>
            </w:tcBorders>
            <w:shd w:val="clear" w:color="auto" w:fill="auto"/>
            <w:vAlign w:val="center"/>
          </w:tcPr>
          <w:p w14:paraId="1CA55150">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535E80A1">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069474E7">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16核32G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5878D1D">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852.747 </w:t>
            </w:r>
          </w:p>
        </w:tc>
      </w:tr>
      <w:tr w14:paraId="752F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2481532C">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445C434C">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74178C3">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16核64G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F98DFA5">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1295.842 </w:t>
            </w:r>
          </w:p>
        </w:tc>
      </w:tr>
      <w:tr w14:paraId="6666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5404FC81">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4E42DD4D">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A1DD490">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16核128G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F0A8314">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1709.556 </w:t>
            </w:r>
          </w:p>
        </w:tc>
      </w:tr>
      <w:tr w14:paraId="3C7F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 w:hRule="atLeast"/>
          <w:jc w:val="center"/>
        </w:trPr>
        <w:tc>
          <w:tcPr>
            <w:tcW w:w="1075" w:type="pct"/>
            <w:vMerge w:val="continue"/>
            <w:tcBorders>
              <w:left w:val="single" w:color="auto" w:sz="4" w:space="0"/>
              <w:right w:val="single" w:color="auto" w:sz="4" w:space="0"/>
            </w:tcBorders>
            <w:shd w:val="clear" w:color="auto" w:fill="auto"/>
            <w:vAlign w:val="center"/>
          </w:tcPr>
          <w:p w14:paraId="66E201B0">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735C1769">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4AA12A37">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24核48G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4992EF9A">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1011.297 </w:t>
            </w:r>
          </w:p>
        </w:tc>
      </w:tr>
      <w:tr w14:paraId="1C02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jc w:val="center"/>
        </w:trPr>
        <w:tc>
          <w:tcPr>
            <w:tcW w:w="1075" w:type="pct"/>
            <w:vMerge w:val="continue"/>
            <w:tcBorders>
              <w:left w:val="single" w:color="auto" w:sz="4" w:space="0"/>
              <w:right w:val="single" w:color="auto" w:sz="4" w:space="0"/>
            </w:tcBorders>
            <w:shd w:val="clear" w:color="auto" w:fill="auto"/>
            <w:vAlign w:val="center"/>
          </w:tcPr>
          <w:p w14:paraId="2AF01C9C">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1CD28A9B">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5174AF52">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24核96G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67539661">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1591.254 </w:t>
            </w:r>
          </w:p>
        </w:tc>
      </w:tr>
      <w:tr w14:paraId="1A8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307D27C3">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F5BCDA3">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747CDA1B">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32核64G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6BA36E62">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1705.495 </w:t>
            </w:r>
          </w:p>
        </w:tc>
      </w:tr>
      <w:tr w14:paraId="7BD1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 w:hRule="atLeast"/>
          <w:jc w:val="center"/>
        </w:trPr>
        <w:tc>
          <w:tcPr>
            <w:tcW w:w="1075" w:type="pct"/>
            <w:vMerge w:val="continue"/>
            <w:tcBorders>
              <w:left w:val="single" w:color="auto" w:sz="4" w:space="0"/>
              <w:right w:val="single" w:color="auto" w:sz="4" w:space="0"/>
            </w:tcBorders>
            <w:shd w:val="clear" w:color="auto" w:fill="auto"/>
            <w:vAlign w:val="center"/>
          </w:tcPr>
          <w:p w14:paraId="42488474">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018AF3B">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1DF70A55">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32核128G</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2D29CCD">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2591.684 </w:t>
            </w:r>
          </w:p>
        </w:tc>
      </w:tr>
      <w:tr w14:paraId="6A02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33C1DEDC">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0AE79A95">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5E7D0C99">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32核256G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5F744ACF">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3668.221 </w:t>
            </w:r>
          </w:p>
        </w:tc>
      </w:tr>
      <w:tr w14:paraId="043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1075" w:type="pct"/>
            <w:vMerge w:val="continue"/>
            <w:tcBorders>
              <w:left w:val="single" w:color="auto" w:sz="4" w:space="0"/>
              <w:right w:val="single" w:color="auto" w:sz="4" w:space="0"/>
            </w:tcBorders>
            <w:shd w:val="clear" w:color="auto" w:fill="auto"/>
            <w:vAlign w:val="center"/>
          </w:tcPr>
          <w:p w14:paraId="4D861391">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28D7ACE4">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6EE01433">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64核64G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2A9EBFA6">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1923.521 </w:t>
            </w:r>
          </w:p>
        </w:tc>
      </w:tr>
      <w:tr w14:paraId="09D9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 w:hRule="atLeast"/>
          <w:jc w:val="center"/>
        </w:trPr>
        <w:tc>
          <w:tcPr>
            <w:tcW w:w="1075" w:type="pct"/>
            <w:vMerge w:val="continue"/>
            <w:tcBorders>
              <w:left w:val="single" w:color="auto" w:sz="4" w:space="0"/>
              <w:right w:val="single" w:color="auto" w:sz="4" w:space="0"/>
            </w:tcBorders>
            <w:shd w:val="clear" w:color="auto" w:fill="auto"/>
            <w:vAlign w:val="center"/>
          </w:tcPr>
          <w:p w14:paraId="36D2E536">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1AF54007">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85D305E">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64核128G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37F432BB">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2696.796 </w:t>
            </w:r>
          </w:p>
        </w:tc>
      </w:tr>
      <w:tr w14:paraId="68B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jc w:val="center"/>
        </w:trPr>
        <w:tc>
          <w:tcPr>
            <w:tcW w:w="1075" w:type="pct"/>
            <w:vMerge w:val="continue"/>
            <w:tcBorders>
              <w:left w:val="single" w:color="auto" w:sz="4" w:space="0"/>
              <w:bottom w:val="single" w:color="auto" w:sz="4" w:space="0"/>
              <w:right w:val="single" w:color="auto" w:sz="4" w:space="0"/>
            </w:tcBorders>
            <w:shd w:val="clear" w:color="auto" w:fill="auto"/>
            <w:vAlign w:val="center"/>
          </w:tcPr>
          <w:p w14:paraId="1B3901D9">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bottom w:val="single" w:color="auto" w:sz="4" w:space="0"/>
              <w:right w:val="single" w:color="auto" w:sz="4" w:space="0"/>
            </w:tcBorders>
            <w:shd w:val="clear" w:color="auto" w:fill="auto"/>
            <w:vAlign w:val="center"/>
          </w:tcPr>
          <w:p w14:paraId="1388CCB7">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0DCF94C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64核256G</w:t>
            </w:r>
          </w:p>
        </w:tc>
        <w:tc>
          <w:tcPr>
            <w:tcW w:w="719" w:type="pct"/>
            <w:tcBorders>
              <w:top w:val="single" w:color="auto" w:sz="4" w:space="0"/>
              <w:left w:val="single" w:color="auto" w:sz="4" w:space="0"/>
              <w:bottom w:val="single" w:color="auto" w:sz="4" w:space="0"/>
              <w:right w:val="single" w:color="auto" w:sz="4" w:space="0"/>
            </w:tcBorders>
            <w:shd w:val="clear" w:color="auto" w:fill="FFFFFF"/>
            <w:vAlign w:val="center"/>
          </w:tcPr>
          <w:p w14:paraId="4AEC03CA">
            <w:pPr>
              <w:keepNext w:val="0"/>
              <w:keepLines w:val="0"/>
              <w:widowControl/>
              <w:suppressLineNumbers w:val="0"/>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 xml:space="preserve">4243.342 </w:t>
            </w:r>
          </w:p>
        </w:tc>
      </w:tr>
      <w:tr w14:paraId="132B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7349E0A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块存储-高效云盘</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14:paraId="6231A812">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根据存储容量按月计费</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29E32D98">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GB</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77D440B">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kern w:val="0"/>
                <w:sz w:val="21"/>
                <w:szCs w:val="21"/>
                <w:u w:val="none"/>
                <w:lang w:val="en-US" w:eastAsia="zh-CN" w:bidi="ar"/>
              </w:rPr>
              <w:t>0.216</w:t>
            </w:r>
          </w:p>
        </w:tc>
      </w:tr>
      <w:tr w14:paraId="57E3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9"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78161371">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对象存储</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14:paraId="14FCC0A4">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根据开通的存储容量按月计费</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4993CDC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GB</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B956905">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kern w:val="0"/>
                <w:sz w:val="21"/>
                <w:szCs w:val="21"/>
                <w:u w:val="none"/>
                <w:lang w:val="en-US" w:eastAsia="zh-CN" w:bidi="ar"/>
              </w:rPr>
              <w:t>0.05</w:t>
            </w:r>
          </w:p>
        </w:tc>
      </w:tr>
      <w:tr w14:paraId="07EE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1075" w:type="pct"/>
            <w:vMerge w:val="restart"/>
            <w:tcBorders>
              <w:top w:val="single" w:color="auto" w:sz="4" w:space="0"/>
              <w:left w:val="single" w:color="auto" w:sz="4" w:space="0"/>
              <w:right w:val="single" w:color="auto" w:sz="4" w:space="0"/>
            </w:tcBorders>
            <w:shd w:val="clear" w:color="auto" w:fill="auto"/>
            <w:vAlign w:val="center"/>
          </w:tcPr>
          <w:p w14:paraId="2A95A27C">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NAT 网关</w:t>
            </w:r>
          </w:p>
        </w:tc>
        <w:tc>
          <w:tcPr>
            <w:tcW w:w="1159" w:type="pct"/>
            <w:vMerge w:val="restart"/>
            <w:tcBorders>
              <w:top w:val="single" w:color="auto" w:sz="4" w:space="0"/>
              <w:left w:val="single" w:color="auto" w:sz="4" w:space="0"/>
              <w:right w:val="single" w:color="auto" w:sz="4" w:space="0"/>
            </w:tcBorders>
            <w:shd w:val="clear" w:color="auto" w:fill="auto"/>
            <w:vAlign w:val="center"/>
          </w:tcPr>
          <w:p w14:paraId="226A6367">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根据实例类型数量+公网 IP数计费</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448E9BF5">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标准型</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29D2B05C">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kern w:val="0"/>
                <w:sz w:val="21"/>
                <w:szCs w:val="21"/>
                <w:u w:val="none"/>
                <w:lang w:val="en-US" w:eastAsia="zh-CN" w:bidi="ar"/>
              </w:rPr>
              <w:t xml:space="preserve">22.667 </w:t>
            </w:r>
          </w:p>
        </w:tc>
      </w:tr>
      <w:tr w14:paraId="5C7B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1075" w:type="pct"/>
            <w:vMerge w:val="continue"/>
            <w:tcBorders>
              <w:left w:val="single" w:color="auto" w:sz="4" w:space="0"/>
              <w:bottom w:val="single" w:color="auto" w:sz="4" w:space="0"/>
              <w:right w:val="single" w:color="auto" w:sz="4" w:space="0"/>
            </w:tcBorders>
            <w:shd w:val="clear" w:color="auto" w:fill="auto"/>
            <w:vAlign w:val="center"/>
          </w:tcPr>
          <w:p w14:paraId="4F8C5453">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bottom w:val="single" w:color="auto" w:sz="4" w:space="0"/>
              <w:right w:val="single" w:color="auto" w:sz="4" w:space="0"/>
            </w:tcBorders>
            <w:shd w:val="clear" w:color="auto" w:fill="auto"/>
            <w:vAlign w:val="center"/>
          </w:tcPr>
          <w:p w14:paraId="59BA2176">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7654AB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公网IP数：个</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689F0DDA">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kern w:val="0"/>
                <w:sz w:val="21"/>
                <w:szCs w:val="21"/>
                <w:u w:val="none"/>
                <w:lang w:val="en-US" w:eastAsia="zh-CN" w:bidi="ar"/>
              </w:rPr>
              <w:t xml:space="preserve">8.855 </w:t>
            </w:r>
          </w:p>
        </w:tc>
      </w:tr>
      <w:tr w14:paraId="57A0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44EDE3F8">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高速通道</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14:paraId="326950B8">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根据跨专有网络网络互通策略数量，按月计费</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5A0E7E83">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每策略</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AAA5A1E">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u w:val="none"/>
                <w:lang w:bidi="ar"/>
              </w:rPr>
              <w:t>150.48</w:t>
            </w:r>
          </w:p>
        </w:tc>
      </w:tr>
      <w:tr w14:paraId="4330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8" w:hRule="atLeast"/>
          <w:jc w:val="center"/>
        </w:trPr>
        <w:tc>
          <w:tcPr>
            <w:tcW w:w="1075" w:type="pct"/>
            <w:vMerge w:val="restart"/>
            <w:tcBorders>
              <w:top w:val="single" w:color="auto" w:sz="4" w:space="0"/>
              <w:left w:val="single" w:color="auto" w:sz="4" w:space="0"/>
              <w:right w:val="single" w:color="auto" w:sz="4" w:space="0"/>
            </w:tcBorders>
            <w:shd w:val="clear" w:color="auto" w:fill="auto"/>
            <w:vAlign w:val="center"/>
          </w:tcPr>
          <w:p w14:paraId="52DB512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负载均衡</w:t>
            </w:r>
          </w:p>
        </w:tc>
        <w:tc>
          <w:tcPr>
            <w:tcW w:w="1159" w:type="pct"/>
            <w:vMerge w:val="restart"/>
            <w:tcBorders>
              <w:top w:val="single" w:color="auto" w:sz="4" w:space="0"/>
              <w:left w:val="single" w:color="auto" w:sz="4" w:space="0"/>
              <w:right w:val="single" w:color="auto" w:sz="4" w:space="0"/>
            </w:tcBorders>
            <w:shd w:val="clear" w:color="auto" w:fill="auto"/>
            <w:vAlign w:val="center"/>
          </w:tcPr>
          <w:p w14:paraId="468B78D2">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根据实例个数+规格按月计费</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EA3A89B">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每实例</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113F3F6">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kern w:val="0"/>
                <w:sz w:val="21"/>
                <w:szCs w:val="21"/>
                <w:u w:val="none"/>
                <w:lang w:val="en-US" w:eastAsia="zh-CN" w:bidi="ar"/>
              </w:rPr>
              <w:t xml:space="preserve">7.081 </w:t>
            </w:r>
          </w:p>
        </w:tc>
      </w:tr>
      <w:tr w14:paraId="13F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1075" w:type="pct"/>
            <w:vMerge w:val="continue"/>
            <w:tcBorders>
              <w:left w:val="single" w:color="auto" w:sz="4" w:space="0"/>
              <w:bottom w:val="single" w:color="auto" w:sz="4" w:space="0"/>
              <w:right w:val="single" w:color="auto" w:sz="4" w:space="0"/>
            </w:tcBorders>
            <w:shd w:val="clear" w:color="auto" w:fill="auto"/>
            <w:vAlign w:val="center"/>
          </w:tcPr>
          <w:p w14:paraId="7FE46B92">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bottom w:val="single" w:color="auto" w:sz="4" w:space="0"/>
              <w:right w:val="single" w:color="auto" w:sz="4" w:space="0"/>
            </w:tcBorders>
            <w:shd w:val="clear" w:color="auto" w:fill="auto"/>
            <w:vAlign w:val="center"/>
          </w:tcPr>
          <w:p w14:paraId="4A305379">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046FD5B2">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性能共享型</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3AEC13AF">
            <w:pPr>
              <w:keepNext w:val="0"/>
              <w:keepLines w:val="0"/>
              <w:widowControl/>
              <w:suppressLineNumbers w:val="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i w:val="0"/>
                <w:iCs w:val="0"/>
                <w:kern w:val="0"/>
                <w:sz w:val="21"/>
                <w:szCs w:val="21"/>
                <w:u w:val="none"/>
                <w:lang w:val="en-US" w:eastAsia="zh-CN" w:bidi="ar"/>
              </w:rPr>
              <w:t xml:space="preserve">104.391 </w:t>
            </w:r>
          </w:p>
        </w:tc>
      </w:tr>
      <w:tr w14:paraId="6CBC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jc w:val="center"/>
        </w:trPr>
        <w:tc>
          <w:tcPr>
            <w:tcW w:w="1075" w:type="pct"/>
            <w:vMerge w:val="restart"/>
            <w:tcBorders>
              <w:top w:val="single" w:color="auto" w:sz="4" w:space="0"/>
              <w:left w:val="single" w:color="auto" w:sz="4" w:space="0"/>
              <w:right w:val="single" w:color="auto" w:sz="4" w:space="0"/>
            </w:tcBorders>
            <w:shd w:val="clear" w:color="auto" w:fill="auto"/>
            <w:vAlign w:val="center"/>
          </w:tcPr>
          <w:p w14:paraId="60EA8AFB">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信创云平台软件</w:t>
            </w:r>
          </w:p>
        </w:tc>
        <w:tc>
          <w:tcPr>
            <w:tcW w:w="1159" w:type="pct"/>
            <w:vMerge w:val="restart"/>
            <w:tcBorders>
              <w:top w:val="single" w:color="auto" w:sz="4" w:space="0"/>
              <w:left w:val="single" w:color="auto" w:sz="4" w:space="0"/>
              <w:right w:val="single" w:color="auto" w:sz="4" w:space="0"/>
            </w:tcBorders>
            <w:shd w:val="clear" w:color="auto" w:fill="auto"/>
            <w:vAlign w:val="center"/>
          </w:tcPr>
          <w:p w14:paraId="4A48869D">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提供信创云平台应用软件</w:t>
            </w: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5EA39F46">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数据库：按套/月</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D56CD6E">
            <w:pPr>
              <w:keepNext w:val="0"/>
              <w:keepLines w:val="0"/>
              <w:widowControl/>
              <w:suppressLineNumbers w:val="0"/>
              <w:jc w:val="center"/>
              <w:textAlignment w:val="center"/>
              <w:rPr>
                <w:rFonts w:hint="eastAsia" w:ascii="宋体" w:hAnsi="宋体" w:eastAsia="宋体" w:cs="宋体"/>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1383.059</w:t>
            </w:r>
          </w:p>
        </w:tc>
      </w:tr>
      <w:tr w14:paraId="0DF5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075" w:type="pct"/>
            <w:vMerge w:val="continue"/>
            <w:tcBorders>
              <w:left w:val="single" w:color="auto" w:sz="4" w:space="0"/>
              <w:right w:val="single" w:color="auto" w:sz="4" w:space="0"/>
            </w:tcBorders>
            <w:shd w:val="clear" w:color="auto" w:fill="auto"/>
            <w:vAlign w:val="center"/>
          </w:tcPr>
          <w:p w14:paraId="48860FE3">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right w:val="single" w:color="auto" w:sz="4" w:space="0"/>
            </w:tcBorders>
            <w:shd w:val="clear" w:color="auto" w:fill="auto"/>
            <w:vAlign w:val="center"/>
          </w:tcPr>
          <w:p w14:paraId="79020772">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368CEF4A">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操作系统：按套/月</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888CD09">
            <w:pPr>
              <w:keepNext w:val="0"/>
              <w:keepLines w:val="0"/>
              <w:widowControl/>
              <w:suppressLineNumbers w:val="0"/>
              <w:jc w:val="center"/>
              <w:textAlignment w:val="center"/>
              <w:rPr>
                <w:rFonts w:hint="eastAsia" w:ascii="宋体" w:hAnsi="宋体" w:eastAsia="宋体" w:cs="宋体"/>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37.668</w:t>
            </w:r>
          </w:p>
        </w:tc>
      </w:tr>
      <w:tr w14:paraId="53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1075" w:type="pct"/>
            <w:vMerge w:val="continue"/>
            <w:tcBorders>
              <w:left w:val="single" w:color="auto" w:sz="4" w:space="0"/>
              <w:bottom w:val="single" w:color="auto" w:sz="4" w:space="0"/>
              <w:right w:val="single" w:color="auto" w:sz="4" w:space="0"/>
            </w:tcBorders>
            <w:shd w:val="clear" w:color="auto" w:fill="auto"/>
            <w:vAlign w:val="center"/>
          </w:tcPr>
          <w:p w14:paraId="458E3040">
            <w:pPr>
              <w:widowControl/>
              <w:jc w:val="center"/>
              <w:textAlignment w:val="center"/>
              <w:rPr>
                <w:rFonts w:hint="eastAsia" w:ascii="宋体" w:hAnsi="宋体" w:eastAsia="宋体" w:cs="宋体"/>
                <w:kern w:val="0"/>
                <w:sz w:val="21"/>
                <w:szCs w:val="21"/>
                <w:lang w:bidi="ar"/>
              </w:rPr>
            </w:pPr>
          </w:p>
        </w:tc>
        <w:tc>
          <w:tcPr>
            <w:tcW w:w="1159" w:type="pct"/>
            <w:vMerge w:val="continue"/>
            <w:tcBorders>
              <w:left w:val="single" w:color="auto" w:sz="4" w:space="0"/>
              <w:bottom w:val="single" w:color="auto" w:sz="4" w:space="0"/>
              <w:right w:val="single" w:color="auto" w:sz="4" w:space="0"/>
            </w:tcBorders>
            <w:shd w:val="clear" w:color="auto" w:fill="auto"/>
            <w:vAlign w:val="center"/>
          </w:tcPr>
          <w:p w14:paraId="61FEA7B1">
            <w:pPr>
              <w:widowControl/>
              <w:jc w:val="center"/>
              <w:textAlignment w:val="center"/>
              <w:rPr>
                <w:rFonts w:hint="eastAsia" w:ascii="宋体" w:hAnsi="宋体" w:eastAsia="宋体" w:cs="宋体"/>
                <w:kern w:val="0"/>
                <w:sz w:val="21"/>
                <w:szCs w:val="21"/>
                <w:lang w:bidi="ar"/>
              </w:rPr>
            </w:pPr>
          </w:p>
        </w:tc>
        <w:tc>
          <w:tcPr>
            <w:tcW w:w="2046" w:type="pct"/>
            <w:tcBorders>
              <w:top w:val="single" w:color="auto" w:sz="4" w:space="0"/>
              <w:left w:val="single" w:color="auto" w:sz="4" w:space="0"/>
              <w:bottom w:val="single" w:color="auto" w:sz="4" w:space="0"/>
              <w:right w:val="single" w:color="auto" w:sz="4" w:space="0"/>
            </w:tcBorders>
            <w:shd w:val="clear" w:color="auto" w:fill="auto"/>
            <w:vAlign w:val="center"/>
          </w:tcPr>
          <w:p w14:paraId="11B5512F">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应用中间件：按套/月</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D6374F1">
            <w:pPr>
              <w:keepNext w:val="0"/>
              <w:keepLines w:val="0"/>
              <w:widowControl/>
              <w:suppressLineNumbers w:val="0"/>
              <w:jc w:val="center"/>
              <w:textAlignment w:val="center"/>
              <w:rPr>
                <w:rFonts w:hint="eastAsia" w:ascii="宋体" w:hAnsi="宋体" w:eastAsia="宋体" w:cs="宋体"/>
                <w:kern w:val="0"/>
                <w:sz w:val="21"/>
                <w:szCs w:val="21"/>
                <w:u w:val="none"/>
                <w:lang w:val="en-US" w:eastAsia="zh-CN" w:bidi="ar"/>
              </w:rPr>
            </w:pPr>
            <w:r>
              <w:rPr>
                <w:rFonts w:hint="eastAsia" w:ascii="宋体" w:hAnsi="宋体" w:eastAsia="宋体" w:cs="宋体"/>
                <w:i w:val="0"/>
                <w:iCs w:val="0"/>
                <w:kern w:val="0"/>
                <w:sz w:val="21"/>
                <w:szCs w:val="21"/>
                <w:u w:val="none"/>
                <w:lang w:val="en-US" w:eastAsia="zh-CN" w:bidi="ar"/>
              </w:rPr>
              <w:t>576.041</w:t>
            </w:r>
          </w:p>
        </w:tc>
      </w:tr>
    </w:tbl>
    <w:p w14:paraId="60F5810D">
      <w:pPr>
        <w:snapToGrid w:val="0"/>
        <w:spacing w:line="360" w:lineRule="auto"/>
        <w:ind w:firstLine="422" w:firstLineChars="200"/>
        <w:jc w:val="left"/>
        <w:outlineLvl w:val="2"/>
        <w:rPr>
          <w:rFonts w:ascii="宋体" w:hAnsi="宋体" w:cs="宋体"/>
          <w:b/>
          <w:bCs/>
          <w:snapToGrid w:val="0"/>
          <w:kern w:val="0"/>
          <w:szCs w:val="21"/>
          <w:lang w:eastAsia="zh-Hans"/>
        </w:rPr>
      </w:pPr>
      <w:r>
        <w:rPr>
          <w:rFonts w:hint="eastAsia" w:ascii="宋体" w:hAnsi="宋体" w:cs="宋体"/>
          <w:b/>
          <w:bCs/>
          <w:snapToGrid w:val="0"/>
          <w:kern w:val="0"/>
          <w:szCs w:val="21"/>
        </w:rPr>
        <w:t>6.3</w:t>
      </w:r>
      <w:r>
        <w:rPr>
          <w:rFonts w:hint="eastAsia" w:ascii="宋体" w:hAnsi="宋体" w:cs="宋体"/>
          <w:b/>
          <w:bCs/>
          <w:snapToGrid w:val="0"/>
          <w:kern w:val="0"/>
          <w:szCs w:val="21"/>
          <w:lang w:eastAsia="zh-Hans"/>
        </w:rPr>
        <w:t>安全及运维服务</w:t>
      </w:r>
    </w:p>
    <w:tbl>
      <w:tblPr>
        <w:tblStyle w:val="62"/>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3154"/>
        <w:gridCol w:w="3598"/>
        <w:gridCol w:w="1281"/>
      </w:tblGrid>
      <w:tr w14:paraId="4C90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96" w:type="pct"/>
            <w:shd w:val="clear" w:color="auto" w:fill="auto"/>
            <w:vAlign w:val="center"/>
          </w:tcPr>
          <w:p w14:paraId="60B6F3E2">
            <w:pPr>
              <w:widowControl/>
              <w:snapToGrid w:val="0"/>
              <w:jc w:val="center"/>
              <w:rPr>
                <w:rFonts w:ascii="宋体" w:hAnsi="宋体" w:cs="宋体"/>
                <w:b/>
                <w:kern w:val="0"/>
                <w:szCs w:val="21"/>
              </w:rPr>
            </w:pPr>
            <w:r>
              <w:rPr>
                <w:rFonts w:hint="eastAsia" w:ascii="宋体" w:hAnsi="宋体" w:cs="宋体"/>
                <w:b/>
                <w:kern w:val="0"/>
                <w:szCs w:val="21"/>
              </w:rPr>
              <w:t>服务名称</w:t>
            </w:r>
          </w:p>
        </w:tc>
        <w:tc>
          <w:tcPr>
            <w:tcW w:w="1768" w:type="pct"/>
            <w:shd w:val="clear" w:color="auto" w:fill="auto"/>
            <w:vAlign w:val="center"/>
          </w:tcPr>
          <w:p w14:paraId="66824470">
            <w:pPr>
              <w:widowControl/>
              <w:snapToGrid w:val="0"/>
              <w:jc w:val="center"/>
              <w:rPr>
                <w:rFonts w:ascii="宋体" w:hAnsi="宋体" w:cs="宋体"/>
                <w:b/>
                <w:kern w:val="0"/>
                <w:szCs w:val="21"/>
              </w:rPr>
            </w:pPr>
            <w:r>
              <w:rPr>
                <w:rFonts w:hint="eastAsia" w:ascii="宋体" w:hAnsi="宋体" w:cs="宋体"/>
                <w:b/>
                <w:kern w:val="0"/>
                <w:szCs w:val="21"/>
              </w:rPr>
              <w:t>服务子类</w:t>
            </w:r>
          </w:p>
        </w:tc>
        <w:tc>
          <w:tcPr>
            <w:tcW w:w="2017" w:type="pct"/>
            <w:shd w:val="clear" w:color="auto" w:fill="auto"/>
            <w:vAlign w:val="center"/>
          </w:tcPr>
          <w:p w14:paraId="247F5236">
            <w:pPr>
              <w:widowControl/>
              <w:snapToGrid w:val="0"/>
              <w:jc w:val="center"/>
              <w:rPr>
                <w:rFonts w:ascii="宋体" w:hAnsi="宋体" w:cs="宋体"/>
                <w:b/>
                <w:kern w:val="0"/>
                <w:szCs w:val="21"/>
              </w:rPr>
            </w:pPr>
            <w:r>
              <w:rPr>
                <w:rFonts w:hint="eastAsia" w:ascii="宋体" w:hAnsi="宋体" w:cs="宋体"/>
                <w:b/>
                <w:kern w:val="0"/>
                <w:szCs w:val="21"/>
              </w:rPr>
              <w:t>规格</w:t>
            </w:r>
          </w:p>
        </w:tc>
        <w:tc>
          <w:tcPr>
            <w:tcW w:w="718" w:type="pct"/>
            <w:shd w:val="clear" w:color="auto" w:fill="auto"/>
            <w:vAlign w:val="center"/>
          </w:tcPr>
          <w:p w14:paraId="3A411A66">
            <w:pPr>
              <w:widowControl/>
              <w:snapToGrid w:val="0"/>
              <w:jc w:val="center"/>
              <w:rPr>
                <w:rFonts w:ascii="宋体" w:hAnsi="宋体" w:cs="宋体"/>
                <w:b/>
                <w:kern w:val="0"/>
                <w:szCs w:val="21"/>
                <w:u w:val="single"/>
                <w:shd w:val="pct10" w:color="auto" w:fill="FFFFFF"/>
              </w:rPr>
            </w:pPr>
            <w:r>
              <w:rPr>
                <w:rFonts w:hint="eastAsia" w:ascii="宋体" w:hAnsi="宋体" w:cs="宋体"/>
                <w:b/>
                <w:kern w:val="0"/>
                <w:szCs w:val="21"/>
              </w:rPr>
              <w:t>▲最高限价（元/月）</w:t>
            </w:r>
          </w:p>
        </w:tc>
      </w:tr>
      <w:tr w14:paraId="5CA0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6" w:type="pct"/>
            <w:vMerge w:val="restart"/>
            <w:shd w:val="clear" w:color="auto" w:fill="FFFFFF"/>
            <w:vAlign w:val="center"/>
          </w:tcPr>
          <w:p w14:paraId="2BE52742">
            <w:pPr>
              <w:widowControl/>
              <w:snapToGrid w:val="0"/>
              <w:jc w:val="center"/>
              <w:rPr>
                <w:rFonts w:ascii="宋体" w:hAnsi="宋体" w:cs="宋体"/>
                <w:kern w:val="0"/>
                <w:szCs w:val="21"/>
              </w:rPr>
            </w:pPr>
            <w:r>
              <w:rPr>
                <w:rFonts w:hint="eastAsia" w:ascii="宋体" w:hAnsi="宋体" w:cs="宋体"/>
                <w:kern w:val="0"/>
                <w:szCs w:val="21"/>
              </w:rPr>
              <w:t>等保安全服务</w:t>
            </w:r>
          </w:p>
        </w:tc>
        <w:tc>
          <w:tcPr>
            <w:tcW w:w="1768" w:type="pct"/>
            <w:shd w:val="clear" w:color="auto" w:fill="FFFFFF"/>
            <w:vAlign w:val="center"/>
          </w:tcPr>
          <w:p w14:paraId="5D770867">
            <w:pPr>
              <w:widowControl/>
              <w:snapToGrid w:val="0"/>
              <w:jc w:val="center"/>
              <w:rPr>
                <w:rFonts w:ascii="宋体" w:hAnsi="宋体" w:cs="宋体"/>
                <w:kern w:val="0"/>
                <w:szCs w:val="21"/>
              </w:rPr>
            </w:pPr>
            <w:r>
              <w:rPr>
                <w:rFonts w:hint="eastAsia" w:ascii="宋体" w:hAnsi="宋体" w:cs="宋体"/>
                <w:kern w:val="0"/>
                <w:szCs w:val="21"/>
              </w:rPr>
              <w:t>等保二级安全服务</w:t>
            </w:r>
          </w:p>
        </w:tc>
        <w:tc>
          <w:tcPr>
            <w:tcW w:w="2017" w:type="pct"/>
            <w:vMerge w:val="restart"/>
            <w:shd w:val="clear" w:color="auto" w:fill="FFFFFF"/>
            <w:vAlign w:val="center"/>
          </w:tcPr>
          <w:p w14:paraId="3601BC2F">
            <w:pPr>
              <w:widowControl/>
              <w:snapToGrid w:val="0"/>
              <w:jc w:val="center"/>
              <w:rPr>
                <w:rFonts w:ascii="宋体" w:hAnsi="宋体" w:cs="宋体"/>
                <w:kern w:val="0"/>
                <w:szCs w:val="21"/>
              </w:rPr>
            </w:pPr>
            <w:r>
              <w:rPr>
                <w:rFonts w:hint="eastAsia" w:ascii="宋体" w:hAnsi="宋体" w:cs="宋体"/>
                <w:kern w:val="0"/>
                <w:szCs w:val="21"/>
              </w:rPr>
              <w:t>套</w:t>
            </w:r>
          </w:p>
        </w:tc>
        <w:tc>
          <w:tcPr>
            <w:tcW w:w="718" w:type="pct"/>
            <w:shd w:val="clear" w:color="auto" w:fill="FFFFFF"/>
            <w:noWrap/>
            <w:vAlign w:val="center"/>
          </w:tcPr>
          <w:p w14:paraId="77D46C81">
            <w:pPr>
              <w:widowControl/>
              <w:snapToGrid w:val="0"/>
              <w:jc w:val="center"/>
              <w:rPr>
                <w:rFonts w:ascii="宋体" w:hAnsi="宋体" w:cs="宋体"/>
                <w:kern w:val="0"/>
                <w:szCs w:val="21"/>
              </w:rPr>
            </w:pPr>
            <w:r>
              <w:rPr>
                <w:rFonts w:hint="eastAsia" w:ascii="宋体" w:hAnsi="宋体" w:cs="宋体"/>
                <w:kern w:val="0"/>
                <w:szCs w:val="21"/>
              </w:rPr>
              <w:t>2500</w:t>
            </w:r>
          </w:p>
        </w:tc>
      </w:tr>
      <w:tr w14:paraId="02CD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96" w:type="pct"/>
            <w:vMerge w:val="continue"/>
            <w:shd w:val="clear" w:color="auto" w:fill="FFFFFF"/>
            <w:vAlign w:val="center"/>
          </w:tcPr>
          <w:p w14:paraId="1AF399A9">
            <w:pPr>
              <w:widowControl/>
              <w:snapToGrid w:val="0"/>
              <w:jc w:val="center"/>
              <w:rPr>
                <w:rFonts w:ascii="宋体" w:hAnsi="宋体" w:cs="宋体"/>
                <w:kern w:val="0"/>
                <w:szCs w:val="21"/>
              </w:rPr>
            </w:pPr>
          </w:p>
        </w:tc>
        <w:tc>
          <w:tcPr>
            <w:tcW w:w="1768" w:type="pct"/>
            <w:shd w:val="clear" w:color="auto" w:fill="FFFFFF"/>
            <w:vAlign w:val="center"/>
          </w:tcPr>
          <w:p w14:paraId="1CD43D84">
            <w:pPr>
              <w:widowControl/>
              <w:snapToGrid w:val="0"/>
              <w:jc w:val="center"/>
              <w:rPr>
                <w:rFonts w:ascii="宋体" w:hAnsi="宋体" w:cs="宋体"/>
                <w:kern w:val="0"/>
                <w:szCs w:val="21"/>
              </w:rPr>
            </w:pPr>
            <w:r>
              <w:rPr>
                <w:rFonts w:hint="eastAsia" w:ascii="宋体" w:hAnsi="宋体" w:cs="宋体"/>
                <w:kern w:val="0"/>
                <w:szCs w:val="21"/>
              </w:rPr>
              <w:t>等保三级安全服务</w:t>
            </w:r>
          </w:p>
        </w:tc>
        <w:tc>
          <w:tcPr>
            <w:tcW w:w="2017" w:type="pct"/>
            <w:vMerge w:val="continue"/>
            <w:shd w:val="clear" w:color="auto" w:fill="FFFFFF"/>
            <w:vAlign w:val="center"/>
          </w:tcPr>
          <w:p w14:paraId="36330EED">
            <w:pPr>
              <w:widowControl/>
              <w:snapToGrid w:val="0"/>
              <w:jc w:val="center"/>
              <w:rPr>
                <w:rFonts w:ascii="宋体" w:hAnsi="宋体" w:cs="宋体"/>
                <w:kern w:val="0"/>
                <w:szCs w:val="21"/>
              </w:rPr>
            </w:pPr>
          </w:p>
        </w:tc>
        <w:tc>
          <w:tcPr>
            <w:tcW w:w="718" w:type="pct"/>
            <w:shd w:val="clear" w:color="auto" w:fill="FFFFFF"/>
            <w:noWrap/>
            <w:vAlign w:val="center"/>
          </w:tcPr>
          <w:p w14:paraId="2C8B3CCD">
            <w:pPr>
              <w:widowControl/>
              <w:snapToGrid w:val="0"/>
              <w:jc w:val="center"/>
              <w:rPr>
                <w:rFonts w:ascii="宋体" w:hAnsi="宋体" w:cs="宋体"/>
                <w:kern w:val="0"/>
                <w:szCs w:val="21"/>
              </w:rPr>
            </w:pPr>
            <w:r>
              <w:rPr>
                <w:rFonts w:hint="eastAsia" w:ascii="宋体" w:hAnsi="宋体" w:cs="宋体"/>
                <w:kern w:val="0"/>
                <w:szCs w:val="21"/>
              </w:rPr>
              <w:t>5000</w:t>
            </w:r>
          </w:p>
        </w:tc>
      </w:tr>
      <w:tr w14:paraId="3885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shd w:val="clear" w:color="auto" w:fill="FFFFFF"/>
            <w:vAlign w:val="center"/>
          </w:tcPr>
          <w:p w14:paraId="68B424F4">
            <w:pPr>
              <w:widowControl/>
              <w:snapToGrid w:val="0"/>
              <w:jc w:val="center"/>
              <w:rPr>
                <w:rFonts w:ascii="宋体" w:hAnsi="宋体" w:cs="宋体"/>
                <w:kern w:val="0"/>
                <w:szCs w:val="21"/>
              </w:rPr>
            </w:pPr>
            <w:r>
              <w:rPr>
                <w:rFonts w:hint="eastAsia" w:ascii="宋体" w:hAnsi="宋体" w:cs="宋体"/>
                <w:kern w:val="0"/>
                <w:szCs w:val="21"/>
              </w:rPr>
              <w:t>态势感知</w:t>
            </w:r>
          </w:p>
        </w:tc>
        <w:tc>
          <w:tcPr>
            <w:tcW w:w="1768" w:type="pct"/>
            <w:shd w:val="clear" w:color="auto" w:fill="FFFFFF"/>
            <w:vAlign w:val="center"/>
          </w:tcPr>
          <w:p w14:paraId="7C653E00">
            <w:pPr>
              <w:widowControl/>
              <w:snapToGrid w:val="0"/>
              <w:jc w:val="center"/>
              <w:rPr>
                <w:rFonts w:ascii="宋体" w:hAnsi="宋体" w:cs="宋体"/>
                <w:kern w:val="0"/>
                <w:szCs w:val="21"/>
              </w:rPr>
            </w:pPr>
            <w:r>
              <w:rPr>
                <w:rFonts w:hint="eastAsia" w:ascii="宋体" w:hAnsi="宋体" w:cs="宋体"/>
                <w:kern w:val="0"/>
                <w:szCs w:val="21"/>
              </w:rPr>
              <w:t>根据受保护的虚拟机个数按月计费，默认随云服务器一起开通</w:t>
            </w:r>
          </w:p>
        </w:tc>
        <w:tc>
          <w:tcPr>
            <w:tcW w:w="2017" w:type="pct"/>
            <w:shd w:val="clear" w:color="auto" w:fill="FFFFFF"/>
            <w:vAlign w:val="center"/>
          </w:tcPr>
          <w:p w14:paraId="3AC28FC6">
            <w:pPr>
              <w:widowControl/>
              <w:snapToGrid w:val="0"/>
              <w:jc w:val="center"/>
              <w:rPr>
                <w:rFonts w:ascii="宋体" w:hAnsi="宋体" w:cs="宋体"/>
                <w:kern w:val="0"/>
                <w:szCs w:val="21"/>
              </w:rPr>
            </w:pPr>
            <w:r>
              <w:rPr>
                <w:rFonts w:hint="eastAsia" w:ascii="宋体" w:hAnsi="宋体" w:cs="宋体"/>
                <w:kern w:val="0"/>
                <w:szCs w:val="21"/>
              </w:rPr>
              <w:t>规格：1个虚拟机实例</w:t>
            </w:r>
          </w:p>
        </w:tc>
        <w:tc>
          <w:tcPr>
            <w:tcW w:w="718" w:type="pct"/>
            <w:shd w:val="clear" w:color="auto" w:fill="FFFFFF"/>
            <w:noWrap/>
            <w:vAlign w:val="center"/>
          </w:tcPr>
          <w:p w14:paraId="320D599D">
            <w:pPr>
              <w:widowControl/>
              <w:snapToGrid w:val="0"/>
              <w:jc w:val="center"/>
              <w:rPr>
                <w:rFonts w:ascii="宋体" w:hAnsi="宋体" w:cs="宋体"/>
                <w:kern w:val="0"/>
                <w:szCs w:val="21"/>
              </w:rPr>
            </w:pPr>
            <w:r>
              <w:rPr>
                <w:rFonts w:hint="eastAsia" w:ascii="宋体" w:hAnsi="宋体" w:cs="宋体"/>
                <w:kern w:val="0"/>
                <w:szCs w:val="21"/>
              </w:rPr>
              <w:t>48.44</w:t>
            </w:r>
          </w:p>
        </w:tc>
      </w:tr>
      <w:tr w14:paraId="6326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Align w:val="center"/>
          </w:tcPr>
          <w:p w14:paraId="2FEE2732">
            <w:pPr>
              <w:widowControl/>
              <w:snapToGrid w:val="0"/>
              <w:jc w:val="center"/>
              <w:rPr>
                <w:rFonts w:ascii="宋体" w:hAnsi="宋体" w:cs="宋体"/>
                <w:kern w:val="0"/>
                <w:szCs w:val="21"/>
              </w:rPr>
            </w:pPr>
            <w:r>
              <w:rPr>
                <w:rFonts w:hint="eastAsia" w:ascii="宋体" w:hAnsi="宋体" w:cs="宋体"/>
                <w:kern w:val="0"/>
                <w:szCs w:val="21"/>
              </w:rPr>
              <w:t>安骑士</w:t>
            </w:r>
          </w:p>
        </w:tc>
        <w:tc>
          <w:tcPr>
            <w:tcW w:w="1768" w:type="pct"/>
            <w:vAlign w:val="center"/>
          </w:tcPr>
          <w:p w14:paraId="594A4D07">
            <w:pPr>
              <w:widowControl/>
              <w:snapToGrid w:val="0"/>
              <w:jc w:val="center"/>
              <w:rPr>
                <w:rFonts w:ascii="宋体" w:hAnsi="宋体" w:cs="宋体"/>
                <w:kern w:val="0"/>
                <w:szCs w:val="21"/>
              </w:rPr>
            </w:pPr>
            <w:r>
              <w:rPr>
                <w:rFonts w:hint="eastAsia" w:ascii="宋体" w:hAnsi="宋体" w:cs="宋体"/>
                <w:kern w:val="0"/>
                <w:szCs w:val="21"/>
              </w:rPr>
              <w:t>根据受保护的虚拟机个数按月计费，默认随云服务器一起开通</w:t>
            </w:r>
          </w:p>
        </w:tc>
        <w:tc>
          <w:tcPr>
            <w:tcW w:w="2017" w:type="pct"/>
            <w:vAlign w:val="center"/>
          </w:tcPr>
          <w:p w14:paraId="6A6928C8">
            <w:pPr>
              <w:widowControl/>
              <w:snapToGrid w:val="0"/>
              <w:jc w:val="center"/>
              <w:rPr>
                <w:rFonts w:ascii="宋体" w:hAnsi="宋体" w:cs="宋体"/>
                <w:kern w:val="0"/>
                <w:szCs w:val="21"/>
              </w:rPr>
            </w:pPr>
            <w:r>
              <w:rPr>
                <w:rFonts w:hint="eastAsia" w:ascii="宋体" w:hAnsi="宋体" w:cs="宋体"/>
                <w:kern w:val="0"/>
                <w:szCs w:val="21"/>
              </w:rPr>
              <w:t>规格：1个虚拟机实例</w:t>
            </w:r>
          </w:p>
        </w:tc>
        <w:tc>
          <w:tcPr>
            <w:tcW w:w="718" w:type="pct"/>
            <w:vAlign w:val="center"/>
          </w:tcPr>
          <w:p w14:paraId="35A3A9A6">
            <w:pPr>
              <w:widowControl/>
              <w:snapToGrid w:val="0"/>
              <w:jc w:val="center"/>
              <w:rPr>
                <w:rFonts w:ascii="宋体" w:hAnsi="宋体" w:cs="宋体"/>
                <w:kern w:val="0"/>
                <w:szCs w:val="21"/>
              </w:rPr>
            </w:pPr>
            <w:r>
              <w:rPr>
                <w:rFonts w:hint="eastAsia" w:ascii="宋体" w:hAnsi="宋体" w:cs="宋体"/>
                <w:kern w:val="0"/>
                <w:szCs w:val="21"/>
              </w:rPr>
              <w:t>58.93</w:t>
            </w:r>
          </w:p>
        </w:tc>
      </w:tr>
      <w:tr w14:paraId="4C95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6" w:type="pct"/>
            <w:vAlign w:val="center"/>
          </w:tcPr>
          <w:p w14:paraId="3F0D4BB2">
            <w:pPr>
              <w:widowControl/>
              <w:snapToGrid w:val="0"/>
              <w:jc w:val="center"/>
              <w:rPr>
                <w:rFonts w:ascii="宋体" w:hAnsi="宋体" w:cs="宋体"/>
                <w:kern w:val="0"/>
                <w:szCs w:val="21"/>
              </w:rPr>
            </w:pPr>
            <w:r>
              <w:rPr>
                <w:rFonts w:hint="eastAsia" w:ascii="宋体" w:hAnsi="宋体" w:cs="宋体"/>
                <w:kern w:val="0"/>
                <w:szCs w:val="21"/>
              </w:rPr>
              <w:t>互联网出口</w:t>
            </w:r>
          </w:p>
        </w:tc>
        <w:tc>
          <w:tcPr>
            <w:tcW w:w="1768" w:type="pct"/>
            <w:vAlign w:val="center"/>
          </w:tcPr>
          <w:p w14:paraId="22D100F5">
            <w:pPr>
              <w:widowControl/>
              <w:snapToGrid w:val="0"/>
              <w:jc w:val="center"/>
              <w:rPr>
                <w:rFonts w:ascii="宋体" w:hAnsi="宋体" w:cs="宋体"/>
                <w:kern w:val="0"/>
                <w:szCs w:val="21"/>
              </w:rPr>
            </w:pPr>
            <w:r>
              <w:rPr>
                <w:rFonts w:hint="eastAsia" w:ascii="宋体" w:hAnsi="宋体" w:cs="宋体"/>
                <w:kern w:val="0"/>
                <w:szCs w:val="21"/>
              </w:rPr>
              <w:t>根据规格按月计费</w:t>
            </w:r>
          </w:p>
        </w:tc>
        <w:tc>
          <w:tcPr>
            <w:tcW w:w="2017" w:type="pct"/>
            <w:vAlign w:val="center"/>
          </w:tcPr>
          <w:p w14:paraId="45B34AC6">
            <w:pPr>
              <w:widowControl/>
              <w:snapToGrid w:val="0"/>
              <w:jc w:val="center"/>
              <w:rPr>
                <w:rFonts w:ascii="宋体" w:hAnsi="宋体" w:cs="宋体"/>
                <w:kern w:val="0"/>
                <w:szCs w:val="21"/>
              </w:rPr>
            </w:pPr>
            <w:r>
              <w:rPr>
                <w:rFonts w:hint="eastAsia" w:ascii="宋体" w:hAnsi="宋体" w:cs="宋体"/>
                <w:kern w:val="0"/>
                <w:szCs w:val="21"/>
              </w:rPr>
              <w:t>互联网专线租用（</w:t>
            </w:r>
            <w:r>
              <w:rPr>
                <w:rFonts w:hint="eastAsia" w:ascii="宋体" w:hAnsi="宋体" w:cs="宋体"/>
                <w:kern w:val="0"/>
                <w:szCs w:val="21"/>
                <w:lang w:eastAsia="zh-Hans"/>
              </w:rPr>
              <w:t>每</w:t>
            </w:r>
            <w:r>
              <w:rPr>
                <w:rFonts w:hint="eastAsia" w:ascii="宋体" w:hAnsi="宋体" w:cs="宋体"/>
                <w:kern w:val="0"/>
                <w:szCs w:val="21"/>
              </w:rPr>
              <w:t>100M）</w:t>
            </w:r>
          </w:p>
        </w:tc>
        <w:tc>
          <w:tcPr>
            <w:tcW w:w="718" w:type="pct"/>
            <w:vAlign w:val="center"/>
          </w:tcPr>
          <w:p w14:paraId="68998E02">
            <w:pPr>
              <w:widowControl/>
              <w:snapToGrid w:val="0"/>
              <w:jc w:val="center"/>
              <w:rPr>
                <w:rFonts w:ascii="宋体" w:hAnsi="宋体" w:cs="宋体"/>
                <w:kern w:val="0"/>
                <w:szCs w:val="21"/>
              </w:rPr>
            </w:pPr>
            <w:r>
              <w:rPr>
                <w:rFonts w:hint="eastAsia" w:ascii="宋体" w:hAnsi="宋体" w:cs="宋体"/>
                <w:kern w:val="0"/>
                <w:szCs w:val="21"/>
              </w:rPr>
              <w:t>3000</w:t>
            </w:r>
          </w:p>
        </w:tc>
      </w:tr>
      <w:tr w14:paraId="5F79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Align w:val="center"/>
          </w:tcPr>
          <w:p w14:paraId="0189DEF0">
            <w:pPr>
              <w:widowControl/>
              <w:snapToGrid w:val="0"/>
              <w:jc w:val="center"/>
              <w:rPr>
                <w:rFonts w:ascii="宋体" w:hAnsi="宋体" w:cs="宋体"/>
                <w:kern w:val="0"/>
                <w:szCs w:val="21"/>
              </w:rPr>
            </w:pPr>
            <w:r>
              <w:rPr>
                <w:rFonts w:hint="eastAsia" w:ascii="宋体" w:hAnsi="宋体" w:cs="宋体"/>
                <w:kern w:val="0"/>
                <w:szCs w:val="21"/>
              </w:rPr>
              <w:t>互联网IP地址</w:t>
            </w:r>
          </w:p>
        </w:tc>
        <w:tc>
          <w:tcPr>
            <w:tcW w:w="1768" w:type="pct"/>
            <w:vAlign w:val="center"/>
          </w:tcPr>
          <w:p w14:paraId="4A7C4500">
            <w:pPr>
              <w:widowControl/>
              <w:snapToGrid w:val="0"/>
              <w:jc w:val="center"/>
              <w:rPr>
                <w:rFonts w:ascii="宋体" w:hAnsi="宋体" w:cs="宋体"/>
                <w:kern w:val="0"/>
                <w:szCs w:val="21"/>
              </w:rPr>
            </w:pPr>
            <w:r>
              <w:rPr>
                <w:rFonts w:hint="eastAsia" w:ascii="宋体" w:hAnsi="宋体" w:cs="宋体"/>
                <w:kern w:val="0"/>
                <w:szCs w:val="21"/>
              </w:rPr>
              <w:t>根据个数按月计费</w:t>
            </w:r>
          </w:p>
        </w:tc>
        <w:tc>
          <w:tcPr>
            <w:tcW w:w="2017" w:type="pct"/>
            <w:vAlign w:val="center"/>
          </w:tcPr>
          <w:p w14:paraId="6BB7DB8E">
            <w:pPr>
              <w:widowControl/>
              <w:snapToGrid w:val="0"/>
              <w:jc w:val="center"/>
              <w:rPr>
                <w:rFonts w:ascii="宋体" w:hAnsi="宋体" w:cs="宋体"/>
                <w:kern w:val="0"/>
                <w:szCs w:val="21"/>
              </w:rPr>
            </w:pPr>
            <w:r>
              <w:rPr>
                <w:rFonts w:hint="eastAsia" w:ascii="宋体" w:hAnsi="宋体" w:cs="宋体"/>
                <w:kern w:val="0"/>
                <w:szCs w:val="21"/>
              </w:rPr>
              <w:t>标准IP地址或互联地址（IPV4/IPV6）</w:t>
            </w:r>
          </w:p>
        </w:tc>
        <w:tc>
          <w:tcPr>
            <w:tcW w:w="718" w:type="pct"/>
            <w:vAlign w:val="center"/>
          </w:tcPr>
          <w:p w14:paraId="41F06CF3">
            <w:pPr>
              <w:widowControl/>
              <w:snapToGrid w:val="0"/>
              <w:jc w:val="center"/>
              <w:rPr>
                <w:rFonts w:ascii="宋体" w:hAnsi="宋体" w:cs="宋体"/>
                <w:kern w:val="0"/>
                <w:szCs w:val="21"/>
              </w:rPr>
            </w:pPr>
            <w:r>
              <w:rPr>
                <w:rFonts w:hint="eastAsia" w:ascii="宋体" w:hAnsi="宋体" w:cs="宋体"/>
                <w:kern w:val="0"/>
                <w:szCs w:val="21"/>
              </w:rPr>
              <w:t>80</w:t>
            </w:r>
          </w:p>
        </w:tc>
      </w:tr>
      <w:tr w14:paraId="42AC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Align w:val="center"/>
          </w:tcPr>
          <w:p w14:paraId="4C434FC3">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DLP数据防泄漏</w:t>
            </w:r>
          </w:p>
        </w:tc>
        <w:tc>
          <w:tcPr>
            <w:tcW w:w="1768" w:type="pct"/>
            <w:vAlign w:val="center"/>
          </w:tcPr>
          <w:p w14:paraId="3D76A851">
            <w:pPr>
              <w:widowControl/>
              <w:snapToGrid w:val="0"/>
              <w:jc w:val="center"/>
              <w:rPr>
                <w:rFonts w:hint="default" w:ascii="宋体" w:hAnsi="宋体" w:cs="宋体"/>
                <w:kern w:val="0"/>
                <w:szCs w:val="21"/>
                <w:lang w:val="en-US"/>
              </w:rPr>
            </w:pPr>
            <w:r>
              <w:rPr>
                <w:rFonts w:hint="eastAsia" w:ascii="宋体" w:hAnsi="宋体" w:cs="宋体"/>
                <w:kern w:val="0"/>
                <w:szCs w:val="21"/>
                <w:lang w:val="en-US" w:eastAsia="zh-CN"/>
              </w:rPr>
              <w:t>数据防泄漏服务</w:t>
            </w:r>
          </w:p>
        </w:tc>
        <w:tc>
          <w:tcPr>
            <w:tcW w:w="2017" w:type="pct"/>
            <w:vAlign w:val="center"/>
          </w:tcPr>
          <w:p w14:paraId="3387137D">
            <w:pPr>
              <w:widowControl/>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套</w:t>
            </w:r>
          </w:p>
        </w:tc>
        <w:tc>
          <w:tcPr>
            <w:tcW w:w="718" w:type="pct"/>
            <w:vAlign w:val="center"/>
          </w:tcPr>
          <w:p w14:paraId="0A9A1D6C">
            <w:pPr>
              <w:widowControl/>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r>
      <w:tr w14:paraId="1C01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tcBorders>
              <w:left w:val="nil"/>
              <w:right w:val="nil"/>
            </w:tcBorders>
            <w:vAlign w:val="center"/>
          </w:tcPr>
          <w:p w14:paraId="5A985F6D">
            <w:pPr>
              <w:widowControl/>
              <w:snapToGrid w:val="0"/>
              <w:jc w:val="center"/>
              <w:rPr>
                <w:rFonts w:ascii="宋体" w:hAnsi="宋体" w:cs="宋体"/>
                <w:kern w:val="0"/>
                <w:szCs w:val="21"/>
              </w:rPr>
            </w:pPr>
          </w:p>
        </w:tc>
        <w:tc>
          <w:tcPr>
            <w:tcW w:w="1768" w:type="pct"/>
            <w:tcBorders>
              <w:left w:val="nil"/>
              <w:right w:val="nil"/>
            </w:tcBorders>
            <w:vAlign w:val="center"/>
          </w:tcPr>
          <w:p w14:paraId="00CCF734">
            <w:pPr>
              <w:widowControl/>
              <w:snapToGrid w:val="0"/>
              <w:jc w:val="center"/>
              <w:rPr>
                <w:rFonts w:ascii="宋体" w:hAnsi="宋体" w:cs="宋体"/>
                <w:kern w:val="0"/>
                <w:szCs w:val="21"/>
              </w:rPr>
            </w:pPr>
          </w:p>
        </w:tc>
        <w:tc>
          <w:tcPr>
            <w:tcW w:w="2017" w:type="pct"/>
            <w:tcBorders>
              <w:left w:val="nil"/>
              <w:right w:val="nil"/>
            </w:tcBorders>
            <w:vAlign w:val="center"/>
          </w:tcPr>
          <w:p w14:paraId="789387E1">
            <w:pPr>
              <w:widowControl/>
              <w:snapToGrid w:val="0"/>
              <w:jc w:val="center"/>
              <w:rPr>
                <w:rFonts w:ascii="宋体" w:hAnsi="宋体" w:cs="宋体"/>
                <w:kern w:val="0"/>
                <w:szCs w:val="21"/>
              </w:rPr>
            </w:pPr>
          </w:p>
        </w:tc>
        <w:tc>
          <w:tcPr>
            <w:tcW w:w="718" w:type="pct"/>
            <w:tcBorders>
              <w:left w:val="nil"/>
              <w:right w:val="nil"/>
            </w:tcBorders>
            <w:vAlign w:val="center"/>
          </w:tcPr>
          <w:p w14:paraId="634F421B">
            <w:pPr>
              <w:widowControl/>
              <w:snapToGrid w:val="0"/>
              <w:jc w:val="center"/>
              <w:rPr>
                <w:rFonts w:ascii="宋体" w:hAnsi="宋体" w:cs="宋体"/>
                <w:kern w:val="0"/>
                <w:szCs w:val="21"/>
              </w:rPr>
            </w:pPr>
          </w:p>
        </w:tc>
      </w:tr>
      <w:tr w14:paraId="5843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96" w:type="pct"/>
            <w:shd w:val="clear" w:color="auto" w:fill="auto"/>
            <w:vAlign w:val="center"/>
          </w:tcPr>
          <w:p w14:paraId="6B38A6B1">
            <w:pPr>
              <w:widowControl/>
              <w:snapToGrid w:val="0"/>
              <w:jc w:val="center"/>
              <w:rPr>
                <w:rFonts w:ascii="宋体" w:hAnsi="宋体" w:cs="宋体"/>
                <w:b/>
                <w:kern w:val="0"/>
                <w:szCs w:val="21"/>
              </w:rPr>
            </w:pPr>
            <w:r>
              <w:rPr>
                <w:rFonts w:hint="eastAsia" w:ascii="宋体" w:hAnsi="宋体" w:cs="宋体"/>
                <w:b/>
                <w:kern w:val="0"/>
                <w:szCs w:val="21"/>
              </w:rPr>
              <w:t>服务名称</w:t>
            </w:r>
          </w:p>
        </w:tc>
        <w:tc>
          <w:tcPr>
            <w:tcW w:w="1768" w:type="pct"/>
            <w:shd w:val="clear" w:color="auto" w:fill="auto"/>
            <w:vAlign w:val="center"/>
          </w:tcPr>
          <w:p w14:paraId="78415B30">
            <w:pPr>
              <w:widowControl/>
              <w:snapToGrid w:val="0"/>
              <w:jc w:val="center"/>
              <w:rPr>
                <w:rFonts w:ascii="宋体" w:hAnsi="宋体" w:cs="宋体"/>
                <w:b/>
                <w:kern w:val="0"/>
                <w:szCs w:val="21"/>
              </w:rPr>
            </w:pPr>
            <w:r>
              <w:rPr>
                <w:rFonts w:hint="eastAsia" w:ascii="宋体" w:hAnsi="宋体" w:cs="宋体"/>
                <w:b/>
                <w:kern w:val="0"/>
                <w:szCs w:val="21"/>
              </w:rPr>
              <w:t>服务子类</w:t>
            </w:r>
          </w:p>
        </w:tc>
        <w:tc>
          <w:tcPr>
            <w:tcW w:w="2017" w:type="pct"/>
            <w:shd w:val="clear" w:color="auto" w:fill="auto"/>
            <w:vAlign w:val="center"/>
          </w:tcPr>
          <w:p w14:paraId="627B419B">
            <w:pPr>
              <w:widowControl/>
              <w:snapToGrid w:val="0"/>
              <w:jc w:val="center"/>
              <w:rPr>
                <w:rFonts w:ascii="宋体" w:hAnsi="宋体" w:cs="宋体"/>
                <w:b/>
                <w:kern w:val="0"/>
                <w:szCs w:val="21"/>
              </w:rPr>
            </w:pPr>
            <w:r>
              <w:rPr>
                <w:rFonts w:hint="eastAsia" w:ascii="宋体" w:hAnsi="宋体" w:cs="宋体"/>
                <w:b/>
                <w:kern w:val="0"/>
                <w:szCs w:val="21"/>
              </w:rPr>
              <w:t>规格</w:t>
            </w:r>
          </w:p>
        </w:tc>
        <w:tc>
          <w:tcPr>
            <w:tcW w:w="718" w:type="pct"/>
            <w:shd w:val="clear" w:color="auto" w:fill="auto"/>
            <w:vAlign w:val="center"/>
          </w:tcPr>
          <w:p w14:paraId="45EA2E89">
            <w:pPr>
              <w:widowControl/>
              <w:snapToGrid w:val="0"/>
              <w:jc w:val="center"/>
              <w:rPr>
                <w:rFonts w:ascii="宋体" w:hAnsi="宋体" w:cs="宋体"/>
                <w:b/>
                <w:kern w:val="0"/>
                <w:szCs w:val="21"/>
                <w:u w:val="none"/>
                <w:shd w:val="pct10" w:color="auto" w:fill="FFFFFF"/>
              </w:rPr>
            </w:pPr>
            <w:r>
              <w:rPr>
                <w:rFonts w:hint="eastAsia" w:ascii="宋体" w:hAnsi="宋体" w:cs="宋体"/>
                <w:b/>
                <w:kern w:val="0"/>
                <w:szCs w:val="21"/>
                <w:u w:val="none"/>
                <w:shd w:val="pct10" w:color="auto" w:fill="FFFFFF"/>
              </w:rPr>
              <w:t>▲最高限价（万元）</w:t>
            </w:r>
          </w:p>
        </w:tc>
      </w:tr>
      <w:tr w14:paraId="09C6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Align w:val="center"/>
          </w:tcPr>
          <w:p w14:paraId="3D975BA8">
            <w:pPr>
              <w:widowControl/>
              <w:snapToGrid w:val="0"/>
              <w:jc w:val="center"/>
              <w:rPr>
                <w:rFonts w:ascii="宋体" w:hAnsi="宋体" w:cs="宋体"/>
                <w:kern w:val="0"/>
                <w:szCs w:val="21"/>
                <w:highlight w:val="none"/>
              </w:rPr>
            </w:pPr>
            <w:r>
              <w:rPr>
                <w:rFonts w:hint="eastAsia" w:ascii="宋体" w:hAnsi="宋体" w:cs="宋体"/>
                <w:szCs w:val="21"/>
                <w:highlight w:val="none"/>
              </w:rPr>
              <w:t>漏洞扫描服务</w:t>
            </w:r>
          </w:p>
        </w:tc>
        <w:tc>
          <w:tcPr>
            <w:tcW w:w="1768" w:type="pct"/>
            <w:vAlign w:val="center"/>
          </w:tcPr>
          <w:p w14:paraId="04C3DF0F">
            <w:pPr>
              <w:widowControl/>
              <w:snapToGrid w:val="0"/>
              <w:jc w:val="center"/>
              <w:rPr>
                <w:rFonts w:ascii="宋体" w:hAnsi="宋体" w:cs="宋体"/>
                <w:kern w:val="0"/>
                <w:szCs w:val="21"/>
              </w:rPr>
            </w:pPr>
            <w:r>
              <w:rPr>
                <w:rFonts w:hint="eastAsia" w:ascii="宋体" w:hAnsi="宋体" w:cs="宋体"/>
                <w:kern w:val="0"/>
                <w:szCs w:val="21"/>
                <w:lang w:bidi="ar"/>
              </w:rPr>
              <w:t>提供云上应用漏洞扫描服务</w:t>
            </w:r>
          </w:p>
        </w:tc>
        <w:tc>
          <w:tcPr>
            <w:tcW w:w="2017" w:type="pct"/>
            <w:vAlign w:val="center"/>
          </w:tcPr>
          <w:p w14:paraId="55964B97">
            <w:pPr>
              <w:ind w:firstLine="420" w:firstLineChars="200"/>
              <w:rPr>
                <w:rFonts w:ascii="宋体" w:hAnsi="宋体" w:cs="宋体"/>
                <w:kern w:val="0"/>
                <w:szCs w:val="21"/>
              </w:rPr>
            </w:pPr>
            <w:r>
              <w:rPr>
                <w:rFonts w:hint="eastAsia" w:ascii="宋体" w:hAnsi="宋体" w:cs="宋体"/>
                <w:kern w:val="0"/>
                <w:szCs w:val="21"/>
              </w:rPr>
              <w:t>至少通过两种不同厂家的扫描平台，对政务云业务的主机和应用系统进行漏洞扫描。</w:t>
            </w:r>
          </w:p>
          <w:p w14:paraId="2673D93F">
            <w:r>
              <w:rPr>
                <w:rFonts w:hint="eastAsia" w:ascii="宋体" w:hAnsi="宋体" w:cs="宋体"/>
                <w:kern w:val="0"/>
                <w:szCs w:val="21"/>
              </w:rPr>
              <w:t>每月及应用上线前开展全区所有应用云上服务器、数据库等云资源的高危漏洞、高危端口、弱口令扫描，并出具扫描结果报告</w:t>
            </w:r>
            <w:r>
              <w:rPr>
                <w:rFonts w:hint="eastAsia" w:ascii="宋体" w:hAnsi="宋体" w:cs="宋体"/>
                <w:kern w:val="0"/>
                <w:szCs w:val="21"/>
                <w:lang w:eastAsia="zh-CN"/>
              </w:rPr>
              <w:t>。</w:t>
            </w:r>
          </w:p>
          <w:p w14:paraId="6E7C7B23">
            <w:pPr>
              <w:widowControl/>
              <w:snapToGrid/>
              <w:ind w:firstLine="420" w:firstLineChars="200"/>
              <w:rPr>
                <w:rFonts w:ascii="宋体" w:hAnsi="宋体" w:cs="宋体"/>
                <w:kern w:val="0"/>
                <w:szCs w:val="21"/>
              </w:rPr>
            </w:pPr>
          </w:p>
        </w:tc>
        <w:tc>
          <w:tcPr>
            <w:tcW w:w="718" w:type="pct"/>
            <w:vAlign w:val="center"/>
          </w:tcPr>
          <w:p w14:paraId="318E470A">
            <w:pPr>
              <w:widowControl/>
              <w:snapToGrid w:val="0"/>
              <w:jc w:val="center"/>
              <w:rPr>
                <w:rFonts w:hint="default" w:ascii="宋体" w:hAnsi="宋体" w:eastAsia="宋体" w:cs="宋体"/>
                <w:kern w:val="0"/>
                <w:szCs w:val="21"/>
                <w:u w:val="none"/>
                <w:lang w:val="en-US" w:eastAsia="zh-CN"/>
              </w:rPr>
            </w:pPr>
            <w:r>
              <w:rPr>
                <w:rFonts w:hint="eastAsia" w:ascii="宋体" w:hAnsi="宋体" w:cs="宋体"/>
                <w:kern w:val="0"/>
                <w:szCs w:val="21"/>
                <w:u w:val="none"/>
                <w:lang w:val="en-US" w:eastAsia="zh-CN" w:bidi="ar"/>
              </w:rPr>
              <w:t>7.2</w:t>
            </w:r>
          </w:p>
        </w:tc>
      </w:tr>
      <w:tr w14:paraId="0C36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6" w:type="pct"/>
            <w:vAlign w:val="center"/>
          </w:tcPr>
          <w:p w14:paraId="18F696B4">
            <w:pPr>
              <w:widowControl/>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渗透测试服务</w:t>
            </w:r>
          </w:p>
        </w:tc>
        <w:tc>
          <w:tcPr>
            <w:tcW w:w="1768" w:type="pct"/>
            <w:vAlign w:val="center"/>
          </w:tcPr>
          <w:p w14:paraId="3974B641">
            <w:pPr>
              <w:widowControl/>
              <w:snapToGrid w:val="0"/>
              <w:jc w:val="center"/>
              <w:rPr>
                <w:rFonts w:hint="eastAsia" w:ascii="宋体" w:hAnsi="宋体" w:cs="宋体"/>
                <w:kern w:val="0"/>
                <w:szCs w:val="21"/>
                <w:lang w:bidi="ar"/>
              </w:rPr>
            </w:pPr>
            <w:r>
              <w:rPr>
                <w:rFonts w:hint="eastAsia" w:ascii="宋体" w:hAnsi="宋体" w:cs="宋体"/>
                <w:kern w:val="0"/>
                <w:szCs w:val="21"/>
                <w:lang w:bidi="ar"/>
              </w:rPr>
              <w:t>提供云上应用</w:t>
            </w:r>
            <w:r>
              <w:rPr>
                <w:rFonts w:hint="eastAsia" w:ascii="宋体" w:hAnsi="宋体" w:cs="宋体"/>
                <w:kern w:val="0"/>
                <w:szCs w:val="21"/>
                <w:lang w:val="en-US" w:eastAsia="zh-CN" w:bidi="ar"/>
              </w:rPr>
              <w:t>渗透测试</w:t>
            </w:r>
            <w:r>
              <w:rPr>
                <w:rFonts w:hint="eastAsia" w:ascii="宋体" w:hAnsi="宋体" w:cs="宋体"/>
                <w:kern w:val="0"/>
                <w:szCs w:val="21"/>
                <w:lang w:bidi="ar"/>
              </w:rPr>
              <w:t>服务</w:t>
            </w:r>
          </w:p>
        </w:tc>
        <w:tc>
          <w:tcPr>
            <w:tcW w:w="2017" w:type="pct"/>
            <w:vAlign w:val="center"/>
          </w:tcPr>
          <w:p w14:paraId="664AF3EE">
            <w:pPr>
              <w:widowControl/>
              <w:snapToGrid w:val="0"/>
              <w:ind w:firstLine="420" w:firstLineChars="200"/>
              <w:rPr>
                <w:rFonts w:hint="eastAsia" w:ascii="宋体" w:hAnsi="宋体" w:eastAsia="宋体" w:cs="宋体"/>
                <w:kern w:val="0"/>
                <w:szCs w:val="21"/>
                <w:lang w:eastAsia="zh-CN"/>
              </w:rPr>
            </w:pPr>
            <w:r>
              <w:rPr>
                <w:rFonts w:hint="eastAsia" w:ascii="宋体" w:hAnsi="宋体" w:cs="宋体"/>
                <w:kern w:val="0"/>
                <w:szCs w:val="21"/>
              </w:rPr>
              <w:t>针对全区</w:t>
            </w:r>
            <w:r>
              <w:rPr>
                <w:rFonts w:hint="eastAsia" w:ascii="宋体" w:hAnsi="宋体" w:cs="宋体"/>
                <w:kern w:val="0"/>
                <w:szCs w:val="21"/>
                <w:lang w:val="en-US" w:eastAsia="zh-CN"/>
              </w:rPr>
              <w:t>不少于16个</w:t>
            </w:r>
            <w:r>
              <w:rPr>
                <w:rFonts w:hint="eastAsia" w:ascii="宋体" w:hAnsi="宋体" w:cs="宋体"/>
                <w:kern w:val="0"/>
                <w:szCs w:val="21"/>
              </w:rPr>
              <w:t>应用系统渗透测试，并提供测试报告</w:t>
            </w:r>
            <w:r>
              <w:rPr>
                <w:rFonts w:hint="eastAsia" w:ascii="宋体" w:hAnsi="宋体" w:cs="宋体"/>
                <w:kern w:val="0"/>
                <w:szCs w:val="21"/>
                <w:lang w:eastAsia="zh-CN"/>
              </w:rPr>
              <w:t>。</w:t>
            </w:r>
          </w:p>
        </w:tc>
        <w:tc>
          <w:tcPr>
            <w:tcW w:w="718" w:type="pct"/>
            <w:vAlign w:val="center"/>
          </w:tcPr>
          <w:p w14:paraId="05ABD595">
            <w:pPr>
              <w:widowControl/>
              <w:snapToGrid w:val="0"/>
              <w:jc w:val="center"/>
              <w:rPr>
                <w:rFonts w:hint="default" w:ascii="宋体" w:hAnsi="宋体" w:eastAsia="宋体" w:cs="宋体"/>
                <w:kern w:val="0"/>
                <w:szCs w:val="21"/>
                <w:u w:val="none"/>
                <w:lang w:val="en-US" w:eastAsia="zh-CN" w:bidi="ar"/>
              </w:rPr>
            </w:pPr>
            <w:r>
              <w:rPr>
                <w:rFonts w:hint="eastAsia" w:ascii="宋体" w:hAnsi="宋体" w:cs="宋体"/>
                <w:kern w:val="0"/>
                <w:szCs w:val="21"/>
                <w:u w:val="none"/>
                <w:lang w:val="en-US" w:eastAsia="zh-CN" w:bidi="ar"/>
              </w:rPr>
              <w:t>12.8</w:t>
            </w:r>
          </w:p>
        </w:tc>
      </w:tr>
      <w:tr w14:paraId="63F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shd w:val="clear" w:color="auto" w:fill="auto"/>
            <w:vAlign w:val="center"/>
          </w:tcPr>
          <w:p w14:paraId="3D9811E9">
            <w:pPr>
              <w:widowControl/>
              <w:snapToGrid w:val="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bidi="ar"/>
              </w:rPr>
              <w:t>堡垒机服务</w:t>
            </w:r>
          </w:p>
        </w:tc>
        <w:tc>
          <w:tcPr>
            <w:tcW w:w="1768" w:type="pct"/>
            <w:shd w:val="clear" w:color="auto" w:fill="auto"/>
            <w:vAlign w:val="center"/>
          </w:tcPr>
          <w:p w14:paraId="7E938CA1">
            <w:pPr>
              <w:widowControl/>
              <w:snapToGrid w:val="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color w:val="auto"/>
                <w:kern w:val="2"/>
                <w:sz w:val="21"/>
                <w:szCs w:val="21"/>
                <w:highlight w:val="none"/>
                <w:lang w:bidi="ar"/>
              </w:rPr>
              <w:t>运维统一堡垒机</w:t>
            </w:r>
          </w:p>
        </w:tc>
        <w:tc>
          <w:tcPr>
            <w:tcW w:w="2017" w:type="pct"/>
            <w:shd w:val="clear" w:color="auto" w:fill="auto"/>
            <w:vAlign w:val="center"/>
          </w:tcPr>
          <w:p w14:paraId="26930596">
            <w:pPr>
              <w:widowControl/>
              <w:snapToGrid w:val="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提供浙政钉扫码登录堡垒机服务（按需提供,总计不少于</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个云主机资源），提供</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套堡垒机覆盖政务云及信创云。</w:t>
            </w:r>
          </w:p>
        </w:tc>
        <w:tc>
          <w:tcPr>
            <w:tcW w:w="718" w:type="pct"/>
            <w:shd w:val="clear" w:color="auto" w:fill="auto"/>
            <w:vAlign w:val="center"/>
          </w:tcPr>
          <w:p w14:paraId="68F3492C">
            <w:pPr>
              <w:widowControl/>
              <w:snapToGrid w:val="0"/>
              <w:jc w:val="center"/>
              <w:textAlignment w:val="auto"/>
              <w:rPr>
                <w:rFonts w:hint="default" w:ascii="宋体" w:hAnsi="宋体" w:eastAsia="宋体" w:cs="宋体"/>
                <w:kern w:val="2"/>
                <w:sz w:val="21"/>
                <w:szCs w:val="21"/>
                <w:u w:val="none"/>
                <w:lang w:val="en-US" w:eastAsia="zh-CN" w:bidi="ar-SA"/>
              </w:rPr>
            </w:pPr>
            <w:r>
              <w:rPr>
                <w:rFonts w:hint="eastAsia" w:ascii="宋体" w:hAnsi="宋体" w:eastAsia="宋体" w:cs="宋体"/>
                <w:color w:val="auto"/>
                <w:sz w:val="21"/>
                <w:szCs w:val="21"/>
                <w:highlight w:val="none"/>
                <w:u w:val="none"/>
                <w:lang w:val="en-US" w:eastAsia="zh-CN"/>
              </w:rPr>
              <w:t>22</w:t>
            </w:r>
          </w:p>
        </w:tc>
      </w:tr>
      <w:tr w14:paraId="42A6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tcBorders>
              <w:left w:val="nil"/>
              <w:right w:val="nil"/>
            </w:tcBorders>
            <w:vAlign w:val="center"/>
          </w:tcPr>
          <w:p w14:paraId="5D44D1F5">
            <w:pPr>
              <w:widowControl/>
              <w:snapToGrid w:val="0"/>
              <w:jc w:val="center"/>
              <w:rPr>
                <w:rFonts w:ascii="宋体" w:hAnsi="宋体" w:cs="宋体"/>
                <w:szCs w:val="21"/>
              </w:rPr>
            </w:pPr>
          </w:p>
        </w:tc>
        <w:tc>
          <w:tcPr>
            <w:tcW w:w="1768" w:type="pct"/>
            <w:tcBorders>
              <w:left w:val="nil"/>
              <w:right w:val="nil"/>
            </w:tcBorders>
            <w:vAlign w:val="center"/>
          </w:tcPr>
          <w:p w14:paraId="3F0DE2BA">
            <w:pPr>
              <w:widowControl/>
              <w:snapToGrid w:val="0"/>
              <w:jc w:val="center"/>
              <w:rPr>
                <w:rFonts w:ascii="宋体" w:hAnsi="宋体" w:cs="宋体"/>
                <w:kern w:val="0"/>
                <w:szCs w:val="21"/>
                <w:lang w:bidi="ar"/>
              </w:rPr>
            </w:pPr>
          </w:p>
        </w:tc>
        <w:tc>
          <w:tcPr>
            <w:tcW w:w="2017" w:type="pct"/>
            <w:tcBorders>
              <w:left w:val="nil"/>
              <w:right w:val="nil"/>
            </w:tcBorders>
            <w:vAlign w:val="center"/>
          </w:tcPr>
          <w:p w14:paraId="5BA2DD6D">
            <w:pPr>
              <w:widowControl/>
              <w:snapToGrid w:val="0"/>
              <w:ind w:firstLine="420" w:firstLineChars="200"/>
              <w:rPr>
                <w:rFonts w:ascii="宋体" w:hAnsi="宋体" w:cs="宋体"/>
                <w:kern w:val="0"/>
                <w:szCs w:val="21"/>
              </w:rPr>
            </w:pPr>
          </w:p>
        </w:tc>
        <w:tc>
          <w:tcPr>
            <w:tcW w:w="718" w:type="pct"/>
            <w:tcBorders>
              <w:left w:val="nil"/>
              <w:right w:val="nil"/>
            </w:tcBorders>
            <w:vAlign w:val="center"/>
          </w:tcPr>
          <w:p w14:paraId="72FE14B0">
            <w:pPr>
              <w:widowControl/>
              <w:snapToGrid w:val="0"/>
              <w:jc w:val="center"/>
              <w:rPr>
                <w:rFonts w:ascii="宋体" w:hAnsi="宋体" w:cs="宋体"/>
                <w:kern w:val="0"/>
                <w:szCs w:val="21"/>
                <w:u w:val="none"/>
                <w:lang w:bidi="ar"/>
              </w:rPr>
            </w:pPr>
          </w:p>
        </w:tc>
      </w:tr>
      <w:tr w14:paraId="198A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96" w:type="pct"/>
            <w:shd w:val="clear" w:color="auto" w:fill="auto"/>
            <w:vAlign w:val="center"/>
          </w:tcPr>
          <w:p w14:paraId="21224523">
            <w:pPr>
              <w:widowControl/>
              <w:snapToGrid w:val="0"/>
              <w:jc w:val="center"/>
              <w:rPr>
                <w:rFonts w:ascii="宋体" w:hAnsi="宋体" w:cs="宋体"/>
                <w:b/>
                <w:kern w:val="0"/>
                <w:szCs w:val="21"/>
              </w:rPr>
            </w:pPr>
            <w:r>
              <w:rPr>
                <w:rFonts w:hint="eastAsia" w:ascii="宋体" w:hAnsi="宋体" w:cs="宋体"/>
                <w:b/>
                <w:kern w:val="0"/>
                <w:szCs w:val="21"/>
              </w:rPr>
              <w:t>服务名称</w:t>
            </w:r>
          </w:p>
        </w:tc>
        <w:tc>
          <w:tcPr>
            <w:tcW w:w="1768" w:type="pct"/>
            <w:shd w:val="clear" w:color="auto" w:fill="auto"/>
            <w:vAlign w:val="center"/>
          </w:tcPr>
          <w:p w14:paraId="5EDDDCEB">
            <w:pPr>
              <w:widowControl/>
              <w:snapToGrid w:val="0"/>
              <w:jc w:val="center"/>
              <w:rPr>
                <w:rFonts w:ascii="宋体" w:hAnsi="宋体" w:cs="宋体"/>
                <w:b/>
                <w:kern w:val="0"/>
                <w:szCs w:val="21"/>
              </w:rPr>
            </w:pPr>
            <w:r>
              <w:rPr>
                <w:rFonts w:hint="eastAsia" w:ascii="宋体" w:hAnsi="宋体" w:cs="宋体"/>
                <w:b/>
                <w:kern w:val="0"/>
                <w:szCs w:val="21"/>
              </w:rPr>
              <w:t>服务子类</w:t>
            </w:r>
          </w:p>
        </w:tc>
        <w:tc>
          <w:tcPr>
            <w:tcW w:w="2017" w:type="pct"/>
            <w:shd w:val="clear" w:color="auto" w:fill="auto"/>
            <w:vAlign w:val="center"/>
          </w:tcPr>
          <w:p w14:paraId="66124F89">
            <w:pPr>
              <w:widowControl/>
              <w:snapToGrid w:val="0"/>
              <w:jc w:val="center"/>
              <w:rPr>
                <w:rFonts w:ascii="宋体" w:hAnsi="宋体" w:cs="宋体"/>
                <w:b/>
                <w:kern w:val="0"/>
                <w:szCs w:val="21"/>
              </w:rPr>
            </w:pPr>
            <w:r>
              <w:rPr>
                <w:rFonts w:hint="eastAsia" w:ascii="宋体" w:hAnsi="宋体" w:cs="宋体"/>
                <w:b/>
                <w:kern w:val="0"/>
                <w:szCs w:val="21"/>
              </w:rPr>
              <w:t>规格</w:t>
            </w:r>
          </w:p>
        </w:tc>
        <w:tc>
          <w:tcPr>
            <w:tcW w:w="718" w:type="pct"/>
            <w:shd w:val="clear" w:color="auto" w:fill="auto"/>
            <w:vAlign w:val="center"/>
          </w:tcPr>
          <w:p w14:paraId="677F174F">
            <w:pPr>
              <w:widowControl/>
              <w:snapToGrid w:val="0"/>
              <w:jc w:val="center"/>
              <w:rPr>
                <w:rFonts w:ascii="宋体" w:hAnsi="宋体" w:cs="宋体"/>
                <w:b/>
                <w:kern w:val="0"/>
                <w:szCs w:val="21"/>
                <w:u w:val="none"/>
                <w:shd w:val="pct10" w:color="auto" w:fill="FFFFFF"/>
              </w:rPr>
            </w:pPr>
            <w:r>
              <w:rPr>
                <w:rFonts w:hint="eastAsia" w:ascii="宋体" w:hAnsi="宋体" w:cs="宋体"/>
                <w:b/>
                <w:kern w:val="0"/>
                <w:szCs w:val="21"/>
                <w:u w:val="none"/>
                <w:shd w:val="pct10" w:color="auto" w:fill="FFFFFF"/>
              </w:rPr>
              <w:t>▲最高限价（元/月）</w:t>
            </w:r>
          </w:p>
        </w:tc>
      </w:tr>
      <w:tr w14:paraId="5CBD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restart"/>
            <w:shd w:val="clear" w:color="auto" w:fill="FFFFFF"/>
            <w:vAlign w:val="center"/>
          </w:tcPr>
          <w:p w14:paraId="0D6DDCBA">
            <w:pPr>
              <w:widowControl/>
              <w:snapToGrid w:val="0"/>
              <w:jc w:val="center"/>
              <w:rPr>
                <w:rFonts w:ascii="宋体" w:hAnsi="宋体" w:cs="宋体"/>
                <w:kern w:val="0"/>
                <w:szCs w:val="21"/>
              </w:rPr>
            </w:pPr>
            <w:r>
              <w:rPr>
                <w:rFonts w:hint="eastAsia" w:ascii="宋体" w:hAnsi="宋体" w:cs="宋体"/>
                <w:szCs w:val="21"/>
              </w:rPr>
              <w:t>密评加固服务</w:t>
            </w:r>
          </w:p>
        </w:tc>
        <w:tc>
          <w:tcPr>
            <w:tcW w:w="1768" w:type="pct"/>
            <w:shd w:val="clear" w:color="auto" w:fill="FFFFFF"/>
            <w:vAlign w:val="center"/>
          </w:tcPr>
          <w:p w14:paraId="3BED105C">
            <w:pPr>
              <w:widowControl/>
              <w:jc w:val="left"/>
              <w:rPr>
                <w:rFonts w:ascii="宋体" w:hAnsi="宋体" w:cs="宋体"/>
                <w:kern w:val="0"/>
                <w:szCs w:val="21"/>
              </w:rPr>
            </w:pPr>
            <w:r>
              <w:rPr>
                <w:rFonts w:hint="eastAsia" w:ascii="宋体" w:hAnsi="宋体" w:cs="宋体"/>
                <w:kern w:val="0"/>
                <w:szCs w:val="21"/>
              </w:rPr>
              <w:t>应用系统传输加密服务</w:t>
            </w:r>
          </w:p>
        </w:tc>
        <w:tc>
          <w:tcPr>
            <w:tcW w:w="2017" w:type="pct"/>
            <w:shd w:val="clear" w:color="auto" w:fill="FFFFFF"/>
            <w:vAlign w:val="center"/>
          </w:tcPr>
          <w:p w14:paraId="5FA0A391">
            <w:pPr>
              <w:widowControl/>
              <w:jc w:val="left"/>
              <w:rPr>
                <w:rFonts w:ascii="宋体" w:hAnsi="宋体" w:cs="宋体"/>
                <w:kern w:val="0"/>
                <w:szCs w:val="21"/>
              </w:rPr>
            </w:pPr>
            <w:r>
              <w:rPr>
                <w:rFonts w:hint="eastAsia" w:ascii="宋体" w:hAnsi="宋体" w:cs="宋体"/>
                <w:kern w:val="0"/>
                <w:szCs w:val="21"/>
              </w:rPr>
              <w:t>通道传输加密</w:t>
            </w:r>
          </w:p>
        </w:tc>
        <w:tc>
          <w:tcPr>
            <w:tcW w:w="718" w:type="pct"/>
            <w:shd w:val="clear" w:color="auto" w:fill="FFFFFF"/>
            <w:noWrap/>
            <w:vAlign w:val="center"/>
          </w:tcPr>
          <w:p w14:paraId="431AAAA4">
            <w:pPr>
              <w:widowControl/>
              <w:jc w:val="center"/>
              <w:rPr>
                <w:rFonts w:ascii="宋体" w:hAnsi="宋体" w:cs="宋体"/>
                <w:kern w:val="0"/>
                <w:szCs w:val="21"/>
                <w:u w:val="none"/>
              </w:rPr>
            </w:pPr>
            <w:r>
              <w:rPr>
                <w:rFonts w:hint="eastAsia" w:ascii="宋体" w:hAnsi="宋体" w:cs="宋体"/>
                <w:kern w:val="0"/>
                <w:szCs w:val="21"/>
                <w:u w:val="none"/>
              </w:rPr>
              <w:t>1666.67</w:t>
            </w:r>
          </w:p>
        </w:tc>
      </w:tr>
      <w:tr w14:paraId="061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shd w:val="clear" w:color="auto" w:fill="FFFFFF"/>
            <w:vAlign w:val="center"/>
          </w:tcPr>
          <w:p w14:paraId="4AABBF0E">
            <w:pPr>
              <w:widowControl/>
              <w:snapToGrid w:val="0"/>
              <w:jc w:val="center"/>
              <w:rPr>
                <w:rFonts w:ascii="宋体" w:hAnsi="宋体" w:cs="宋体"/>
                <w:kern w:val="0"/>
                <w:szCs w:val="21"/>
              </w:rPr>
            </w:pPr>
          </w:p>
        </w:tc>
        <w:tc>
          <w:tcPr>
            <w:tcW w:w="1768" w:type="pct"/>
            <w:shd w:val="clear" w:color="auto" w:fill="FFFFFF"/>
            <w:vAlign w:val="center"/>
          </w:tcPr>
          <w:p w14:paraId="1D87ADA4">
            <w:pPr>
              <w:widowControl/>
              <w:jc w:val="left"/>
              <w:rPr>
                <w:rFonts w:ascii="宋体" w:hAnsi="宋体" w:cs="宋体"/>
                <w:kern w:val="0"/>
                <w:szCs w:val="21"/>
              </w:rPr>
            </w:pPr>
            <w:r>
              <w:rPr>
                <w:rFonts w:hint="eastAsia" w:ascii="宋体" w:hAnsi="宋体" w:cs="宋体"/>
                <w:kern w:val="0"/>
                <w:szCs w:val="21"/>
              </w:rPr>
              <w:t>应用系统存储加密服务</w:t>
            </w:r>
          </w:p>
        </w:tc>
        <w:tc>
          <w:tcPr>
            <w:tcW w:w="2017" w:type="pct"/>
            <w:shd w:val="clear" w:color="auto" w:fill="FFFFFF"/>
            <w:vAlign w:val="center"/>
          </w:tcPr>
          <w:p w14:paraId="162A7795">
            <w:pPr>
              <w:widowControl/>
              <w:jc w:val="left"/>
              <w:rPr>
                <w:rFonts w:ascii="宋体" w:hAnsi="宋体" w:cs="宋体"/>
                <w:kern w:val="0"/>
                <w:szCs w:val="21"/>
              </w:rPr>
            </w:pPr>
            <w:r>
              <w:rPr>
                <w:rFonts w:hint="eastAsia" w:ascii="宋体" w:hAnsi="宋体" w:cs="宋体"/>
                <w:kern w:val="0"/>
                <w:szCs w:val="21"/>
              </w:rPr>
              <w:t>数据存储加密</w:t>
            </w:r>
          </w:p>
        </w:tc>
        <w:tc>
          <w:tcPr>
            <w:tcW w:w="718" w:type="pct"/>
            <w:shd w:val="clear" w:color="auto" w:fill="FFFFFF"/>
            <w:noWrap/>
            <w:vAlign w:val="center"/>
          </w:tcPr>
          <w:p w14:paraId="727D11CC">
            <w:pPr>
              <w:widowControl/>
              <w:jc w:val="center"/>
              <w:rPr>
                <w:rFonts w:ascii="宋体" w:hAnsi="宋体" w:cs="宋体"/>
                <w:kern w:val="0"/>
                <w:szCs w:val="21"/>
                <w:u w:val="none"/>
              </w:rPr>
            </w:pPr>
            <w:r>
              <w:rPr>
                <w:rFonts w:hint="eastAsia" w:ascii="宋体" w:hAnsi="宋体" w:cs="宋体"/>
                <w:kern w:val="0"/>
                <w:szCs w:val="21"/>
                <w:u w:val="none"/>
              </w:rPr>
              <w:t>2333.33</w:t>
            </w:r>
          </w:p>
        </w:tc>
      </w:tr>
      <w:tr w14:paraId="77ED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10BBC06D">
            <w:pPr>
              <w:widowControl/>
              <w:snapToGrid w:val="0"/>
              <w:jc w:val="center"/>
              <w:rPr>
                <w:rFonts w:ascii="宋体" w:hAnsi="宋体" w:cs="宋体"/>
                <w:kern w:val="0"/>
                <w:szCs w:val="21"/>
              </w:rPr>
            </w:pPr>
          </w:p>
        </w:tc>
        <w:tc>
          <w:tcPr>
            <w:tcW w:w="1768" w:type="pct"/>
            <w:vAlign w:val="center"/>
          </w:tcPr>
          <w:p w14:paraId="37F74106">
            <w:pPr>
              <w:widowControl/>
              <w:jc w:val="left"/>
              <w:rPr>
                <w:rFonts w:ascii="宋体" w:hAnsi="宋体" w:cs="宋体"/>
                <w:kern w:val="0"/>
                <w:szCs w:val="21"/>
              </w:rPr>
            </w:pPr>
            <w:r>
              <w:rPr>
                <w:rFonts w:hint="eastAsia" w:ascii="宋体" w:hAnsi="宋体" w:cs="宋体"/>
                <w:kern w:val="0"/>
                <w:szCs w:val="21"/>
              </w:rPr>
              <w:t>应用系统安全运维通道服务</w:t>
            </w:r>
          </w:p>
        </w:tc>
        <w:tc>
          <w:tcPr>
            <w:tcW w:w="2017" w:type="pct"/>
            <w:vAlign w:val="center"/>
          </w:tcPr>
          <w:p w14:paraId="19D36479">
            <w:pPr>
              <w:widowControl/>
              <w:jc w:val="left"/>
              <w:rPr>
                <w:rFonts w:ascii="宋体" w:hAnsi="宋体" w:cs="宋体"/>
                <w:kern w:val="0"/>
                <w:szCs w:val="21"/>
              </w:rPr>
            </w:pPr>
            <w:r>
              <w:rPr>
                <w:rFonts w:hint="eastAsia" w:ascii="宋体" w:hAnsi="宋体" w:cs="宋体"/>
                <w:kern w:val="0"/>
                <w:szCs w:val="21"/>
              </w:rPr>
              <w:t>运维通道加密，如vpn</w:t>
            </w:r>
          </w:p>
        </w:tc>
        <w:tc>
          <w:tcPr>
            <w:tcW w:w="718" w:type="pct"/>
            <w:vAlign w:val="center"/>
          </w:tcPr>
          <w:p w14:paraId="5508D15E">
            <w:pPr>
              <w:widowControl/>
              <w:jc w:val="center"/>
              <w:rPr>
                <w:rFonts w:ascii="宋体" w:hAnsi="宋体" w:cs="宋体"/>
                <w:kern w:val="0"/>
                <w:szCs w:val="21"/>
                <w:u w:val="none"/>
              </w:rPr>
            </w:pPr>
            <w:r>
              <w:rPr>
                <w:rFonts w:hint="eastAsia" w:ascii="宋体" w:hAnsi="宋体" w:cs="宋体"/>
                <w:kern w:val="0"/>
                <w:szCs w:val="21"/>
                <w:u w:val="none"/>
              </w:rPr>
              <w:t>500</w:t>
            </w:r>
          </w:p>
        </w:tc>
      </w:tr>
      <w:tr w14:paraId="5CF1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6" w:type="pct"/>
            <w:vMerge w:val="continue"/>
            <w:vAlign w:val="center"/>
          </w:tcPr>
          <w:p w14:paraId="5874146D">
            <w:pPr>
              <w:widowControl/>
              <w:snapToGrid w:val="0"/>
              <w:jc w:val="center"/>
              <w:rPr>
                <w:rFonts w:ascii="宋体" w:hAnsi="宋体" w:cs="宋体"/>
                <w:kern w:val="0"/>
                <w:szCs w:val="21"/>
              </w:rPr>
            </w:pPr>
          </w:p>
        </w:tc>
        <w:tc>
          <w:tcPr>
            <w:tcW w:w="1768" w:type="pct"/>
            <w:vAlign w:val="center"/>
          </w:tcPr>
          <w:p w14:paraId="36E0B858">
            <w:pPr>
              <w:widowControl/>
              <w:jc w:val="left"/>
              <w:rPr>
                <w:rFonts w:ascii="宋体" w:hAnsi="宋体" w:cs="宋体"/>
                <w:kern w:val="0"/>
                <w:szCs w:val="21"/>
              </w:rPr>
            </w:pPr>
            <w:r>
              <w:rPr>
                <w:rFonts w:hint="eastAsia" w:ascii="宋体" w:hAnsi="宋体" w:cs="宋体"/>
                <w:kern w:val="0"/>
                <w:szCs w:val="21"/>
              </w:rPr>
              <w:t>应用系统完整性校验服务</w:t>
            </w:r>
          </w:p>
        </w:tc>
        <w:tc>
          <w:tcPr>
            <w:tcW w:w="2017" w:type="pct"/>
            <w:vAlign w:val="center"/>
          </w:tcPr>
          <w:p w14:paraId="17BD0427">
            <w:pPr>
              <w:widowControl/>
              <w:jc w:val="left"/>
              <w:rPr>
                <w:rFonts w:ascii="宋体" w:hAnsi="宋体" w:cs="宋体"/>
                <w:kern w:val="0"/>
                <w:szCs w:val="21"/>
              </w:rPr>
            </w:pPr>
            <w:r>
              <w:rPr>
                <w:rFonts w:hint="eastAsia" w:ascii="宋体" w:hAnsi="宋体" w:cs="宋体"/>
                <w:kern w:val="0"/>
                <w:szCs w:val="21"/>
              </w:rPr>
              <w:t>提供数据接口对接、联调防止被反编译篡改/二次打包</w:t>
            </w:r>
          </w:p>
        </w:tc>
        <w:tc>
          <w:tcPr>
            <w:tcW w:w="718" w:type="pct"/>
            <w:vAlign w:val="center"/>
          </w:tcPr>
          <w:p w14:paraId="56B22A8C">
            <w:pPr>
              <w:widowControl/>
              <w:jc w:val="center"/>
              <w:rPr>
                <w:rFonts w:ascii="宋体" w:hAnsi="宋体" w:cs="宋体"/>
                <w:kern w:val="0"/>
                <w:szCs w:val="21"/>
                <w:u w:val="none"/>
              </w:rPr>
            </w:pPr>
            <w:r>
              <w:rPr>
                <w:rFonts w:hint="eastAsia" w:ascii="宋体" w:hAnsi="宋体" w:cs="宋体"/>
                <w:kern w:val="0"/>
                <w:szCs w:val="21"/>
                <w:u w:val="none"/>
              </w:rPr>
              <w:t>1666.67</w:t>
            </w:r>
          </w:p>
        </w:tc>
      </w:tr>
      <w:tr w14:paraId="18F6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96" w:type="pct"/>
            <w:vMerge w:val="continue"/>
            <w:shd w:val="clear" w:color="auto" w:fill="auto"/>
            <w:vAlign w:val="center"/>
          </w:tcPr>
          <w:p w14:paraId="7E4F8F9C">
            <w:pPr>
              <w:widowControl/>
              <w:snapToGrid w:val="0"/>
              <w:jc w:val="center"/>
              <w:rPr>
                <w:rFonts w:ascii="宋体" w:hAnsi="宋体" w:cs="宋体"/>
                <w:b/>
                <w:kern w:val="0"/>
                <w:szCs w:val="21"/>
              </w:rPr>
            </w:pPr>
          </w:p>
        </w:tc>
        <w:tc>
          <w:tcPr>
            <w:tcW w:w="1768" w:type="pct"/>
            <w:shd w:val="clear" w:color="auto" w:fill="auto"/>
            <w:vAlign w:val="center"/>
          </w:tcPr>
          <w:p w14:paraId="46327370">
            <w:pPr>
              <w:widowControl/>
              <w:jc w:val="center"/>
              <w:rPr>
                <w:rFonts w:ascii="宋体" w:hAnsi="宋体" w:cs="宋体"/>
                <w:b/>
                <w:kern w:val="0"/>
                <w:szCs w:val="21"/>
              </w:rPr>
            </w:pPr>
            <w:r>
              <w:rPr>
                <w:rFonts w:hint="eastAsia" w:ascii="宋体" w:hAnsi="宋体" w:cs="宋体"/>
                <w:b/>
                <w:kern w:val="0"/>
                <w:szCs w:val="21"/>
              </w:rPr>
              <w:t>服务子类</w:t>
            </w:r>
          </w:p>
        </w:tc>
        <w:tc>
          <w:tcPr>
            <w:tcW w:w="2017" w:type="pct"/>
            <w:shd w:val="clear" w:color="auto" w:fill="auto"/>
            <w:vAlign w:val="center"/>
          </w:tcPr>
          <w:p w14:paraId="5013C5D8">
            <w:pPr>
              <w:widowControl/>
              <w:jc w:val="center"/>
              <w:rPr>
                <w:rFonts w:ascii="宋体" w:hAnsi="宋体" w:cs="宋体"/>
                <w:b/>
                <w:kern w:val="0"/>
                <w:szCs w:val="21"/>
              </w:rPr>
            </w:pPr>
            <w:r>
              <w:rPr>
                <w:rFonts w:hint="eastAsia" w:ascii="宋体" w:hAnsi="宋体" w:cs="宋体"/>
                <w:b/>
                <w:kern w:val="0"/>
                <w:szCs w:val="21"/>
              </w:rPr>
              <w:t>规格</w:t>
            </w:r>
          </w:p>
        </w:tc>
        <w:tc>
          <w:tcPr>
            <w:tcW w:w="718" w:type="pct"/>
            <w:shd w:val="clear" w:color="auto" w:fill="auto"/>
            <w:vAlign w:val="center"/>
          </w:tcPr>
          <w:p w14:paraId="5C0E631A">
            <w:pPr>
              <w:widowControl/>
              <w:snapToGrid w:val="0"/>
              <w:jc w:val="center"/>
              <w:rPr>
                <w:rFonts w:ascii="宋体" w:hAnsi="宋体" w:cs="宋体"/>
                <w:b/>
                <w:kern w:val="0"/>
                <w:szCs w:val="21"/>
                <w:u w:val="none"/>
                <w:shd w:val="pct10" w:color="auto" w:fill="FFFFFF"/>
              </w:rPr>
            </w:pPr>
            <w:r>
              <w:rPr>
                <w:rFonts w:hint="eastAsia" w:ascii="宋体" w:hAnsi="宋体" w:cs="宋体"/>
                <w:b/>
                <w:kern w:val="0"/>
                <w:szCs w:val="21"/>
                <w:u w:val="none"/>
                <w:shd w:val="pct10" w:color="auto" w:fill="FFFFFF"/>
              </w:rPr>
              <w:t>▲最高限价（元）</w:t>
            </w:r>
          </w:p>
        </w:tc>
      </w:tr>
      <w:tr w14:paraId="6E5A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6" w:type="pct"/>
            <w:vMerge w:val="continue"/>
            <w:vAlign w:val="center"/>
          </w:tcPr>
          <w:p w14:paraId="0D015808">
            <w:pPr>
              <w:widowControl/>
              <w:snapToGrid w:val="0"/>
              <w:jc w:val="center"/>
              <w:rPr>
                <w:rFonts w:ascii="宋体" w:hAnsi="宋体" w:cs="宋体"/>
                <w:kern w:val="0"/>
                <w:szCs w:val="21"/>
              </w:rPr>
            </w:pPr>
          </w:p>
        </w:tc>
        <w:tc>
          <w:tcPr>
            <w:tcW w:w="1768" w:type="pct"/>
            <w:vAlign w:val="center"/>
          </w:tcPr>
          <w:p w14:paraId="3CB4361F">
            <w:pPr>
              <w:widowControl/>
              <w:jc w:val="left"/>
              <w:rPr>
                <w:rFonts w:ascii="宋体" w:hAnsi="宋体" w:cs="宋体"/>
                <w:b/>
                <w:kern w:val="0"/>
                <w:szCs w:val="21"/>
              </w:rPr>
            </w:pPr>
            <w:r>
              <w:rPr>
                <w:rFonts w:hint="eastAsia" w:ascii="宋体" w:hAnsi="宋体" w:cs="宋体"/>
                <w:kern w:val="0"/>
                <w:szCs w:val="21"/>
              </w:rPr>
              <w:t>网站国密站点SSL证书</w:t>
            </w:r>
          </w:p>
        </w:tc>
        <w:tc>
          <w:tcPr>
            <w:tcW w:w="2017" w:type="pct"/>
            <w:vAlign w:val="center"/>
          </w:tcPr>
          <w:p w14:paraId="21FB9C19">
            <w:pPr>
              <w:widowControl/>
              <w:jc w:val="left"/>
              <w:rPr>
                <w:rFonts w:ascii="宋体" w:hAnsi="宋体" w:cs="宋体"/>
                <w:b/>
                <w:kern w:val="0"/>
                <w:szCs w:val="21"/>
              </w:rPr>
            </w:pPr>
            <w:r>
              <w:rPr>
                <w:rFonts w:hint="eastAsia" w:ascii="宋体" w:hAnsi="宋体" w:cs="宋体"/>
                <w:kern w:val="0"/>
                <w:szCs w:val="21"/>
              </w:rPr>
              <w:t>国密SSL证书的安装与使用</w:t>
            </w:r>
          </w:p>
        </w:tc>
        <w:tc>
          <w:tcPr>
            <w:tcW w:w="718" w:type="pct"/>
            <w:vAlign w:val="center"/>
          </w:tcPr>
          <w:p w14:paraId="79766FD6">
            <w:pPr>
              <w:widowControl/>
              <w:snapToGrid w:val="0"/>
              <w:jc w:val="center"/>
              <w:rPr>
                <w:rFonts w:ascii="宋体" w:hAnsi="宋体" w:cs="宋体"/>
                <w:kern w:val="0"/>
                <w:szCs w:val="21"/>
                <w:u w:val="none"/>
                <w:lang w:bidi="ar"/>
              </w:rPr>
            </w:pPr>
            <w:r>
              <w:rPr>
                <w:rFonts w:hint="eastAsia" w:ascii="宋体" w:hAnsi="宋体" w:cs="宋体"/>
                <w:kern w:val="0"/>
                <w:szCs w:val="21"/>
                <w:u w:val="none"/>
                <w:lang w:bidi="ar"/>
              </w:rPr>
              <w:t>4000</w:t>
            </w:r>
          </w:p>
        </w:tc>
      </w:tr>
      <w:tr w14:paraId="1C7A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45EEF033">
            <w:pPr>
              <w:widowControl/>
              <w:snapToGrid w:val="0"/>
              <w:jc w:val="center"/>
              <w:rPr>
                <w:rFonts w:ascii="宋体" w:hAnsi="宋体" w:cs="宋体"/>
                <w:kern w:val="0"/>
                <w:szCs w:val="21"/>
              </w:rPr>
            </w:pPr>
          </w:p>
        </w:tc>
        <w:tc>
          <w:tcPr>
            <w:tcW w:w="1768" w:type="pct"/>
            <w:vAlign w:val="center"/>
          </w:tcPr>
          <w:p w14:paraId="2053D05E">
            <w:pPr>
              <w:widowControl/>
              <w:jc w:val="left"/>
              <w:rPr>
                <w:rFonts w:ascii="宋体" w:hAnsi="宋体" w:cs="宋体"/>
                <w:kern w:val="0"/>
                <w:szCs w:val="21"/>
              </w:rPr>
            </w:pPr>
            <w:r>
              <w:rPr>
                <w:rFonts w:hint="eastAsia" w:ascii="宋体" w:hAnsi="宋体" w:cs="宋体"/>
                <w:kern w:val="0"/>
                <w:szCs w:val="21"/>
              </w:rPr>
              <w:t>应用系统数字签名服务</w:t>
            </w:r>
          </w:p>
        </w:tc>
        <w:tc>
          <w:tcPr>
            <w:tcW w:w="2017" w:type="pct"/>
            <w:vAlign w:val="center"/>
          </w:tcPr>
          <w:p w14:paraId="2EE5783B">
            <w:pPr>
              <w:widowControl/>
              <w:jc w:val="left"/>
              <w:rPr>
                <w:rFonts w:ascii="宋体" w:hAnsi="宋体" w:cs="宋体"/>
                <w:kern w:val="0"/>
                <w:szCs w:val="21"/>
              </w:rPr>
            </w:pPr>
            <w:r>
              <w:rPr>
                <w:rFonts w:hint="eastAsia" w:ascii="宋体" w:hAnsi="宋体" w:cs="宋体"/>
                <w:kern w:val="0"/>
                <w:szCs w:val="21"/>
              </w:rPr>
              <w:t>应用系统数字签名服务</w:t>
            </w:r>
          </w:p>
        </w:tc>
        <w:tc>
          <w:tcPr>
            <w:tcW w:w="718" w:type="pct"/>
            <w:vAlign w:val="center"/>
          </w:tcPr>
          <w:p w14:paraId="490A6F7C">
            <w:pPr>
              <w:widowControl/>
              <w:snapToGrid w:val="0"/>
              <w:jc w:val="center"/>
              <w:rPr>
                <w:rFonts w:ascii="宋体" w:hAnsi="宋体" w:cs="宋体"/>
                <w:kern w:val="0"/>
                <w:szCs w:val="21"/>
                <w:u w:val="none"/>
                <w:lang w:bidi="ar"/>
              </w:rPr>
            </w:pPr>
            <w:r>
              <w:rPr>
                <w:rFonts w:hint="eastAsia" w:ascii="宋体" w:hAnsi="宋体" w:cs="宋体"/>
                <w:kern w:val="0"/>
                <w:szCs w:val="21"/>
                <w:u w:val="none"/>
                <w:lang w:bidi="ar"/>
              </w:rPr>
              <w:t>6000</w:t>
            </w:r>
          </w:p>
        </w:tc>
      </w:tr>
      <w:tr w14:paraId="509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4D7534E2">
            <w:pPr>
              <w:widowControl/>
              <w:snapToGrid w:val="0"/>
              <w:jc w:val="center"/>
              <w:rPr>
                <w:rFonts w:ascii="宋体" w:hAnsi="宋体" w:cs="宋体"/>
                <w:kern w:val="0"/>
                <w:szCs w:val="21"/>
              </w:rPr>
            </w:pPr>
          </w:p>
        </w:tc>
        <w:tc>
          <w:tcPr>
            <w:tcW w:w="1768" w:type="pct"/>
            <w:vAlign w:val="center"/>
          </w:tcPr>
          <w:p w14:paraId="51202223">
            <w:pPr>
              <w:widowControl/>
              <w:jc w:val="left"/>
              <w:rPr>
                <w:rFonts w:ascii="宋体" w:hAnsi="宋体" w:cs="宋体"/>
                <w:kern w:val="0"/>
                <w:szCs w:val="21"/>
              </w:rPr>
            </w:pPr>
            <w:r>
              <w:rPr>
                <w:rFonts w:hint="eastAsia" w:ascii="宋体" w:hAnsi="宋体" w:cs="宋体"/>
                <w:kern w:val="0"/>
                <w:szCs w:val="21"/>
              </w:rPr>
              <w:t>应用系统密钥管理服务</w:t>
            </w:r>
          </w:p>
        </w:tc>
        <w:tc>
          <w:tcPr>
            <w:tcW w:w="2017" w:type="pct"/>
            <w:vAlign w:val="center"/>
          </w:tcPr>
          <w:p w14:paraId="7BCDECB6">
            <w:pPr>
              <w:widowControl/>
              <w:jc w:val="left"/>
              <w:rPr>
                <w:rFonts w:ascii="宋体" w:hAnsi="宋体" w:cs="宋体"/>
                <w:kern w:val="0"/>
                <w:szCs w:val="21"/>
              </w:rPr>
            </w:pPr>
            <w:r>
              <w:rPr>
                <w:rFonts w:hint="eastAsia" w:ascii="宋体" w:hAnsi="宋体" w:cs="宋体"/>
                <w:kern w:val="0"/>
                <w:szCs w:val="21"/>
              </w:rPr>
              <w:t>应用系统密钥管理服务</w:t>
            </w:r>
          </w:p>
        </w:tc>
        <w:tc>
          <w:tcPr>
            <w:tcW w:w="718" w:type="pct"/>
            <w:vAlign w:val="center"/>
          </w:tcPr>
          <w:p w14:paraId="74DD7B86">
            <w:pPr>
              <w:widowControl/>
              <w:snapToGrid w:val="0"/>
              <w:jc w:val="center"/>
              <w:rPr>
                <w:rFonts w:ascii="宋体" w:hAnsi="宋体" w:cs="宋体"/>
                <w:kern w:val="0"/>
                <w:szCs w:val="21"/>
                <w:u w:val="none"/>
                <w:lang w:bidi="ar"/>
              </w:rPr>
            </w:pPr>
            <w:r>
              <w:rPr>
                <w:rFonts w:hint="eastAsia" w:ascii="宋体" w:hAnsi="宋体" w:cs="宋体"/>
                <w:kern w:val="0"/>
                <w:szCs w:val="21"/>
                <w:u w:val="none"/>
                <w:lang w:bidi="ar"/>
              </w:rPr>
              <w:t>7000</w:t>
            </w:r>
          </w:p>
        </w:tc>
      </w:tr>
      <w:tr w14:paraId="62D4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0EEF15FA">
            <w:pPr>
              <w:widowControl/>
              <w:snapToGrid w:val="0"/>
              <w:jc w:val="center"/>
              <w:rPr>
                <w:rFonts w:ascii="宋体" w:hAnsi="宋体" w:cs="宋体"/>
                <w:kern w:val="0"/>
                <w:szCs w:val="21"/>
              </w:rPr>
            </w:pPr>
          </w:p>
        </w:tc>
        <w:tc>
          <w:tcPr>
            <w:tcW w:w="1768" w:type="pct"/>
            <w:vAlign w:val="center"/>
          </w:tcPr>
          <w:p w14:paraId="3D24ED51">
            <w:pPr>
              <w:widowControl/>
              <w:jc w:val="center"/>
              <w:rPr>
                <w:rFonts w:ascii="宋体" w:hAnsi="宋体" w:cs="宋体"/>
                <w:b/>
                <w:kern w:val="0"/>
                <w:szCs w:val="21"/>
              </w:rPr>
            </w:pPr>
            <w:r>
              <w:rPr>
                <w:rFonts w:hint="eastAsia" w:ascii="宋体" w:hAnsi="宋体" w:cs="宋体"/>
                <w:b/>
                <w:kern w:val="0"/>
                <w:szCs w:val="21"/>
              </w:rPr>
              <w:t>服务子类</w:t>
            </w:r>
          </w:p>
        </w:tc>
        <w:tc>
          <w:tcPr>
            <w:tcW w:w="2017" w:type="pct"/>
            <w:vAlign w:val="center"/>
          </w:tcPr>
          <w:p w14:paraId="07B81755">
            <w:pPr>
              <w:widowControl/>
              <w:jc w:val="center"/>
              <w:rPr>
                <w:rFonts w:ascii="宋体" w:hAnsi="宋体" w:cs="宋体"/>
                <w:b/>
                <w:kern w:val="0"/>
                <w:szCs w:val="21"/>
              </w:rPr>
            </w:pPr>
            <w:r>
              <w:rPr>
                <w:rFonts w:hint="eastAsia" w:ascii="宋体" w:hAnsi="宋体" w:cs="宋体"/>
                <w:b/>
                <w:kern w:val="0"/>
                <w:szCs w:val="21"/>
              </w:rPr>
              <w:t>规格</w:t>
            </w:r>
          </w:p>
        </w:tc>
        <w:tc>
          <w:tcPr>
            <w:tcW w:w="718" w:type="pct"/>
            <w:vAlign w:val="center"/>
          </w:tcPr>
          <w:p w14:paraId="409E9FC0">
            <w:pPr>
              <w:widowControl/>
              <w:snapToGrid w:val="0"/>
              <w:jc w:val="center"/>
              <w:rPr>
                <w:rFonts w:ascii="宋体" w:hAnsi="宋体" w:cs="宋体"/>
                <w:b/>
                <w:kern w:val="0"/>
                <w:szCs w:val="21"/>
                <w:u w:val="none"/>
                <w:shd w:val="pct10" w:color="auto" w:fill="FFFFFF"/>
              </w:rPr>
            </w:pPr>
            <w:r>
              <w:rPr>
                <w:rFonts w:hint="eastAsia" w:ascii="宋体" w:hAnsi="宋体" w:cs="宋体"/>
                <w:b/>
                <w:kern w:val="0"/>
                <w:szCs w:val="21"/>
                <w:u w:val="none"/>
                <w:shd w:val="pct10" w:color="auto" w:fill="FFFFFF"/>
              </w:rPr>
              <w:t>▲最高限价（元/一次性）</w:t>
            </w:r>
          </w:p>
        </w:tc>
      </w:tr>
      <w:tr w14:paraId="1105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6" w:type="pct"/>
            <w:vMerge w:val="continue"/>
            <w:vAlign w:val="center"/>
          </w:tcPr>
          <w:p w14:paraId="683A3EBC">
            <w:pPr>
              <w:widowControl/>
              <w:snapToGrid w:val="0"/>
              <w:jc w:val="center"/>
              <w:rPr>
                <w:rFonts w:ascii="宋体" w:hAnsi="宋体" w:cs="宋体"/>
                <w:kern w:val="0"/>
                <w:szCs w:val="21"/>
              </w:rPr>
            </w:pPr>
          </w:p>
        </w:tc>
        <w:tc>
          <w:tcPr>
            <w:tcW w:w="1768" w:type="pct"/>
            <w:vAlign w:val="center"/>
          </w:tcPr>
          <w:p w14:paraId="3B1CE8B8">
            <w:pPr>
              <w:widowControl/>
              <w:jc w:val="left"/>
              <w:rPr>
                <w:rFonts w:ascii="宋体" w:hAnsi="宋体" w:cs="宋体"/>
                <w:kern w:val="0"/>
                <w:szCs w:val="21"/>
              </w:rPr>
            </w:pPr>
            <w:r>
              <w:rPr>
                <w:rFonts w:hint="eastAsia" w:ascii="宋体" w:hAnsi="宋体" w:cs="宋体"/>
                <w:kern w:val="0"/>
                <w:szCs w:val="21"/>
              </w:rPr>
              <w:t>国密浏览器</w:t>
            </w:r>
          </w:p>
        </w:tc>
        <w:tc>
          <w:tcPr>
            <w:tcW w:w="2017" w:type="pct"/>
            <w:vAlign w:val="center"/>
          </w:tcPr>
          <w:p w14:paraId="11067DF4">
            <w:pPr>
              <w:widowControl/>
              <w:jc w:val="left"/>
              <w:rPr>
                <w:rFonts w:ascii="宋体" w:hAnsi="宋体" w:cs="宋体"/>
                <w:kern w:val="0"/>
                <w:szCs w:val="21"/>
              </w:rPr>
            </w:pPr>
            <w:r>
              <w:rPr>
                <w:rFonts w:hint="eastAsia" w:ascii="宋体" w:hAnsi="宋体" w:cs="宋体"/>
                <w:kern w:val="0"/>
                <w:szCs w:val="21"/>
              </w:rPr>
              <w:t>国密浏览器安装与使用</w:t>
            </w:r>
          </w:p>
        </w:tc>
        <w:tc>
          <w:tcPr>
            <w:tcW w:w="718" w:type="pct"/>
            <w:vAlign w:val="center"/>
          </w:tcPr>
          <w:p w14:paraId="5DF1C6B7">
            <w:pPr>
              <w:widowControl/>
              <w:snapToGrid w:val="0"/>
              <w:jc w:val="center"/>
              <w:rPr>
                <w:rFonts w:ascii="宋体" w:hAnsi="宋体" w:cs="宋体"/>
                <w:kern w:val="0"/>
                <w:szCs w:val="21"/>
                <w:u w:val="none"/>
                <w:lang w:bidi="ar"/>
              </w:rPr>
            </w:pPr>
            <w:r>
              <w:rPr>
                <w:rFonts w:hint="eastAsia" w:ascii="宋体" w:hAnsi="宋体" w:cs="宋体"/>
                <w:kern w:val="0"/>
                <w:szCs w:val="21"/>
                <w:u w:val="none"/>
                <w:lang w:bidi="ar"/>
              </w:rPr>
              <w:t>1000</w:t>
            </w:r>
          </w:p>
        </w:tc>
      </w:tr>
      <w:tr w14:paraId="72A9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7BD6ADCE">
            <w:pPr>
              <w:widowControl/>
              <w:snapToGrid w:val="0"/>
              <w:jc w:val="center"/>
              <w:rPr>
                <w:rFonts w:ascii="宋体" w:hAnsi="宋体" w:cs="宋体"/>
                <w:kern w:val="0"/>
                <w:szCs w:val="21"/>
              </w:rPr>
            </w:pPr>
          </w:p>
        </w:tc>
        <w:tc>
          <w:tcPr>
            <w:tcW w:w="1768" w:type="pct"/>
            <w:vAlign w:val="center"/>
          </w:tcPr>
          <w:p w14:paraId="317A2CEE">
            <w:pPr>
              <w:widowControl/>
              <w:jc w:val="left"/>
              <w:rPr>
                <w:rFonts w:ascii="宋体" w:hAnsi="宋体" w:cs="宋体"/>
                <w:kern w:val="0"/>
                <w:szCs w:val="21"/>
              </w:rPr>
            </w:pPr>
            <w:r>
              <w:rPr>
                <w:rFonts w:hint="eastAsia" w:ascii="宋体" w:hAnsi="宋体" w:cs="宋体"/>
                <w:kern w:val="0"/>
                <w:szCs w:val="21"/>
              </w:rPr>
              <w:t>应用系统密码改造方案编写</w:t>
            </w:r>
          </w:p>
        </w:tc>
        <w:tc>
          <w:tcPr>
            <w:tcW w:w="2017" w:type="pct"/>
            <w:vAlign w:val="center"/>
          </w:tcPr>
          <w:p w14:paraId="2EF83763">
            <w:pPr>
              <w:widowControl/>
              <w:jc w:val="left"/>
              <w:rPr>
                <w:rFonts w:ascii="宋体" w:hAnsi="宋体" w:cs="宋体"/>
                <w:kern w:val="0"/>
                <w:szCs w:val="21"/>
              </w:rPr>
            </w:pPr>
            <w:r>
              <w:rPr>
                <w:rFonts w:hint="eastAsia" w:ascii="宋体" w:hAnsi="宋体" w:cs="宋体"/>
                <w:kern w:val="0"/>
                <w:szCs w:val="21"/>
              </w:rPr>
              <w:t>商用密码改造方案编写（业务不改变）</w:t>
            </w:r>
          </w:p>
        </w:tc>
        <w:tc>
          <w:tcPr>
            <w:tcW w:w="718" w:type="pct"/>
            <w:vAlign w:val="center"/>
          </w:tcPr>
          <w:p w14:paraId="7B0F147A">
            <w:pPr>
              <w:widowControl/>
              <w:snapToGrid w:val="0"/>
              <w:jc w:val="center"/>
              <w:rPr>
                <w:rFonts w:ascii="宋体" w:hAnsi="宋体" w:cs="宋体"/>
                <w:kern w:val="0"/>
                <w:szCs w:val="21"/>
                <w:u w:val="none"/>
                <w:lang w:bidi="ar"/>
              </w:rPr>
            </w:pPr>
            <w:r>
              <w:rPr>
                <w:rFonts w:hint="eastAsia" w:ascii="宋体" w:hAnsi="宋体" w:cs="宋体"/>
                <w:kern w:val="0"/>
                <w:szCs w:val="21"/>
                <w:u w:val="none"/>
                <w:lang w:bidi="ar"/>
              </w:rPr>
              <w:t>5000</w:t>
            </w:r>
          </w:p>
        </w:tc>
      </w:tr>
      <w:tr w14:paraId="6207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120FF7FB">
            <w:pPr>
              <w:widowControl/>
              <w:snapToGrid w:val="0"/>
              <w:jc w:val="center"/>
              <w:rPr>
                <w:rFonts w:ascii="宋体" w:hAnsi="宋体" w:cs="宋体"/>
                <w:kern w:val="0"/>
                <w:szCs w:val="21"/>
              </w:rPr>
            </w:pPr>
          </w:p>
        </w:tc>
        <w:tc>
          <w:tcPr>
            <w:tcW w:w="1768" w:type="pct"/>
            <w:vAlign w:val="center"/>
          </w:tcPr>
          <w:p w14:paraId="48459AAD">
            <w:pPr>
              <w:widowControl/>
              <w:jc w:val="left"/>
              <w:rPr>
                <w:rFonts w:ascii="宋体" w:hAnsi="宋体" w:cs="宋体"/>
                <w:kern w:val="0"/>
                <w:szCs w:val="21"/>
              </w:rPr>
            </w:pPr>
            <w:r>
              <w:rPr>
                <w:rFonts w:hint="eastAsia" w:ascii="宋体" w:hAnsi="宋体" w:cs="宋体"/>
                <w:kern w:val="0"/>
                <w:szCs w:val="21"/>
              </w:rPr>
              <w:t>应用系统密评的解决方案咨询服务</w:t>
            </w:r>
          </w:p>
        </w:tc>
        <w:tc>
          <w:tcPr>
            <w:tcW w:w="2017" w:type="pct"/>
            <w:vAlign w:val="center"/>
          </w:tcPr>
          <w:p w14:paraId="44CD0668">
            <w:pPr>
              <w:widowControl/>
              <w:jc w:val="left"/>
              <w:rPr>
                <w:rFonts w:ascii="宋体" w:hAnsi="宋体" w:cs="宋体"/>
                <w:kern w:val="0"/>
                <w:szCs w:val="21"/>
              </w:rPr>
            </w:pPr>
            <w:r>
              <w:rPr>
                <w:rFonts w:hint="eastAsia" w:ascii="宋体" w:hAnsi="宋体" w:cs="宋体"/>
                <w:kern w:val="0"/>
                <w:szCs w:val="21"/>
              </w:rPr>
              <w:t>密码方案的过程咨询、问题关闭等</w:t>
            </w:r>
          </w:p>
        </w:tc>
        <w:tc>
          <w:tcPr>
            <w:tcW w:w="718" w:type="pct"/>
            <w:vAlign w:val="center"/>
          </w:tcPr>
          <w:p w14:paraId="46AD3F7E">
            <w:pPr>
              <w:widowControl/>
              <w:snapToGrid w:val="0"/>
              <w:jc w:val="center"/>
              <w:rPr>
                <w:rFonts w:ascii="宋体" w:hAnsi="宋体" w:cs="宋体"/>
                <w:kern w:val="0"/>
                <w:szCs w:val="21"/>
                <w:u w:val="none"/>
                <w:lang w:bidi="ar"/>
              </w:rPr>
            </w:pPr>
            <w:r>
              <w:rPr>
                <w:rFonts w:hint="eastAsia" w:ascii="宋体" w:hAnsi="宋体" w:cs="宋体"/>
                <w:kern w:val="0"/>
                <w:szCs w:val="21"/>
                <w:u w:val="none"/>
                <w:lang w:bidi="ar"/>
              </w:rPr>
              <w:t>3000</w:t>
            </w:r>
          </w:p>
        </w:tc>
      </w:tr>
      <w:tr w14:paraId="1FA8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584BAA9A">
            <w:pPr>
              <w:widowControl/>
              <w:snapToGrid w:val="0"/>
              <w:jc w:val="center"/>
              <w:rPr>
                <w:rFonts w:ascii="宋体" w:hAnsi="宋体" w:cs="宋体"/>
                <w:kern w:val="0"/>
                <w:szCs w:val="21"/>
              </w:rPr>
            </w:pPr>
          </w:p>
        </w:tc>
        <w:tc>
          <w:tcPr>
            <w:tcW w:w="1768" w:type="pct"/>
            <w:vAlign w:val="center"/>
          </w:tcPr>
          <w:p w14:paraId="33874B92">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可选套餐</w:t>
            </w:r>
          </w:p>
        </w:tc>
        <w:tc>
          <w:tcPr>
            <w:tcW w:w="2017" w:type="pct"/>
            <w:vAlign w:val="center"/>
          </w:tcPr>
          <w:p w14:paraId="3ABCA7E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服务子类</w:t>
            </w:r>
          </w:p>
        </w:tc>
        <w:tc>
          <w:tcPr>
            <w:tcW w:w="718" w:type="pct"/>
            <w:vAlign w:val="center"/>
          </w:tcPr>
          <w:p w14:paraId="3601EC4B">
            <w:pPr>
              <w:widowControl/>
              <w:snapToGrid w:val="0"/>
              <w:jc w:val="center"/>
              <w:rPr>
                <w:rFonts w:hint="eastAsia" w:ascii="宋体" w:hAnsi="宋体" w:cs="宋体"/>
                <w:kern w:val="0"/>
                <w:szCs w:val="21"/>
                <w:u w:val="none"/>
                <w:lang w:bidi="ar"/>
              </w:rPr>
            </w:pPr>
            <w:r>
              <w:rPr>
                <w:rFonts w:hint="eastAsia" w:ascii="宋体" w:hAnsi="宋体" w:cs="宋体"/>
                <w:b/>
                <w:kern w:val="0"/>
                <w:szCs w:val="21"/>
                <w:u w:val="none"/>
                <w:shd w:val="pct10" w:color="auto" w:fill="FFFFFF"/>
              </w:rPr>
              <w:t>▲最高限价</w:t>
            </w:r>
          </w:p>
        </w:tc>
      </w:tr>
      <w:tr w14:paraId="6424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4A8FFF27">
            <w:pPr>
              <w:widowControl/>
              <w:snapToGrid w:val="0"/>
              <w:jc w:val="center"/>
              <w:rPr>
                <w:rFonts w:ascii="宋体" w:hAnsi="宋体" w:cs="宋体"/>
                <w:kern w:val="0"/>
                <w:szCs w:val="21"/>
              </w:rPr>
            </w:pPr>
          </w:p>
        </w:tc>
        <w:tc>
          <w:tcPr>
            <w:tcW w:w="1768" w:type="pct"/>
            <w:vMerge w:val="restart"/>
            <w:vAlign w:val="center"/>
          </w:tcPr>
          <w:p w14:paraId="4455D704">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密评二级加固（必选）</w:t>
            </w:r>
          </w:p>
        </w:tc>
        <w:tc>
          <w:tcPr>
            <w:tcW w:w="2017" w:type="pct"/>
            <w:vAlign w:val="center"/>
          </w:tcPr>
          <w:p w14:paraId="397D2EE1">
            <w:pPr>
              <w:widowControl/>
              <w:jc w:val="left"/>
              <w:rPr>
                <w:rFonts w:hint="eastAsia" w:ascii="宋体" w:hAnsi="宋体" w:cs="宋体"/>
                <w:kern w:val="0"/>
                <w:szCs w:val="21"/>
              </w:rPr>
            </w:pPr>
            <w:r>
              <w:rPr>
                <w:rFonts w:hint="eastAsia" w:ascii="宋体" w:hAnsi="宋体" w:cs="宋体"/>
                <w:kern w:val="0"/>
                <w:szCs w:val="21"/>
              </w:rPr>
              <w:t>应用系统存储加密服务</w:t>
            </w:r>
          </w:p>
        </w:tc>
        <w:tc>
          <w:tcPr>
            <w:tcW w:w="718" w:type="pct"/>
            <w:vMerge w:val="restart"/>
            <w:vAlign w:val="center"/>
          </w:tcPr>
          <w:p w14:paraId="032ACC2F">
            <w:pPr>
              <w:widowControl/>
              <w:snapToGrid w:val="0"/>
              <w:jc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4500元/月</w:t>
            </w:r>
          </w:p>
        </w:tc>
      </w:tr>
      <w:tr w14:paraId="529B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719974C1">
            <w:pPr>
              <w:widowControl/>
              <w:snapToGrid w:val="0"/>
              <w:jc w:val="center"/>
              <w:rPr>
                <w:rFonts w:ascii="宋体" w:hAnsi="宋体" w:cs="宋体"/>
                <w:kern w:val="0"/>
                <w:szCs w:val="21"/>
              </w:rPr>
            </w:pPr>
          </w:p>
        </w:tc>
        <w:tc>
          <w:tcPr>
            <w:tcW w:w="1768" w:type="pct"/>
            <w:vMerge w:val="continue"/>
            <w:vAlign w:val="center"/>
          </w:tcPr>
          <w:p w14:paraId="43570D18">
            <w:pPr>
              <w:widowControl/>
              <w:jc w:val="left"/>
              <w:rPr>
                <w:rFonts w:hint="eastAsia" w:ascii="宋体" w:hAnsi="宋体" w:cs="宋体"/>
                <w:kern w:val="0"/>
                <w:szCs w:val="21"/>
                <w:lang w:val="en-US" w:eastAsia="zh-CN"/>
              </w:rPr>
            </w:pPr>
          </w:p>
        </w:tc>
        <w:tc>
          <w:tcPr>
            <w:tcW w:w="2017" w:type="pct"/>
            <w:vAlign w:val="center"/>
          </w:tcPr>
          <w:p w14:paraId="1DCC2EEE">
            <w:pPr>
              <w:widowControl/>
              <w:jc w:val="left"/>
              <w:rPr>
                <w:rFonts w:hint="eastAsia" w:ascii="宋体" w:hAnsi="宋体" w:cs="宋体"/>
                <w:kern w:val="0"/>
                <w:szCs w:val="21"/>
              </w:rPr>
            </w:pPr>
            <w:r>
              <w:rPr>
                <w:rFonts w:hint="eastAsia" w:ascii="宋体" w:hAnsi="宋体" w:cs="宋体"/>
                <w:kern w:val="0"/>
                <w:szCs w:val="21"/>
              </w:rPr>
              <w:t>应用系统安全运维通道服务</w:t>
            </w:r>
          </w:p>
        </w:tc>
        <w:tc>
          <w:tcPr>
            <w:tcW w:w="718" w:type="pct"/>
            <w:vMerge w:val="continue"/>
            <w:vAlign w:val="center"/>
          </w:tcPr>
          <w:p w14:paraId="7EB00FCA">
            <w:pPr>
              <w:widowControl/>
              <w:snapToGrid w:val="0"/>
              <w:jc w:val="center"/>
              <w:rPr>
                <w:rFonts w:hint="eastAsia" w:ascii="宋体" w:hAnsi="宋体" w:cs="宋体"/>
                <w:kern w:val="0"/>
                <w:szCs w:val="21"/>
                <w:lang w:bidi="ar"/>
              </w:rPr>
            </w:pPr>
          </w:p>
        </w:tc>
      </w:tr>
      <w:tr w14:paraId="50D4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2019FFE2">
            <w:pPr>
              <w:widowControl/>
              <w:snapToGrid w:val="0"/>
              <w:jc w:val="center"/>
              <w:rPr>
                <w:rFonts w:ascii="宋体" w:hAnsi="宋体" w:cs="宋体"/>
                <w:kern w:val="0"/>
                <w:szCs w:val="21"/>
              </w:rPr>
            </w:pPr>
          </w:p>
        </w:tc>
        <w:tc>
          <w:tcPr>
            <w:tcW w:w="1768" w:type="pct"/>
            <w:vMerge w:val="continue"/>
            <w:vAlign w:val="center"/>
          </w:tcPr>
          <w:p w14:paraId="06B383A6">
            <w:pPr>
              <w:widowControl/>
              <w:jc w:val="left"/>
              <w:rPr>
                <w:rFonts w:hint="eastAsia" w:ascii="宋体" w:hAnsi="宋体" w:cs="宋体"/>
                <w:kern w:val="0"/>
                <w:szCs w:val="21"/>
                <w:lang w:val="en-US" w:eastAsia="zh-CN"/>
              </w:rPr>
            </w:pPr>
          </w:p>
        </w:tc>
        <w:tc>
          <w:tcPr>
            <w:tcW w:w="2017" w:type="pct"/>
            <w:vAlign w:val="center"/>
          </w:tcPr>
          <w:p w14:paraId="4F72BC61">
            <w:pPr>
              <w:widowControl/>
              <w:jc w:val="left"/>
              <w:rPr>
                <w:rFonts w:hint="eastAsia" w:ascii="宋体" w:hAnsi="宋体" w:cs="宋体"/>
                <w:kern w:val="0"/>
                <w:szCs w:val="21"/>
              </w:rPr>
            </w:pPr>
            <w:r>
              <w:rPr>
                <w:rFonts w:hint="eastAsia" w:ascii="宋体" w:hAnsi="宋体" w:cs="宋体"/>
                <w:kern w:val="0"/>
                <w:szCs w:val="21"/>
              </w:rPr>
              <w:t>应用系统完整性校验服务</w:t>
            </w:r>
          </w:p>
        </w:tc>
        <w:tc>
          <w:tcPr>
            <w:tcW w:w="718" w:type="pct"/>
            <w:vMerge w:val="continue"/>
            <w:vAlign w:val="center"/>
          </w:tcPr>
          <w:p w14:paraId="59CAAC98">
            <w:pPr>
              <w:widowControl/>
              <w:snapToGrid w:val="0"/>
              <w:jc w:val="center"/>
              <w:rPr>
                <w:rFonts w:hint="eastAsia" w:ascii="宋体" w:hAnsi="宋体" w:cs="宋体"/>
                <w:kern w:val="0"/>
                <w:szCs w:val="21"/>
                <w:lang w:bidi="ar"/>
              </w:rPr>
            </w:pPr>
          </w:p>
        </w:tc>
      </w:tr>
      <w:tr w14:paraId="33FC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6928CB00">
            <w:pPr>
              <w:widowControl/>
              <w:snapToGrid w:val="0"/>
              <w:jc w:val="center"/>
              <w:rPr>
                <w:rFonts w:ascii="宋体" w:hAnsi="宋体" w:cs="宋体"/>
                <w:kern w:val="0"/>
                <w:szCs w:val="21"/>
              </w:rPr>
            </w:pPr>
          </w:p>
        </w:tc>
        <w:tc>
          <w:tcPr>
            <w:tcW w:w="1768" w:type="pct"/>
            <w:vMerge w:val="restart"/>
            <w:vAlign w:val="center"/>
          </w:tcPr>
          <w:p w14:paraId="766D79CB">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密评三级加固（必选）</w:t>
            </w:r>
          </w:p>
        </w:tc>
        <w:tc>
          <w:tcPr>
            <w:tcW w:w="2017" w:type="pct"/>
            <w:vAlign w:val="center"/>
          </w:tcPr>
          <w:p w14:paraId="69A6A5F8">
            <w:pPr>
              <w:widowControl/>
              <w:jc w:val="left"/>
              <w:rPr>
                <w:rFonts w:hint="default" w:ascii="宋体" w:hAnsi="宋体" w:eastAsia="宋体" w:cs="宋体"/>
                <w:kern w:val="0"/>
                <w:szCs w:val="21"/>
                <w:lang w:val="en-US" w:eastAsia="zh-CN"/>
              </w:rPr>
            </w:pPr>
            <w:r>
              <w:rPr>
                <w:rFonts w:hint="eastAsia" w:ascii="宋体" w:hAnsi="宋体" w:cs="宋体"/>
                <w:kern w:val="0"/>
                <w:szCs w:val="21"/>
              </w:rPr>
              <w:t>应用系统传输加密服务</w:t>
            </w:r>
          </w:p>
        </w:tc>
        <w:tc>
          <w:tcPr>
            <w:tcW w:w="718" w:type="pct"/>
            <w:vMerge w:val="restart"/>
            <w:vAlign w:val="center"/>
          </w:tcPr>
          <w:p w14:paraId="42D67845">
            <w:pPr>
              <w:widowControl/>
              <w:snapToGrid w:val="0"/>
              <w:jc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6166.67元/月</w:t>
            </w:r>
          </w:p>
        </w:tc>
      </w:tr>
      <w:tr w14:paraId="493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3462DFBD">
            <w:pPr>
              <w:widowControl/>
              <w:snapToGrid w:val="0"/>
              <w:jc w:val="center"/>
              <w:rPr>
                <w:rFonts w:ascii="宋体" w:hAnsi="宋体" w:cs="宋体"/>
                <w:kern w:val="0"/>
                <w:szCs w:val="21"/>
              </w:rPr>
            </w:pPr>
          </w:p>
        </w:tc>
        <w:tc>
          <w:tcPr>
            <w:tcW w:w="1768" w:type="pct"/>
            <w:vMerge w:val="continue"/>
            <w:vAlign w:val="center"/>
          </w:tcPr>
          <w:p w14:paraId="5C38281A">
            <w:pPr>
              <w:widowControl/>
              <w:jc w:val="left"/>
              <w:rPr>
                <w:rFonts w:hint="eastAsia" w:ascii="宋体" w:hAnsi="宋体" w:cs="宋体"/>
                <w:kern w:val="0"/>
                <w:szCs w:val="21"/>
                <w:lang w:val="en-US" w:eastAsia="zh-CN"/>
              </w:rPr>
            </w:pPr>
          </w:p>
        </w:tc>
        <w:tc>
          <w:tcPr>
            <w:tcW w:w="2017" w:type="pct"/>
            <w:vAlign w:val="center"/>
          </w:tcPr>
          <w:p w14:paraId="77CFE902">
            <w:pPr>
              <w:widowControl/>
              <w:jc w:val="left"/>
              <w:rPr>
                <w:rFonts w:hint="eastAsia" w:ascii="宋体" w:hAnsi="宋体" w:cs="宋体"/>
                <w:kern w:val="0"/>
                <w:szCs w:val="21"/>
              </w:rPr>
            </w:pPr>
            <w:r>
              <w:rPr>
                <w:rFonts w:hint="eastAsia" w:ascii="宋体" w:hAnsi="宋体" w:cs="宋体"/>
                <w:kern w:val="0"/>
                <w:szCs w:val="21"/>
              </w:rPr>
              <w:t>应用系统存储加密服务</w:t>
            </w:r>
          </w:p>
        </w:tc>
        <w:tc>
          <w:tcPr>
            <w:tcW w:w="718" w:type="pct"/>
            <w:vMerge w:val="continue"/>
            <w:vAlign w:val="center"/>
          </w:tcPr>
          <w:p w14:paraId="10BB60F7">
            <w:pPr>
              <w:widowControl/>
              <w:snapToGrid w:val="0"/>
              <w:jc w:val="center"/>
              <w:rPr>
                <w:rFonts w:hint="eastAsia" w:ascii="宋体" w:hAnsi="宋体" w:cs="宋体"/>
                <w:kern w:val="0"/>
                <w:szCs w:val="21"/>
                <w:lang w:bidi="ar"/>
              </w:rPr>
            </w:pPr>
          </w:p>
        </w:tc>
      </w:tr>
      <w:tr w14:paraId="5886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2D16E532">
            <w:pPr>
              <w:widowControl/>
              <w:snapToGrid w:val="0"/>
              <w:jc w:val="center"/>
              <w:rPr>
                <w:rFonts w:ascii="宋体" w:hAnsi="宋体" w:cs="宋体"/>
                <w:kern w:val="0"/>
                <w:szCs w:val="21"/>
              </w:rPr>
            </w:pPr>
          </w:p>
        </w:tc>
        <w:tc>
          <w:tcPr>
            <w:tcW w:w="1768" w:type="pct"/>
            <w:vMerge w:val="continue"/>
            <w:vAlign w:val="center"/>
          </w:tcPr>
          <w:p w14:paraId="4AE6C957">
            <w:pPr>
              <w:widowControl/>
              <w:jc w:val="left"/>
              <w:rPr>
                <w:rFonts w:hint="eastAsia" w:ascii="宋体" w:hAnsi="宋体" w:cs="宋体"/>
                <w:kern w:val="0"/>
                <w:szCs w:val="21"/>
                <w:lang w:val="en-US" w:eastAsia="zh-CN"/>
              </w:rPr>
            </w:pPr>
          </w:p>
        </w:tc>
        <w:tc>
          <w:tcPr>
            <w:tcW w:w="2017" w:type="pct"/>
            <w:vAlign w:val="center"/>
          </w:tcPr>
          <w:p w14:paraId="4149608B">
            <w:pPr>
              <w:widowControl/>
              <w:jc w:val="left"/>
              <w:rPr>
                <w:rFonts w:hint="eastAsia" w:ascii="宋体" w:hAnsi="宋体" w:cs="宋体"/>
                <w:kern w:val="0"/>
                <w:szCs w:val="21"/>
              </w:rPr>
            </w:pPr>
            <w:r>
              <w:rPr>
                <w:rFonts w:hint="eastAsia" w:ascii="宋体" w:hAnsi="宋体" w:cs="宋体"/>
                <w:kern w:val="0"/>
                <w:szCs w:val="21"/>
              </w:rPr>
              <w:t>应用系统安全运维通道服务</w:t>
            </w:r>
          </w:p>
        </w:tc>
        <w:tc>
          <w:tcPr>
            <w:tcW w:w="718" w:type="pct"/>
            <w:vMerge w:val="continue"/>
            <w:vAlign w:val="center"/>
          </w:tcPr>
          <w:p w14:paraId="471E59A8">
            <w:pPr>
              <w:widowControl/>
              <w:snapToGrid w:val="0"/>
              <w:jc w:val="center"/>
              <w:rPr>
                <w:rFonts w:hint="eastAsia" w:ascii="宋体" w:hAnsi="宋体" w:cs="宋体"/>
                <w:kern w:val="0"/>
                <w:szCs w:val="21"/>
                <w:lang w:bidi="ar"/>
              </w:rPr>
            </w:pPr>
          </w:p>
        </w:tc>
      </w:tr>
      <w:tr w14:paraId="25AA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65A8694F">
            <w:pPr>
              <w:widowControl/>
              <w:snapToGrid w:val="0"/>
              <w:jc w:val="center"/>
              <w:rPr>
                <w:rFonts w:ascii="宋体" w:hAnsi="宋体" w:cs="宋体"/>
                <w:kern w:val="0"/>
                <w:szCs w:val="21"/>
              </w:rPr>
            </w:pPr>
          </w:p>
        </w:tc>
        <w:tc>
          <w:tcPr>
            <w:tcW w:w="1768" w:type="pct"/>
            <w:vMerge w:val="continue"/>
            <w:vAlign w:val="center"/>
          </w:tcPr>
          <w:p w14:paraId="2600EA71">
            <w:pPr>
              <w:widowControl/>
              <w:jc w:val="left"/>
              <w:rPr>
                <w:rFonts w:hint="eastAsia" w:ascii="宋体" w:hAnsi="宋体" w:cs="宋体"/>
                <w:kern w:val="0"/>
                <w:szCs w:val="21"/>
                <w:lang w:val="en-US" w:eastAsia="zh-CN"/>
              </w:rPr>
            </w:pPr>
          </w:p>
        </w:tc>
        <w:tc>
          <w:tcPr>
            <w:tcW w:w="2017" w:type="pct"/>
            <w:vAlign w:val="center"/>
          </w:tcPr>
          <w:p w14:paraId="67C3A9FC">
            <w:pPr>
              <w:widowControl/>
              <w:jc w:val="left"/>
              <w:rPr>
                <w:rFonts w:hint="eastAsia" w:ascii="宋体" w:hAnsi="宋体" w:cs="宋体"/>
                <w:kern w:val="0"/>
                <w:szCs w:val="21"/>
              </w:rPr>
            </w:pPr>
            <w:r>
              <w:rPr>
                <w:rFonts w:hint="eastAsia" w:ascii="宋体" w:hAnsi="宋体" w:cs="宋体"/>
                <w:kern w:val="0"/>
                <w:szCs w:val="21"/>
              </w:rPr>
              <w:t>应用系统完整性校验服务</w:t>
            </w:r>
          </w:p>
        </w:tc>
        <w:tc>
          <w:tcPr>
            <w:tcW w:w="718" w:type="pct"/>
            <w:vMerge w:val="continue"/>
            <w:vAlign w:val="center"/>
          </w:tcPr>
          <w:p w14:paraId="5071F013">
            <w:pPr>
              <w:widowControl/>
              <w:snapToGrid w:val="0"/>
              <w:jc w:val="center"/>
              <w:rPr>
                <w:rFonts w:hint="eastAsia" w:ascii="宋体" w:hAnsi="宋体" w:cs="宋体"/>
                <w:kern w:val="0"/>
                <w:szCs w:val="21"/>
                <w:lang w:bidi="ar"/>
              </w:rPr>
            </w:pPr>
          </w:p>
        </w:tc>
      </w:tr>
      <w:tr w14:paraId="0288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534EA51B">
            <w:pPr>
              <w:widowControl/>
              <w:snapToGrid w:val="0"/>
              <w:jc w:val="center"/>
              <w:rPr>
                <w:rFonts w:ascii="宋体" w:hAnsi="宋体" w:cs="宋体"/>
                <w:kern w:val="0"/>
                <w:szCs w:val="21"/>
              </w:rPr>
            </w:pPr>
          </w:p>
        </w:tc>
        <w:tc>
          <w:tcPr>
            <w:tcW w:w="1768" w:type="pct"/>
            <w:vMerge w:val="restart"/>
            <w:vAlign w:val="center"/>
          </w:tcPr>
          <w:p w14:paraId="581AC2B2">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密评加固（可选）</w:t>
            </w:r>
          </w:p>
        </w:tc>
        <w:tc>
          <w:tcPr>
            <w:tcW w:w="2017" w:type="pct"/>
            <w:vAlign w:val="center"/>
          </w:tcPr>
          <w:p w14:paraId="051FFEE2">
            <w:pPr>
              <w:widowControl/>
              <w:jc w:val="left"/>
              <w:rPr>
                <w:rFonts w:hint="eastAsia" w:ascii="宋体" w:hAnsi="宋体" w:eastAsia="宋体" w:cs="宋体"/>
                <w:b/>
                <w:kern w:val="0"/>
                <w:sz w:val="21"/>
                <w:szCs w:val="21"/>
                <w:lang w:val="en-US" w:eastAsia="zh-CN" w:bidi="ar-SA"/>
              </w:rPr>
            </w:pPr>
            <w:r>
              <w:rPr>
                <w:rFonts w:hint="eastAsia" w:ascii="宋体" w:hAnsi="宋体" w:cs="宋体"/>
                <w:kern w:val="0"/>
                <w:szCs w:val="21"/>
              </w:rPr>
              <w:t>网站国密站点SSL证书</w:t>
            </w:r>
          </w:p>
        </w:tc>
        <w:tc>
          <w:tcPr>
            <w:tcW w:w="718" w:type="pct"/>
            <w:vAlign w:val="center"/>
          </w:tcPr>
          <w:p w14:paraId="6CEDBBA7">
            <w:pPr>
              <w:widowControl/>
              <w:snapToGrid w:val="0"/>
              <w:jc w:val="center"/>
              <w:rPr>
                <w:rFonts w:hint="eastAsia" w:ascii="宋体" w:hAnsi="宋体" w:eastAsia="宋体" w:cs="宋体"/>
                <w:kern w:val="0"/>
                <w:szCs w:val="21"/>
                <w:lang w:val="en-US" w:eastAsia="zh-CN" w:bidi="ar"/>
              </w:rPr>
            </w:pPr>
            <w:r>
              <w:rPr>
                <w:rFonts w:hint="eastAsia" w:ascii="宋体" w:hAnsi="宋体" w:cs="宋体"/>
                <w:kern w:val="0"/>
                <w:szCs w:val="21"/>
                <w:lang w:bidi="ar"/>
              </w:rPr>
              <w:t>4000</w:t>
            </w:r>
            <w:r>
              <w:rPr>
                <w:rFonts w:hint="eastAsia" w:ascii="宋体" w:hAnsi="宋体" w:cs="宋体"/>
                <w:kern w:val="0"/>
                <w:szCs w:val="21"/>
                <w:lang w:val="en-US" w:eastAsia="zh-CN" w:bidi="ar"/>
              </w:rPr>
              <w:t>元</w:t>
            </w:r>
          </w:p>
        </w:tc>
      </w:tr>
      <w:tr w14:paraId="5713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7529AC19">
            <w:pPr>
              <w:widowControl/>
              <w:snapToGrid w:val="0"/>
              <w:jc w:val="center"/>
              <w:rPr>
                <w:rFonts w:ascii="宋体" w:hAnsi="宋体" w:cs="宋体"/>
                <w:kern w:val="0"/>
                <w:szCs w:val="21"/>
              </w:rPr>
            </w:pPr>
          </w:p>
        </w:tc>
        <w:tc>
          <w:tcPr>
            <w:tcW w:w="1768" w:type="pct"/>
            <w:vMerge w:val="continue"/>
            <w:vAlign w:val="center"/>
          </w:tcPr>
          <w:p w14:paraId="742E3CE1">
            <w:pPr>
              <w:widowControl/>
              <w:jc w:val="left"/>
              <w:rPr>
                <w:rFonts w:hint="eastAsia" w:ascii="宋体" w:hAnsi="宋体" w:cs="宋体"/>
                <w:kern w:val="0"/>
                <w:szCs w:val="21"/>
                <w:lang w:val="en-US" w:eastAsia="zh-CN"/>
              </w:rPr>
            </w:pPr>
          </w:p>
        </w:tc>
        <w:tc>
          <w:tcPr>
            <w:tcW w:w="2017" w:type="pct"/>
            <w:vAlign w:val="center"/>
          </w:tcPr>
          <w:p w14:paraId="2D487686">
            <w:pPr>
              <w:widowControl/>
              <w:jc w:val="left"/>
              <w:rPr>
                <w:rFonts w:hint="eastAsia" w:ascii="宋体" w:hAnsi="宋体" w:eastAsia="宋体" w:cs="宋体"/>
                <w:kern w:val="0"/>
                <w:sz w:val="21"/>
                <w:szCs w:val="21"/>
                <w:lang w:val="en-US" w:eastAsia="zh-CN" w:bidi="ar-SA"/>
              </w:rPr>
            </w:pPr>
            <w:r>
              <w:rPr>
                <w:rFonts w:hint="eastAsia" w:ascii="宋体" w:hAnsi="宋体" w:cs="宋体"/>
                <w:kern w:val="0"/>
                <w:szCs w:val="21"/>
              </w:rPr>
              <w:t>应用系统数字签名服务</w:t>
            </w:r>
          </w:p>
        </w:tc>
        <w:tc>
          <w:tcPr>
            <w:tcW w:w="718" w:type="pct"/>
            <w:vAlign w:val="center"/>
          </w:tcPr>
          <w:p w14:paraId="408C52C6">
            <w:pPr>
              <w:widowControl/>
              <w:snapToGrid w:val="0"/>
              <w:jc w:val="center"/>
              <w:rPr>
                <w:rFonts w:hint="eastAsia" w:ascii="宋体" w:hAnsi="宋体" w:eastAsia="宋体" w:cs="宋体"/>
                <w:kern w:val="0"/>
                <w:szCs w:val="21"/>
                <w:lang w:val="en-US" w:eastAsia="zh-CN" w:bidi="ar"/>
              </w:rPr>
            </w:pPr>
            <w:r>
              <w:rPr>
                <w:rFonts w:hint="eastAsia" w:ascii="宋体" w:hAnsi="宋体" w:cs="宋体"/>
                <w:kern w:val="0"/>
                <w:szCs w:val="21"/>
                <w:lang w:bidi="ar"/>
              </w:rPr>
              <w:t>6000</w:t>
            </w:r>
            <w:r>
              <w:rPr>
                <w:rFonts w:hint="eastAsia" w:ascii="宋体" w:hAnsi="宋体" w:cs="宋体"/>
                <w:kern w:val="0"/>
                <w:szCs w:val="21"/>
                <w:lang w:val="en-US" w:eastAsia="zh-CN" w:bidi="ar"/>
              </w:rPr>
              <w:t>元</w:t>
            </w:r>
          </w:p>
        </w:tc>
      </w:tr>
      <w:tr w14:paraId="2FA3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6F9BE0DF">
            <w:pPr>
              <w:widowControl/>
              <w:snapToGrid w:val="0"/>
              <w:jc w:val="center"/>
              <w:rPr>
                <w:rFonts w:ascii="宋体" w:hAnsi="宋体" w:cs="宋体"/>
                <w:kern w:val="0"/>
                <w:szCs w:val="21"/>
              </w:rPr>
            </w:pPr>
          </w:p>
        </w:tc>
        <w:tc>
          <w:tcPr>
            <w:tcW w:w="1768" w:type="pct"/>
            <w:vMerge w:val="continue"/>
            <w:vAlign w:val="center"/>
          </w:tcPr>
          <w:p w14:paraId="3375E3F3">
            <w:pPr>
              <w:widowControl/>
              <w:jc w:val="left"/>
              <w:rPr>
                <w:rFonts w:hint="eastAsia" w:ascii="宋体" w:hAnsi="宋体" w:cs="宋体"/>
                <w:kern w:val="0"/>
                <w:szCs w:val="21"/>
                <w:lang w:val="en-US" w:eastAsia="zh-CN"/>
              </w:rPr>
            </w:pPr>
          </w:p>
        </w:tc>
        <w:tc>
          <w:tcPr>
            <w:tcW w:w="2017" w:type="pct"/>
            <w:vAlign w:val="center"/>
          </w:tcPr>
          <w:p w14:paraId="0BEE611E">
            <w:pPr>
              <w:widowControl/>
              <w:jc w:val="left"/>
              <w:rPr>
                <w:rFonts w:hint="eastAsia" w:ascii="宋体" w:hAnsi="宋体" w:eastAsia="宋体" w:cs="宋体"/>
                <w:kern w:val="0"/>
                <w:sz w:val="21"/>
                <w:szCs w:val="21"/>
                <w:lang w:val="en-US" w:eastAsia="zh-CN" w:bidi="ar-SA"/>
              </w:rPr>
            </w:pPr>
            <w:r>
              <w:rPr>
                <w:rFonts w:hint="eastAsia" w:ascii="宋体" w:hAnsi="宋体" w:cs="宋体"/>
                <w:kern w:val="0"/>
                <w:szCs w:val="21"/>
              </w:rPr>
              <w:t>应用系统密钥管理服务</w:t>
            </w:r>
          </w:p>
        </w:tc>
        <w:tc>
          <w:tcPr>
            <w:tcW w:w="718" w:type="pct"/>
            <w:vAlign w:val="center"/>
          </w:tcPr>
          <w:p w14:paraId="5A6191F8">
            <w:pPr>
              <w:widowControl/>
              <w:snapToGrid w:val="0"/>
              <w:jc w:val="center"/>
              <w:rPr>
                <w:rFonts w:hint="eastAsia" w:ascii="宋体" w:hAnsi="宋体" w:eastAsia="宋体" w:cs="宋体"/>
                <w:kern w:val="0"/>
                <w:szCs w:val="21"/>
                <w:lang w:val="en-US" w:eastAsia="zh-CN" w:bidi="ar"/>
              </w:rPr>
            </w:pPr>
            <w:r>
              <w:rPr>
                <w:rFonts w:hint="eastAsia" w:ascii="宋体" w:hAnsi="宋体" w:cs="宋体"/>
                <w:kern w:val="0"/>
                <w:szCs w:val="21"/>
                <w:lang w:bidi="ar"/>
              </w:rPr>
              <w:t>7000</w:t>
            </w:r>
            <w:r>
              <w:rPr>
                <w:rFonts w:hint="eastAsia" w:ascii="宋体" w:hAnsi="宋体" w:cs="宋体"/>
                <w:kern w:val="0"/>
                <w:szCs w:val="21"/>
                <w:lang w:val="en-US" w:eastAsia="zh-CN" w:bidi="ar"/>
              </w:rPr>
              <w:t>元</w:t>
            </w:r>
          </w:p>
        </w:tc>
      </w:tr>
      <w:tr w14:paraId="0B14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5D1D7719">
            <w:pPr>
              <w:widowControl/>
              <w:snapToGrid w:val="0"/>
              <w:jc w:val="center"/>
              <w:rPr>
                <w:rFonts w:ascii="宋体" w:hAnsi="宋体" w:cs="宋体"/>
                <w:kern w:val="0"/>
                <w:szCs w:val="21"/>
              </w:rPr>
            </w:pPr>
          </w:p>
        </w:tc>
        <w:tc>
          <w:tcPr>
            <w:tcW w:w="1768" w:type="pct"/>
            <w:vMerge w:val="continue"/>
            <w:vAlign w:val="center"/>
          </w:tcPr>
          <w:p w14:paraId="61C87952">
            <w:pPr>
              <w:widowControl/>
              <w:jc w:val="left"/>
              <w:rPr>
                <w:rFonts w:hint="eastAsia" w:ascii="宋体" w:hAnsi="宋体" w:cs="宋体"/>
                <w:kern w:val="0"/>
                <w:szCs w:val="21"/>
                <w:lang w:val="en-US" w:eastAsia="zh-CN"/>
              </w:rPr>
            </w:pPr>
          </w:p>
        </w:tc>
        <w:tc>
          <w:tcPr>
            <w:tcW w:w="2017" w:type="pct"/>
            <w:vAlign w:val="center"/>
          </w:tcPr>
          <w:p w14:paraId="14690433">
            <w:pPr>
              <w:widowControl/>
              <w:jc w:val="left"/>
              <w:rPr>
                <w:rFonts w:hint="eastAsia" w:ascii="宋体" w:hAnsi="宋体" w:eastAsia="宋体" w:cs="宋体"/>
                <w:kern w:val="0"/>
                <w:sz w:val="21"/>
                <w:szCs w:val="21"/>
                <w:lang w:val="en-US" w:eastAsia="zh-CN" w:bidi="ar-SA"/>
              </w:rPr>
            </w:pPr>
            <w:r>
              <w:rPr>
                <w:rFonts w:hint="eastAsia" w:ascii="宋体" w:hAnsi="宋体" w:cs="宋体"/>
                <w:kern w:val="0"/>
                <w:szCs w:val="21"/>
              </w:rPr>
              <w:t>国密浏览器</w:t>
            </w:r>
          </w:p>
        </w:tc>
        <w:tc>
          <w:tcPr>
            <w:tcW w:w="718" w:type="pct"/>
            <w:vAlign w:val="center"/>
          </w:tcPr>
          <w:p w14:paraId="39DA34CA">
            <w:pPr>
              <w:widowControl/>
              <w:snapToGrid w:val="0"/>
              <w:jc w:val="center"/>
              <w:rPr>
                <w:rFonts w:hint="default" w:ascii="宋体" w:hAnsi="宋体" w:eastAsia="宋体" w:cs="宋体"/>
                <w:kern w:val="0"/>
                <w:sz w:val="21"/>
                <w:szCs w:val="21"/>
                <w:lang w:val="en-US" w:eastAsia="zh-CN" w:bidi="ar"/>
              </w:rPr>
            </w:pPr>
            <w:r>
              <w:rPr>
                <w:rFonts w:hint="eastAsia" w:ascii="宋体" w:hAnsi="宋体" w:cs="宋体"/>
                <w:kern w:val="0"/>
                <w:szCs w:val="21"/>
                <w:lang w:bidi="ar"/>
              </w:rPr>
              <w:t>1000</w:t>
            </w:r>
            <w:r>
              <w:rPr>
                <w:rFonts w:hint="eastAsia" w:ascii="宋体" w:hAnsi="宋体" w:cs="宋体"/>
                <w:kern w:val="0"/>
                <w:szCs w:val="21"/>
                <w:lang w:val="en-US" w:eastAsia="zh-CN" w:bidi="ar"/>
              </w:rPr>
              <w:t>元/一次性</w:t>
            </w:r>
          </w:p>
        </w:tc>
      </w:tr>
      <w:tr w14:paraId="6FCA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4C0D66D4">
            <w:pPr>
              <w:widowControl/>
              <w:snapToGrid w:val="0"/>
              <w:jc w:val="center"/>
              <w:rPr>
                <w:rFonts w:ascii="宋体" w:hAnsi="宋体" w:cs="宋体"/>
                <w:kern w:val="0"/>
                <w:szCs w:val="21"/>
              </w:rPr>
            </w:pPr>
          </w:p>
        </w:tc>
        <w:tc>
          <w:tcPr>
            <w:tcW w:w="1768" w:type="pct"/>
            <w:vMerge w:val="continue"/>
            <w:vAlign w:val="center"/>
          </w:tcPr>
          <w:p w14:paraId="41CBD405">
            <w:pPr>
              <w:widowControl/>
              <w:jc w:val="left"/>
              <w:rPr>
                <w:rFonts w:hint="eastAsia" w:ascii="宋体" w:hAnsi="宋体" w:cs="宋体"/>
                <w:kern w:val="0"/>
                <w:szCs w:val="21"/>
                <w:lang w:val="en-US" w:eastAsia="zh-CN"/>
              </w:rPr>
            </w:pPr>
          </w:p>
        </w:tc>
        <w:tc>
          <w:tcPr>
            <w:tcW w:w="2017" w:type="pct"/>
            <w:vAlign w:val="center"/>
          </w:tcPr>
          <w:p w14:paraId="377D889A">
            <w:pPr>
              <w:widowControl/>
              <w:jc w:val="left"/>
              <w:rPr>
                <w:rFonts w:hint="eastAsia" w:ascii="宋体" w:hAnsi="宋体" w:eastAsia="宋体" w:cs="宋体"/>
                <w:kern w:val="0"/>
                <w:sz w:val="21"/>
                <w:szCs w:val="21"/>
                <w:lang w:val="en-US" w:eastAsia="zh-CN" w:bidi="ar-SA"/>
              </w:rPr>
            </w:pPr>
            <w:r>
              <w:rPr>
                <w:rFonts w:hint="eastAsia" w:ascii="宋体" w:hAnsi="宋体" w:cs="宋体"/>
                <w:kern w:val="0"/>
                <w:szCs w:val="21"/>
              </w:rPr>
              <w:t>应用系统密码改造方案编写</w:t>
            </w:r>
          </w:p>
        </w:tc>
        <w:tc>
          <w:tcPr>
            <w:tcW w:w="718" w:type="pct"/>
            <w:vAlign w:val="center"/>
          </w:tcPr>
          <w:p w14:paraId="1564E40B">
            <w:pPr>
              <w:widowControl/>
              <w:snapToGrid w:val="0"/>
              <w:jc w:val="center"/>
              <w:rPr>
                <w:rFonts w:hint="default" w:ascii="宋体" w:hAnsi="宋体" w:eastAsia="宋体" w:cs="宋体"/>
                <w:kern w:val="0"/>
                <w:sz w:val="21"/>
                <w:szCs w:val="21"/>
                <w:lang w:val="en-US" w:eastAsia="zh-CN" w:bidi="ar"/>
              </w:rPr>
            </w:pPr>
            <w:r>
              <w:rPr>
                <w:rFonts w:hint="eastAsia" w:ascii="宋体" w:hAnsi="宋体" w:cs="宋体"/>
                <w:kern w:val="0"/>
                <w:szCs w:val="21"/>
                <w:lang w:bidi="ar"/>
              </w:rPr>
              <w:t>5000</w:t>
            </w:r>
            <w:r>
              <w:rPr>
                <w:rFonts w:hint="eastAsia" w:ascii="宋体" w:hAnsi="宋体" w:cs="宋体"/>
                <w:kern w:val="0"/>
                <w:szCs w:val="21"/>
                <w:lang w:val="en-US" w:eastAsia="zh-CN" w:bidi="ar"/>
              </w:rPr>
              <w:t>元/一次性</w:t>
            </w:r>
          </w:p>
        </w:tc>
      </w:tr>
      <w:tr w14:paraId="3816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6" w:type="pct"/>
            <w:vMerge w:val="continue"/>
            <w:vAlign w:val="center"/>
          </w:tcPr>
          <w:p w14:paraId="3A08BF54">
            <w:pPr>
              <w:widowControl/>
              <w:snapToGrid w:val="0"/>
              <w:jc w:val="center"/>
              <w:rPr>
                <w:rFonts w:ascii="宋体" w:hAnsi="宋体" w:cs="宋体"/>
                <w:kern w:val="0"/>
                <w:szCs w:val="21"/>
              </w:rPr>
            </w:pPr>
          </w:p>
        </w:tc>
        <w:tc>
          <w:tcPr>
            <w:tcW w:w="1768" w:type="pct"/>
            <w:vMerge w:val="continue"/>
            <w:vAlign w:val="center"/>
          </w:tcPr>
          <w:p w14:paraId="6D2DA4B0">
            <w:pPr>
              <w:widowControl/>
              <w:jc w:val="left"/>
              <w:rPr>
                <w:rFonts w:hint="eastAsia" w:ascii="宋体" w:hAnsi="宋体" w:cs="宋体"/>
                <w:kern w:val="0"/>
                <w:szCs w:val="21"/>
                <w:lang w:val="en-US" w:eastAsia="zh-CN"/>
              </w:rPr>
            </w:pPr>
          </w:p>
        </w:tc>
        <w:tc>
          <w:tcPr>
            <w:tcW w:w="2017" w:type="pct"/>
            <w:vAlign w:val="center"/>
          </w:tcPr>
          <w:p w14:paraId="3380554B">
            <w:pPr>
              <w:widowControl/>
              <w:jc w:val="left"/>
              <w:rPr>
                <w:rFonts w:hint="eastAsia" w:ascii="宋体" w:hAnsi="宋体" w:eastAsia="宋体" w:cs="宋体"/>
                <w:kern w:val="0"/>
                <w:sz w:val="21"/>
                <w:szCs w:val="21"/>
                <w:lang w:val="en-US" w:eastAsia="zh-CN" w:bidi="ar-SA"/>
              </w:rPr>
            </w:pPr>
            <w:r>
              <w:rPr>
                <w:rFonts w:hint="eastAsia" w:ascii="宋体" w:hAnsi="宋体" w:cs="宋体"/>
                <w:kern w:val="0"/>
                <w:szCs w:val="21"/>
              </w:rPr>
              <w:t>应用系统密评的解决方案咨询服务</w:t>
            </w:r>
          </w:p>
        </w:tc>
        <w:tc>
          <w:tcPr>
            <w:tcW w:w="718" w:type="pct"/>
            <w:vAlign w:val="center"/>
          </w:tcPr>
          <w:p w14:paraId="0ABC8061">
            <w:pPr>
              <w:widowControl/>
              <w:snapToGrid w:val="0"/>
              <w:jc w:val="center"/>
              <w:rPr>
                <w:rFonts w:hint="default" w:ascii="宋体" w:hAnsi="宋体" w:eastAsia="宋体" w:cs="宋体"/>
                <w:kern w:val="0"/>
                <w:sz w:val="21"/>
                <w:szCs w:val="21"/>
                <w:lang w:val="en-US" w:eastAsia="zh-CN" w:bidi="ar"/>
              </w:rPr>
            </w:pPr>
            <w:r>
              <w:rPr>
                <w:rFonts w:hint="eastAsia" w:ascii="宋体" w:hAnsi="宋体" w:cs="宋体"/>
                <w:kern w:val="0"/>
                <w:szCs w:val="21"/>
                <w:lang w:bidi="ar"/>
              </w:rPr>
              <w:t>3000</w:t>
            </w:r>
            <w:r>
              <w:rPr>
                <w:rFonts w:hint="eastAsia" w:ascii="宋体" w:hAnsi="宋体" w:cs="宋体"/>
                <w:kern w:val="0"/>
                <w:szCs w:val="21"/>
                <w:lang w:val="en-US" w:eastAsia="zh-CN" w:bidi="ar"/>
              </w:rPr>
              <w:t>元/一次性</w:t>
            </w:r>
          </w:p>
        </w:tc>
      </w:tr>
      <w:bookmarkEnd w:id="45"/>
    </w:tbl>
    <w:p w14:paraId="6804A936">
      <w:pPr>
        <w:pStyle w:val="3"/>
        <w:rPr>
          <w:rFonts w:ascii="宋体" w:hAnsi="宋体" w:cs="宋体"/>
          <w:sz w:val="21"/>
          <w:szCs w:val="21"/>
        </w:rPr>
      </w:pPr>
      <w:bookmarkStart w:id="50" w:name="_Toc16"/>
      <w:bookmarkStart w:id="51" w:name="_Toc22506"/>
      <w:bookmarkStart w:id="52" w:name="_Toc29038"/>
      <w:bookmarkStart w:id="53" w:name="_Toc18096"/>
      <w:r>
        <w:rPr>
          <w:rFonts w:hint="eastAsia" w:ascii="宋体" w:hAnsi="宋体" w:cs="宋体"/>
          <w:sz w:val="21"/>
          <w:szCs w:val="21"/>
        </w:rPr>
        <w:t>七、</w:t>
      </w:r>
      <w:bookmarkEnd w:id="50"/>
      <w:bookmarkEnd w:id="51"/>
      <w:bookmarkEnd w:id="52"/>
      <w:r>
        <w:rPr>
          <w:rFonts w:hint="eastAsia" w:ascii="宋体" w:hAnsi="宋体" w:cs="宋体"/>
          <w:sz w:val="21"/>
          <w:szCs w:val="21"/>
        </w:rPr>
        <w:t>技术要求</w:t>
      </w:r>
      <w:bookmarkEnd w:id="53"/>
    </w:p>
    <w:p w14:paraId="0AC24556">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7.1政务云平台（X86）技术要求</w:t>
      </w:r>
    </w:p>
    <w:p w14:paraId="7A80A022">
      <w:pPr>
        <w:pStyle w:val="23"/>
        <w:snapToGrid w:val="0"/>
        <w:ind w:firstLine="420" w:firstLineChars="200"/>
        <w:outlineLvl w:val="3"/>
        <w:rPr>
          <w:rFonts w:hAnsi="宋体" w:cs="宋体"/>
          <w:sz w:val="21"/>
        </w:rPr>
      </w:pPr>
      <w:r>
        <w:rPr>
          <w:rFonts w:hint="eastAsia" w:hAnsi="宋体" w:cs="宋体"/>
          <w:sz w:val="21"/>
        </w:rPr>
        <w:t>7.1.1平台总体要求</w:t>
      </w:r>
    </w:p>
    <w:p w14:paraId="048EAF28">
      <w:pPr>
        <w:pStyle w:val="23"/>
        <w:snapToGrid w:val="0"/>
        <w:ind w:firstLine="420" w:firstLineChars="200"/>
        <w:outlineLvl w:val="4"/>
        <w:rPr>
          <w:rFonts w:hAnsi="宋体" w:cs="宋体"/>
          <w:sz w:val="21"/>
        </w:rPr>
      </w:pPr>
      <w:r>
        <w:rPr>
          <w:rFonts w:hint="eastAsia" w:hAnsi="宋体" w:cs="宋体"/>
          <w:sz w:val="21"/>
        </w:rPr>
        <w:t>7.1.1.1专用IDC机房</w:t>
      </w:r>
    </w:p>
    <w:p w14:paraId="1048BE88">
      <w:pPr>
        <w:snapToGrid w:val="0"/>
        <w:spacing w:line="360" w:lineRule="auto"/>
        <w:ind w:firstLine="480"/>
        <w:rPr>
          <w:rFonts w:ascii="宋体" w:hAnsi="宋体" w:cs="宋体"/>
          <w:szCs w:val="21"/>
        </w:rPr>
      </w:pPr>
      <w:r>
        <w:rPr>
          <w:rFonts w:hint="eastAsia" w:ascii="宋体" w:hAnsi="宋体" w:cs="宋体"/>
          <w:szCs w:val="21"/>
        </w:rPr>
        <w:t xml:space="preserve">投标人应为“钱塘智慧电子政务云”提供专用的IDC机房，具体要求见下表：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6688"/>
        <w:gridCol w:w="1087"/>
      </w:tblGrid>
      <w:tr w14:paraId="5BDC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2C65593E">
            <w:pPr>
              <w:spacing w:line="360" w:lineRule="auto"/>
              <w:jc w:val="center"/>
              <w:rPr>
                <w:rFonts w:ascii="宋体" w:hAnsi="宋体" w:cs="宋体"/>
                <w:b/>
                <w:szCs w:val="21"/>
              </w:rPr>
            </w:pPr>
            <w:r>
              <w:rPr>
                <w:rFonts w:hint="eastAsia" w:ascii="宋体" w:hAnsi="宋体" w:cs="宋体"/>
                <w:b/>
                <w:szCs w:val="21"/>
              </w:rPr>
              <w:t>指标项</w:t>
            </w:r>
          </w:p>
        </w:tc>
        <w:tc>
          <w:tcPr>
            <w:tcW w:w="3600" w:type="pct"/>
            <w:vAlign w:val="center"/>
          </w:tcPr>
          <w:p w14:paraId="49BE7632">
            <w:pPr>
              <w:spacing w:line="360" w:lineRule="auto"/>
              <w:jc w:val="center"/>
              <w:rPr>
                <w:rFonts w:ascii="宋体" w:hAnsi="宋体" w:cs="宋体"/>
                <w:b/>
                <w:szCs w:val="21"/>
              </w:rPr>
            </w:pPr>
            <w:r>
              <w:rPr>
                <w:rFonts w:hint="eastAsia" w:ascii="宋体" w:hAnsi="宋体" w:cs="宋体"/>
                <w:b/>
                <w:szCs w:val="21"/>
              </w:rPr>
              <w:t>规格要求</w:t>
            </w:r>
          </w:p>
        </w:tc>
        <w:tc>
          <w:tcPr>
            <w:tcW w:w="585" w:type="pct"/>
            <w:vAlign w:val="center"/>
          </w:tcPr>
          <w:p w14:paraId="77DC5037">
            <w:pPr>
              <w:spacing w:line="360" w:lineRule="auto"/>
              <w:jc w:val="center"/>
              <w:rPr>
                <w:rFonts w:ascii="宋体" w:hAnsi="宋体" w:cs="宋体"/>
                <w:b/>
                <w:szCs w:val="21"/>
              </w:rPr>
            </w:pPr>
            <w:r>
              <w:rPr>
                <w:rFonts w:hint="eastAsia" w:ascii="宋体" w:hAnsi="宋体" w:cs="宋体"/>
                <w:b/>
                <w:szCs w:val="21"/>
              </w:rPr>
              <w:t>备注</w:t>
            </w:r>
          </w:p>
        </w:tc>
      </w:tr>
      <w:tr w14:paraId="095E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51AEB9D0">
            <w:pPr>
              <w:spacing w:line="360" w:lineRule="auto"/>
              <w:rPr>
                <w:rFonts w:ascii="宋体" w:hAnsi="宋体" w:cs="宋体"/>
                <w:szCs w:val="21"/>
              </w:rPr>
            </w:pPr>
            <w:r>
              <w:rPr>
                <w:rFonts w:hint="eastAsia" w:ascii="宋体" w:hAnsi="宋体" w:cs="宋体"/>
                <w:szCs w:val="21"/>
              </w:rPr>
              <w:t>建设标准</w:t>
            </w:r>
          </w:p>
        </w:tc>
        <w:tc>
          <w:tcPr>
            <w:tcW w:w="3600" w:type="pct"/>
            <w:vAlign w:val="center"/>
          </w:tcPr>
          <w:p w14:paraId="21AC185B">
            <w:pPr>
              <w:spacing w:line="360" w:lineRule="auto"/>
              <w:rPr>
                <w:rFonts w:ascii="宋体" w:hAnsi="宋体" w:cs="宋体"/>
                <w:szCs w:val="21"/>
              </w:rPr>
            </w:pPr>
            <w:r>
              <w:rPr>
                <w:rFonts w:hint="eastAsia" w:ascii="宋体" w:hAnsi="宋体" w:cs="宋体"/>
                <w:szCs w:val="21"/>
              </w:rPr>
              <w:t>国际机房建设标准ANSI/TIA-942 Tier3+及以上标准建造；</w:t>
            </w:r>
          </w:p>
        </w:tc>
        <w:tc>
          <w:tcPr>
            <w:tcW w:w="585" w:type="pct"/>
            <w:vAlign w:val="center"/>
          </w:tcPr>
          <w:p w14:paraId="22022419">
            <w:pPr>
              <w:spacing w:line="360" w:lineRule="auto"/>
              <w:rPr>
                <w:rFonts w:ascii="宋体" w:hAnsi="宋体" w:cs="宋体"/>
                <w:szCs w:val="21"/>
              </w:rPr>
            </w:pPr>
          </w:p>
        </w:tc>
      </w:tr>
      <w:tr w14:paraId="46C7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31D71554">
            <w:pPr>
              <w:spacing w:line="360" w:lineRule="auto"/>
              <w:rPr>
                <w:rFonts w:ascii="宋体" w:hAnsi="宋体" w:cs="宋体"/>
                <w:szCs w:val="21"/>
              </w:rPr>
            </w:pPr>
            <w:r>
              <w:rPr>
                <w:rFonts w:hint="eastAsia" w:ascii="宋体" w:hAnsi="宋体" w:cs="宋体"/>
                <w:szCs w:val="21"/>
              </w:rPr>
              <w:t>机房地点</w:t>
            </w:r>
          </w:p>
        </w:tc>
        <w:tc>
          <w:tcPr>
            <w:tcW w:w="3600" w:type="pct"/>
            <w:vAlign w:val="center"/>
          </w:tcPr>
          <w:p w14:paraId="32F4C1DA">
            <w:pPr>
              <w:spacing w:line="360" w:lineRule="auto"/>
              <w:rPr>
                <w:rFonts w:ascii="宋体" w:hAnsi="宋体" w:cs="宋体"/>
                <w:szCs w:val="21"/>
              </w:rPr>
            </w:pPr>
            <w:r>
              <w:rPr>
                <w:rFonts w:hint="eastAsia" w:ascii="宋体" w:hAnsi="宋体" w:cs="宋体"/>
                <w:szCs w:val="21"/>
              </w:rPr>
              <w:t>需提供机房地点</w:t>
            </w:r>
          </w:p>
        </w:tc>
        <w:tc>
          <w:tcPr>
            <w:tcW w:w="585" w:type="pct"/>
            <w:vAlign w:val="center"/>
          </w:tcPr>
          <w:p w14:paraId="3B315FA4">
            <w:pPr>
              <w:spacing w:line="360" w:lineRule="auto"/>
              <w:rPr>
                <w:rFonts w:ascii="宋体" w:hAnsi="宋体" w:cs="宋体"/>
                <w:szCs w:val="21"/>
              </w:rPr>
            </w:pPr>
          </w:p>
        </w:tc>
      </w:tr>
      <w:tr w14:paraId="0500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vAlign w:val="center"/>
          </w:tcPr>
          <w:p w14:paraId="59726C4A">
            <w:pPr>
              <w:widowControl/>
              <w:spacing w:line="360" w:lineRule="auto"/>
              <w:jc w:val="left"/>
              <w:rPr>
                <w:rFonts w:ascii="宋体" w:hAnsi="宋体" w:cs="宋体"/>
                <w:szCs w:val="21"/>
              </w:rPr>
            </w:pPr>
            <w:r>
              <w:rPr>
                <w:rFonts w:hint="eastAsia" w:ascii="宋体" w:hAnsi="宋体" w:cs="宋体"/>
                <w:szCs w:val="21"/>
              </w:rPr>
              <w:t>动力保障</w:t>
            </w:r>
          </w:p>
        </w:tc>
        <w:tc>
          <w:tcPr>
            <w:tcW w:w="3600" w:type="pct"/>
            <w:vAlign w:val="center"/>
          </w:tcPr>
          <w:p w14:paraId="7BA25049">
            <w:pPr>
              <w:spacing w:line="360" w:lineRule="auto"/>
              <w:rPr>
                <w:rFonts w:ascii="宋体" w:hAnsi="宋体" w:cs="宋体"/>
                <w:szCs w:val="21"/>
              </w:rPr>
            </w:pPr>
            <w:r>
              <w:rPr>
                <w:rFonts w:hint="eastAsia" w:ascii="宋体" w:hAnsi="宋体" w:cs="宋体"/>
                <w:szCs w:val="21"/>
              </w:rPr>
              <w:t>2N UPS配置，确保供电安全。</w:t>
            </w:r>
          </w:p>
        </w:tc>
        <w:tc>
          <w:tcPr>
            <w:tcW w:w="585" w:type="pct"/>
            <w:vAlign w:val="center"/>
          </w:tcPr>
          <w:p w14:paraId="2D46E00C">
            <w:pPr>
              <w:spacing w:line="360" w:lineRule="auto"/>
              <w:rPr>
                <w:rFonts w:ascii="宋体" w:hAnsi="宋体" w:cs="宋体"/>
                <w:szCs w:val="21"/>
              </w:rPr>
            </w:pPr>
          </w:p>
        </w:tc>
      </w:tr>
      <w:tr w14:paraId="7A25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14:paraId="095785A2">
            <w:pPr>
              <w:widowControl/>
              <w:spacing w:line="360" w:lineRule="auto"/>
              <w:jc w:val="left"/>
              <w:rPr>
                <w:rFonts w:ascii="宋体" w:hAnsi="宋体" w:cs="宋体"/>
                <w:szCs w:val="21"/>
              </w:rPr>
            </w:pPr>
          </w:p>
        </w:tc>
        <w:tc>
          <w:tcPr>
            <w:tcW w:w="3600" w:type="pct"/>
            <w:vAlign w:val="center"/>
          </w:tcPr>
          <w:p w14:paraId="29AB26F2">
            <w:pPr>
              <w:spacing w:line="360" w:lineRule="auto"/>
              <w:rPr>
                <w:rFonts w:ascii="宋体" w:hAnsi="宋体" w:cs="宋体"/>
                <w:szCs w:val="21"/>
              </w:rPr>
            </w:pPr>
            <w:r>
              <w:rPr>
                <w:rFonts w:hint="eastAsia" w:ascii="宋体" w:hAnsi="宋体" w:cs="宋体"/>
                <w:szCs w:val="21"/>
              </w:rPr>
              <w:t>配置同等容量柴油发电机，油量储备可以支持发电机满载运行超过24小时</w:t>
            </w:r>
          </w:p>
        </w:tc>
        <w:tc>
          <w:tcPr>
            <w:tcW w:w="585" w:type="pct"/>
            <w:vAlign w:val="center"/>
          </w:tcPr>
          <w:p w14:paraId="4A645554">
            <w:pPr>
              <w:spacing w:line="360" w:lineRule="auto"/>
              <w:rPr>
                <w:rFonts w:ascii="宋体" w:hAnsi="宋体" w:cs="宋体"/>
                <w:szCs w:val="21"/>
              </w:rPr>
            </w:pPr>
          </w:p>
        </w:tc>
      </w:tr>
      <w:tr w14:paraId="0FB8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14:paraId="557AB144">
            <w:pPr>
              <w:widowControl/>
              <w:spacing w:line="360" w:lineRule="auto"/>
              <w:jc w:val="left"/>
              <w:rPr>
                <w:rFonts w:ascii="宋体" w:hAnsi="宋体" w:cs="宋体"/>
                <w:szCs w:val="21"/>
              </w:rPr>
            </w:pPr>
          </w:p>
        </w:tc>
        <w:tc>
          <w:tcPr>
            <w:tcW w:w="3600" w:type="pct"/>
            <w:vAlign w:val="center"/>
          </w:tcPr>
          <w:p w14:paraId="273161EA">
            <w:pPr>
              <w:spacing w:line="360" w:lineRule="auto"/>
              <w:rPr>
                <w:rFonts w:ascii="宋体" w:hAnsi="宋体" w:cs="宋体"/>
                <w:szCs w:val="21"/>
              </w:rPr>
            </w:pPr>
            <w:r>
              <w:rPr>
                <w:rFonts w:hint="eastAsia" w:ascii="宋体" w:hAnsi="宋体" w:cs="宋体"/>
                <w:szCs w:val="21"/>
              </w:rPr>
              <w:t>所有机柜均由两套不同的UPS系统提供双路供电。</w:t>
            </w:r>
          </w:p>
        </w:tc>
        <w:tc>
          <w:tcPr>
            <w:tcW w:w="585" w:type="pct"/>
            <w:vAlign w:val="center"/>
          </w:tcPr>
          <w:p w14:paraId="43EC37C5">
            <w:pPr>
              <w:spacing w:line="360" w:lineRule="auto"/>
              <w:rPr>
                <w:rFonts w:ascii="宋体" w:hAnsi="宋体" w:cs="宋体"/>
                <w:szCs w:val="21"/>
              </w:rPr>
            </w:pPr>
          </w:p>
        </w:tc>
      </w:tr>
      <w:tr w14:paraId="274C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restart"/>
            <w:vAlign w:val="center"/>
          </w:tcPr>
          <w:p w14:paraId="6AA7B165">
            <w:pPr>
              <w:spacing w:line="360" w:lineRule="auto"/>
              <w:rPr>
                <w:rFonts w:ascii="宋体" w:hAnsi="宋体" w:cs="宋体"/>
                <w:szCs w:val="21"/>
              </w:rPr>
            </w:pPr>
            <w:r>
              <w:rPr>
                <w:rFonts w:hint="eastAsia" w:ascii="宋体" w:hAnsi="宋体" w:cs="宋体"/>
                <w:szCs w:val="21"/>
              </w:rPr>
              <w:t>空调系统</w:t>
            </w:r>
          </w:p>
        </w:tc>
        <w:tc>
          <w:tcPr>
            <w:tcW w:w="3600" w:type="pct"/>
            <w:vAlign w:val="center"/>
          </w:tcPr>
          <w:p w14:paraId="373BE3B2">
            <w:pPr>
              <w:spacing w:line="360" w:lineRule="auto"/>
              <w:rPr>
                <w:rFonts w:ascii="宋体" w:hAnsi="宋体" w:cs="宋体"/>
                <w:szCs w:val="21"/>
              </w:rPr>
            </w:pPr>
            <w:r>
              <w:rPr>
                <w:rFonts w:hint="eastAsia" w:ascii="宋体" w:hAnsi="宋体" w:cs="宋体"/>
                <w:szCs w:val="21"/>
              </w:rPr>
              <w:t>恒温恒湿机，温度保持在20-25度，相对湿度保持在40%~55%</w:t>
            </w:r>
          </w:p>
        </w:tc>
        <w:tc>
          <w:tcPr>
            <w:tcW w:w="585" w:type="pct"/>
            <w:vAlign w:val="center"/>
          </w:tcPr>
          <w:p w14:paraId="0EC83C14">
            <w:pPr>
              <w:spacing w:line="360" w:lineRule="auto"/>
              <w:rPr>
                <w:rFonts w:ascii="宋体" w:hAnsi="宋体" w:cs="宋体"/>
                <w:szCs w:val="21"/>
              </w:rPr>
            </w:pPr>
          </w:p>
        </w:tc>
      </w:tr>
      <w:tr w14:paraId="7AEF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14:paraId="046AE9D9">
            <w:pPr>
              <w:widowControl/>
              <w:spacing w:line="360" w:lineRule="auto"/>
              <w:jc w:val="left"/>
              <w:rPr>
                <w:rFonts w:ascii="宋体" w:hAnsi="宋体" w:cs="宋体"/>
                <w:szCs w:val="21"/>
              </w:rPr>
            </w:pPr>
          </w:p>
        </w:tc>
        <w:tc>
          <w:tcPr>
            <w:tcW w:w="3600" w:type="pct"/>
            <w:vAlign w:val="center"/>
          </w:tcPr>
          <w:p w14:paraId="2D7151FA">
            <w:pPr>
              <w:spacing w:line="360" w:lineRule="auto"/>
              <w:rPr>
                <w:rFonts w:ascii="宋体" w:hAnsi="宋体" w:cs="宋体"/>
                <w:szCs w:val="21"/>
              </w:rPr>
            </w:pPr>
            <w:r>
              <w:rPr>
                <w:rFonts w:hint="eastAsia" w:ascii="宋体" w:hAnsi="宋体" w:cs="宋体"/>
                <w:szCs w:val="21"/>
              </w:rPr>
              <w:t>空调主机配置EPS供电，保障无市电情况下的持续运转</w:t>
            </w:r>
          </w:p>
        </w:tc>
        <w:tc>
          <w:tcPr>
            <w:tcW w:w="585" w:type="pct"/>
            <w:vAlign w:val="center"/>
          </w:tcPr>
          <w:p w14:paraId="5C039167">
            <w:pPr>
              <w:spacing w:line="360" w:lineRule="auto"/>
              <w:rPr>
                <w:rFonts w:ascii="宋体" w:hAnsi="宋体" w:cs="宋体"/>
                <w:szCs w:val="21"/>
              </w:rPr>
            </w:pPr>
          </w:p>
        </w:tc>
      </w:tr>
      <w:tr w14:paraId="64AC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Merge w:val="continue"/>
            <w:vAlign w:val="center"/>
          </w:tcPr>
          <w:p w14:paraId="3BA01C47">
            <w:pPr>
              <w:widowControl/>
              <w:spacing w:line="360" w:lineRule="auto"/>
              <w:jc w:val="left"/>
              <w:rPr>
                <w:rFonts w:ascii="宋体" w:hAnsi="宋体" w:cs="宋体"/>
                <w:szCs w:val="21"/>
              </w:rPr>
            </w:pPr>
          </w:p>
        </w:tc>
        <w:tc>
          <w:tcPr>
            <w:tcW w:w="3600" w:type="pct"/>
            <w:vAlign w:val="center"/>
          </w:tcPr>
          <w:p w14:paraId="4D711AA9">
            <w:pPr>
              <w:spacing w:line="360" w:lineRule="auto"/>
              <w:rPr>
                <w:rFonts w:ascii="宋体" w:hAnsi="宋体" w:cs="宋体"/>
                <w:szCs w:val="21"/>
              </w:rPr>
            </w:pPr>
            <w:r>
              <w:rPr>
                <w:rFonts w:hint="eastAsia" w:ascii="宋体" w:hAnsi="宋体" w:cs="宋体"/>
                <w:szCs w:val="21"/>
              </w:rPr>
              <w:t>下送风上回风、冷热通道隔离设计，提高制冷效果及能源使用效率</w:t>
            </w:r>
          </w:p>
        </w:tc>
        <w:tc>
          <w:tcPr>
            <w:tcW w:w="585" w:type="pct"/>
            <w:vAlign w:val="center"/>
          </w:tcPr>
          <w:p w14:paraId="22D15B04">
            <w:pPr>
              <w:spacing w:line="360" w:lineRule="auto"/>
              <w:rPr>
                <w:rFonts w:ascii="宋体" w:hAnsi="宋体" w:cs="宋体"/>
                <w:szCs w:val="21"/>
              </w:rPr>
            </w:pPr>
          </w:p>
        </w:tc>
      </w:tr>
      <w:tr w14:paraId="5952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7A52FBB1">
            <w:pPr>
              <w:spacing w:line="360" w:lineRule="auto"/>
              <w:rPr>
                <w:rFonts w:ascii="宋体" w:hAnsi="宋体" w:cs="宋体"/>
                <w:szCs w:val="21"/>
              </w:rPr>
            </w:pPr>
            <w:r>
              <w:rPr>
                <w:rFonts w:hint="eastAsia" w:ascii="宋体" w:hAnsi="宋体" w:cs="宋体"/>
                <w:szCs w:val="21"/>
              </w:rPr>
              <w:t>消防系统</w:t>
            </w:r>
          </w:p>
        </w:tc>
        <w:tc>
          <w:tcPr>
            <w:tcW w:w="3600" w:type="pct"/>
            <w:vAlign w:val="center"/>
          </w:tcPr>
          <w:p w14:paraId="6DA7189C">
            <w:pPr>
              <w:spacing w:line="360" w:lineRule="auto"/>
              <w:rPr>
                <w:rFonts w:ascii="宋体" w:hAnsi="宋体" w:cs="宋体"/>
                <w:szCs w:val="21"/>
              </w:rPr>
            </w:pPr>
            <w:r>
              <w:rPr>
                <w:rFonts w:hint="eastAsia" w:ascii="宋体" w:hAnsi="宋体" w:cs="宋体"/>
                <w:szCs w:val="21"/>
              </w:rPr>
              <w:t>分区域消防联动系统，保障机房运行安全</w:t>
            </w:r>
          </w:p>
        </w:tc>
        <w:tc>
          <w:tcPr>
            <w:tcW w:w="585" w:type="pct"/>
            <w:vAlign w:val="center"/>
          </w:tcPr>
          <w:p w14:paraId="0BDAB3C9">
            <w:pPr>
              <w:spacing w:line="360" w:lineRule="auto"/>
              <w:rPr>
                <w:rFonts w:ascii="宋体" w:hAnsi="宋体" w:cs="宋体"/>
                <w:szCs w:val="21"/>
              </w:rPr>
            </w:pPr>
          </w:p>
        </w:tc>
      </w:tr>
      <w:tr w14:paraId="4E48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50D4CC19">
            <w:pPr>
              <w:widowControl/>
              <w:spacing w:line="360" w:lineRule="auto"/>
              <w:jc w:val="left"/>
              <w:rPr>
                <w:rFonts w:ascii="宋体" w:hAnsi="宋体" w:cs="宋体"/>
                <w:szCs w:val="21"/>
              </w:rPr>
            </w:pPr>
            <w:r>
              <w:rPr>
                <w:rFonts w:hint="eastAsia" w:ascii="宋体" w:hAnsi="宋体" w:cs="宋体"/>
                <w:szCs w:val="21"/>
              </w:rPr>
              <w:t>网络资源</w:t>
            </w:r>
          </w:p>
        </w:tc>
        <w:tc>
          <w:tcPr>
            <w:tcW w:w="3600" w:type="pct"/>
            <w:vAlign w:val="center"/>
          </w:tcPr>
          <w:p w14:paraId="51CA3F5F">
            <w:pPr>
              <w:spacing w:line="360" w:lineRule="auto"/>
              <w:rPr>
                <w:rFonts w:ascii="宋体" w:hAnsi="宋体" w:cs="宋体"/>
                <w:szCs w:val="21"/>
              </w:rPr>
            </w:pPr>
            <w:r>
              <w:rPr>
                <w:rFonts w:hint="eastAsia" w:ascii="宋体" w:hAnsi="宋体" w:cs="宋体"/>
                <w:szCs w:val="21"/>
              </w:rPr>
              <w:t>具备可与杭州市政务外网相对接的网络环境，能提供公众服务网、资源共享网和业务专网等政务专用网络</w:t>
            </w:r>
          </w:p>
          <w:p w14:paraId="280866DF">
            <w:pPr>
              <w:spacing w:line="360" w:lineRule="auto"/>
              <w:rPr>
                <w:rFonts w:ascii="宋体" w:hAnsi="宋体" w:cs="宋体"/>
                <w:szCs w:val="21"/>
              </w:rPr>
            </w:pPr>
            <w:r>
              <w:rPr>
                <w:rFonts w:hint="eastAsia" w:ascii="宋体" w:hAnsi="宋体" w:cs="宋体"/>
                <w:szCs w:val="21"/>
              </w:rPr>
              <w:t>政务云机房与市政务网提供传输波分网络对接互联，保障政务网网络稳定</w:t>
            </w:r>
          </w:p>
        </w:tc>
        <w:tc>
          <w:tcPr>
            <w:tcW w:w="585" w:type="pct"/>
            <w:vAlign w:val="center"/>
          </w:tcPr>
          <w:p w14:paraId="50180F9B">
            <w:pPr>
              <w:spacing w:line="360" w:lineRule="auto"/>
              <w:rPr>
                <w:rFonts w:ascii="宋体" w:hAnsi="宋体" w:cs="宋体"/>
                <w:szCs w:val="21"/>
              </w:rPr>
            </w:pPr>
          </w:p>
        </w:tc>
      </w:tr>
      <w:tr w14:paraId="2D06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pct"/>
            <w:vAlign w:val="center"/>
          </w:tcPr>
          <w:p w14:paraId="30A08218">
            <w:pPr>
              <w:widowControl/>
              <w:spacing w:line="360" w:lineRule="auto"/>
              <w:jc w:val="left"/>
              <w:rPr>
                <w:rFonts w:ascii="宋体" w:hAnsi="宋体" w:cs="宋体"/>
                <w:szCs w:val="21"/>
              </w:rPr>
            </w:pPr>
            <w:r>
              <w:rPr>
                <w:rFonts w:hint="eastAsia" w:ascii="宋体" w:hAnsi="宋体" w:cs="宋体"/>
                <w:szCs w:val="21"/>
              </w:rPr>
              <w:t>互联网出口</w:t>
            </w:r>
          </w:p>
        </w:tc>
        <w:tc>
          <w:tcPr>
            <w:tcW w:w="3600" w:type="pct"/>
            <w:vAlign w:val="center"/>
          </w:tcPr>
          <w:p w14:paraId="73C4072D">
            <w:pPr>
              <w:spacing w:line="360" w:lineRule="auto"/>
              <w:rPr>
                <w:rFonts w:ascii="宋体" w:hAnsi="宋体" w:cs="宋体"/>
                <w:szCs w:val="21"/>
              </w:rPr>
            </w:pPr>
            <w:r>
              <w:rPr>
                <w:rFonts w:hint="eastAsia" w:ascii="宋体" w:hAnsi="宋体" w:cs="宋体"/>
                <w:szCs w:val="21"/>
              </w:rPr>
              <w:t>为杭州政务云平台提供稳定可靠的互联网出口。</w:t>
            </w:r>
          </w:p>
        </w:tc>
        <w:tc>
          <w:tcPr>
            <w:tcW w:w="585" w:type="pct"/>
            <w:vAlign w:val="center"/>
          </w:tcPr>
          <w:p w14:paraId="43FE2033">
            <w:pPr>
              <w:spacing w:line="360" w:lineRule="auto"/>
              <w:rPr>
                <w:rFonts w:ascii="宋体" w:hAnsi="宋体" w:cs="宋体"/>
                <w:szCs w:val="21"/>
              </w:rPr>
            </w:pPr>
          </w:p>
        </w:tc>
      </w:tr>
    </w:tbl>
    <w:p w14:paraId="212711E0">
      <w:pPr>
        <w:pStyle w:val="23"/>
        <w:snapToGrid w:val="0"/>
        <w:ind w:firstLine="420" w:firstLineChars="200"/>
        <w:outlineLvl w:val="4"/>
        <w:rPr>
          <w:rFonts w:hAnsi="宋体" w:cs="宋体"/>
          <w:sz w:val="21"/>
        </w:rPr>
      </w:pPr>
      <w:r>
        <w:rPr>
          <w:rFonts w:hint="eastAsia" w:hAnsi="宋体" w:cs="宋体"/>
          <w:sz w:val="21"/>
        </w:rPr>
        <w:t>7.1.1.2政务云平台</w:t>
      </w:r>
    </w:p>
    <w:p w14:paraId="282C0AA3">
      <w:pPr>
        <w:snapToGrid w:val="0"/>
        <w:spacing w:line="360" w:lineRule="auto"/>
        <w:ind w:firstLine="480"/>
        <w:rPr>
          <w:rFonts w:ascii="宋体" w:hAnsi="宋体" w:cs="宋体"/>
          <w:szCs w:val="21"/>
        </w:rPr>
      </w:pPr>
      <w:r>
        <w:rPr>
          <w:rFonts w:hint="eastAsia" w:ascii="宋体" w:hAnsi="宋体" w:cs="宋体"/>
          <w:szCs w:val="21"/>
        </w:rPr>
        <w:t>投标人应为“钱塘智慧电子政务云”提供专用的政务云平台，具体要求见下表：</w:t>
      </w:r>
    </w:p>
    <w:tbl>
      <w:tblPr>
        <w:tblStyle w:val="62"/>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781"/>
        <w:gridCol w:w="1014"/>
      </w:tblGrid>
      <w:tr w14:paraId="064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2F54AA7A">
            <w:pPr>
              <w:spacing w:line="360" w:lineRule="auto"/>
              <w:jc w:val="center"/>
              <w:rPr>
                <w:rFonts w:ascii="宋体" w:hAnsi="宋体" w:cs="宋体"/>
                <w:b/>
                <w:szCs w:val="21"/>
              </w:rPr>
            </w:pPr>
            <w:r>
              <w:rPr>
                <w:rFonts w:hint="eastAsia" w:ascii="宋体" w:hAnsi="宋体" w:cs="宋体"/>
                <w:b/>
                <w:szCs w:val="21"/>
              </w:rPr>
              <w:t>指标项</w:t>
            </w:r>
          </w:p>
        </w:tc>
        <w:tc>
          <w:tcPr>
            <w:tcW w:w="5781" w:type="dxa"/>
            <w:vAlign w:val="center"/>
          </w:tcPr>
          <w:p w14:paraId="77F22D4A">
            <w:pPr>
              <w:spacing w:line="360" w:lineRule="auto"/>
              <w:jc w:val="center"/>
              <w:rPr>
                <w:rFonts w:ascii="宋体" w:hAnsi="宋体" w:cs="宋体"/>
                <w:b/>
                <w:szCs w:val="21"/>
              </w:rPr>
            </w:pPr>
            <w:r>
              <w:rPr>
                <w:rFonts w:hint="eastAsia" w:ascii="宋体" w:hAnsi="宋体" w:cs="宋体"/>
                <w:b/>
                <w:szCs w:val="21"/>
              </w:rPr>
              <w:t>规格要求</w:t>
            </w:r>
          </w:p>
        </w:tc>
        <w:tc>
          <w:tcPr>
            <w:tcW w:w="1014" w:type="dxa"/>
            <w:vAlign w:val="center"/>
          </w:tcPr>
          <w:p w14:paraId="2A957772">
            <w:pPr>
              <w:spacing w:line="360" w:lineRule="auto"/>
              <w:jc w:val="center"/>
              <w:rPr>
                <w:rFonts w:ascii="宋体" w:hAnsi="宋体" w:cs="宋体"/>
                <w:b/>
                <w:szCs w:val="21"/>
              </w:rPr>
            </w:pPr>
            <w:r>
              <w:rPr>
                <w:rFonts w:hint="eastAsia" w:ascii="宋体" w:hAnsi="宋体" w:cs="宋体"/>
                <w:b/>
                <w:szCs w:val="21"/>
              </w:rPr>
              <w:t>备注</w:t>
            </w:r>
          </w:p>
        </w:tc>
      </w:tr>
      <w:tr w14:paraId="4DA8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14:paraId="4AF38772">
            <w:pPr>
              <w:spacing w:line="360" w:lineRule="auto"/>
              <w:rPr>
                <w:rFonts w:ascii="宋体" w:hAnsi="宋体" w:cs="宋体"/>
                <w:szCs w:val="21"/>
              </w:rPr>
            </w:pPr>
            <w:r>
              <w:rPr>
                <w:rFonts w:hint="eastAsia" w:ascii="宋体" w:hAnsi="宋体" w:cs="宋体"/>
                <w:szCs w:val="21"/>
              </w:rPr>
              <w:t>建设标准</w:t>
            </w:r>
          </w:p>
        </w:tc>
        <w:tc>
          <w:tcPr>
            <w:tcW w:w="5781" w:type="dxa"/>
            <w:vAlign w:val="center"/>
          </w:tcPr>
          <w:p w14:paraId="6D4E6EFE">
            <w:pPr>
              <w:spacing w:line="360" w:lineRule="auto"/>
              <w:rPr>
                <w:rFonts w:ascii="宋体" w:hAnsi="宋体" w:cs="宋体"/>
                <w:szCs w:val="21"/>
              </w:rPr>
            </w:pPr>
            <w:r>
              <w:rPr>
                <w:rFonts w:hint="eastAsia" w:ascii="宋体" w:hAnsi="宋体" w:cs="宋体"/>
                <w:b/>
                <w:bCs/>
                <w:szCs w:val="21"/>
                <w:u w:val="single"/>
              </w:rPr>
              <w:t>★平台基于大规模分布式计算系统内核技术架构</w:t>
            </w:r>
            <w:r>
              <w:rPr>
                <w:rFonts w:hint="eastAsia" w:ascii="宋体" w:hAnsi="宋体" w:cs="宋体"/>
                <w:b/>
                <w:bCs/>
                <w:szCs w:val="21"/>
                <w:u w:val="single"/>
                <w:lang w:eastAsia="zh-CN"/>
              </w:rPr>
              <w:t>（</w:t>
            </w:r>
            <w:r>
              <w:rPr>
                <w:rFonts w:hint="eastAsia" w:ascii="宋体" w:hAnsi="宋体" w:eastAsia="宋体" w:cs="宋体"/>
                <w:b/>
                <w:bCs/>
                <w:color w:val="auto"/>
                <w:sz w:val="21"/>
                <w:szCs w:val="21"/>
                <w:highlight w:val="none"/>
                <w:u w:val="single"/>
              </w:rPr>
              <w:t>需提供技术架构承诺说明函</w:t>
            </w:r>
            <w:r>
              <w:rPr>
                <w:rFonts w:hint="eastAsia" w:ascii="宋体" w:hAnsi="宋体" w:eastAsia="宋体" w:cs="宋体"/>
                <w:b/>
                <w:bCs/>
                <w:color w:val="auto"/>
                <w:sz w:val="21"/>
                <w:szCs w:val="21"/>
                <w:highlight w:val="none"/>
                <w:u w:val="single"/>
                <w:lang w:eastAsia="zh-CN"/>
              </w:rPr>
              <w:t>）</w:t>
            </w:r>
            <w:r>
              <w:rPr>
                <w:rFonts w:hint="eastAsia" w:ascii="宋体" w:hAnsi="宋体" w:cs="宋体"/>
                <w:b/>
                <w:bCs/>
                <w:szCs w:val="21"/>
                <w:u w:val="single"/>
              </w:rPr>
              <w:t>。</w:t>
            </w:r>
          </w:p>
        </w:tc>
        <w:tc>
          <w:tcPr>
            <w:tcW w:w="1014" w:type="dxa"/>
            <w:vAlign w:val="center"/>
          </w:tcPr>
          <w:p w14:paraId="5A38177C">
            <w:pPr>
              <w:spacing w:line="360" w:lineRule="auto"/>
              <w:rPr>
                <w:rFonts w:ascii="宋体" w:hAnsi="宋体" w:cs="宋体"/>
                <w:szCs w:val="21"/>
              </w:rPr>
            </w:pPr>
          </w:p>
        </w:tc>
      </w:tr>
      <w:tr w14:paraId="37B0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3EC0EF06">
            <w:pPr>
              <w:widowControl/>
              <w:spacing w:line="360" w:lineRule="auto"/>
              <w:jc w:val="left"/>
              <w:rPr>
                <w:rFonts w:ascii="宋体" w:hAnsi="宋体" w:cs="宋体"/>
                <w:szCs w:val="21"/>
              </w:rPr>
            </w:pPr>
          </w:p>
        </w:tc>
        <w:tc>
          <w:tcPr>
            <w:tcW w:w="5781" w:type="dxa"/>
            <w:vAlign w:val="center"/>
          </w:tcPr>
          <w:p w14:paraId="0268F782">
            <w:pPr>
              <w:spacing w:line="360" w:lineRule="auto"/>
              <w:rPr>
                <w:rFonts w:ascii="宋体" w:hAnsi="宋体" w:cs="宋体"/>
                <w:szCs w:val="21"/>
              </w:rPr>
            </w:pPr>
            <w:r>
              <w:rPr>
                <w:rFonts w:hint="eastAsia" w:ascii="宋体" w:hAnsi="宋体" w:cs="宋体"/>
                <w:szCs w:val="21"/>
              </w:rPr>
              <w:t>采用统一管理集群资源，统一管理集群内的CPU、内存、磁盘和网络资源使得这些关键资源可以被高效地使用。</w:t>
            </w:r>
          </w:p>
        </w:tc>
        <w:tc>
          <w:tcPr>
            <w:tcW w:w="1014" w:type="dxa"/>
            <w:vAlign w:val="center"/>
          </w:tcPr>
          <w:p w14:paraId="1C03EBF5">
            <w:pPr>
              <w:spacing w:line="360" w:lineRule="auto"/>
              <w:rPr>
                <w:rFonts w:ascii="宋体" w:hAnsi="宋体" w:cs="宋体"/>
                <w:szCs w:val="21"/>
              </w:rPr>
            </w:pPr>
          </w:p>
        </w:tc>
      </w:tr>
      <w:tr w14:paraId="2E8D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1126D156">
            <w:pPr>
              <w:widowControl/>
              <w:spacing w:line="360" w:lineRule="auto"/>
              <w:jc w:val="left"/>
              <w:rPr>
                <w:rFonts w:ascii="宋体" w:hAnsi="宋体" w:cs="宋体"/>
                <w:szCs w:val="21"/>
              </w:rPr>
            </w:pPr>
          </w:p>
        </w:tc>
        <w:tc>
          <w:tcPr>
            <w:tcW w:w="5781" w:type="dxa"/>
            <w:vAlign w:val="center"/>
          </w:tcPr>
          <w:p w14:paraId="56E72821">
            <w:pPr>
              <w:spacing w:line="360" w:lineRule="auto"/>
              <w:rPr>
                <w:rFonts w:ascii="宋体" w:hAnsi="宋体" w:cs="宋体"/>
                <w:szCs w:val="21"/>
              </w:rPr>
            </w:pPr>
            <w:r>
              <w:rPr>
                <w:rFonts w:hint="eastAsia" w:ascii="宋体" w:hAnsi="宋体" w:cs="宋体"/>
                <w:szCs w:val="21"/>
              </w:rPr>
              <w:t>采用文件多备份的策略提高存储的可靠性</w:t>
            </w:r>
          </w:p>
        </w:tc>
        <w:tc>
          <w:tcPr>
            <w:tcW w:w="1014" w:type="dxa"/>
            <w:vAlign w:val="center"/>
          </w:tcPr>
          <w:p w14:paraId="0B56546C">
            <w:pPr>
              <w:spacing w:line="360" w:lineRule="auto"/>
              <w:rPr>
                <w:rFonts w:ascii="宋体" w:hAnsi="宋体" w:cs="宋体"/>
                <w:szCs w:val="21"/>
              </w:rPr>
            </w:pPr>
          </w:p>
        </w:tc>
      </w:tr>
      <w:tr w14:paraId="0A71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55796E8B">
            <w:pPr>
              <w:widowControl/>
              <w:spacing w:line="360" w:lineRule="auto"/>
              <w:jc w:val="left"/>
              <w:rPr>
                <w:rFonts w:ascii="宋体" w:hAnsi="宋体" w:cs="宋体"/>
                <w:szCs w:val="21"/>
              </w:rPr>
            </w:pPr>
          </w:p>
        </w:tc>
        <w:tc>
          <w:tcPr>
            <w:tcW w:w="5781" w:type="dxa"/>
            <w:vAlign w:val="center"/>
          </w:tcPr>
          <w:p w14:paraId="5EA20526">
            <w:pPr>
              <w:spacing w:line="360" w:lineRule="auto"/>
              <w:rPr>
                <w:rFonts w:ascii="宋体" w:hAnsi="宋体" w:cs="宋体"/>
                <w:szCs w:val="21"/>
              </w:rPr>
            </w:pPr>
            <w:r>
              <w:rPr>
                <w:rFonts w:hint="eastAsia" w:ascii="宋体" w:hAnsi="宋体" w:cs="宋体"/>
                <w:szCs w:val="21"/>
              </w:rPr>
              <w:t>根据应用对资源进行全局的调度，提高资源的利用率</w:t>
            </w:r>
          </w:p>
        </w:tc>
        <w:tc>
          <w:tcPr>
            <w:tcW w:w="1014" w:type="dxa"/>
            <w:vAlign w:val="center"/>
          </w:tcPr>
          <w:p w14:paraId="78864BC5">
            <w:pPr>
              <w:spacing w:line="360" w:lineRule="auto"/>
              <w:rPr>
                <w:rFonts w:ascii="宋体" w:hAnsi="宋体" w:cs="宋体"/>
                <w:szCs w:val="21"/>
              </w:rPr>
            </w:pPr>
          </w:p>
        </w:tc>
      </w:tr>
      <w:tr w14:paraId="0AFE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617AB93D">
            <w:pPr>
              <w:widowControl/>
              <w:spacing w:line="360" w:lineRule="auto"/>
              <w:jc w:val="left"/>
              <w:rPr>
                <w:rFonts w:ascii="宋体" w:hAnsi="宋体" w:cs="宋体"/>
                <w:szCs w:val="21"/>
              </w:rPr>
            </w:pPr>
          </w:p>
        </w:tc>
        <w:tc>
          <w:tcPr>
            <w:tcW w:w="5781" w:type="dxa"/>
            <w:vAlign w:val="center"/>
          </w:tcPr>
          <w:p w14:paraId="4F0E9629">
            <w:pPr>
              <w:spacing w:line="360" w:lineRule="auto"/>
              <w:rPr>
                <w:rFonts w:ascii="宋体" w:hAnsi="宋体" w:cs="宋体"/>
                <w:szCs w:val="21"/>
              </w:rPr>
            </w:pPr>
            <w:r>
              <w:rPr>
                <w:rFonts w:hint="eastAsia" w:ascii="宋体" w:hAnsi="宋体" w:cs="宋体"/>
                <w:szCs w:val="21"/>
              </w:rPr>
              <w:t>采用自动故障切换提高系统整体的可用性</w:t>
            </w:r>
          </w:p>
        </w:tc>
        <w:tc>
          <w:tcPr>
            <w:tcW w:w="1014" w:type="dxa"/>
            <w:vAlign w:val="center"/>
          </w:tcPr>
          <w:p w14:paraId="7A16057B">
            <w:pPr>
              <w:spacing w:line="360" w:lineRule="auto"/>
              <w:rPr>
                <w:rFonts w:ascii="宋体" w:hAnsi="宋体" w:cs="宋体"/>
                <w:szCs w:val="21"/>
              </w:rPr>
            </w:pPr>
          </w:p>
        </w:tc>
      </w:tr>
      <w:tr w14:paraId="0FB9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49DE75A5">
            <w:pPr>
              <w:widowControl/>
              <w:spacing w:line="360" w:lineRule="auto"/>
              <w:jc w:val="left"/>
              <w:rPr>
                <w:rFonts w:ascii="宋体" w:hAnsi="宋体" w:cs="宋体"/>
                <w:szCs w:val="21"/>
              </w:rPr>
            </w:pPr>
          </w:p>
        </w:tc>
        <w:tc>
          <w:tcPr>
            <w:tcW w:w="5781" w:type="dxa"/>
            <w:vAlign w:val="center"/>
          </w:tcPr>
          <w:p w14:paraId="27F4B89E">
            <w:pPr>
              <w:spacing w:line="360" w:lineRule="auto"/>
              <w:rPr>
                <w:rFonts w:ascii="宋体" w:hAnsi="宋体" w:cs="宋体"/>
                <w:szCs w:val="21"/>
              </w:rPr>
            </w:pPr>
            <w:r>
              <w:rPr>
                <w:rFonts w:hint="eastAsia" w:ascii="宋体" w:hAnsi="宋体" w:cs="宋体"/>
                <w:szCs w:val="21"/>
              </w:rPr>
              <w:t>采用统一的安全措施，保证政务信息的安全性</w:t>
            </w:r>
          </w:p>
        </w:tc>
        <w:tc>
          <w:tcPr>
            <w:tcW w:w="1014" w:type="dxa"/>
            <w:vAlign w:val="center"/>
          </w:tcPr>
          <w:p w14:paraId="23A606F8">
            <w:pPr>
              <w:spacing w:line="360" w:lineRule="auto"/>
              <w:rPr>
                <w:rFonts w:ascii="宋体" w:hAnsi="宋体" w:cs="宋体"/>
                <w:szCs w:val="21"/>
              </w:rPr>
            </w:pPr>
          </w:p>
        </w:tc>
      </w:tr>
      <w:tr w14:paraId="3E02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03C288FF">
            <w:pPr>
              <w:widowControl/>
              <w:spacing w:line="360" w:lineRule="auto"/>
              <w:jc w:val="left"/>
              <w:rPr>
                <w:rFonts w:ascii="宋体" w:hAnsi="宋体" w:cs="宋体"/>
                <w:szCs w:val="21"/>
              </w:rPr>
            </w:pPr>
          </w:p>
        </w:tc>
        <w:tc>
          <w:tcPr>
            <w:tcW w:w="5781" w:type="dxa"/>
            <w:vAlign w:val="center"/>
          </w:tcPr>
          <w:p w14:paraId="14508F21">
            <w:pPr>
              <w:spacing w:line="360" w:lineRule="auto"/>
              <w:rPr>
                <w:rFonts w:ascii="宋体" w:hAnsi="宋体" w:cs="宋体"/>
                <w:szCs w:val="21"/>
              </w:rPr>
            </w:pPr>
            <w:r>
              <w:rPr>
                <w:rFonts w:hint="eastAsia" w:ascii="宋体" w:hAnsi="宋体" w:cs="宋体"/>
                <w:szCs w:val="21"/>
              </w:rPr>
              <w:t>采用统一运维的方式，提高系统的安全并降低成本</w:t>
            </w:r>
          </w:p>
        </w:tc>
        <w:tc>
          <w:tcPr>
            <w:tcW w:w="1014" w:type="dxa"/>
            <w:vAlign w:val="center"/>
          </w:tcPr>
          <w:p w14:paraId="351B6CF7">
            <w:pPr>
              <w:spacing w:line="360" w:lineRule="auto"/>
              <w:rPr>
                <w:rFonts w:ascii="宋体" w:hAnsi="宋体" w:cs="宋体"/>
                <w:szCs w:val="21"/>
              </w:rPr>
            </w:pPr>
          </w:p>
        </w:tc>
      </w:tr>
      <w:tr w14:paraId="0AC7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500" w:type="dxa"/>
            <w:vAlign w:val="center"/>
          </w:tcPr>
          <w:p w14:paraId="777B4581">
            <w:pPr>
              <w:spacing w:line="360" w:lineRule="auto"/>
              <w:rPr>
                <w:rFonts w:ascii="宋体" w:hAnsi="宋体" w:cs="宋体"/>
                <w:szCs w:val="21"/>
              </w:rPr>
            </w:pPr>
            <w:r>
              <w:rPr>
                <w:rFonts w:hint="eastAsia" w:ascii="宋体" w:hAnsi="宋体" w:cs="宋体"/>
                <w:szCs w:val="21"/>
              </w:rPr>
              <w:t>云平台自主知识产权</w:t>
            </w:r>
          </w:p>
        </w:tc>
        <w:tc>
          <w:tcPr>
            <w:tcW w:w="5781" w:type="dxa"/>
          </w:tcPr>
          <w:p w14:paraId="1978112E">
            <w:pPr>
              <w:spacing w:line="360" w:lineRule="auto"/>
              <w:rPr>
                <w:rFonts w:ascii="宋体" w:hAnsi="宋体" w:cs="宋体"/>
                <w:szCs w:val="21"/>
              </w:rPr>
            </w:pPr>
            <w:r>
              <w:rPr>
                <w:rFonts w:hint="eastAsia" w:ascii="宋体" w:hAnsi="宋体" w:cs="宋体"/>
                <w:szCs w:val="21"/>
              </w:rPr>
              <w:t>投标人所提供的平台软件，具备自主知识产权，并能够不依赖于第三方，具备对全部软件代码的自主研发、升级、及时的bug修复能力。</w:t>
            </w:r>
          </w:p>
        </w:tc>
        <w:tc>
          <w:tcPr>
            <w:tcW w:w="1014" w:type="dxa"/>
            <w:vAlign w:val="center"/>
          </w:tcPr>
          <w:p w14:paraId="40AD1068">
            <w:pPr>
              <w:spacing w:line="360" w:lineRule="auto"/>
              <w:rPr>
                <w:rFonts w:ascii="宋体" w:hAnsi="宋体" w:cs="宋体"/>
                <w:kern w:val="0"/>
                <w:szCs w:val="21"/>
              </w:rPr>
            </w:pPr>
          </w:p>
        </w:tc>
      </w:tr>
      <w:tr w14:paraId="4172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00" w:type="dxa"/>
            <w:vAlign w:val="center"/>
          </w:tcPr>
          <w:p w14:paraId="7C99BEE9">
            <w:pPr>
              <w:spacing w:line="360" w:lineRule="auto"/>
              <w:rPr>
                <w:rFonts w:ascii="宋体" w:hAnsi="宋体" w:cs="宋体"/>
                <w:szCs w:val="21"/>
              </w:rPr>
            </w:pPr>
            <w:r>
              <w:rPr>
                <w:rFonts w:hint="eastAsia" w:ascii="宋体" w:hAnsi="宋体" w:cs="宋体"/>
                <w:szCs w:val="21"/>
              </w:rPr>
              <w:t>市场商业化程度</w:t>
            </w:r>
          </w:p>
        </w:tc>
        <w:tc>
          <w:tcPr>
            <w:tcW w:w="5781" w:type="dxa"/>
            <w:vAlign w:val="center"/>
          </w:tcPr>
          <w:p w14:paraId="2A89E5F3">
            <w:pPr>
              <w:spacing w:line="360" w:lineRule="auto"/>
              <w:rPr>
                <w:rFonts w:ascii="宋体" w:hAnsi="宋体" w:cs="宋体"/>
                <w:szCs w:val="21"/>
              </w:rPr>
            </w:pPr>
            <w:r>
              <w:rPr>
                <w:rFonts w:hint="eastAsia" w:ascii="宋体" w:hAnsi="宋体" w:cs="宋体"/>
                <w:szCs w:val="21"/>
              </w:rPr>
              <w:t>云服务已商业化运行，经过了市场的有效检验。</w:t>
            </w:r>
          </w:p>
        </w:tc>
        <w:tc>
          <w:tcPr>
            <w:tcW w:w="1014" w:type="dxa"/>
            <w:vAlign w:val="center"/>
          </w:tcPr>
          <w:p w14:paraId="325F649C">
            <w:pPr>
              <w:spacing w:line="360" w:lineRule="auto"/>
              <w:rPr>
                <w:rFonts w:ascii="宋体" w:hAnsi="宋体" w:cs="宋体"/>
                <w:kern w:val="0"/>
                <w:szCs w:val="21"/>
              </w:rPr>
            </w:pPr>
          </w:p>
        </w:tc>
      </w:tr>
      <w:tr w14:paraId="4F76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6445AAFC">
            <w:pPr>
              <w:spacing w:line="360" w:lineRule="auto"/>
              <w:rPr>
                <w:rFonts w:ascii="宋体" w:hAnsi="宋体" w:cs="宋体"/>
                <w:szCs w:val="21"/>
              </w:rPr>
            </w:pPr>
            <w:r>
              <w:rPr>
                <w:rFonts w:hint="eastAsia" w:ascii="宋体" w:hAnsi="宋体" w:cs="宋体"/>
                <w:szCs w:val="21"/>
              </w:rPr>
              <w:t>政务VIP服务</w:t>
            </w:r>
          </w:p>
        </w:tc>
        <w:tc>
          <w:tcPr>
            <w:tcW w:w="5781" w:type="dxa"/>
            <w:vAlign w:val="center"/>
          </w:tcPr>
          <w:p w14:paraId="2A3077AF">
            <w:pPr>
              <w:spacing w:line="360" w:lineRule="auto"/>
              <w:rPr>
                <w:rFonts w:ascii="宋体" w:hAnsi="宋体" w:cs="宋体"/>
                <w:szCs w:val="21"/>
              </w:rPr>
            </w:pPr>
            <w:r>
              <w:rPr>
                <w:rFonts w:hint="eastAsia" w:ascii="宋体" w:hAnsi="宋体" w:cs="宋体"/>
                <w:szCs w:val="21"/>
              </w:rPr>
              <w:t>为政务用户提供VIP服务，划定政务服务逻辑专区，集中存放政务应用系统和数据资源，专区内的物理主机、存储、数据库、网络等资源不得提供给非政务用户使用。</w:t>
            </w:r>
          </w:p>
        </w:tc>
        <w:tc>
          <w:tcPr>
            <w:tcW w:w="1014" w:type="dxa"/>
            <w:vAlign w:val="center"/>
          </w:tcPr>
          <w:p w14:paraId="06E64F88">
            <w:pPr>
              <w:spacing w:line="360" w:lineRule="auto"/>
              <w:rPr>
                <w:rFonts w:ascii="宋体" w:hAnsi="宋体" w:cs="宋体"/>
                <w:kern w:val="0"/>
                <w:szCs w:val="21"/>
              </w:rPr>
            </w:pPr>
          </w:p>
        </w:tc>
      </w:tr>
      <w:tr w14:paraId="131A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2A5AAB40">
            <w:pPr>
              <w:spacing w:line="360" w:lineRule="auto"/>
              <w:rPr>
                <w:rFonts w:ascii="宋体" w:hAnsi="宋体" w:cs="宋体"/>
                <w:szCs w:val="21"/>
              </w:rPr>
            </w:pPr>
            <w:r>
              <w:rPr>
                <w:rFonts w:hint="eastAsia" w:ascii="宋体" w:hAnsi="宋体" w:cs="宋体"/>
                <w:szCs w:val="21"/>
              </w:rPr>
              <w:t>单集群规模</w:t>
            </w:r>
          </w:p>
        </w:tc>
        <w:tc>
          <w:tcPr>
            <w:tcW w:w="5781" w:type="dxa"/>
            <w:vAlign w:val="center"/>
          </w:tcPr>
          <w:p w14:paraId="77BC4C70">
            <w:pPr>
              <w:spacing w:line="360" w:lineRule="auto"/>
              <w:rPr>
                <w:rFonts w:ascii="宋体" w:hAnsi="宋体" w:cs="宋体"/>
                <w:szCs w:val="21"/>
              </w:rPr>
            </w:pPr>
            <w:r>
              <w:rPr>
                <w:rFonts w:hint="eastAsia" w:ascii="宋体" w:hAnsi="宋体" w:cs="宋体"/>
                <w:szCs w:val="21"/>
              </w:rPr>
              <w:t>单个集群支持10000台物理服务器</w:t>
            </w:r>
          </w:p>
        </w:tc>
        <w:tc>
          <w:tcPr>
            <w:tcW w:w="1014" w:type="dxa"/>
            <w:vAlign w:val="center"/>
          </w:tcPr>
          <w:p w14:paraId="6C3369CB">
            <w:pPr>
              <w:spacing w:line="360" w:lineRule="auto"/>
              <w:rPr>
                <w:rFonts w:ascii="宋体" w:hAnsi="宋体" w:cs="宋体"/>
                <w:kern w:val="0"/>
                <w:szCs w:val="21"/>
              </w:rPr>
            </w:pPr>
          </w:p>
        </w:tc>
      </w:tr>
      <w:tr w14:paraId="4689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0DEF109A">
            <w:pPr>
              <w:spacing w:line="360" w:lineRule="auto"/>
              <w:rPr>
                <w:rFonts w:ascii="宋体" w:hAnsi="宋体" w:cs="宋体"/>
                <w:szCs w:val="21"/>
              </w:rPr>
            </w:pPr>
            <w:r>
              <w:rPr>
                <w:rFonts w:hint="eastAsia" w:ascii="宋体" w:hAnsi="宋体" w:cs="宋体"/>
                <w:szCs w:val="21"/>
              </w:rPr>
              <w:t>资源管理</w:t>
            </w:r>
          </w:p>
        </w:tc>
        <w:tc>
          <w:tcPr>
            <w:tcW w:w="5781" w:type="dxa"/>
            <w:vAlign w:val="center"/>
          </w:tcPr>
          <w:p w14:paraId="5B6293BB">
            <w:pPr>
              <w:spacing w:line="360" w:lineRule="auto"/>
              <w:rPr>
                <w:rFonts w:ascii="宋体" w:hAnsi="宋体" w:cs="宋体"/>
                <w:szCs w:val="21"/>
              </w:rPr>
            </w:pPr>
            <w:r>
              <w:rPr>
                <w:rFonts w:hint="eastAsia" w:ascii="宋体" w:hAnsi="宋体" w:cs="宋体"/>
                <w:szCs w:val="21"/>
              </w:rPr>
              <w:t>负责调度和分配集群的内存和计算等资源给上层应用和服务，管理运行在集群节点上的任务的生命周期和资源使用。</w:t>
            </w:r>
          </w:p>
        </w:tc>
        <w:tc>
          <w:tcPr>
            <w:tcW w:w="1014" w:type="dxa"/>
            <w:vAlign w:val="center"/>
          </w:tcPr>
          <w:p w14:paraId="53B5F0BF">
            <w:pPr>
              <w:spacing w:line="360" w:lineRule="auto"/>
              <w:rPr>
                <w:rFonts w:ascii="宋体" w:hAnsi="宋体" w:cs="宋体"/>
                <w:szCs w:val="21"/>
              </w:rPr>
            </w:pPr>
          </w:p>
        </w:tc>
      </w:tr>
      <w:tr w14:paraId="1FEA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4EA0EA46">
            <w:pPr>
              <w:spacing w:line="360" w:lineRule="auto"/>
              <w:rPr>
                <w:rFonts w:ascii="宋体" w:hAnsi="宋体" w:cs="宋体"/>
                <w:szCs w:val="21"/>
              </w:rPr>
            </w:pPr>
            <w:r>
              <w:rPr>
                <w:rFonts w:hint="eastAsia" w:ascii="宋体" w:hAnsi="宋体" w:cs="宋体"/>
                <w:szCs w:val="21"/>
              </w:rPr>
              <w:t>安全管理</w:t>
            </w:r>
          </w:p>
        </w:tc>
        <w:tc>
          <w:tcPr>
            <w:tcW w:w="5781" w:type="dxa"/>
            <w:vAlign w:val="center"/>
          </w:tcPr>
          <w:p w14:paraId="23FFDDE8">
            <w:pPr>
              <w:spacing w:line="360" w:lineRule="auto"/>
              <w:rPr>
                <w:rFonts w:ascii="宋体" w:hAnsi="宋体" w:cs="宋体"/>
                <w:szCs w:val="21"/>
              </w:rPr>
            </w:pPr>
            <w:r>
              <w:rPr>
                <w:rFonts w:hint="eastAsia" w:ascii="宋体" w:hAnsi="宋体" w:cs="宋体"/>
                <w:szCs w:val="21"/>
              </w:rPr>
              <w:t>安全管理提供以用户为单位的身份认证和授权，对集群数据资源和服务进行访问控制生成</w:t>
            </w:r>
          </w:p>
        </w:tc>
        <w:tc>
          <w:tcPr>
            <w:tcW w:w="1014" w:type="dxa"/>
            <w:vAlign w:val="center"/>
          </w:tcPr>
          <w:p w14:paraId="01404776">
            <w:pPr>
              <w:spacing w:line="360" w:lineRule="auto"/>
              <w:rPr>
                <w:rFonts w:ascii="宋体" w:hAnsi="宋体" w:cs="宋体"/>
                <w:szCs w:val="21"/>
              </w:rPr>
            </w:pPr>
          </w:p>
        </w:tc>
      </w:tr>
      <w:tr w14:paraId="22F2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0FA3E60F">
            <w:pPr>
              <w:spacing w:line="360" w:lineRule="auto"/>
              <w:rPr>
                <w:rFonts w:ascii="宋体" w:hAnsi="宋体" w:cs="宋体"/>
                <w:szCs w:val="21"/>
              </w:rPr>
            </w:pPr>
            <w:r>
              <w:rPr>
                <w:rFonts w:hint="eastAsia" w:ascii="宋体" w:hAnsi="宋体" w:cs="宋体"/>
                <w:szCs w:val="21"/>
              </w:rPr>
              <w:t>远程过程调用</w:t>
            </w:r>
          </w:p>
        </w:tc>
        <w:tc>
          <w:tcPr>
            <w:tcW w:w="5781" w:type="dxa"/>
            <w:vAlign w:val="center"/>
          </w:tcPr>
          <w:p w14:paraId="4A83AEAA">
            <w:pPr>
              <w:spacing w:line="360" w:lineRule="auto"/>
              <w:rPr>
                <w:rFonts w:ascii="宋体" w:hAnsi="宋体" w:cs="宋体"/>
                <w:szCs w:val="21"/>
              </w:rPr>
            </w:pPr>
            <w:r>
              <w:rPr>
                <w:rFonts w:hint="eastAsia" w:ascii="宋体" w:hAnsi="宋体" w:cs="宋体"/>
                <w:szCs w:val="21"/>
              </w:rPr>
              <w:t>远程过程调用提供可靠高效的进程间远程调用服务，支持通讯信道的数据压缩和一致性校验</w:t>
            </w:r>
          </w:p>
        </w:tc>
        <w:tc>
          <w:tcPr>
            <w:tcW w:w="1014" w:type="dxa"/>
            <w:vAlign w:val="center"/>
          </w:tcPr>
          <w:p w14:paraId="4ECE78A9">
            <w:pPr>
              <w:spacing w:line="360" w:lineRule="auto"/>
              <w:rPr>
                <w:rFonts w:ascii="宋体" w:hAnsi="宋体" w:cs="宋体"/>
                <w:szCs w:val="21"/>
              </w:rPr>
            </w:pPr>
          </w:p>
        </w:tc>
      </w:tr>
      <w:tr w14:paraId="5CF1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4CEB97B6">
            <w:pPr>
              <w:spacing w:line="360" w:lineRule="auto"/>
              <w:rPr>
                <w:rFonts w:ascii="宋体" w:hAnsi="宋体" w:cs="宋体"/>
                <w:szCs w:val="21"/>
              </w:rPr>
            </w:pPr>
            <w:r>
              <w:rPr>
                <w:rFonts w:hint="eastAsia" w:ascii="宋体" w:hAnsi="宋体" w:cs="宋体"/>
                <w:szCs w:val="21"/>
              </w:rPr>
              <w:t>分布协同服务</w:t>
            </w:r>
          </w:p>
        </w:tc>
        <w:tc>
          <w:tcPr>
            <w:tcW w:w="5781" w:type="dxa"/>
            <w:vAlign w:val="center"/>
          </w:tcPr>
          <w:p w14:paraId="50B42D03">
            <w:pPr>
              <w:spacing w:line="360" w:lineRule="auto"/>
              <w:rPr>
                <w:rFonts w:ascii="宋体" w:hAnsi="宋体" w:cs="宋体"/>
                <w:szCs w:val="21"/>
              </w:rPr>
            </w:pPr>
            <w:r>
              <w:rPr>
                <w:rFonts w:hint="eastAsia" w:ascii="宋体" w:hAnsi="宋体" w:cs="宋体"/>
                <w:szCs w:val="21"/>
              </w:rPr>
              <w:t>分布协同服务提供分布式系统基本的命名服务、状态同步服务和分布式锁服务。支持基于Paxos的分布式共识协议</w:t>
            </w:r>
          </w:p>
        </w:tc>
        <w:tc>
          <w:tcPr>
            <w:tcW w:w="1014" w:type="dxa"/>
            <w:vAlign w:val="center"/>
          </w:tcPr>
          <w:p w14:paraId="0A136DEA">
            <w:pPr>
              <w:spacing w:line="360" w:lineRule="auto"/>
              <w:rPr>
                <w:rFonts w:ascii="宋体" w:hAnsi="宋体" w:cs="宋体"/>
                <w:szCs w:val="21"/>
              </w:rPr>
            </w:pPr>
          </w:p>
        </w:tc>
      </w:tr>
      <w:tr w14:paraId="1F5C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14:paraId="048ED594">
            <w:pPr>
              <w:spacing w:line="360" w:lineRule="auto"/>
              <w:rPr>
                <w:rFonts w:ascii="宋体" w:hAnsi="宋体" w:cs="宋体"/>
                <w:szCs w:val="21"/>
              </w:rPr>
            </w:pPr>
            <w:r>
              <w:rPr>
                <w:rFonts w:hint="eastAsia" w:ascii="宋体" w:hAnsi="宋体" w:cs="宋体"/>
                <w:szCs w:val="21"/>
              </w:rPr>
              <w:t>分布式文件系统</w:t>
            </w:r>
          </w:p>
        </w:tc>
        <w:tc>
          <w:tcPr>
            <w:tcW w:w="5781" w:type="dxa"/>
            <w:vAlign w:val="center"/>
          </w:tcPr>
          <w:p w14:paraId="768ACAB6">
            <w:pPr>
              <w:spacing w:line="360" w:lineRule="auto"/>
              <w:rPr>
                <w:rFonts w:ascii="宋体" w:hAnsi="宋体" w:cs="宋体"/>
                <w:szCs w:val="21"/>
              </w:rPr>
            </w:pPr>
            <w:r>
              <w:rPr>
                <w:rFonts w:hint="eastAsia" w:ascii="宋体" w:hAnsi="宋体" w:cs="宋体"/>
                <w:szCs w:val="21"/>
              </w:rPr>
              <w:t>能实现大规模数据的快速读写功能，具备文件并行操作的高效机制</w:t>
            </w:r>
          </w:p>
        </w:tc>
        <w:tc>
          <w:tcPr>
            <w:tcW w:w="1014" w:type="dxa"/>
            <w:vAlign w:val="center"/>
          </w:tcPr>
          <w:p w14:paraId="0B566831">
            <w:pPr>
              <w:spacing w:line="360" w:lineRule="auto"/>
              <w:rPr>
                <w:rFonts w:ascii="宋体" w:hAnsi="宋体" w:cs="宋体"/>
                <w:szCs w:val="21"/>
              </w:rPr>
            </w:pPr>
          </w:p>
        </w:tc>
      </w:tr>
      <w:tr w14:paraId="4801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010FF6D2">
            <w:pPr>
              <w:widowControl/>
              <w:spacing w:line="360" w:lineRule="auto"/>
              <w:jc w:val="left"/>
              <w:rPr>
                <w:rFonts w:ascii="宋体" w:hAnsi="宋体" w:cs="宋体"/>
                <w:szCs w:val="21"/>
              </w:rPr>
            </w:pPr>
          </w:p>
        </w:tc>
        <w:tc>
          <w:tcPr>
            <w:tcW w:w="5781" w:type="dxa"/>
            <w:vAlign w:val="center"/>
          </w:tcPr>
          <w:p w14:paraId="072E9B9D">
            <w:pPr>
              <w:spacing w:line="360" w:lineRule="auto"/>
              <w:rPr>
                <w:rFonts w:ascii="宋体" w:hAnsi="宋体" w:cs="宋体"/>
                <w:szCs w:val="21"/>
              </w:rPr>
            </w:pPr>
            <w:r>
              <w:rPr>
                <w:rFonts w:hint="eastAsia" w:ascii="宋体" w:hAnsi="宋体" w:cs="宋体"/>
                <w:szCs w:val="21"/>
              </w:rPr>
              <w:t>拥有存储系统状态的监视机制以及故障诊断和恢复高效算法</w:t>
            </w:r>
          </w:p>
        </w:tc>
        <w:tc>
          <w:tcPr>
            <w:tcW w:w="1014" w:type="dxa"/>
            <w:vAlign w:val="center"/>
          </w:tcPr>
          <w:p w14:paraId="2505FB7B">
            <w:pPr>
              <w:spacing w:line="360" w:lineRule="auto"/>
              <w:rPr>
                <w:rFonts w:ascii="宋体" w:hAnsi="宋体" w:cs="宋体"/>
                <w:szCs w:val="21"/>
              </w:rPr>
            </w:pPr>
          </w:p>
        </w:tc>
      </w:tr>
      <w:tr w14:paraId="791D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2AA63ADF">
            <w:pPr>
              <w:widowControl/>
              <w:spacing w:line="360" w:lineRule="auto"/>
              <w:jc w:val="left"/>
              <w:rPr>
                <w:rFonts w:ascii="宋体" w:hAnsi="宋体" w:cs="宋体"/>
                <w:szCs w:val="21"/>
              </w:rPr>
            </w:pPr>
          </w:p>
        </w:tc>
        <w:tc>
          <w:tcPr>
            <w:tcW w:w="5781" w:type="dxa"/>
            <w:vAlign w:val="center"/>
          </w:tcPr>
          <w:p w14:paraId="58C9682D">
            <w:pPr>
              <w:spacing w:line="360" w:lineRule="auto"/>
              <w:rPr>
                <w:rFonts w:ascii="宋体" w:hAnsi="宋体" w:cs="宋体"/>
                <w:szCs w:val="21"/>
              </w:rPr>
            </w:pPr>
            <w:r>
              <w:rPr>
                <w:rFonts w:hint="eastAsia" w:ascii="宋体" w:hAnsi="宋体" w:cs="宋体"/>
                <w:szCs w:val="21"/>
              </w:rPr>
              <w:t>具备数据安全防护，包括数据加密技术，冗余存储和自动恢复技术，多租户，用户隔离，访问控制技术，为云存储提供数据安全保障</w:t>
            </w:r>
          </w:p>
        </w:tc>
        <w:tc>
          <w:tcPr>
            <w:tcW w:w="1014" w:type="dxa"/>
            <w:vAlign w:val="center"/>
          </w:tcPr>
          <w:p w14:paraId="42E3279C">
            <w:pPr>
              <w:spacing w:line="360" w:lineRule="auto"/>
              <w:rPr>
                <w:rFonts w:ascii="宋体" w:hAnsi="宋体" w:cs="宋体"/>
                <w:szCs w:val="21"/>
              </w:rPr>
            </w:pPr>
          </w:p>
        </w:tc>
      </w:tr>
      <w:tr w14:paraId="3AE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2ACB72FE">
            <w:pPr>
              <w:widowControl/>
              <w:spacing w:line="360" w:lineRule="auto"/>
              <w:jc w:val="left"/>
              <w:rPr>
                <w:rFonts w:ascii="宋体" w:hAnsi="宋体" w:cs="宋体"/>
                <w:szCs w:val="21"/>
              </w:rPr>
            </w:pPr>
          </w:p>
        </w:tc>
        <w:tc>
          <w:tcPr>
            <w:tcW w:w="5781" w:type="dxa"/>
            <w:vAlign w:val="center"/>
          </w:tcPr>
          <w:p w14:paraId="2B06BB4F">
            <w:pPr>
              <w:spacing w:line="360" w:lineRule="auto"/>
              <w:rPr>
                <w:rFonts w:ascii="宋体" w:hAnsi="宋体" w:cs="宋体"/>
                <w:szCs w:val="21"/>
              </w:rPr>
            </w:pPr>
            <w:r>
              <w:rPr>
                <w:rFonts w:hint="eastAsia" w:ascii="宋体" w:hAnsi="宋体" w:cs="宋体"/>
                <w:szCs w:val="21"/>
              </w:rPr>
              <w:t>支持大规模并发读写，充分利用分布式并行带宽</w:t>
            </w:r>
          </w:p>
        </w:tc>
        <w:tc>
          <w:tcPr>
            <w:tcW w:w="1014" w:type="dxa"/>
            <w:vAlign w:val="center"/>
          </w:tcPr>
          <w:p w14:paraId="7FECCB71">
            <w:pPr>
              <w:spacing w:line="360" w:lineRule="auto"/>
              <w:rPr>
                <w:rFonts w:ascii="宋体" w:hAnsi="宋体" w:cs="宋体"/>
                <w:szCs w:val="21"/>
              </w:rPr>
            </w:pPr>
          </w:p>
        </w:tc>
      </w:tr>
      <w:tr w14:paraId="39BF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11E9EE9D">
            <w:pPr>
              <w:widowControl/>
              <w:spacing w:line="360" w:lineRule="auto"/>
              <w:jc w:val="left"/>
              <w:rPr>
                <w:rFonts w:ascii="宋体" w:hAnsi="宋体" w:cs="宋体"/>
                <w:szCs w:val="21"/>
              </w:rPr>
            </w:pPr>
          </w:p>
        </w:tc>
        <w:tc>
          <w:tcPr>
            <w:tcW w:w="5781" w:type="dxa"/>
            <w:vAlign w:val="center"/>
          </w:tcPr>
          <w:p w14:paraId="641E3694">
            <w:pPr>
              <w:spacing w:line="360" w:lineRule="auto"/>
              <w:rPr>
                <w:rFonts w:ascii="宋体" w:hAnsi="宋体" w:cs="宋体"/>
                <w:szCs w:val="21"/>
              </w:rPr>
            </w:pPr>
            <w:r>
              <w:rPr>
                <w:rFonts w:hint="eastAsia" w:ascii="宋体" w:hAnsi="宋体" w:cs="宋体"/>
                <w:szCs w:val="21"/>
              </w:rPr>
              <w:t>分布式文件系统拥有高可扩展性，支持上亿个文件和PB以上量级的文件存储</w:t>
            </w:r>
          </w:p>
        </w:tc>
        <w:tc>
          <w:tcPr>
            <w:tcW w:w="1014" w:type="dxa"/>
            <w:vAlign w:val="center"/>
          </w:tcPr>
          <w:p w14:paraId="795FCB7B">
            <w:pPr>
              <w:spacing w:line="360" w:lineRule="auto"/>
              <w:rPr>
                <w:rFonts w:ascii="宋体" w:hAnsi="宋体" w:cs="宋体"/>
                <w:szCs w:val="21"/>
              </w:rPr>
            </w:pPr>
          </w:p>
        </w:tc>
      </w:tr>
      <w:tr w14:paraId="211E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20657C53">
            <w:pPr>
              <w:widowControl/>
              <w:spacing w:line="360" w:lineRule="auto"/>
              <w:jc w:val="left"/>
              <w:rPr>
                <w:rFonts w:ascii="宋体" w:hAnsi="宋体" w:cs="宋体"/>
                <w:szCs w:val="21"/>
              </w:rPr>
            </w:pPr>
          </w:p>
        </w:tc>
        <w:tc>
          <w:tcPr>
            <w:tcW w:w="5781" w:type="dxa"/>
            <w:vAlign w:val="center"/>
          </w:tcPr>
          <w:p w14:paraId="46952C2E">
            <w:pPr>
              <w:spacing w:line="360" w:lineRule="auto"/>
              <w:rPr>
                <w:rFonts w:ascii="宋体" w:hAnsi="宋体" w:cs="宋体"/>
                <w:szCs w:val="21"/>
              </w:rPr>
            </w:pPr>
            <w:r>
              <w:rPr>
                <w:rFonts w:hint="eastAsia" w:ascii="宋体" w:hAnsi="宋体" w:cs="宋体"/>
                <w:szCs w:val="21"/>
              </w:rPr>
              <w:t>基于Paxos协议的多Master设计，避免集群单点失效，自动进行故障监测和数据复制，在不依赖RAID卡和NAS等特殊硬件设备的条件下，达到极高的可用性和可靠性</w:t>
            </w:r>
          </w:p>
        </w:tc>
        <w:tc>
          <w:tcPr>
            <w:tcW w:w="1014" w:type="dxa"/>
            <w:vAlign w:val="center"/>
          </w:tcPr>
          <w:p w14:paraId="67927919">
            <w:pPr>
              <w:spacing w:line="360" w:lineRule="auto"/>
              <w:rPr>
                <w:rFonts w:ascii="宋体" w:hAnsi="宋体" w:cs="宋体"/>
                <w:szCs w:val="21"/>
              </w:rPr>
            </w:pPr>
          </w:p>
        </w:tc>
      </w:tr>
      <w:tr w14:paraId="5700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244224EA">
            <w:pPr>
              <w:widowControl/>
              <w:spacing w:line="360" w:lineRule="auto"/>
              <w:jc w:val="left"/>
              <w:rPr>
                <w:rFonts w:ascii="宋体" w:hAnsi="宋体" w:cs="宋体"/>
                <w:szCs w:val="21"/>
              </w:rPr>
            </w:pPr>
          </w:p>
        </w:tc>
        <w:tc>
          <w:tcPr>
            <w:tcW w:w="5781" w:type="dxa"/>
            <w:vAlign w:val="center"/>
          </w:tcPr>
          <w:p w14:paraId="00650C2B">
            <w:pPr>
              <w:spacing w:line="360" w:lineRule="auto"/>
              <w:rPr>
                <w:rFonts w:ascii="宋体" w:hAnsi="宋体" w:cs="宋体"/>
                <w:szCs w:val="21"/>
              </w:rPr>
            </w:pPr>
            <w:r>
              <w:rPr>
                <w:rFonts w:hint="eastAsia" w:ascii="宋体" w:hAnsi="宋体" w:cs="宋体"/>
                <w:szCs w:val="21"/>
              </w:rPr>
              <w:t>毫秒级别的日志更新操作，支持快速响应的在线服务</w:t>
            </w:r>
          </w:p>
        </w:tc>
        <w:tc>
          <w:tcPr>
            <w:tcW w:w="1014" w:type="dxa"/>
            <w:vAlign w:val="center"/>
          </w:tcPr>
          <w:p w14:paraId="063AD25A">
            <w:pPr>
              <w:spacing w:line="360" w:lineRule="auto"/>
              <w:rPr>
                <w:rFonts w:ascii="宋体" w:hAnsi="宋体" w:cs="宋体"/>
                <w:szCs w:val="21"/>
              </w:rPr>
            </w:pPr>
          </w:p>
        </w:tc>
      </w:tr>
      <w:tr w14:paraId="14AE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36B2BD63">
            <w:pPr>
              <w:widowControl/>
              <w:spacing w:line="360" w:lineRule="auto"/>
              <w:jc w:val="left"/>
              <w:rPr>
                <w:rFonts w:ascii="宋体" w:hAnsi="宋体" w:cs="宋体"/>
                <w:szCs w:val="21"/>
              </w:rPr>
            </w:pPr>
          </w:p>
        </w:tc>
        <w:tc>
          <w:tcPr>
            <w:tcW w:w="5781" w:type="dxa"/>
            <w:vAlign w:val="center"/>
          </w:tcPr>
          <w:p w14:paraId="07D0ECE0">
            <w:pPr>
              <w:spacing w:line="360" w:lineRule="auto"/>
              <w:rPr>
                <w:rFonts w:ascii="宋体" w:hAnsi="宋体" w:cs="宋体"/>
                <w:szCs w:val="21"/>
              </w:rPr>
            </w:pPr>
            <w:r>
              <w:rPr>
                <w:rFonts w:hint="eastAsia" w:ascii="宋体" w:hAnsi="宋体" w:cs="宋体"/>
                <w:szCs w:val="21"/>
              </w:rPr>
              <w:t>支持增量扩容和自动数据平衡能力，允许用户定制数据分布策略</w:t>
            </w:r>
          </w:p>
        </w:tc>
        <w:tc>
          <w:tcPr>
            <w:tcW w:w="1014" w:type="dxa"/>
            <w:vAlign w:val="center"/>
          </w:tcPr>
          <w:p w14:paraId="47330282">
            <w:pPr>
              <w:spacing w:line="360" w:lineRule="auto"/>
              <w:rPr>
                <w:rFonts w:ascii="宋体" w:hAnsi="宋体" w:cs="宋体"/>
                <w:szCs w:val="21"/>
              </w:rPr>
            </w:pPr>
          </w:p>
        </w:tc>
      </w:tr>
      <w:tr w14:paraId="5AFA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14:paraId="6DC24FF9">
            <w:pPr>
              <w:spacing w:line="360" w:lineRule="auto"/>
              <w:rPr>
                <w:rFonts w:ascii="宋体" w:hAnsi="宋体" w:cs="宋体"/>
                <w:szCs w:val="21"/>
              </w:rPr>
            </w:pPr>
            <w:r>
              <w:rPr>
                <w:rFonts w:hint="eastAsia" w:ascii="宋体" w:hAnsi="宋体" w:cs="宋体"/>
                <w:szCs w:val="21"/>
              </w:rPr>
              <w:t>任务调度</w:t>
            </w:r>
          </w:p>
        </w:tc>
        <w:tc>
          <w:tcPr>
            <w:tcW w:w="5781" w:type="dxa"/>
            <w:vAlign w:val="center"/>
          </w:tcPr>
          <w:p w14:paraId="205B833B">
            <w:pPr>
              <w:spacing w:line="360" w:lineRule="auto"/>
              <w:rPr>
                <w:rFonts w:ascii="宋体" w:hAnsi="宋体" w:cs="宋体"/>
                <w:szCs w:val="21"/>
              </w:rPr>
            </w:pPr>
            <w:r>
              <w:rPr>
                <w:rFonts w:hint="eastAsia" w:ascii="宋体" w:hAnsi="宋体" w:cs="宋体"/>
                <w:szCs w:val="21"/>
              </w:rPr>
              <w:t>采用数据驱动的多级流水线并行计算框架，在表述能力上兼容MapReduce，Map-Reduce-Merge等多种编程模式</w:t>
            </w:r>
          </w:p>
        </w:tc>
        <w:tc>
          <w:tcPr>
            <w:tcW w:w="1014" w:type="dxa"/>
            <w:vAlign w:val="center"/>
          </w:tcPr>
          <w:p w14:paraId="6843D7D6">
            <w:pPr>
              <w:spacing w:line="360" w:lineRule="auto"/>
              <w:rPr>
                <w:rFonts w:ascii="宋体" w:hAnsi="宋体" w:cs="宋体"/>
                <w:szCs w:val="21"/>
              </w:rPr>
            </w:pPr>
          </w:p>
        </w:tc>
      </w:tr>
      <w:tr w14:paraId="2218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032F5A80">
            <w:pPr>
              <w:widowControl/>
              <w:spacing w:line="360" w:lineRule="auto"/>
              <w:jc w:val="left"/>
              <w:rPr>
                <w:rFonts w:ascii="宋体" w:hAnsi="宋体" w:cs="宋体"/>
                <w:szCs w:val="21"/>
              </w:rPr>
            </w:pPr>
          </w:p>
        </w:tc>
        <w:tc>
          <w:tcPr>
            <w:tcW w:w="5781" w:type="dxa"/>
            <w:vAlign w:val="center"/>
          </w:tcPr>
          <w:p w14:paraId="646085A9">
            <w:pPr>
              <w:spacing w:line="360" w:lineRule="auto"/>
              <w:rPr>
                <w:rFonts w:ascii="宋体" w:hAnsi="宋体" w:cs="宋体"/>
                <w:szCs w:val="21"/>
              </w:rPr>
            </w:pPr>
            <w:r>
              <w:rPr>
                <w:rFonts w:hint="eastAsia" w:ascii="宋体" w:hAnsi="宋体" w:cs="宋体"/>
                <w:szCs w:val="21"/>
              </w:rPr>
              <w:t>高可扩展性，支持十万以上级的并行任务调度</w:t>
            </w:r>
          </w:p>
        </w:tc>
        <w:tc>
          <w:tcPr>
            <w:tcW w:w="1014" w:type="dxa"/>
            <w:vAlign w:val="center"/>
          </w:tcPr>
          <w:p w14:paraId="6EBC2C99">
            <w:pPr>
              <w:spacing w:line="360" w:lineRule="auto"/>
              <w:rPr>
                <w:rFonts w:ascii="宋体" w:hAnsi="宋体" w:cs="宋体"/>
                <w:szCs w:val="21"/>
              </w:rPr>
            </w:pPr>
          </w:p>
        </w:tc>
      </w:tr>
      <w:tr w14:paraId="34DE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00" w:type="dxa"/>
            <w:vMerge w:val="continue"/>
            <w:vAlign w:val="center"/>
          </w:tcPr>
          <w:p w14:paraId="48876319">
            <w:pPr>
              <w:widowControl/>
              <w:spacing w:line="360" w:lineRule="auto"/>
              <w:jc w:val="left"/>
              <w:rPr>
                <w:rFonts w:ascii="宋体" w:hAnsi="宋体" w:cs="宋体"/>
                <w:szCs w:val="21"/>
              </w:rPr>
            </w:pPr>
          </w:p>
        </w:tc>
        <w:tc>
          <w:tcPr>
            <w:tcW w:w="5781" w:type="dxa"/>
            <w:vAlign w:val="center"/>
          </w:tcPr>
          <w:p w14:paraId="192448C0">
            <w:pPr>
              <w:spacing w:line="360" w:lineRule="auto"/>
              <w:rPr>
                <w:rFonts w:ascii="宋体" w:hAnsi="宋体" w:cs="宋体"/>
                <w:szCs w:val="21"/>
              </w:rPr>
            </w:pPr>
            <w:r>
              <w:rPr>
                <w:rFonts w:hint="eastAsia" w:ascii="宋体" w:hAnsi="宋体" w:cs="宋体"/>
                <w:szCs w:val="21"/>
              </w:rPr>
              <w:t>自动检测故障和系统热点，重试失败任务，保证作业稳定可靠运行完成</w:t>
            </w:r>
          </w:p>
        </w:tc>
        <w:tc>
          <w:tcPr>
            <w:tcW w:w="1014" w:type="dxa"/>
            <w:vAlign w:val="center"/>
          </w:tcPr>
          <w:p w14:paraId="6AE5A1DB">
            <w:pPr>
              <w:spacing w:line="360" w:lineRule="auto"/>
              <w:rPr>
                <w:rFonts w:ascii="宋体" w:hAnsi="宋体" w:cs="宋体"/>
                <w:szCs w:val="21"/>
              </w:rPr>
            </w:pPr>
          </w:p>
        </w:tc>
      </w:tr>
      <w:tr w14:paraId="4EFF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00" w:type="dxa"/>
            <w:vAlign w:val="center"/>
          </w:tcPr>
          <w:p w14:paraId="78C40DF5">
            <w:pPr>
              <w:jc w:val="center"/>
              <w:rPr>
                <w:rFonts w:ascii="宋体" w:hAnsi="宋体" w:cs="宋体"/>
                <w:szCs w:val="21"/>
              </w:rPr>
            </w:pPr>
            <w:r>
              <w:rPr>
                <w:rFonts w:hint="eastAsia" w:ascii="宋体" w:hAnsi="宋体" w:cs="宋体"/>
                <w:szCs w:val="21"/>
              </w:rPr>
              <w:t>外部平台对接能力</w:t>
            </w:r>
          </w:p>
        </w:tc>
        <w:tc>
          <w:tcPr>
            <w:tcW w:w="5781" w:type="dxa"/>
            <w:vAlign w:val="center"/>
          </w:tcPr>
          <w:p w14:paraId="6A8D9C82">
            <w:pPr>
              <w:spacing w:line="360" w:lineRule="auto"/>
              <w:rPr>
                <w:rFonts w:ascii="宋体" w:hAnsi="宋体" w:cs="宋体"/>
                <w:b/>
                <w:bCs/>
                <w:szCs w:val="21"/>
                <w:u w:val="single"/>
              </w:rPr>
            </w:pPr>
            <w:r>
              <w:rPr>
                <w:rFonts w:hint="eastAsia" w:ascii="宋体" w:hAnsi="宋体" w:cs="宋体"/>
                <w:szCs w:val="21"/>
                <w:u w:val="single"/>
              </w:rPr>
              <w:t>★</w:t>
            </w:r>
            <w:r>
              <w:rPr>
                <w:rFonts w:hint="eastAsia" w:ascii="宋体" w:hAnsi="宋体" w:cs="宋体"/>
                <w:b/>
                <w:bCs/>
                <w:szCs w:val="21"/>
                <w:u w:val="single"/>
              </w:rPr>
              <w:t>支持与省一体化数字资源平台（IRS）、市一体化公共数据平台等外部系统对接，实现资源数据上报，资源开通等功能（提供IRS界面截图等相关证明材料）</w:t>
            </w:r>
          </w:p>
          <w:p w14:paraId="26551883">
            <w:pPr>
              <w:spacing w:line="360" w:lineRule="auto"/>
              <w:rPr>
                <w:rFonts w:ascii="宋体" w:hAnsi="宋体" w:cs="宋体"/>
                <w:szCs w:val="21"/>
              </w:rPr>
            </w:pPr>
            <w:r>
              <w:rPr>
                <w:rFonts w:hint="eastAsia" w:ascii="宋体" w:hAnsi="宋体" w:cs="宋体"/>
                <w:szCs w:val="21"/>
              </w:rPr>
              <w:t>满足IRS平台的云资源业务审批流程按照采购单位的要求进行配置</w:t>
            </w:r>
          </w:p>
          <w:p w14:paraId="09249FAC">
            <w:pPr>
              <w:spacing w:line="360" w:lineRule="auto"/>
              <w:rPr>
                <w:rFonts w:ascii="宋体" w:hAnsi="宋体" w:cs="宋体"/>
                <w:szCs w:val="21"/>
              </w:rPr>
            </w:pPr>
            <w:r>
              <w:rPr>
                <w:rFonts w:hint="eastAsia" w:ascii="宋体" w:hAnsi="宋体" w:cs="宋体"/>
                <w:szCs w:val="21"/>
              </w:rPr>
              <w:t>满足具备ECS、RDS、SLB、OSS四大件等云资源的定期上传IRS平台功能</w:t>
            </w:r>
          </w:p>
          <w:p w14:paraId="17DE8FAA">
            <w:pPr>
              <w:spacing w:line="360" w:lineRule="auto"/>
              <w:rPr>
                <w:rFonts w:ascii="宋体" w:hAnsi="宋体" w:cs="宋体"/>
                <w:szCs w:val="21"/>
              </w:rPr>
            </w:pPr>
            <w:r>
              <w:rPr>
                <w:rFonts w:hint="eastAsia" w:ascii="宋体" w:hAnsi="宋体" w:cs="宋体"/>
                <w:szCs w:val="21"/>
              </w:rPr>
              <w:t>服务期间满足浙江省大数据发展管理局和杭州市数据资源管理局下派的各项IRS平台有关政务云的接口对接和数据上报任务。</w:t>
            </w:r>
          </w:p>
        </w:tc>
        <w:tc>
          <w:tcPr>
            <w:tcW w:w="1014" w:type="dxa"/>
            <w:vAlign w:val="center"/>
          </w:tcPr>
          <w:p w14:paraId="31ACA903">
            <w:pPr>
              <w:spacing w:line="360" w:lineRule="auto"/>
              <w:rPr>
                <w:rFonts w:ascii="宋体" w:hAnsi="宋体" w:cs="宋体"/>
                <w:szCs w:val="21"/>
              </w:rPr>
            </w:pPr>
          </w:p>
        </w:tc>
      </w:tr>
      <w:tr w14:paraId="5B8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14:paraId="33BC47AC">
            <w:pPr>
              <w:spacing w:line="360" w:lineRule="auto"/>
              <w:rPr>
                <w:rFonts w:ascii="宋体" w:hAnsi="宋体" w:cs="宋体"/>
                <w:szCs w:val="21"/>
              </w:rPr>
            </w:pPr>
            <w:r>
              <w:rPr>
                <w:rFonts w:hint="eastAsia" w:ascii="宋体" w:hAnsi="宋体" w:cs="宋体"/>
                <w:szCs w:val="21"/>
              </w:rPr>
              <w:t>大规模数据分析</w:t>
            </w:r>
          </w:p>
        </w:tc>
        <w:tc>
          <w:tcPr>
            <w:tcW w:w="5781" w:type="dxa"/>
            <w:vAlign w:val="center"/>
          </w:tcPr>
          <w:p w14:paraId="1F1CD956">
            <w:pPr>
              <w:spacing w:line="360" w:lineRule="auto"/>
              <w:jc w:val="left"/>
              <w:rPr>
                <w:rFonts w:ascii="宋体" w:hAnsi="宋体" w:cs="宋体"/>
                <w:szCs w:val="21"/>
              </w:rPr>
            </w:pPr>
            <w:r>
              <w:rPr>
                <w:rFonts w:hint="eastAsia" w:ascii="宋体" w:hAnsi="宋体" w:cs="宋体"/>
                <w:szCs w:val="21"/>
              </w:rPr>
              <w:t>支持Map、Reduce、Join、Union 等多种数据节点处理模式，支持直接使用SQL 语句对海量数据进行离线分析。</w:t>
            </w:r>
          </w:p>
        </w:tc>
        <w:tc>
          <w:tcPr>
            <w:tcW w:w="1014" w:type="dxa"/>
            <w:vAlign w:val="center"/>
          </w:tcPr>
          <w:p w14:paraId="5AC03A4A">
            <w:pPr>
              <w:spacing w:line="360" w:lineRule="auto"/>
              <w:rPr>
                <w:rFonts w:ascii="宋体" w:hAnsi="宋体" w:cs="宋体"/>
                <w:szCs w:val="21"/>
              </w:rPr>
            </w:pPr>
          </w:p>
        </w:tc>
      </w:tr>
      <w:tr w14:paraId="221C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670AC9BA">
            <w:pPr>
              <w:widowControl/>
              <w:spacing w:line="360" w:lineRule="auto"/>
              <w:jc w:val="left"/>
              <w:rPr>
                <w:rFonts w:ascii="宋体" w:hAnsi="宋体" w:cs="宋体"/>
                <w:szCs w:val="21"/>
              </w:rPr>
            </w:pPr>
          </w:p>
        </w:tc>
        <w:tc>
          <w:tcPr>
            <w:tcW w:w="5781" w:type="dxa"/>
            <w:vAlign w:val="center"/>
          </w:tcPr>
          <w:p w14:paraId="2BC09B2E">
            <w:pPr>
              <w:spacing w:line="360" w:lineRule="auto"/>
              <w:rPr>
                <w:rFonts w:ascii="宋体" w:hAnsi="宋体" w:cs="宋体"/>
                <w:szCs w:val="21"/>
              </w:rPr>
            </w:pPr>
            <w:r>
              <w:rPr>
                <w:rFonts w:hint="eastAsia" w:ascii="宋体" w:hAnsi="宋体" w:cs="宋体"/>
                <w:szCs w:val="21"/>
              </w:rPr>
              <w:t>提供与ANSI SQL 高度兼容的语法支持，支持用户复杂的数据分析需求。</w:t>
            </w:r>
          </w:p>
          <w:p w14:paraId="7F1FF72D">
            <w:pPr>
              <w:spacing w:line="360" w:lineRule="auto"/>
              <w:rPr>
                <w:rFonts w:ascii="宋体" w:hAnsi="宋体" w:cs="宋体"/>
                <w:szCs w:val="21"/>
              </w:rPr>
            </w:pPr>
            <w:r>
              <w:rPr>
                <w:rFonts w:hint="eastAsia" w:ascii="宋体" w:hAnsi="宋体" w:cs="宋体"/>
                <w:szCs w:val="21"/>
              </w:rPr>
              <w:t>提供Client 工具、RESTful 开放接口以及Java SDK 来为用户服务，用户可以根据自己的需求选择合适的方式来使用该服务</w:t>
            </w:r>
          </w:p>
        </w:tc>
        <w:tc>
          <w:tcPr>
            <w:tcW w:w="1014" w:type="dxa"/>
            <w:vAlign w:val="center"/>
          </w:tcPr>
          <w:p w14:paraId="57B9564C">
            <w:pPr>
              <w:spacing w:line="360" w:lineRule="auto"/>
              <w:rPr>
                <w:rFonts w:ascii="宋体" w:hAnsi="宋体" w:cs="宋体"/>
                <w:szCs w:val="21"/>
              </w:rPr>
            </w:pPr>
          </w:p>
        </w:tc>
      </w:tr>
      <w:tr w14:paraId="24B7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vAlign w:val="center"/>
          </w:tcPr>
          <w:p w14:paraId="10B32189">
            <w:pPr>
              <w:spacing w:line="360" w:lineRule="auto"/>
              <w:rPr>
                <w:rFonts w:ascii="宋体" w:hAnsi="宋体" w:cs="宋体"/>
                <w:szCs w:val="21"/>
              </w:rPr>
            </w:pPr>
            <w:r>
              <w:rPr>
                <w:rFonts w:hint="eastAsia" w:ascii="宋体" w:hAnsi="宋体" w:cs="宋体"/>
                <w:szCs w:val="21"/>
              </w:rPr>
              <w:t>资源自动弹性伸缩</w:t>
            </w:r>
          </w:p>
        </w:tc>
        <w:tc>
          <w:tcPr>
            <w:tcW w:w="5781" w:type="dxa"/>
            <w:vAlign w:val="center"/>
          </w:tcPr>
          <w:p w14:paraId="25F402D7">
            <w:pPr>
              <w:spacing w:line="360" w:lineRule="auto"/>
              <w:rPr>
                <w:rFonts w:ascii="宋体" w:hAnsi="宋体" w:cs="宋体"/>
                <w:szCs w:val="21"/>
              </w:rPr>
            </w:pPr>
            <w:r>
              <w:rPr>
                <w:rFonts w:hint="eastAsia" w:ascii="宋体" w:hAnsi="宋体" w:cs="宋体"/>
                <w:szCs w:val="21"/>
              </w:rPr>
              <w:t>根据访问量自动伸缩应用所占用的资源；按应用实际的资源使用量进行计量，最大限度地节约资源费用。</w:t>
            </w:r>
          </w:p>
        </w:tc>
        <w:tc>
          <w:tcPr>
            <w:tcW w:w="1014" w:type="dxa"/>
            <w:vAlign w:val="center"/>
          </w:tcPr>
          <w:p w14:paraId="0F569ECD">
            <w:pPr>
              <w:spacing w:line="360" w:lineRule="auto"/>
              <w:rPr>
                <w:rFonts w:ascii="宋体" w:hAnsi="宋体" w:cs="宋体"/>
                <w:szCs w:val="21"/>
              </w:rPr>
            </w:pPr>
          </w:p>
        </w:tc>
      </w:tr>
      <w:tr w14:paraId="1E6A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14:paraId="2DF8442C">
            <w:pPr>
              <w:spacing w:line="360" w:lineRule="auto"/>
              <w:rPr>
                <w:rFonts w:ascii="宋体" w:hAnsi="宋体" w:cs="宋体"/>
                <w:szCs w:val="21"/>
              </w:rPr>
            </w:pPr>
            <w:r>
              <w:rPr>
                <w:rFonts w:hint="eastAsia" w:ascii="宋体" w:hAnsi="宋体" w:cs="宋体"/>
                <w:szCs w:val="21"/>
              </w:rPr>
              <w:t>集群部署与监控</w:t>
            </w:r>
          </w:p>
        </w:tc>
        <w:tc>
          <w:tcPr>
            <w:tcW w:w="5781" w:type="dxa"/>
            <w:vAlign w:val="center"/>
          </w:tcPr>
          <w:p w14:paraId="3E621350">
            <w:pPr>
              <w:spacing w:line="360" w:lineRule="auto"/>
              <w:rPr>
                <w:rFonts w:ascii="宋体" w:hAnsi="宋体" w:cs="宋体"/>
                <w:szCs w:val="21"/>
              </w:rPr>
            </w:pPr>
            <w:r>
              <w:rPr>
                <w:rFonts w:hint="eastAsia" w:ascii="宋体" w:hAnsi="宋体" w:cs="宋体"/>
                <w:szCs w:val="21"/>
              </w:rPr>
              <w:t>集群部署与监控提供整个政务云以及上层应用服务的部署、配置管理、以及服务的自检和自举</w:t>
            </w:r>
          </w:p>
        </w:tc>
        <w:tc>
          <w:tcPr>
            <w:tcW w:w="1014" w:type="dxa"/>
            <w:vAlign w:val="center"/>
          </w:tcPr>
          <w:p w14:paraId="06666C6D">
            <w:pPr>
              <w:spacing w:line="360" w:lineRule="auto"/>
              <w:rPr>
                <w:rFonts w:ascii="宋体" w:hAnsi="宋体" w:cs="宋体"/>
                <w:szCs w:val="21"/>
              </w:rPr>
            </w:pPr>
          </w:p>
        </w:tc>
      </w:tr>
      <w:tr w14:paraId="70E6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3863558A">
            <w:pPr>
              <w:widowControl/>
              <w:spacing w:line="360" w:lineRule="auto"/>
              <w:jc w:val="left"/>
              <w:rPr>
                <w:rFonts w:ascii="宋体" w:hAnsi="宋体" w:cs="宋体"/>
                <w:szCs w:val="21"/>
              </w:rPr>
            </w:pPr>
          </w:p>
        </w:tc>
        <w:tc>
          <w:tcPr>
            <w:tcW w:w="5781" w:type="dxa"/>
            <w:vAlign w:val="center"/>
          </w:tcPr>
          <w:p w14:paraId="5D13343D">
            <w:pPr>
              <w:spacing w:line="360" w:lineRule="auto"/>
              <w:rPr>
                <w:rFonts w:ascii="宋体" w:hAnsi="宋体" w:cs="宋体"/>
                <w:szCs w:val="21"/>
              </w:rPr>
            </w:pPr>
            <w:r>
              <w:rPr>
                <w:rFonts w:hint="eastAsia" w:ascii="宋体" w:hAnsi="宋体" w:cs="宋体"/>
                <w:szCs w:val="21"/>
              </w:rPr>
              <w:t>支持在线集群扩容</w:t>
            </w:r>
          </w:p>
        </w:tc>
        <w:tc>
          <w:tcPr>
            <w:tcW w:w="1014" w:type="dxa"/>
            <w:vAlign w:val="center"/>
          </w:tcPr>
          <w:p w14:paraId="16294685">
            <w:pPr>
              <w:spacing w:line="360" w:lineRule="auto"/>
              <w:rPr>
                <w:rFonts w:ascii="宋体" w:hAnsi="宋体" w:cs="宋体"/>
                <w:szCs w:val="21"/>
              </w:rPr>
            </w:pPr>
          </w:p>
        </w:tc>
      </w:tr>
      <w:tr w14:paraId="7BD8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29966004">
            <w:pPr>
              <w:spacing w:line="360" w:lineRule="auto"/>
              <w:rPr>
                <w:rFonts w:ascii="宋体" w:hAnsi="宋体" w:cs="宋体"/>
                <w:szCs w:val="21"/>
              </w:rPr>
            </w:pPr>
            <w:r>
              <w:rPr>
                <w:rFonts w:hint="eastAsia" w:ascii="宋体" w:hAnsi="宋体" w:cs="宋体"/>
                <w:szCs w:val="21"/>
              </w:rPr>
              <w:t>平台网络要求</w:t>
            </w:r>
          </w:p>
        </w:tc>
        <w:tc>
          <w:tcPr>
            <w:tcW w:w="5781" w:type="dxa"/>
            <w:vAlign w:val="center"/>
          </w:tcPr>
          <w:p w14:paraId="20F3005D">
            <w:pPr>
              <w:spacing w:line="360" w:lineRule="auto"/>
              <w:rPr>
                <w:rFonts w:ascii="宋体" w:hAnsi="宋体" w:cs="宋体"/>
                <w:szCs w:val="21"/>
              </w:rPr>
            </w:pPr>
            <w:r>
              <w:rPr>
                <w:rFonts w:hint="eastAsia" w:ascii="宋体" w:hAnsi="宋体" w:cs="宋体"/>
                <w:szCs w:val="21"/>
              </w:rPr>
              <w:t>具备可与杭州市政务外网相对接的网络环境，能根据使用单位的要求，提供具备公众服务网、资源共享网和业务专网等政务专用网络IP地址的网络资源。</w:t>
            </w:r>
          </w:p>
        </w:tc>
        <w:tc>
          <w:tcPr>
            <w:tcW w:w="1014" w:type="dxa"/>
            <w:vAlign w:val="center"/>
          </w:tcPr>
          <w:p w14:paraId="4C8A324A">
            <w:pPr>
              <w:spacing w:line="360" w:lineRule="auto"/>
              <w:rPr>
                <w:rFonts w:ascii="宋体" w:hAnsi="宋体" w:cs="宋体"/>
                <w:szCs w:val="21"/>
              </w:rPr>
            </w:pPr>
          </w:p>
        </w:tc>
      </w:tr>
      <w:tr w14:paraId="04FE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restart"/>
            <w:vAlign w:val="center"/>
          </w:tcPr>
          <w:p w14:paraId="48D24183">
            <w:pPr>
              <w:spacing w:line="360" w:lineRule="auto"/>
              <w:rPr>
                <w:rFonts w:ascii="宋体" w:hAnsi="宋体" w:cs="宋体"/>
                <w:szCs w:val="21"/>
              </w:rPr>
            </w:pPr>
            <w:r>
              <w:rPr>
                <w:rFonts w:hint="eastAsia" w:ascii="宋体" w:hAnsi="宋体" w:cs="宋体"/>
                <w:szCs w:val="21"/>
              </w:rPr>
              <w:t>运维保障</w:t>
            </w:r>
          </w:p>
        </w:tc>
        <w:tc>
          <w:tcPr>
            <w:tcW w:w="5781" w:type="dxa"/>
            <w:vAlign w:val="center"/>
          </w:tcPr>
          <w:p w14:paraId="54DC54FE">
            <w:pPr>
              <w:spacing w:line="360" w:lineRule="auto"/>
              <w:rPr>
                <w:rFonts w:ascii="宋体" w:hAnsi="宋体" w:cs="宋体"/>
                <w:szCs w:val="21"/>
              </w:rPr>
            </w:pPr>
            <w:r>
              <w:rPr>
                <w:rFonts w:hint="eastAsia" w:ascii="宋体" w:hAnsi="宋体" w:cs="宋体"/>
                <w:szCs w:val="21"/>
              </w:rPr>
              <w:t>7*24小时运行值班监控，应急支持</w:t>
            </w:r>
          </w:p>
        </w:tc>
        <w:tc>
          <w:tcPr>
            <w:tcW w:w="1014" w:type="dxa"/>
            <w:vAlign w:val="center"/>
          </w:tcPr>
          <w:p w14:paraId="6CABF077">
            <w:pPr>
              <w:spacing w:line="360" w:lineRule="auto"/>
              <w:rPr>
                <w:rFonts w:ascii="宋体" w:hAnsi="宋体" w:cs="宋体"/>
                <w:szCs w:val="21"/>
              </w:rPr>
            </w:pPr>
          </w:p>
        </w:tc>
      </w:tr>
      <w:tr w14:paraId="29B3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Merge w:val="continue"/>
            <w:vAlign w:val="center"/>
          </w:tcPr>
          <w:p w14:paraId="3F396E3A">
            <w:pPr>
              <w:widowControl/>
              <w:spacing w:line="360" w:lineRule="auto"/>
              <w:jc w:val="left"/>
              <w:rPr>
                <w:rFonts w:ascii="宋体" w:hAnsi="宋体" w:cs="宋体"/>
                <w:szCs w:val="21"/>
              </w:rPr>
            </w:pPr>
          </w:p>
        </w:tc>
        <w:tc>
          <w:tcPr>
            <w:tcW w:w="5781" w:type="dxa"/>
            <w:vAlign w:val="center"/>
          </w:tcPr>
          <w:p w14:paraId="31F0954F">
            <w:pPr>
              <w:spacing w:line="360" w:lineRule="auto"/>
              <w:rPr>
                <w:rFonts w:ascii="宋体" w:hAnsi="宋体" w:cs="宋体"/>
                <w:szCs w:val="21"/>
              </w:rPr>
            </w:pPr>
            <w:r>
              <w:rPr>
                <w:rFonts w:hint="eastAsia" w:ascii="宋体" w:hAnsi="宋体" w:cs="宋体"/>
                <w:szCs w:val="21"/>
              </w:rPr>
              <w:t>专门配属具备多年云平台维护经验运维人员</w:t>
            </w:r>
          </w:p>
        </w:tc>
        <w:tc>
          <w:tcPr>
            <w:tcW w:w="1014" w:type="dxa"/>
            <w:vAlign w:val="center"/>
          </w:tcPr>
          <w:p w14:paraId="4ED71399">
            <w:pPr>
              <w:spacing w:line="360" w:lineRule="auto"/>
              <w:rPr>
                <w:rFonts w:ascii="宋体" w:hAnsi="宋体" w:cs="宋体"/>
                <w:szCs w:val="21"/>
              </w:rPr>
            </w:pPr>
          </w:p>
        </w:tc>
      </w:tr>
      <w:tr w14:paraId="42EA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022C78E5">
            <w:pPr>
              <w:widowControl/>
              <w:spacing w:line="360" w:lineRule="auto"/>
              <w:jc w:val="left"/>
              <w:rPr>
                <w:rFonts w:ascii="宋体" w:hAnsi="宋体" w:cs="宋体"/>
                <w:szCs w:val="21"/>
              </w:rPr>
            </w:pPr>
            <w:r>
              <w:rPr>
                <w:rFonts w:hint="eastAsia" w:ascii="宋体" w:hAnsi="宋体" w:cs="宋体"/>
                <w:szCs w:val="21"/>
              </w:rPr>
              <w:t>云平台互联网出口及政务网边界防护要求</w:t>
            </w:r>
          </w:p>
        </w:tc>
        <w:tc>
          <w:tcPr>
            <w:tcW w:w="5781" w:type="dxa"/>
            <w:vAlign w:val="center"/>
          </w:tcPr>
          <w:p w14:paraId="31BAEFDF">
            <w:pPr>
              <w:spacing w:line="360" w:lineRule="auto"/>
              <w:rPr>
                <w:rFonts w:ascii="宋体" w:hAnsi="宋体" w:cs="宋体"/>
                <w:szCs w:val="21"/>
              </w:rPr>
            </w:pPr>
            <w:r>
              <w:rPr>
                <w:rFonts w:hint="eastAsia" w:ascii="宋体" w:hAnsi="宋体" w:cs="宋体"/>
                <w:szCs w:val="21"/>
              </w:rPr>
              <w:t>基于防火墙、态势感知提供政务云平台互联网出口及政务网边界防护，提供入侵防护、异常流量攻击等安全防护，提供基于IP和端口的精细化安全策略防护</w:t>
            </w:r>
          </w:p>
        </w:tc>
        <w:tc>
          <w:tcPr>
            <w:tcW w:w="1014" w:type="dxa"/>
            <w:vAlign w:val="center"/>
          </w:tcPr>
          <w:p w14:paraId="657C9844">
            <w:pPr>
              <w:spacing w:line="360" w:lineRule="auto"/>
              <w:rPr>
                <w:rFonts w:ascii="宋体" w:hAnsi="宋体" w:cs="宋体"/>
                <w:szCs w:val="21"/>
              </w:rPr>
            </w:pPr>
          </w:p>
        </w:tc>
      </w:tr>
      <w:tr w14:paraId="22BE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5B26E1CA">
            <w:pPr>
              <w:widowControl/>
              <w:spacing w:line="360" w:lineRule="auto"/>
              <w:jc w:val="center"/>
              <w:rPr>
                <w:rFonts w:ascii="宋体" w:hAnsi="宋体" w:cs="宋体"/>
                <w:b/>
                <w:bCs/>
                <w:szCs w:val="21"/>
              </w:rPr>
            </w:pPr>
            <w:r>
              <w:rPr>
                <w:rFonts w:hint="eastAsia" w:ascii="宋体" w:hAnsi="宋体" w:cs="宋体"/>
                <w:szCs w:val="21"/>
              </w:rPr>
              <w:t>平台等保合规</w:t>
            </w:r>
          </w:p>
        </w:tc>
        <w:tc>
          <w:tcPr>
            <w:tcW w:w="5781" w:type="dxa"/>
            <w:vAlign w:val="center"/>
          </w:tcPr>
          <w:p w14:paraId="08E5B871">
            <w:pPr>
              <w:pStyle w:val="521"/>
              <w:spacing w:line="360" w:lineRule="auto"/>
              <w:ind w:firstLine="0" w:firstLineChars="0"/>
              <w:rPr>
                <w:rFonts w:ascii="宋体" w:hAnsi="宋体" w:cs="宋体"/>
                <w:b/>
                <w:bCs/>
                <w:sz w:val="21"/>
                <w:szCs w:val="21"/>
                <w:u w:val="single"/>
              </w:rPr>
            </w:pPr>
            <w:r>
              <w:rPr>
                <w:rFonts w:hint="eastAsia" w:ascii="宋体" w:hAnsi="宋体" w:eastAsia="宋体" w:cs="宋体"/>
                <w:b/>
                <w:bCs/>
                <w:sz w:val="21"/>
                <w:szCs w:val="21"/>
                <w:u w:val="single"/>
              </w:rPr>
              <w:t>★</w:t>
            </w:r>
            <w:r>
              <w:rPr>
                <w:rFonts w:hint="eastAsia" w:ascii="宋体" w:hAnsi="宋体" w:eastAsia="宋体" w:cs="宋体"/>
                <w:b/>
                <w:bCs/>
                <w:color w:val="auto"/>
                <w:sz w:val="21"/>
                <w:szCs w:val="21"/>
                <w:highlight w:val="none"/>
                <w:u w:val="single"/>
              </w:rPr>
              <w:t>政务云、信创云平台已通过国家等保三级评测认证</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需提供等保测评认证材料（</w:t>
            </w:r>
            <w:r>
              <w:rPr>
                <w:rFonts w:hint="eastAsia" w:ascii="宋体" w:hAnsi="宋体" w:eastAsia="宋体" w:cs="宋体"/>
                <w:b/>
                <w:bCs/>
                <w:color w:val="auto"/>
                <w:sz w:val="21"/>
                <w:szCs w:val="21"/>
                <w:highlight w:val="none"/>
                <w:u w:val="single"/>
              </w:rPr>
              <w:t>综合分值达到90以上</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highlight w:val="none"/>
                <w:u w:val="single"/>
              </w:rPr>
              <w:t>。承诺在合同期内云平台保持国家等保三级评测认证有效。</w:t>
            </w:r>
          </w:p>
        </w:tc>
        <w:tc>
          <w:tcPr>
            <w:tcW w:w="1014" w:type="dxa"/>
            <w:vAlign w:val="center"/>
          </w:tcPr>
          <w:p w14:paraId="7BA1D5E7">
            <w:pPr>
              <w:spacing w:line="360" w:lineRule="auto"/>
              <w:rPr>
                <w:rFonts w:ascii="宋体" w:hAnsi="宋体" w:cs="宋体"/>
                <w:szCs w:val="21"/>
              </w:rPr>
            </w:pPr>
          </w:p>
        </w:tc>
      </w:tr>
      <w:tr w14:paraId="24D4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2096C26D">
            <w:pPr>
              <w:widowControl/>
              <w:spacing w:line="360" w:lineRule="auto"/>
              <w:jc w:val="center"/>
              <w:rPr>
                <w:rFonts w:ascii="宋体" w:hAnsi="宋体" w:cs="宋体"/>
                <w:bCs/>
                <w:szCs w:val="21"/>
              </w:rPr>
            </w:pPr>
            <w:r>
              <w:rPr>
                <w:rFonts w:hint="eastAsia" w:ascii="宋体" w:hAnsi="宋体" w:cs="宋体"/>
                <w:bCs/>
                <w:szCs w:val="21"/>
              </w:rPr>
              <w:t>平台密评合规</w:t>
            </w:r>
          </w:p>
        </w:tc>
        <w:tc>
          <w:tcPr>
            <w:tcW w:w="5781" w:type="dxa"/>
            <w:vAlign w:val="center"/>
          </w:tcPr>
          <w:p w14:paraId="4C764DF3">
            <w:pPr>
              <w:pStyle w:val="521"/>
              <w:spacing w:line="360" w:lineRule="auto"/>
              <w:ind w:firstLine="0" w:firstLineChars="0"/>
              <w:rPr>
                <w:rFonts w:ascii="宋体" w:hAnsi="宋体" w:cs="宋体"/>
                <w:b/>
                <w:bCs/>
                <w:sz w:val="21"/>
                <w:szCs w:val="21"/>
                <w:u w:val="single"/>
                <w:lang w:bidi="ar"/>
              </w:rPr>
            </w:pPr>
            <w:r>
              <w:rPr>
                <w:rFonts w:hint="eastAsia" w:ascii="宋体" w:hAnsi="宋体" w:eastAsia="宋体" w:cs="宋体"/>
                <w:b/>
                <w:bCs/>
                <w:sz w:val="21"/>
                <w:szCs w:val="21"/>
                <w:u w:val="single"/>
              </w:rPr>
              <w:t>★</w:t>
            </w:r>
            <w:r>
              <w:rPr>
                <w:rFonts w:hint="eastAsia" w:ascii="宋体" w:hAnsi="宋体" w:eastAsia="宋体" w:cs="宋体"/>
                <w:b/>
                <w:bCs/>
                <w:color w:val="auto"/>
                <w:sz w:val="21"/>
                <w:szCs w:val="21"/>
                <w:highlight w:val="none"/>
                <w:u w:val="single"/>
              </w:rPr>
              <w:t>政务云、信创云平台通过国家密评三级认证</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highlight w:val="none"/>
                <w:u w:val="single"/>
              </w:rPr>
              <w:t>需提供云平台密评通过证明材料（60分以上）</w:t>
            </w:r>
            <w:r>
              <w:rPr>
                <w:rFonts w:hint="eastAsia" w:ascii="宋体" w:hAnsi="宋体" w:eastAsia="宋体" w:cs="宋体"/>
                <w:b/>
                <w:bCs/>
                <w:sz w:val="21"/>
                <w:szCs w:val="21"/>
                <w:u w:val="single"/>
                <w:lang w:eastAsia="zh-CN"/>
              </w:rPr>
              <w:t>）</w:t>
            </w:r>
            <w:r>
              <w:rPr>
                <w:rFonts w:hint="eastAsia" w:ascii="宋体" w:hAnsi="宋体" w:eastAsia="宋体" w:cs="宋体"/>
                <w:b/>
                <w:bCs/>
                <w:color w:val="auto"/>
                <w:sz w:val="21"/>
                <w:szCs w:val="21"/>
                <w:highlight w:val="none"/>
                <w:u w:val="single"/>
              </w:rPr>
              <w:t>。承诺在合同期内政务云、信创云平台保持国家密评三级认证有效。</w:t>
            </w:r>
          </w:p>
        </w:tc>
        <w:tc>
          <w:tcPr>
            <w:tcW w:w="1014" w:type="dxa"/>
            <w:vAlign w:val="center"/>
          </w:tcPr>
          <w:p w14:paraId="19E0E704">
            <w:pPr>
              <w:spacing w:line="360" w:lineRule="auto"/>
              <w:rPr>
                <w:rFonts w:ascii="宋体" w:hAnsi="宋体" w:cs="宋体"/>
                <w:szCs w:val="21"/>
              </w:rPr>
            </w:pPr>
          </w:p>
        </w:tc>
      </w:tr>
      <w:tr w14:paraId="265F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14:paraId="4C10C4D7">
            <w:pPr>
              <w:widowControl/>
              <w:spacing w:line="360" w:lineRule="auto"/>
              <w:jc w:val="center"/>
              <w:rPr>
                <w:rFonts w:ascii="宋体" w:hAnsi="宋体" w:cs="宋体"/>
                <w:bCs/>
                <w:szCs w:val="21"/>
              </w:rPr>
            </w:pPr>
            <w:r>
              <w:rPr>
                <w:rFonts w:hint="eastAsia" w:ascii="宋体" w:hAnsi="宋体" w:cs="宋体"/>
                <w:bCs/>
                <w:szCs w:val="21"/>
              </w:rPr>
              <w:t>平台云计算安全评估合规</w:t>
            </w:r>
          </w:p>
        </w:tc>
        <w:tc>
          <w:tcPr>
            <w:tcW w:w="5781" w:type="dxa"/>
            <w:vAlign w:val="center"/>
          </w:tcPr>
          <w:p w14:paraId="08A06985">
            <w:pPr>
              <w:spacing w:line="360" w:lineRule="auto"/>
              <w:rPr>
                <w:rFonts w:ascii="宋体" w:hAnsi="宋体" w:cs="宋体"/>
                <w:bCs/>
                <w:szCs w:val="21"/>
              </w:rPr>
            </w:pPr>
            <w:r>
              <w:rPr>
                <w:rFonts w:hint="eastAsia" w:ascii="宋体" w:hAnsi="宋体" w:cs="宋体"/>
                <w:bCs/>
                <w:szCs w:val="21"/>
              </w:rPr>
              <w:t>承诺在</w:t>
            </w:r>
            <w:r>
              <w:rPr>
                <w:rFonts w:hint="eastAsia" w:ascii="宋体" w:hAnsi="宋体" w:cs="宋体"/>
                <w:bCs/>
                <w:szCs w:val="21"/>
                <w:lang w:eastAsia="zh-CN"/>
              </w:rPr>
              <w:t>2024</w:t>
            </w:r>
            <w:r>
              <w:rPr>
                <w:rFonts w:hint="eastAsia" w:ascii="宋体" w:hAnsi="宋体" w:cs="宋体"/>
                <w:bCs/>
                <w:szCs w:val="21"/>
              </w:rPr>
              <w:t>年12月31日（含）前政务云、信创云平台通过云计算安全评估。</w:t>
            </w:r>
          </w:p>
        </w:tc>
        <w:tc>
          <w:tcPr>
            <w:tcW w:w="1014" w:type="dxa"/>
            <w:vAlign w:val="center"/>
          </w:tcPr>
          <w:p w14:paraId="3D48E331">
            <w:pPr>
              <w:spacing w:line="360" w:lineRule="auto"/>
              <w:rPr>
                <w:rFonts w:ascii="宋体" w:hAnsi="宋体" w:cs="宋体"/>
                <w:szCs w:val="21"/>
              </w:rPr>
            </w:pPr>
          </w:p>
        </w:tc>
      </w:tr>
    </w:tbl>
    <w:p w14:paraId="59A36952">
      <w:pPr>
        <w:pStyle w:val="23"/>
        <w:snapToGrid w:val="0"/>
        <w:ind w:firstLine="420" w:firstLineChars="200"/>
        <w:outlineLvl w:val="3"/>
        <w:rPr>
          <w:rFonts w:hAnsi="宋体" w:cs="宋体"/>
          <w:sz w:val="21"/>
        </w:rPr>
      </w:pPr>
      <w:r>
        <w:rPr>
          <w:rFonts w:hint="eastAsia" w:hAnsi="宋体" w:cs="宋体"/>
          <w:sz w:val="21"/>
        </w:rPr>
        <w:t>7.1.2产品技术要求</w:t>
      </w:r>
    </w:p>
    <w:p w14:paraId="02D51929">
      <w:pPr>
        <w:pStyle w:val="23"/>
        <w:snapToGrid w:val="0"/>
        <w:ind w:firstLine="420" w:firstLineChars="200"/>
        <w:outlineLvl w:val="4"/>
        <w:rPr>
          <w:rFonts w:hAnsi="宋体" w:cs="宋体"/>
          <w:sz w:val="21"/>
        </w:rPr>
      </w:pPr>
      <w:r>
        <w:rPr>
          <w:rFonts w:hint="eastAsia" w:hAnsi="宋体" w:cs="宋体"/>
          <w:sz w:val="21"/>
        </w:rPr>
        <w:t>7.1.2.1云服务器服务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084"/>
        <w:gridCol w:w="1029"/>
      </w:tblGrid>
      <w:tr w14:paraId="3075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8A9C381">
            <w:pPr>
              <w:spacing w:line="360" w:lineRule="auto"/>
              <w:rPr>
                <w:rFonts w:ascii="宋体" w:hAnsi="宋体" w:cs="宋体"/>
                <w:b/>
                <w:szCs w:val="21"/>
              </w:rPr>
            </w:pPr>
            <w:r>
              <w:rPr>
                <w:rFonts w:hint="eastAsia" w:ascii="宋体" w:hAnsi="宋体" w:cs="宋体"/>
                <w:b/>
                <w:szCs w:val="21"/>
              </w:rPr>
              <w:t>指标项</w:t>
            </w:r>
          </w:p>
        </w:tc>
        <w:tc>
          <w:tcPr>
            <w:tcW w:w="3813" w:type="pct"/>
            <w:vAlign w:val="center"/>
          </w:tcPr>
          <w:p w14:paraId="3E560235">
            <w:pPr>
              <w:spacing w:line="360" w:lineRule="auto"/>
              <w:jc w:val="center"/>
              <w:rPr>
                <w:rFonts w:ascii="宋体" w:hAnsi="宋体" w:cs="宋体"/>
                <w:b/>
                <w:szCs w:val="21"/>
              </w:rPr>
            </w:pPr>
            <w:r>
              <w:rPr>
                <w:rFonts w:hint="eastAsia" w:ascii="宋体" w:hAnsi="宋体" w:cs="宋体"/>
                <w:b/>
                <w:szCs w:val="21"/>
              </w:rPr>
              <w:t>规格要求</w:t>
            </w:r>
          </w:p>
        </w:tc>
        <w:tc>
          <w:tcPr>
            <w:tcW w:w="554" w:type="pct"/>
            <w:vAlign w:val="center"/>
          </w:tcPr>
          <w:p w14:paraId="21BAEFEE">
            <w:pPr>
              <w:spacing w:line="360" w:lineRule="auto"/>
              <w:rPr>
                <w:rFonts w:ascii="宋体" w:hAnsi="宋体" w:cs="宋体"/>
                <w:b/>
                <w:szCs w:val="21"/>
              </w:rPr>
            </w:pPr>
            <w:r>
              <w:rPr>
                <w:rFonts w:hint="eastAsia" w:ascii="宋体" w:hAnsi="宋体" w:cs="宋体"/>
                <w:b/>
                <w:szCs w:val="21"/>
              </w:rPr>
              <w:t>备注</w:t>
            </w:r>
          </w:p>
        </w:tc>
      </w:tr>
      <w:tr w14:paraId="6B61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02F3B7F0">
            <w:pPr>
              <w:spacing w:line="360" w:lineRule="auto"/>
              <w:rPr>
                <w:rFonts w:ascii="宋体" w:hAnsi="宋体" w:cs="宋体"/>
                <w:szCs w:val="21"/>
              </w:rPr>
            </w:pPr>
            <w:r>
              <w:rPr>
                <w:rFonts w:hint="eastAsia" w:ascii="宋体" w:hAnsi="宋体" w:cs="宋体"/>
                <w:szCs w:val="21"/>
              </w:rPr>
              <w:t>服务标准</w:t>
            </w:r>
          </w:p>
        </w:tc>
        <w:tc>
          <w:tcPr>
            <w:tcW w:w="3813" w:type="pct"/>
            <w:vAlign w:val="center"/>
          </w:tcPr>
          <w:p w14:paraId="50D5AECF">
            <w:pPr>
              <w:spacing w:line="360" w:lineRule="auto"/>
              <w:rPr>
                <w:rFonts w:ascii="宋体" w:hAnsi="宋体" w:cs="宋体"/>
                <w:szCs w:val="21"/>
              </w:rPr>
            </w:pPr>
            <w:r>
              <w:rPr>
                <w:rFonts w:hint="eastAsia" w:ascii="宋体" w:hAnsi="宋体" w:cs="宋体"/>
                <w:szCs w:val="21"/>
              </w:rPr>
              <w:t>根据用户的需求动态的创建和分配计算资源与存储资源；</w:t>
            </w:r>
          </w:p>
        </w:tc>
        <w:tc>
          <w:tcPr>
            <w:tcW w:w="554" w:type="pct"/>
            <w:vAlign w:val="center"/>
          </w:tcPr>
          <w:p w14:paraId="00CC2FD7">
            <w:pPr>
              <w:spacing w:line="360" w:lineRule="auto"/>
              <w:rPr>
                <w:rFonts w:ascii="宋体" w:hAnsi="宋体" w:cs="宋体"/>
                <w:szCs w:val="21"/>
              </w:rPr>
            </w:pPr>
          </w:p>
        </w:tc>
      </w:tr>
      <w:tr w14:paraId="2BD9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3" w:type="pct"/>
            <w:vMerge w:val="restart"/>
            <w:vAlign w:val="center"/>
          </w:tcPr>
          <w:p w14:paraId="0404C6E7">
            <w:pPr>
              <w:spacing w:line="360" w:lineRule="auto"/>
              <w:rPr>
                <w:rFonts w:ascii="宋体" w:hAnsi="宋体" w:cs="宋体"/>
                <w:szCs w:val="21"/>
              </w:rPr>
            </w:pPr>
            <w:r>
              <w:rPr>
                <w:rFonts w:hint="eastAsia" w:ascii="宋体" w:hAnsi="宋体" w:cs="宋体"/>
                <w:szCs w:val="21"/>
              </w:rPr>
              <w:t>服务特性</w:t>
            </w:r>
          </w:p>
        </w:tc>
        <w:tc>
          <w:tcPr>
            <w:tcW w:w="3813" w:type="pct"/>
            <w:vAlign w:val="center"/>
          </w:tcPr>
          <w:p w14:paraId="3F322C8B">
            <w:pPr>
              <w:spacing w:line="360" w:lineRule="auto"/>
              <w:rPr>
                <w:rFonts w:ascii="宋体" w:hAnsi="宋体" w:cs="宋体"/>
                <w:szCs w:val="21"/>
              </w:rPr>
            </w:pPr>
            <w:r>
              <w:rPr>
                <w:rFonts w:hint="eastAsia" w:ascii="宋体" w:hAnsi="宋体" w:cs="宋体"/>
                <w:szCs w:val="21"/>
                <w:lang w:eastAsia="zh-Hans"/>
              </w:rPr>
              <w:t>云服务器</w:t>
            </w:r>
            <w:r>
              <w:rPr>
                <w:rFonts w:hint="eastAsia" w:ascii="宋体" w:hAnsi="宋体" w:cs="宋体"/>
                <w:szCs w:val="21"/>
              </w:rPr>
              <w:t>创建。创建后，</w:t>
            </w:r>
            <w:r>
              <w:rPr>
                <w:rFonts w:hint="eastAsia" w:ascii="宋体" w:hAnsi="宋体" w:cs="宋体"/>
                <w:szCs w:val="21"/>
                <w:lang w:eastAsia="zh-Hans"/>
              </w:rPr>
              <w:t>云服务器</w:t>
            </w:r>
            <w:r>
              <w:rPr>
                <w:rFonts w:hint="eastAsia" w:ascii="宋体" w:hAnsi="宋体" w:cs="宋体"/>
                <w:szCs w:val="21"/>
              </w:rPr>
              <w:t>已包含有操作系统，可立即使用，从创建到启动在5分钟以内。</w:t>
            </w:r>
          </w:p>
        </w:tc>
        <w:tc>
          <w:tcPr>
            <w:tcW w:w="554" w:type="pct"/>
            <w:vAlign w:val="center"/>
          </w:tcPr>
          <w:p w14:paraId="55D67451">
            <w:pPr>
              <w:spacing w:line="360" w:lineRule="auto"/>
              <w:rPr>
                <w:rFonts w:ascii="宋体" w:hAnsi="宋体" w:cs="宋体"/>
                <w:kern w:val="0"/>
                <w:szCs w:val="21"/>
              </w:rPr>
            </w:pPr>
          </w:p>
        </w:tc>
      </w:tr>
      <w:tr w14:paraId="5482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continue"/>
            <w:vAlign w:val="center"/>
          </w:tcPr>
          <w:p w14:paraId="581948A5">
            <w:pPr>
              <w:widowControl/>
              <w:spacing w:line="360" w:lineRule="auto"/>
              <w:jc w:val="left"/>
              <w:rPr>
                <w:rFonts w:ascii="宋体" w:hAnsi="宋体" w:cs="宋体"/>
                <w:szCs w:val="21"/>
              </w:rPr>
            </w:pPr>
          </w:p>
        </w:tc>
        <w:tc>
          <w:tcPr>
            <w:tcW w:w="3813" w:type="pct"/>
            <w:vAlign w:val="center"/>
          </w:tcPr>
          <w:p w14:paraId="55182C15">
            <w:pPr>
              <w:spacing w:line="360" w:lineRule="auto"/>
              <w:rPr>
                <w:rFonts w:ascii="宋体" w:hAnsi="宋体" w:cs="宋体"/>
                <w:szCs w:val="21"/>
              </w:rPr>
            </w:pPr>
            <w:r>
              <w:rPr>
                <w:rFonts w:hint="eastAsia" w:ascii="宋体" w:hAnsi="宋体" w:cs="宋体"/>
                <w:szCs w:val="21"/>
              </w:rPr>
              <w:t>云服务器提供快照制作，快照回滚，自定义image，动态升级</w:t>
            </w:r>
          </w:p>
        </w:tc>
        <w:tc>
          <w:tcPr>
            <w:tcW w:w="554" w:type="pct"/>
            <w:vAlign w:val="center"/>
          </w:tcPr>
          <w:p w14:paraId="3915763C">
            <w:pPr>
              <w:spacing w:line="360" w:lineRule="auto"/>
              <w:rPr>
                <w:rFonts w:ascii="宋体" w:hAnsi="宋体" w:cs="宋体"/>
                <w:szCs w:val="21"/>
              </w:rPr>
            </w:pPr>
          </w:p>
        </w:tc>
      </w:tr>
      <w:tr w14:paraId="7A4B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continue"/>
            <w:vAlign w:val="center"/>
          </w:tcPr>
          <w:p w14:paraId="00F28105">
            <w:pPr>
              <w:widowControl/>
              <w:spacing w:line="360" w:lineRule="auto"/>
              <w:jc w:val="left"/>
              <w:rPr>
                <w:rFonts w:ascii="宋体" w:hAnsi="宋体" w:cs="宋体"/>
                <w:szCs w:val="21"/>
              </w:rPr>
            </w:pPr>
          </w:p>
        </w:tc>
        <w:tc>
          <w:tcPr>
            <w:tcW w:w="3813" w:type="pct"/>
            <w:vAlign w:val="center"/>
          </w:tcPr>
          <w:p w14:paraId="62AC0963">
            <w:pPr>
              <w:spacing w:line="360" w:lineRule="auto"/>
              <w:rPr>
                <w:rFonts w:ascii="宋体" w:hAnsi="宋体" w:cs="宋体"/>
                <w:szCs w:val="21"/>
              </w:rPr>
            </w:pPr>
            <w:r>
              <w:rPr>
                <w:rFonts w:hint="eastAsia" w:ascii="宋体" w:hAnsi="宋体" w:cs="宋体"/>
                <w:szCs w:val="21"/>
              </w:rPr>
              <w:t>故障切换，在线迁移</w:t>
            </w:r>
          </w:p>
        </w:tc>
        <w:tc>
          <w:tcPr>
            <w:tcW w:w="554" w:type="pct"/>
            <w:vAlign w:val="center"/>
          </w:tcPr>
          <w:p w14:paraId="1235863A">
            <w:pPr>
              <w:spacing w:line="360" w:lineRule="auto"/>
              <w:rPr>
                <w:rFonts w:ascii="宋体" w:hAnsi="宋体" w:cs="宋体"/>
                <w:szCs w:val="21"/>
              </w:rPr>
            </w:pPr>
          </w:p>
        </w:tc>
      </w:tr>
      <w:tr w14:paraId="14FA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continue"/>
            <w:vAlign w:val="center"/>
          </w:tcPr>
          <w:p w14:paraId="21D4595C">
            <w:pPr>
              <w:widowControl/>
              <w:spacing w:line="360" w:lineRule="auto"/>
              <w:jc w:val="left"/>
              <w:rPr>
                <w:rFonts w:ascii="宋体" w:hAnsi="宋体" w:cs="宋体"/>
                <w:szCs w:val="21"/>
              </w:rPr>
            </w:pPr>
          </w:p>
        </w:tc>
        <w:tc>
          <w:tcPr>
            <w:tcW w:w="3813" w:type="pct"/>
            <w:vAlign w:val="center"/>
          </w:tcPr>
          <w:p w14:paraId="5AE21A44">
            <w:pPr>
              <w:spacing w:line="360" w:lineRule="auto"/>
              <w:rPr>
                <w:rFonts w:ascii="宋体" w:hAnsi="宋体" w:cs="宋体"/>
                <w:szCs w:val="21"/>
              </w:rPr>
            </w:pPr>
            <w:r>
              <w:rPr>
                <w:rFonts w:hint="eastAsia" w:ascii="宋体" w:hAnsi="宋体" w:cs="宋体"/>
                <w:szCs w:val="21"/>
              </w:rPr>
              <w:t>网络组隔离</w:t>
            </w:r>
          </w:p>
        </w:tc>
        <w:tc>
          <w:tcPr>
            <w:tcW w:w="554" w:type="pct"/>
            <w:vAlign w:val="center"/>
          </w:tcPr>
          <w:p w14:paraId="1C9FD554">
            <w:pPr>
              <w:spacing w:line="360" w:lineRule="auto"/>
              <w:rPr>
                <w:rFonts w:ascii="宋体" w:hAnsi="宋体" w:cs="宋体"/>
                <w:szCs w:val="21"/>
              </w:rPr>
            </w:pPr>
          </w:p>
        </w:tc>
      </w:tr>
      <w:tr w14:paraId="664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continue"/>
            <w:vAlign w:val="center"/>
          </w:tcPr>
          <w:p w14:paraId="671AA7E5">
            <w:pPr>
              <w:widowControl/>
              <w:spacing w:line="360" w:lineRule="auto"/>
              <w:jc w:val="left"/>
              <w:rPr>
                <w:rFonts w:ascii="宋体" w:hAnsi="宋体" w:cs="宋体"/>
                <w:szCs w:val="21"/>
              </w:rPr>
            </w:pPr>
          </w:p>
        </w:tc>
        <w:tc>
          <w:tcPr>
            <w:tcW w:w="3813" w:type="pct"/>
            <w:vAlign w:val="center"/>
          </w:tcPr>
          <w:p w14:paraId="5B3343E1">
            <w:pPr>
              <w:spacing w:line="360" w:lineRule="auto"/>
              <w:rPr>
                <w:rFonts w:ascii="宋体" w:hAnsi="宋体" w:cs="宋体"/>
                <w:szCs w:val="21"/>
              </w:rPr>
            </w:pPr>
            <w:r>
              <w:rPr>
                <w:rFonts w:hint="eastAsia" w:ascii="宋体" w:hAnsi="宋体" w:cs="宋体"/>
                <w:szCs w:val="21"/>
              </w:rPr>
              <w:t>防ARP欺骗，自定义防火墙功能，支持防DDos攻击，提供流量清洗服务</w:t>
            </w:r>
          </w:p>
        </w:tc>
        <w:tc>
          <w:tcPr>
            <w:tcW w:w="554" w:type="pct"/>
            <w:vAlign w:val="center"/>
          </w:tcPr>
          <w:p w14:paraId="367703D5">
            <w:pPr>
              <w:spacing w:line="360" w:lineRule="auto"/>
              <w:rPr>
                <w:rFonts w:ascii="宋体" w:hAnsi="宋体" w:cs="宋体"/>
                <w:szCs w:val="21"/>
              </w:rPr>
            </w:pPr>
          </w:p>
        </w:tc>
      </w:tr>
      <w:tr w14:paraId="7C25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continue"/>
            <w:vAlign w:val="center"/>
          </w:tcPr>
          <w:p w14:paraId="6304DADB">
            <w:pPr>
              <w:widowControl/>
              <w:spacing w:line="360" w:lineRule="auto"/>
              <w:jc w:val="left"/>
              <w:rPr>
                <w:rFonts w:ascii="宋体" w:hAnsi="宋体" w:cs="宋体"/>
                <w:szCs w:val="21"/>
              </w:rPr>
            </w:pPr>
          </w:p>
        </w:tc>
        <w:tc>
          <w:tcPr>
            <w:tcW w:w="3813" w:type="pct"/>
            <w:vAlign w:val="center"/>
          </w:tcPr>
          <w:p w14:paraId="12D851F7">
            <w:pPr>
              <w:spacing w:line="360" w:lineRule="auto"/>
              <w:rPr>
                <w:rFonts w:ascii="宋体" w:hAnsi="宋体" w:cs="宋体"/>
                <w:szCs w:val="21"/>
              </w:rPr>
            </w:pPr>
            <w:r>
              <w:rPr>
                <w:rFonts w:hint="eastAsia" w:ascii="宋体" w:hAnsi="宋体" w:cs="宋体"/>
                <w:szCs w:val="21"/>
              </w:rPr>
              <w:t>分布式文件存储，</w:t>
            </w:r>
            <w:r>
              <w:rPr>
                <w:rFonts w:hint="eastAsia" w:ascii="宋体" w:hAnsi="宋体" w:cs="宋体"/>
                <w:szCs w:val="21"/>
                <w:lang w:eastAsia="zh-Hans"/>
              </w:rPr>
              <w:t>云服务器</w:t>
            </w:r>
            <w:r>
              <w:rPr>
                <w:rFonts w:hint="eastAsia" w:ascii="宋体" w:hAnsi="宋体" w:cs="宋体"/>
                <w:szCs w:val="21"/>
              </w:rPr>
              <w:t>数据在云计算平台有三份（含）以上数据拷贝，单份数据损坏对</w:t>
            </w:r>
            <w:r>
              <w:rPr>
                <w:rFonts w:hint="eastAsia" w:ascii="宋体" w:hAnsi="宋体" w:cs="宋体"/>
                <w:szCs w:val="21"/>
                <w:lang w:eastAsia="zh-Hans"/>
              </w:rPr>
              <w:t>云服务器</w:t>
            </w:r>
            <w:r>
              <w:rPr>
                <w:rFonts w:hint="eastAsia" w:ascii="宋体" w:hAnsi="宋体" w:cs="宋体"/>
                <w:szCs w:val="21"/>
              </w:rPr>
              <w:t>使用没任何影响，且一份数据损坏后，后台系统会自动拷贝，使数据始终保证三重备份。</w:t>
            </w:r>
          </w:p>
        </w:tc>
        <w:tc>
          <w:tcPr>
            <w:tcW w:w="554" w:type="pct"/>
            <w:vAlign w:val="center"/>
          </w:tcPr>
          <w:p w14:paraId="0C8F1359">
            <w:pPr>
              <w:spacing w:line="360" w:lineRule="auto"/>
              <w:rPr>
                <w:rFonts w:ascii="宋体" w:hAnsi="宋体" w:cs="宋体"/>
                <w:szCs w:val="21"/>
              </w:rPr>
            </w:pPr>
          </w:p>
        </w:tc>
      </w:tr>
      <w:tr w14:paraId="7120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restart"/>
            <w:vAlign w:val="center"/>
          </w:tcPr>
          <w:p w14:paraId="1FC784FC">
            <w:pPr>
              <w:spacing w:line="360" w:lineRule="auto"/>
              <w:rPr>
                <w:rFonts w:ascii="宋体" w:hAnsi="宋体" w:cs="宋体"/>
                <w:szCs w:val="21"/>
              </w:rPr>
            </w:pPr>
            <w:r>
              <w:rPr>
                <w:rFonts w:hint="eastAsia" w:ascii="宋体" w:hAnsi="宋体" w:cs="宋体"/>
                <w:szCs w:val="21"/>
              </w:rPr>
              <w:t>服务能力</w:t>
            </w:r>
          </w:p>
        </w:tc>
        <w:tc>
          <w:tcPr>
            <w:tcW w:w="3813" w:type="pct"/>
            <w:vAlign w:val="center"/>
          </w:tcPr>
          <w:p w14:paraId="239AA405">
            <w:pPr>
              <w:spacing w:line="360" w:lineRule="auto"/>
              <w:rPr>
                <w:rFonts w:ascii="宋体" w:hAnsi="宋体" w:cs="宋体"/>
                <w:szCs w:val="21"/>
              </w:rPr>
            </w:pPr>
            <w:r>
              <w:rPr>
                <w:rFonts w:hint="eastAsia" w:ascii="宋体" w:hAnsi="宋体" w:cs="宋体"/>
                <w:szCs w:val="21"/>
              </w:rPr>
              <w:t>内存可选范围1-128G;内存性能不低于物理内存性能。</w:t>
            </w:r>
          </w:p>
        </w:tc>
        <w:tc>
          <w:tcPr>
            <w:tcW w:w="554" w:type="pct"/>
            <w:vAlign w:val="center"/>
          </w:tcPr>
          <w:p w14:paraId="18767979">
            <w:pPr>
              <w:spacing w:line="360" w:lineRule="auto"/>
              <w:rPr>
                <w:rFonts w:ascii="宋体" w:hAnsi="宋体" w:cs="宋体"/>
                <w:szCs w:val="21"/>
              </w:rPr>
            </w:pPr>
          </w:p>
        </w:tc>
      </w:tr>
      <w:tr w14:paraId="71C6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Merge w:val="continue"/>
            <w:vAlign w:val="center"/>
          </w:tcPr>
          <w:p w14:paraId="51959757">
            <w:pPr>
              <w:widowControl/>
              <w:spacing w:line="360" w:lineRule="auto"/>
              <w:jc w:val="left"/>
              <w:rPr>
                <w:rFonts w:ascii="宋体" w:hAnsi="宋体" w:cs="宋体"/>
                <w:szCs w:val="21"/>
              </w:rPr>
            </w:pPr>
          </w:p>
        </w:tc>
        <w:tc>
          <w:tcPr>
            <w:tcW w:w="3813" w:type="pct"/>
            <w:vAlign w:val="center"/>
          </w:tcPr>
          <w:p w14:paraId="7B621F36">
            <w:pPr>
              <w:spacing w:line="360" w:lineRule="auto"/>
              <w:rPr>
                <w:rFonts w:ascii="宋体" w:hAnsi="宋体" w:cs="宋体"/>
                <w:szCs w:val="21"/>
              </w:rPr>
            </w:pPr>
            <w:r>
              <w:rPr>
                <w:rFonts w:hint="eastAsia" w:ascii="宋体" w:hAnsi="宋体" w:cs="宋体"/>
                <w:szCs w:val="21"/>
              </w:rPr>
              <w:t>支持故障切换，动态迁移，多数据备份等，可以达到99.9%的可用性</w:t>
            </w:r>
          </w:p>
        </w:tc>
        <w:tc>
          <w:tcPr>
            <w:tcW w:w="554" w:type="pct"/>
            <w:vAlign w:val="center"/>
          </w:tcPr>
          <w:p w14:paraId="4C64ACDF">
            <w:pPr>
              <w:spacing w:line="360" w:lineRule="auto"/>
              <w:rPr>
                <w:rFonts w:ascii="宋体" w:hAnsi="宋体" w:cs="宋体"/>
                <w:szCs w:val="21"/>
              </w:rPr>
            </w:pPr>
          </w:p>
        </w:tc>
      </w:tr>
      <w:tr w14:paraId="453A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3BF076B7">
            <w:pPr>
              <w:spacing w:line="360" w:lineRule="auto"/>
              <w:rPr>
                <w:rFonts w:ascii="宋体" w:hAnsi="宋体" w:cs="宋体"/>
                <w:szCs w:val="21"/>
              </w:rPr>
            </w:pPr>
            <w:r>
              <w:rPr>
                <w:rFonts w:hint="eastAsia" w:ascii="宋体" w:hAnsi="宋体" w:cs="宋体"/>
                <w:szCs w:val="21"/>
              </w:rPr>
              <w:t>操作系统</w:t>
            </w:r>
          </w:p>
        </w:tc>
        <w:tc>
          <w:tcPr>
            <w:tcW w:w="3813" w:type="pct"/>
            <w:vAlign w:val="center"/>
          </w:tcPr>
          <w:p w14:paraId="7D32D431">
            <w:pPr>
              <w:spacing w:line="360" w:lineRule="auto"/>
              <w:rPr>
                <w:rFonts w:ascii="宋体" w:hAnsi="宋体" w:cs="宋体"/>
                <w:szCs w:val="21"/>
              </w:rPr>
            </w:pPr>
            <w:r>
              <w:rPr>
                <w:rFonts w:hint="eastAsia" w:ascii="宋体" w:hAnsi="宋体" w:cs="宋体"/>
                <w:szCs w:val="21"/>
              </w:rPr>
              <w:t>提供主流的WINDOWS、LINUX、</w:t>
            </w:r>
            <w:r>
              <w:rPr>
                <w:rFonts w:hint="eastAsia" w:ascii="宋体" w:hAnsi="宋体" w:cs="宋体"/>
                <w:szCs w:val="21"/>
                <w:lang w:eastAsia="zh-Hans"/>
              </w:rPr>
              <w:t>龙晰</w:t>
            </w:r>
            <w:r>
              <w:rPr>
                <w:rFonts w:hint="eastAsia" w:ascii="宋体" w:hAnsi="宋体" w:cs="宋体"/>
                <w:szCs w:val="21"/>
              </w:rPr>
              <w:t>等操作系统，且均具备正版授权。</w:t>
            </w:r>
          </w:p>
        </w:tc>
        <w:tc>
          <w:tcPr>
            <w:tcW w:w="554" w:type="pct"/>
            <w:vAlign w:val="center"/>
          </w:tcPr>
          <w:p w14:paraId="13858416">
            <w:pPr>
              <w:spacing w:line="360" w:lineRule="auto"/>
              <w:rPr>
                <w:rFonts w:ascii="宋体" w:hAnsi="宋体" w:cs="宋体"/>
                <w:szCs w:val="21"/>
              </w:rPr>
            </w:pPr>
          </w:p>
        </w:tc>
      </w:tr>
      <w:tr w14:paraId="18CD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9DF3135">
            <w:pPr>
              <w:spacing w:line="360" w:lineRule="auto"/>
              <w:rPr>
                <w:rFonts w:ascii="宋体" w:hAnsi="宋体" w:cs="宋体"/>
                <w:szCs w:val="21"/>
              </w:rPr>
            </w:pPr>
            <w:r>
              <w:rPr>
                <w:rFonts w:hint="eastAsia" w:ascii="宋体" w:hAnsi="宋体" w:cs="宋体"/>
                <w:szCs w:val="21"/>
              </w:rPr>
              <w:t>主机磁盘</w:t>
            </w:r>
          </w:p>
        </w:tc>
        <w:tc>
          <w:tcPr>
            <w:tcW w:w="3813" w:type="pct"/>
            <w:vAlign w:val="center"/>
          </w:tcPr>
          <w:p w14:paraId="7E2235A2">
            <w:pPr>
              <w:spacing w:line="360" w:lineRule="auto"/>
              <w:rPr>
                <w:rFonts w:ascii="宋体" w:hAnsi="宋体" w:cs="宋体"/>
                <w:szCs w:val="21"/>
              </w:rPr>
            </w:pPr>
            <w:r>
              <w:rPr>
                <w:rFonts w:hint="eastAsia" w:ascii="宋体" w:hAnsi="宋体" w:cs="宋体"/>
                <w:szCs w:val="21"/>
              </w:rPr>
              <w:t>提供高效云盘、SSD云盘</w:t>
            </w:r>
            <w:r>
              <w:rPr>
                <w:rFonts w:hint="eastAsia" w:ascii="宋体" w:hAnsi="宋体" w:cs="宋体"/>
                <w:szCs w:val="21"/>
                <w:lang w:eastAsia="zh-Hans"/>
              </w:rPr>
              <w:t>两</w:t>
            </w:r>
            <w:r>
              <w:rPr>
                <w:rFonts w:hint="eastAsia" w:ascii="宋体" w:hAnsi="宋体" w:cs="宋体"/>
                <w:szCs w:val="21"/>
              </w:rPr>
              <w:t>种</w:t>
            </w:r>
          </w:p>
        </w:tc>
        <w:tc>
          <w:tcPr>
            <w:tcW w:w="554" w:type="pct"/>
            <w:vAlign w:val="center"/>
          </w:tcPr>
          <w:p w14:paraId="09F34228">
            <w:pPr>
              <w:spacing w:line="360" w:lineRule="auto"/>
              <w:rPr>
                <w:rFonts w:ascii="宋体" w:hAnsi="宋体" w:cs="宋体"/>
                <w:szCs w:val="21"/>
              </w:rPr>
            </w:pPr>
          </w:p>
        </w:tc>
      </w:tr>
    </w:tbl>
    <w:p w14:paraId="01F146DC">
      <w:pPr>
        <w:pStyle w:val="23"/>
        <w:snapToGrid w:val="0"/>
        <w:ind w:firstLine="420" w:firstLineChars="200"/>
        <w:outlineLvl w:val="4"/>
        <w:rPr>
          <w:rFonts w:hAnsi="宋体" w:cs="宋体"/>
          <w:sz w:val="21"/>
        </w:rPr>
      </w:pPr>
      <w:r>
        <w:rPr>
          <w:rFonts w:hint="eastAsia" w:hAnsi="宋体" w:cs="宋体"/>
          <w:sz w:val="21"/>
        </w:rPr>
        <w:t>7.1.2.2云数据库服务</w:t>
      </w:r>
    </w:p>
    <w:p w14:paraId="0D31CE17">
      <w:pPr>
        <w:snapToGrid w:val="0"/>
        <w:spacing w:line="360" w:lineRule="auto"/>
        <w:ind w:firstLine="480"/>
        <w:rPr>
          <w:rFonts w:ascii="宋体" w:hAnsi="宋体" w:cs="宋体"/>
          <w:szCs w:val="21"/>
        </w:rPr>
      </w:pPr>
      <w:r>
        <w:rPr>
          <w:rFonts w:hint="eastAsia" w:ascii="宋体" w:hAnsi="宋体" w:cs="宋体"/>
          <w:szCs w:val="21"/>
        </w:rPr>
        <w:t>（1）MySQL\SQL Server数据库</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6905"/>
        <w:gridCol w:w="823"/>
      </w:tblGrid>
      <w:tr w14:paraId="7DC3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tcBorders>
              <w:top w:val="single" w:color="auto" w:sz="4" w:space="0"/>
              <w:left w:val="single" w:color="auto" w:sz="4" w:space="0"/>
              <w:bottom w:val="single" w:color="auto" w:sz="4" w:space="0"/>
              <w:right w:val="single" w:color="auto" w:sz="4" w:space="0"/>
            </w:tcBorders>
            <w:vAlign w:val="center"/>
          </w:tcPr>
          <w:p w14:paraId="4A14C2DA">
            <w:pPr>
              <w:spacing w:line="360" w:lineRule="auto"/>
              <w:jc w:val="center"/>
              <w:rPr>
                <w:rFonts w:ascii="宋体" w:hAnsi="宋体" w:cs="宋体"/>
                <w:b/>
                <w:bCs/>
                <w:szCs w:val="21"/>
              </w:rPr>
            </w:pPr>
            <w:r>
              <w:rPr>
                <w:rFonts w:hint="eastAsia" w:ascii="宋体" w:hAnsi="宋体" w:cs="宋体"/>
                <w:b/>
                <w:bCs/>
                <w:szCs w:val="21"/>
              </w:rPr>
              <w:t>指标项</w:t>
            </w:r>
          </w:p>
        </w:tc>
        <w:tc>
          <w:tcPr>
            <w:tcW w:w="3717" w:type="pct"/>
            <w:tcBorders>
              <w:top w:val="single" w:color="auto" w:sz="4" w:space="0"/>
              <w:left w:val="single" w:color="auto" w:sz="4" w:space="0"/>
              <w:bottom w:val="single" w:color="auto" w:sz="4" w:space="0"/>
              <w:right w:val="single" w:color="auto" w:sz="4" w:space="0"/>
            </w:tcBorders>
            <w:vAlign w:val="center"/>
          </w:tcPr>
          <w:p w14:paraId="236FA098">
            <w:pPr>
              <w:spacing w:line="360" w:lineRule="auto"/>
              <w:jc w:val="center"/>
              <w:rPr>
                <w:rFonts w:ascii="宋体" w:hAnsi="宋体" w:cs="宋体"/>
                <w:b/>
                <w:bCs/>
                <w:szCs w:val="21"/>
              </w:rPr>
            </w:pPr>
            <w:r>
              <w:rPr>
                <w:rFonts w:hint="eastAsia" w:ascii="宋体" w:hAnsi="宋体" w:cs="宋体"/>
                <w:b/>
                <w:bCs/>
                <w:szCs w:val="21"/>
              </w:rPr>
              <w:t>规格要求</w:t>
            </w:r>
          </w:p>
        </w:tc>
        <w:tc>
          <w:tcPr>
            <w:tcW w:w="443" w:type="pct"/>
            <w:tcBorders>
              <w:top w:val="single" w:color="auto" w:sz="4" w:space="0"/>
              <w:left w:val="single" w:color="auto" w:sz="4" w:space="0"/>
              <w:bottom w:val="single" w:color="auto" w:sz="4" w:space="0"/>
              <w:right w:val="single" w:color="auto" w:sz="4" w:space="0"/>
            </w:tcBorders>
            <w:vAlign w:val="center"/>
          </w:tcPr>
          <w:p w14:paraId="16C97F01">
            <w:pPr>
              <w:spacing w:line="360" w:lineRule="auto"/>
              <w:jc w:val="center"/>
              <w:rPr>
                <w:rFonts w:ascii="宋体" w:hAnsi="宋体" w:cs="宋体"/>
                <w:b/>
                <w:bCs/>
                <w:szCs w:val="21"/>
              </w:rPr>
            </w:pPr>
            <w:r>
              <w:rPr>
                <w:rFonts w:hint="eastAsia" w:ascii="宋体" w:hAnsi="宋体" w:cs="宋体"/>
                <w:b/>
                <w:bCs/>
                <w:szCs w:val="21"/>
              </w:rPr>
              <w:t>备注</w:t>
            </w:r>
          </w:p>
        </w:tc>
      </w:tr>
      <w:tr w14:paraId="378F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restart"/>
            <w:tcBorders>
              <w:top w:val="single" w:color="auto" w:sz="4" w:space="0"/>
              <w:left w:val="single" w:color="auto" w:sz="4" w:space="0"/>
              <w:bottom w:val="single" w:color="auto" w:sz="4" w:space="0"/>
              <w:right w:val="single" w:color="auto" w:sz="4" w:space="0"/>
            </w:tcBorders>
            <w:vAlign w:val="center"/>
          </w:tcPr>
          <w:p w14:paraId="0019A064">
            <w:pPr>
              <w:spacing w:line="360" w:lineRule="auto"/>
              <w:rPr>
                <w:rFonts w:ascii="宋体" w:hAnsi="宋体" w:cs="宋体"/>
                <w:bCs/>
                <w:szCs w:val="21"/>
              </w:rPr>
            </w:pPr>
            <w:r>
              <w:rPr>
                <w:rFonts w:hint="eastAsia" w:ascii="宋体" w:hAnsi="宋体" w:cs="宋体"/>
                <w:bCs/>
                <w:szCs w:val="21"/>
              </w:rPr>
              <w:t>基本功能/性能</w:t>
            </w:r>
          </w:p>
        </w:tc>
        <w:tc>
          <w:tcPr>
            <w:tcW w:w="3717" w:type="pct"/>
            <w:tcBorders>
              <w:top w:val="single" w:color="auto" w:sz="4" w:space="0"/>
              <w:left w:val="single" w:color="auto" w:sz="4" w:space="0"/>
              <w:bottom w:val="single" w:color="auto" w:sz="4" w:space="0"/>
              <w:right w:val="single" w:color="auto" w:sz="4" w:space="0"/>
            </w:tcBorders>
            <w:vAlign w:val="center"/>
          </w:tcPr>
          <w:p w14:paraId="003DFFD9">
            <w:pPr>
              <w:spacing w:line="360" w:lineRule="auto"/>
              <w:rPr>
                <w:rFonts w:ascii="宋体" w:hAnsi="宋体" w:cs="宋体"/>
                <w:bCs/>
                <w:szCs w:val="21"/>
              </w:rPr>
            </w:pPr>
            <w:r>
              <w:rPr>
                <w:rFonts w:hint="eastAsia" w:ascii="宋体" w:hAnsi="宋体" w:cs="宋体"/>
                <w:bCs/>
                <w:szCs w:val="21"/>
              </w:rPr>
              <w:t>数据库基于大规模分布式计算系统内核技术架构，主备冗余模式</w:t>
            </w:r>
          </w:p>
        </w:tc>
        <w:tc>
          <w:tcPr>
            <w:tcW w:w="443" w:type="pct"/>
            <w:tcBorders>
              <w:top w:val="single" w:color="auto" w:sz="4" w:space="0"/>
              <w:left w:val="single" w:color="auto" w:sz="4" w:space="0"/>
              <w:bottom w:val="single" w:color="auto" w:sz="4" w:space="0"/>
              <w:right w:val="single" w:color="auto" w:sz="4" w:space="0"/>
            </w:tcBorders>
            <w:vAlign w:val="center"/>
          </w:tcPr>
          <w:p w14:paraId="14FB8B47">
            <w:pPr>
              <w:spacing w:line="360" w:lineRule="auto"/>
              <w:rPr>
                <w:rFonts w:ascii="宋体" w:hAnsi="宋体" w:cs="宋体"/>
                <w:bCs/>
                <w:szCs w:val="21"/>
              </w:rPr>
            </w:pPr>
          </w:p>
        </w:tc>
      </w:tr>
      <w:tr w14:paraId="13C1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7EDA65E8">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35AC44AC">
            <w:pPr>
              <w:spacing w:line="360" w:lineRule="auto"/>
              <w:rPr>
                <w:rFonts w:ascii="宋体" w:hAnsi="宋体" w:cs="宋体"/>
                <w:bCs/>
                <w:szCs w:val="21"/>
              </w:rPr>
            </w:pPr>
            <w:r>
              <w:rPr>
                <w:rFonts w:hint="eastAsia" w:ascii="宋体" w:hAnsi="宋体" w:cs="宋体"/>
                <w:bCs/>
                <w:szCs w:val="21"/>
              </w:rPr>
              <w:t>基于高效的调度、备份、HA控制、在线迁移以及监控系统，为用户提供为专业的云数据库服务。</w:t>
            </w:r>
          </w:p>
        </w:tc>
        <w:tc>
          <w:tcPr>
            <w:tcW w:w="443" w:type="pct"/>
            <w:tcBorders>
              <w:top w:val="single" w:color="auto" w:sz="4" w:space="0"/>
              <w:left w:val="single" w:color="auto" w:sz="4" w:space="0"/>
              <w:bottom w:val="single" w:color="auto" w:sz="4" w:space="0"/>
              <w:right w:val="single" w:color="auto" w:sz="4" w:space="0"/>
            </w:tcBorders>
            <w:vAlign w:val="center"/>
          </w:tcPr>
          <w:p w14:paraId="739D458E">
            <w:pPr>
              <w:spacing w:line="360" w:lineRule="auto"/>
              <w:rPr>
                <w:rFonts w:ascii="宋体" w:hAnsi="宋体" w:cs="宋体"/>
                <w:bCs/>
                <w:szCs w:val="21"/>
              </w:rPr>
            </w:pPr>
          </w:p>
        </w:tc>
      </w:tr>
      <w:tr w14:paraId="2F2F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70C588CB">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656F3782">
            <w:pPr>
              <w:spacing w:line="360" w:lineRule="auto"/>
              <w:rPr>
                <w:rFonts w:ascii="宋体" w:hAnsi="宋体" w:cs="宋体"/>
                <w:bCs/>
                <w:szCs w:val="21"/>
              </w:rPr>
            </w:pPr>
            <w:r>
              <w:rPr>
                <w:rFonts w:hint="eastAsia" w:ascii="宋体" w:hAnsi="宋体" w:cs="宋体"/>
                <w:bCs/>
                <w:szCs w:val="21"/>
              </w:rPr>
              <w:t>支持关系型数据库的基本功能，并进行优化服务。</w:t>
            </w:r>
          </w:p>
        </w:tc>
        <w:tc>
          <w:tcPr>
            <w:tcW w:w="443" w:type="pct"/>
            <w:tcBorders>
              <w:top w:val="single" w:color="auto" w:sz="4" w:space="0"/>
              <w:left w:val="single" w:color="auto" w:sz="4" w:space="0"/>
              <w:bottom w:val="single" w:color="auto" w:sz="4" w:space="0"/>
              <w:right w:val="single" w:color="auto" w:sz="4" w:space="0"/>
            </w:tcBorders>
            <w:vAlign w:val="center"/>
          </w:tcPr>
          <w:p w14:paraId="182894A5">
            <w:pPr>
              <w:spacing w:line="360" w:lineRule="auto"/>
              <w:rPr>
                <w:rFonts w:ascii="宋体" w:hAnsi="宋体" w:cs="宋体"/>
                <w:bCs/>
                <w:szCs w:val="21"/>
              </w:rPr>
            </w:pPr>
          </w:p>
        </w:tc>
      </w:tr>
      <w:tr w14:paraId="2457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097D9D40">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45FEDE18">
            <w:pPr>
              <w:spacing w:line="360" w:lineRule="auto"/>
              <w:rPr>
                <w:rFonts w:ascii="宋体" w:hAnsi="宋体" w:cs="宋体"/>
                <w:bCs/>
                <w:szCs w:val="21"/>
              </w:rPr>
            </w:pPr>
            <w:r>
              <w:rPr>
                <w:rFonts w:hint="eastAsia" w:ascii="宋体" w:hAnsi="宋体" w:cs="宋体"/>
                <w:bCs/>
                <w:szCs w:val="21"/>
              </w:rPr>
              <w:t>支持SQL Server、MySQL等主流关系型数据库。</w:t>
            </w:r>
          </w:p>
        </w:tc>
        <w:tc>
          <w:tcPr>
            <w:tcW w:w="443" w:type="pct"/>
            <w:tcBorders>
              <w:top w:val="single" w:color="auto" w:sz="4" w:space="0"/>
              <w:left w:val="single" w:color="auto" w:sz="4" w:space="0"/>
              <w:bottom w:val="single" w:color="auto" w:sz="4" w:space="0"/>
              <w:right w:val="single" w:color="auto" w:sz="4" w:space="0"/>
            </w:tcBorders>
            <w:vAlign w:val="center"/>
          </w:tcPr>
          <w:p w14:paraId="70082108">
            <w:pPr>
              <w:spacing w:line="360" w:lineRule="auto"/>
              <w:rPr>
                <w:rFonts w:ascii="宋体" w:hAnsi="宋体" w:cs="宋体"/>
                <w:bCs/>
                <w:szCs w:val="21"/>
              </w:rPr>
            </w:pPr>
          </w:p>
        </w:tc>
      </w:tr>
      <w:tr w14:paraId="0A53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4DF6D87D">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4B70307D">
            <w:pPr>
              <w:spacing w:line="360" w:lineRule="auto"/>
              <w:rPr>
                <w:rFonts w:ascii="宋体" w:hAnsi="宋体" w:cs="宋体"/>
                <w:bCs/>
                <w:szCs w:val="21"/>
              </w:rPr>
            </w:pPr>
            <w:r>
              <w:rPr>
                <w:rFonts w:hint="eastAsia" w:ascii="宋体" w:hAnsi="宋体" w:cs="宋体"/>
                <w:bCs/>
                <w:szCs w:val="21"/>
              </w:rPr>
              <w:t>单数据库实例内存可达96G，并发连接数可达24000。</w:t>
            </w:r>
          </w:p>
        </w:tc>
        <w:tc>
          <w:tcPr>
            <w:tcW w:w="443" w:type="pct"/>
            <w:tcBorders>
              <w:top w:val="single" w:color="auto" w:sz="4" w:space="0"/>
              <w:left w:val="single" w:color="auto" w:sz="4" w:space="0"/>
              <w:bottom w:val="single" w:color="auto" w:sz="4" w:space="0"/>
              <w:right w:val="single" w:color="auto" w:sz="4" w:space="0"/>
            </w:tcBorders>
            <w:vAlign w:val="center"/>
          </w:tcPr>
          <w:p w14:paraId="313BF535">
            <w:pPr>
              <w:spacing w:line="360" w:lineRule="auto"/>
              <w:rPr>
                <w:rFonts w:ascii="宋体" w:hAnsi="宋体" w:cs="宋体"/>
                <w:bCs/>
                <w:szCs w:val="21"/>
              </w:rPr>
            </w:pPr>
          </w:p>
        </w:tc>
      </w:tr>
      <w:tr w14:paraId="4108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51D0AAFD">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082AE0BD">
            <w:pPr>
              <w:spacing w:line="360" w:lineRule="auto"/>
              <w:rPr>
                <w:rFonts w:ascii="宋体" w:hAnsi="宋体" w:cs="宋体"/>
                <w:bCs/>
                <w:szCs w:val="21"/>
              </w:rPr>
            </w:pPr>
            <w:r>
              <w:rPr>
                <w:rFonts w:hint="eastAsia" w:ascii="宋体" w:hAnsi="宋体" w:cs="宋体"/>
                <w:bCs/>
                <w:szCs w:val="21"/>
              </w:rPr>
              <w:t>SQL Server单数据库实例可创建的数据库数量达20个，用户数达20个。</w:t>
            </w:r>
          </w:p>
        </w:tc>
        <w:tc>
          <w:tcPr>
            <w:tcW w:w="443" w:type="pct"/>
            <w:tcBorders>
              <w:top w:val="single" w:color="auto" w:sz="4" w:space="0"/>
              <w:left w:val="single" w:color="auto" w:sz="4" w:space="0"/>
              <w:bottom w:val="single" w:color="auto" w:sz="4" w:space="0"/>
              <w:right w:val="single" w:color="auto" w:sz="4" w:space="0"/>
            </w:tcBorders>
            <w:vAlign w:val="center"/>
          </w:tcPr>
          <w:p w14:paraId="0C61439A">
            <w:pPr>
              <w:spacing w:line="360" w:lineRule="auto"/>
              <w:rPr>
                <w:rFonts w:ascii="宋体" w:hAnsi="宋体" w:cs="宋体"/>
                <w:bCs/>
                <w:szCs w:val="21"/>
              </w:rPr>
            </w:pPr>
          </w:p>
        </w:tc>
      </w:tr>
      <w:tr w14:paraId="0EF3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5CB60F9F">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493003DB">
            <w:pPr>
              <w:spacing w:line="360" w:lineRule="auto"/>
              <w:rPr>
                <w:rFonts w:ascii="宋体" w:hAnsi="宋体" w:cs="宋体"/>
                <w:bCs/>
                <w:szCs w:val="21"/>
              </w:rPr>
            </w:pPr>
            <w:r>
              <w:rPr>
                <w:rFonts w:hint="eastAsia" w:ascii="宋体" w:hAnsi="宋体" w:cs="宋体"/>
                <w:bCs/>
                <w:szCs w:val="21"/>
              </w:rPr>
              <w:t>MySQL单数据库实例可创建的数据库数量达200个，用户数达50个。</w:t>
            </w:r>
          </w:p>
        </w:tc>
        <w:tc>
          <w:tcPr>
            <w:tcW w:w="443" w:type="pct"/>
            <w:tcBorders>
              <w:top w:val="single" w:color="auto" w:sz="4" w:space="0"/>
              <w:left w:val="single" w:color="auto" w:sz="4" w:space="0"/>
              <w:bottom w:val="single" w:color="auto" w:sz="4" w:space="0"/>
              <w:right w:val="single" w:color="auto" w:sz="4" w:space="0"/>
            </w:tcBorders>
            <w:vAlign w:val="center"/>
          </w:tcPr>
          <w:p w14:paraId="7274FC59">
            <w:pPr>
              <w:spacing w:line="360" w:lineRule="auto"/>
              <w:rPr>
                <w:rFonts w:ascii="宋体" w:hAnsi="宋体" w:cs="宋体"/>
                <w:bCs/>
                <w:szCs w:val="21"/>
              </w:rPr>
            </w:pPr>
          </w:p>
        </w:tc>
      </w:tr>
      <w:tr w14:paraId="647D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68D1903A">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449A87AE">
            <w:pPr>
              <w:spacing w:line="360" w:lineRule="auto"/>
              <w:rPr>
                <w:rFonts w:ascii="宋体" w:hAnsi="宋体" w:cs="宋体"/>
                <w:bCs/>
                <w:szCs w:val="21"/>
              </w:rPr>
            </w:pPr>
            <w:r>
              <w:rPr>
                <w:rFonts w:hint="eastAsia" w:ascii="宋体" w:hAnsi="宋体" w:cs="宋体"/>
                <w:bCs/>
                <w:szCs w:val="21"/>
              </w:rPr>
              <w:t>每份数据都保留两份并可实时切换。</w:t>
            </w:r>
          </w:p>
        </w:tc>
        <w:tc>
          <w:tcPr>
            <w:tcW w:w="443" w:type="pct"/>
            <w:tcBorders>
              <w:top w:val="single" w:color="auto" w:sz="4" w:space="0"/>
              <w:left w:val="single" w:color="auto" w:sz="4" w:space="0"/>
              <w:bottom w:val="single" w:color="auto" w:sz="4" w:space="0"/>
              <w:right w:val="single" w:color="auto" w:sz="4" w:space="0"/>
            </w:tcBorders>
            <w:vAlign w:val="center"/>
          </w:tcPr>
          <w:p w14:paraId="1A3D185E">
            <w:pPr>
              <w:spacing w:line="360" w:lineRule="auto"/>
              <w:rPr>
                <w:rFonts w:ascii="宋体" w:hAnsi="宋体" w:cs="宋体"/>
                <w:bCs/>
                <w:szCs w:val="21"/>
              </w:rPr>
            </w:pPr>
          </w:p>
        </w:tc>
      </w:tr>
      <w:tr w14:paraId="7253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32E5CDF1">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5BD74C08">
            <w:pPr>
              <w:spacing w:line="360" w:lineRule="auto"/>
              <w:rPr>
                <w:rFonts w:ascii="宋体" w:hAnsi="宋体" w:cs="宋体"/>
                <w:bCs/>
                <w:szCs w:val="21"/>
              </w:rPr>
            </w:pPr>
            <w:r>
              <w:rPr>
                <w:rFonts w:hint="eastAsia" w:ascii="宋体" w:hAnsi="宋体" w:cs="宋体"/>
                <w:bCs/>
                <w:szCs w:val="21"/>
              </w:rPr>
              <w:t>支持数据库在线升级、云内动态迁移、故障自动切换，实现业务秒级无缝切换，不中断用户服务。</w:t>
            </w:r>
          </w:p>
        </w:tc>
        <w:tc>
          <w:tcPr>
            <w:tcW w:w="443" w:type="pct"/>
            <w:tcBorders>
              <w:top w:val="single" w:color="auto" w:sz="4" w:space="0"/>
              <w:left w:val="single" w:color="auto" w:sz="4" w:space="0"/>
              <w:bottom w:val="single" w:color="auto" w:sz="4" w:space="0"/>
              <w:right w:val="single" w:color="auto" w:sz="4" w:space="0"/>
            </w:tcBorders>
            <w:vAlign w:val="center"/>
          </w:tcPr>
          <w:p w14:paraId="7D713BEC">
            <w:pPr>
              <w:spacing w:line="360" w:lineRule="auto"/>
              <w:rPr>
                <w:rFonts w:ascii="宋体" w:hAnsi="宋体" w:cs="宋体"/>
                <w:bCs/>
                <w:szCs w:val="21"/>
              </w:rPr>
            </w:pPr>
          </w:p>
        </w:tc>
      </w:tr>
      <w:tr w14:paraId="7DE4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restart"/>
            <w:tcBorders>
              <w:top w:val="single" w:color="auto" w:sz="4" w:space="0"/>
              <w:left w:val="single" w:color="auto" w:sz="4" w:space="0"/>
              <w:bottom w:val="single" w:color="auto" w:sz="4" w:space="0"/>
              <w:right w:val="single" w:color="auto" w:sz="4" w:space="0"/>
            </w:tcBorders>
            <w:vAlign w:val="center"/>
          </w:tcPr>
          <w:p w14:paraId="5E0CA462">
            <w:pPr>
              <w:spacing w:line="360" w:lineRule="auto"/>
              <w:rPr>
                <w:rFonts w:ascii="宋体" w:hAnsi="宋体" w:cs="宋体"/>
                <w:bCs/>
                <w:szCs w:val="21"/>
              </w:rPr>
            </w:pPr>
            <w:r>
              <w:rPr>
                <w:rFonts w:hint="eastAsia" w:ascii="宋体" w:hAnsi="宋体" w:cs="宋体"/>
                <w:bCs/>
                <w:szCs w:val="21"/>
              </w:rPr>
              <w:t>扩展功能</w:t>
            </w:r>
          </w:p>
        </w:tc>
        <w:tc>
          <w:tcPr>
            <w:tcW w:w="3717" w:type="pct"/>
            <w:tcBorders>
              <w:top w:val="single" w:color="auto" w:sz="4" w:space="0"/>
              <w:left w:val="single" w:color="auto" w:sz="4" w:space="0"/>
              <w:bottom w:val="single" w:color="auto" w:sz="4" w:space="0"/>
              <w:right w:val="single" w:color="auto" w:sz="4" w:space="0"/>
            </w:tcBorders>
            <w:vAlign w:val="center"/>
          </w:tcPr>
          <w:p w14:paraId="62920304">
            <w:pPr>
              <w:spacing w:line="360" w:lineRule="auto"/>
              <w:rPr>
                <w:rFonts w:ascii="宋体" w:hAnsi="宋体" w:cs="宋体"/>
                <w:bCs/>
                <w:szCs w:val="21"/>
              </w:rPr>
            </w:pPr>
            <w:r>
              <w:rPr>
                <w:rFonts w:hint="eastAsia" w:ascii="宋体" w:hAnsi="宋体" w:cs="宋体"/>
                <w:bCs/>
                <w:szCs w:val="21"/>
              </w:rPr>
              <w:t>按需开通，即开即用，按需计费，为用户提供方便的Web管理界面。</w:t>
            </w:r>
          </w:p>
        </w:tc>
        <w:tc>
          <w:tcPr>
            <w:tcW w:w="443" w:type="pct"/>
            <w:tcBorders>
              <w:top w:val="single" w:color="auto" w:sz="4" w:space="0"/>
              <w:left w:val="single" w:color="auto" w:sz="4" w:space="0"/>
              <w:bottom w:val="single" w:color="auto" w:sz="4" w:space="0"/>
              <w:right w:val="single" w:color="auto" w:sz="4" w:space="0"/>
            </w:tcBorders>
            <w:vAlign w:val="center"/>
          </w:tcPr>
          <w:p w14:paraId="541D2D66">
            <w:pPr>
              <w:spacing w:line="360" w:lineRule="auto"/>
              <w:rPr>
                <w:rFonts w:ascii="宋体" w:hAnsi="宋体" w:cs="宋体"/>
                <w:bCs/>
                <w:szCs w:val="21"/>
              </w:rPr>
            </w:pPr>
          </w:p>
        </w:tc>
      </w:tr>
      <w:tr w14:paraId="7773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46C3D379">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4F0BA507">
            <w:pPr>
              <w:spacing w:line="360" w:lineRule="auto"/>
              <w:rPr>
                <w:rFonts w:ascii="宋体" w:hAnsi="宋体" w:cs="宋体"/>
                <w:bCs/>
                <w:szCs w:val="21"/>
              </w:rPr>
            </w:pPr>
            <w:r>
              <w:rPr>
                <w:rFonts w:hint="eastAsia" w:ascii="宋体" w:hAnsi="宋体" w:cs="宋体"/>
                <w:bCs/>
                <w:szCs w:val="21"/>
              </w:rPr>
              <w:t>随着用户数和访问量的变化，可以弹性的调整数据库的规格，包含内存、连接数、IOPS、存储容量等，调整时服务不间断。</w:t>
            </w:r>
          </w:p>
        </w:tc>
        <w:tc>
          <w:tcPr>
            <w:tcW w:w="443" w:type="pct"/>
            <w:tcBorders>
              <w:top w:val="single" w:color="auto" w:sz="4" w:space="0"/>
              <w:left w:val="single" w:color="auto" w:sz="4" w:space="0"/>
              <w:bottom w:val="single" w:color="auto" w:sz="4" w:space="0"/>
              <w:right w:val="single" w:color="auto" w:sz="4" w:space="0"/>
            </w:tcBorders>
            <w:vAlign w:val="center"/>
          </w:tcPr>
          <w:p w14:paraId="5DD113E4">
            <w:pPr>
              <w:spacing w:line="360" w:lineRule="auto"/>
              <w:rPr>
                <w:rFonts w:ascii="宋体" w:hAnsi="宋体" w:cs="宋体"/>
                <w:bCs/>
                <w:szCs w:val="21"/>
              </w:rPr>
            </w:pPr>
          </w:p>
        </w:tc>
      </w:tr>
      <w:tr w14:paraId="50C9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452B10BA">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562DADC7">
            <w:pPr>
              <w:spacing w:line="360" w:lineRule="auto"/>
              <w:rPr>
                <w:rFonts w:ascii="宋体" w:hAnsi="宋体" w:cs="宋体"/>
                <w:bCs/>
                <w:szCs w:val="21"/>
              </w:rPr>
            </w:pPr>
            <w:r>
              <w:rPr>
                <w:rFonts w:hint="eastAsia" w:ascii="宋体" w:hAnsi="宋体" w:cs="宋体"/>
                <w:bCs/>
                <w:szCs w:val="21"/>
              </w:rPr>
              <w:t>提供数据导入、导出工具，方便用户进行数据迁移。</w:t>
            </w:r>
          </w:p>
        </w:tc>
        <w:tc>
          <w:tcPr>
            <w:tcW w:w="443" w:type="pct"/>
            <w:tcBorders>
              <w:top w:val="single" w:color="auto" w:sz="4" w:space="0"/>
              <w:left w:val="single" w:color="auto" w:sz="4" w:space="0"/>
              <w:bottom w:val="single" w:color="auto" w:sz="4" w:space="0"/>
              <w:right w:val="single" w:color="auto" w:sz="4" w:space="0"/>
            </w:tcBorders>
            <w:vAlign w:val="center"/>
          </w:tcPr>
          <w:p w14:paraId="2F96283D">
            <w:pPr>
              <w:spacing w:line="360" w:lineRule="auto"/>
              <w:rPr>
                <w:rFonts w:ascii="宋体" w:hAnsi="宋体" w:cs="宋体"/>
                <w:bCs/>
                <w:szCs w:val="21"/>
              </w:rPr>
            </w:pPr>
          </w:p>
        </w:tc>
      </w:tr>
      <w:tr w14:paraId="18F9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1E1DEA78">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17DA7F6F">
            <w:pPr>
              <w:spacing w:line="360" w:lineRule="auto"/>
              <w:rPr>
                <w:rFonts w:ascii="宋体" w:hAnsi="宋体" w:cs="宋体"/>
                <w:bCs/>
                <w:szCs w:val="21"/>
              </w:rPr>
            </w:pPr>
            <w:r>
              <w:rPr>
                <w:rFonts w:hint="eastAsia" w:ascii="宋体" w:hAnsi="宋体" w:cs="宋体"/>
                <w:bCs/>
                <w:szCs w:val="21"/>
              </w:rPr>
              <w:t>提供日志记录功能，包括错误日志、操作日志、访问日志等，可追查访问来源以及进行多维度的统计分析。</w:t>
            </w:r>
          </w:p>
        </w:tc>
        <w:tc>
          <w:tcPr>
            <w:tcW w:w="443" w:type="pct"/>
            <w:tcBorders>
              <w:top w:val="single" w:color="auto" w:sz="4" w:space="0"/>
              <w:left w:val="single" w:color="auto" w:sz="4" w:space="0"/>
              <w:bottom w:val="single" w:color="auto" w:sz="4" w:space="0"/>
              <w:right w:val="single" w:color="auto" w:sz="4" w:space="0"/>
            </w:tcBorders>
            <w:vAlign w:val="center"/>
          </w:tcPr>
          <w:p w14:paraId="4377AB00">
            <w:pPr>
              <w:spacing w:line="360" w:lineRule="auto"/>
              <w:rPr>
                <w:rFonts w:ascii="宋体" w:hAnsi="宋体" w:cs="宋体"/>
                <w:bCs/>
                <w:szCs w:val="21"/>
              </w:rPr>
            </w:pPr>
          </w:p>
        </w:tc>
      </w:tr>
      <w:tr w14:paraId="544F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08782E0E">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4C2B4C0D">
            <w:pPr>
              <w:spacing w:line="360" w:lineRule="auto"/>
              <w:rPr>
                <w:rFonts w:ascii="宋体" w:hAnsi="宋体" w:cs="宋体"/>
                <w:bCs/>
                <w:szCs w:val="21"/>
              </w:rPr>
            </w:pPr>
            <w:r>
              <w:rPr>
                <w:rFonts w:hint="eastAsia" w:ascii="宋体" w:hAnsi="宋体" w:cs="宋体"/>
                <w:bCs/>
                <w:szCs w:val="21"/>
              </w:rPr>
              <w:t>支持具备自主知识产权的国产数据库</w:t>
            </w:r>
          </w:p>
        </w:tc>
        <w:tc>
          <w:tcPr>
            <w:tcW w:w="443" w:type="pct"/>
            <w:tcBorders>
              <w:top w:val="single" w:color="auto" w:sz="4" w:space="0"/>
              <w:left w:val="single" w:color="auto" w:sz="4" w:space="0"/>
              <w:bottom w:val="single" w:color="auto" w:sz="4" w:space="0"/>
              <w:right w:val="single" w:color="auto" w:sz="4" w:space="0"/>
            </w:tcBorders>
            <w:vAlign w:val="center"/>
          </w:tcPr>
          <w:p w14:paraId="488D9029">
            <w:pPr>
              <w:spacing w:line="360" w:lineRule="auto"/>
              <w:rPr>
                <w:rFonts w:ascii="宋体" w:hAnsi="宋体" w:cs="宋体"/>
                <w:bCs/>
                <w:szCs w:val="21"/>
              </w:rPr>
            </w:pPr>
          </w:p>
        </w:tc>
      </w:tr>
      <w:tr w14:paraId="54C4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restart"/>
            <w:tcBorders>
              <w:top w:val="single" w:color="auto" w:sz="4" w:space="0"/>
              <w:left w:val="single" w:color="auto" w:sz="4" w:space="0"/>
              <w:bottom w:val="single" w:color="auto" w:sz="4" w:space="0"/>
              <w:right w:val="single" w:color="auto" w:sz="4" w:space="0"/>
            </w:tcBorders>
            <w:vAlign w:val="center"/>
          </w:tcPr>
          <w:p w14:paraId="04901BEE">
            <w:pPr>
              <w:spacing w:line="360" w:lineRule="auto"/>
              <w:rPr>
                <w:rFonts w:ascii="宋体" w:hAnsi="宋体" w:cs="宋体"/>
                <w:bCs/>
                <w:szCs w:val="21"/>
              </w:rPr>
            </w:pPr>
            <w:r>
              <w:rPr>
                <w:rFonts w:hint="eastAsia" w:ascii="宋体" w:hAnsi="宋体" w:cs="宋体"/>
                <w:bCs/>
                <w:szCs w:val="21"/>
              </w:rPr>
              <w:t>安全性</w:t>
            </w:r>
          </w:p>
        </w:tc>
        <w:tc>
          <w:tcPr>
            <w:tcW w:w="3717" w:type="pct"/>
            <w:tcBorders>
              <w:top w:val="single" w:color="auto" w:sz="4" w:space="0"/>
              <w:left w:val="single" w:color="auto" w:sz="4" w:space="0"/>
              <w:bottom w:val="single" w:color="auto" w:sz="4" w:space="0"/>
              <w:right w:val="single" w:color="auto" w:sz="4" w:space="0"/>
            </w:tcBorders>
            <w:vAlign w:val="center"/>
          </w:tcPr>
          <w:p w14:paraId="56417D82">
            <w:pPr>
              <w:spacing w:line="360" w:lineRule="auto"/>
              <w:rPr>
                <w:rFonts w:ascii="宋体" w:hAnsi="宋体" w:cs="宋体"/>
                <w:bCs/>
                <w:szCs w:val="21"/>
              </w:rPr>
            </w:pPr>
            <w:r>
              <w:rPr>
                <w:rFonts w:hint="eastAsia" w:ascii="宋体" w:hAnsi="宋体" w:cs="宋体"/>
                <w:bCs/>
                <w:szCs w:val="21"/>
              </w:rPr>
              <w:t>支持IP授权访问。</w:t>
            </w:r>
          </w:p>
        </w:tc>
        <w:tc>
          <w:tcPr>
            <w:tcW w:w="443" w:type="pct"/>
            <w:tcBorders>
              <w:top w:val="single" w:color="auto" w:sz="4" w:space="0"/>
              <w:left w:val="single" w:color="auto" w:sz="4" w:space="0"/>
              <w:bottom w:val="single" w:color="auto" w:sz="4" w:space="0"/>
              <w:right w:val="single" w:color="auto" w:sz="4" w:space="0"/>
            </w:tcBorders>
            <w:vAlign w:val="center"/>
          </w:tcPr>
          <w:p w14:paraId="76120271">
            <w:pPr>
              <w:spacing w:line="360" w:lineRule="auto"/>
              <w:rPr>
                <w:rFonts w:ascii="宋体" w:hAnsi="宋体" w:cs="宋体"/>
                <w:bCs/>
                <w:szCs w:val="21"/>
              </w:rPr>
            </w:pPr>
          </w:p>
        </w:tc>
      </w:tr>
      <w:tr w14:paraId="5641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0" w:type="pct"/>
            <w:vMerge w:val="continue"/>
            <w:tcBorders>
              <w:top w:val="single" w:color="auto" w:sz="4" w:space="0"/>
              <w:left w:val="single" w:color="auto" w:sz="4" w:space="0"/>
              <w:bottom w:val="single" w:color="auto" w:sz="4" w:space="0"/>
              <w:right w:val="single" w:color="auto" w:sz="4" w:space="0"/>
            </w:tcBorders>
            <w:vAlign w:val="center"/>
          </w:tcPr>
          <w:p w14:paraId="4800A08D">
            <w:pPr>
              <w:spacing w:line="360" w:lineRule="auto"/>
              <w:rPr>
                <w:rFonts w:ascii="宋体" w:hAnsi="宋体" w:cs="宋体"/>
                <w:bCs/>
                <w:szCs w:val="21"/>
              </w:rPr>
            </w:pPr>
          </w:p>
        </w:tc>
        <w:tc>
          <w:tcPr>
            <w:tcW w:w="3717" w:type="pct"/>
            <w:tcBorders>
              <w:top w:val="single" w:color="auto" w:sz="4" w:space="0"/>
              <w:left w:val="single" w:color="auto" w:sz="4" w:space="0"/>
              <w:bottom w:val="single" w:color="auto" w:sz="4" w:space="0"/>
              <w:right w:val="single" w:color="auto" w:sz="4" w:space="0"/>
            </w:tcBorders>
            <w:vAlign w:val="center"/>
          </w:tcPr>
          <w:p w14:paraId="797819AA">
            <w:pPr>
              <w:spacing w:line="360" w:lineRule="auto"/>
              <w:rPr>
                <w:rFonts w:ascii="宋体" w:hAnsi="宋体" w:cs="宋体"/>
                <w:bCs/>
                <w:szCs w:val="21"/>
              </w:rPr>
            </w:pPr>
            <w:r>
              <w:rPr>
                <w:rFonts w:hint="eastAsia" w:ascii="宋体" w:hAnsi="宋体" w:cs="宋体"/>
                <w:bCs/>
                <w:szCs w:val="21"/>
              </w:rPr>
              <w:t>云服务端提供加密用户身份验证，提供不同的访问权限控制。</w:t>
            </w:r>
          </w:p>
        </w:tc>
        <w:tc>
          <w:tcPr>
            <w:tcW w:w="443" w:type="pct"/>
            <w:tcBorders>
              <w:top w:val="single" w:color="auto" w:sz="4" w:space="0"/>
              <w:left w:val="single" w:color="auto" w:sz="4" w:space="0"/>
              <w:bottom w:val="single" w:color="auto" w:sz="4" w:space="0"/>
              <w:right w:val="single" w:color="auto" w:sz="4" w:space="0"/>
            </w:tcBorders>
            <w:vAlign w:val="center"/>
          </w:tcPr>
          <w:p w14:paraId="7B15835E">
            <w:pPr>
              <w:spacing w:line="360" w:lineRule="auto"/>
              <w:rPr>
                <w:rFonts w:ascii="宋体" w:hAnsi="宋体" w:cs="宋体"/>
                <w:bCs/>
                <w:szCs w:val="21"/>
              </w:rPr>
            </w:pPr>
          </w:p>
        </w:tc>
      </w:tr>
    </w:tbl>
    <w:p w14:paraId="7AB57FB1">
      <w:pPr>
        <w:snapToGrid w:val="0"/>
        <w:spacing w:line="360" w:lineRule="auto"/>
        <w:ind w:firstLine="480"/>
        <w:rPr>
          <w:rFonts w:ascii="宋体" w:hAnsi="宋体" w:cs="宋体"/>
          <w:szCs w:val="21"/>
        </w:rPr>
      </w:pPr>
      <w:r>
        <w:rPr>
          <w:rFonts w:hint="eastAsia" w:ascii="宋体" w:hAnsi="宋体" w:cs="宋体"/>
          <w:szCs w:val="21"/>
        </w:rPr>
        <w:t>（2）PostgreSQL数据库</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78"/>
        <w:gridCol w:w="6771"/>
        <w:gridCol w:w="844"/>
      </w:tblGrid>
      <w:tr w14:paraId="5220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Align w:val="center"/>
          </w:tcPr>
          <w:p w14:paraId="225E816A">
            <w:pPr>
              <w:spacing w:line="360" w:lineRule="auto"/>
              <w:jc w:val="center"/>
              <w:rPr>
                <w:rFonts w:ascii="宋体" w:hAnsi="宋体" w:cs="宋体"/>
                <w:b/>
                <w:bCs/>
                <w:szCs w:val="21"/>
              </w:rPr>
            </w:pPr>
            <w:r>
              <w:rPr>
                <w:rFonts w:hint="eastAsia" w:ascii="宋体" w:hAnsi="宋体" w:cs="宋体"/>
                <w:b/>
                <w:bCs/>
                <w:szCs w:val="21"/>
              </w:rPr>
              <w:t>指标项</w:t>
            </w:r>
          </w:p>
        </w:tc>
        <w:tc>
          <w:tcPr>
            <w:tcW w:w="3723" w:type="pct"/>
            <w:vAlign w:val="center"/>
          </w:tcPr>
          <w:p w14:paraId="351FD6E7">
            <w:pPr>
              <w:spacing w:line="360" w:lineRule="auto"/>
              <w:jc w:val="center"/>
              <w:rPr>
                <w:rFonts w:ascii="宋体" w:hAnsi="宋体" w:cs="宋体"/>
                <w:b/>
                <w:bCs/>
                <w:szCs w:val="21"/>
                <w:lang w:eastAsia="zh-Hans"/>
              </w:rPr>
            </w:pPr>
            <w:r>
              <w:rPr>
                <w:rFonts w:hint="eastAsia" w:ascii="宋体" w:hAnsi="宋体" w:cs="宋体"/>
                <w:b/>
                <w:bCs/>
                <w:szCs w:val="21"/>
                <w:lang w:eastAsia="zh-Hans"/>
              </w:rPr>
              <w:t>规格要求</w:t>
            </w:r>
          </w:p>
        </w:tc>
        <w:tc>
          <w:tcPr>
            <w:tcW w:w="464" w:type="pct"/>
            <w:vAlign w:val="center"/>
          </w:tcPr>
          <w:p w14:paraId="644FC32A">
            <w:pPr>
              <w:spacing w:line="360" w:lineRule="auto"/>
              <w:rPr>
                <w:rFonts w:ascii="宋体" w:hAnsi="宋体" w:cs="宋体"/>
                <w:bCs/>
                <w:szCs w:val="21"/>
                <w:lang w:eastAsia="zh-Hans"/>
              </w:rPr>
            </w:pPr>
          </w:p>
        </w:tc>
      </w:tr>
      <w:tr w14:paraId="2D7B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restart"/>
            <w:vAlign w:val="center"/>
          </w:tcPr>
          <w:p w14:paraId="03FCA1E4">
            <w:pPr>
              <w:spacing w:line="360" w:lineRule="auto"/>
              <w:rPr>
                <w:rFonts w:ascii="宋体" w:hAnsi="宋体" w:cs="宋体"/>
                <w:bCs/>
                <w:szCs w:val="21"/>
              </w:rPr>
            </w:pPr>
            <w:r>
              <w:rPr>
                <w:rFonts w:hint="eastAsia" w:ascii="宋体" w:hAnsi="宋体" w:cs="宋体"/>
                <w:bCs/>
                <w:szCs w:val="21"/>
              </w:rPr>
              <w:t>基本功能/性能</w:t>
            </w:r>
          </w:p>
        </w:tc>
        <w:tc>
          <w:tcPr>
            <w:tcW w:w="3723" w:type="pct"/>
            <w:vAlign w:val="center"/>
          </w:tcPr>
          <w:p w14:paraId="304CDF8A">
            <w:pPr>
              <w:spacing w:line="360" w:lineRule="auto"/>
              <w:rPr>
                <w:rFonts w:ascii="宋体" w:hAnsi="宋体" w:cs="宋体"/>
                <w:bCs/>
                <w:szCs w:val="21"/>
              </w:rPr>
            </w:pPr>
            <w:r>
              <w:rPr>
                <w:rFonts w:hint="eastAsia" w:ascii="宋体" w:hAnsi="宋体" w:cs="宋体"/>
                <w:bCs/>
                <w:szCs w:val="21"/>
              </w:rPr>
              <w:t>主备实例部署</w:t>
            </w:r>
          </w:p>
        </w:tc>
        <w:tc>
          <w:tcPr>
            <w:tcW w:w="464" w:type="pct"/>
            <w:vAlign w:val="center"/>
          </w:tcPr>
          <w:p w14:paraId="1DAB3A83">
            <w:pPr>
              <w:spacing w:line="360" w:lineRule="auto"/>
              <w:rPr>
                <w:rFonts w:ascii="宋体" w:hAnsi="宋体" w:cs="宋体"/>
                <w:bCs/>
                <w:szCs w:val="21"/>
              </w:rPr>
            </w:pPr>
          </w:p>
        </w:tc>
      </w:tr>
      <w:tr w14:paraId="1EEF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653C6A9F">
            <w:pPr>
              <w:spacing w:line="360" w:lineRule="auto"/>
              <w:rPr>
                <w:rFonts w:ascii="宋体" w:hAnsi="宋体" w:cs="宋体"/>
                <w:bCs/>
                <w:szCs w:val="21"/>
              </w:rPr>
            </w:pPr>
          </w:p>
        </w:tc>
        <w:tc>
          <w:tcPr>
            <w:tcW w:w="3723" w:type="pct"/>
            <w:vAlign w:val="center"/>
          </w:tcPr>
          <w:p w14:paraId="1518391A">
            <w:pPr>
              <w:spacing w:line="360" w:lineRule="auto"/>
              <w:rPr>
                <w:rFonts w:ascii="宋体" w:hAnsi="宋体" w:cs="宋体"/>
                <w:bCs/>
                <w:szCs w:val="21"/>
              </w:rPr>
            </w:pPr>
            <w:r>
              <w:rPr>
                <w:rFonts w:hint="eastAsia" w:ascii="宋体" w:hAnsi="宋体" w:cs="宋体"/>
                <w:bCs/>
                <w:szCs w:val="21"/>
              </w:rPr>
              <w:t>重启、删除实例或集群</w:t>
            </w:r>
          </w:p>
        </w:tc>
        <w:tc>
          <w:tcPr>
            <w:tcW w:w="464" w:type="pct"/>
            <w:vAlign w:val="center"/>
          </w:tcPr>
          <w:p w14:paraId="5D5C3481">
            <w:pPr>
              <w:spacing w:line="360" w:lineRule="auto"/>
              <w:rPr>
                <w:rFonts w:ascii="宋体" w:hAnsi="宋体" w:cs="宋体"/>
                <w:bCs/>
                <w:szCs w:val="21"/>
              </w:rPr>
            </w:pPr>
          </w:p>
        </w:tc>
      </w:tr>
      <w:tr w14:paraId="52B5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212EF4C5">
            <w:pPr>
              <w:spacing w:line="360" w:lineRule="auto"/>
              <w:rPr>
                <w:rFonts w:ascii="宋体" w:hAnsi="宋体" w:cs="宋体"/>
                <w:bCs/>
                <w:szCs w:val="21"/>
              </w:rPr>
            </w:pPr>
          </w:p>
        </w:tc>
        <w:tc>
          <w:tcPr>
            <w:tcW w:w="3723" w:type="pct"/>
            <w:vAlign w:val="center"/>
          </w:tcPr>
          <w:p w14:paraId="4D75BA91">
            <w:pPr>
              <w:spacing w:line="360" w:lineRule="auto"/>
              <w:rPr>
                <w:rFonts w:ascii="宋体" w:hAnsi="宋体" w:cs="宋体"/>
                <w:bCs/>
                <w:szCs w:val="21"/>
              </w:rPr>
            </w:pPr>
            <w:r>
              <w:rPr>
                <w:rFonts w:hint="eastAsia" w:ascii="宋体" w:hAnsi="宋体" w:cs="宋体"/>
                <w:bCs/>
                <w:szCs w:val="21"/>
              </w:rPr>
              <w:t>计算和存储容量扩展</w:t>
            </w:r>
          </w:p>
        </w:tc>
        <w:tc>
          <w:tcPr>
            <w:tcW w:w="464" w:type="pct"/>
            <w:vAlign w:val="center"/>
          </w:tcPr>
          <w:p w14:paraId="50D00812">
            <w:pPr>
              <w:spacing w:line="360" w:lineRule="auto"/>
              <w:rPr>
                <w:rFonts w:ascii="宋体" w:hAnsi="宋体" w:cs="宋体"/>
                <w:bCs/>
                <w:szCs w:val="21"/>
              </w:rPr>
            </w:pPr>
          </w:p>
        </w:tc>
      </w:tr>
      <w:tr w14:paraId="44E7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7634535F">
            <w:pPr>
              <w:spacing w:line="360" w:lineRule="auto"/>
              <w:rPr>
                <w:rFonts w:ascii="宋体" w:hAnsi="宋体" w:cs="宋体"/>
                <w:bCs/>
                <w:szCs w:val="21"/>
              </w:rPr>
            </w:pPr>
          </w:p>
        </w:tc>
        <w:tc>
          <w:tcPr>
            <w:tcW w:w="3723" w:type="pct"/>
            <w:vAlign w:val="center"/>
          </w:tcPr>
          <w:p w14:paraId="1AE15FF4">
            <w:pPr>
              <w:spacing w:line="360" w:lineRule="auto"/>
              <w:rPr>
                <w:rFonts w:ascii="宋体" w:hAnsi="宋体" w:cs="宋体"/>
                <w:bCs/>
                <w:szCs w:val="21"/>
              </w:rPr>
            </w:pPr>
            <w:r>
              <w:rPr>
                <w:rFonts w:hint="eastAsia" w:ascii="宋体" w:hAnsi="宋体" w:cs="宋体"/>
                <w:bCs/>
                <w:szCs w:val="21"/>
              </w:rPr>
              <w:t>日志管理</w:t>
            </w:r>
          </w:p>
        </w:tc>
        <w:tc>
          <w:tcPr>
            <w:tcW w:w="464" w:type="pct"/>
            <w:vAlign w:val="center"/>
          </w:tcPr>
          <w:p w14:paraId="57EC65EC">
            <w:pPr>
              <w:spacing w:line="360" w:lineRule="auto"/>
              <w:rPr>
                <w:rFonts w:ascii="宋体" w:hAnsi="宋体" w:cs="宋体"/>
                <w:bCs/>
                <w:szCs w:val="21"/>
              </w:rPr>
            </w:pPr>
          </w:p>
        </w:tc>
      </w:tr>
      <w:tr w14:paraId="5CFA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714F3035">
            <w:pPr>
              <w:spacing w:line="360" w:lineRule="auto"/>
              <w:rPr>
                <w:rFonts w:ascii="宋体" w:hAnsi="宋体" w:cs="宋体"/>
                <w:bCs/>
                <w:szCs w:val="21"/>
              </w:rPr>
            </w:pPr>
          </w:p>
        </w:tc>
        <w:tc>
          <w:tcPr>
            <w:tcW w:w="3723" w:type="pct"/>
            <w:vAlign w:val="center"/>
          </w:tcPr>
          <w:p w14:paraId="38F1487A">
            <w:pPr>
              <w:spacing w:line="360" w:lineRule="auto"/>
              <w:rPr>
                <w:rFonts w:ascii="宋体" w:hAnsi="宋体" w:cs="宋体"/>
                <w:bCs/>
                <w:szCs w:val="21"/>
              </w:rPr>
            </w:pPr>
            <w:r>
              <w:rPr>
                <w:rFonts w:hint="eastAsia" w:ascii="宋体" w:hAnsi="宋体" w:cs="宋体"/>
                <w:bCs/>
                <w:szCs w:val="21"/>
              </w:rPr>
              <w:t>数据库引警参数配置</w:t>
            </w:r>
          </w:p>
        </w:tc>
        <w:tc>
          <w:tcPr>
            <w:tcW w:w="464" w:type="pct"/>
            <w:vAlign w:val="center"/>
          </w:tcPr>
          <w:p w14:paraId="2FE65151">
            <w:pPr>
              <w:spacing w:line="360" w:lineRule="auto"/>
              <w:rPr>
                <w:rFonts w:ascii="宋体" w:hAnsi="宋体" w:cs="宋体"/>
                <w:bCs/>
                <w:szCs w:val="21"/>
              </w:rPr>
            </w:pPr>
          </w:p>
        </w:tc>
      </w:tr>
      <w:tr w14:paraId="442A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Align w:val="center"/>
          </w:tcPr>
          <w:p w14:paraId="359E4C94">
            <w:pPr>
              <w:spacing w:line="360" w:lineRule="auto"/>
              <w:rPr>
                <w:rFonts w:ascii="宋体" w:hAnsi="宋体" w:cs="宋体"/>
                <w:bCs/>
                <w:szCs w:val="21"/>
              </w:rPr>
            </w:pPr>
            <w:r>
              <w:rPr>
                <w:rFonts w:hint="eastAsia" w:ascii="宋体" w:hAnsi="宋体" w:cs="宋体"/>
                <w:bCs/>
                <w:szCs w:val="21"/>
              </w:rPr>
              <w:t>总体要求</w:t>
            </w:r>
          </w:p>
        </w:tc>
        <w:tc>
          <w:tcPr>
            <w:tcW w:w="3723" w:type="pct"/>
            <w:vAlign w:val="center"/>
          </w:tcPr>
          <w:p w14:paraId="299E7928">
            <w:pPr>
              <w:spacing w:line="360" w:lineRule="auto"/>
              <w:rPr>
                <w:rFonts w:ascii="宋体" w:hAnsi="宋体" w:cs="宋体"/>
                <w:bCs/>
                <w:szCs w:val="21"/>
              </w:rPr>
            </w:pPr>
            <w:r>
              <w:rPr>
                <w:rFonts w:hint="eastAsia" w:ascii="宋体" w:hAnsi="宋体" w:cs="宋体"/>
                <w:bCs/>
                <w:szCs w:val="21"/>
              </w:rPr>
              <w:t>兼容社区开源版本， 支持NoSQL数据类型（JSON/XML/hstore），支持企业复杂查询SQL的OLTP业务场景，提供PostGIS地理信息引擎。</w:t>
            </w:r>
          </w:p>
        </w:tc>
        <w:tc>
          <w:tcPr>
            <w:tcW w:w="464" w:type="pct"/>
            <w:vAlign w:val="center"/>
          </w:tcPr>
          <w:p w14:paraId="5EB22510">
            <w:pPr>
              <w:spacing w:line="360" w:lineRule="auto"/>
              <w:rPr>
                <w:rFonts w:ascii="宋体" w:hAnsi="宋体" w:cs="宋体"/>
                <w:bCs/>
                <w:szCs w:val="21"/>
              </w:rPr>
            </w:pPr>
          </w:p>
        </w:tc>
      </w:tr>
      <w:tr w14:paraId="11D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restart"/>
            <w:vAlign w:val="center"/>
          </w:tcPr>
          <w:p w14:paraId="5DD190CD">
            <w:pPr>
              <w:spacing w:line="360" w:lineRule="auto"/>
              <w:rPr>
                <w:rFonts w:ascii="宋体" w:hAnsi="宋体" w:cs="宋体"/>
                <w:bCs/>
                <w:szCs w:val="21"/>
              </w:rPr>
            </w:pPr>
            <w:r>
              <w:rPr>
                <w:rFonts w:hint="eastAsia" w:ascii="宋体" w:hAnsi="宋体" w:cs="宋体"/>
                <w:bCs/>
                <w:szCs w:val="21"/>
              </w:rPr>
              <w:t>功能要求</w:t>
            </w:r>
          </w:p>
          <w:p w14:paraId="0984D00D">
            <w:pPr>
              <w:spacing w:line="360" w:lineRule="auto"/>
              <w:rPr>
                <w:rFonts w:ascii="宋体" w:hAnsi="宋体" w:cs="宋体"/>
                <w:bCs/>
                <w:szCs w:val="21"/>
              </w:rPr>
            </w:pPr>
          </w:p>
        </w:tc>
        <w:tc>
          <w:tcPr>
            <w:tcW w:w="3723" w:type="pct"/>
            <w:vAlign w:val="center"/>
          </w:tcPr>
          <w:p w14:paraId="47863557">
            <w:pPr>
              <w:spacing w:line="360" w:lineRule="auto"/>
              <w:rPr>
                <w:rFonts w:ascii="宋体" w:hAnsi="宋体" w:cs="宋体"/>
                <w:bCs/>
                <w:szCs w:val="21"/>
              </w:rPr>
            </w:pPr>
            <w:r>
              <w:rPr>
                <w:rFonts w:hint="eastAsia" w:ascii="宋体" w:hAnsi="宋体" w:cs="宋体"/>
                <w:bCs/>
                <w:szCs w:val="21"/>
              </w:rPr>
              <w:t>支持规格的在线变更</w:t>
            </w:r>
          </w:p>
        </w:tc>
        <w:tc>
          <w:tcPr>
            <w:tcW w:w="464" w:type="pct"/>
            <w:vAlign w:val="center"/>
          </w:tcPr>
          <w:p w14:paraId="641FFAE7">
            <w:pPr>
              <w:spacing w:line="360" w:lineRule="auto"/>
              <w:rPr>
                <w:rFonts w:ascii="宋体" w:hAnsi="宋体" w:cs="宋体"/>
                <w:bCs/>
                <w:szCs w:val="21"/>
              </w:rPr>
            </w:pPr>
          </w:p>
        </w:tc>
      </w:tr>
      <w:tr w14:paraId="2677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6EDB054C">
            <w:pPr>
              <w:spacing w:line="360" w:lineRule="auto"/>
              <w:rPr>
                <w:rFonts w:ascii="宋体" w:hAnsi="宋体" w:cs="宋体"/>
                <w:bCs/>
                <w:szCs w:val="21"/>
              </w:rPr>
            </w:pPr>
          </w:p>
        </w:tc>
        <w:tc>
          <w:tcPr>
            <w:tcW w:w="3723" w:type="pct"/>
            <w:vAlign w:val="center"/>
          </w:tcPr>
          <w:p w14:paraId="27E75A93">
            <w:pPr>
              <w:spacing w:line="360" w:lineRule="auto"/>
              <w:rPr>
                <w:rFonts w:ascii="宋体" w:hAnsi="宋体" w:cs="宋体"/>
                <w:bCs/>
                <w:szCs w:val="21"/>
              </w:rPr>
            </w:pPr>
            <w:r>
              <w:rPr>
                <w:rFonts w:hint="eastAsia" w:ascii="宋体" w:hAnsi="宋体" w:cs="宋体"/>
                <w:bCs/>
                <w:szCs w:val="21"/>
              </w:rPr>
              <w:t>完全兼容开源PG10版本</w:t>
            </w:r>
          </w:p>
        </w:tc>
        <w:tc>
          <w:tcPr>
            <w:tcW w:w="464" w:type="pct"/>
            <w:vAlign w:val="center"/>
          </w:tcPr>
          <w:p w14:paraId="41C3B5FE">
            <w:pPr>
              <w:spacing w:line="360" w:lineRule="auto"/>
              <w:rPr>
                <w:rFonts w:ascii="宋体" w:hAnsi="宋体" w:cs="宋体"/>
                <w:bCs/>
                <w:szCs w:val="21"/>
              </w:rPr>
            </w:pPr>
          </w:p>
        </w:tc>
      </w:tr>
      <w:tr w14:paraId="577F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087A2E33">
            <w:pPr>
              <w:spacing w:line="360" w:lineRule="auto"/>
              <w:rPr>
                <w:rFonts w:ascii="宋体" w:hAnsi="宋体" w:cs="宋体"/>
                <w:bCs/>
                <w:szCs w:val="21"/>
              </w:rPr>
            </w:pPr>
          </w:p>
        </w:tc>
        <w:tc>
          <w:tcPr>
            <w:tcW w:w="3723" w:type="pct"/>
            <w:vAlign w:val="center"/>
          </w:tcPr>
          <w:p w14:paraId="22712D30">
            <w:pPr>
              <w:spacing w:line="360" w:lineRule="auto"/>
              <w:rPr>
                <w:rFonts w:ascii="宋体" w:hAnsi="宋体" w:cs="宋体"/>
                <w:bCs/>
                <w:szCs w:val="21"/>
              </w:rPr>
            </w:pPr>
            <w:r>
              <w:rPr>
                <w:rFonts w:hint="eastAsia" w:ascii="宋体" w:hAnsi="宋体" w:cs="宋体"/>
                <w:bCs/>
                <w:szCs w:val="21"/>
              </w:rPr>
              <w:t>支持实例的创建、重启、释放、备份、恢复等管理操作；支持实例的网络隔离</w:t>
            </w:r>
          </w:p>
        </w:tc>
        <w:tc>
          <w:tcPr>
            <w:tcW w:w="464" w:type="pct"/>
            <w:vAlign w:val="center"/>
          </w:tcPr>
          <w:p w14:paraId="7040CE2C">
            <w:pPr>
              <w:spacing w:line="360" w:lineRule="auto"/>
              <w:rPr>
                <w:rFonts w:ascii="宋体" w:hAnsi="宋体" w:cs="宋体"/>
                <w:bCs/>
                <w:szCs w:val="21"/>
              </w:rPr>
            </w:pPr>
          </w:p>
        </w:tc>
      </w:tr>
      <w:tr w14:paraId="7F38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restart"/>
            <w:vAlign w:val="center"/>
          </w:tcPr>
          <w:p w14:paraId="741D9595">
            <w:pPr>
              <w:spacing w:line="360" w:lineRule="auto"/>
              <w:rPr>
                <w:rFonts w:ascii="宋体" w:hAnsi="宋体" w:cs="宋体"/>
                <w:bCs/>
                <w:szCs w:val="21"/>
              </w:rPr>
            </w:pPr>
            <w:r>
              <w:rPr>
                <w:rFonts w:hint="eastAsia" w:ascii="宋体" w:hAnsi="宋体" w:cs="宋体"/>
                <w:bCs/>
                <w:szCs w:val="21"/>
              </w:rPr>
              <w:t>可靠性</w:t>
            </w:r>
          </w:p>
        </w:tc>
        <w:tc>
          <w:tcPr>
            <w:tcW w:w="3723" w:type="pct"/>
            <w:vAlign w:val="center"/>
          </w:tcPr>
          <w:p w14:paraId="3E85F47A">
            <w:pPr>
              <w:spacing w:line="360" w:lineRule="auto"/>
              <w:rPr>
                <w:rFonts w:ascii="宋体" w:hAnsi="宋体" w:cs="宋体"/>
                <w:bCs/>
                <w:szCs w:val="21"/>
              </w:rPr>
            </w:pPr>
            <w:r>
              <w:rPr>
                <w:rFonts w:hint="eastAsia" w:ascii="宋体" w:hAnsi="宋体" w:cs="宋体"/>
                <w:bCs/>
                <w:szCs w:val="21"/>
              </w:rPr>
              <w:t>支持对资源进行监控</w:t>
            </w:r>
          </w:p>
        </w:tc>
        <w:tc>
          <w:tcPr>
            <w:tcW w:w="464" w:type="pct"/>
            <w:vAlign w:val="center"/>
          </w:tcPr>
          <w:p w14:paraId="7B0AD006">
            <w:pPr>
              <w:spacing w:line="360" w:lineRule="auto"/>
              <w:rPr>
                <w:rFonts w:ascii="宋体" w:hAnsi="宋体" w:cs="宋体"/>
                <w:bCs/>
                <w:szCs w:val="21"/>
              </w:rPr>
            </w:pPr>
          </w:p>
        </w:tc>
      </w:tr>
      <w:tr w14:paraId="517C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109C4A8E">
            <w:pPr>
              <w:spacing w:line="360" w:lineRule="auto"/>
              <w:rPr>
                <w:rFonts w:ascii="宋体" w:hAnsi="宋体" w:cs="宋体"/>
                <w:bCs/>
                <w:szCs w:val="21"/>
              </w:rPr>
            </w:pPr>
          </w:p>
        </w:tc>
        <w:tc>
          <w:tcPr>
            <w:tcW w:w="3723" w:type="pct"/>
            <w:vAlign w:val="center"/>
          </w:tcPr>
          <w:p w14:paraId="6C76B963">
            <w:pPr>
              <w:spacing w:line="360" w:lineRule="auto"/>
              <w:rPr>
                <w:rFonts w:ascii="宋体" w:hAnsi="宋体" w:cs="宋体"/>
                <w:bCs/>
                <w:szCs w:val="21"/>
              </w:rPr>
            </w:pPr>
            <w:r>
              <w:rPr>
                <w:rFonts w:hint="eastAsia" w:ascii="宋体" w:hAnsi="宋体" w:cs="宋体"/>
                <w:bCs/>
                <w:szCs w:val="21"/>
              </w:rPr>
              <w:t>支持实例的手动和自动备份</w:t>
            </w:r>
          </w:p>
        </w:tc>
        <w:tc>
          <w:tcPr>
            <w:tcW w:w="464" w:type="pct"/>
            <w:vAlign w:val="center"/>
          </w:tcPr>
          <w:p w14:paraId="7E857DF3">
            <w:pPr>
              <w:spacing w:line="360" w:lineRule="auto"/>
              <w:rPr>
                <w:rFonts w:ascii="宋体" w:hAnsi="宋体" w:cs="宋体"/>
                <w:bCs/>
                <w:szCs w:val="21"/>
              </w:rPr>
            </w:pPr>
          </w:p>
        </w:tc>
      </w:tr>
      <w:tr w14:paraId="7829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632E94B9">
            <w:pPr>
              <w:spacing w:line="360" w:lineRule="auto"/>
              <w:rPr>
                <w:rFonts w:ascii="宋体" w:hAnsi="宋体" w:cs="宋体"/>
                <w:bCs/>
                <w:szCs w:val="21"/>
              </w:rPr>
            </w:pPr>
          </w:p>
        </w:tc>
        <w:tc>
          <w:tcPr>
            <w:tcW w:w="3723" w:type="pct"/>
            <w:vAlign w:val="center"/>
          </w:tcPr>
          <w:p w14:paraId="33D1EAE3">
            <w:pPr>
              <w:spacing w:line="360" w:lineRule="auto"/>
              <w:rPr>
                <w:rFonts w:ascii="宋体" w:hAnsi="宋体" w:cs="宋体"/>
                <w:bCs/>
                <w:szCs w:val="21"/>
              </w:rPr>
            </w:pPr>
            <w:r>
              <w:rPr>
                <w:rFonts w:hint="eastAsia" w:ascii="宋体" w:hAnsi="宋体" w:cs="宋体"/>
                <w:bCs/>
                <w:szCs w:val="21"/>
              </w:rPr>
              <w:t>支持高可用，异步复制机制；支持自动手动切换主备实例</w:t>
            </w:r>
          </w:p>
        </w:tc>
        <w:tc>
          <w:tcPr>
            <w:tcW w:w="464" w:type="pct"/>
            <w:vAlign w:val="center"/>
          </w:tcPr>
          <w:p w14:paraId="195725F8">
            <w:pPr>
              <w:spacing w:line="360" w:lineRule="auto"/>
              <w:rPr>
                <w:rFonts w:ascii="宋体" w:hAnsi="宋体" w:cs="宋体"/>
                <w:bCs/>
                <w:szCs w:val="21"/>
              </w:rPr>
            </w:pPr>
          </w:p>
        </w:tc>
      </w:tr>
      <w:tr w14:paraId="71A6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restart"/>
            <w:vAlign w:val="center"/>
          </w:tcPr>
          <w:p w14:paraId="5EC35F50">
            <w:pPr>
              <w:spacing w:line="360" w:lineRule="auto"/>
              <w:rPr>
                <w:rFonts w:ascii="宋体" w:hAnsi="宋体" w:cs="宋体"/>
                <w:bCs/>
                <w:szCs w:val="21"/>
              </w:rPr>
            </w:pPr>
            <w:r>
              <w:rPr>
                <w:rFonts w:hint="eastAsia" w:ascii="宋体" w:hAnsi="宋体" w:cs="宋体"/>
                <w:bCs/>
                <w:szCs w:val="21"/>
              </w:rPr>
              <w:t>安全性</w:t>
            </w:r>
          </w:p>
        </w:tc>
        <w:tc>
          <w:tcPr>
            <w:tcW w:w="3723" w:type="pct"/>
            <w:vAlign w:val="center"/>
          </w:tcPr>
          <w:p w14:paraId="6E08E8A9">
            <w:pPr>
              <w:spacing w:line="360" w:lineRule="auto"/>
              <w:rPr>
                <w:rFonts w:ascii="宋体" w:hAnsi="宋体" w:cs="宋体"/>
                <w:bCs/>
                <w:szCs w:val="21"/>
              </w:rPr>
            </w:pPr>
            <w:r>
              <w:rPr>
                <w:rFonts w:hint="eastAsia" w:ascii="宋体" w:hAnsi="宋体" w:cs="宋体"/>
                <w:bCs/>
                <w:szCs w:val="21"/>
              </w:rPr>
              <w:t>支持白名单设置，提供灵活的安全访问管理能力</w:t>
            </w:r>
          </w:p>
        </w:tc>
        <w:tc>
          <w:tcPr>
            <w:tcW w:w="464" w:type="pct"/>
            <w:vAlign w:val="center"/>
          </w:tcPr>
          <w:p w14:paraId="6704EE54">
            <w:pPr>
              <w:spacing w:line="360" w:lineRule="auto"/>
              <w:rPr>
                <w:rFonts w:ascii="宋体" w:hAnsi="宋体" w:cs="宋体"/>
                <w:bCs/>
                <w:szCs w:val="21"/>
              </w:rPr>
            </w:pPr>
          </w:p>
        </w:tc>
      </w:tr>
      <w:tr w14:paraId="2597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Merge w:val="continue"/>
            <w:vAlign w:val="center"/>
          </w:tcPr>
          <w:p w14:paraId="75E2230B">
            <w:pPr>
              <w:spacing w:line="360" w:lineRule="auto"/>
              <w:rPr>
                <w:rFonts w:ascii="宋体" w:hAnsi="宋体" w:cs="宋体"/>
                <w:bCs/>
                <w:szCs w:val="21"/>
              </w:rPr>
            </w:pPr>
          </w:p>
        </w:tc>
        <w:tc>
          <w:tcPr>
            <w:tcW w:w="3723" w:type="pct"/>
            <w:vAlign w:val="center"/>
          </w:tcPr>
          <w:p w14:paraId="649BB0D0">
            <w:pPr>
              <w:spacing w:line="360" w:lineRule="auto"/>
              <w:rPr>
                <w:rFonts w:ascii="宋体" w:hAnsi="宋体" w:cs="宋体"/>
                <w:bCs/>
                <w:szCs w:val="21"/>
              </w:rPr>
            </w:pPr>
            <w:r>
              <w:rPr>
                <w:rFonts w:hint="eastAsia" w:ascii="宋体" w:hAnsi="宋体" w:cs="宋体"/>
                <w:bCs/>
                <w:szCs w:val="21"/>
              </w:rPr>
              <w:t>支持主备切换日志、慢日志、错误日志的管理</w:t>
            </w:r>
          </w:p>
        </w:tc>
        <w:tc>
          <w:tcPr>
            <w:tcW w:w="464" w:type="pct"/>
            <w:vAlign w:val="center"/>
          </w:tcPr>
          <w:p w14:paraId="5E9ACF2D">
            <w:pPr>
              <w:spacing w:line="360" w:lineRule="auto"/>
              <w:rPr>
                <w:rFonts w:ascii="宋体" w:hAnsi="宋体" w:cs="宋体"/>
                <w:bCs/>
                <w:szCs w:val="21"/>
              </w:rPr>
            </w:pPr>
          </w:p>
        </w:tc>
      </w:tr>
      <w:tr w14:paraId="6539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13" w:type="pct"/>
            <w:vAlign w:val="center"/>
          </w:tcPr>
          <w:p w14:paraId="13754B86">
            <w:pPr>
              <w:spacing w:line="360" w:lineRule="auto"/>
              <w:rPr>
                <w:rFonts w:ascii="宋体" w:hAnsi="宋体" w:cs="宋体"/>
                <w:bCs/>
                <w:szCs w:val="21"/>
              </w:rPr>
            </w:pPr>
            <w:r>
              <w:rPr>
                <w:rFonts w:hint="eastAsia" w:ascii="宋体" w:hAnsi="宋体" w:cs="宋体"/>
                <w:bCs/>
                <w:szCs w:val="21"/>
              </w:rPr>
              <w:t>易用性</w:t>
            </w:r>
          </w:p>
        </w:tc>
        <w:tc>
          <w:tcPr>
            <w:tcW w:w="3723" w:type="pct"/>
            <w:vAlign w:val="center"/>
          </w:tcPr>
          <w:p w14:paraId="7792C630">
            <w:pPr>
              <w:spacing w:line="360" w:lineRule="auto"/>
              <w:rPr>
                <w:rFonts w:ascii="宋体" w:hAnsi="宋体" w:cs="宋体"/>
                <w:bCs/>
                <w:szCs w:val="21"/>
              </w:rPr>
            </w:pPr>
            <w:r>
              <w:rPr>
                <w:rFonts w:hint="eastAsia" w:ascii="宋体" w:hAnsi="宋体" w:cs="宋体"/>
                <w:bCs/>
                <w:szCs w:val="21"/>
              </w:rPr>
              <w:t>支持参数修改</w:t>
            </w:r>
          </w:p>
        </w:tc>
        <w:tc>
          <w:tcPr>
            <w:tcW w:w="464" w:type="pct"/>
            <w:vAlign w:val="center"/>
          </w:tcPr>
          <w:p w14:paraId="22513542">
            <w:pPr>
              <w:spacing w:line="360" w:lineRule="auto"/>
              <w:rPr>
                <w:rFonts w:ascii="宋体" w:hAnsi="宋体" w:cs="宋体"/>
                <w:bCs/>
                <w:szCs w:val="21"/>
              </w:rPr>
            </w:pPr>
          </w:p>
        </w:tc>
      </w:tr>
    </w:tbl>
    <w:p w14:paraId="580C68FC">
      <w:pPr>
        <w:snapToGrid w:val="0"/>
        <w:spacing w:line="360" w:lineRule="auto"/>
        <w:ind w:firstLine="480"/>
        <w:rPr>
          <w:rFonts w:ascii="宋体" w:hAnsi="宋体" w:cs="宋体"/>
          <w:szCs w:val="21"/>
        </w:rPr>
      </w:pPr>
      <w:r>
        <w:rPr>
          <w:rFonts w:hint="eastAsia" w:ascii="宋体" w:hAnsi="宋体" w:cs="宋体"/>
          <w:szCs w:val="21"/>
        </w:rPr>
        <w:t>（3）Oracle数据库</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6941"/>
        <w:gridCol w:w="882"/>
      </w:tblGrid>
      <w:tr w14:paraId="6E7F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tcBorders>
              <w:top w:val="single" w:color="auto" w:sz="4" w:space="0"/>
              <w:left w:val="single" w:color="auto" w:sz="4" w:space="0"/>
              <w:bottom w:val="single" w:color="auto" w:sz="4" w:space="0"/>
              <w:right w:val="single" w:color="auto" w:sz="4" w:space="0"/>
            </w:tcBorders>
            <w:vAlign w:val="center"/>
          </w:tcPr>
          <w:p w14:paraId="341F2445">
            <w:pPr>
              <w:spacing w:line="360" w:lineRule="auto"/>
              <w:jc w:val="center"/>
              <w:rPr>
                <w:rFonts w:ascii="宋体" w:hAnsi="宋体" w:cs="宋体"/>
                <w:b/>
                <w:bCs/>
                <w:szCs w:val="21"/>
              </w:rPr>
            </w:pPr>
            <w:r>
              <w:rPr>
                <w:rFonts w:hint="eastAsia" w:ascii="宋体" w:hAnsi="宋体" w:cs="宋体"/>
                <w:b/>
                <w:bCs/>
                <w:szCs w:val="21"/>
              </w:rPr>
              <w:t>指标项</w:t>
            </w:r>
          </w:p>
        </w:tc>
        <w:tc>
          <w:tcPr>
            <w:tcW w:w="3736" w:type="pct"/>
            <w:tcBorders>
              <w:top w:val="single" w:color="auto" w:sz="4" w:space="0"/>
              <w:left w:val="single" w:color="auto" w:sz="4" w:space="0"/>
              <w:bottom w:val="single" w:color="auto" w:sz="4" w:space="0"/>
              <w:right w:val="single" w:color="auto" w:sz="4" w:space="0"/>
            </w:tcBorders>
            <w:vAlign w:val="center"/>
          </w:tcPr>
          <w:p w14:paraId="0487FAAA">
            <w:pPr>
              <w:spacing w:line="360" w:lineRule="auto"/>
              <w:jc w:val="center"/>
              <w:rPr>
                <w:rFonts w:ascii="宋体" w:hAnsi="宋体" w:cs="宋体"/>
                <w:b/>
                <w:bCs/>
                <w:szCs w:val="21"/>
              </w:rPr>
            </w:pPr>
            <w:r>
              <w:rPr>
                <w:rFonts w:hint="eastAsia" w:ascii="宋体" w:hAnsi="宋体" w:cs="宋体"/>
                <w:b/>
                <w:bCs/>
                <w:szCs w:val="21"/>
              </w:rPr>
              <w:t>规格要求</w:t>
            </w:r>
          </w:p>
        </w:tc>
        <w:tc>
          <w:tcPr>
            <w:tcW w:w="475" w:type="pct"/>
            <w:tcBorders>
              <w:top w:val="single" w:color="auto" w:sz="4" w:space="0"/>
              <w:left w:val="single" w:color="auto" w:sz="4" w:space="0"/>
              <w:bottom w:val="single" w:color="auto" w:sz="4" w:space="0"/>
              <w:right w:val="single" w:color="auto" w:sz="4" w:space="0"/>
            </w:tcBorders>
            <w:vAlign w:val="center"/>
          </w:tcPr>
          <w:p w14:paraId="4B2B4333">
            <w:pPr>
              <w:spacing w:line="360" w:lineRule="auto"/>
              <w:jc w:val="center"/>
              <w:rPr>
                <w:rFonts w:ascii="宋体" w:hAnsi="宋体" w:cs="宋体"/>
                <w:b/>
                <w:bCs/>
                <w:szCs w:val="21"/>
              </w:rPr>
            </w:pPr>
            <w:r>
              <w:rPr>
                <w:rFonts w:hint="eastAsia" w:ascii="宋体" w:hAnsi="宋体" w:cs="宋体"/>
                <w:b/>
                <w:bCs/>
                <w:szCs w:val="21"/>
              </w:rPr>
              <w:t>备注</w:t>
            </w:r>
          </w:p>
        </w:tc>
      </w:tr>
      <w:tr w14:paraId="1E0A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9" w:type="pct"/>
            <w:vMerge w:val="restart"/>
            <w:tcBorders>
              <w:top w:val="single" w:color="auto" w:sz="4" w:space="0"/>
              <w:left w:val="single" w:color="auto" w:sz="4" w:space="0"/>
              <w:bottom w:val="single" w:color="auto" w:sz="4" w:space="0"/>
              <w:right w:val="single" w:color="auto" w:sz="4" w:space="0"/>
            </w:tcBorders>
            <w:vAlign w:val="center"/>
          </w:tcPr>
          <w:p w14:paraId="2CCACCD1">
            <w:pPr>
              <w:spacing w:line="360" w:lineRule="auto"/>
              <w:rPr>
                <w:rFonts w:ascii="宋体" w:hAnsi="宋体" w:cs="宋体"/>
                <w:bCs/>
                <w:szCs w:val="21"/>
              </w:rPr>
            </w:pPr>
            <w:r>
              <w:rPr>
                <w:rFonts w:hint="eastAsia" w:ascii="宋体" w:hAnsi="宋体" w:cs="宋体"/>
                <w:bCs/>
                <w:szCs w:val="21"/>
              </w:rPr>
              <w:t>基本功能/性能</w:t>
            </w:r>
          </w:p>
        </w:tc>
        <w:tc>
          <w:tcPr>
            <w:tcW w:w="3736" w:type="pct"/>
            <w:tcBorders>
              <w:top w:val="single" w:color="auto" w:sz="4" w:space="0"/>
              <w:left w:val="single" w:color="auto" w:sz="4" w:space="0"/>
              <w:bottom w:val="single" w:color="auto" w:sz="4" w:space="0"/>
              <w:right w:val="single" w:color="auto" w:sz="4" w:space="0"/>
            </w:tcBorders>
            <w:vAlign w:val="center"/>
          </w:tcPr>
          <w:p w14:paraId="015E9F48">
            <w:pPr>
              <w:spacing w:line="360" w:lineRule="auto"/>
              <w:rPr>
                <w:rFonts w:ascii="宋体" w:hAnsi="宋体" w:cs="宋体"/>
                <w:bCs/>
                <w:szCs w:val="21"/>
              </w:rPr>
            </w:pPr>
            <w:r>
              <w:rPr>
                <w:rFonts w:hint="eastAsia" w:ascii="宋体" w:hAnsi="宋体" w:cs="宋体"/>
                <w:bCs/>
                <w:szCs w:val="21"/>
              </w:rPr>
              <w:t>数据库主机配置为负载均衡的高可靠性集群，系统应包含两个或两个以上的数据库物理服务器节点；所投主机为厂商最新系列机柜式企业级主机，且配置该系列中的最高主频CPU。</w:t>
            </w:r>
          </w:p>
        </w:tc>
        <w:tc>
          <w:tcPr>
            <w:tcW w:w="475" w:type="pct"/>
            <w:tcBorders>
              <w:top w:val="single" w:color="auto" w:sz="4" w:space="0"/>
              <w:left w:val="single" w:color="auto" w:sz="4" w:space="0"/>
              <w:bottom w:val="single" w:color="auto" w:sz="4" w:space="0"/>
              <w:right w:val="single" w:color="auto" w:sz="4" w:space="0"/>
            </w:tcBorders>
            <w:vAlign w:val="center"/>
          </w:tcPr>
          <w:p w14:paraId="1DB18773">
            <w:pPr>
              <w:spacing w:line="360" w:lineRule="auto"/>
              <w:rPr>
                <w:rFonts w:ascii="宋体" w:hAnsi="宋体" w:cs="宋体"/>
                <w:bCs/>
                <w:szCs w:val="21"/>
              </w:rPr>
            </w:pPr>
          </w:p>
        </w:tc>
      </w:tr>
      <w:tr w14:paraId="358B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79B1D070">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1274471E">
            <w:pPr>
              <w:spacing w:line="360" w:lineRule="auto"/>
              <w:rPr>
                <w:rFonts w:ascii="宋体" w:hAnsi="宋体" w:cs="宋体"/>
                <w:bCs/>
                <w:szCs w:val="21"/>
              </w:rPr>
            </w:pPr>
            <w:r>
              <w:rPr>
                <w:rFonts w:hint="eastAsia" w:ascii="宋体" w:hAnsi="宋体" w:cs="宋体"/>
                <w:bCs/>
                <w:szCs w:val="21"/>
              </w:rPr>
              <w:t>每台数据库服务器节点配置＞3个1Gb/10Gb以太网接口；</w:t>
            </w:r>
          </w:p>
          <w:p w14:paraId="5E0EE780">
            <w:pPr>
              <w:spacing w:line="360" w:lineRule="auto"/>
              <w:rPr>
                <w:rFonts w:ascii="宋体" w:hAnsi="宋体" w:cs="宋体"/>
                <w:bCs/>
                <w:szCs w:val="21"/>
              </w:rPr>
            </w:pPr>
            <w:r>
              <w:rPr>
                <w:rFonts w:hint="eastAsia" w:ascii="宋体" w:hAnsi="宋体" w:cs="宋体"/>
                <w:bCs/>
                <w:szCs w:val="21"/>
              </w:rPr>
              <w:t>每台数据库服务器节点配置＞1个10Gb以太网光纤网口；</w:t>
            </w:r>
          </w:p>
          <w:p w14:paraId="0C0D602D">
            <w:pPr>
              <w:spacing w:line="360" w:lineRule="auto"/>
              <w:rPr>
                <w:rFonts w:ascii="宋体" w:hAnsi="宋体" w:cs="宋体"/>
                <w:bCs/>
                <w:szCs w:val="21"/>
              </w:rPr>
            </w:pPr>
            <w:r>
              <w:rPr>
                <w:rFonts w:hint="eastAsia" w:ascii="宋体" w:hAnsi="宋体" w:cs="宋体"/>
                <w:bCs/>
                <w:szCs w:val="21"/>
              </w:rPr>
              <w:t>每台数据库服务器节点配置≥1个40Gb/s Infiniband网络接口。</w:t>
            </w:r>
          </w:p>
        </w:tc>
        <w:tc>
          <w:tcPr>
            <w:tcW w:w="475" w:type="pct"/>
            <w:tcBorders>
              <w:top w:val="single" w:color="auto" w:sz="4" w:space="0"/>
              <w:left w:val="single" w:color="auto" w:sz="4" w:space="0"/>
              <w:bottom w:val="single" w:color="auto" w:sz="4" w:space="0"/>
              <w:right w:val="single" w:color="auto" w:sz="4" w:space="0"/>
            </w:tcBorders>
            <w:vAlign w:val="center"/>
          </w:tcPr>
          <w:p w14:paraId="09D295A7">
            <w:pPr>
              <w:spacing w:line="360" w:lineRule="auto"/>
              <w:rPr>
                <w:rFonts w:ascii="宋体" w:hAnsi="宋体" w:cs="宋体"/>
                <w:bCs/>
                <w:szCs w:val="21"/>
              </w:rPr>
            </w:pPr>
          </w:p>
        </w:tc>
      </w:tr>
      <w:tr w14:paraId="50C0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2CD4EF4D">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701A1205">
            <w:pPr>
              <w:spacing w:line="360" w:lineRule="auto"/>
              <w:rPr>
                <w:rFonts w:ascii="宋体" w:hAnsi="宋体" w:cs="宋体"/>
                <w:bCs/>
                <w:szCs w:val="21"/>
              </w:rPr>
            </w:pPr>
            <w:r>
              <w:rPr>
                <w:rFonts w:hint="eastAsia" w:ascii="宋体" w:hAnsi="宋体" w:cs="宋体"/>
                <w:bCs/>
                <w:szCs w:val="21"/>
              </w:rPr>
              <w:t>基于大容量并行的体系结构，提供更多的通道以便在数据库主机和存储主机之间更快速地传送更多的数据：</w:t>
            </w:r>
          </w:p>
          <w:p w14:paraId="3DC40E18">
            <w:pPr>
              <w:spacing w:line="360" w:lineRule="auto"/>
              <w:rPr>
                <w:rFonts w:ascii="宋体" w:hAnsi="宋体" w:cs="宋体"/>
                <w:bCs/>
                <w:szCs w:val="21"/>
              </w:rPr>
            </w:pPr>
            <w:r>
              <w:rPr>
                <w:rFonts w:hint="eastAsia" w:ascii="宋体" w:hAnsi="宋体" w:cs="宋体"/>
                <w:bCs/>
                <w:szCs w:val="21"/>
              </w:rPr>
              <w:t>数据库主机与存储交换机之间总的I/O通道≥160 Gb/sec，可扩展至400 Gb/sec以上；</w:t>
            </w:r>
          </w:p>
          <w:p w14:paraId="284C7765">
            <w:pPr>
              <w:spacing w:line="360" w:lineRule="auto"/>
              <w:rPr>
                <w:rFonts w:ascii="宋体" w:hAnsi="宋体" w:cs="宋体"/>
                <w:bCs/>
                <w:szCs w:val="21"/>
              </w:rPr>
            </w:pPr>
            <w:r>
              <w:rPr>
                <w:rFonts w:hint="eastAsia" w:ascii="宋体" w:hAnsi="宋体" w:cs="宋体"/>
                <w:bCs/>
                <w:szCs w:val="21"/>
              </w:rPr>
              <w:t>数据库主机结点之间网络带宽≥36 Gb/sec。</w:t>
            </w:r>
          </w:p>
        </w:tc>
        <w:tc>
          <w:tcPr>
            <w:tcW w:w="475" w:type="pct"/>
            <w:tcBorders>
              <w:top w:val="single" w:color="auto" w:sz="4" w:space="0"/>
              <w:left w:val="single" w:color="auto" w:sz="4" w:space="0"/>
              <w:bottom w:val="single" w:color="auto" w:sz="4" w:space="0"/>
              <w:right w:val="single" w:color="auto" w:sz="4" w:space="0"/>
            </w:tcBorders>
            <w:vAlign w:val="center"/>
          </w:tcPr>
          <w:p w14:paraId="6CD7A448">
            <w:pPr>
              <w:spacing w:line="360" w:lineRule="auto"/>
              <w:rPr>
                <w:rFonts w:ascii="宋体" w:hAnsi="宋体" w:cs="宋体"/>
                <w:bCs/>
                <w:szCs w:val="21"/>
              </w:rPr>
            </w:pPr>
          </w:p>
        </w:tc>
      </w:tr>
      <w:tr w14:paraId="43DE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0C798E0C">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2D0F444F">
            <w:pPr>
              <w:spacing w:line="360" w:lineRule="auto"/>
              <w:rPr>
                <w:rFonts w:ascii="宋体" w:hAnsi="宋体" w:cs="宋体"/>
                <w:bCs/>
                <w:szCs w:val="21"/>
              </w:rPr>
            </w:pPr>
            <w:r>
              <w:rPr>
                <w:rFonts w:hint="eastAsia" w:ascii="宋体" w:hAnsi="宋体" w:cs="宋体"/>
                <w:bCs/>
                <w:szCs w:val="21"/>
              </w:rPr>
              <w:t>数据库主机支持负载均衡的高可靠性体系架构，即使一台服务器发生故障，数据库仍能够在存活的节点上不间断地对外提供数据库服务，确保没有单点故障；</w:t>
            </w:r>
          </w:p>
          <w:p w14:paraId="3975CC03">
            <w:pPr>
              <w:spacing w:line="360" w:lineRule="auto"/>
              <w:rPr>
                <w:rFonts w:ascii="宋体" w:hAnsi="宋体" w:cs="宋体"/>
                <w:bCs/>
                <w:szCs w:val="21"/>
              </w:rPr>
            </w:pPr>
            <w:r>
              <w:rPr>
                <w:rFonts w:hint="eastAsia" w:ascii="宋体" w:hAnsi="宋体" w:cs="宋体"/>
                <w:bCs/>
                <w:szCs w:val="21"/>
              </w:rPr>
              <w:t>冗余并支持热插拔电源、风扇、硬盘；</w:t>
            </w:r>
          </w:p>
          <w:p w14:paraId="574063B6">
            <w:pPr>
              <w:spacing w:line="360" w:lineRule="auto"/>
              <w:rPr>
                <w:rFonts w:ascii="宋体" w:hAnsi="宋体" w:cs="宋体"/>
                <w:bCs/>
                <w:szCs w:val="21"/>
              </w:rPr>
            </w:pPr>
            <w:r>
              <w:rPr>
                <w:rFonts w:hint="eastAsia" w:ascii="宋体" w:hAnsi="宋体" w:cs="宋体"/>
                <w:bCs/>
                <w:szCs w:val="21"/>
              </w:rPr>
              <w:t>数据库整体机全部硬件冗余没有任何单点故障。</w:t>
            </w:r>
          </w:p>
        </w:tc>
        <w:tc>
          <w:tcPr>
            <w:tcW w:w="475" w:type="pct"/>
            <w:tcBorders>
              <w:top w:val="single" w:color="auto" w:sz="4" w:space="0"/>
              <w:left w:val="single" w:color="auto" w:sz="4" w:space="0"/>
              <w:bottom w:val="single" w:color="auto" w:sz="4" w:space="0"/>
              <w:right w:val="single" w:color="auto" w:sz="4" w:space="0"/>
            </w:tcBorders>
            <w:vAlign w:val="center"/>
          </w:tcPr>
          <w:p w14:paraId="52E2E65E">
            <w:pPr>
              <w:spacing w:line="360" w:lineRule="auto"/>
              <w:rPr>
                <w:rFonts w:ascii="宋体" w:hAnsi="宋体" w:cs="宋体"/>
                <w:bCs/>
                <w:szCs w:val="21"/>
              </w:rPr>
            </w:pPr>
          </w:p>
        </w:tc>
      </w:tr>
      <w:tr w14:paraId="638A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71686C28">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2B007715">
            <w:pPr>
              <w:spacing w:line="360" w:lineRule="auto"/>
              <w:rPr>
                <w:rFonts w:ascii="宋体" w:hAnsi="宋体" w:cs="宋体"/>
                <w:bCs/>
                <w:szCs w:val="21"/>
              </w:rPr>
            </w:pPr>
            <w:r>
              <w:rPr>
                <w:rFonts w:hint="eastAsia" w:ascii="宋体" w:hAnsi="宋体" w:cs="宋体"/>
                <w:bCs/>
                <w:szCs w:val="21"/>
              </w:rPr>
              <w:t>集成系统管理处理器支持：自动主机重启、风扇监视和控制、电源监控、温度监控、启动/关闭、按序重启、错误日志；</w:t>
            </w:r>
          </w:p>
          <w:p w14:paraId="7602078F">
            <w:pPr>
              <w:spacing w:line="360" w:lineRule="auto"/>
              <w:rPr>
                <w:rFonts w:ascii="宋体" w:hAnsi="宋体" w:cs="宋体"/>
                <w:bCs/>
                <w:szCs w:val="21"/>
              </w:rPr>
            </w:pPr>
            <w:r>
              <w:rPr>
                <w:rFonts w:hint="eastAsia" w:ascii="宋体" w:hAnsi="宋体" w:cs="宋体"/>
                <w:bCs/>
                <w:szCs w:val="21"/>
              </w:rPr>
              <w:t xml:space="preserve">对CPU、内存、硬盘驱动器、电源及风扇等关键部分的潜在的故障具有提前预警能力； </w:t>
            </w:r>
          </w:p>
          <w:p w14:paraId="244D229F">
            <w:pPr>
              <w:spacing w:line="360" w:lineRule="auto"/>
              <w:rPr>
                <w:rFonts w:ascii="宋体" w:hAnsi="宋体" w:cs="宋体"/>
                <w:bCs/>
                <w:szCs w:val="21"/>
              </w:rPr>
            </w:pPr>
            <w:r>
              <w:rPr>
                <w:rFonts w:hint="eastAsia" w:ascii="宋体" w:hAnsi="宋体" w:cs="宋体"/>
                <w:bCs/>
                <w:szCs w:val="21"/>
              </w:rPr>
              <w:t>配置原厂自主研发的软硬件远程管理软件；</w:t>
            </w:r>
          </w:p>
          <w:p w14:paraId="30ABDCCB">
            <w:pPr>
              <w:spacing w:line="360" w:lineRule="auto"/>
              <w:rPr>
                <w:rFonts w:ascii="宋体" w:hAnsi="宋体" w:cs="宋体"/>
                <w:bCs/>
                <w:szCs w:val="21"/>
              </w:rPr>
            </w:pPr>
            <w:r>
              <w:rPr>
                <w:rFonts w:hint="eastAsia" w:ascii="宋体" w:hAnsi="宋体" w:cs="宋体"/>
                <w:bCs/>
                <w:szCs w:val="21"/>
              </w:rPr>
              <w:t>远程管理软件提供基于Web的GUI远程管理；提供基于移动终端设备实时监控管理软件；</w:t>
            </w:r>
          </w:p>
          <w:p w14:paraId="7A6AE163">
            <w:pPr>
              <w:spacing w:line="360" w:lineRule="auto"/>
              <w:rPr>
                <w:rFonts w:ascii="宋体" w:hAnsi="宋体" w:cs="宋体"/>
                <w:bCs/>
                <w:szCs w:val="21"/>
              </w:rPr>
            </w:pPr>
            <w:r>
              <w:rPr>
                <w:rFonts w:hint="eastAsia" w:ascii="宋体" w:hAnsi="宋体" w:cs="宋体"/>
                <w:bCs/>
                <w:szCs w:val="21"/>
              </w:rPr>
              <w:t>管理软件应具有云管理功能，监控数据库主机的硬件，以达到对机房内所有的硬件设备进行一站式、统一的维护管理。</w:t>
            </w:r>
          </w:p>
          <w:p w14:paraId="72923898">
            <w:pPr>
              <w:spacing w:line="360" w:lineRule="auto"/>
              <w:rPr>
                <w:rFonts w:ascii="宋体" w:hAnsi="宋体" w:cs="宋体"/>
                <w:bCs/>
                <w:szCs w:val="21"/>
              </w:rPr>
            </w:pPr>
            <w:r>
              <w:rPr>
                <w:rFonts w:hint="eastAsia" w:ascii="宋体" w:hAnsi="宋体" w:cs="宋体"/>
                <w:bCs/>
                <w:szCs w:val="21"/>
              </w:rPr>
              <w:t>管理软件可以接收补丁、更新等信息推送；</w:t>
            </w:r>
          </w:p>
          <w:p w14:paraId="6A5D55C1">
            <w:pPr>
              <w:spacing w:line="360" w:lineRule="auto"/>
              <w:rPr>
                <w:rFonts w:ascii="宋体" w:hAnsi="宋体" w:cs="宋体"/>
                <w:bCs/>
                <w:szCs w:val="21"/>
              </w:rPr>
            </w:pPr>
            <w:r>
              <w:rPr>
                <w:rFonts w:hint="eastAsia" w:ascii="宋体" w:hAnsi="宋体" w:cs="宋体"/>
                <w:bCs/>
                <w:szCs w:val="21"/>
              </w:rPr>
              <w:t>管理软件能对数据库的SQL语句进行自动优化，并提出专家建议；</w:t>
            </w:r>
          </w:p>
          <w:p w14:paraId="10F97A2A">
            <w:pPr>
              <w:spacing w:line="360" w:lineRule="auto"/>
              <w:rPr>
                <w:rFonts w:ascii="宋体" w:hAnsi="宋体" w:cs="宋体"/>
                <w:bCs/>
                <w:szCs w:val="21"/>
              </w:rPr>
            </w:pPr>
            <w:r>
              <w:rPr>
                <w:rFonts w:hint="eastAsia" w:ascii="宋体" w:hAnsi="宋体" w:cs="宋体"/>
                <w:bCs/>
                <w:szCs w:val="21"/>
              </w:rPr>
              <w:t>管理软件能从Web端、到中间件、数据库层的端到端的分析监控；</w:t>
            </w:r>
          </w:p>
          <w:p w14:paraId="63CBE782">
            <w:pPr>
              <w:spacing w:line="360" w:lineRule="auto"/>
              <w:rPr>
                <w:rFonts w:ascii="宋体" w:hAnsi="宋体" w:cs="宋体"/>
                <w:bCs/>
                <w:szCs w:val="21"/>
              </w:rPr>
            </w:pPr>
            <w:r>
              <w:rPr>
                <w:rFonts w:hint="eastAsia" w:ascii="宋体" w:hAnsi="宋体" w:cs="宋体"/>
                <w:bCs/>
                <w:szCs w:val="21"/>
              </w:rPr>
              <w:t>管理软件对现有的应用的架构、性能影响最小。</w:t>
            </w:r>
          </w:p>
        </w:tc>
        <w:tc>
          <w:tcPr>
            <w:tcW w:w="475" w:type="pct"/>
            <w:tcBorders>
              <w:top w:val="single" w:color="auto" w:sz="4" w:space="0"/>
              <w:left w:val="single" w:color="auto" w:sz="4" w:space="0"/>
              <w:bottom w:val="single" w:color="auto" w:sz="4" w:space="0"/>
              <w:right w:val="single" w:color="auto" w:sz="4" w:space="0"/>
            </w:tcBorders>
            <w:vAlign w:val="center"/>
          </w:tcPr>
          <w:p w14:paraId="4C4BBD1A">
            <w:pPr>
              <w:spacing w:line="360" w:lineRule="auto"/>
              <w:rPr>
                <w:rFonts w:ascii="宋体" w:hAnsi="宋体" w:cs="宋体"/>
                <w:bCs/>
                <w:szCs w:val="21"/>
              </w:rPr>
            </w:pPr>
          </w:p>
        </w:tc>
      </w:tr>
      <w:tr w14:paraId="0E3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67F0D826">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12FFBF96">
            <w:pPr>
              <w:spacing w:line="360" w:lineRule="auto"/>
              <w:rPr>
                <w:rFonts w:ascii="宋体" w:hAnsi="宋体" w:cs="宋体"/>
                <w:bCs/>
                <w:szCs w:val="21"/>
              </w:rPr>
            </w:pPr>
            <w:r>
              <w:rPr>
                <w:rFonts w:hint="eastAsia" w:ascii="宋体" w:hAnsi="宋体" w:cs="宋体"/>
                <w:bCs/>
                <w:szCs w:val="21"/>
              </w:rPr>
              <w:t>配置实现负载均衡的高可靠性集群数据库系统所需的相关硬件设备；要求包括2台Infiniband交换机，单口带宽36Gb/秒以上；</w:t>
            </w:r>
          </w:p>
          <w:p w14:paraId="465420D2">
            <w:pPr>
              <w:spacing w:line="360" w:lineRule="auto"/>
              <w:rPr>
                <w:rFonts w:ascii="宋体" w:hAnsi="宋体" w:cs="宋体"/>
                <w:bCs/>
                <w:szCs w:val="21"/>
              </w:rPr>
            </w:pPr>
            <w:r>
              <w:rPr>
                <w:rFonts w:hint="eastAsia" w:ascii="宋体" w:hAnsi="宋体" w:cs="宋体"/>
                <w:bCs/>
                <w:szCs w:val="21"/>
              </w:rPr>
              <w:t>需配置支持Shared-Disk集群数据库所需要的集群管理软件和集群文件系统软件。</w:t>
            </w:r>
          </w:p>
        </w:tc>
        <w:tc>
          <w:tcPr>
            <w:tcW w:w="475" w:type="pct"/>
            <w:tcBorders>
              <w:top w:val="single" w:color="auto" w:sz="4" w:space="0"/>
              <w:left w:val="single" w:color="auto" w:sz="4" w:space="0"/>
              <w:bottom w:val="single" w:color="auto" w:sz="4" w:space="0"/>
              <w:right w:val="single" w:color="auto" w:sz="4" w:space="0"/>
            </w:tcBorders>
            <w:vAlign w:val="center"/>
          </w:tcPr>
          <w:p w14:paraId="703635AF">
            <w:pPr>
              <w:spacing w:line="360" w:lineRule="auto"/>
              <w:rPr>
                <w:rFonts w:ascii="宋体" w:hAnsi="宋体" w:cs="宋体"/>
                <w:bCs/>
                <w:szCs w:val="21"/>
              </w:rPr>
            </w:pPr>
          </w:p>
        </w:tc>
      </w:tr>
      <w:tr w14:paraId="1245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restart"/>
            <w:tcBorders>
              <w:top w:val="single" w:color="auto" w:sz="4" w:space="0"/>
              <w:left w:val="single" w:color="auto" w:sz="4" w:space="0"/>
              <w:bottom w:val="single" w:color="auto" w:sz="4" w:space="0"/>
              <w:right w:val="single" w:color="auto" w:sz="4" w:space="0"/>
            </w:tcBorders>
            <w:vAlign w:val="center"/>
          </w:tcPr>
          <w:p w14:paraId="63716B5A">
            <w:pPr>
              <w:spacing w:line="360" w:lineRule="auto"/>
              <w:rPr>
                <w:rFonts w:ascii="宋体" w:hAnsi="宋体" w:cs="宋体"/>
                <w:bCs/>
                <w:szCs w:val="21"/>
              </w:rPr>
            </w:pPr>
            <w:r>
              <w:rPr>
                <w:rFonts w:hint="eastAsia" w:ascii="宋体" w:hAnsi="宋体" w:cs="宋体"/>
                <w:bCs/>
                <w:szCs w:val="21"/>
              </w:rPr>
              <w:t>日常服务</w:t>
            </w:r>
          </w:p>
        </w:tc>
        <w:tc>
          <w:tcPr>
            <w:tcW w:w="3736" w:type="pct"/>
            <w:tcBorders>
              <w:top w:val="single" w:color="auto" w:sz="4" w:space="0"/>
              <w:left w:val="single" w:color="auto" w:sz="4" w:space="0"/>
              <w:bottom w:val="single" w:color="auto" w:sz="4" w:space="0"/>
              <w:right w:val="single" w:color="auto" w:sz="4" w:space="0"/>
            </w:tcBorders>
            <w:vAlign w:val="center"/>
          </w:tcPr>
          <w:p w14:paraId="2595EABB">
            <w:pPr>
              <w:spacing w:line="360" w:lineRule="auto"/>
              <w:rPr>
                <w:rFonts w:ascii="宋体" w:hAnsi="宋体" w:cs="宋体"/>
                <w:bCs/>
                <w:szCs w:val="21"/>
              </w:rPr>
            </w:pPr>
            <w:r>
              <w:rPr>
                <w:rFonts w:hint="eastAsia" w:ascii="宋体" w:hAnsi="宋体" w:cs="宋体"/>
                <w:bCs/>
                <w:szCs w:val="21"/>
              </w:rPr>
              <w:t>迁移服务：配合用户迁移保障服务，配合测试业务性能，数据有效性；</w:t>
            </w:r>
          </w:p>
        </w:tc>
        <w:tc>
          <w:tcPr>
            <w:tcW w:w="475" w:type="pct"/>
            <w:tcBorders>
              <w:top w:val="single" w:color="auto" w:sz="4" w:space="0"/>
              <w:left w:val="single" w:color="auto" w:sz="4" w:space="0"/>
              <w:bottom w:val="single" w:color="auto" w:sz="4" w:space="0"/>
              <w:right w:val="single" w:color="auto" w:sz="4" w:space="0"/>
            </w:tcBorders>
            <w:vAlign w:val="center"/>
          </w:tcPr>
          <w:p w14:paraId="542FB8EA">
            <w:pPr>
              <w:spacing w:line="360" w:lineRule="auto"/>
              <w:rPr>
                <w:rFonts w:ascii="宋体" w:hAnsi="宋体" w:cs="宋体"/>
                <w:bCs/>
                <w:szCs w:val="21"/>
              </w:rPr>
            </w:pPr>
          </w:p>
        </w:tc>
      </w:tr>
      <w:tr w14:paraId="555E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612A1DB0">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73690728">
            <w:pPr>
              <w:spacing w:line="360" w:lineRule="auto"/>
              <w:rPr>
                <w:rFonts w:ascii="宋体" w:hAnsi="宋体" w:cs="宋体"/>
                <w:bCs/>
                <w:szCs w:val="21"/>
              </w:rPr>
            </w:pPr>
            <w:r>
              <w:rPr>
                <w:rFonts w:hint="eastAsia" w:ascii="宋体" w:hAnsi="宋体" w:cs="宋体"/>
                <w:bCs/>
                <w:szCs w:val="21"/>
              </w:rPr>
              <w:t>性能调优服务：提供数据库系统以下的底层部分，即oracle的相关技术架构及操作系统等调优；提供性能监测功能；提供影响数据库运行效率的SQL语句；提供影响应用运行效率的模块；</w:t>
            </w:r>
          </w:p>
        </w:tc>
        <w:tc>
          <w:tcPr>
            <w:tcW w:w="475" w:type="pct"/>
            <w:tcBorders>
              <w:top w:val="single" w:color="auto" w:sz="4" w:space="0"/>
              <w:left w:val="single" w:color="auto" w:sz="4" w:space="0"/>
              <w:bottom w:val="single" w:color="auto" w:sz="4" w:space="0"/>
              <w:right w:val="single" w:color="auto" w:sz="4" w:space="0"/>
            </w:tcBorders>
            <w:vAlign w:val="center"/>
          </w:tcPr>
          <w:p w14:paraId="51B82872">
            <w:pPr>
              <w:spacing w:line="360" w:lineRule="auto"/>
              <w:rPr>
                <w:rFonts w:ascii="宋体" w:hAnsi="宋体" w:cs="宋体"/>
                <w:bCs/>
                <w:szCs w:val="21"/>
              </w:rPr>
            </w:pPr>
          </w:p>
        </w:tc>
      </w:tr>
      <w:tr w14:paraId="625A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65B0D069">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vAlign w:val="center"/>
          </w:tcPr>
          <w:p w14:paraId="61B43399">
            <w:pPr>
              <w:spacing w:line="360" w:lineRule="auto"/>
              <w:rPr>
                <w:rFonts w:ascii="宋体" w:hAnsi="宋体" w:cs="宋体"/>
                <w:bCs/>
                <w:szCs w:val="21"/>
              </w:rPr>
            </w:pPr>
            <w:r>
              <w:rPr>
                <w:rFonts w:hint="eastAsia" w:ascii="宋体" w:hAnsi="宋体" w:cs="宋体"/>
                <w:bCs/>
                <w:szCs w:val="21"/>
              </w:rPr>
              <w:t>升级、实施服务：提供oracle cluster/rdbms软件补丁升级服务；oracle数据统一化备份实施服务（对所有实例进行每周全备，每天增量备份部署，并根据特殊情况调整）。</w:t>
            </w:r>
          </w:p>
        </w:tc>
        <w:tc>
          <w:tcPr>
            <w:tcW w:w="475" w:type="pct"/>
            <w:tcBorders>
              <w:top w:val="single" w:color="auto" w:sz="4" w:space="0"/>
              <w:left w:val="single" w:color="auto" w:sz="4" w:space="0"/>
              <w:bottom w:val="single" w:color="auto" w:sz="4" w:space="0"/>
              <w:right w:val="single" w:color="auto" w:sz="4" w:space="0"/>
            </w:tcBorders>
            <w:vAlign w:val="center"/>
          </w:tcPr>
          <w:p w14:paraId="0C155444">
            <w:pPr>
              <w:spacing w:line="360" w:lineRule="auto"/>
              <w:rPr>
                <w:rFonts w:ascii="宋体" w:hAnsi="宋体" w:cs="宋体"/>
                <w:bCs/>
                <w:szCs w:val="21"/>
              </w:rPr>
            </w:pPr>
          </w:p>
        </w:tc>
      </w:tr>
      <w:tr w14:paraId="273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89" w:type="pct"/>
            <w:vMerge w:val="continue"/>
            <w:tcBorders>
              <w:top w:val="single" w:color="auto" w:sz="4" w:space="0"/>
              <w:left w:val="single" w:color="auto" w:sz="4" w:space="0"/>
              <w:bottom w:val="single" w:color="auto" w:sz="4" w:space="0"/>
              <w:right w:val="single" w:color="auto" w:sz="4" w:space="0"/>
            </w:tcBorders>
            <w:vAlign w:val="center"/>
          </w:tcPr>
          <w:p w14:paraId="1D7E5E06">
            <w:pPr>
              <w:spacing w:line="360" w:lineRule="auto"/>
              <w:rPr>
                <w:rFonts w:ascii="宋体" w:hAnsi="宋体" w:cs="宋体"/>
                <w:bCs/>
                <w:szCs w:val="21"/>
              </w:rPr>
            </w:pPr>
          </w:p>
        </w:tc>
        <w:tc>
          <w:tcPr>
            <w:tcW w:w="3736" w:type="pct"/>
            <w:tcBorders>
              <w:top w:val="single" w:color="auto" w:sz="4" w:space="0"/>
              <w:left w:val="single" w:color="auto" w:sz="4" w:space="0"/>
              <w:right w:val="single" w:color="auto" w:sz="4" w:space="0"/>
            </w:tcBorders>
            <w:vAlign w:val="center"/>
          </w:tcPr>
          <w:p w14:paraId="0F8EEBC1">
            <w:pPr>
              <w:spacing w:line="360" w:lineRule="auto"/>
              <w:rPr>
                <w:rFonts w:ascii="宋体" w:hAnsi="宋体" w:cs="宋体"/>
                <w:bCs/>
                <w:szCs w:val="21"/>
              </w:rPr>
            </w:pPr>
            <w:r>
              <w:rPr>
                <w:rFonts w:hint="eastAsia" w:ascii="宋体" w:hAnsi="宋体" w:cs="宋体"/>
                <w:bCs/>
                <w:szCs w:val="21"/>
              </w:rPr>
              <w:t>运维服务：提供oracle数据库7*24小运行维护保障时远程事件处理、并以电话，邮件等方式提供技术支持，具备完善的故障监控，自动告警，快速定位，快速恢复等一系列故障应急响应机制咨询服务；oracle数据库季度巡检服务（出具报告）；提供oracle数据库月度资源监控（出具报告）；提供Oracle 数据库日常主动性服务。</w:t>
            </w:r>
          </w:p>
        </w:tc>
        <w:tc>
          <w:tcPr>
            <w:tcW w:w="475" w:type="pct"/>
            <w:tcBorders>
              <w:top w:val="single" w:color="auto" w:sz="4" w:space="0"/>
              <w:left w:val="single" w:color="auto" w:sz="4" w:space="0"/>
              <w:right w:val="single" w:color="auto" w:sz="4" w:space="0"/>
            </w:tcBorders>
            <w:vAlign w:val="center"/>
          </w:tcPr>
          <w:p w14:paraId="4957A4A5">
            <w:pPr>
              <w:spacing w:line="360" w:lineRule="auto"/>
              <w:rPr>
                <w:rFonts w:ascii="宋体" w:hAnsi="宋体" w:cs="宋体"/>
                <w:bCs/>
                <w:szCs w:val="21"/>
              </w:rPr>
            </w:pPr>
          </w:p>
        </w:tc>
      </w:tr>
    </w:tbl>
    <w:p w14:paraId="17ED3F99">
      <w:pPr>
        <w:snapToGrid w:val="0"/>
        <w:spacing w:line="360" w:lineRule="auto"/>
        <w:ind w:firstLine="480"/>
        <w:rPr>
          <w:rFonts w:ascii="宋体" w:hAnsi="宋体" w:cs="宋体"/>
          <w:szCs w:val="21"/>
        </w:rPr>
      </w:pPr>
      <w:r>
        <w:rPr>
          <w:rFonts w:hint="eastAsia" w:ascii="宋体" w:hAnsi="宋体" w:cs="宋体"/>
          <w:szCs w:val="21"/>
        </w:rPr>
        <w:t>（4）OceanBase数据库</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6941"/>
        <w:gridCol w:w="882"/>
      </w:tblGrid>
      <w:tr w14:paraId="0B89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6338E5F">
            <w:pPr>
              <w:spacing w:line="360" w:lineRule="auto"/>
              <w:jc w:val="center"/>
              <w:rPr>
                <w:rFonts w:ascii="宋体" w:hAnsi="宋体" w:cs="宋体"/>
                <w:b/>
                <w:bCs/>
                <w:szCs w:val="21"/>
              </w:rPr>
            </w:pPr>
            <w:r>
              <w:rPr>
                <w:rFonts w:hint="eastAsia" w:ascii="宋体" w:hAnsi="宋体" w:cs="宋体"/>
                <w:b/>
                <w:bCs/>
                <w:szCs w:val="21"/>
              </w:rPr>
              <w:t>指标项</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1714DF8B">
            <w:pPr>
              <w:spacing w:line="360" w:lineRule="auto"/>
              <w:jc w:val="center"/>
              <w:rPr>
                <w:rFonts w:ascii="宋体" w:hAnsi="宋体" w:cs="宋体"/>
                <w:b/>
                <w:bCs/>
                <w:szCs w:val="21"/>
              </w:rPr>
            </w:pPr>
            <w:r>
              <w:rPr>
                <w:rFonts w:hint="eastAsia" w:ascii="宋体" w:hAnsi="宋体" w:cs="宋体"/>
                <w:b/>
                <w:bCs/>
                <w:szCs w:val="21"/>
              </w:rPr>
              <w:t>规格要求</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A7B40BC">
            <w:pPr>
              <w:spacing w:line="360" w:lineRule="auto"/>
              <w:jc w:val="center"/>
              <w:rPr>
                <w:rFonts w:ascii="宋体" w:hAnsi="宋体" w:cs="宋体"/>
                <w:b/>
                <w:bCs/>
                <w:szCs w:val="21"/>
              </w:rPr>
            </w:pPr>
            <w:r>
              <w:rPr>
                <w:rFonts w:hint="eastAsia" w:ascii="宋体" w:hAnsi="宋体" w:cs="宋体"/>
                <w:b/>
                <w:bCs/>
                <w:szCs w:val="21"/>
              </w:rPr>
              <w:t>备注</w:t>
            </w:r>
          </w:p>
        </w:tc>
      </w:tr>
      <w:tr w14:paraId="03BB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restart"/>
            <w:tcBorders>
              <w:top w:val="single" w:color="auto" w:sz="4" w:space="0"/>
              <w:left w:val="single" w:color="auto" w:sz="4" w:space="0"/>
              <w:right w:val="single" w:color="auto" w:sz="4" w:space="0"/>
            </w:tcBorders>
            <w:shd w:val="clear" w:color="auto" w:fill="auto"/>
            <w:vAlign w:val="center"/>
          </w:tcPr>
          <w:p w14:paraId="6C58CD8F">
            <w:pPr>
              <w:spacing w:line="360" w:lineRule="auto"/>
              <w:rPr>
                <w:rFonts w:ascii="宋体" w:hAnsi="宋体" w:cs="宋体"/>
                <w:bCs/>
                <w:szCs w:val="21"/>
              </w:rPr>
            </w:pPr>
            <w:r>
              <w:rPr>
                <w:rFonts w:hint="eastAsia" w:ascii="宋体" w:hAnsi="宋体" w:cs="宋体"/>
                <w:bCs/>
                <w:szCs w:val="21"/>
              </w:rPr>
              <w:t>主要功能</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2EDABBCF">
            <w:pPr>
              <w:spacing w:line="360" w:lineRule="auto"/>
              <w:rPr>
                <w:rFonts w:ascii="宋体" w:hAnsi="宋体" w:cs="宋体"/>
                <w:bCs/>
                <w:szCs w:val="21"/>
              </w:rPr>
            </w:pPr>
            <w:r>
              <w:rPr>
                <w:rFonts w:hint="eastAsia" w:ascii="宋体" w:hAnsi="宋体" w:cs="宋体"/>
                <w:bCs/>
                <w:szCs w:val="21"/>
              </w:rPr>
              <w:t>数据库内核代码完全自主研发可控。不可是基于GPL等易感染开源协议的产品或者PostgreSQL协议等存在授权风险的二次开发产品。</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E834267">
            <w:pPr>
              <w:spacing w:line="360" w:lineRule="auto"/>
              <w:rPr>
                <w:rFonts w:ascii="宋体" w:hAnsi="宋体" w:cs="宋体"/>
                <w:bCs/>
                <w:szCs w:val="21"/>
              </w:rPr>
            </w:pPr>
            <w:r>
              <w:rPr>
                <w:rFonts w:hint="eastAsia" w:ascii="宋体" w:hAnsi="宋体" w:cs="宋体"/>
                <w:bCs/>
                <w:szCs w:val="21"/>
              </w:rPr>
              <w:t>　</w:t>
            </w:r>
          </w:p>
        </w:tc>
      </w:tr>
      <w:tr w14:paraId="1AE0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0C89ECCD">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1E3C2CF3">
            <w:pPr>
              <w:spacing w:line="360" w:lineRule="auto"/>
              <w:rPr>
                <w:rFonts w:ascii="宋体" w:hAnsi="宋体" w:cs="宋体"/>
                <w:bCs/>
                <w:szCs w:val="21"/>
              </w:rPr>
            </w:pPr>
            <w:r>
              <w:rPr>
                <w:rFonts w:hint="eastAsia" w:ascii="宋体" w:hAnsi="宋体" w:cs="宋体"/>
                <w:bCs/>
                <w:szCs w:val="21"/>
              </w:rPr>
              <w:t>需兼容MySQL或Oracle数据库的语法，提供数据库自动化运维平台、数据迁移平台等降低应用迁移成本。</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CE927C4">
            <w:pPr>
              <w:spacing w:line="360" w:lineRule="auto"/>
              <w:rPr>
                <w:rFonts w:ascii="宋体" w:hAnsi="宋体" w:cs="宋体"/>
                <w:bCs/>
                <w:szCs w:val="21"/>
              </w:rPr>
            </w:pPr>
            <w:r>
              <w:rPr>
                <w:rFonts w:hint="eastAsia" w:ascii="宋体" w:hAnsi="宋体" w:cs="宋体"/>
                <w:bCs/>
                <w:szCs w:val="21"/>
              </w:rPr>
              <w:t>　</w:t>
            </w:r>
          </w:p>
        </w:tc>
      </w:tr>
      <w:tr w14:paraId="7D47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3682B706">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4D5F590C">
            <w:pPr>
              <w:spacing w:line="360" w:lineRule="auto"/>
              <w:rPr>
                <w:rFonts w:ascii="宋体" w:hAnsi="宋体" w:cs="宋体"/>
                <w:bCs/>
                <w:szCs w:val="21"/>
              </w:rPr>
            </w:pPr>
            <w:r>
              <w:rPr>
                <w:rFonts w:hint="eastAsia" w:ascii="宋体" w:hAnsi="宋体" w:cs="宋体"/>
                <w:bCs/>
                <w:szCs w:val="21"/>
              </w:rPr>
              <w:t>只能包含一个数据库内核产品，不可使用多个数据库内核产品进行组合。</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0217233">
            <w:pPr>
              <w:spacing w:line="360" w:lineRule="auto"/>
              <w:rPr>
                <w:rFonts w:ascii="宋体" w:hAnsi="宋体" w:cs="宋体"/>
                <w:bCs/>
                <w:szCs w:val="21"/>
              </w:rPr>
            </w:pPr>
            <w:r>
              <w:rPr>
                <w:rFonts w:hint="eastAsia" w:ascii="宋体" w:hAnsi="宋体" w:cs="宋体"/>
                <w:bCs/>
                <w:szCs w:val="21"/>
              </w:rPr>
              <w:t>　</w:t>
            </w:r>
          </w:p>
        </w:tc>
      </w:tr>
      <w:tr w14:paraId="70B5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3F2A3C2C">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24D6F6AB">
            <w:pPr>
              <w:spacing w:line="360" w:lineRule="auto"/>
              <w:rPr>
                <w:rFonts w:ascii="宋体" w:hAnsi="宋体" w:cs="宋体"/>
                <w:bCs/>
                <w:szCs w:val="21"/>
              </w:rPr>
            </w:pPr>
            <w:r>
              <w:rPr>
                <w:rFonts w:hint="eastAsia" w:ascii="宋体" w:hAnsi="宋体" w:cs="宋体"/>
                <w:bCs/>
                <w:szCs w:val="21"/>
              </w:rPr>
              <w:t>分布式关系型数据库自身需提供高可用支持。能应对机器、网络、机房、数据中心等故障。在多数副本存活情况下，数据库服务能自动恢复并且不丢数据，恢复过程不需要运维介入。关键指标：复原时间目标（RTO）小于30秒，复原点目标（RPO）为0秒。</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53D60D0">
            <w:pPr>
              <w:spacing w:line="360" w:lineRule="auto"/>
              <w:rPr>
                <w:rFonts w:ascii="宋体" w:hAnsi="宋体" w:cs="宋体"/>
                <w:bCs/>
                <w:szCs w:val="21"/>
              </w:rPr>
            </w:pPr>
            <w:r>
              <w:rPr>
                <w:rFonts w:hint="eastAsia" w:ascii="宋体" w:hAnsi="宋体" w:cs="宋体"/>
                <w:bCs/>
                <w:szCs w:val="21"/>
              </w:rPr>
              <w:t>　</w:t>
            </w:r>
          </w:p>
        </w:tc>
      </w:tr>
      <w:tr w14:paraId="7AF0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bottom w:val="single" w:color="auto" w:sz="4" w:space="0"/>
              <w:right w:val="single" w:color="auto" w:sz="4" w:space="0"/>
            </w:tcBorders>
            <w:vAlign w:val="center"/>
          </w:tcPr>
          <w:p w14:paraId="79CC6957">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7858DC47">
            <w:pPr>
              <w:spacing w:line="360" w:lineRule="auto"/>
              <w:rPr>
                <w:rFonts w:ascii="宋体" w:hAnsi="宋体" w:cs="宋体"/>
                <w:bCs/>
                <w:szCs w:val="21"/>
              </w:rPr>
            </w:pPr>
            <w:r>
              <w:rPr>
                <w:rFonts w:hint="eastAsia" w:ascii="宋体" w:hAnsi="宋体" w:cs="宋体"/>
                <w:bCs/>
                <w:szCs w:val="21"/>
              </w:rPr>
              <w:t>集群机器规模扩大后性能近似线性增长。支持集群在线扩容和缩容，在线扩容和缩容过程中支持数据自动负载均衡，数据迁移过程中需要保证业务不中断和不丢数据。数据迁移期间如果有机器故障，需要能自动化恢复。故障排除后，缺失的数据自动补齐。</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433CE23">
            <w:pPr>
              <w:spacing w:line="360" w:lineRule="auto"/>
              <w:rPr>
                <w:rFonts w:ascii="宋体" w:hAnsi="宋体" w:cs="宋体"/>
                <w:bCs/>
                <w:szCs w:val="21"/>
              </w:rPr>
            </w:pPr>
            <w:r>
              <w:rPr>
                <w:rFonts w:hint="eastAsia" w:ascii="宋体" w:hAnsi="宋体" w:cs="宋体"/>
                <w:bCs/>
                <w:szCs w:val="21"/>
              </w:rPr>
              <w:t>　</w:t>
            </w:r>
          </w:p>
        </w:tc>
      </w:tr>
      <w:tr w14:paraId="5D97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restart"/>
            <w:tcBorders>
              <w:top w:val="single" w:color="auto" w:sz="4" w:space="0"/>
              <w:left w:val="single" w:color="auto" w:sz="4" w:space="0"/>
              <w:right w:val="single" w:color="auto" w:sz="4" w:space="0"/>
            </w:tcBorders>
            <w:shd w:val="clear" w:color="auto" w:fill="auto"/>
            <w:vAlign w:val="center"/>
          </w:tcPr>
          <w:p w14:paraId="291B9A82">
            <w:pPr>
              <w:spacing w:line="360" w:lineRule="auto"/>
              <w:rPr>
                <w:rFonts w:ascii="宋体" w:hAnsi="宋体" w:cs="宋体"/>
                <w:bCs/>
                <w:szCs w:val="21"/>
              </w:rPr>
            </w:pPr>
            <w:r>
              <w:rPr>
                <w:rFonts w:hint="eastAsia" w:ascii="宋体" w:hAnsi="宋体" w:cs="宋体"/>
                <w:bCs/>
                <w:szCs w:val="21"/>
              </w:rPr>
              <w:t>水平扩展</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27448A29">
            <w:pPr>
              <w:spacing w:line="360" w:lineRule="auto"/>
              <w:rPr>
                <w:rFonts w:ascii="宋体" w:hAnsi="宋体" w:cs="宋体"/>
                <w:bCs/>
                <w:szCs w:val="21"/>
              </w:rPr>
            </w:pPr>
            <w:r>
              <w:rPr>
                <w:rFonts w:hint="eastAsia" w:ascii="宋体" w:hAnsi="宋体" w:cs="宋体"/>
                <w:bCs/>
                <w:szCs w:val="21"/>
              </w:rPr>
              <w:t>支持通过水平扩展解决传统集中式关系型数据库分析能力不足的缺陷，支持在线增加和删除服务器节点，对业务应用系统透明。</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DD99746">
            <w:pPr>
              <w:spacing w:line="360" w:lineRule="auto"/>
              <w:rPr>
                <w:rFonts w:ascii="宋体" w:hAnsi="宋体" w:cs="宋体"/>
                <w:bCs/>
                <w:szCs w:val="21"/>
              </w:rPr>
            </w:pPr>
            <w:r>
              <w:rPr>
                <w:rFonts w:hint="eastAsia" w:ascii="宋体" w:hAnsi="宋体" w:cs="宋体"/>
                <w:bCs/>
                <w:szCs w:val="21"/>
              </w:rPr>
              <w:t>　</w:t>
            </w:r>
          </w:p>
        </w:tc>
      </w:tr>
      <w:tr w14:paraId="7394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53E6D3F5">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43141F4E">
            <w:pPr>
              <w:spacing w:line="360" w:lineRule="auto"/>
              <w:rPr>
                <w:rFonts w:ascii="宋体" w:hAnsi="宋体" w:cs="宋体"/>
                <w:bCs/>
                <w:szCs w:val="21"/>
              </w:rPr>
            </w:pPr>
            <w:r>
              <w:rPr>
                <w:rFonts w:hint="eastAsia" w:ascii="宋体" w:hAnsi="宋体" w:cs="宋体"/>
                <w:bCs/>
                <w:szCs w:val="21"/>
              </w:rPr>
              <w:t>服务器节点资源变化时，集群管理服务自动触发负载均衡，根据当前集群内节点资源状态重新调整数据分布，达到“按需伸缩”、“动态平衡”。</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4FE70D9">
            <w:pPr>
              <w:spacing w:line="360" w:lineRule="auto"/>
              <w:rPr>
                <w:rFonts w:ascii="宋体" w:hAnsi="宋体" w:cs="宋体"/>
                <w:bCs/>
                <w:szCs w:val="21"/>
              </w:rPr>
            </w:pPr>
            <w:r>
              <w:rPr>
                <w:rFonts w:hint="eastAsia" w:ascii="宋体" w:hAnsi="宋体" w:cs="宋体"/>
                <w:bCs/>
                <w:szCs w:val="21"/>
              </w:rPr>
              <w:t>　</w:t>
            </w:r>
          </w:p>
        </w:tc>
      </w:tr>
      <w:tr w14:paraId="0BA5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63E8C4A1">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5D2D281F">
            <w:pPr>
              <w:spacing w:line="360" w:lineRule="auto"/>
              <w:rPr>
                <w:rFonts w:ascii="宋体" w:hAnsi="宋体" w:cs="宋体"/>
                <w:bCs/>
                <w:szCs w:val="21"/>
              </w:rPr>
            </w:pPr>
            <w:r>
              <w:rPr>
                <w:rFonts w:hint="eastAsia" w:ascii="宋体" w:hAnsi="宋体" w:cs="宋体"/>
                <w:bCs/>
                <w:szCs w:val="21"/>
              </w:rPr>
              <w:t>支持集群在线扩容和缩容，在线扩容和缩容过程中支持数据自动负载均衡，数据迁移过程中需要保证业务不中断和不丢数据。</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629DBE9">
            <w:pPr>
              <w:spacing w:line="360" w:lineRule="auto"/>
              <w:rPr>
                <w:rFonts w:ascii="宋体" w:hAnsi="宋体" w:cs="宋体"/>
                <w:bCs/>
                <w:szCs w:val="21"/>
              </w:rPr>
            </w:pPr>
            <w:r>
              <w:rPr>
                <w:rFonts w:hint="eastAsia" w:ascii="宋体" w:hAnsi="宋体" w:cs="宋体"/>
                <w:bCs/>
                <w:szCs w:val="21"/>
              </w:rPr>
              <w:t>　</w:t>
            </w:r>
          </w:p>
        </w:tc>
      </w:tr>
      <w:tr w14:paraId="4D86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1FE3D074">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0A09D31D">
            <w:pPr>
              <w:spacing w:line="360" w:lineRule="auto"/>
              <w:rPr>
                <w:rFonts w:ascii="宋体" w:hAnsi="宋体" w:cs="宋体"/>
                <w:bCs/>
                <w:szCs w:val="21"/>
              </w:rPr>
            </w:pPr>
            <w:r>
              <w:rPr>
                <w:rFonts w:hint="eastAsia" w:ascii="宋体" w:hAnsi="宋体" w:cs="宋体"/>
                <w:bCs/>
                <w:szCs w:val="21"/>
              </w:rPr>
              <w:t>扩容和缩容包括新增机器、下线机器、调整实例资源规格等。扩容缩容过程中的数据迁移需要自动化完成，并且具备较高可靠性（强一致、高可用）。</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C9E3E21">
            <w:pPr>
              <w:spacing w:line="360" w:lineRule="auto"/>
              <w:rPr>
                <w:rFonts w:ascii="宋体" w:hAnsi="宋体" w:cs="宋体"/>
                <w:bCs/>
                <w:szCs w:val="21"/>
              </w:rPr>
            </w:pPr>
            <w:r>
              <w:rPr>
                <w:rFonts w:hint="eastAsia" w:ascii="宋体" w:hAnsi="宋体" w:cs="宋体"/>
                <w:bCs/>
                <w:szCs w:val="21"/>
              </w:rPr>
              <w:t>　</w:t>
            </w:r>
          </w:p>
        </w:tc>
      </w:tr>
      <w:tr w14:paraId="5094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bottom w:val="single" w:color="auto" w:sz="4" w:space="0"/>
              <w:right w:val="single" w:color="auto" w:sz="4" w:space="0"/>
            </w:tcBorders>
            <w:vAlign w:val="center"/>
          </w:tcPr>
          <w:p w14:paraId="7A9F4169">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2A0FAEB1">
            <w:pPr>
              <w:spacing w:line="360" w:lineRule="auto"/>
              <w:rPr>
                <w:rFonts w:ascii="宋体" w:hAnsi="宋体" w:cs="宋体"/>
                <w:bCs/>
                <w:szCs w:val="21"/>
              </w:rPr>
            </w:pPr>
            <w:r>
              <w:rPr>
                <w:rFonts w:hint="eastAsia" w:ascii="宋体" w:hAnsi="宋体" w:cs="宋体"/>
                <w:bCs/>
                <w:szCs w:val="21"/>
              </w:rPr>
              <w:t>数据迁移期间如果有机器故障，需要能自动化恢复。故障排除后，缺失的数据能自动补齐。整个过程不需要运维介入。</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DA216FB">
            <w:pPr>
              <w:spacing w:line="360" w:lineRule="auto"/>
              <w:rPr>
                <w:rFonts w:ascii="宋体" w:hAnsi="宋体" w:cs="宋体"/>
                <w:bCs/>
                <w:szCs w:val="21"/>
              </w:rPr>
            </w:pPr>
            <w:r>
              <w:rPr>
                <w:rFonts w:hint="eastAsia" w:ascii="宋体" w:hAnsi="宋体" w:cs="宋体"/>
                <w:bCs/>
                <w:szCs w:val="21"/>
              </w:rPr>
              <w:t>　</w:t>
            </w:r>
          </w:p>
        </w:tc>
      </w:tr>
      <w:tr w14:paraId="57EA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9822778">
            <w:pPr>
              <w:spacing w:line="360" w:lineRule="auto"/>
              <w:rPr>
                <w:rFonts w:ascii="宋体" w:hAnsi="宋体" w:cs="宋体"/>
                <w:bCs/>
                <w:szCs w:val="21"/>
              </w:rPr>
            </w:pPr>
            <w:r>
              <w:rPr>
                <w:rFonts w:hint="eastAsia" w:ascii="宋体" w:hAnsi="宋体" w:cs="宋体"/>
                <w:bCs/>
                <w:szCs w:val="21"/>
              </w:rPr>
              <w:t>混合负载</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39BD81C6">
            <w:pPr>
              <w:spacing w:line="360" w:lineRule="auto"/>
              <w:rPr>
                <w:rFonts w:ascii="宋体" w:hAnsi="宋体" w:cs="宋体"/>
                <w:bCs/>
                <w:szCs w:val="21"/>
              </w:rPr>
            </w:pPr>
            <w:r>
              <w:rPr>
                <w:rFonts w:hint="eastAsia" w:ascii="宋体" w:hAnsi="宋体" w:cs="宋体"/>
                <w:bCs/>
                <w:szCs w:val="21"/>
              </w:rPr>
              <w:t>支持一套数据库同时支持 OLTP 和 OLAP 的混合负载</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DEF993F">
            <w:pPr>
              <w:spacing w:line="360" w:lineRule="auto"/>
              <w:rPr>
                <w:rFonts w:ascii="宋体" w:hAnsi="宋体" w:cs="宋体"/>
                <w:bCs/>
                <w:szCs w:val="21"/>
              </w:rPr>
            </w:pPr>
            <w:r>
              <w:rPr>
                <w:rFonts w:hint="eastAsia" w:ascii="宋体" w:hAnsi="宋体" w:cs="宋体"/>
                <w:bCs/>
                <w:szCs w:val="21"/>
              </w:rPr>
              <w:t>　</w:t>
            </w:r>
          </w:p>
        </w:tc>
      </w:tr>
      <w:tr w14:paraId="02EF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restart"/>
            <w:tcBorders>
              <w:top w:val="single" w:color="auto" w:sz="4" w:space="0"/>
              <w:left w:val="single" w:color="auto" w:sz="4" w:space="0"/>
              <w:right w:val="single" w:color="auto" w:sz="4" w:space="0"/>
            </w:tcBorders>
            <w:shd w:val="clear" w:color="auto" w:fill="auto"/>
            <w:vAlign w:val="center"/>
          </w:tcPr>
          <w:p w14:paraId="244F9580">
            <w:pPr>
              <w:spacing w:line="360" w:lineRule="auto"/>
              <w:rPr>
                <w:rFonts w:ascii="宋体" w:hAnsi="宋体" w:cs="宋体"/>
                <w:bCs/>
                <w:szCs w:val="21"/>
              </w:rPr>
            </w:pPr>
            <w:r>
              <w:rPr>
                <w:rFonts w:hint="eastAsia" w:ascii="宋体" w:hAnsi="宋体" w:cs="宋体"/>
                <w:bCs/>
                <w:szCs w:val="21"/>
              </w:rPr>
              <w:t>多租户支持</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20FFD586">
            <w:pPr>
              <w:spacing w:line="360" w:lineRule="auto"/>
              <w:rPr>
                <w:rFonts w:ascii="宋体" w:hAnsi="宋体" w:cs="宋体"/>
                <w:bCs/>
                <w:szCs w:val="21"/>
              </w:rPr>
            </w:pPr>
            <w:r>
              <w:rPr>
                <w:rFonts w:hint="eastAsia" w:ascii="宋体" w:hAnsi="宋体" w:cs="宋体"/>
                <w:bCs/>
                <w:szCs w:val="21"/>
              </w:rPr>
              <w:t>具备多租户隔离的数据库云平台，隔离租户间的计算资源，减少租户间资源使用的相互影响。</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1E4B2927">
            <w:pPr>
              <w:spacing w:line="360" w:lineRule="auto"/>
              <w:rPr>
                <w:rFonts w:ascii="宋体" w:hAnsi="宋体" w:cs="宋体"/>
                <w:bCs/>
                <w:szCs w:val="21"/>
              </w:rPr>
            </w:pPr>
            <w:r>
              <w:rPr>
                <w:rFonts w:hint="eastAsia" w:ascii="宋体" w:hAnsi="宋体" w:cs="宋体"/>
                <w:bCs/>
                <w:szCs w:val="21"/>
              </w:rPr>
              <w:t>　</w:t>
            </w:r>
          </w:p>
        </w:tc>
      </w:tr>
      <w:tr w14:paraId="5E06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bottom w:val="single" w:color="auto" w:sz="4" w:space="0"/>
              <w:right w:val="single" w:color="auto" w:sz="4" w:space="0"/>
            </w:tcBorders>
            <w:vAlign w:val="center"/>
          </w:tcPr>
          <w:p w14:paraId="5E524AF8">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674090F5">
            <w:pPr>
              <w:spacing w:line="360" w:lineRule="auto"/>
              <w:rPr>
                <w:rFonts w:ascii="宋体" w:hAnsi="宋体" w:cs="宋体"/>
                <w:bCs/>
                <w:szCs w:val="21"/>
              </w:rPr>
            </w:pPr>
            <w:r>
              <w:rPr>
                <w:rFonts w:hint="eastAsia" w:ascii="宋体" w:hAnsi="宋体" w:cs="宋体"/>
                <w:bCs/>
                <w:szCs w:val="21"/>
              </w:rPr>
              <w:t>针对不同租户的不同负载形式，数据库云平台够有效识别，并且可以快速的调整租户资源使用。</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C7766DA">
            <w:pPr>
              <w:spacing w:line="360" w:lineRule="auto"/>
              <w:rPr>
                <w:rFonts w:ascii="宋体" w:hAnsi="宋体" w:cs="宋体"/>
                <w:bCs/>
                <w:szCs w:val="21"/>
              </w:rPr>
            </w:pPr>
            <w:r>
              <w:rPr>
                <w:rFonts w:hint="eastAsia" w:ascii="宋体" w:hAnsi="宋体" w:cs="宋体"/>
                <w:bCs/>
                <w:szCs w:val="21"/>
              </w:rPr>
              <w:t>　</w:t>
            </w:r>
          </w:p>
        </w:tc>
      </w:tr>
      <w:tr w14:paraId="5BCC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00683842">
            <w:pPr>
              <w:spacing w:line="360" w:lineRule="auto"/>
              <w:rPr>
                <w:rFonts w:ascii="宋体" w:hAnsi="宋体" w:cs="宋体"/>
                <w:bCs/>
                <w:szCs w:val="21"/>
              </w:rPr>
            </w:pPr>
            <w:r>
              <w:rPr>
                <w:rFonts w:hint="eastAsia" w:ascii="宋体" w:hAnsi="宋体" w:cs="宋体"/>
                <w:bCs/>
                <w:szCs w:val="21"/>
              </w:rPr>
              <w:t>数据汇聚能力</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08636C92">
            <w:pPr>
              <w:spacing w:line="360" w:lineRule="auto"/>
              <w:rPr>
                <w:rFonts w:ascii="宋体" w:hAnsi="宋体" w:cs="宋体"/>
                <w:bCs/>
                <w:szCs w:val="21"/>
              </w:rPr>
            </w:pPr>
            <w:r>
              <w:rPr>
                <w:rFonts w:hint="eastAsia" w:ascii="宋体" w:hAnsi="宋体" w:cs="宋体"/>
                <w:bCs/>
                <w:szCs w:val="21"/>
              </w:rPr>
              <w:t>数据传输组件支持数据抽取和同步。可支持同步、迁移多种类型的关系型数据库的数据至分布式数据库。</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37F41F7">
            <w:pPr>
              <w:spacing w:line="360" w:lineRule="auto"/>
              <w:rPr>
                <w:rFonts w:ascii="宋体" w:hAnsi="宋体" w:cs="宋体"/>
                <w:bCs/>
                <w:szCs w:val="21"/>
              </w:rPr>
            </w:pPr>
            <w:r>
              <w:rPr>
                <w:rFonts w:hint="eastAsia" w:ascii="宋体" w:hAnsi="宋体" w:cs="宋体"/>
                <w:bCs/>
                <w:szCs w:val="21"/>
              </w:rPr>
              <w:t>　</w:t>
            </w:r>
          </w:p>
        </w:tc>
      </w:tr>
      <w:tr w14:paraId="16E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4154717B">
            <w:pPr>
              <w:spacing w:line="360" w:lineRule="auto"/>
              <w:rPr>
                <w:rFonts w:ascii="宋体" w:hAnsi="宋体" w:cs="宋体"/>
                <w:bCs/>
                <w:szCs w:val="21"/>
              </w:rPr>
            </w:pPr>
            <w:r>
              <w:rPr>
                <w:rFonts w:hint="eastAsia" w:ascii="宋体" w:hAnsi="宋体" w:cs="宋体"/>
                <w:bCs/>
                <w:szCs w:val="21"/>
              </w:rPr>
              <w:t>性能要求</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114D8482">
            <w:pPr>
              <w:spacing w:line="360" w:lineRule="auto"/>
              <w:rPr>
                <w:rFonts w:ascii="宋体" w:hAnsi="宋体" w:cs="宋体"/>
                <w:bCs/>
                <w:szCs w:val="21"/>
              </w:rPr>
            </w:pPr>
            <w:r>
              <w:rPr>
                <w:rFonts w:hint="eastAsia" w:ascii="宋体" w:hAnsi="宋体" w:cs="宋体"/>
                <w:bCs/>
                <w:szCs w:val="21"/>
              </w:rPr>
              <w:t>需支持海量数据（PB 级别以上），并在此数据量下还有较好的业务性能。同时事务满足 ACID、具备高可用、数据强一致的能力。</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98D9A96">
            <w:pPr>
              <w:spacing w:line="360" w:lineRule="auto"/>
              <w:rPr>
                <w:rFonts w:ascii="宋体" w:hAnsi="宋体" w:cs="宋体"/>
                <w:bCs/>
                <w:szCs w:val="21"/>
              </w:rPr>
            </w:pPr>
            <w:r>
              <w:rPr>
                <w:rFonts w:hint="eastAsia" w:ascii="宋体" w:hAnsi="宋体" w:cs="宋体"/>
                <w:bCs/>
                <w:szCs w:val="21"/>
              </w:rPr>
              <w:t>　</w:t>
            </w:r>
          </w:p>
        </w:tc>
      </w:tr>
      <w:tr w14:paraId="1D43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restart"/>
            <w:tcBorders>
              <w:top w:val="single" w:color="auto" w:sz="4" w:space="0"/>
              <w:left w:val="single" w:color="auto" w:sz="4" w:space="0"/>
              <w:right w:val="single" w:color="auto" w:sz="4" w:space="0"/>
            </w:tcBorders>
            <w:shd w:val="clear" w:color="auto" w:fill="auto"/>
            <w:vAlign w:val="center"/>
          </w:tcPr>
          <w:p w14:paraId="2F85BCFD">
            <w:pPr>
              <w:spacing w:line="360" w:lineRule="auto"/>
              <w:rPr>
                <w:rFonts w:ascii="宋体" w:hAnsi="宋体" w:cs="宋体"/>
                <w:bCs/>
                <w:szCs w:val="21"/>
              </w:rPr>
            </w:pPr>
            <w:r>
              <w:rPr>
                <w:rFonts w:hint="eastAsia" w:ascii="宋体" w:hAnsi="宋体" w:cs="宋体"/>
                <w:bCs/>
                <w:szCs w:val="21"/>
              </w:rPr>
              <w:t>其他功能要求</w:t>
            </w: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0770F35F">
            <w:pPr>
              <w:spacing w:line="360" w:lineRule="auto"/>
              <w:rPr>
                <w:rFonts w:ascii="宋体" w:hAnsi="宋体" w:cs="宋体"/>
                <w:bCs/>
                <w:szCs w:val="21"/>
              </w:rPr>
            </w:pPr>
            <w:r>
              <w:rPr>
                <w:rFonts w:hint="eastAsia" w:ascii="宋体" w:hAnsi="宋体" w:cs="宋体"/>
                <w:bCs/>
                <w:szCs w:val="21"/>
              </w:rPr>
              <w:t>支持不带拆分键的查询，支持跨节点查询大表的数据，支持三个分区表以上连接。支持将非拆分表数据复制到所有节点上，并跟拆分表进行表关联，消除跨节点请求。支持不带拆分键的更新，支持事务跨越多个节点，该事务必须是强一致的分布式事务。</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5A32161">
            <w:pPr>
              <w:spacing w:line="360" w:lineRule="auto"/>
              <w:rPr>
                <w:rFonts w:ascii="宋体" w:hAnsi="宋体" w:cs="宋体"/>
                <w:bCs/>
                <w:szCs w:val="21"/>
              </w:rPr>
            </w:pPr>
            <w:r>
              <w:rPr>
                <w:rFonts w:hint="eastAsia" w:ascii="宋体" w:hAnsi="宋体" w:cs="宋体"/>
                <w:bCs/>
                <w:szCs w:val="21"/>
              </w:rPr>
              <w:t>　</w:t>
            </w:r>
          </w:p>
        </w:tc>
      </w:tr>
      <w:tr w14:paraId="63E4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6994486C">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10C3C74A">
            <w:pPr>
              <w:spacing w:line="360" w:lineRule="auto"/>
              <w:rPr>
                <w:rFonts w:ascii="宋体" w:hAnsi="宋体" w:cs="宋体"/>
                <w:bCs/>
                <w:szCs w:val="21"/>
              </w:rPr>
            </w:pPr>
            <w:r>
              <w:rPr>
                <w:rFonts w:hint="eastAsia" w:ascii="宋体" w:hAnsi="宋体" w:cs="宋体"/>
                <w:bCs/>
                <w:szCs w:val="21"/>
              </w:rPr>
              <w:t>支持集群在线扩容和缩容，在线扩容和缩容过程中支持数据自动负载均衡，数据迁移过程中需要保证业务不中断和不丢数据。</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446F633E">
            <w:pPr>
              <w:spacing w:line="360" w:lineRule="auto"/>
              <w:rPr>
                <w:rFonts w:ascii="宋体" w:hAnsi="宋体" w:cs="宋体"/>
                <w:bCs/>
                <w:szCs w:val="21"/>
              </w:rPr>
            </w:pPr>
            <w:r>
              <w:rPr>
                <w:rFonts w:hint="eastAsia" w:ascii="宋体" w:hAnsi="宋体" w:cs="宋体"/>
                <w:bCs/>
                <w:szCs w:val="21"/>
              </w:rPr>
              <w:t>　</w:t>
            </w:r>
          </w:p>
        </w:tc>
      </w:tr>
      <w:tr w14:paraId="0F38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40DA1883">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5482BA80">
            <w:pPr>
              <w:spacing w:line="360" w:lineRule="auto"/>
              <w:rPr>
                <w:rFonts w:ascii="宋体" w:hAnsi="宋体" w:cs="宋体"/>
                <w:bCs/>
                <w:szCs w:val="21"/>
              </w:rPr>
            </w:pPr>
            <w:r>
              <w:rPr>
                <w:rFonts w:hint="eastAsia" w:ascii="宋体" w:hAnsi="宋体" w:cs="宋体"/>
                <w:bCs/>
                <w:szCs w:val="21"/>
              </w:rPr>
              <w:t>支持数据多副本，至少三副本。多副本之间是强同步。主副本故障后能自动切换，并且保证新的主副本不丢数据。</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A8347BC">
            <w:pPr>
              <w:spacing w:line="360" w:lineRule="auto"/>
              <w:rPr>
                <w:rFonts w:ascii="宋体" w:hAnsi="宋体" w:cs="宋体"/>
                <w:bCs/>
                <w:szCs w:val="21"/>
              </w:rPr>
            </w:pPr>
            <w:r>
              <w:rPr>
                <w:rFonts w:hint="eastAsia" w:ascii="宋体" w:hAnsi="宋体" w:cs="宋体"/>
                <w:bCs/>
                <w:szCs w:val="21"/>
              </w:rPr>
              <w:t>　</w:t>
            </w:r>
          </w:p>
        </w:tc>
      </w:tr>
      <w:tr w14:paraId="5097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right w:val="single" w:color="auto" w:sz="4" w:space="0"/>
            </w:tcBorders>
            <w:vAlign w:val="center"/>
          </w:tcPr>
          <w:p w14:paraId="13346D7F">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37B56179">
            <w:pPr>
              <w:spacing w:line="360" w:lineRule="auto"/>
              <w:rPr>
                <w:rFonts w:ascii="宋体" w:hAnsi="宋体" w:cs="宋体"/>
                <w:bCs/>
                <w:szCs w:val="21"/>
              </w:rPr>
            </w:pPr>
            <w:r>
              <w:rPr>
                <w:rFonts w:hint="eastAsia" w:ascii="宋体" w:hAnsi="宋体" w:cs="宋体"/>
                <w:bCs/>
                <w:szCs w:val="21"/>
              </w:rPr>
              <w:t>提供一套自动化运维平台，能同时管理多套数据库集群。数据库运维自动化水平高，有 web 图形化界面，支持任务流模式。支持创建多租户（实例），租户可以选择兼容 Oracle 或 MySQL，租户可以在平台里在线扩容或缩容，租户可以查看性能监控图等。</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B9A4ED5">
            <w:pPr>
              <w:spacing w:line="360" w:lineRule="auto"/>
              <w:rPr>
                <w:rFonts w:ascii="宋体" w:hAnsi="宋体" w:cs="宋体"/>
                <w:bCs/>
                <w:szCs w:val="21"/>
              </w:rPr>
            </w:pPr>
            <w:r>
              <w:rPr>
                <w:rFonts w:hint="eastAsia" w:ascii="宋体" w:hAnsi="宋体" w:cs="宋体"/>
                <w:bCs/>
                <w:szCs w:val="21"/>
              </w:rPr>
              <w:t>　</w:t>
            </w:r>
          </w:p>
        </w:tc>
      </w:tr>
      <w:tr w14:paraId="7DCF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9" w:type="pct"/>
            <w:vMerge w:val="continue"/>
            <w:tcBorders>
              <w:left w:val="single" w:color="auto" w:sz="4" w:space="0"/>
              <w:bottom w:val="single" w:color="auto" w:sz="4" w:space="0"/>
              <w:right w:val="single" w:color="auto" w:sz="4" w:space="0"/>
            </w:tcBorders>
            <w:vAlign w:val="center"/>
          </w:tcPr>
          <w:p w14:paraId="13CEC8A1">
            <w:pPr>
              <w:spacing w:line="360" w:lineRule="auto"/>
              <w:rPr>
                <w:rFonts w:ascii="宋体" w:hAnsi="宋体" w:cs="宋体"/>
                <w:bCs/>
                <w:szCs w:val="21"/>
              </w:rPr>
            </w:pPr>
          </w:p>
        </w:tc>
        <w:tc>
          <w:tcPr>
            <w:tcW w:w="3736" w:type="pct"/>
            <w:tcBorders>
              <w:top w:val="single" w:color="auto" w:sz="4" w:space="0"/>
              <w:left w:val="single" w:color="auto" w:sz="4" w:space="0"/>
              <w:bottom w:val="single" w:color="auto" w:sz="4" w:space="0"/>
              <w:right w:val="single" w:color="auto" w:sz="4" w:space="0"/>
            </w:tcBorders>
            <w:shd w:val="clear" w:color="auto" w:fill="auto"/>
            <w:vAlign w:val="center"/>
          </w:tcPr>
          <w:p w14:paraId="3948F5CA">
            <w:pPr>
              <w:spacing w:line="360" w:lineRule="auto"/>
              <w:rPr>
                <w:rFonts w:ascii="宋体" w:hAnsi="宋体" w:cs="宋体"/>
                <w:bCs/>
                <w:szCs w:val="21"/>
              </w:rPr>
            </w:pPr>
            <w:r>
              <w:rPr>
                <w:rFonts w:hint="eastAsia" w:ascii="宋体" w:hAnsi="宋体" w:cs="宋体"/>
                <w:bCs/>
                <w:szCs w:val="21"/>
              </w:rPr>
              <w:t>支持分布式数据库备份，包括全量备份和实时的增量备份。支持恢复到任意时间点。</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4CEA27F">
            <w:pPr>
              <w:spacing w:line="360" w:lineRule="auto"/>
              <w:rPr>
                <w:rFonts w:ascii="宋体" w:hAnsi="宋体" w:cs="宋体"/>
                <w:bCs/>
                <w:szCs w:val="21"/>
              </w:rPr>
            </w:pPr>
            <w:r>
              <w:rPr>
                <w:rFonts w:hint="eastAsia" w:ascii="宋体" w:hAnsi="宋体" w:cs="宋体"/>
                <w:bCs/>
                <w:szCs w:val="21"/>
              </w:rPr>
              <w:t>　</w:t>
            </w:r>
          </w:p>
        </w:tc>
      </w:tr>
    </w:tbl>
    <w:p w14:paraId="70DE383F">
      <w:pPr>
        <w:pStyle w:val="23"/>
        <w:snapToGrid w:val="0"/>
        <w:ind w:firstLine="420" w:firstLineChars="200"/>
        <w:outlineLvl w:val="4"/>
        <w:rPr>
          <w:rFonts w:hAnsi="宋体" w:cs="宋体"/>
          <w:sz w:val="21"/>
        </w:rPr>
      </w:pPr>
      <w:r>
        <w:rPr>
          <w:rFonts w:hint="eastAsia" w:hAnsi="宋体" w:cs="宋体"/>
          <w:sz w:val="21"/>
        </w:rPr>
        <w:t>7.1.2.3分析型数据库 MySQL版</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256"/>
        <w:gridCol w:w="6885"/>
        <w:gridCol w:w="1148"/>
      </w:tblGrid>
      <w:tr w14:paraId="799E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676" w:type="pct"/>
            <w:shd w:val="clear" w:color="auto" w:fill="FFFFFF"/>
            <w:vAlign w:val="center"/>
          </w:tcPr>
          <w:p w14:paraId="2BB6E6C2">
            <w:pPr>
              <w:spacing w:line="360" w:lineRule="auto"/>
              <w:jc w:val="center"/>
              <w:rPr>
                <w:rFonts w:ascii="宋体" w:hAnsi="宋体" w:cs="宋体"/>
                <w:b/>
                <w:bCs/>
                <w:szCs w:val="21"/>
              </w:rPr>
            </w:pPr>
            <w:r>
              <w:rPr>
                <w:rFonts w:hint="eastAsia" w:ascii="宋体" w:hAnsi="宋体" w:cs="宋体"/>
                <w:b/>
                <w:bCs/>
                <w:szCs w:val="21"/>
              </w:rPr>
              <w:t>指标项</w:t>
            </w:r>
          </w:p>
        </w:tc>
        <w:tc>
          <w:tcPr>
            <w:tcW w:w="3706" w:type="pct"/>
            <w:shd w:val="clear" w:color="auto" w:fill="FFFFFF"/>
            <w:vAlign w:val="center"/>
          </w:tcPr>
          <w:p w14:paraId="26AF7FAD">
            <w:pPr>
              <w:spacing w:line="360" w:lineRule="auto"/>
              <w:jc w:val="center"/>
              <w:rPr>
                <w:rFonts w:ascii="宋体" w:hAnsi="宋体" w:cs="宋体"/>
                <w:b/>
                <w:bCs/>
                <w:szCs w:val="21"/>
              </w:rPr>
            </w:pPr>
            <w:r>
              <w:rPr>
                <w:rFonts w:hint="eastAsia" w:ascii="宋体" w:hAnsi="宋体" w:cs="宋体"/>
                <w:b/>
                <w:bCs/>
                <w:szCs w:val="21"/>
              </w:rPr>
              <w:t>规格服务</w:t>
            </w:r>
          </w:p>
        </w:tc>
        <w:tc>
          <w:tcPr>
            <w:tcW w:w="618" w:type="pct"/>
            <w:shd w:val="clear" w:color="auto" w:fill="FFFFFF"/>
            <w:vAlign w:val="center"/>
          </w:tcPr>
          <w:p w14:paraId="6949B82C">
            <w:pPr>
              <w:spacing w:line="360" w:lineRule="auto"/>
              <w:jc w:val="center"/>
              <w:rPr>
                <w:rFonts w:ascii="宋体" w:hAnsi="宋体" w:cs="宋体"/>
                <w:b/>
                <w:bCs/>
                <w:szCs w:val="21"/>
              </w:rPr>
            </w:pPr>
            <w:r>
              <w:rPr>
                <w:rFonts w:hint="eastAsia" w:ascii="宋体" w:hAnsi="宋体" w:cs="宋体"/>
                <w:b/>
                <w:bCs/>
                <w:szCs w:val="21"/>
              </w:rPr>
              <w:t>备注</w:t>
            </w:r>
          </w:p>
        </w:tc>
      </w:tr>
      <w:tr w14:paraId="4F40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restart"/>
            <w:shd w:val="clear" w:color="auto" w:fill="FFFFFF"/>
            <w:vAlign w:val="center"/>
          </w:tcPr>
          <w:p w14:paraId="6766068C">
            <w:pPr>
              <w:spacing w:line="360" w:lineRule="auto"/>
              <w:rPr>
                <w:rFonts w:ascii="宋体" w:hAnsi="宋体" w:cs="宋体"/>
                <w:bCs/>
                <w:szCs w:val="21"/>
              </w:rPr>
            </w:pPr>
            <w:r>
              <w:rPr>
                <w:rFonts w:hint="eastAsia" w:ascii="宋体" w:hAnsi="宋体" w:cs="宋体"/>
                <w:bCs/>
                <w:szCs w:val="21"/>
              </w:rPr>
              <w:t>服务标准</w:t>
            </w:r>
          </w:p>
        </w:tc>
        <w:tc>
          <w:tcPr>
            <w:tcW w:w="3706" w:type="pct"/>
            <w:shd w:val="clear" w:color="auto" w:fill="FFFFFF"/>
            <w:vAlign w:val="center"/>
          </w:tcPr>
          <w:p w14:paraId="3723E8F4">
            <w:pPr>
              <w:spacing w:line="360" w:lineRule="auto"/>
              <w:rPr>
                <w:rFonts w:ascii="宋体" w:hAnsi="宋体" w:cs="宋体"/>
                <w:bCs/>
                <w:szCs w:val="21"/>
              </w:rPr>
            </w:pPr>
            <w:r>
              <w:rPr>
                <w:rFonts w:hint="eastAsia" w:ascii="宋体" w:hAnsi="宋体" w:cs="宋体"/>
                <w:bCs/>
                <w:szCs w:val="21"/>
              </w:rPr>
              <w:t>提供实时高并发在线分析</w:t>
            </w:r>
          </w:p>
        </w:tc>
        <w:tc>
          <w:tcPr>
            <w:tcW w:w="618" w:type="pct"/>
            <w:shd w:val="clear" w:color="auto" w:fill="FFFFFF"/>
            <w:vAlign w:val="center"/>
          </w:tcPr>
          <w:p w14:paraId="061E410B">
            <w:pPr>
              <w:spacing w:line="360" w:lineRule="auto"/>
              <w:rPr>
                <w:rFonts w:ascii="宋体" w:hAnsi="宋体" w:cs="宋体"/>
                <w:bCs/>
                <w:szCs w:val="21"/>
              </w:rPr>
            </w:pPr>
          </w:p>
        </w:tc>
      </w:tr>
      <w:tr w14:paraId="3D7E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Merge w:val="continue"/>
            <w:shd w:val="clear" w:color="auto" w:fill="FFFFFF"/>
            <w:vAlign w:val="center"/>
          </w:tcPr>
          <w:p w14:paraId="565659FC">
            <w:pPr>
              <w:spacing w:line="360" w:lineRule="auto"/>
              <w:rPr>
                <w:rFonts w:ascii="宋体" w:hAnsi="宋体" w:cs="宋体"/>
                <w:bCs/>
                <w:szCs w:val="21"/>
              </w:rPr>
            </w:pPr>
          </w:p>
        </w:tc>
        <w:tc>
          <w:tcPr>
            <w:tcW w:w="3706" w:type="pct"/>
            <w:shd w:val="clear" w:color="auto" w:fill="FFFFFF"/>
            <w:vAlign w:val="center"/>
          </w:tcPr>
          <w:p w14:paraId="4808A665">
            <w:pPr>
              <w:spacing w:line="360" w:lineRule="auto"/>
              <w:rPr>
                <w:rFonts w:ascii="宋体" w:hAnsi="宋体" w:cs="宋体"/>
                <w:bCs/>
                <w:szCs w:val="21"/>
              </w:rPr>
            </w:pPr>
            <w:r>
              <w:rPr>
                <w:rFonts w:hint="eastAsia" w:ascii="宋体" w:hAnsi="宋体" w:cs="宋体"/>
                <w:bCs/>
                <w:szCs w:val="21"/>
              </w:rPr>
              <w:t>支持即时多维分析透视和业务探索</w:t>
            </w:r>
          </w:p>
        </w:tc>
        <w:tc>
          <w:tcPr>
            <w:tcW w:w="618" w:type="pct"/>
            <w:shd w:val="clear" w:color="auto" w:fill="FFFFFF"/>
            <w:vAlign w:val="center"/>
          </w:tcPr>
          <w:p w14:paraId="45208331">
            <w:pPr>
              <w:spacing w:line="360" w:lineRule="auto"/>
              <w:rPr>
                <w:rFonts w:ascii="宋体" w:hAnsi="宋体" w:cs="宋体"/>
                <w:bCs/>
                <w:szCs w:val="21"/>
              </w:rPr>
            </w:pPr>
          </w:p>
        </w:tc>
      </w:tr>
      <w:tr w14:paraId="0219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continue"/>
            <w:shd w:val="clear" w:color="auto" w:fill="FFFFFF"/>
            <w:vAlign w:val="center"/>
          </w:tcPr>
          <w:p w14:paraId="0EF33509">
            <w:pPr>
              <w:spacing w:line="360" w:lineRule="auto"/>
              <w:rPr>
                <w:rFonts w:ascii="宋体" w:hAnsi="宋体" w:cs="宋体"/>
                <w:bCs/>
                <w:szCs w:val="21"/>
              </w:rPr>
            </w:pPr>
          </w:p>
        </w:tc>
        <w:tc>
          <w:tcPr>
            <w:tcW w:w="3706" w:type="pct"/>
            <w:shd w:val="clear" w:color="auto" w:fill="FFFFFF"/>
            <w:vAlign w:val="center"/>
          </w:tcPr>
          <w:p w14:paraId="08B0AD02">
            <w:pPr>
              <w:spacing w:line="360" w:lineRule="auto"/>
              <w:rPr>
                <w:rFonts w:ascii="宋体" w:hAnsi="宋体" w:cs="宋体"/>
                <w:bCs/>
                <w:szCs w:val="21"/>
              </w:rPr>
            </w:pPr>
            <w:r>
              <w:rPr>
                <w:rFonts w:hint="eastAsia" w:ascii="宋体" w:hAnsi="宋体" w:cs="宋体"/>
                <w:bCs/>
                <w:szCs w:val="21"/>
              </w:rPr>
              <w:t>全量数据参与分析计算</w:t>
            </w:r>
          </w:p>
        </w:tc>
        <w:tc>
          <w:tcPr>
            <w:tcW w:w="618" w:type="pct"/>
            <w:shd w:val="clear" w:color="auto" w:fill="FFFFFF"/>
            <w:vAlign w:val="center"/>
          </w:tcPr>
          <w:p w14:paraId="45FD1ECF">
            <w:pPr>
              <w:spacing w:line="360" w:lineRule="auto"/>
              <w:rPr>
                <w:rFonts w:ascii="宋体" w:hAnsi="宋体" w:cs="宋体"/>
                <w:bCs/>
                <w:szCs w:val="21"/>
              </w:rPr>
            </w:pPr>
          </w:p>
        </w:tc>
      </w:tr>
      <w:tr w14:paraId="49EA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restart"/>
            <w:shd w:val="clear" w:color="auto" w:fill="FFFFFF"/>
            <w:vAlign w:val="center"/>
          </w:tcPr>
          <w:p w14:paraId="3ECB346A">
            <w:pPr>
              <w:spacing w:line="360" w:lineRule="auto"/>
              <w:rPr>
                <w:rFonts w:ascii="宋体" w:hAnsi="宋体" w:cs="宋体"/>
                <w:bCs/>
                <w:szCs w:val="21"/>
              </w:rPr>
            </w:pPr>
            <w:r>
              <w:rPr>
                <w:rFonts w:hint="eastAsia" w:ascii="宋体" w:hAnsi="宋体" w:cs="宋体"/>
                <w:bCs/>
                <w:szCs w:val="21"/>
              </w:rPr>
              <w:t>服务特性</w:t>
            </w:r>
          </w:p>
        </w:tc>
        <w:tc>
          <w:tcPr>
            <w:tcW w:w="3706" w:type="pct"/>
            <w:shd w:val="clear" w:color="auto" w:fill="FFFFFF"/>
            <w:vAlign w:val="center"/>
          </w:tcPr>
          <w:p w14:paraId="2E26C9F8">
            <w:pPr>
              <w:spacing w:line="360" w:lineRule="auto"/>
              <w:rPr>
                <w:rFonts w:ascii="宋体" w:hAnsi="宋体" w:cs="宋体"/>
                <w:bCs/>
                <w:szCs w:val="21"/>
              </w:rPr>
            </w:pPr>
            <w:r>
              <w:rPr>
                <w:rFonts w:hint="eastAsia" w:ascii="宋体" w:hAnsi="宋体" w:cs="宋体"/>
                <w:bCs/>
                <w:szCs w:val="21"/>
              </w:rPr>
              <w:t>通过SQL对海量数据灵活的进行多维分析、数据透视、数据筛选。支持标准SQL如DDL/DML/DCL进行数据定义、操作、控制，支持JOIN、HAVING、DISTINCT等。能够对任意字段进行组合查询。支持常规的聚合函数以及个性化的分段、抽样等统计分析函数</w:t>
            </w:r>
          </w:p>
        </w:tc>
        <w:tc>
          <w:tcPr>
            <w:tcW w:w="618" w:type="pct"/>
            <w:shd w:val="clear" w:color="auto" w:fill="FFFFFF"/>
            <w:vAlign w:val="center"/>
          </w:tcPr>
          <w:p w14:paraId="738DB1CD">
            <w:pPr>
              <w:spacing w:line="360" w:lineRule="auto"/>
              <w:rPr>
                <w:rFonts w:ascii="宋体" w:hAnsi="宋体" w:cs="宋体"/>
                <w:bCs/>
                <w:szCs w:val="21"/>
              </w:rPr>
            </w:pPr>
          </w:p>
        </w:tc>
      </w:tr>
      <w:tr w14:paraId="4C59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continue"/>
            <w:shd w:val="clear" w:color="auto" w:fill="FFFFFF"/>
            <w:vAlign w:val="center"/>
          </w:tcPr>
          <w:p w14:paraId="3B9EBCF1">
            <w:pPr>
              <w:spacing w:line="360" w:lineRule="auto"/>
              <w:rPr>
                <w:rFonts w:ascii="宋体" w:hAnsi="宋体" w:cs="宋体"/>
                <w:bCs/>
                <w:szCs w:val="21"/>
              </w:rPr>
            </w:pPr>
          </w:p>
        </w:tc>
        <w:tc>
          <w:tcPr>
            <w:tcW w:w="3706" w:type="pct"/>
            <w:shd w:val="clear" w:color="auto" w:fill="FFFFFF"/>
            <w:vAlign w:val="center"/>
          </w:tcPr>
          <w:p w14:paraId="451F2641">
            <w:pPr>
              <w:spacing w:line="360" w:lineRule="auto"/>
              <w:rPr>
                <w:rFonts w:ascii="宋体" w:hAnsi="宋体" w:cs="宋体"/>
                <w:bCs/>
                <w:szCs w:val="21"/>
              </w:rPr>
            </w:pPr>
            <w:r>
              <w:rPr>
                <w:rFonts w:hint="eastAsia" w:ascii="宋体" w:hAnsi="宋体" w:cs="宋体"/>
                <w:bCs/>
                <w:szCs w:val="21"/>
              </w:rPr>
              <w:t>用户间的存储和计算资源进行精确隔离。可定制的数据多副本和动态资源管理机制提供不间断在线服务</w:t>
            </w:r>
          </w:p>
        </w:tc>
        <w:tc>
          <w:tcPr>
            <w:tcW w:w="618" w:type="pct"/>
            <w:shd w:val="clear" w:color="auto" w:fill="FFFFFF"/>
            <w:vAlign w:val="center"/>
          </w:tcPr>
          <w:p w14:paraId="60D954DD">
            <w:pPr>
              <w:spacing w:line="360" w:lineRule="auto"/>
              <w:rPr>
                <w:rFonts w:ascii="宋体" w:hAnsi="宋体" w:cs="宋体"/>
                <w:bCs/>
                <w:szCs w:val="21"/>
              </w:rPr>
            </w:pPr>
          </w:p>
        </w:tc>
      </w:tr>
      <w:tr w14:paraId="02C2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76" w:type="pct"/>
            <w:vMerge w:val="continue"/>
            <w:shd w:val="clear" w:color="auto" w:fill="FFFFFF"/>
            <w:vAlign w:val="center"/>
          </w:tcPr>
          <w:p w14:paraId="1FCFAD8C">
            <w:pPr>
              <w:spacing w:line="360" w:lineRule="auto"/>
              <w:rPr>
                <w:rFonts w:ascii="宋体" w:hAnsi="宋体" w:cs="宋体"/>
                <w:bCs/>
                <w:szCs w:val="21"/>
              </w:rPr>
            </w:pPr>
          </w:p>
        </w:tc>
        <w:tc>
          <w:tcPr>
            <w:tcW w:w="3706" w:type="pct"/>
            <w:shd w:val="clear" w:color="auto" w:fill="FFFFFF"/>
            <w:vAlign w:val="center"/>
          </w:tcPr>
          <w:p w14:paraId="0D9D1791">
            <w:pPr>
              <w:spacing w:line="360" w:lineRule="auto"/>
              <w:rPr>
                <w:rFonts w:ascii="宋体" w:hAnsi="宋体" w:cs="宋体"/>
                <w:bCs/>
                <w:szCs w:val="21"/>
              </w:rPr>
            </w:pPr>
            <w:r>
              <w:rPr>
                <w:rFonts w:hint="eastAsia" w:ascii="宋体" w:hAnsi="宋体" w:cs="宋体"/>
                <w:bCs/>
                <w:szCs w:val="21"/>
              </w:rPr>
              <w:t>提供精确到列级别的权限管理，利用公私钥机制保护数据安全</w:t>
            </w:r>
          </w:p>
        </w:tc>
        <w:tc>
          <w:tcPr>
            <w:tcW w:w="618" w:type="pct"/>
            <w:shd w:val="clear" w:color="auto" w:fill="FFFFFF"/>
            <w:vAlign w:val="center"/>
          </w:tcPr>
          <w:p w14:paraId="6A289DBC">
            <w:pPr>
              <w:spacing w:line="360" w:lineRule="auto"/>
              <w:rPr>
                <w:rFonts w:ascii="宋体" w:hAnsi="宋体" w:cs="宋体"/>
                <w:bCs/>
                <w:szCs w:val="21"/>
              </w:rPr>
            </w:pPr>
          </w:p>
        </w:tc>
      </w:tr>
      <w:tr w14:paraId="5BE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continue"/>
            <w:shd w:val="clear" w:color="auto" w:fill="FFFFFF"/>
            <w:vAlign w:val="center"/>
          </w:tcPr>
          <w:p w14:paraId="09F9917D">
            <w:pPr>
              <w:spacing w:line="360" w:lineRule="auto"/>
              <w:rPr>
                <w:rFonts w:ascii="宋体" w:hAnsi="宋体" w:cs="宋体"/>
                <w:bCs/>
                <w:szCs w:val="21"/>
              </w:rPr>
            </w:pPr>
          </w:p>
        </w:tc>
        <w:tc>
          <w:tcPr>
            <w:tcW w:w="3706" w:type="pct"/>
            <w:shd w:val="clear" w:color="auto" w:fill="FFFFFF"/>
            <w:vAlign w:val="center"/>
          </w:tcPr>
          <w:p w14:paraId="2B7A35DA">
            <w:pPr>
              <w:spacing w:line="360" w:lineRule="auto"/>
              <w:rPr>
                <w:rFonts w:ascii="宋体" w:hAnsi="宋体" w:cs="宋体"/>
                <w:bCs/>
                <w:szCs w:val="21"/>
              </w:rPr>
            </w:pPr>
            <w:r>
              <w:rPr>
                <w:rFonts w:hint="eastAsia" w:ascii="宋体" w:hAnsi="宋体" w:cs="宋体"/>
                <w:bCs/>
                <w:szCs w:val="21"/>
              </w:rPr>
              <w:t>全面兼容MySQL协议（包括数据元信息），具备与商业分析工具、应用的兼容性，内置支持多种数据源数据快速接入，大幅度降低业务系统和商业软件的接入成本</w:t>
            </w:r>
          </w:p>
        </w:tc>
        <w:tc>
          <w:tcPr>
            <w:tcW w:w="618" w:type="pct"/>
            <w:shd w:val="clear" w:color="auto" w:fill="FFFFFF"/>
            <w:vAlign w:val="center"/>
          </w:tcPr>
          <w:p w14:paraId="2622087C">
            <w:pPr>
              <w:spacing w:line="360" w:lineRule="auto"/>
              <w:rPr>
                <w:rFonts w:ascii="宋体" w:hAnsi="宋体" w:cs="宋体"/>
                <w:bCs/>
                <w:szCs w:val="21"/>
              </w:rPr>
            </w:pPr>
          </w:p>
        </w:tc>
      </w:tr>
      <w:tr w14:paraId="7C70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76" w:type="pct"/>
            <w:vMerge w:val="continue"/>
            <w:shd w:val="clear" w:color="auto" w:fill="FFFFFF"/>
            <w:vAlign w:val="center"/>
          </w:tcPr>
          <w:p w14:paraId="171FEE89">
            <w:pPr>
              <w:spacing w:line="360" w:lineRule="auto"/>
              <w:rPr>
                <w:rFonts w:ascii="宋体" w:hAnsi="宋体" w:cs="宋体"/>
                <w:bCs/>
                <w:szCs w:val="21"/>
              </w:rPr>
            </w:pPr>
          </w:p>
        </w:tc>
        <w:tc>
          <w:tcPr>
            <w:tcW w:w="3706" w:type="pct"/>
            <w:shd w:val="clear" w:color="auto" w:fill="FFFFFF"/>
            <w:vAlign w:val="center"/>
          </w:tcPr>
          <w:p w14:paraId="736718C2">
            <w:pPr>
              <w:spacing w:line="360" w:lineRule="auto"/>
              <w:rPr>
                <w:rFonts w:ascii="宋体" w:hAnsi="宋体" w:cs="宋体"/>
                <w:bCs/>
                <w:szCs w:val="21"/>
              </w:rPr>
            </w:pPr>
            <w:r>
              <w:rPr>
                <w:rFonts w:hint="eastAsia" w:ascii="宋体" w:hAnsi="宋体" w:cs="宋体"/>
                <w:bCs/>
                <w:szCs w:val="21"/>
              </w:rPr>
              <w:t>根据真实的使用消耗按量计费</w:t>
            </w:r>
          </w:p>
        </w:tc>
        <w:tc>
          <w:tcPr>
            <w:tcW w:w="618" w:type="pct"/>
            <w:shd w:val="clear" w:color="auto" w:fill="FFFFFF"/>
            <w:vAlign w:val="center"/>
          </w:tcPr>
          <w:p w14:paraId="6AE01ED2">
            <w:pPr>
              <w:spacing w:line="360" w:lineRule="auto"/>
              <w:rPr>
                <w:rFonts w:ascii="宋体" w:hAnsi="宋体" w:cs="宋体"/>
                <w:bCs/>
                <w:szCs w:val="21"/>
              </w:rPr>
            </w:pPr>
          </w:p>
        </w:tc>
      </w:tr>
      <w:tr w14:paraId="2E11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76" w:type="pct"/>
            <w:vMerge w:val="continue"/>
            <w:shd w:val="clear" w:color="auto" w:fill="FFFFFF"/>
            <w:vAlign w:val="center"/>
          </w:tcPr>
          <w:p w14:paraId="7FDBF4CC">
            <w:pPr>
              <w:spacing w:line="360" w:lineRule="auto"/>
              <w:rPr>
                <w:rFonts w:ascii="宋体" w:hAnsi="宋体" w:cs="宋体"/>
                <w:bCs/>
                <w:szCs w:val="21"/>
              </w:rPr>
            </w:pPr>
          </w:p>
        </w:tc>
        <w:tc>
          <w:tcPr>
            <w:tcW w:w="3706" w:type="pct"/>
            <w:shd w:val="clear" w:color="auto" w:fill="FFFFFF"/>
            <w:vAlign w:val="center"/>
          </w:tcPr>
          <w:p w14:paraId="07098D05">
            <w:pPr>
              <w:spacing w:line="360" w:lineRule="auto"/>
              <w:rPr>
                <w:rFonts w:ascii="宋体" w:hAnsi="宋体" w:cs="宋体"/>
                <w:bCs/>
                <w:szCs w:val="21"/>
              </w:rPr>
            </w:pPr>
            <w:r>
              <w:rPr>
                <w:rFonts w:hint="eastAsia" w:ascii="宋体" w:hAnsi="宋体" w:cs="宋体"/>
                <w:bCs/>
                <w:szCs w:val="21"/>
              </w:rPr>
              <w:t>全自动为每一列数据建立最合适的索引格</w:t>
            </w:r>
          </w:p>
        </w:tc>
        <w:tc>
          <w:tcPr>
            <w:tcW w:w="618" w:type="pct"/>
            <w:shd w:val="clear" w:color="auto" w:fill="FFFFFF"/>
            <w:vAlign w:val="center"/>
          </w:tcPr>
          <w:p w14:paraId="630816B6">
            <w:pPr>
              <w:spacing w:line="360" w:lineRule="auto"/>
              <w:rPr>
                <w:rFonts w:ascii="宋体" w:hAnsi="宋体" w:cs="宋体"/>
                <w:bCs/>
                <w:szCs w:val="21"/>
              </w:rPr>
            </w:pPr>
          </w:p>
        </w:tc>
      </w:tr>
      <w:tr w14:paraId="0145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continue"/>
            <w:shd w:val="clear" w:color="auto" w:fill="FFFFFF"/>
            <w:vAlign w:val="center"/>
          </w:tcPr>
          <w:p w14:paraId="3AE527B7">
            <w:pPr>
              <w:spacing w:line="360" w:lineRule="auto"/>
              <w:rPr>
                <w:rFonts w:ascii="宋体" w:hAnsi="宋体" w:cs="宋体"/>
                <w:bCs/>
                <w:szCs w:val="21"/>
              </w:rPr>
            </w:pPr>
          </w:p>
        </w:tc>
        <w:tc>
          <w:tcPr>
            <w:tcW w:w="3706" w:type="pct"/>
            <w:shd w:val="clear" w:color="auto" w:fill="FFFFFF"/>
            <w:vAlign w:val="center"/>
          </w:tcPr>
          <w:p w14:paraId="2102B704">
            <w:pPr>
              <w:spacing w:line="360" w:lineRule="auto"/>
              <w:rPr>
                <w:rFonts w:ascii="宋体" w:hAnsi="宋体" w:cs="宋体"/>
                <w:bCs/>
                <w:szCs w:val="21"/>
              </w:rPr>
            </w:pPr>
            <w:r>
              <w:rPr>
                <w:rFonts w:hint="eastAsia" w:ascii="宋体" w:hAnsi="宋体" w:cs="宋体"/>
                <w:bCs/>
                <w:szCs w:val="21"/>
              </w:rPr>
              <w:t>无需空间索引即可使用地理LBI函数圈选地理坐标数据。内建动态分段函数、快速聚合函数等多种函数方便OLAP应用的开发</w:t>
            </w:r>
          </w:p>
        </w:tc>
        <w:tc>
          <w:tcPr>
            <w:tcW w:w="618" w:type="pct"/>
            <w:shd w:val="clear" w:color="auto" w:fill="FFFFFF"/>
            <w:vAlign w:val="center"/>
          </w:tcPr>
          <w:p w14:paraId="426A9D5B">
            <w:pPr>
              <w:spacing w:line="360" w:lineRule="auto"/>
              <w:rPr>
                <w:rFonts w:ascii="宋体" w:hAnsi="宋体" w:cs="宋体"/>
                <w:bCs/>
                <w:szCs w:val="21"/>
              </w:rPr>
            </w:pPr>
          </w:p>
        </w:tc>
      </w:tr>
      <w:tr w14:paraId="0EC3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restart"/>
            <w:shd w:val="clear" w:color="auto" w:fill="FFFFFF"/>
            <w:vAlign w:val="center"/>
          </w:tcPr>
          <w:p w14:paraId="1B7D57D8">
            <w:pPr>
              <w:spacing w:line="360" w:lineRule="auto"/>
              <w:rPr>
                <w:rFonts w:ascii="宋体" w:hAnsi="宋体" w:cs="宋体"/>
                <w:bCs/>
                <w:szCs w:val="21"/>
              </w:rPr>
            </w:pPr>
            <w:r>
              <w:rPr>
                <w:rFonts w:hint="eastAsia" w:ascii="宋体" w:hAnsi="宋体" w:cs="宋体"/>
                <w:bCs/>
                <w:szCs w:val="21"/>
              </w:rPr>
              <w:t>服务能力</w:t>
            </w:r>
          </w:p>
        </w:tc>
        <w:tc>
          <w:tcPr>
            <w:tcW w:w="3706" w:type="pct"/>
            <w:shd w:val="clear" w:color="auto" w:fill="FFFFFF"/>
            <w:vAlign w:val="center"/>
          </w:tcPr>
          <w:p w14:paraId="281AF3D5">
            <w:pPr>
              <w:spacing w:line="360" w:lineRule="auto"/>
              <w:rPr>
                <w:rFonts w:ascii="宋体" w:hAnsi="宋体" w:cs="宋体"/>
                <w:bCs/>
                <w:szCs w:val="21"/>
              </w:rPr>
            </w:pPr>
            <w:r>
              <w:rPr>
                <w:rFonts w:hint="eastAsia" w:ascii="宋体" w:hAnsi="宋体" w:cs="宋体"/>
                <w:bCs/>
                <w:szCs w:val="21"/>
              </w:rPr>
              <w:t>毫秒级的千亿级数据多维透视，支持毫秒级的多个大表关联计算</w:t>
            </w:r>
          </w:p>
        </w:tc>
        <w:tc>
          <w:tcPr>
            <w:tcW w:w="618" w:type="pct"/>
            <w:shd w:val="clear" w:color="auto" w:fill="FFFFFF"/>
            <w:vAlign w:val="center"/>
          </w:tcPr>
          <w:p w14:paraId="14B19571">
            <w:pPr>
              <w:spacing w:line="360" w:lineRule="auto"/>
              <w:rPr>
                <w:rFonts w:ascii="宋体" w:hAnsi="宋体" w:cs="宋体"/>
                <w:bCs/>
                <w:szCs w:val="21"/>
              </w:rPr>
            </w:pPr>
          </w:p>
        </w:tc>
      </w:tr>
      <w:tr w14:paraId="589A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Merge w:val="continue"/>
            <w:shd w:val="clear" w:color="auto" w:fill="FFFFFF"/>
            <w:vAlign w:val="center"/>
          </w:tcPr>
          <w:p w14:paraId="4C108436">
            <w:pPr>
              <w:spacing w:line="360" w:lineRule="auto"/>
              <w:rPr>
                <w:rFonts w:ascii="宋体" w:hAnsi="宋体" w:cs="宋体"/>
                <w:bCs/>
                <w:szCs w:val="21"/>
              </w:rPr>
            </w:pPr>
          </w:p>
        </w:tc>
        <w:tc>
          <w:tcPr>
            <w:tcW w:w="3706" w:type="pct"/>
            <w:shd w:val="clear" w:color="auto" w:fill="FFFFFF"/>
            <w:vAlign w:val="center"/>
          </w:tcPr>
          <w:p w14:paraId="3EEAE467">
            <w:pPr>
              <w:spacing w:line="360" w:lineRule="auto"/>
              <w:rPr>
                <w:rFonts w:ascii="宋体" w:hAnsi="宋体" w:cs="宋体"/>
                <w:bCs/>
                <w:szCs w:val="21"/>
              </w:rPr>
            </w:pPr>
            <w:r>
              <w:rPr>
                <w:rFonts w:hint="eastAsia" w:ascii="宋体" w:hAnsi="宋体" w:cs="宋体"/>
                <w:bCs/>
                <w:szCs w:val="21"/>
              </w:rPr>
              <w:t>海量数据极速dump导出，dump速度可达到上百万条一秒</w:t>
            </w:r>
          </w:p>
        </w:tc>
        <w:tc>
          <w:tcPr>
            <w:tcW w:w="618" w:type="pct"/>
            <w:shd w:val="clear" w:color="auto" w:fill="FFFFFF"/>
            <w:vAlign w:val="center"/>
          </w:tcPr>
          <w:p w14:paraId="7BCEE201">
            <w:pPr>
              <w:spacing w:line="360" w:lineRule="auto"/>
              <w:rPr>
                <w:rFonts w:ascii="宋体" w:hAnsi="宋体" w:cs="宋体"/>
                <w:bCs/>
                <w:szCs w:val="21"/>
              </w:rPr>
            </w:pPr>
          </w:p>
        </w:tc>
      </w:tr>
      <w:tr w14:paraId="53E5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76" w:type="pct"/>
            <w:vMerge w:val="continue"/>
            <w:shd w:val="clear" w:color="auto" w:fill="FFFFFF"/>
            <w:vAlign w:val="center"/>
          </w:tcPr>
          <w:p w14:paraId="4935FE97">
            <w:pPr>
              <w:spacing w:line="360" w:lineRule="auto"/>
              <w:rPr>
                <w:rFonts w:ascii="宋体" w:hAnsi="宋体" w:cs="宋体"/>
                <w:bCs/>
                <w:szCs w:val="21"/>
              </w:rPr>
            </w:pPr>
          </w:p>
        </w:tc>
        <w:tc>
          <w:tcPr>
            <w:tcW w:w="3706" w:type="pct"/>
            <w:shd w:val="clear" w:color="auto" w:fill="FFFFFF"/>
            <w:vAlign w:val="center"/>
          </w:tcPr>
          <w:p w14:paraId="64AA2E18">
            <w:pPr>
              <w:spacing w:line="360" w:lineRule="auto"/>
              <w:rPr>
                <w:rFonts w:ascii="宋体" w:hAnsi="宋体" w:cs="宋体"/>
                <w:bCs/>
                <w:szCs w:val="21"/>
              </w:rPr>
            </w:pPr>
            <w:r>
              <w:rPr>
                <w:rFonts w:hint="eastAsia" w:ascii="宋体" w:hAnsi="宋体" w:cs="宋体"/>
                <w:bCs/>
                <w:szCs w:val="21"/>
              </w:rPr>
              <w:t>支持高并发的(准)实时数据写入/删除(insert/delete)，写入速度可达数千至数万TPS（视购买资源数量），写入数据一分钟内可查询</w:t>
            </w:r>
          </w:p>
        </w:tc>
        <w:tc>
          <w:tcPr>
            <w:tcW w:w="618" w:type="pct"/>
            <w:shd w:val="clear" w:color="auto" w:fill="FFFFFF"/>
            <w:vAlign w:val="center"/>
          </w:tcPr>
          <w:p w14:paraId="18A9D0F1">
            <w:pPr>
              <w:spacing w:line="360" w:lineRule="auto"/>
              <w:rPr>
                <w:rFonts w:ascii="宋体" w:hAnsi="宋体" w:cs="宋体"/>
                <w:bCs/>
                <w:szCs w:val="21"/>
              </w:rPr>
            </w:pPr>
          </w:p>
        </w:tc>
      </w:tr>
    </w:tbl>
    <w:p w14:paraId="1913F02F">
      <w:pPr>
        <w:pStyle w:val="23"/>
        <w:snapToGrid w:val="0"/>
        <w:ind w:firstLine="420" w:firstLineChars="200"/>
        <w:outlineLvl w:val="4"/>
        <w:rPr>
          <w:rFonts w:hAnsi="宋体" w:cs="宋体"/>
          <w:sz w:val="21"/>
        </w:rPr>
      </w:pPr>
      <w:r>
        <w:rPr>
          <w:rFonts w:hint="eastAsia" w:hAnsi="宋体" w:cs="宋体"/>
          <w:sz w:val="21"/>
        </w:rPr>
        <w:t>7.1.2.4分布式关系型数据库服务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6437"/>
        <w:gridCol w:w="1111"/>
      </w:tblGrid>
      <w:tr w14:paraId="11F1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37" w:type="pct"/>
            <w:vAlign w:val="center"/>
          </w:tcPr>
          <w:p w14:paraId="70C68779">
            <w:pPr>
              <w:spacing w:line="360" w:lineRule="auto"/>
              <w:jc w:val="center"/>
              <w:rPr>
                <w:rFonts w:ascii="宋体" w:hAnsi="宋体" w:cs="宋体"/>
                <w:b/>
                <w:bCs/>
                <w:szCs w:val="21"/>
              </w:rPr>
            </w:pPr>
            <w:r>
              <w:rPr>
                <w:rFonts w:hint="eastAsia" w:ascii="宋体" w:hAnsi="宋体" w:cs="宋体"/>
                <w:b/>
                <w:bCs/>
                <w:szCs w:val="21"/>
              </w:rPr>
              <w:t>指标项</w:t>
            </w:r>
          </w:p>
        </w:tc>
        <w:tc>
          <w:tcPr>
            <w:tcW w:w="3465" w:type="pct"/>
            <w:vAlign w:val="center"/>
          </w:tcPr>
          <w:p w14:paraId="7F962923">
            <w:pPr>
              <w:spacing w:line="360" w:lineRule="auto"/>
              <w:jc w:val="center"/>
              <w:rPr>
                <w:rFonts w:ascii="宋体" w:hAnsi="宋体" w:cs="宋体"/>
                <w:b/>
                <w:bCs/>
                <w:szCs w:val="21"/>
              </w:rPr>
            </w:pPr>
            <w:r>
              <w:rPr>
                <w:rFonts w:hint="eastAsia" w:ascii="宋体" w:hAnsi="宋体" w:cs="宋体"/>
                <w:b/>
                <w:bCs/>
                <w:szCs w:val="21"/>
              </w:rPr>
              <w:t>规格要求</w:t>
            </w:r>
          </w:p>
        </w:tc>
        <w:tc>
          <w:tcPr>
            <w:tcW w:w="598" w:type="pct"/>
            <w:vAlign w:val="center"/>
          </w:tcPr>
          <w:p w14:paraId="143893B7">
            <w:pPr>
              <w:spacing w:line="360" w:lineRule="auto"/>
              <w:jc w:val="center"/>
              <w:rPr>
                <w:rFonts w:ascii="宋体" w:hAnsi="宋体" w:cs="宋体"/>
                <w:b/>
                <w:bCs/>
                <w:szCs w:val="21"/>
              </w:rPr>
            </w:pPr>
            <w:r>
              <w:rPr>
                <w:rFonts w:hint="eastAsia" w:ascii="宋体" w:hAnsi="宋体" w:cs="宋体"/>
                <w:b/>
                <w:bCs/>
                <w:szCs w:val="21"/>
              </w:rPr>
              <w:t>备注</w:t>
            </w:r>
          </w:p>
        </w:tc>
      </w:tr>
      <w:tr w14:paraId="4E1D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7" w:type="pct"/>
            <w:vMerge w:val="restart"/>
            <w:vAlign w:val="center"/>
          </w:tcPr>
          <w:p w14:paraId="3EE00DC7">
            <w:pPr>
              <w:spacing w:line="360" w:lineRule="auto"/>
              <w:rPr>
                <w:rFonts w:ascii="宋体" w:hAnsi="宋体" w:cs="宋体"/>
                <w:bCs/>
                <w:szCs w:val="21"/>
              </w:rPr>
            </w:pPr>
            <w:r>
              <w:rPr>
                <w:rFonts w:hint="eastAsia" w:ascii="宋体" w:hAnsi="宋体" w:cs="宋体"/>
                <w:bCs/>
                <w:szCs w:val="21"/>
              </w:rPr>
              <w:t>基本功能/性能</w:t>
            </w:r>
          </w:p>
        </w:tc>
        <w:tc>
          <w:tcPr>
            <w:tcW w:w="3465" w:type="pct"/>
            <w:vAlign w:val="center"/>
          </w:tcPr>
          <w:p w14:paraId="09232AF2">
            <w:pPr>
              <w:spacing w:line="360" w:lineRule="auto"/>
              <w:rPr>
                <w:rFonts w:ascii="宋体" w:hAnsi="宋体" w:cs="宋体"/>
                <w:bCs/>
                <w:szCs w:val="21"/>
              </w:rPr>
            </w:pPr>
            <w:r>
              <w:rPr>
                <w:rFonts w:hint="eastAsia" w:ascii="宋体" w:hAnsi="宋体" w:cs="宋体"/>
                <w:bCs/>
                <w:szCs w:val="21"/>
              </w:rPr>
              <w:t>兼容MYSQL协议和语法，支持自动化水平拆分</w:t>
            </w:r>
          </w:p>
        </w:tc>
        <w:tc>
          <w:tcPr>
            <w:tcW w:w="598" w:type="pct"/>
            <w:vAlign w:val="center"/>
          </w:tcPr>
          <w:p w14:paraId="24DD8816">
            <w:pPr>
              <w:spacing w:line="360" w:lineRule="auto"/>
              <w:rPr>
                <w:rFonts w:ascii="宋体" w:hAnsi="宋体" w:cs="宋体"/>
                <w:bCs/>
                <w:szCs w:val="21"/>
              </w:rPr>
            </w:pPr>
          </w:p>
        </w:tc>
      </w:tr>
      <w:tr w14:paraId="6999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6E8C2C9C">
            <w:pPr>
              <w:spacing w:line="360" w:lineRule="auto"/>
              <w:rPr>
                <w:rFonts w:ascii="宋体" w:hAnsi="宋体" w:cs="宋体"/>
                <w:bCs/>
                <w:szCs w:val="21"/>
              </w:rPr>
            </w:pPr>
          </w:p>
        </w:tc>
        <w:tc>
          <w:tcPr>
            <w:tcW w:w="3465" w:type="pct"/>
            <w:vAlign w:val="center"/>
          </w:tcPr>
          <w:p w14:paraId="12E415AE">
            <w:pPr>
              <w:spacing w:line="360" w:lineRule="auto"/>
              <w:rPr>
                <w:rFonts w:ascii="宋体" w:hAnsi="宋体" w:cs="宋体"/>
                <w:bCs/>
                <w:szCs w:val="21"/>
              </w:rPr>
            </w:pPr>
            <w:r>
              <w:rPr>
                <w:rFonts w:hint="eastAsia" w:ascii="宋体" w:hAnsi="宋体" w:cs="宋体"/>
                <w:bCs/>
                <w:szCs w:val="21"/>
              </w:rPr>
              <w:t>支持在线平滑扩缩容，服务能力线性扩展，透明读写分离</w:t>
            </w:r>
          </w:p>
        </w:tc>
        <w:tc>
          <w:tcPr>
            <w:tcW w:w="598" w:type="pct"/>
            <w:vAlign w:val="center"/>
          </w:tcPr>
          <w:p w14:paraId="26D28C52">
            <w:pPr>
              <w:spacing w:line="360" w:lineRule="auto"/>
              <w:rPr>
                <w:rFonts w:ascii="宋体" w:hAnsi="宋体" w:cs="宋体"/>
                <w:bCs/>
                <w:szCs w:val="21"/>
              </w:rPr>
            </w:pPr>
          </w:p>
        </w:tc>
      </w:tr>
      <w:tr w14:paraId="376D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7BE4CFAF">
            <w:pPr>
              <w:spacing w:line="360" w:lineRule="auto"/>
              <w:rPr>
                <w:rFonts w:ascii="宋体" w:hAnsi="宋体" w:cs="宋体"/>
                <w:bCs/>
                <w:szCs w:val="21"/>
              </w:rPr>
            </w:pPr>
          </w:p>
        </w:tc>
        <w:tc>
          <w:tcPr>
            <w:tcW w:w="3465" w:type="pct"/>
            <w:vAlign w:val="center"/>
          </w:tcPr>
          <w:p w14:paraId="3DC0CE28">
            <w:pPr>
              <w:spacing w:line="360" w:lineRule="auto"/>
              <w:rPr>
                <w:rFonts w:ascii="宋体" w:hAnsi="宋体" w:cs="宋体"/>
                <w:bCs/>
                <w:szCs w:val="21"/>
              </w:rPr>
            </w:pPr>
            <w:r>
              <w:rPr>
                <w:rFonts w:hint="eastAsia" w:ascii="宋体" w:hAnsi="宋体" w:cs="宋体"/>
                <w:bCs/>
                <w:szCs w:val="21"/>
              </w:rPr>
              <w:t>客户端支持：分布式关系型数据库兼容数据库登录协议，支持Workbench ，Navicat ， SQLyog 等客户端</w:t>
            </w:r>
          </w:p>
        </w:tc>
        <w:tc>
          <w:tcPr>
            <w:tcW w:w="598" w:type="pct"/>
            <w:vAlign w:val="center"/>
          </w:tcPr>
          <w:p w14:paraId="6ADD83F6">
            <w:pPr>
              <w:spacing w:line="360" w:lineRule="auto"/>
              <w:rPr>
                <w:rFonts w:ascii="宋体" w:hAnsi="宋体" w:cs="宋体"/>
                <w:bCs/>
                <w:szCs w:val="21"/>
              </w:rPr>
            </w:pPr>
          </w:p>
        </w:tc>
      </w:tr>
      <w:tr w14:paraId="12A0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01E0435A">
            <w:pPr>
              <w:spacing w:line="360" w:lineRule="auto"/>
              <w:rPr>
                <w:rFonts w:ascii="宋体" w:hAnsi="宋体" w:cs="宋体"/>
                <w:bCs/>
                <w:szCs w:val="21"/>
              </w:rPr>
            </w:pPr>
          </w:p>
        </w:tc>
        <w:tc>
          <w:tcPr>
            <w:tcW w:w="3465" w:type="pct"/>
            <w:vAlign w:val="center"/>
          </w:tcPr>
          <w:p w14:paraId="1F9248F7">
            <w:pPr>
              <w:spacing w:line="360" w:lineRule="auto"/>
              <w:rPr>
                <w:rFonts w:ascii="宋体" w:hAnsi="宋体" w:cs="宋体"/>
                <w:bCs/>
                <w:szCs w:val="21"/>
              </w:rPr>
            </w:pPr>
            <w:r>
              <w:rPr>
                <w:rFonts w:hint="eastAsia" w:ascii="宋体" w:hAnsi="宋体" w:cs="宋体"/>
                <w:bCs/>
                <w:szCs w:val="21"/>
              </w:rPr>
              <w:t>提供的分布式数据库事务套件，实现最终一致性事务支持</w:t>
            </w:r>
          </w:p>
        </w:tc>
        <w:tc>
          <w:tcPr>
            <w:tcW w:w="598" w:type="pct"/>
            <w:vAlign w:val="center"/>
          </w:tcPr>
          <w:p w14:paraId="0480513B">
            <w:pPr>
              <w:spacing w:line="360" w:lineRule="auto"/>
              <w:rPr>
                <w:rFonts w:ascii="宋体" w:hAnsi="宋体" w:cs="宋体"/>
                <w:bCs/>
                <w:szCs w:val="21"/>
              </w:rPr>
            </w:pPr>
          </w:p>
        </w:tc>
      </w:tr>
      <w:tr w14:paraId="5494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57CE9F6E">
            <w:pPr>
              <w:spacing w:line="360" w:lineRule="auto"/>
              <w:rPr>
                <w:rFonts w:ascii="宋体" w:hAnsi="宋体" w:cs="宋体"/>
                <w:bCs/>
                <w:szCs w:val="21"/>
              </w:rPr>
            </w:pPr>
          </w:p>
        </w:tc>
        <w:tc>
          <w:tcPr>
            <w:tcW w:w="3465" w:type="pct"/>
            <w:vAlign w:val="center"/>
          </w:tcPr>
          <w:p w14:paraId="18544342">
            <w:pPr>
              <w:spacing w:line="360" w:lineRule="auto"/>
              <w:rPr>
                <w:rFonts w:ascii="宋体" w:hAnsi="宋体" w:cs="宋体"/>
                <w:bCs/>
                <w:szCs w:val="21"/>
              </w:rPr>
            </w:pPr>
            <w:r>
              <w:rPr>
                <w:rFonts w:hint="eastAsia" w:ascii="宋体" w:hAnsi="宋体" w:cs="宋体"/>
                <w:bCs/>
                <w:szCs w:val="21"/>
              </w:rPr>
              <w:t>支持外部数据源的增量和全量导入，帮助用户实现数据库平滑上云</w:t>
            </w:r>
          </w:p>
        </w:tc>
        <w:tc>
          <w:tcPr>
            <w:tcW w:w="598" w:type="pct"/>
            <w:vAlign w:val="center"/>
          </w:tcPr>
          <w:p w14:paraId="1DDDA2F3">
            <w:pPr>
              <w:spacing w:line="360" w:lineRule="auto"/>
              <w:rPr>
                <w:rFonts w:ascii="宋体" w:hAnsi="宋体" w:cs="宋体"/>
                <w:bCs/>
                <w:szCs w:val="21"/>
              </w:rPr>
            </w:pPr>
          </w:p>
        </w:tc>
      </w:tr>
      <w:tr w14:paraId="67DC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7" w:type="pct"/>
            <w:vMerge w:val="continue"/>
            <w:vAlign w:val="center"/>
          </w:tcPr>
          <w:p w14:paraId="35726CD5">
            <w:pPr>
              <w:spacing w:line="360" w:lineRule="auto"/>
              <w:rPr>
                <w:rFonts w:ascii="宋体" w:hAnsi="宋体" w:cs="宋体"/>
                <w:bCs/>
                <w:szCs w:val="21"/>
              </w:rPr>
            </w:pPr>
          </w:p>
        </w:tc>
        <w:tc>
          <w:tcPr>
            <w:tcW w:w="3465" w:type="pct"/>
            <w:vAlign w:val="center"/>
          </w:tcPr>
          <w:p w14:paraId="4F582D2C">
            <w:pPr>
              <w:spacing w:line="360" w:lineRule="auto"/>
              <w:rPr>
                <w:rFonts w:ascii="宋体" w:hAnsi="宋体" w:cs="宋体"/>
                <w:bCs/>
                <w:szCs w:val="21"/>
              </w:rPr>
            </w:pPr>
            <w:r>
              <w:rPr>
                <w:rFonts w:hint="eastAsia" w:ascii="宋体" w:hAnsi="宋体" w:cs="宋体"/>
                <w:bCs/>
                <w:szCs w:val="21"/>
              </w:rPr>
              <w:t>支持分库分表按照逻辑库表导出</w:t>
            </w:r>
          </w:p>
        </w:tc>
        <w:tc>
          <w:tcPr>
            <w:tcW w:w="598" w:type="pct"/>
            <w:vAlign w:val="center"/>
          </w:tcPr>
          <w:p w14:paraId="24F1BA69">
            <w:pPr>
              <w:spacing w:line="360" w:lineRule="auto"/>
              <w:rPr>
                <w:rFonts w:ascii="宋体" w:hAnsi="宋体" w:cs="宋体"/>
                <w:bCs/>
                <w:szCs w:val="21"/>
              </w:rPr>
            </w:pPr>
          </w:p>
        </w:tc>
      </w:tr>
      <w:tr w14:paraId="17F9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5161724D">
            <w:pPr>
              <w:spacing w:line="360" w:lineRule="auto"/>
              <w:rPr>
                <w:rFonts w:ascii="宋体" w:hAnsi="宋体" w:cs="宋体"/>
                <w:bCs/>
                <w:szCs w:val="21"/>
              </w:rPr>
            </w:pPr>
          </w:p>
        </w:tc>
        <w:tc>
          <w:tcPr>
            <w:tcW w:w="3465" w:type="pct"/>
            <w:vAlign w:val="center"/>
          </w:tcPr>
          <w:p w14:paraId="1C4FA21B">
            <w:pPr>
              <w:spacing w:line="360" w:lineRule="auto"/>
              <w:rPr>
                <w:rFonts w:ascii="宋体" w:hAnsi="宋体" w:cs="宋体"/>
                <w:bCs/>
                <w:szCs w:val="21"/>
              </w:rPr>
            </w:pPr>
            <w:r>
              <w:rPr>
                <w:rFonts w:hint="eastAsia" w:ascii="宋体" w:hAnsi="宋体" w:cs="宋体"/>
                <w:bCs/>
                <w:szCs w:val="21"/>
              </w:rPr>
              <w:t>提供show slow ，show node show datasource trace等丰富命令帮助迅速定位慢SQL问题</w:t>
            </w:r>
          </w:p>
        </w:tc>
        <w:tc>
          <w:tcPr>
            <w:tcW w:w="598" w:type="pct"/>
            <w:vAlign w:val="center"/>
          </w:tcPr>
          <w:p w14:paraId="79DD7C5B">
            <w:pPr>
              <w:spacing w:line="360" w:lineRule="auto"/>
              <w:rPr>
                <w:rFonts w:ascii="宋体" w:hAnsi="宋体" w:cs="宋体"/>
                <w:bCs/>
                <w:szCs w:val="21"/>
              </w:rPr>
            </w:pPr>
          </w:p>
        </w:tc>
      </w:tr>
      <w:tr w14:paraId="5619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32A8021E">
            <w:pPr>
              <w:spacing w:line="360" w:lineRule="auto"/>
              <w:rPr>
                <w:rFonts w:ascii="宋体" w:hAnsi="宋体" w:cs="宋体"/>
                <w:bCs/>
                <w:szCs w:val="21"/>
              </w:rPr>
            </w:pPr>
          </w:p>
        </w:tc>
        <w:tc>
          <w:tcPr>
            <w:tcW w:w="3465" w:type="pct"/>
            <w:vAlign w:val="center"/>
          </w:tcPr>
          <w:p w14:paraId="3282448F">
            <w:pPr>
              <w:spacing w:line="360" w:lineRule="auto"/>
              <w:rPr>
                <w:rFonts w:ascii="宋体" w:hAnsi="宋体" w:cs="宋体"/>
                <w:bCs/>
                <w:szCs w:val="21"/>
              </w:rPr>
            </w:pPr>
            <w:r>
              <w:rPr>
                <w:rFonts w:hint="eastAsia" w:ascii="宋体" w:hAnsi="宋体" w:cs="宋体"/>
                <w:bCs/>
                <w:szCs w:val="21"/>
              </w:rPr>
              <w:t>支持自动化数据拆分，支持字符串，日期，数字的多种拆分方案</w:t>
            </w:r>
          </w:p>
        </w:tc>
        <w:tc>
          <w:tcPr>
            <w:tcW w:w="598" w:type="pct"/>
            <w:vAlign w:val="center"/>
          </w:tcPr>
          <w:p w14:paraId="0E85569A">
            <w:pPr>
              <w:spacing w:line="360" w:lineRule="auto"/>
              <w:rPr>
                <w:rFonts w:ascii="宋体" w:hAnsi="宋体" w:cs="宋体"/>
                <w:bCs/>
                <w:szCs w:val="21"/>
              </w:rPr>
            </w:pPr>
          </w:p>
        </w:tc>
      </w:tr>
      <w:tr w14:paraId="61D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0E2E38BF">
            <w:pPr>
              <w:spacing w:line="360" w:lineRule="auto"/>
              <w:rPr>
                <w:rFonts w:ascii="宋体" w:hAnsi="宋体" w:cs="宋体"/>
                <w:bCs/>
                <w:szCs w:val="21"/>
              </w:rPr>
            </w:pPr>
          </w:p>
        </w:tc>
        <w:tc>
          <w:tcPr>
            <w:tcW w:w="3465" w:type="pct"/>
            <w:vAlign w:val="center"/>
          </w:tcPr>
          <w:p w14:paraId="1F36B9D9">
            <w:pPr>
              <w:spacing w:line="360" w:lineRule="auto"/>
              <w:rPr>
                <w:rFonts w:ascii="宋体" w:hAnsi="宋体" w:cs="宋体"/>
                <w:bCs/>
                <w:szCs w:val="21"/>
              </w:rPr>
            </w:pPr>
            <w:r>
              <w:rPr>
                <w:rFonts w:hint="eastAsia" w:ascii="宋体" w:hAnsi="宋体" w:cs="宋体"/>
                <w:bCs/>
                <w:szCs w:val="21"/>
              </w:rPr>
              <w:t>提供完整的数据库运维监控系统，对数据库IOPS，TPS，CPU实时监控</w:t>
            </w:r>
          </w:p>
        </w:tc>
        <w:tc>
          <w:tcPr>
            <w:tcW w:w="598" w:type="pct"/>
            <w:vAlign w:val="center"/>
          </w:tcPr>
          <w:p w14:paraId="46E2D87E">
            <w:pPr>
              <w:spacing w:line="360" w:lineRule="auto"/>
              <w:rPr>
                <w:rFonts w:ascii="宋体" w:hAnsi="宋体" w:cs="宋体"/>
                <w:bCs/>
                <w:szCs w:val="21"/>
              </w:rPr>
            </w:pPr>
          </w:p>
        </w:tc>
      </w:tr>
      <w:tr w14:paraId="2FC1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7" w:type="pct"/>
            <w:vMerge w:val="restart"/>
            <w:vAlign w:val="center"/>
          </w:tcPr>
          <w:p w14:paraId="28D766A7">
            <w:pPr>
              <w:spacing w:line="360" w:lineRule="auto"/>
              <w:rPr>
                <w:rFonts w:ascii="宋体" w:hAnsi="宋体" w:cs="宋体"/>
                <w:bCs/>
                <w:szCs w:val="21"/>
              </w:rPr>
            </w:pPr>
            <w:r>
              <w:rPr>
                <w:rFonts w:hint="eastAsia" w:ascii="宋体" w:hAnsi="宋体" w:cs="宋体"/>
                <w:bCs/>
                <w:szCs w:val="21"/>
              </w:rPr>
              <w:t>服务安全</w:t>
            </w:r>
          </w:p>
        </w:tc>
        <w:tc>
          <w:tcPr>
            <w:tcW w:w="3465" w:type="pct"/>
            <w:vAlign w:val="center"/>
          </w:tcPr>
          <w:p w14:paraId="2DCBFF4B">
            <w:pPr>
              <w:spacing w:line="360" w:lineRule="auto"/>
              <w:rPr>
                <w:rFonts w:ascii="宋体" w:hAnsi="宋体" w:cs="宋体"/>
                <w:bCs/>
                <w:szCs w:val="21"/>
              </w:rPr>
            </w:pPr>
            <w:r>
              <w:rPr>
                <w:rFonts w:hint="eastAsia" w:ascii="宋体" w:hAnsi="宋体" w:cs="宋体"/>
                <w:bCs/>
                <w:szCs w:val="21"/>
              </w:rPr>
              <w:t>采用分布式集群服务，无服务单点故障</w:t>
            </w:r>
          </w:p>
        </w:tc>
        <w:tc>
          <w:tcPr>
            <w:tcW w:w="598" w:type="pct"/>
            <w:vAlign w:val="center"/>
          </w:tcPr>
          <w:p w14:paraId="696339D2">
            <w:pPr>
              <w:spacing w:line="360" w:lineRule="auto"/>
              <w:rPr>
                <w:rFonts w:ascii="宋体" w:hAnsi="宋体" w:cs="宋体"/>
                <w:bCs/>
                <w:szCs w:val="21"/>
              </w:rPr>
            </w:pPr>
          </w:p>
        </w:tc>
      </w:tr>
      <w:tr w14:paraId="71C4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pct"/>
            <w:vMerge w:val="continue"/>
            <w:vAlign w:val="center"/>
          </w:tcPr>
          <w:p w14:paraId="07AEF983">
            <w:pPr>
              <w:spacing w:line="360" w:lineRule="auto"/>
              <w:rPr>
                <w:rFonts w:ascii="宋体" w:hAnsi="宋体" w:cs="宋体"/>
                <w:bCs/>
                <w:szCs w:val="21"/>
              </w:rPr>
            </w:pPr>
          </w:p>
        </w:tc>
        <w:tc>
          <w:tcPr>
            <w:tcW w:w="3465" w:type="pct"/>
            <w:vAlign w:val="center"/>
          </w:tcPr>
          <w:p w14:paraId="1C5DE801">
            <w:pPr>
              <w:spacing w:line="360" w:lineRule="auto"/>
              <w:rPr>
                <w:rFonts w:ascii="宋体" w:hAnsi="宋体" w:cs="宋体"/>
                <w:bCs/>
                <w:szCs w:val="21"/>
              </w:rPr>
            </w:pPr>
            <w:r>
              <w:rPr>
                <w:rFonts w:hint="eastAsia" w:ascii="宋体" w:hAnsi="宋体" w:cs="宋体"/>
                <w:bCs/>
                <w:szCs w:val="21"/>
              </w:rPr>
              <w:t>支持存储层</w:t>
            </w:r>
            <w:r>
              <w:rPr>
                <w:rFonts w:hint="eastAsia" w:ascii="宋体" w:hAnsi="宋体" w:cs="宋体"/>
                <w:bCs/>
                <w:szCs w:val="21"/>
                <w:lang w:eastAsia="zh-Hans"/>
              </w:rPr>
              <w:t>关系型数据库</w:t>
            </w:r>
            <w:r>
              <w:rPr>
                <w:rFonts w:hint="eastAsia" w:ascii="宋体" w:hAnsi="宋体" w:cs="宋体"/>
                <w:bCs/>
                <w:szCs w:val="21"/>
              </w:rPr>
              <w:t>白名单自动维护，通过白名单保证访问安全</w:t>
            </w:r>
          </w:p>
        </w:tc>
        <w:tc>
          <w:tcPr>
            <w:tcW w:w="598" w:type="pct"/>
            <w:vAlign w:val="center"/>
          </w:tcPr>
          <w:p w14:paraId="14CCD719">
            <w:pPr>
              <w:spacing w:line="360" w:lineRule="auto"/>
              <w:rPr>
                <w:rFonts w:ascii="宋体" w:hAnsi="宋体" w:cs="宋体"/>
                <w:bCs/>
                <w:szCs w:val="21"/>
              </w:rPr>
            </w:pPr>
          </w:p>
        </w:tc>
      </w:tr>
    </w:tbl>
    <w:p w14:paraId="360E471A">
      <w:pPr>
        <w:pStyle w:val="23"/>
        <w:snapToGrid w:val="0"/>
        <w:ind w:firstLine="420" w:firstLineChars="200"/>
        <w:outlineLvl w:val="4"/>
        <w:rPr>
          <w:rFonts w:hAnsi="宋体" w:cs="宋体"/>
          <w:sz w:val="21"/>
        </w:rPr>
      </w:pPr>
      <w:r>
        <w:rPr>
          <w:rFonts w:hint="eastAsia" w:hAnsi="宋体" w:cs="宋体"/>
          <w:sz w:val="21"/>
        </w:rPr>
        <w:t>7.1.2.5云数据库Redis版</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6863"/>
        <w:gridCol w:w="1087"/>
      </w:tblGrid>
      <w:tr w14:paraId="3BEA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721" w:type="pct"/>
            <w:shd w:val="clear" w:color="auto" w:fill="auto"/>
            <w:vAlign w:val="center"/>
          </w:tcPr>
          <w:p w14:paraId="04E6F67A">
            <w:pPr>
              <w:spacing w:before="312" w:line="360" w:lineRule="auto"/>
              <w:jc w:val="center"/>
              <w:rPr>
                <w:rFonts w:ascii="宋体" w:hAnsi="宋体" w:cs="宋体"/>
                <w:b/>
                <w:bCs/>
                <w:szCs w:val="21"/>
              </w:rPr>
            </w:pPr>
            <w:r>
              <w:rPr>
                <w:rFonts w:hint="eastAsia" w:ascii="宋体" w:hAnsi="宋体" w:cs="宋体"/>
                <w:b/>
                <w:bCs/>
                <w:szCs w:val="21"/>
              </w:rPr>
              <w:t>指标项</w:t>
            </w:r>
          </w:p>
        </w:tc>
        <w:tc>
          <w:tcPr>
            <w:tcW w:w="3694" w:type="pct"/>
            <w:shd w:val="clear" w:color="auto" w:fill="auto"/>
            <w:vAlign w:val="center"/>
          </w:tcPr>
          <w:p w14:paraId="2432E722">
            <w:pPr>
              <w:spacing w:before="312" w:line="360" w:lineRule="auto"/>
              <w:jc w:val="center"/>
              <w:rPr>
                <w:rFonts w:ascii="宋体" w:hAnsi="宋体" w:cs="宋体"/>
                <w:b/>
                <w:bCs/>
                <w:szCs w:val="21"/>
              </w:rPr>
            </w:pPr>
            <w:r>
              <w:rPr>
                <w:rFonts w:hint="eastAsia" w:ascii="宋体" w:hAnsi="宋体" w:cs="宋体"/>
                <w:b/>
                <w:bCs/>
                <w:szCs w:val="21"/>
              </w:rPr>
              <w:t>具体要求</w:t>
            </w:r>
          </w:p>
        </w:tc>
        <w:tc>
          <w:tcPr>
            <w:tcW w:w="585" w:type="pct"/>
            <w:vAlign w:val="center"/>
          </w:tcPr>
          <w:p w14:paraId="0C3A50B5">
            <w:pPr>
              <w:spacing w:before="312" w:line="360" w:lineRule="auto"/>
              <w:jc w:val="center"/>
              <w:rPr>
                <w:rFonts w:ascii="宋体" w:hAnsi="宋体" w:cs="宋体"/>
                <w:b/>
                <w:bCs/>
                <w:szCs w:val="21"/>
              </w:rPr>
            </w:pPr>
            <w:r>
              <w:rPr>
                <w:rFonts w:hint="eastAsia" w:ascii="宋体" w:hAnsi="宋体" w:cs="宋体"/>
                <w:b/>
                <w:bCs/>
                <w:szCs w:val="21"/>
              </w:rPr>
              <w:t>备注</w:t>
            </w:r>
          </w:p>
        </w:tc>
      </w:tr>
      <w:tr w14:paraId="3A8B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21" w:type="pct"/>
            <w:shd w:val="clear" w:color="auto" w:fill="auto"/>
            <w:vAlign w:val="center"/>
          </w:tcPr>
          <w:p w14:paraId="264F7CAC">
            <w:pPr>
              <w:spacing w:line="360" w:lineRule="auto"/>
              <w:rPr>
                <w:rFonts w:ascii="宋体" w:hAnsi="宋体" w:cs="宋体"/>
                <w:bCs/>
                <w:szCs w:val="21"/>
              </w:rPr>
            </w:pPr>
            <w:r>
              <w:rPr>
                <w:rFonts w:hint="eastAsia" w:ascii="宋体" w:hAnsi="宋体" w:cs="宋体"/>
                <w:bCs/>
                <w:szCs w:val="21"/>
              </w:rPr>
              <w:t>总体要求</w:t>
            </w:r>
          </w:p>
        </w:tc>
        <w:tc>
          <w:tcPr>
            <w:tcW w:w="3694" w:type="pct"/>
            <w:shd w:val="clear" w:color="auto" w:fill="auto"/>
          </w:tcPr>
          <w:p w14:paraId="54AE08D0">
            <w:pPr>
              <w:spacing w:line="360" w:lineRule="auto"/>
              <w:rPr>
                <w:rFonts w:ascii="宋体" w:hAnsi="宋体" w:cs="宋体"/>
                <w:bCs/>
                <w:szCs w:val="21"/>
              </w:rPr>
            </w:pPr>
            <w:r>
              <w:rPr>
                <w:rFonts w:hint="eastAsia" w:ascii="宋体" w:hAnsi="宋体" w:cs="宋体"/>
                <w:bCs/>
                <w:szCs w:val="21"/>
              </w:rPr>
              <w:t>兼容开源Redis协议标准、提供开源可靠的缓存数据库服务，基于双机热备架构及集群架构，可满足高吞吐、低延迟等业务需求。</w:t>
            </w:r>
          </w:p>
        </w:tc>
        <w:tc>
          <w:tcPr>
            <w:tcW w:w="585" w:type="pct"/>
          </w:tcPr>
          <w:p w14:paraId="2D2142E6">
            <w:pPr>
              <w:widowControl/>
              <w:spacing w:before="312"/>
              <w:rPr>
                <w:rFonts w:ascii="宋体" w:hAnsi="宋体" w:cs="宋体"/>
                <w:bCs/>
                <w:szCs w:val="21"/>
              </w:rPr>
            </w:pPr>
          </w:p>
        </w:tc>
      </w:tr>
      <w:tr w14:paraId="52B4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1" w:type="pct"/>
            <w:vMerge w:val="restart"/>
            <w:shd w:val="clear" w:color="auto" w:fill="auto"/>
            <w:vAlign w:val="center"/>
          </w:tcPr>
          <w:p w14:paraId="0A3067C4">
            <w:pPr>
              <w:spacing w:line="360" w:lineRule="auto"/>
              <w:rPr>
                <w:rFonts w:ascii="宋体" w:hAnsi="宋体" w:cs="宋体"/>
                <w:bCs/>
                <w:szCs w:val="21"/>
              </w:rPr>
            </w:pPr>
            <w:r>
              <w:rPr>
                <w:rFonts w:hint="eastAsia" w:ascii="宋体" w:hAnsi="宋体" w:cs="宋体"/>
                <w:bCs/>
                <w:szCs w:val="21"/>
              </w:rPr>
              <w:t>功能要求</w:t>
            </w:r>
          </w:p>
        </w:tc>
        <w:tc>
          <w:tcPr>
            <w:tcW w:w="3694" w:type="pct"/>
            <w:shd w:val="clear" w:color="auto" w:fill="auto"/>
          </w:tcPr>
          <w:p w14:paraId="044861A5">
            <w:pPr>
              <w:spacing w:line="360" w:lineRule="auto"/>
              <w:rPr>
                <w:rFonts w:ascii="宋体" w:hAnsi="宋体" w:cs="宋体"/>
                <w:bCs/>
                <w:szCs w:val="21"/>
              </w:rPr>
            </w:pPr>
            <w:r>
              <w:rPr>
                <w:rFonts w:hint="eastAsia" w:ascii="宋体" w:hAnsi="宋体" w:cs="宋体"/>
                <w:bCs/>
                <w:szCs w:val="21"/>
              </w:rPr>
              <w:t>完全兼容开源4.0,5.0系列，集群兼容性高，支持string，hash，list，set，sortedset等常见类型，支持事务和订阅。</w:t>
            </w:r>
          </w:p>
        </w:tc>
        <w:tc>
          <w:tcPr>
            <w:tcW w:w="585" w:type="pct"/>
          </w:tcPr>
          <w:p w14:paraId="7515B77A">
            <w:pPr>
              <w:widowControl/>
              <w:spacing w:before="312"/>
              <w:rPr>
                <w:rFonts w:ascii="宋体" w:hAnsi="宋体" w:cs="宋体"/>
                <w:bCs/>
                <w:szCs w:val="21"/>
              </w:rPr>
            </w:pPr>
          </w:p>
        </w:tc>
      </w:tr>
      <w:tr w14:paraId="5D3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1" w:type="pct"/>
            <w:vMerge w:val="continue"/>
            <w:vAlign w:val="center"/>
          </w:tcPr>
          <w:p w14:paraId="482665C2">
            <w:pPr>
              <w:spacing w:line="360" w:lineRule="auto"/>
              <w:rPr>
                <w:rFonts w:ascii="宋体" w:hAnsi="宋体" w:cs="宋体"/>
                <w:bCs/>
                <w:szCs w:val="21"/>
              </w:rPr>
            </w:pPr>
          </w:p>
        </w:tc>
        <w:tc>
          <w:tcPr>
            <w:tcW w:w="3694" w:type="pct"/>
            <w:shd w:val="clear" w:color="auto" w:fill="auto"/>
          </w:tcPr>
          <w:p w14:paraId="0167D9A1">
            <w:pPr>
              <w:spacing w:line="360" w:lineRule="auto"/>
              <w:rPr>
                <w:rFonts w:ascii="宋体" w:hAnsi="宋体" w:cs="宋体"/>
                <w:bCs/>
                <w:szCs w:val="21"/>
              </w:rPr>
            </w:pPr>
            <w:r>
              <w:rPr>
                <w:rFonts w:hint="eastAsia" w:ascii="宋体" w:hAnsi="宋体" w:cs="宋体"/>
                <w:bCs/>
                <w:szCs w:val="21"/>
              </w:rPr>
              <w:t>提供多种规格的缓存数据库实例，支持实例的创建、重启、释放、备份等管理操作，支持在控制台清除全部数据和清理过期数据；支持实例的网络隔离。</w:t>
            </w:r>
          </w:p>
        </w:tc>
        <w:tc>
          <w:tcPr>
            <w:tcW w:w="585" w:type="pct"/>
          </w:tcPr>
          <w:p w14:paraId="618CC3F3">
            <w:pPr>
              <w:widowControl/>
              <w:spacing w:before="312"/>
              <w:rPr>
                <w:rFonts w:ascii="宋体" w:hAnsi="宋体" w:cs="宋体"/>
                <w:bCs/>
                <w:szCs w:val="21"/>
              </w:rPr>
            </w:pPr>
          </w:p>
        </w:tc>
      </w:tr>
      <w:tr w14:paraId="564B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1" w:type="pct"/>
            <w:vMerge w:val="continue"/>
            <w:vAlign w:val="center"/>
          </w:tcPr>
          <w:p w14:paraId="3331FC0D">
            <w:pPr>
              <w:spacing w:line="360" w:lineRule="auto"/>
              <w:rPr>
                <w:rFonts w:ascii="宋体" w:hAnsi="宋体" w:cs="宋体"/>
                <w:bCs/>
                <w:szCs w:val="21"/>
              </w:rPr>
            </w:pPr>
          </w:p>
        </w:tc>
        <w:tc>
          <w:tcPr>
            <w:tcW w:w="3694" w:type="pct"/>
            <w:shd w:val="clear" w:color="auto" w:fill="auto"/>
          </w:tcPr>
          <w:p w14:paraId="0D46BBB1">
            <w:pPr>
              <w:spacing w:line="360" w:lineRule="auto"/>
              <w:rPr>
                <w:rFonts w:ascii="宋体" w:hAnsi="宋体" w:cs="宋体"/>
                <w:bCs/>
                <w:szCs w:val="21"/>
              </w:rPr>
            </w:pPr>
            <w:r>
              <w:rPr>
                <w:rFonts w:hint="eastAsia" w:ascii="宋体" w:hAnsi="宋体" w:cs="宋体"/>
                <w:bCs/>
                <w:szCs w:val="21"/>
              </w:rPr>
              <w:t>支持主从、读写分离等不同形态，用户可以在不同形态之间进行切换且对外连接地址不变。</w:t>
            </w:r>
          </w:p>
        </w:tc>
        <w:tc>
          <w:tcPr>
            <w:tcW w:w="585" w:type="pct"/>
          </w:tcPr>
          <w:p w14:paraId="34800D85">
            <w:pPr>
              <w:widowControl/>
              <w:spacing w:before="312"/>
              <w:rPr>
                <w:rFonts w:ascii="宋体" w:hAnsi="宋体" w:cs="宋体"/>
                <w:bCs/>
                <w:szCs w:val="21"/>
              </w:rPr>
            </w:pPr>
          </w:p>
        </w:tc>
      </w:tr>
      <w:tr w14:paraId="4554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1" w:type="pct"/>
            <w:vMerge w:val="continue"/>
            <w:vAlign w:val="center"/>
          </w:tcPr>
          <w:p w14:paraId="3C7ABA7D">
            <w:pPr>
              <w:spacing w:line="360" w:lineRule="auto"/>
              <w:rPr>
                <w:rFonts w:ascii="宋体" w:hAnsi="宋体" w:cs="宋体"/>
                <w:bCs/>
                <w:szCs w:val="21"/>
              </w:rPr>
            </w:pPr>
          </w:p>
        </w:tc>
        <w:tc>
          <w:tcPr>
            <w:tcW w:w="3694" w:type="pct"/>
            <w:shd w:val="clear" w:color="auto" w:fill="auto"/>
          </w:tcPr>
          <w:p w14:paraId="6F3BE540">
            <w:pPr>
              <w:spacing w:line="360" w:lineRule="auto"/>
              <w:rPr>
                <w:rFonts w:ascii="宋体" w:hAnsi="宋体" w:cs="宋体"/>
                <w:bCs/>
                <w:szCs w:val="21"/>
              </w:rPr>
            </w:pPr>
            <w:r>
              <w:rPr>
                <w:rFonts w:hint="eastAsia" w:ascii="宋体" w:hAnsi="宋体" w:cs="宋体"/>
                <w:bCs/>
                <w:szCs w:val="21"/>
              </w:rPr>
              <w:t>支持实例会话管理，可查看会话列表，具体操作，执行耗时等信息，可对会话进行批量kill等管理操作。</w:t>
            </w:r>
          </w:p>
        </w:tc>
        <w:tc>
          <w:tcPr>
            <w:tcW w:w="585" w:type="pct"/>
          </w:tcPr>
          <w:p w14:paraId="230E53EC">
            <w:pPr>
              <w:widowControl/>
              <w:spacing w:before="312"/>
              <w:rPr>
                <w:rFonts w:ascii="宋体" w:hAnsi="宋体" w:cs="宋体"/>
                <w:bCs/>
                <w:szCs w:val="21"/>
              </w:rPr>
            </w:pPr>
          </w:p>
        </w:tc>
      </w:tr>
      <w:tr w14:paraId="5BC6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1" w:type="pct"/>
            <w:vMerge w:val="continue"/>
            <w:vAlign w:val="center"/>
          </w:tcPr>
          <w:p w14:paraId="413DA18C">
            <w:pPr>
              <w:spacing w:line="360" w:lineRule="auto"/>
              <w:rPr>
                <w:rFonts w:ascii="宋体" w:hAnsi="宋体" w:cs="宋体"/>
                <w:bCs/>
                <w:szCs w:val="21"/>
              </w:rPr>
            </w:pPr>
          </w:p>
        </w:tc>
        <w:tc>
          <w:tcPr>
            <w:tcW w:w="3694" w:type="pct"/>
            <w:shd w:val="clear" w:color="auto" w:fill="auto"/>
          </w:tcPr>
          <w:p w14:paraId="2B0E2FC3">
            <w:pPr>
              <w:spacing w:line="360" w:lineRule="auto"/>
              <w:rPr>
                <w:rFonts w:ascii="宋体" w:hAnsi="宋体" w:cs="宋体"/>
                <w:bCs/>
                <w:szCs w:val="21"/>
              </w:rPr>
            </w:pPr>
            <w:r>
              <w:rPr>
                <w:rFonts w:hint="eastAsia" w:ascii="宋体" w:hAnsi="宋体" w:cs="宋体"/>
                <w:bCs/>
                <w:szCs w:val="21"/>
              </w:rPr>
              <w:t>支持缓存分析，支持查看key在内存的占用和分布信息，支持大key分析。</w:t>
            </w:r>
          </w:p>
        </w:tc>
        <w:tc>
          <w:tcPr>
            <w:tcW w:w="585" w:type="pct"/>
          </w:tcPr>
          <w:p w14:paraId="3E9491C7">
            <w:pPr>
              <w:widowControl/>
              <w:spacing w:before="312"/>
              <w:rPr>
                <w:rFonts w:ascii="宋体" w:hAnsi="宋体" w:cs="宋体"/>
                <w:bCs/>
                <w:szCs w:val="21"/>
              </w:rPr>
            </w:pPr>
          </w:p>
        </w:tc>
      </w:tr>
      <w:tr w14:paraId="4A35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21" w:type="pct"/>
            <w:vMerge w:val="restart"/>
            <w:shd w:val="clear" w:color="auto" w:fill="auto"/>
            <w:vAlign w:val="center"/>
          </w:tcPr>
          <w:p w14:paraId="320D5AE2">
            <w:pPr>
              <w:spacing w:line="360" w:lineRule="auto"/>
              <w:rPr>
                <w:rFonts w:ascii="宋体" w:hAnsi="宋体" w:cs="宋体"/>
                <w:bCs/>
                <w:szCs w:val="21"/>
              </w:rPr>
            </w:pPr>
            <w:r>
              <w:rPr>
                <w:rFonts w:hint="eastAsia" w:ascii="宋体" w:hAnsi="宋体" w:cs="宋体"/>
                <w:bCs/>
                <w:szCs w:val="21"/>
              </w:rPr>
              <w:t>可靠性</w:t>
            </w:r>
          </w:p>
        </w:tc>
        <w:tc>
          <w:tcPr>
            <w:tcW w:w="3694" w:type="pct"/>
            <w:shd w:val="clear" w:color="auto" w:fill="auto"/>
          </w:tcPr>
          <w:p w14:paraId="236E8DB4">
            <w:pPr>
              <w:spacing w:line="360" w:lineRule="auto"/>
              <w:rPr>
                <w:rFonts w:ascii="宋体" w:hAnsi="宋体" w:cs="宋体"/>
                <w:bCs/>
                <w:szCs w:val="21"/>
              </w:rPr>
            </w:pPr>
            <w:r>
              <w:rPr>
                <w:rFonts w:hint="eastAsia" w:ascii="宋体" w:hAnsi="宋体" w:cs="宋体"/>
                <w:bCs/>
                <w:szCs w:val="21"/>
              </w:rPr>
              <w:t>同时支持RDB和AoF持久化机制，支持设置AoF落盘开关，保障数据丢失最小化。</w:t>
            </w:r>
          </w:p>
        </w:tc>
        <w:tc>
          <w:tcPr>
            <w:tcW w:w="585" w:type="pct"/>
          </w:tcPr>
          <w:p w14:paraId="2EED7B97">
            <w:pPr>
              <w:widowControl/>
              <w:spacing w:before="312"/>
              <w:rPr>
                <w:rFonts w:ascii="宋体" w:hAnsi="宋体" w:cs="宋体"/>
                <w:bCs/>
                <w:szCs w:val="21"/>
              </w:rPr>
            </w:pPr>
          </w:p>
        </w:tc>
      </w:tr>
      <w:tr w14:paraId="6870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1" w:type="pct"/>
            <w:vMerge w:val="continue"/>
            <w:vAlign w:val="center"/>
          </w:tcPr>
          <w:p w14:paraId="7E43286E">
            <w:pPr>
              <w:widowControl/>
              <w:spacing w:before="312"/>
              <w:jc w:val="left"/>
              <w:rPr>
                <w:rFonts w:ascii="宋体" w:hAnsi="宋体" w:cs="宋体"/>
                <w:bCs/>
                <w:szCs w:val="21"/>
              </w:rPr>
            </w:pPr>
          </w:p>
        </w:tc>
        <w:tc>
          <w:tcPr>
            <w:tcW w:w="3694" w:type="pct"/>
            <w:shd w:val="clear" w:color="auto" w:fill="auto"/>
          </w:tcPr>
          <w:p w14:paraId="3F961964">
            <w:pPr>
              <w:spacing w:line="360" w:lineRule="auto"/>
              <w:rPr>
                <w:rFonts w:ascii="宋体" w:hAnsi="宋体" w:cs="宋体"/>
                <w:bCs/>
                <w:szCs w:val="21"/>
              </w:rPr>
            </w:pPr>
            <w:r>
              <w:rPr>
                <w:rFonts w:hint="eastAsia" w:ascii="宋体" w:hAnsi="宋体" w:cs="宋体"/>
                <w:bCs/>
                <w:szCs w:val="21"/>
              </w:rPr>
              <w:t>支持实例的手动和自动备份，支持自动备份策略设置。</w:t>
            </w:r>
          </w:p>
        </w:tc>
        <w:tc>
          <w:tcPr>
            <w:tcW w:w="585" w:type="pct"/>
          </w:tcPr>
          <w:p w14:paraId="24EA0348">
            <w:pPr>
              <w:widowControl/>
              <w:spacing w:before="312"/>
              <w:rPr>
                <w:rFonts w:ascii="宋体" w:hAnsi="宋体" w:cs="宋体"/>
                <w:bCs/>
                <w:szCs w:val="21"/>
              </w:rPr>
            </w:pPr>
          </w:p>
        </w:tc>
      </w:tr>
      <w:tr w14:paraId="4DF6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1" w:type="pct"/>
            <w:vMerge w:val="restart"/>
            <w:shd w:val="clear" w:color="auto" w:fill="auto"/>
            <w:vAlign w:val="center"/>
          </w:tcPr>
          <w:p w14:paraId="0D79551B">
            <w:pPr>
              <w:widowControl/>
              <w:spacing w:before="312"/>
              <w:rPr>
                <w:rFonts w:ascii="宋体" w:hAnsi="宋体" w:cs="宋体"/>
                <w:bCs/>
                <w:szCs w:val="21"/>
              </w:rPr>
            </w:pPr>
            <w:r>
              <w:rPr>
                <w:rFonts w:hint="eastAsia" w:ascii="宋体" w:hAnsi="宋体" w:cs="宋体"/>
                <w:bCs/>
                <w:szCs w:val="21"/>
              </w:rPr>
              <w:t>安全性</w:t>
            </w:r>
          </w:p>
        </w:tc>
        <w:tc>
          <w:tcPr>
            <w:tcW w:w="3694" w:type="pct"/>
            <w:shd w:val="clear" w:color="auto" w:fill="auto"/>
          </w:tcPr>
          <w:p w14:paraId="2F6055D8">
            <w:pPr>
              <w:spacing w:line="360" w:lineRule="auto"/>
              <w:rPr>
                <w:rFonts w:ascii="宋体" w:hAnsi="宋体" w:cs="宋体"/>
                <w:bCs/>
                <w:szCs w:val="21"/>
              </w:rPr>
            </w:pPr>
            <w:r>
              <w:rPr>
                <w:rFonts w:hint="eastAsia" w:ascii="宋体" w:hAnsi="宋体" w:cs="宋体"/>
                <w:bCs/>
                <w:szCs w:val="21"/>
              </w:rPr>
              <w:t>支持多账号，支持设置读写、只读权限，最小化授权提供更高安全保障。</w:t>
            </w:r>
          </w:p>
        </w:tc>
        <w:tc>
          <w:tcPr>
            <w:tcW w:w="585" w:type="pct"/>
          </w:tcPr>
          <w:p w14:paraId="1A807269">
            <w:pPr>
              <w:widowControl/>
              <w:spacing w:before="312"/>
              <w:rPr>
                <w:rFonts w:ascii="宋体" w:hAnsi="宋体" w:cs="宋体"/>
                <w:bCs/>
                <w:szCs w:val="21"/>
              </w:rPr>
            </w:pPr>
          </w:p>
        </w:tc>
      </w:tr>
      <w:tr w14:paraId="5DD6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21" w:type="pct"/>
            <w:vMerge w:val="continue"/>
            <w:vAlign w:val="center"/>
          </w:tcPr>
          <w:p w14:paraId="6DB55E12">
            <w:pPr>
              <w:widowControl/>
              <w:spacing w:before="312"/>
              <w:jc w:val="left"/>
              <w:rPr>
                <w:rFonts w:ascii="宋体" w:hAnsi="宋体" w:cs="宋体"/>
                <w:bCs/>
                <w:szCs w:val="21"/>
              </w:rPr>
            </w:pPr>
          </w:p>
        </w:tc>
        <w:tc>
          <w:tcPr>
            <w:tcW w:w="3694" w:type="pct"/>
            <w:shd w:val="clear" w:color="auto" w:fill="auto"/>
          </w:tcPr>
          <w:p w14:paraId="1161D251">
            <w:pPr>
              <w:spacing w:line="360" w:lineRule="auto"/>
              <w:rPr>
                <w:rFonts w:ascii="宋体" w:hAnsi="宋体" w:cs="宋体"/>
                <w:bCs/>
                <w:szCs w:val="21"/>
              </w:rPr>
            </w:pPr>
            <w:r>
              <w:rPr>
                <w:rFonts w:hint="eastAsia" w:ascii="宋体" w:hAnsi="宋体" w:cs="宋体"/>
                <w:bCs/>
                <w:szCs w:val="21"/>
              </w:rPr>
              <w:t>支持白名单设置，提供灵活的安全访问管理能力。</w:t>
            </w:r>
          </w:p>
        </w:tc>
        <w:tc>
          <w:tcPr>
            <w:tcW w:w="585" w:type="pct"/>
          </w:tcPr>
          <w:p w14:paraId="30F8F51A">
            <w:pPr>
              <w:widowControl/>
              <w:spacing w:before="312"/>
              <w:rPr>
                <w:rFonts w:ascii="宋体" w:hAnsi="宋体" w:cs="宋体"/>
                <w:bCs/>
                <w:szCs w:val="21"/>
              </w:rPr>
            </w:pPr>
          </w:p>
        </w:tc>
      </w:tr>
    </w:tbl>
    <w:p w14:paraId="52F5941D">
      <w:pPr>
        <w:pStyle w:val="23"/>
        <w:snapToGrid w:val="0"/>
        <w:ind w:firstLine="420" w:firstLineChars="200"/>
        <w:outlineLvl w:val="4"/>
        <w:rPr>
          <w:rFonts w:hAnsi="宋体" w:cs="宋体"/>
          <w:sz w:val="21"/>
        </w:rPr>
      </w:pPr>
      <w:r>
        <w:rPr>
          <w:rFonts w:hint="eastAsia" w:hAnsi="宋体" w:cs="宋体"/>
          <w:sz w:val="21"/>
        </w:rPr>
        <w:t>7.1.2.6云存储（对象存储、文件存储）</w:t>
      </w:r>
    </w:p>
    <w:p w14:paraId="392711A7">
      <w:pPr>
        <w:spacing w:line="360" w:lineRule="auto"/>
        <w:ind w:firstLine="480"/>
        <w:rPr>
          <w:rFonts w:ascii="宋体" w:hAnsi="宋体" w:cs="宋体"/>
          <w:bCs/>
          <w:szCs w:val="21"/>
        </w:rPr>
      </w:pPr>
      <w:r>
        <w:rPr>
          <w:rFonts w:hint="eastAsia" w:ascii="宋体" w:hAnsi="宋体" w:cs="宋体"/>
          <w:bCs/>
          <w:szCs w:val="21"/>
        </w:rPr>
        <w:t>（1）对象存储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6781"/>
        <w:gridCol w:w="1118"/>
      </w:tblGrid>
      <w:tr w14:paraId="75E9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14:paraId="1F44916C">
            <w:pPr>
              <w:spacing w:line="360" w:lineRule="auto"/>
              <w:jc w:val="center"/>
              <w:rPr>
                <w:rFonts w:ascii="宋体" w:hAnsi="宋体" w:cs="宋体"/>
                <w:b/>
                <w:bCs/>
                <w:szCs w:val="21"/>
              </w:rPr>
            </w:pPr>
            <w:r>
              <w:rPr>
                <w:rFonts w:hint="eastAsia" w:ascii="宋体" w:hAnsi="宋体" w:cs="宋体"/>
                <w:b/>
                <w:bCs/>
                <w:szCs w:val="21"/>
              </w:rPr>
              <w:t>指标项</w:t>
            </w:r>
          </w:p>
        </w:tc>
        <w:tc>
          <w:tcPr>
            <w:tcW w:w="3650" w:type="pct"/>
            <w:vAlign w:val="center"/>
          </w:tcPr>
          <w:p w14:paraId="093BDB2F">
            <w:pPr>
              <w:spacing w:line="360" w:lineRule="auto"/>
              <w:jc w:val="center"/>
              <w:rPr>
                <w:rFonts w:ascii="宋体" w:hAnsi="宋体" w:cs="宋体"/>
                <w:b/>
                <w:bCs/>
                <w:szCs w:val="21"/>
              </w:rPr>
            </w:pPr>
            <w:r>
              <w:rPr>
                <w:rFonts w:hint="eastAsia" w:ascii="宋体" w:hAnsi="宋体" w:cs="宋体"/>
                <w:b/>
                <w:bCs/>
                <w:szCs w:val="21"/>
              </w:rPr>
              <w:t>规格要求</w:t>
            </w:r>
          </w:p>
        </w:tc>
        <w:tc>
          <w:tcPr>
            <w:tcW w:w="602" w:type="pct"/>
            <w:vAlign w:val="center"/>
          </w:tcPr>
          <w:p w14:paraId="3C0D1154">
            <w:pPr>
              <w:spacing w:line="360" w:lineRule="auto"/>
              <w:jc w:val="center"/>
              <w:rPr>
                <w:rFonts w:ascii="宋体" w:hAnsi="宋体" w:cs="宋体"/>
                <w:b/>
                <w:bCs/>
                <w:szCs w:val="21"/>
              </w:rPr>
            </w:pPr>
            <w:r>
              <w:rPr>
                <w:rFonts w:hint="eastAsia" w:ascii="宋体" w:hAnsi="宋体" w:cs="宋体"/>
                <w:b/>
                <w:bCs/>
                <w:szCs w:val="21"/>
              </w:rPr>
              <w:t>备注</w:t>
            </w:r>
          </w:p>
        </w:tc>
      </w:tr>
      <w:tr w14:paraId="7ACB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14:paraId="295CBB76">
            <w:pPr>
              <w:spacing w:line="360" w:lineRule="auto"/>
              <w:rPr>
                <w:rFonts w:ascii="宋体" w:hAnsi="宋体" w:cs="宋体"/>
                <w:bCs/>
                <w:szCs w:val="21"/>
              </w:rPr>
            </w:pPr>
            <w:r>
              <w:rPr>
                <w:rFonts w:hint="eastAsia" w:ascii="宋体" w:hAnsi="宋体" w:cs="宋体"/>
                <w:bCs/>
                <w:szCs w:val="21"/>
              </w:rPr>
              <w:t>服务标准</w:t>
            </w:r>
          </w:p>
        </w:tc>
        <w:tc>
          <w:tcPr>
            <w:tcW w:w="3650" w:type="pct"/>
            <w:vAlign w:val="center"/>
          </w:tcPr>
          <w:p w14:paraId="6938E717">
            <w:pPr>
              <w:spacing w:line="360" w:lineRule="auto"/>
              <w:rPr>
                <w:rFonts w:ascii="宋体" w:hAnsi="宋体" w:cs="宋体"/>
                <w:bCs/>
                <w:szCs w:val="21"/>
              </w:rPr>
            </w:pPr>
            <w:r>
              <w:rPr>
                <w:rFonts w:hint="eastAsia" w:ascii="宋体" w:hAnsi="宋体" w:cs="宋体"/>
                <w:bCs/>
                <w:szCs w:val="21"/>
              </w:rPr>
              <w:t>提供基于三副本或EC校验模式的数据多重冗余备份，保证数据安全。</w:t>
            </w:r>
          </w:p>
        </w:tc>
        <w:tc>
          <w:tcPr>
            <w:tcW w:w="602" w:type="pct"/>
            <w:vAlign w:val="center"/>
          </w:tcPr>
          <w:p w14:paraId="47C4D64B">
            <w:pPr>
              <w:spacing w:line="360" w:lineRule="auto"/>
              <w:rPr>
                <w:rFonts w:ascii="宋体" w:hAnsi="宋体" w:cs="宋体"/>
                <w:bCs/>
                <w:szCs w:val="21"/>
              </w:rPr>
            </w:pPr>
          </w:p>
        </w:tc>
      </w:tr>
      <w:tr w14:paraId="2BA4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vAlign w:val="center"/>
          </w:tcPr>
          <w:p w14:paraId="4E841479">
            <w:pPr>
              <w:spacing w:line="360" w:lineRule="auto"/>
              <w:rPr>
                <w:rFonts w:ascii="宋体" w:hAnsi="宋体" w:cs="宋体"/>
                <w:bCs/>
                <w:szCs w:val="21"/>
              </w:rPr>
            </w:pPr>
            <w:r>
              <w:rPr>
                <w:rFonts w:hint="eastAsia" w:ascii="宋体" w:hAnsi="宋体" w:cs="宋体"/>
                <w:bCs/>
                <w:szCs w:val="21"/>
              </w:rPr>
              <w:t>服务特性</w:t>
            </w:r>
          </w:p>
        </w:tc>
        <w:tc>
          <w:tcPr>
            <w:tcW w:w="3650" w:type="pct"/>
            <w:vAlign w:val="center"/>
          </w:tcPr>
          <w:p w14:paraId="19DAA5A8">
            <w:pPr>
              <w:spacing w:line="360" w:lineRule="auto"/>
              <w:rPr>
                <w:rFonts w:ascii="宋体" w:hAnsi="宋体" w:cs="宋体"/>
                <w:bCs/>
                <w:szCs w:val="21"/>
              </w:rPr>
            </w:pPr>
            <w:r>
              <w:rPr>
                <w:rFonts w:hint="eastAsia" w:ascii="宋体" w:hAnsi="宋体" w:cs="宋体"/>
                <w:bCs/>
                <w:szCs w:val="21"/>
              </w:rPr>
              <w:t>支持RESTful API接口，通过开发工具包SDK或直接通过RESTful API进行基础和高级对象存储操作。</w:t>
            </w:r>
          </w:p>
        </w:tc>
        <w:tc>
          <w:tcPr>
            <w:tcW w:w="602" w:type="pct"/>
            <w:vAlign w:val="center"/>
          </w:tcPr>
          <w:p w14:paraId="7B555FC2">
            <w:pPr>
              <w:spacing w:line="360" w:lineRule="auto"/>
              <w:rPr>
                <w:rFonts w:ascii="宋体" w:hAnsi="宋体" w:cs="宋体"/>
                <w:bCs/>
                <w:szCs w:val="21"/>
              </w:rPr>
            </w:pPr>
          </w:p>
        </w:tc>
      </w:tr>
      <w:tr w14:paraId="6C02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7DBF5114">
            <w:pPr>
              <w:spacing w:line="360" w:lineRule="auto"/>
              <w:rPr>
                <w:rFonts w:ascii="宋体" w:hAnsi="宋体" w:cs="宋体"/>
                <w:bCs/>
                <w:szCs w:val="21"/>
              </w:rPr>
            </w:pPr>
          </w:p>
        </w:tc>
        <w:tc>
          <w:tcPr>
            <w:tcW w:w="3650" w:type="pct"/>
            <w:vAlign w:val="center"/>
          </w:tcPr>
          <w:p w14:paraId="71D44F25">
            <w:pPr>
              <w:spacing w:line="360" w:lineRule="auto"/>
              <w:rPr>
                <w:rFonts w:ascii="宋体" w:hAnsi="宋体" w:cs="宋体"/>
                <w:bCs/>
                <w:szCs w:val="21"/>
              </w:rPr>
            </w:pPr>
            <w:r>
              <w:rPr>
                <w:rFonts w:hint="eastAsia" w:ascii="宋体" w:hAnsi="宋体" w:cs="宋体"/>
                <w:bCs/>
                <w:szCs w:val="21"/>
              </w:rPr>
              <w:t>提供key-value键值对形式的对象存储服务。</w:t>
            </w:r>
          </w:p>
        </w:tc>
        <w:tc>
          <w:tcPr>
            <w:tcW w:w="602" w:type="pct"/>
            <w:vAlign w:val="center"/>
          </w:tcPr>
          <w:p w14:paraId="0089878A">
            <w:pPr>
              <w:spacing w:line="360" w:lineRule="auto"/>
              <w:rPr>
                <w:rFonts w:ascii="宋体" w:hAnsi="宋体" w:cs="宋体"/>
                <w:bCs/>
                <w:szCs w:val="21"/>
              </w:rPr>
            </w:pPr>
          </w:p>
        </w:tc>
      </w:tr>
      <w:tr w14:paraId="1C8A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3EA3655B">
            <w:pPr>
              <w:spacing w:line="360" w:lineRule="auto"/>
              <w:rPr>
                <w:rFonts w:ascii="宋体" w:hAnsi="宋体" w:cs="宋体"/>
                <w:bCs/>
                <w:szCs w:val="21"/>
              </w:rPr>
            </w:pPr>
          </w:p>
        </w:tc>
        <w:tc>
          <w:tcPr>
            <w:tcW w:w="3650" w:type="pct"/>
            <w:vAlign w:val="center"/>
          </w:tcPr>
          <w:p w14:paraId="34E27A60">
            <w:pPr>
              <w:spacing w:line="360" w:lineRule="auto"/>
              <w:rPr>
                <w:rFonts w:ascii="宋体" w:hAnsi="宋体" w:cs="宋体"/>
                <w:bCs/>
                <w:szCs w:val="21"/>
              </w:rPr>
            </w:pPr>
            <w:r>
              <w:rPr>
                <w:rFonts w:hint="eastAsia" w:ascii="宋体" w:hAnsi="宋体" w:cs="宋体"/>
                <w:bCs/>
                <w:szCs w:val="21"/>
              </w:rPr>
              <w:t>支持bucket endpoint设置，并支持通过bucket endpoint进行访问</w:t>
            </w:r>
          </w:p>
        </w:tc>
        <w:tc>
          <w:tcPr>
            <w:tcW w:w="602" w:type="pct"/>
            <w:vAlign w:val="center"/>
          </w:tcPr>
          <w:p w14:paraId="3EE2F8E6">
            <w:pPr>
              <w:spacing w:line="360" w:lineRule="auto"/>
              <w:rPr>
                <w:rFonts w:ascii="宋体" w:hAnsi="宋体" w:cs="宋体"/>
                <w:bCs/>
                <w:szCs w:val="21"/>
              </w:rPr>
            </w:pPr>
          </w:p>
        </w:tc>
      </w:tr>
      <w:tr w14:paraId="221C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24C46418">
            <w:pPr>
              <w:spacing w:line="360" w:lineRule="auto"/>
              <w:rPr>
                <w:rFonts w:ascii="宋体" w:hAnsi="宋体" w:cs="宋体"/>
                <w:bCs/>
                <w:szCs w:val="21"/>
              </w:rPr>
            </w:pPr>
          </w:p>
        </w:tc>
        <w:tc>
          <w:tcPr>
            <w:tcW w:w="3650" w:type="pct"/>
            <w:vAlign w:val="center"/>
          </w:tcPr>
          <w:p w14:paraId="458891A4">
            <w:pPr>
              <w:spacing w:line="360" w:lineRule="auto"/>
              <w:rPr>
                <w:rFonts w:ascii="宋体" w:hAnsi="宋体" w:cs="宋体"/>
                <w:bCs/>
                <w:szCs w:val="21"/>
              </w:rPr>
            </w:pPr>
            <w:r>
              <w:rPr>
                <w:rFonts w:hint="eastAsia" w:ascii="宋体" w:hAnsi="宋体" w:eastAsia="宋体" w:cs="宋体"/>
                <w:b/>
                <w:bCs/>
                <w:sz w:val="21"/>
                <w:szCs w:val="21"/>
                <w:u w:val="single"/>
              </w:rPr>
              <w:t>★单个对象最大支持不小于48TB，单租户支持最大bucket不小于10000个，每个bucket的生命周期最多可容纳不少于1000规则</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提供证明材料或界面截图</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w:t>
            </w:r>
          </w:p>
        </w:tc>
        <w:tc>
          <w:tcPr>
            <w:tcW w:w="602" w:type="pct"/>
            <w:vAlign w:val="center"/>
          </w:tcPr>
          <w:p w14:paraId="50CFFCA5">
            <w:pPr>
              <w:spacing w:line="360" w:lineRule="auto"/>
              <w:rPr>
                <w:rFonts w:ascii="宋体" w:hAnsi="宋体" w:cs="宋体"/>
                <w:bCs/>
                <w:szCs w:val="21"/>
                <w:lang w:eastAsia="zh-Hans"/>
              </w:rPr>
            </w:pPr>
          </w:p>
        </w:tc>
      </w:tr>
      <w:tr w14:paraId="72AA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139D9BBC">
            <w:pPr>
              <w:spacing w:line="360" w:lineRule="auto"/>
              <w:rPr>
                <w:rFonts w:ascii="宋体" w:hAnsi="宋体" w:cs="宋体"/>
                <w:bCs/>
                <w:szCs w:val="21"/>
              </w:rPr>
            </w:pPr>
          </w:p>
        </w:tc>
        <w:tc>
          <w:tcPr>
            <w:tcW w:w="3650" w:type="pct"/>
            <w:vAlign w:val="center"/>
          </w:tcPr>
          <w:p w14:paraId="0340366D">
            <w:pPr>
              <w:spacing w:line="360" w:lineRule="auto"/>
              <w:rPr>
                <w:rFonts w:ascii="宋体" w:hAnsi="宋体" w:cs="宋体"/>
                <w:bCs/>
                <w:szCs w:val="21"/>
              </w:rPr>
            </w:pPr>
            <w:r>
              <w:rPr>
                <w:rFonts w:hint="eastAsia" w:ascii="宋体" w:hAnsi="宋体" w:cs="宋体"/>
                <w:bCs/>
                <w:szCs w:val="21"/>
              </w:rPr>
              <w:t>支持Bucket创建/删除/批量删除/列举，禁用，变更容量，设置标签，变更归属，所属区域设置，容量限制，静态网站托管，防盗链，跨域访问，lifecycle（生命周期）设置，存储碎片管理。</w:t>
            </w:r>
          </w:p>
        </w:tc>
        <w:tc>
          <w:tcPr>
            <w:tcW w:w="602" w:type="pct"/>
            <w:vAlign w:val="center"/>
          </w:tcPr>
          <w:p w14:paraId="2DDB05C4">
            <w:pPr>
              <w:spacing w:line="360" w:lineRule="auto"/>
              <w:rPr>
                <w:rFonts w:ascii="宋体" w:hAnsi="宋体" w:cs="宋体"/>
                <w:bCs/>
                <w:szCs w:val="21"/>
              </w:rPr>
            </w:pPr>
          </w:p>
        </w:tc>
      </w:tr>
      <w:tr w14:paraId="445F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085C769C">
            <w:pPr>
              <w:spacing w:line="360" w:lineRule="auto"/>
              <w:rPr>
                <w:rFonts w:ascii="宋体" w:hAnsi="宋体" w:cs="宋体"/>
                <w:bCs/>
                <w:szCs w:val="21"/>
              </w:rPr>
            </w:pPr>
          </w:p>
        </w:tc>
        <w:tc>
          <w:tcPr>
            <w:tcW w:w="3650" w:type="pct"/>
            <w:vAlign w:val="center"/>
          </w:tcPr>
          <w:p w14:paraId="69A1BC3F">
            <w:pPr>
              <w:spacing w:line="360" w:lineRule="auto"/>
              <w:rPr>
                <w:rFonts w:ascii="宋体" w:hAnsi="宋体" w:cs="宋体"/>
                <w:bCs/>
                <w:szCs w:val="21"/>
              </w:rPr>
            </w:pPr>
            <w:r>
              <w:rPr>
                <w:rFonts w:hint="eastAsia" w:ascii="宋体" w:hAnsi="宋体" w:cs="宋体"/>
                <w:bCs/>
                <w:szCs w:val="21"/>
              </w:rPr>
              <w:t>具备多用户隔离机制</w:t>
            </w:r>
          </w:p>
        </w:tc>
        <w:tc>
          <w:tcPr>
            <w:tcW w:w="602" w:type="pct"/>
            <w:vAlign w:val="center"/>
          </w:tcPr>
          <w:p w14:paraId="6F966020">
            <w:pPr>
              <w:spacing w:line="360" w:lineRule="auto"/>
              <w:rPr>
                <w:rFonts w:ascii="宋体" w:hAnsi="宋体" w:cs="宋体"/>
                <w:bCs/>
                <w:szCs w:val="21"/>
              </w:rPr>
            </w:pPr>
          </w:p>
        </w:tc>
      </w:tr>
      <w:tr w14:paraId="08A3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vMerge w:val="continue"/>
            <w:vAlign w:val="center"/>
          </w:tcPr>
          <w:p w14:paraId="5859EF4B">
            <w:pPr>
              <w:spacing w:line="360" w:lineRule="auto"/>
              <w:rPr>
                <w:rFonts w:ascii="宋体" w:hAnsi="宋体" w:cs="宋体"/>
                <w:bCs/>
                <w:szCs w:val="21"/>
              </w:rPr>
            </w:pPr>
          </w:p>
        </w:tc>
        <w:tc>
          <w:tcPr>
            <w:tcW w:w="3650" w:type="pct"/>
            <w:vAlign w:val="center"/>
          </w:tcPr>
          <w:p w14:paraId="1C7ECDC9">
            <w:pPr>
              <w:spacing w:line="360" w:lineRule="auto"/>
              <w:rPr>
                <w:rFonts w:ascii="宋体" w:hAnsi="宋体" w:cs="宋体"/>
                <w:bCs/>
                <w:szCs w:val="21"/>
              </w:rPr>
            </w:pPr>
            <w:r>
              <w:rPr>
                <w:rFonts w:hint="eastAsia" w:ascii="宋体" w:hAnsi="宋体" w:cs="宋体"/>
                <w:bCs/>
                <w:szCs w:val="21"/>
              </w:rPr>
              <w:t xml:space="preserve">支持大文件的分片并发上传和下载，支持断点续传； </w:t>
            </w:r>
          </w:p>
        </w:tc>
        <w:tc>
          <w:tcPr>
            <w:tcW w:w="602" w:type="pct"/>
            <w:vAlign w:val="center"/>
          </w:tcPr>
          <w:p w14:paraId="68081C6A">
            <w:pPr>
              <w:spacing w:line="360" w:lineRule="auto"/>
              <w:rPr>
                <w:rFonts w:ascii="宋体" w:hAnsi="宋体" w:cs="宋体"/>
                <w:bCs/>
                <w:szCs w:val="21"/>
              </w:rPr>
            </w:pPr>
          </w:p>
        </w:tc>
      </w:tr>
      <w:tr w14:paraId="221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3D71FE3F">
            <w:pPr>
              <w:spacing w:line="360" w:lineRule="auto"/>
              <w:rPr>
                <w:rFonts w:ascii="宋体" w:hAnsi="宋体" w:cs="宋体"/>
                <w:bCs/>
                <w:szCs w:val="21"/>
              </w:rPr>
            </w:pPr>
          </w:p>
        </w:tc>
        <w:tc>
          <w:tcPr>
            <w:tcW w:w="3650" w:type="pct"/>
            <w:vAlign w:val="center"/>
          </w:tcPr>
          <w:p w14:paraId="361C5218">
            <w:pPr>
              <w:spacing w:line="360" w:lineRule="auto"/>
              <w:rPr>
                <w:rFonts w:ascii="宋体" w:hAnsi="宋体" w:cs="宋体"/>
                <w:bCs/>
                <w:szCs w:val="21"/>
              </w:rPr>
            </w:pPr>
            <w:r>
              <w:rPr>
                <w:rFonts w:hint="eastAsia" w:ascii="宋体" w:hAnsi="宋体" w:cs="宋体"/>
                <w:bCs/>
                <w:szCs w:val="21"/>
              </w:rPr>
              <w:t>提供日志记录功能，方便追查访问来源以及进行多维度的统计分析</w:t>
            </w:r>
          </w:p>
        </w:tc>
        <w:tc>
          <w:tcPr>
            <w:tcW w:w="602" w:type="pct"/>
            <w:vAlign w:val="center"/>
          </w:tcPr>
          <w:p w14:paraId="1022FE72">
            <w:pPr>
              <w:spacing w:line="360" w:lineRule="auto"/>
              <w:rPr>
                <w:rFonts w:ascii="宋体" w:hAnsi="宋体" w:cs="宋体"/>
                <w:bCs/>
                <w:szCs w:val="21"/>
              </w:rPr>
            </w:pPr>
          </w:p>
        </w:tc>
      </w:tr>
      <w:tr w14:paraId="2575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76B17615">
            <w:pPr>
              <w:spacing w:line="360" w:lineRule="auto"/>
              <w:rPr>
                <w:rFonts w:ascii="宋体" w:hAnsi="宋体" w:cs="宋体"/>
                <w:bCs/>
                <w:szCs w:val="21"/>
              </w:rPr>
            </w:pPr>
          </w:p>
        </w:tc>
        <w:tc>
          <w:tcPr>
            <w:tcW w:w="3650" w:type="pct"/>
            <w:vAlign w:val="center"/>
          </w:tcPr>
          <w:p w14:paraId="067BE8FA">
            <w:pPr>
              <w:spacing w:line="360" w:lineRule="auto"/>
              <w:rPr>
                <w:rFonts w:ascii="宋体" w:hAnsi="宋体" w:cs="宋体"/>
                <w:bCs/>
                <w:szCs w:val="21"/>
              </w:rPr>
            </w:pPr>
            <w:r>
              <w:rPr>
                <w:rFonts w:hint="eastAsia" w:ascii="宋体" w:hAnsi="宋体" w:cs="宋体"/>
                <w:bCs/>
                <w:szCs w:val="21"/>
              </w:rPr>
              <w:t>提供标准 RESTful协议的API接口以及多语言的SDK</w:t>
            </w:r>
          </w:p>
        </w:tc>
        <w:tc>
          <w:tcPr>
            <w:tcW w:w="602" w:type="pct"/>
            <w:vAlign w:val="center"/>
          </w:tcPr>
          <w:p w14:paraId="1394D776">
            <w:pPr>
              <w:spacing w:line="360" w:lineRule="auto"/>
              <w:rPr>
                <w:rFonts w:ascii="宋体" w:hAnsi="宋体" w:cs="宋体"/>
                <w:bCs/>
                <w:szCs w:val="21"/>
              </w:rPr>
            </w:pPr>
          </w:p>
        </w:tc>
      </w:tr>
      <w:tr w14:paraId="0029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1DA60E4E">
            <w:pPr>
              <w:spacing w:line="360" w:lineRule="auto"/>
              <w:rPr>
                <w:rFonts w:ascii="宋体" w:hAnsi="宋体" w:cs="宋体"/>
                <w:bCs/>
                <w:szCs w:val="21"/>
              </w:rPr>
            </w:pPr>
          </w:p>
        </w:tc>
        <w:tc>
          <w:tcPr>
            <w:tcW w:w="3650" w:type="pct"/>
            <w:vAlign w:val="center"/>
          </w:tcPr>
          <w:p w14:paraId="4BBE8432">
            <w:pPr>
              <w:spacing w:line="360" w:lineRule="auto"/>
              <w:rPr>
                <w:rFonts w:ascii="宋体" w:hAnsi="宋体" w:cs="宋体"/>
                <w:bCs/>
                <w:szCs w:val="21"/>
              </w:rPr>
            </w:pPr>
            <w:r>
              <w:rPr>
                <w:rFonts w:hint="eastAsia" w:ascii="宋体" w:hAnsi="宋体" w:cs="宋体"/>
                <w:bCs/>
                <w:szCs w:val="21"/>
              </w:rPr>
              <w:t>提供服务端数据加密。</w:t>
            </w:r>
          </w:p>
        </w:tc>
        <w:tc>
          <w:tcPr>
            <w:tcW w:w="602" w:type="pct"/>
            <w:vAlign w:val="center"/>
          </w:tcPr>
          <w:p w14:paraId="65C787D6">
            <w:pPr>
              <w:spacing w:line="360" w:lineRule="auto"/>
              <w:rPr>
                <w:rFonts w:ascii="宋体" w:hAnsi="宋体" w:cs="宋体"/>
                <w:bCs/>
                <w:szCs w:val="21"/>
              </w:rPr>
            </w:pPr>
          </w:p>
        </w:tc>
      </w:tr>
      <w:tr w14:paraId="4A1C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7E142AAD">
            <w:pPr>
              <w:spacing w:line="360" w:lineRule="auto"/>
              <w:rPr>
                <w:rFonts w:ascii="宋体" w:hAnsi="宋体" w:cs="宋体"/>
                <w:bCs/>
                <w:szCs w:val="21"/>
              </w:rPr>
            </w:pPr>
          </w:p>
        </w:tc>
        <w:tc>
          <w:tcPr>
            <w:tcW w:w="3650" w:type="pct"/>
            <w:vAlign w:val="center"/>
          </w:tcPr>
          <w:p w14:paraId="7268165F">
            <w:pPr>
              <w:spacing w:line="360" w:lineRule="auto"/>
              <w:rPr>
                <w:rFonts w:ascii="宋体" w:hAnsi="宋体" w:cs="宋体"/>
                <w:bCs/>
                <w:szCs w:val="21"/>
              </w:rPr>
            </w:pPr>
            <w:r>
              <w:rPr>
                <w:rFonts w:hint="eastAsia" w:ascii="宋体" w:hAnsi="宋体" w:cs="宋体"/>
                <w:bCs/>
                <w:szCs w:val="21"/>
              </w:rPr>
              <w:t>支持对象简单上传/表单上传/追加上传/分片上传/断点续传上传/下载/流式下载/下载到本地文件/断点续传下载/范围下载/删除/批量删除/列举/复制/获取对象地址/上传任务的删除与取消/生命周期管理。</w:t>
            </w:r>
          </w:p>
        </w:tc>
        <w:tc>
          <w:tcPr>
            <w:tcW w:w="602" w:type="pct"/>
            <w:vAlign w:val="center"/>
          </w:tcPr>
          <w:p w14:paraId="7EFB6513">
            <w:pPr>
              <w:spacing w:line="360" w:lineRule="auto"/>
              <w:rPr>
                <w:rFonts w:ascii="宋体" w:hAnsi="宋体" w:cs="宋体"/>
                <w:bCs/>
                <w:szCs w:val="21"/>
              </w:rPr>
            </w:pPr>
          </w:p>
        </w:tc>
      </w:tr>
      <w:tr w14:paraId="2805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vAlign w:val="center"/>
          </w:tcPr>
          <w:p w14:paraId="043D1030">
            <w:pPr>
              <w:spacing w:line="360" w:lineRule="auto"/>
              <w:rPr>
                <w:rFonts w:ascii="宋体" w:hAnsi="宋体" w:cs="宋体"/>
                <w:bCs/>
                <w:szCs w:val="21"/>
              </w:rPr>
            </w:pPr>
            <w:r>
              <w:rPr>
                <w:rFonts w:hint="eastAsia" w:ascii="宋体" w:hAnsi="宋体" w:cs="宋体"/>
                <w:bCs/>
                <w:szCs w:val="21"/>
              </w:rPr>
              <w:t>可靠性</w:t>
            </w:r>
          </w:p>
        </w:tc>
        <w:tc>
          <w:tcPr>
            <w:tcW w:w="3650" w:type="pct"/>
            <w:vAlign w:val="center"/>
          </w:tcPr>
          <w:p w14:paraId="3435083C">
            <w:pPr>
              <w:spacing w:line="360" w:lineRule="auto"/>
              <w:rPr>
                <w:rFonts w:ascii="宋体" w:hAnsi="宋体" w:cs="宋体"/>
                <w:bCs/>
                <w:szCs w:val="21"/>
              </w:rPr>
            </w:pPr>
            <w:r>
              <w:rPr>
                <w:rFonts w:hint="eastAsia" w:ascii="宋体" w:hAnsi="宋体" w:cs="宋体"/>
                <w:bCs/>
                <w:szCs w:val="21"/>
              </w:rPr>
              <w:t>支持基于三副本和EC校验模式的数据多重冗余备份。三副本模式下，数据三副本支持分布在3个机柜或3对接入交换机上。</w:t>
            </w:r>
          </w:p>
        </w:tc>
        <w:tc>
          <w:tcPr>
            <w:tcW w:w="602" w:type="pct"/>
            <w:vAlign w:val="center"/>
          </w:tcPr>
          <w:p w14:paraId="7879919B">
            <w:pPr>
              <w:spacing w:line="360" w:lineRule="auto"/>
              <w:rPr>
                <w:rFonts w:ascii="宋体" w:hAnsi="宋体" w:cs="宋体"/>
                <w:bCs/>
                <w:szCs w:val="21"/>
              </w:rPr>
            </w:pPr>
          </w:p>
        </w:tc>
      </w:tr>
      <w:tr w14:paraId="728B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vAlign w:val="center"/>
          </w:tcPr>
          <w:p w14:paraId="2B8FDEFF">
            <w:pPr>
              <w:spacing w:line="360" w:lineRule="auto"/>
              <w:rPr>
                <w:rFonts w:ascii="宋体" w:hAnsi="宋体" w:cs="宋体"/>
                <w:bCs/>
                <w:szCs w:val="21"/>
              </w:rPr>
            </w:pPr>
            <w:r>
              <w:rPr>
                <w:rFonts w:hint="eastAsia" w:ascii="宋体" w:hAnsi="宋体" w:cs="宋体"/>
                <w:bCs/>
                <w:szCs w:val="21"/>
              </w:rPr>
              <w:t>容灾容错能力</w:t>
            </w:r>
          </w:p>
        </w:tc>
        <w:tc>
          <w:tcPr>
            <w:tcW w:w="3650" w:type="pct"/>
            <w:vAlign w:val="center"/>
          </w:tcPr>
          <w:p w14:paraId="74C62135">
            <w:pPr>
              <w:spacing w:line="360" w:lineRule="auto"/>
              <w:rPr>
                <w:rFonts w:ascii="宋体" w:hAnsi="宋体" w:cs="宋体"/>
                <w:bCs/>
                <w:szCs w:val="21"/>
              </w:rPr>
            </w:pPr>
            <w:r>
              <w:rPr>
                <w:rFonts w:hint="eastAsia" w:ascii="宋体" w:hAnsi="宋体" w:cs="宋体"/>
                <w:bCs/>
                <w:szCs w:val="21"/>
              </w:rPr>
              <w:t>支持同城容灾的非对等部署，支持按需选择需要容灾的bucket。</w:t>
            </w:r>
          </w:p>
        </w:tc>
        <w:tc>
          <w:tcPr>
            <w:tcW w:w="602" w:type="pct"/>
            <w:vAlign w:val="center"/>
          </w:tcPr>
          <w:p w14:paraId="1E2E5E68">
            <w:pPr>
              <w:spacing w:line="360" w:lineRule="auto"/>
              <w:rPr>
                <w:rFonts w:ascii="宋体" w:hAnsi="宋体" w:cs="宋体"/>
                <w:bCs/>
                <w:szCs w:val="21"/>
              </w:rPr>
            </w:pPr>
          </w:p>
        </w:tc>
      </w:tr>
      <w:tr w14:paraId="1A35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5ACFA946">
            <w:pPr>
              <w:spacing w:line="360" w:lineRule="auto"/>
              <w:rPr>
                <w:rFonts w:ascii="宋体" w:hAnsi="宋体" w:cs="宋体"/>
                <w:bCs/>
                <w:szCs w:val="21"/>
              </w:rPr>
            </w:pPr>
          </w:p>
        </w:tc>
        <w:tc>
          <w:tcPr>
            <w:tcW w:w="3650" w:type="pct"/>
            <w:vAlign w:val="center"/>
          </w:tcPr>
          <w:p w14:paraId="68914F73">
            <w:pPr>
              <w:spacing w:line="360" w:lineRule="auto"/>
              <w:rPr>
                <w:rFonts w:ascii="宋体" w:hAnsi="宋体" w:cs="宋体"/>
                <w:bCs/>
                <w:szCs w:val="21"/>
              </w:rPr>
            </w:pPr>
            <w:r>
              <w:rPr>
                <w:rFonts w:hint="eastAsia" w:ascii="宋体" w:hAnsi="宋体" w:cs="宋体"/>
                <w:bCs/>
                <w:szCs w:val="21"/>
              </w:rPr>
              <w:t>支持跨地域容灾功能，通过异步复制方式实现多可用区以及多云之间的数据级容灾。</w:t>
            </w:r>
          </w:p>
        </w:tc>
        <w:tc>
          <w:tcPr>
            <w:tcW w:w="602" w:type="pct"/>
            <w:vAlign w:val="center"/>
          </w:tcPr>
          <w:p w14:paraId="75531183">
            <w:pPr>
              <w:spacing w:line="360" w:lineRule="auto"/>
              <w:rPr>
                <w:rFonts w:ascii="宋体" w:hAnsi="宋体" w:cs="宋体"/>
                <w:bCs/>
                <w:szCs w:val="21"/>
              </w:rPr>
            </w:pPr>
          </w:p>
        </w:tc>
      </w:tr>
      <w:tr w14:paraId="5D48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vMerge w:val="restart"/>
            <w:vAlign w:val="center"/>
          </w:tcPr>
          <w:p w14:paraId="50CF5C16">
            <w:pPr>
              <w:spacing w:line="360" w:lineRule="auto"/>
              <w:rPr>
                <w:rFonts w:ascii="宋体" w:hAnsi="宋体" w:cs="宋体"/>
                <w:bCs/>
                <w:szCs w:val="21"/>
              </w:rPr>
            </w:pPr>
            <w:r>
              <w:rPr>
                <w:rFonts w:hint="eastAsia" w:ascii="宋体" w:hAnsi="宋体" w:cs="宋体"/>
                <w:bCs/>
                <w:szCs w:val="21"/>
              </w:rPr>
              <w:t>安全访问</w:t>
            </w:r>
          </w:p>
        </w:tc>
        <w:tc>
          <w:tcPr>
            <w:tcW w:w="3650" w:type="pct"/>
            <w:vAlign w:val="center"/>
          </w:tcPr>
          <w:p w14:paraId="3E107AA9">
            <w:pPr>
              <w:spacing w:line="360" w:lineRule="auto"/>
              <w:rPr>
                <w:rFonts w:ascii="宋体" w:hAnsi="宋体" w:cs="宋体"/>
                <w:bCs/>
                <w:szCs w:val="21"/>
              </w:rPr>
            </w:pPr>
            <w:r>
              <w:rPr>
                <w:rFonts w:hint="eastAsia" w:ascii="宋体" w:hAnsi="宋体" w:eastAsia="宋体" w:cs="宋体"/>
                <w:b/>
                <w:bCs/>
                <w:sz w:val="21"/>
                <w:szCs w:val="21"/>
                <w:u w:val="single"/>
              </w:rPr>
              <w:t>★</w:t>
            </w:r>
            <w:r>
              <w:rPr>
                <w:rFonts w:hint="eastAsia" w:ascii="宋体" w:hAnsi="宋体" w:cs="宋体"/>
                <w:b/>
                <w:bCs/>
                <w:szCs w:val="21"/>
                <w:u w:val="single"/>
              </w:rPr>
              <w:t>支持使用国密算法对bucket内保存的数据以及单独object进行加密存储</w:t>
            </w:r>
            <w:r>
              <w:rPr>
                <w:rFonts w:hint="eastAsia" w:ascii="宋体" w:hAnsi="宋体" w:cs="宋体"/>
                <w:b/>
                <w:bCs/>
                <w:szCs w:val="21"/>
                <w:u w:val="single"/>
                <w:lang w:eastAsia="zh-CN"/>
              </w:rPr>
              <w:t>（</w:t>
            </w:r>
            <w:r>
              <w:rPr>
                <w:rFonts w:hint="eastAsia" w:ascii="宋体" w:hAnsi="宋体" w:cs="宋体"/>
                <w:b/>
                <w:bCs/>
                <w:szCs w:val="21"/>
                <w:u w:val="single"/>
              </w:rPr>
              <w:t>需提供证明材料或界面截图</w:t>
            </w:r>
            <w:r>
              <w:rPr>
                <w:rFonts w:hint="eastAsia" w:ascii="宋体" w:hAnsi="宋体" w:cs="宋体"/>
                <w:b/>
                <w:bCs/>
                <w:szCs w:val="21"/>
                <w:u w:val="single"/>
                <w:lang w:eastAsia="zh-CN"/>
              </w:rPr>
              <w:t>）</w:t>
            </w:r>
          </w:p>
        </w:tc>
        <w:tc>
          <w:tcPr>
            <w:tcW w:w="602" w:type="pct"/>
            <w:vAlign w:val="center"/>
          </w:tcPr>
          <w:p w14:paraId="3D53B18D">
            <w:pPr>
              <w:spacing w:line="360" w:lineRule="auto"/>
              <w:rPr>
                <w:rFonts w:ascii="宋体" w:hAnsi="宋体" w:cs="宋体"/>
                <w:bCs/>
                <w:szCs w:val="21"/>
              </w:rPr>
            </w:pPr>
          </w:p>
        </w:tc>
      </w:tr>
      <w:tr w14:paraId="63AF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381E0DA1">
            <w:pPr>
              <w:spacing w:line="360" w:lineRule="auto"/>
              <w:rPr>
                <w:rFonts w:ascii="宋体" w:hAnsi="宋体" w:cs="宋体"/>
                <w:bCs/>
                <w:szCs w:val="21"/>
              </w:rPr>
            </w:pPr>
          </w:p>
        </w:tc>
        <w:tc>
          <w:tcPr>
            <w:tcW w:w="3650" w:type="pct"/>
            <w:vAlign w:val="center"/>
          </w:tcPr>
          <w:p w14:paraId="73D58092">
            <w:pPr>
              <w:spacing w:line="360" w:lineRule="auto"/>
              <w:rPr>
                <w:rFonts w:ascii="宋体" w:hAnsi="宋体" w:cs="宋体"/>
                <w:bCs/>
                <w:szCs w:val="21"/>
              </w:rPr>
            </w:pPr>
            <w:r>
              <w:rPr>
                <w:rFonts w:hint="eastAsia" w:ascii="宋体" w:hAnsi="宋体" w:cs="宋体"/>
                <w:bCs/>
                <w:szCs w:val="21"/>
              </w:rPr>
              <w:t>支持服务器端的加密功能，用户能够使用密钥管理系统上创建的密钥进行加密。</w:t>
            </w:r>
          </w:p>
        </w:tc>
        <w:tc>
          <w:tcPr>
            <w:tcW w:w="602" w:type="pct"/>
            <w:vAlign w:val="center"/>
          </w:tcPr>
          <w:p w14:paraId="2165362C">
            <w:pPr>
              <w:spacing w:line="360" w:lineRule="auto"/>
              <w:rPr>
                <w:rFonts w:ascii="宋体" w:hAnsi="宋体" w:cs="宋体"/>
                <w:bCs/>
                <w:szCs w:val="21"/>
              </w:rPr>
            </w:pPr>
          </w:p>
        </w:tc>
      </w:tr>
      <w:tr w14:paraId="0020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28456FAD">
            <w:pPr>
              <w:spacing w:line="360" w:lineRule="auto"/>
              <w:rPr>
                <w:rFonts w:ascii="宋体" w:hAnsi="宋体" w:cs="宋体"/>
                <w:bCs/>
                <w:szCs w:val="21"/>
              </w:rPr>
            </w:pPr>
          </w:p>
        </w:tc>
        <w:tc>
          <w:tcPr>
            <w:tcW w:w="3650" w:type="pct"/>
            <w:vAlign w:val="center"/>
          </w:tcPr>
          <w:p w14:paraId="467DB9E2">
            <w:pPr>
              <w:spacing w:line="360" w:lineRule="auto"/>
              <w:rPr>
                <w:rFonts w:ascii="宋体" w:hAnsi="宋体" w:cs="宋体"/>
                <w:bCs/>
                <w:szCs w:val="21"/>
              </w:rPr>
            </w:pPr>
            <w:r>
              <w:rPr>
                <w:rFonts w:hint="eastAsia" w:ascii="宋体" w:hAnsi="宋体" w:cs="宋体"/>
                <w:bCs/>
                <w:szCs w:val="21"/>
              </w:rPr>
              <w:t>支持客户端加密功能，可以使用客户端加密SDK，在本地进行数据加密，并将加密后的数据上传到对象存储，既支持云平台密钥管理系统托管的用户主密钥，也支持用户自主管理的密钥。</w:t>
            </w:r>
          </w:p>
        </w:tc>
        <w:tc>
          <w:tcPr>
            <w:tcW w:w="602" w:type="pct"/>
            <w:vAlign w:val="center"/>
          </w:tcPr>
          <w:p w14:paraId="5E5F25ED">
            <w:pPr>
              <w:spacing w:line="360" w:lineRule="auto"/>
              <w:rPr>
                <w:rFonts w:ascii="宋体" w:hAnsi="宋体" w:cs="宋体"/>
                <w:bCs/>
                <w:szCs w:val="21"/>
              </w:rPr>
            </w:pPr>
          </w:p>
        </w:tc>
      </w:tr>
    </w:tbl>
    <w:p w14:paraId="5AC50257">
      <w:pPr>
        <w:spacing w:line="360" w:lineRule="auto"/>
        <w:ind w:firstLine="480"/>
        <w:rPr>
          <w:rFonts w:ascii="宋体" w:hAnsi="宋体" w:cs="宋体"/>
          <w:bCs/>
          <w:szCs w:val="21"/>
        </w:rPr>
      </w:pPr>
      <w:r>
        <w:rPr>
          <w:rFonts w:hint="eastAsia" w:ascii="宋体" w:hAnsi="宋体" w:cs="宋体"/>
          <w:bCs/>
          <w:szCs w:val="21"/>
        </w:rPr>
        <w:t>（2） 文件存储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6781"/>
        <w:gridCol w:w="1118"/>
      </w:tblGrid>
      <w:tr w14:paraId="5A78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14:paraId="568D925F">
            <w:pPr>
              <w:spacing w:line="360" w:lineRule="auto"/>
              <w:jc w:val="center"/>
              <w:rPr>
                <w:rFonts w:ascii="宋体" w:hAnsi="宋体" w:cs="宋体"/>
                <w:b/>
                <w:bCs/>
                <w:szCs w:val="21"/>
              </w:rPr>
            </w:pPr>
            <w:r>
              <w:rPr>
                <w:rFonts w:hint="eastAsia" w:ascii="宋体" w:hAnsi="宋体" w:cs="宋体"/>
                <w:b/>
                <w:bCs/>
                <w:szCs w:val="21"/>
              </w:rPr>
              <w:t>指标项</w:t>
            </w:r>
          </w:p>
        </w:tc>
        <w:tc>
          <w:tcPr>
            <w:tcW w:w="3650" w:type="pct"/>
            <w:vAlign w:val="center"/>
          </w:tcPr>
          <w:p w14:paraId="4EFC6A49">
            <w:pPr>
              <w:spacing w:line="360" w:lineRule="auto"/>
              <w:jc w:val="center"/>
              <w:rPr>
                <w:rFonts w:ascii="宋体" w:hAnsi="宋体" w:cs="宋体"/>
                <w:b/>
                <w:bCs/>
                <w:szCs w:val="21"/>
              </w:rPr>
            </w:pPr>
            <w:r>
              <w:rPr>
                <w:rFonts w:hint="eastAsia" w:ascii="宋体" w:hAnsi="宋体" w:cs="宋体"/>
                <w:b/>
                <w:bCs/>
                <w:szCs w:val="21"/>
              </w:rPr>
              <w:t>规格要求</w:t>
            </w:r>
          </w:p>
        </w:tc>
        <w:tc>
          <w:tcPr>
            <w:tcW w:w="602" w:type="pct"/>
            <w:vAlign w:val="center"/>
          </w:tcPr>
          <w:p w14:paraId="075D95F3">
            <w:pPr>
              <w:spacing w:line="360" w:lineRule="auto"/>
              <w:jc w:val="center"/>
              <w:rPr>
                <w:rFonts w:ascii="宋体" w:hAnsi="宋体" w:cs="宋体"/>
                <w:b/>
                <w:bCs/>
                <w:szCs w:val="21"/>
              </w:rPr>
            </w:pPr>
            <w:r>
              <w:rPr>
                <w:rFonts w:hint="eastAsia" w:ascii="宋体" w:hAnsi="宋体" w:cs="宋体"/>
                <w:b/>
                <w:bCs/>
                <w:szCs w:val="21"/>
              </w:rPr>
              <w:t>备注</w:t>
            </w:r>
          </w:p>
        </w:tc>
      </w:tr>
      <w:tr w14:paraId="3094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Align w:val="center"/>
          </w:tcPr>
          <w:p w14:paraId="0295F9D3">
            <w:pPr>
              <w:spacing w:line="360" w:lineRule="auto"/>
              <w:rPr>
                <w:rFonts w:ascii="宋体" w:hAnsi="宋体" w:cs="宋体"/>
                <w:bCs/>
                <w:szCs w:val="21"/>
              </w:rPr>
            </w:pPr>
            <w:r>
              <w:rPr>
                <w:rFonts w:hint="eastAsia" w:ascii="宋体" w:hAnsi="宋体" w:cs="宋体"/>
                <w:bCs/>
                <w:szCs w:val="21"/>
              </w:rPr>
              <w:t>服务标准</w:t>
            </w:r>
          </w:p>
        </w:tc>
        <w:tc>
          <w:tcPr>
            <w:tcW w:w="3650" w:type="pct"/>
            <w:vAlign w:val="center"/>
          </w:tcPr>
          <w:p w14:paraId="16745B0C">
            <w:pPr>
              <w:spacing w:line="360" w:lineRule="auto"/>
              <w:rPr>
                <w:rFonts w:ascii="宋体" w:hAnsi="宋体" w:cs="宋体"/>
                <w:bCs/>
                <w:szCs w:val="21"/>
              </w:rPr>
            </w:pPr>
            <w:r>
              <w:rPr>
                <w:rFonts w:hint="eastAsia" w:ascii="宋体" w:hAnsi="宋体" w:cs="宋体"/>
                <w:bCs/>
                <w:szCs w:val="21"/>
              </w:rPr>
              <w:t>提供基于POSIX文件接口，可共享访问、弹性扩展、高可靠以及高性能的分布式文件系统，为</w:t>
            </w:r>
            <w:r>
              <w:rPr>
                <w:rFonts w:hint="eastAsia" w:ascii="宋体" w:hAnsi="宋体" w:cs="宋体"/>
                <w:bCs/>
                <w:szCs w:val="21"/>
                <w:lang w:eastAsia="zh-Hans"/>
              </w:rPr>
              <w:t>云服务器</w:t>
            </w:r>
            <w:r>
              <w:rPr>
                <w:rFonts w:hint="eastAsia" w:ascii="宋体" w:hAnsi="宋体" w:cs="宋体"/>
                <w:bCs/>
                <w:szCs w:val="21"/>
              </w:rPr>
              <w:t>提供低时延、持久性、高可靠性的数据文件级存储。</w:t>
            </w:r>
          </w:p>
        </w:tc>
        <w:tc>
          <w:tcPr>
            <w:tcW w:w="602" w:type="pct"/>
            <w:vAlign w:val="center"/>
          </w:tcPr>
          <w:p w14:paraId="6F22E623">
            <w:pPr>
              <w:spacing w:line="360" w:lineRule="auto"/>
              <w:rPr>
                <w:rFonts w:ascii="宋体" w:hAnsi="宋体" w:cs="宋体"/>
                <w:bCs/>
                <w:szCs w:val="21"/>
              </w:rPr>
            </w:pPr>
          </w:p>
        </w:tc>
      </w:tr>
      <w:tr w14:paraId="4AC8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8" w:type="pct"/>
            <w:vMerge w:val="restart"/>
            <w:vAlign w:val="center"/>
          </w:tcPr>
          <w:p w14:paraId="1C2C483D">
            <w:pPr>
              <w:spacing w:line="360" w:lineRule="auto"/>
              <w:rPr>
                <w:rFonts w:ascii="宋体" w:hAnsi="宋体" w:cs="宋体"/>
                <w:bCs/>
                <w:szCs w:val="21"/>
              </w:rPr>
            </w:pPr>
            <w:r>
              <w:rPr>
                <w:rFonts w:hint="eastAsia" w:ascii="宋体" w:hAnsi="宋体" w:cs="宋体"/>
                <w:bCs/>
                <w:szCs w:val="21"/>
              </w:rPr>
              <w:t>服务特性</w:t>
            </w:r>
          </w:p>
        </w:tc>
        <w:tc>
          <w:tcPr>
            <w:tcW w:w="3650" w:type="pct"/>
            <w:vAlign w:val="center"/>
          </w:tcPr>
          <w:p w14:paraId="12CFE95B">
            <w:pPr>
              <w:spacing w:line="360" w:lineRule="auto"/>
              <w:rPr>
                <w:rFonts w:ascii="宋体" w:hAnsi="宋体" w:cs="宋体"/>
                <w:bCs/>
                <w:szCs w:val="21"/>
              </w:rPr>
            </w:pPr>
            <w:r>
              <w:rPr>
                <w:rFonts w:hint="eastAsia" w:ascii="宋体" w:hAnsi="宋体" w:cs="宋体"/>
                <w:bCs/>
                <w:szCs w:val="21"/>
              </w:rPr>
              <w:t>多共享：支持NFS v3.0/4.0，SMB2.1/3.0协议，实现数据共享。</w:t>
            </w:r>
          </w:p>
        </w:tc>
        <w:tc>
          <w:tcPr>
            <w:tcW w:w="602" w:type="pct"/>
            <w:vAlign w:val="center"/>
          </w:tcPr>
          <w:p w14:paraId="73484D73">
            <w:pPr>
              <w:spacing w:line="360" w:lineRule="auto"/>
              <w:rPr>
                <w:rFonts w:ascii="宋体" w:hAnsi="宋体" w:cs="宋体"/>
                <w:bCs/>
                <w:szCs w:val="21"/>
              </w:rPr>
            </w:pPr>
          </w:p>
        </w:tc>
      </w:tr>
      <w:tr w14:paraId="0074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0DA9D0D3">
            <w:pPr>
              <w:spacing w:line="360" w:lineRule="auto"/>
              <w:rPr>
                <w:rFonts w:ascii="宋体" w:hAnsi="宋体" w:cs="宋体"/>
                <w:bCs/>
                <w:szCs w:val="21"/>
              </w:rPr>
            </w:pPr>
          </w:p>
        </w:tc>
        <w:tc>
          <w:tcPr>
            <w:tcW w:w="3650" w:type="pct"/>
            <w:vAlign w:val="center"/>
          </w:tcPr>
          <w:p w14:paraId="59C31FD1">
            <w:pPr>
              <w:spacing w:line="360" w:lineRule="auto"/>
              <w:rPr>
                <w:rFonts w:ascii="宋体" w:hAnsi="宋体" w:cs="宋体"/>
                <w:bCs/>
                <w:szCs w:val="21"/>
              </w:rPr>
            </w:pPr>
            <w:r>
              <w:rPr>
                <w:rFonts w:hint="eastAsia" w:ascii="宋体" w:hAnsi="宋体" w:cs="宋体"/>
                <w:bCs/>
                <w:szCs w:val="21"/>
              </w:rPr>
              <w:t>高性能：单个文件系统吞吐性能随存储量线性扩展，相比购买高端NAS存储设备，大幅降低成本。</w:t>
            </w:r>
          </w:p>
        </w:tc>
        <w:tc>
          <w:tcPr>
            <w:tcW w:w="602" w:type="pct"/>
            <w:vAlign w:val="center"/>
          </w:tcPr>
          <w:p w14:paraId="5B1E2080">
            <w:pPr>
              <w:spacing w:line="360" w:lineRule="auto"/>
              <w:rPr>
                <w:rFonts w:ascii="宋体" w:hAnsi="宋体" w:cs="宋体"/>
                <w:bCs/>
                <w:szCs w:val="21"/>
              </w:rPr>
            </w:pPr>
          </w:p>
        </w:tc>
      </w:tr>
      <w:tr w14:paraId="1375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2FC8F1D6">
            <w:pPr>
              <w:spacing w:line="360" w:lineRule="auto"/>
              <w:rPr>
                <w:rFonts w:ascii="宋体" w:hAnsi="宋体" w:cs="宋体"/>
                <w:bCs/>
                <w:szCs w:val="21"/>
              </w:rPr>
            </w:pPr>
          </w:p>
        </w:tc>
        <w:tc>
          <w:tcPr>
            <w:tcW w:w="3650" w:type="pct"/>
            <w:vAlign w:val="center"/>
          </w:tcPr>
          <w:p w14:paraId="5CAB8FF2">
            <w:pPr>
              <w:spacing w:line="360" w:lineRule="auto"/>
              <w:rPr>
                <w:rFonts w:ascii="宋体" w:hAnsi="宋体" w:cs="宋体"/>
                <w:bCs/>
                <w:szCs w:val="21"/>
              </w:rPr>
            </w:pPr>
            <w:r>
              <w:rPr>
                <w:rFonts w:hint="eastAsia" w:ascii="宋体" w:hAnsi="宋体" w:cs="宋体"/>
                <w:bCs/>
                <w:szCs w:val="21"/>
              </w:rPr>
              <w:t>弹性扩展：业务数据弹性增长。最大单文件系统可达10 PB的存储空间，每个文件系统支持最多10亿文件，单文件最大32TB。</w:t>
            </w:r>
          </w:p>
        </w:tc>
        <w:tc>
          <w:tcPr>
            <w:tcW w:w="602" w:type="pct"/>
            <w:vAlign w:val="center"/>
          </w:tcPr>
          <w:p w14:paraId="2420E483">
            <w:pPr>
              <w:spacing w:line="360" w:lineRule="auto"/>
              <w:rPr>
                <w:rFonts w:ascii="宋体" w:hAnsi="宋体" w:cs="宋体"/>
                <w:bCs/>
                <w:szCs w:val="21"/>
              </w:rPr>
            </w:pPr>
          </w:p>
        </w:tc>
      </w:tr>
      <w:tr w14:paraId="7095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230B87B2">
            <w:pPr>
              <w:spacing w:line="360" w:lineRule="auto"/>
              <w:rPr>
                <w:rFonts w:ascii="宋体" w:hAnsi="宋体" w:cs="宋体"/>
                <w:bCs/>
                <w:szCs w:val="21"/>
              </w:rPr>
            </w:pPr>
          </w:p>
        </w:tc>
        <w:tc>
          <w:tcPr>
            <w:tcW w:w="3650" w:type="pct"/>
            <w:vAlign w:val="center"/>
          </w:tcPr>
          <w:p w14:paraId="29EF6078">
            <w:pPr>
              <w:spacing w:line="360" w:lineRule="auto"/>
              <w:rPr>
                <w:rFonts w:ascii="宋体" w:hAnsi="宋体" w:cs="宋体"/>
                <w:bCs/>
                <w:szCs w:val="21"/>
              </w:rPr>
            </w:pPr>
            <w:r>
              <w:rPr>
                <w:rFonts w:hint="eastAsia" w:ascii="宋体" w:hAnsi="宋体" w:cs="宋体"/>
                <w:bCs/>
                <w:szCs w:val="21"/>
              </w:rPr>
              <w:t>高可靠：基于三副本的盘古分布式系统，提供高数据可靠性，保护用户数据安全。</w:t>
            </w:r>
          </w:p>
        </w:tc>
        <w:tc>
          <w:tcPr>
            <w:tcW w:w="602" w:type="pct"/>
            <w:vAlign w:val="center"/>
          </w:tcPr>
          <w:p w14:paraId="7CB10C8D">
            <w:pPr>
              <w:spacing w:line="360" w:lineRule="auto"/>
              <w:rPr>
                <w:rFonts w:ascii="宋体" w:hAnsi="宋体" w:cs="宋体"/>
                <w:bCs/>
                <w:szCs w:val="21"/>
                <w:lang w:eastAsia="zh-Hans"/>
              </w:rPr>
            </w:pPr>
          </w:p>
        </w:tc>
      </w:tr>
      <w:tr w14:paraId="5FA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57219C92">
            <w:pPr>
              <w:spacing w:line="360" w:lineRule="auto"/>
              <w:rPr>
                <w:rFonts w:ascii="宋体" w:hAnsi="宋体" w:cs="宋体"/>
                <w:bCs/>
                <w:szCs w:val="21"/>
              </w:rPr>
            </w:pPr>
          </w:p>
        </w:tc>
        <w:tc>
          <w:tcPr>
            <w:tcW w:w="3650" w:type="pct"/>
            <w:vAlign w:val="center"/>
          </w:tcPr>
          <w:p w14:paraId="214FB105">
            <w:pPr>
              <w:spacing w:line="360" w:lineRule="auto"/>
              <w:rPr>
                <w:rFonts w:ascii="宋体" w:hAnsi="宋体" w:cs="宋体"/>
                <w:bCs/>
                <w:szCs w:val="21"/>
              </w:rPr>
            </w:pPr>
            <w:r>
              <w:rPr>
                <w:rFonts w:hint="eastAsia" w:ascii="宋体" w:hAnsi="宋体" w:cs="宋体"/>
                <w:bCs/>
                <w:szCs w:val="21"/>
              </w:rPr>
              <w:t>安全：支持</w:t>
            </w:r>
            <w:r>
              <w:rPr>
                <w:rFonts w:hint="eastAsia" w:ascii="宋体" w:hAnsi="宋体" w:cs="宋体"/>
                <w:bCs/>
                <w:szCs w:val="21"/>
                <w:lang w:eastAsia="zh-Hans"/>
              </w:rPr>
              <w:t>专有网络</w:t>
            </w:r>
            <w:r>
              <w:rPr>
                <w:rFonts w:hint="eastAsia" w:ascii="宋体" w:hAnsi="宋体" w:cs="宋体"/>
                <w:bCs/>
                <w:szCs w:val="21"/>
              </w:rPr>
              <w:t>、安全组、ACL、主子账号等安全特性，保障用户数据隔离。</w:t>
            </w:r>
          </w:p>
        </w:tc>
        <w:tc>
          <w:tcPr>
            <w:tcW w:w="602" w:type="pct"/>
            <w:vAlign w:val="center"/>
          </w:tcPr>
          <w:p w14:paraId="158E32A7">
            <w:pPr>
              <w:spacing w:line="360" w:lineRule="auto"/>
              <w:rPr>
                <w:rFonts w:ascii="宋体" w:hAnsi="宋体" w:cs="宋体"/>
                <w:bCs/>
                <w:szCs w:val="21"/>
              </w:rPr>
            </w:pPr>
          </w:p>
        </w:tc>
      </w:tr>
      <w:tr w14:paraId="1735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4ABFB0B3">
            <w:pPr>
              <w:spacing w:line="360" w:lineRule="auto"/>
              <w:rPr>
                <w:rFonts w:ascii="宋体" w:hAnsi="宋体" w:cs="宋体"/>
                <w:bCs/>
                <w:szCs w:val="21"/>
              </w:rPr>
            </w:pPr>
          </w:p>
        </w:tc>
        <w:tc>
          <w:tcPr>
            <w:tcW w:w="3650" w:type="pct"/>
            <w:vAlign w:val="center"/>
          </w:tcPr>
          <w:p w14:paraId="395D1AB6">
            <w:pPr>
              <w:spacing w:line="360" w:lineRule="auto"/>
              <w:rPr>
                <w:rFonts w:ascii="宋体" w:hAnsi="宋体" w:cs="宋体"/>
                <w:bCs/>
                <w:szCs w:val="21"/>
              </w:rPr>
            </w:pPr>
            <w:r>
              <w:rPr>
                <w:rFonts w:hint="eastAsia" w:ascii="宋体" w:hAnsi="宋体" w:cs="宋体"/>
                <w:bCs/>
                <w:szCs w:val="21"/>
              </w:rPr>
              <w:t>全局命名空间：文件系统数据分布在整个NAS集群上，提供单一命名空间。</w:t>
            </w:r>
          </w:p>
        </w:tc>
        <w:tc>
          <w:tcPr>
            <w:tcW w:w="602" w:type="pct"/>
            <w:vAlign w:val="center"/>
          </w:tcPr>
          <w:p w14:paraId="09C428DC">
            <w:pPr>
              <w:spacing w:line="360" w:lineRule="auto"/>
              <w:rPr>
                <w:rFonts w:ascii="宋体" w:hAnsi="宋体" w:cs="宋体"/>
                <w:bCs/>
                <w:szCs w:val="21"/>
              </w:rPr>
            </w:pPr>
          </w:p>
        </w:tc>
      </w:tr>
      <w:tr w14:paraId="511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vAlign w:val="center"/>
          </w:tcPr>
          <w:p w14:paraId="14ED572C">
            <w:pPr>
              <w:spacing w:line="360" w:lineRule="auto"/>
              <w:rPr>
                <w:rFonts w:ascii="宋体" w:hAnsi="宋体" w:cs="宋体"/>
                <w:bCs/>
                <w:szCs w:val="21"/>
              </w:rPr>
            </w:pPr>
            <w:r>
              <w:rPr>
                <w:rFonts w:hint="eastAsia" w:ascii="宋体" w:hAnsi="宋体" w:cs="宋体"/>
                <w:bCs/>
                <w:szCs w:val="21"/>
              </w:rPr>
              <w:t>共享性</w:t>
            </w:r>
          </w:p>
        </w:tc>
        <w:tc>
          <w:tcPr>
            <w:tcW w:w="3650" w:type="pct"/>
            <w:vAlign w:val="center"/>
          </w:tcPr>
          <w:p w14:paraId="322DA332">
            <w:pPr>
              <w:spacing w:line="360" w:lineRule="auto"/>
              <w:rPr>
                <w:rFonts w:ascii="宋体" w:hAnsi="宋体" w:cs="宋体"/>
                <w:bCs/>
                <w:szCs w:val="21"/>
              </w:rPr>
            </w:pPr>
            <w:r>
              <w:rPr>
                <w:rFonts w:hint="eastAsia" w:ascii="宋体" w:hAnsi="宋体" w:cs="宋体"/>
                <w:bCs/>
                <w:szCs w:val="21"/>
              </w:rPr>
              <w:t>NAS提供了标准的NFS以及SMB访问协议，支持主流的 Linux以及Windows 操作系统 ，方便挂载</w:t>
            </w:r>
          </w:p>
        </w:tc>
        <w:tc>
          <w:tcPr>
            <w:tcW w:w="602" w:type="pct"/>
            <w:vAlign w:val="center"/>
          </w:tcPr>
          <w:p w14:paraId="2860F054">
            <w:pPr>
              <w:spacing w:line="360" w:lineRule="auto"/>
              <w:rPr>
                <w:rFonts w:ascii="宋体" w:hAnsi="宋体" w:cs="宋体"/>
                <w:bCs/>
                <w:szCs w:val="21"/>
              </w:rPr>
            </w:pPr>
          </w:p>
        </w:tc>
      </w:tr>
      <w:tr w14:paraId="2337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278DEC62">
            <w:pPr>
              <w:spacing w:line="360" w:lineRule="auto"/>
              <w:rPr>
                <w:rFonts w:ascii="宋体" w:hAnsi="宋体" w:cs="宋体"/>
                <w:bCs/>
                <w:szCs w:val="21"/>
              </w:rPr>
            </w:pPr>
          </w:p>
        </w:tc>
        <w:tc>
          <w:tcPr>
            <w:tcW w:w="3650" w:type="pct"/>
            <w:vAlign w:val="center"/>
          </w:tcPr>
          <w:p w14:paraId="119F20D0">
            <w:pPr>
              <w:spacing w:line="360" w:lineRule="auto"/>
              <w:rPr>
                <w:rFonts w:ascii="宋体" w:hAnsi="宋体" w:cs="宋体"/>
                <w:bCs/>
                <w:szCs w:val="21"/>
              </w:rPr>
            </w:pPr>
            <w:r>
              <w:rPr>
                <w:rFonts w:hint="eastAsia" w:ascii="宋体" w:hAnsi="宋体" w:cs="宋体"/>
                <w:bCs/>
                <w:szCs w:val="21"/>
              </w:rPr>
              <w:t>多计算示例可以共享访问同一数据源，并能保证数据的强一致性</w:t>
            </w:r>
          </w:p>
        </w:tc>
        <w:tc>
          <w:tcPr>
            <w:tcW w:w="602" w:type="pct"/>
            <w:vAlign w:val="center"/>
          </w:tcPr>
          <w:p w14:paraId="19B5F64E">
            <w:pPr>
              <w:spacing w:line="360" w:lineRule="auto"/>
              <w:rPr>
                <w:rFonts w:ascii="宋体" w:hAnsi="宋体" w:cs="宋体"/>
                <w:bCs/>
                <w:szCs w:val="21"/>
              </w:rPr>
            </w:pPr>
          </w:p>
        </w:tc>
      </w:tr>
      <w:tr w14:paraId="1110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restart"/>
            <w:vAlign w:val="center"/>
          </w:tcPr>
          <w:p w14:paraId="5D37CFDF">
            <w:pPr>
              <w:spacing w:line="360" w:lineRule="auto"/>
              <w:rPr>
                <w:rFonts w:ascii="宋体" w:hAnsi="宋体" w:cs="宋体"/>
                <w:bCs/>
                <w:szCs w:val="21"/>
              </w:rPr>
            </w:pPr>
            <w:r>
              <w:rPr>
                <w:rFonts w:hint="eastAsia" w:ascii="宋体" w:hAnsi="宋体" w:cs="宋体"/>
                <w:bCs/>
                <w:szCs w:val="21"/>
              </w:rPr>
              <w:t>安全性</w:t>
            </w:r>
          </w:p>
        </w:tc>
        <w:tc>
          <w:tcPr>
            <w:tcW w:w="3650" w:type="pct"/>
            <w:vAlign w:val="center"/>
          </w:tcPr>
          <w:p w14:paraId="2518FE47">
            <w:pPr>
              <w:spacing w:line="360" w:lineRule="auto"/>
              <w:rPr>
                <w:rFonts w:ascii="宋体" w:hAnsi="宋体" w:cs="宋体"/>
                <w:bCs/>
                <w:szCs w:val="21"/>
              </w:rPr>
            </w:pPr>
            <w:r>
              <w:rPr>
                <w:rFonts w:hint="eastAsia" w:ascii="宋体" w:hAnsi="宋体" w:cs="宋体"/>
                <w:bCs/>
                <w:szCs w:val="21"/>
              </w:rPr>
              <w:t>采取了传输加密保证传输数据的安全。</w:t>
            </w:r>
          </w:p>
        </w:tc>
        <w:tc>
          <w:tcPr>
            <w:tcW w:w="602" w:type="pct"/>
            <w:vAlign w:val="center"/>
          </w:tcPr>
          <w:p w14:paraId="6ABE08F6">
            <w:pPr>
              <w:spacing w:line="360" w:lineRule="auto"/>
              <w:rPr>
                <w:rFonts w:ascii="宋体" w:hAnsi="宋体" w:cs="宋体"/>
                <w:bCs/>
                <w:szCs w:val="21"/>
              </w:rPr>
            </w:pPr>
          </w:p>
        </w:tc>
      </w:tr>
      <w:tr w14:paraId="2C92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342D335F">
            <w:pPr>
              <w:spacing w:line="360" w:lineRule="auto"/>
              <w:rPr>
                <w:rFonts w:ascii="宋体" w:hAnsi="宋体" w:cs="宋体"/>
                <w:bCs/>
                <w:szCs w:val="21"/>
              </w:rPr>
            </w:pPr>
          </w:p>
        </w:tc>
        <w:tc>
          <w:tcPr>
            <w:tcW w:w="3650" w:type="pct"/>
            <w:vAlign w:val="center"/>
          </w:tcPr>
          <w:p w14:paraId="73CD9225">
            <w:pPr>
              <w:spacing w:line="360" w:lineRule="auto"/>
              <w:rPr>
                <w:rFonts w:ascii="宋体" w:hAnsi="宋体" w:cs="宋体"/>
                <w:bCs/>
                <w:szCs w:val="21"/>
              </w:rPr>
            </w:pPr>
            <w:r>
              <w:rPr>
                <w:rFonts w:hint="eastAsia" w:ascii="宋体" w:hAnsi="宋体" w:cs="宋体"/>
                <w:bCs/>
                <w:szCs w:val="21"/>
              </w:rPr>
              <w:t>访问时须要通过</w:t>
            </w:r>
            <w:r>
              <w:rPr>
                <w:rFonts w:hint="eastAsia" w:ascii="宋体" w:hAnsi="宋体" w:cs="宋体"/>
                <w:bCs/>
                <w:szCs w:val="21"/>
                <w:lang w:eastAsia="zh-Hans"/>
              </w:rPr>
              <w:t>专有网络</w:t>
            </w:r>
            <w:r>
              <w:rPr>
                <w:rFonts w:hint="eastAsia" w:ascii="宋体" w:hAnsi="宋体" w:cs="宋体"/>
                <w:bCs/>
                <w:szCs w:val="21"/>
              </w:rPr>
              <w:t>或VPN等专线网络进行访问，保证了访问时的安全。</w:t>
            </w:r>
          </w:p>
        </w:tc>
        <w:tc>
          <w:tcPr>
            <w:tcW w:w="602" w:type="pct"/>
            <w:vAlign w:val="center"/>
          </w:tcPr>
          <w:p w14:paraId="4217B484">
            <w:pPr>
              <w:spacing w:line="360" w:lineRule="auto"/>
              <w:rPr>
                <w:rFonts w:ascii="宋体" w:hAnsi="宋体" w:cs="宋体"/>
                <w:bCs/>
                <w:szCs w:val="21"/>
              </w:rPr>
            </w:pPr>
          </w:p>
        </w:tc>
      </w:tr>
      <w:tr w14:paraId="23D2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vMerge w:val="continue"/>
            <w:vAlign w:val="center"/>
          </w:tcPr>
          <w:p w14:paraId="148A3B31">
            <w:pPr>
              <w:spacing w:line="360" w:lineRule="auto"/>
              <w:rPr>
                <w:rFonts w:ascii="宋体" w:hAnsi="宋体" w:cs="宋体"/>
                <w:bCs/>
                <w:szCs w:val="21"/>
              </w:rPr>
            </w:pPr>
          </w:p>
        </w:tc>
        <w:tc>
          <w:tcPr>
            <w:tcW w:w="3650" w:type="pct"/>
            <w:vAlign w:val="center"/>
          </w:tcPr>
          <w:p w14:paraId="01750171">
            <w:pPr>
              <w:spacing w:line="360" w:lineRule="auto"/>
              <w:rPr>
                <w:rFonts w:ascii="宋体" w:hAnsi="宋体" w:cs="宋体"/>
                <w:bCs/>
                <w:szCs w:val="21"/>
              </w:rPr>
            </w:pPr>
            <w:r>
              <w:rPr>
                <w:rFonts w:hint="eastAsia" w:ascii="宋体" w:hAnsi="宋体" w:cs="宋体"/>
                <w:bCs/>
                <w:szCs w:val="21"/>
              </w:rPr>
              <w:t>采用了多副本技术，具有灵活的备份策略，保证了数据本身的安全。</w:t>
            </w:r>
          </w:p>
        </w:tc>
        <w:tc>
          <w:tcPr>
            <w:tcW w:w="602" w:type="pct"/>
            <w:vAlign w:val="center"/>
          </w:tcPr>
          <w:p w14:paraId="3D0308A3">
            <w:pPr>
              <w:spacing w:line="360" w:lineRule="auto"/>
              <w:rPr>
                <w:rFonts w:ascii="宋体" w:hAnsi="宋体" w:cs="宋体"/>
                <w:bCs/>
                <w:szCs w:val="21"/>
              </w:rPr>
            </w:pPr>
          </w:p>
        </w:tc>
      </w:tr>
    </w:tbl>
    <w:p w14:paraId="76EC6556">
      <w:pPr>
        <w:pStyle w:val="23"/>
        <w:snapToGrid w:val="0"/>
        <w:ind w:firstLine="420" w:firstLineChars="200"/>
        <w:outlineLvl w:val="4"/>
        <w:rPr>
          <w:rFonts w:hAnsi="宋体" w:cs="宋体"/>
          <w:sz w:val="21"/>
        </w:rPr>
      </w:pPr>
      <w:r>
        <w:rPr>
          <w:rFonts w:hint="eastAsia" w:hAnsi="宋体" w:cs="宋体"/>
          <w:sz w:val="21"/>
        </w:rPr>
        <w:t>7.1.2.7表格存储（OTS）</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7080"/>
        <w:gridCol w:w="1111"/>
      </w:tblGrid>
      <w:tr w14:paraId="3336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1" w:type="pct"/>
            <w:vAlign w:val="center"/>
          </w:tcPr>
          <w:p w14:paraId="495BCC7F">
            <w:pPr>
              <w:spacing w:line="360" w:lineRule="auto"/>
              <w:jc w:val="center"/>
              <w:rPr>
                <w:rFonts w:ascii="宋体" w:hAnsi="宋体" w:cs="宋体"/>
                <w:b/>
                <w:szCs w:val="21"/>
              </w:rPr>
            </w:pPr>
            <w:r>
              <w:rPr>
                <w:rFonts w:hint="eastAsia" w:ascii="宋体" w:hAnsi="宋体" w:cs="宋体"/>
                <w:b/>
                <w:szCs w:val="21"/>
              </w:rPr>
              <w:t>指标项</w:t>
            </w:r>
          </w:p>
        </w:tc>
        <w:tc>
          <w:tcPr>
            <w:tcW w:w="3811" w:type="pct"/>
            <w:vAlign w:val="center"/>
          </w:tcPr>
          <w:p w14:paraId="4570689C">
            <w:pPr>
              <w:spacing w:line="360" w:lineRule="auto"/>
              <w:jc w:val="center"/>
              <w:rPr>
                <w:rFonts w:ascii="宋体" w:hAnsi="宋体" w:cs="宋体"/>
                <w:b/>
                <w:szCs w:val="21"/>
              </w:rPr>
            </w:pPr>
            <w:r>
              <w:rPr>
                <w:rFonts w:hint="eastAsia" w:ascii="宋体" w:hAnsi="宋体" w:cs="宋体"/>
                <w:b/>
                <w:szCs w:val="21"/>
              </w:rPr>
              <w:t>规格要求</w:t>
            </w:r>
          </w:p>
        </w:tc>
        <w:tc>
          <w:tcPr>
            <w:tcW w:w="598" w:type="pct"/>
            <w:vAlign w:val="center"/>
          </w:tcPr>
          <w:p w14:paraId="21880980">
            <w:pPr>
              <w:spacing w:line="360" w:lineRule="auto"/>
              <w:jc w:val="center"/>
              <w:rPr>
                <w:rFonts w:ascii="宋体" w:hAnsi="宋体" w:cs="宋体"/>
                <w:b/>
                <w:szCs w:val="21"/>
              </w:rPr>
            </w:pPr>
            <w:r>
              <w:rPr>
                <w:rFonts w:hint="eastAsia" w:ascii="宋体" w:hAnsi="宋体" w:cs="宋体"/>
                <w:b/>
                <w:szCs w:val="21"/>
              </w:rPr>
              <w:t>备注</w:t>
            </w:r>
          </w:p>
        </w:tc>
      </w:tr>
      <w:tr w14:paraId="4340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1" w:type="pct"/>
            <w:vAlign w:val="center"/>
          </w:tcPr>
          <w:p w14:paraId="67E9B526">
            <w:pPr>
              <w:spacing w:line="360" w:lineRule="auto"/>
              <w:rPr>
                <w:rFonts w:ascii="宋体" w:hAnsi="宋体" w:cs="宋体"/>
                <w:szCs w:val="21"/>
              </w:rPr>
            </w:pPr>
            <w:r>
              <w:rPr>
                <w:rFonts w:hint="eastAsia" w:ascii="宋体" w:hAnsi="宋体" w:cs="宋体"/>
                <w:szCs w:val="21"/>
              </w:rPr>
              <w:t>服务标准</w:t>
            </w:r>
          </w:p>
        </w:tc>
        <w:tc>
          <w:tcPr>
            <w:tcW w:w="3811" w:type="pct"/>
            <w:vAlign w:val="center"/>
          </w:tcPr>
          <w:p w14:paraId="1A51B852">
            <w:pPr>
              <w:spacing w:line="360" w:lineRule="auto"/>
              <w:rPr>
                <w:rFonts w:ascii="宋体" w:hAnsi="宋体" w:cs="宋体"/>
                <w:szCs w:val="21"/>
              </w:rPr>
            </w:pPr>
            <w:r>
              <w:rPr>
                <w:rFonts w:hint="eastAsia" w:ascii="宋体" w:hAnsi="宋体" w:cs="宋体"/>
                <w:szCs w:val="21"/>
              </w:rPr>
              <w:t>提供以实例和表的形式组织数据,通过数据分片和负载均衡技术,达到规模的无缝扩展</w:t>
            </w:r>
          </w:p>
        </w:tc>
        <w:tc>
          <w:tcPr>
            <w:tcW w:w="598" w:type="pct"/>
            <w:vAlign w:val="center"/>
          </w:tcPr>
          <w:p w14:paraId="204DE91D">
            <w:pPr>
              <w:spacing w:line="360" w:lineRule="auto"/>
              <w:rPr>
                <w:rFonts w:ascii="宋体" w:hAnsi="宋体" w:cs="宋体"/>
                <w:szCs w:val="21"/>
              </w:rPr>
            </w:pPr>
          </w:p>
        </w:tc>
      </w:tr>
      <w:tr w14:paraId="434D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91" w:type="pct"/>
            <w:vMerge w:val="restart"/>
            <w:vAlign w:val="center"/>
          </w:tcPr>
          <w:p w14:paraId="2C71FBC4">
            <w:pPr>
              <w:widowControl/>
              <w:spacing w:line="360" w:lineRule="auto"/>
              <w:jc w:val="left"/>
              <w:rPr>
                <w:rFonts w:ascii="宋体" w:hAnsi="宋体" w:cs="宋体"/>
                <w:szCs w:val="21"/>
              </w:rPr>
            </w:pPr>
            <w:r>
              <w:rPr>
                <w:rFonts w:hint="eastAsia" w:ascii="宋体" w:hAnsi="宋体" w:cs="宋体"/>
                <w:szCs w:val="21"/>
              </w:rPr>
              <w:t>服务特性</w:t>
            </w:r>
          </w:p>
        </w:tc>
        <w:tc>
          <w:tcPr>
            <w:tcW w:w="3811" w:type="pct"/>
            <w:vAlign w:val="center"/>
          </w:tcPr>
          <w:p w14:paraId="1B1DB99F">
            <w:pPr>
              <w:spacing w:line="360" w:lineRule="auto"/>
              <w:rPr>
                <w:rFonts w:ascii="宋体" w:hAnsi="宋体" w:cs="宋体"/>
                <w:szCs w:val="21"/>
              </w:rPr>
            </w:pPr>
            <w:r>
              <w:rPr>
                <w:rFonts w:hint="eastAsia" w:ascii="宋体" w:hAnsi="宋体" w:cs="宋体"/>
                <w:szCs w:val="21"/>
              </w:rPr>
              <w:t>高性能：提供单个毫秒级的单行平均访问延时；</w:t>
            </w:r>
          </w:p>
        </w:tc>
        <w:tc>
          <w:tcPr>
            <w:tcW w:w="598" w:type="pct"/>
            <w:vAlign w:val="center"/>
          </w:tcPr>
          <w:p w14:paraId="664DC3B2">
            <w:pPr>
              <w:spacing w:line="360" w:lineRule="auto"/>
              <w:rPr>
                <w:rFonts w:ascii="宋体" w:hAnsi="宋体" w:cs="宋体"/>
                <w:szCs w:val="21"/>
              </w:rPr>
            </w:pPr>
          </w:p>
        </w:tc>
      </w:tr>
      <w:tr w14:paraId="2069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1" w:type="pct"/>
            <w:vMerge w:val="continue"/>
            <w:vAlign w:val="center"/>
          </w:tcPr>
          <w:p w14:paraId="444312A8">
            <w:pPr>
              <w:widowControl/>
              <w:spacing w:line="360" w:lineRule="auto"/>
              <w:jc w:val="left"/>
              <w:rPr>
                <w:rFonts w:ascii="宋体" w:hAnsi="宋体" w:cs="宋体"/>
                <w:szCs w:val="21"/>
              </w:rPr>
            </w:pPr>
          </w:p>
        </w:tc>
        <w:tc>
          <w:tcPr>
            <w:tcW w:w="3811" w:type="pct"/>
            <w:vAlign w:val="center"/>
          </w:tcPr>
          <w:p w14:paraId="7EA93DFB">
            <w:pPr>
              <w:spacing w:line="360" w:lineRule="auto"/>
              <w:rPr>
                <w:rFonts w:ascii="宋体" w:hAnsi="宋体" w:cs="宋体"/>
                <w:szCs w:val="21"/>
              </w:rPr>
            </w:pPr>
            <w:r>
              <w:rPr>
                <w:rFonts w:hint="eastAsia" w:ascii="宋体" w:hAnsi="宋体" w:cs="宋体"/>
                <w:szCs w:val="21"/>
              </w:rPr>
              <w:t>数据可靠性：通过存储多个数据备份及备份失效时的快速恢复,提供极高的数据可靠性,数据可靠性为99.99999999%。</w:t>
            </w:r>
          </w:p>
        </w:tc>
        <w:tc>
          <w:tcPr>
            <w:tcW w:w="598" w:type="pct"/>
            <w:vAlign w:val="center"/>
          </w:tcPr>
          <w:p w14:paraId="7BE2F290">
            <w:pPr>
              <w:spacing w:line="360" w:lineRule="auto"/>
              <w:rPr>
                <w:rFonts w:ascii="宋体" w:hAnsi="宋体" w:cs="宋体"/>
                <w:szCs w:val="21"/>
              </w:rPr>
            </w:pPr>
          </w:p>
        </w:tc>
      </w:tr>
      <w:tr w14:paraId="65C1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1" w:type="pct"/>
            <w:vMerge w:val="continue"/>
            <w:vAlign w:val="center"/>
          </w:tcPr>
          <w:p w14:paraId="72CFDD73">
            <w:pPr>
              <w:widowControl/>
              <w:spacing w:line="360" w:lineRule="auto"/>
              <w:jc w:val="left"/>
              <w:rPr>
                <w:rFonts w:ascii="宋体" w:hAnsi="宋体" w:cs="宋体"/>
                <w:szCs w:val="21"/>
              </w:rPr>
            </w:pPr>
          </w:p>
        </w:tc>
        <w:tc>
          <w:tcPr>
            <w:tcW w:w="3811" w:type="pct"/>
            <w:vAlign w:val="center"/>
          </w:tcPr>
          <w:p w14:paraId="0B178921">
            <w:pPr>
              <w:spacing w:line="360" w:lineRule="auto"/>
              <w:rPr>
                <w:rFonts w:ascii="宋体" w:hAnsi="宋体" w:cs="宋体"/>
                <w:szCs w:val="21"/>
              </w:rPr>
            </w:pPr>
            <w:r>
              <w:rPr>
                <w:rFonts w:hint="eastAsia" w:ascii="宋体" w:hAnsi="宋体" w:cs="宋体"/>
                <w:szCs w:val="21"/>
              </w:rPr>
              <w:t>高可用性：通过自动的故障检测和数据迁移,表格存储对应用屏蔽了机器和网络的硬件故障,提供高可用性,服务可用性为99.9%</w:t>
            </w:r>
          </w:p>
        </w:tc>
        <w:tc>
          <w:tcPr>
            <w:tcW w:w="598" w:type="pct"/>
            <w:vAlign w:val="center"/>
          </w:tcPr>
          <w:p w14:paraId="4F3EEC49">
            <w:pPr>
              <w:spacing w:line="360" w:lineRule="auto"/>
              <w:rPr>
                <w:rFonts w:ascii="宋体" w:hAnsi="宋体" w:cs="宋体"/>
                <w:szCs w:val="21"/>
              </w:rPr>
            </w:pPr>
          </w:p>
        </w:tc>
      </w:tr>
      <w:tr w14:paraId="3FA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1" w:type="pct"/>
            <w:vMerge w:val="continue"/>
            <w:vAlign w:val="center"/>
          </w:tcPr>
          <w:p w14:paraId="6BBC39E4">
            <w:pPr>
              <w:widowControl/>
              <w:spacing w:line="360" w:lineRule="auto"/>
              <w:jc w:val="left"/>
              <w:rPr>
                <w:rFonts w:ascii="宋体" w:hAnsi="宋体" w:cs="宋体"/>
                <w:szCs w:val="21"/>
              </w:rPr>
            </w:pPr>
          </w:p>
        </w:tc>
        <w:tc>
          <w:tcPr>
            <w:tcW w:w="3811" w:type="pct"/>
            <w:vAlign w:val="center"/>
          </w:tcPr>
          <w:p w14:paraId="5829A8B3">
            <w:pPr>
              <w:spacing w:line="360" w:lineRule="auto"/>
              <w:rPr>
                <w:rFonts w:ascii="宋体" w:hAnsi="宋体" w:cs="宋体"/>
                <w:szCs w:val="21"/>
              </w:rPr>
            </w:pPr>
            <w:r>
              <w:rPr>
                <w:rFonts w:hint="eastAsia" w:ascii="宋体" w:hAnsi="宋体" w:cs="宋体"/>
                <w:szCs w:val="21"/>
              </w:rPr>
              <w:t>灵活的数据模型：表格存储的表无固定格式要求,每行的列数可以不相同,支持多种数据类型(Integer、Boolean、Double、String、Binary)</w:t>
            </w:r>
          </w:p>
        </w:tc>
        <w:tc>
          <w:tcPr>
            <w:tcW w:w="598" w:type="pct"/>
            <w:vAlign w:val="center"/>
          </w:tcPr>
          <w:p w14:paraId="33D39D89">
            <w:pPr>
              <w:spacing w:line="360" w:lineRule="auto"/>
              <w:rPr>
                <w:rFonts w:ascii="宋体" w:hAnsi="宋体" w:cs="宋体"/>
                <w:szCs w:val="21"/>
              </w:rPr>
            </w:pPr>
          </w:p>
        </w:tc>
      </w:tr>
      <w:tr w14:paraId="3B7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1" w:type="pct"/>
            <w:vMerge w:val="restart"/>
            <w:vAlign w:val="center"/>
          </w:tcPr>
          <w:p w14:paraId="46006D29">
            <w:pPr>
              <w:widowControl/>
              <w:spacing w:line="360" w:lineRule="auto"/>
              <w:jc w:val="left"/>
              <w:rPr>
                <w:rFonts w:ascii="宋体" w:hAnsi="宋体" w:cs="宋体"/>
                <w:szCs w:val="21"/>
              </w:rPr>
            </w:pPr>
            <w:r>
              <w:rPr>
                <w:rFonts w:hint="eastAsia" w:ascii="宋体" w:hAnsi="宋体" w:cs="宋体"/>
                <w:szCs w:val="21"/>
              </w:rPr>
              <w:t>服务能力</w:t>
            </w:r>
          </w:p>
        </w:tc>
        <w:tc>
          <w:tcPr>
            <w:tcW w:w="3811" w:type="pct"/>
            <w:vAlign w:val="center"/>
          </w:tcPr>
          <w:p w14:paraId="6718D29A">
            <w:pPr>
              <w:spacing w:line="360" w:lineRule="auto"/>
              <w:rPr>
                <w:rFonts w:ascii="宋体" w:hAnsi="宋体" w:cs="宋体"/>
                <w:szCs w:val="21"/>
              </w:rPr>
            </w:pPr>
            <w:r>
              <w:rPr>
                <w:rFonts w:hint="eastAsia" w:ascii="宋体" w:hAnsi="宋体" w:cs="宋体"/>
                <w:szCs w:val="21"/>
              </w:rPr>
              <w:t>数据分区和负载均衡机制：数据分区系统均匀的调度到不同的存储节点上</w:t>
            </w:r>
          </w:p>
        </w:tc>
        <w:tc>
          <w:tcPr>
            <w:tcW w:w="598" w:type="pct"/>
            <w:vAlign w:val="center"/>
          </w:tcPr>
          <w:p w14:paraId="0439619A">
            <w:pPr>
              <w:spacing w:line="360" w:lineRule="auto"/>
              <w:rPr>
                <w:rFonts w:ascii="宋体" w:hAnsi="宋体" w:cs="宋体"/>
                <w:szCs w:val="21"/>
              </w:rPr>
            </w:pPr>
          </w:p>
        </w:tc>
      </w:tr>
      <w:tr w14:paraId="3681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1" w:type="pct"/>
            <w:vMerge w:val="continue"/>
            <w:vAlign w:val="center"/>
          </w:tcPr>
          <w:p w14:paraId="3301562C">
            <w:pPr>
              <w:widowControl/>
              <w:spacing w:line="360" w:lineRule="auto"/>
              <w:jc w:val="left"/>
              <w:rPr>
                <w:rFonts w:ascii="宋体" w:hAnsi="宋体" w:cs="宋体"/>
                <w:szCs w:val="21"/>
              </w:rPr>
            </w:pPr>
          </w:p>
        </w:tc>
        <w:tc>
          <w:tcPr>
            <w:tcW w:w="3811" w:type="pct"/>
            <w:vAlign w:val="center"/>
          </w:tcPr>
          <w:p w14:paraId="48667574">
            <w:pPr>
              <w:spacing w:line="360" w:lineRule="auto"/>
              <w:rPr>
                <w:rFonts w:ascii="宋体" w:hAnsi="宋体" w:cs="宋体"/>
                <w:szCs w:val="21"/>
              </w:rPr>
            </w:pPr>
            <w:r>
              <w:rPr>
                <w:rFonts w:hint="eastAsia" w:ascii="宋体" w:hAnsi="宋体" w:cs="宋体"/>
                <w:szCs w:val="21"/>
              </w:rPr>
              <w:t>单机故障自动恢复：表格存储的存储引擎中,每个节点都会服务一批不同表的数据分区,这些分区的分布和调度信息由一个 Master 节点负责来管理,并且 Master 节点也会监控每个服务节点的健康状态</w:t>
            </w:r>
          </w:p>
        </w:tc>
        <w:tc>
          <w:tcPr>
            <w:tcW w:w="598" w:type="pct"/>
            <w:vAlign w:val="center"/>
          </w:tcPr>
          <w:p w14:paraId="6C818733">
            <w:pPr>
              <w:spacing w:line="360" w:lineRule="auto"/>
              <w:rPr>
                <w:rFonts w:ascii="宋体" w:hAnsi="宋体" w:cs="宋体"/>
                <w:szCs w:val="21"/>
              </w:rPr>
            </w:pPr>
          </w:p>
        </w:tc>
      </w:tr>
    </w:tbl>
    <w:p w14:paraId="2B1569ED">
      <w:pPr>
        <w:pStyle w:val="23"/>
        <w:snapToGrid w:val="0"/>
        <w:ind w:firstLine="420" w:firstLineChars="200"/>
        <w:outlineLvl w:val="4"/>
        <w:rPr>
          <w:rFonts w:hAnsi="宋体" w:cs="宋体"/>
          <w:sz w:val="21"/>
        </w:rPr>
      </w:pPr>
      <w:r>
        <w:rPr>
          <w:rFonts w:hint="eastAsia" w:hAnsi="宋体" w:cs="宋体"/>
          <w:sz w:val="21"/>
        </w:rPr>
        <w:t>7.1.2.8大数据计算服务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687"/>
        <w:gridCol w:w="6454"/>
        <w:gridCol w:w="1148"/>
      </w:tblGrid>
      <w:tr w14:paraId="29E2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trPr>
        <w:tc>
          <w:tcPr>
            <w:tcW w:w="908" w:type="pct"/>
            <w:shd w:val="clear" w:color="auto" w:fill="FFFFFF"/>
            <w:vAlign w:val="center"/>
          </w:tcPr>
          <w:p w14:paraId="29B05326">
            <w:pPr>
              <w:spacing w:line="360" w:lineRule="auto"/>
              <w:jc w:val="center"/>
              <w:rPr>
                <w:rFonts w:ascii="宋体" w:hAnsi="宋体" w:cs="宋体"/>
                <w:b/>
                <w:bCs/>
                <w:szCs w:val="21"/>
              </w:rPr>
            </w:pPr>
            <w:r>
              <w:rPr>
                <w:rFonts w:hint="eastAsia" w:ascii="宋体" w:hAnsi="宋体" w:cs="宋体"/>
                <w:b/>
                <w:bCs/>
                <w:szCs w:val="21"/>
              </w:rPr>
              <w:t>指标项</w:t>
            </w:r>
          </w:p>
        </w:tc>
        <w:tc>
          <w:tcPr>
            <w:tcW w:w="3474" w:type="pct"/>
            <w:shd w:val="clear" w:color="auto" w:fill="FFFFFF"/>
            <w:vAlign w:val="center"/>
          </w:tcPr>
          <w:p w14:paraId="0967E847">
            <w:pPr>
              <w:spacing w:line="360" w:lineRule="auto"/>
              <w:jc w:val="center"/>
              <w:rPr>
                <w:rFonts w:ascii="宋体" w:hAnsi="宋体" w:cs="宋体"/>
                <w:b/>
                <w:bCs/>
                <w:szCs w:val="21"/>
              </w:rPr>
            </w:pPr>
            <w:r>
              <w:rPr>
                <w:rFonts w:hint="eastAsia" w:ascii="宋体" w:hAnsi="宋体" w:cs="宋体"/>
                <w:b/>
                <w:bCs/>
                <w:szCs w:val="21"/>
              </w:rPr>
              <w:t>规格服务</w:t>
            </w:r>
          </w:p>
        </w:tc>
        <w:tc>
          <w:tcPr>
            <w:tcW w:w="618" w:type="pct"/>
            <w:shd w:val="clear" w:color="auto" w:fill="FFFFFF"/>
            <w:vAlign w:val="center"/>
          </w:tcPr>
          <w:p w14:paraId="13775DC0">
            <w:pPr>
              <w:spacing w:line="360" w:lineRule="auto"/>
              <w:jc w:val="center"/>
              <w:rPr>
                <w:rFonts w:ascii="宋体" w:hAnsi="宋体" w:cs="宋体"/>
                <w:b/>
                <w:bCs/>
                <w:szCs w:val="21"/>
              </w:rPr>
            </w:pPr>
            <w:r>
              <w:rPr>
                <w:rFonts w:hint="eastAsia" w:ascii="宋体" w:hAnsi="宋体" w:cs="宋体"/>
                <w:b/>
                <w:bCs/>
                <w:szCs w:val="21"/>
              </w:rPr>
              <w:t>备注</w:t>
            </w:r>
          </w:p>
        </w:tc>
      </w:tr>
      <w:tr w14:paraId="50A6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restart"/>
            <w:shd w:val="clear" w:color="auto" w:fill="FFFFFF"/>
            <w:vAlign w:val="center"/>
          </w:tcPr>
          <w:p w14:paraId="42EA9550">
            <w:pPr>
              <w:spacing w:line="360" w:lineRule="auto"/>
              <w:rPr>
                <w:rFonts w:ascii="宋体" w:hAnsi="宋体" w:cs="宋体"/>
                <w:bCs/>
                <w:szCs w:val="21"/>
              </w:rPr>
            </w:pPr>
            <w:r>
              <w:rPr>
                <w:rFonts w:hint="eastAsia" w:ascii="宋体" w:hAnsi="宋体" w:cs="宋体"/>
                <w:bCs/>
                <w:szCs w:val="21"/>
              </w:rPr>
              <w:t>服务标准</w:t>
            </w:r>
          </w:p>
        </w:tc>
        <w:tc>
          <w:tcPr>
            <w:tcW w:w="3474" w:type="pct"/>
            <w:shd w:val="clear" w:color="auto" w:fill="FFFFFF"/>
            <w:vAlign w:val="center"/>
          </w:tcPr>
          <w:p w14:paraId="52199752">
            <w:pPr>
              <w:spacing w:line="360" w:lineRule="auto"/>
              <w:rPr>
                <w:rFonts w:ascii="宋体" w:hAnsi="宋体" w:cs="宋体"/>
                <w:bCs/>
                <w:szCs w:val="21"/>
              </w:rPr>
            </w:pPr>
            <w:r>
              <w:rPr>
                <w:rFonts w:hint="eastAsia" w:ascii="宋体" w:hAnsi="宋体" w:cs="宋体"/>
                <w:bCs/>
                <w:szCs w:val="21"/>
              </w:rPr>
              <w:t>提供完善的数据导入方案以及多种经典的分布式计算模型</w:t>
            </w:r>
          </w:p>
        </w:tc>
        <w:tc>
          <w:tcPr>
            <w:tcW w:w="618" w:type="pct"/>
            <w:shd w:val="clear" w:color="auto" w:fill="FFFFFF"/>
            <w:vAlign w:val="center"/>
          </w:tcPr>
          <w:p w14:paraId="4EE7DDD1">
            <w:pPr>
              <w:spacing w:line="360" w:lineRule="auto"/>
              <w:rPr>
                <w:rFonts w:ascii="宋体" w:hAnsi="宋体" w:cs="宋体"/>
                <w:bCs/>
                <w:szCs w:val="21"/>
              </w:rPr>
            </w:pPr>
          </w:p>
        </w:tc>
      </w:tr>
      <w:tr w14:paraId="03B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08" w:type="pct"/>
            <w:vMerge w:val="continue"/>
            <w:shd w:val="clear" w:color="auto" w:fill="FFFFFF"/>
            <w:vAlign w:val="center"/>
          </w:tcPr>
          <w:p w14:paraId="2756DFE4">
            <w:pPr>
              <w:spacing w:line="360" w:lineRule="auto"/>
              <w:rPr>
                <w:rFonts w:ascii="宋体" w:hAnsi="宋体" w:cs="宋体"/>
                <w:bCs/>
                <w:szCs w:val="21"/>
              </w:rPr>
            </w:pPr>
          </w:p>
        </w:tc>
        <w:tc>
          <w:tcPr>
            <w:tcW w:w="3474" w:type="pct"/>
            <w:shd w:val="clear" w:color="auto" w:fill="FFFFFF"/>
            <w:vAlign w:val="center"/>
          </w:tcPr>
          <w:p w14:paraId="1A5DC6E6">
            <w:pPr>
              <w:spacing w:line="360" w:lineRule="auto"/>
              <w:rPr>
                <w:rFonts w:ascii="宋体" w:hAnsi="宋体" w:cs="宋体"/>
                <w:bCs/>
                <w:szCs w:val="21"/>
              </w:rPr>
            </w:pPr>
            <w:r>
              <w:rPr>
                <w:rFonts w:hint="eastAsia" w:ascii="宋体" w:hAnsi="宋体" w:cs="宋体"/>
                <w:bCs/>
                <w:szCs w:val="21"/>
              </w:rPr>
              <w:t>数据均以表格式存储，不暴露文件系统</w:t>
            </w:r>
          </w:p>
        </w:tc>
        <w:tc>
          <w:tcPr>
            <w:tcW w:w="618" w:type="pct"/>
            <w:shd w:val="clear" w:color="auto" w:fill="FFFFFF"/>
            <w:vAlign w:val="center"/>
          </w:tcPr>
          <w:p w14:paraId="4C8FF48B">
            <w:pPr>
              <w:spacing w:line="360" w:lineRule="auto"/>
              <w:rPr>
                <w:rFonts w:ascii="宋体" w:hAnsi="宋体" w:cs="宋体"/>
                <w:bCs/>
                <w:szCs w:val="21"/>
              </w:rPr>
            </w:pPr>
          </w:p>
        </w:tc>
      </w:tr>
      <w:tr w14:paraId="7D85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14:paraId="6AF7EC2A">
            <w:pPr>
              <w:spacing w:line="360" w:lineRule="auto"/>
              <w:rPr>
                <w:rFonts w:ascii="宋体" w:hAnsi="宋体" w:cs="宋体"/>
                <w:bCs/>
                <w:szCs w:val="21"/>
              </w:rPr>
            </w:pPr>
          </w:p>
        </w:tc>
        <w:tc>
          <w:tcPr>
            <w:tcW w:w="3474" w:type="pct"/>
            <w:shd w:val="clear" w:color="auto" w:fill="FFFFFF"/>
            <w:vAlign w:val="center"/>
          </w:tcPr>
          <w:p w14:paraId="6875C53D">
            <w:pPr>
              <w:spacing w:line="360" w:lineRule="auto"/>
              <w:rPr>
                <w:rFonts w:ascii="宋体" w:hAnsi="宋体" w:cs="宋体"/>
                <w:bCs/>
                <w:szCs w:val="21"/>
              </w:rPr>
            </w:pPr>
            <w:r>
              <w:rPr>
                <w:rFonts w:hint="eastAsia" w:ascii="宋体" w:hAnsi="宋体" w:cs="宋体"/>
                <w:bCs/>
                <w:szCs w:val="21"/>
              </w:rPr>
              <w:t>采用标准的SQL语法</w:t>
            </w:r>
          </w:p>
        </w:tc>
        <w:tc>
          <w:tcPr>
            <w:tcW w:w="618" w:type="pct"/>
            <w:shd w:val="clear" w:color="auto" w:fill="FFFFFF"/>
            <w:vAlign w:val="center"/>
          </w:tcPr>
          <w:p w14:paraId="22623CF8">
            <w:pPr>
              <w:spacing w:line="360" w:lineRule="auto"/>
              <w:rPr>
                <w:rFonts w:ascii="宋体" w:hAnsi="宋体" w:cs="宋体"/>
                <w:bCs/>
                <w:szCs w:val="21"/>
              </w:rPr>
            </w:pPr>
          </w:p>
        </w:tc>
      </w:tr>
      <w:tr w14:paraId="517A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08" w:type="pct"/>
            <w:vMerge w:val="restart"/>
            <w:shd w:val="clear" w:color="auto" w:fill="FFFFFF"/>
            <w:vAlign w:val="center"/>
          </w:tcPr>
          <w:p w14:paraId="0CD686DA">
            <w:pPr>
              <w:spacing w:line="360" w:lineRule="auto"/>
              <w:rPr>
                <w:rFonts w:ascii="宋体" w:hAnsi="宋体" w:cs="宋体"/>
                <w:bCs/>
                <w:szCs w:val="21"/>
              </w:rPr>
            </w:pPr>
            <w:r>
              <w:rPr>
                <w:rFonts w:hint="eastAsia" w:ascii="宋体" w:hAnsi="宋体" w:cs="宋体"/>
                <w:bCs/>
                <w:szCs w:val="21"/>
              </w:rPr>
              <w:t>服务特性</w:t>
            </w:r>
          </w:p>
        </w:tc>
        <w:tc>
          <w:tcPr>
            <w:tcW w:w="3474" w:type="pct"/>
            <w:shd w:val="clear" w:color="auto" w:fill="FFFFFF"/>
            <w:vAlign w:val="center"/>
          </w:tcPr>
          <w:p w14:paraId="7D9C7452">
            <w:pPr>
              <w:spacing w:line="360" w:lineRule="auto"/>
              <w:rPr>
                <w:rFonts w:ascii="宋体" w:hAnsi="宋体" w:cs="宋体"/>
                <w:bCs/>
                <w:szCs w:val="21"/>
              </w:rPr>
            </w:pPr>
            <w:r>
              <w:rPr>
                <w:rFonts w:hint="eastAsia" w:ascii="宋体" w:hAnsi="宋体" w:cs="宋体"/>
                <w:bCs/>
                <w:szCs w:val="21"/>
              </w:rPr>
              <w:t>向用户提供的数据传输服务（Tunnel），该服务水平可扩展，最大可支持PB级别的数据导入导出</w:t>
            </w:r>
          </w:p>
        </w:tc>
        <w:tc>
          <w:tcPr>
            <w:tcW w:w="618" w:type="pct"/>
            <w:shd w:val="clear" w:color="auto" w:fill="FFFFFF"/>
            <w:vAlign w:val="center"/>
          </w:tcPr>
          <w:p w14:paraId="654EAEA1">
            <w:pPr>
              <w:spacing w:line="360" w:lineRule="auto"/>
              <w:rPr>
                <w:rFonts w:ascii="宋体" w:hAnsi="宋体" w:cs="宋体"/>
                <w:bCs/>
                <w:szCs w:val="21"/>
              </w:rPr>
            </w:pPr>
          </w:p>
        </w:tc>
      </w:tr>
      <w:tr w14:paraId="52C7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14:paraId="6C29420A">
            <w:pPr>
              <w:spacing w:line="360" w:lineRule="auto"/>
              <w:rPr>
                <w:rFonts w:ascii="宋体" w:hAnsi="宋体" w:cs="宋体"/>
                <w:bCs/>
                <w:szCs w:val="21"/>
              </w:rPr>
            </w:pPr>
          </w:p>
        </w:tc>
        <w:tc>
          <w:tcPr>
            <w:tcW w:w="3474" w:type="pct"/>
            <w:shd w:val="clear" w:color="auto" w:fill="FFFFFF"/>
            <w:vAlign w:val="center"/>
          </w:tcPr>
          <w:p w14:paraId="1A9BDFA2">
            <w:pPr>
              <w:spacing w:line="360" w:lineRule="auto"/>
              <w:rPr>
                <w:rFonts w:ascii="宋体" w:hAnsi="宋体" w:cs="宋体"/>
                <w:bCs/>
                <w:szCs w:val="21"/>
              </w:rPr>
            </w:pPr>
            <w:r>
              <w:rPr>
                <w:rFonts w:hint="eastAsia" w:ascii="宋体" w:hAnsi="宋体" w:cs="宋体"/>
                <w:bCs/>
                <w:szCs w:val="21"/>
              </w:rPr>
              <w:t>Java SDK，并且在大数据计算的客户端工具中，有对应的命令实现本地文件与服务数据的互通</w:t>
            </w:r>
          </w:p>
        </w:tc>
        <w:tc>
          <w:tcPr>
            <w:tcW w:w="618" w:type="pct"/>
            <w:shd w:val="clear" w:color="auto" w:fill="FFFFFF"/>
            <w:vAlign w:val="center"/>
          </w:tcPr>
          <w:p w14:paraId="0D281614">
            <w:pPr>
              <w:spacing w:line="360" w:lineRule="auto"/>
              <w:rPr>
                <w:rFonts w:ascii="宋体" w:hAnsi="宋体" w:cs="宋体"/>
                <w:bCs/>
                <w:szCs w:val="21"/>
              </w:rPr>
            </w:pPr>
          </w:p>
        </w:tc>
      </w:tr>
      <w:tr w14:paraId="7CC3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08" w:type="pct"/>
            <w:vMerge w:val="continue"/>
            <w:shd w:val="clear" w:color="auto" w:fill="FFFFFF"/>
            <w:vAlign w:val="center"/>
          </w:tcPr>
          <w:p w14:paraId="67B7B030">
            <w:pPr>
              <w:spacing w:line="360" w:lineRule="auto"/>
              <w:rPr>
                <w:rFonts w:ascii="宋体" w:hAnsi="宋体" w:cs="宋体"/>
                <w:bCs/>
                <w:szCs w:val="21"/>
              </w:rPr>
            </w:pPr>
          </w:p>
        </w:tc>
        <w:tc>
          <w:tcPr>
            <w:tcW w:w="3474" w:type="pct"/>
            <w:shd w:val="clear" w:color="auto" w:fill="FFFFFF"/>
            <w:vAlign w:val="center"/>
          </w:tcPr>
          <w:p w14:paraId="7227DA6E">
            <w:pPr>
              <w:spacing w:line="360" w:lineRule="auto"/>
              <w:rPr>
                <w:rFonts w:ascii="宋体" w:hAnsi="宋体" w:cs="宋体"/>
                <w:bCs/>
                <w:szCs w:val="21"/>
              </w:rPr>
            </w:pPr>
            <w:r>
              <w:rPr>
                <w:rFonts w:hint="eastAsia" w:ascii="宋体" w:hAnsi="宋体" w:cs="宋体"/>
                <w:bCs/>
                <w:szCs w:val="21"/>
              </w:rPr>
              <w:t>针对实时数据上传的场景，提供另一套用于增量数据的导入服务。能支持多种数据传输插件，例如：Flume, Fluentd, Sqoop等</w:t>
            </w:r>
          </w:p>
        </w:tc>
        <w:tc>
          <w:tcPr>
            <w:tcW w:w="618" w:type="pct"/>
            <w:shd w:val="clear" w:color="auto" w:fill="FFFFFF"/>
            <w:vAlign w:val="center"/>
          </w:tcPr>
          <w:p w14:paraId="49FB7FCE">
            <w:pPr>
              <w:spacing w:line="360" w:lineRule="auto"/>
              <w:rPr>
                <w:rFonts w:ascii="宋体" w:hAnsi="宋体" w:cs="宋体"/>
                <w:bCs/>
                <w:szCs w:val="21"/>
              </w:rPr>
            </w:pPr>
          </w:p>
        </w:tc>
      </w:tr>
      <w:tr w14:paraId="2683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08" w:type="pct"/>
            <w:vMerge w:val="continue"/>
            <w:shd w:val="clear" w:color="auto" w:fill="FFFFFF"/>
            <w:vAlign w:val="center"/>
          </w:tcPr>
          <w:p w14:paraId="44CC1FE0">
            <w:pPr>
              <w:spacing w:line="360" w:lineRule="auto"/>
              <w:rPr>
                <w:rFonts w:ascii="宋体" w:hAnsi="宋体" w:cs="宋体"/>
                <w:bCs/>
                <w:szCs w:val="21"/>
              </w:rPr>
            </w:pPr>
          </w:p>
        </w:tc>
        <w:tc>
          <w:tcPr>
            <w:tcW w:w="3474" w:type="pct"/>
            <w:shd w:val="clear" w:color="auto" w:fill="FFFFFF"/>
            <w:vAlign w:val="center"/>
          </w:tcPr>
          <w:p w14:paraId="170C8FE5">
            <w:pPr>
              <w:spacing w:line="360" w:lineRule="auto"/>
              <w:rPr>
                <w:rFonts w:ascii="宋体" w:hAnsi="宋体" w:cs="宋体"/>
                <w:bCs/>
                <w:szCs w:val="21"/>
              </w:rPr>
            </w:pPr>
            <w:r>
              <w:rPr>
                <w:rFonts w:hint="eastAsia" w:ascii="宋体" w:hAnsi="宋体" w:cs="宋体"/>
                <w:bCs/>
                <w:szCs w:val="21"/>
              </w:rPr>
              <w:t>数据采用列压缩存储格式，节省了用户成本。</w:t>
            </w:r>
          </w:p>
        </w:tc>
        <w:tc>
          <w:tcPr>
            <w:tcW w:w="618" w:type="pct"/>
            <w:shd w:val="clear" w:color="auto" w:fill="FFFFFF"/>
            <w:vAlign w:val="center"/>
          </w:tcPr>
          <w:p w14:paraId="377BD136">
            <w:pPr>
              <w:spacing w:line="360" w:lineRule="auto"/>
              <w:rPr>
                <w:rFonts w:ascii="宋体" w:hAnsi="宋体" w:cs="宋体"/>
                <w:bCs/>
                <w:szCs w:val="21"/>
              </w:rPr>
            </w:pPr>
          </w:p>
        </w:tc>
      </w:tr>
      <w:tr w14:paraId="20C0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14:paraId="76E1A16B">
            <w:pPr>
              <w:spacing w:line="360" w:lineRule="auto"/>
              <w:rPr>
                <w:rFonts w:ascii="宋体" w:hAnsi="宋体" w:cs="宋体"/>
                <w:bCs/>
                <w:szCs w:val="21"/>
              </w:rPr>
            </w:pPr>
          </w:p>
        </w:tc>
        <w:tc>
          <w:tcPr>
            <w:tcW w:w="3474" w:type="pct"/>
            <w:shd w:val="clear" w:color="auto" w:fill="FFFFFF"/>
            <w:vAlign w:val="center"/>
          </w:tcPr>
          <w:p w14:paraId="3B54F87B">
            <w:pPr>
              <w:spacing w:line="360" w:lineRule="auto"/>
              <w:rPr>
                <w:rFonts w:ascii="宋体" w:hAnsi="宋体" w:cs="宋体"/>
                <w:bCs/>
                <w:szCs w:val="21"/>
              </w:rPr>
            </w:pPr>
            <w:r>
              <w:rPr>
                <w:rFonts w:hint="eastAsia" w:ascii="宋体" w:hAnsi="宋体" w:cs="宋体"/>
                <w:bCs/>
                <w:szCs w:val="21"/>
              </w:rPr>
              <w:t>采用标准的SQL语法。</w:t>
            </w:r>
          </w:p>
        </w:tc>
        <w:tc>
          <w:tcPr>
            <w:tcW w:w="618" w:type="pct"/>
            <w:shd w:val="clear" w:color="auto" w:fill="FFFFFF"/>
            <w:vAlign w:val="center"/>
          </w:tcPr>
          <w:p w14:paraId="3A7D367B">
            <w:pPr>
              <w:spacing w:line="360" w:lineRule="auto"/>
              <w:rPr>
                <w:rFonts w:ascii="宋体" w:hAnsi="宋体" w:cs="宋体"/>
                <w:bCs/>
                <w:szCs w:val="21"/>
              </w:rPr>
            </w:pPr>
          </w:p>
        </w:tc>
      </w:tr>
      <w:tr w14:paraId="0BB4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14:paraId="0406EE3F">
            <w:pPr>
              <w:spacing w:line="360" w:lineRule="auto"/>
              <w:rPr>
                <w:rFonts w:ascii="宋体" w:hAnsi="宋体" w:cs="宋体"/>
                <w:bCs/>
                <w:szCs w:val="21"/>
              </w:rPr>
            </w:pPr>
          </w:p>
        </w:tc>
        <w:tc>
          <w:tcPr>
            <w:tcW w:w="3474" w:type="pct"/>
            <w:shd w:val="clear" w:color="auto" w:fill="FFFFFF"/>
            <w:vAlign w:val="center"/>
          </w:tcPr>
          <w:p w14:paraId="2A84DF11">
            <w:pPr>
              <w:spacing w:line="360" w:lineRule="auto"/>
              <w:rPr>
                <w:rFonts w:ascii="宋体" w:hAnsi="宋体" w:cs="宋体"/>
                <w:bCs/>
                <w:szCs w:val="21"/>
              </w:rPr>
            </w:pPr>
            <w:r>
              <w:rPr>
                <w:rFonts w:hint="eastAsia" w:ascii="宋体" w:hAnsi="宋体" w:cs="宋体"/>
                <w:bCs/>
                <w:szCs w:val="21"/>
              </w:rPr>
              <w:t>提供Java MapReduce编程模型</w:t>
            </w:r>
          </w:p>
        </w:tc>
        <w:tc>
          <w:tcPr>
            <w:tcW w:w="618" w:type="pct"/>
            <w:shd w:val="clear" w:color="auto" w:fill="FFFFFF"/>
            <w:vAlign w:val="center"/>
          </w:tcPr>
          <w:p w14:paraId="42BFBD02">
            <w:pPr>
              <w:spacing w:line="360" w:lineRule="auto"/>
              <w:rPr>
                <w:rFonts w:ascii="宋体" w:hAnsi="宋体" w:cs="宋体"/>
                <w:bCs/>
                <w:szCs w:val="21"/>
              </w:rPr>
            </w:pPr>
          </w:p>
        </w:tc>
      </w:tr>
      <w:tr w14:paraId="7B84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vMerge w:val="continue"/>
            <w:shd w:val="clear" w:color="auto" w:fill="FFFFFF"/>
            <w:vAlign w:val="center"/>
          </w:tcPr>
          <w:p w14:paraId="2A4B24B0">
            <w:pPr>
              <w:spacing w:line="360" w:lineRule="auto"/>
              <w:rPr>
                <w:rFonts w:ascii="宋体" w:hAnsi="宋体" w:cs="宋体"/>
                <w:bCs/>
                <w:szCs w:val="21"/>
              </w:rPr>
            </w:pPr>
          </w:p>
        </w:tc>
        <w:tc>
          <w:tcPr>
            <w:tcW w:w="3474" w:type="pct"/>
            <w:shd w:val="clear" w:color="auto" w:fill="FFFFFF"/>
            <w:vAlign w:val="center"/>
          </w:tcPr>
          <w:p w14:paraId="26A83BA3">
            <w:pPr>
              <w:spacing w:line="360" w:lineRule="auto"/>
              <w:rPr>
                <w:rFonts w:ascii="宋体" w:hAnsi="宋体" w:cs="宋体"/>
                <w:bCs/>
                <w:szCs w:val="21"/>
              </w:rPr>
            </w:pPr>
            <w:r>
              <w:rPr>
                <w:rFonts w:hint="eastAsia" w:ascii="宋体" w:hAnsi="宋体" w:cs="宋体"/>
                <w:bCs/>
                <w:szCs w:val="21"/>
              </w:rPr>
              <w:t>提供的Graph模型能够完成迭代计算场景</w:t>
            </w:r>
          </w:p>
        </w:tc>
        <w:tc>
          <w:tcPr>
            <w:tcW w:w="618" w:type="pct"/>
            <w:shd w:val="clear" w:color="auto" w:fill="FFFFFF"/>
            <w:vAlign w:val="center"/>
          </w:tcPr>
          <w:p w14:paraId="2E8AE45C">
            <w:pPr>
              <w:spacing w:line="360" w:lineRule="auto"/>
              <w:rPr>
                <w:rFonts w:ascii="宋体" w:hAnsi="宋体" w:cs="宋体"/>
                <w:bCs/>
                <w:szCs w:val="21"/>
              </w:rPr>
            </w:pPr>
          </w:p>
        </w:tc>
      </w:tr>
      <w:tr w14:paraId="038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08" w:type="pct"/>
            <w:vMerge w:val="restart"/>
            <w:shd w:val="clear" w:color="auto" w:fill="FFFFFF"/>
            <w:vAlign w:val="center"/>
          </w:tcPr>
          <w:p w14:paraId="03312A4D">
            <w:pPr>
              <w:spacing w:line="360" w:lineRule="auto"/>
              <w:rPr>
                <w:rFonts w:ascii="宋体" w:hAnsi="宋体" w:cs="宋体"/>
                <w:bCs/>
                <w:szCs w:val="21"/>
              </w:rPr>
            </w:pPr>
            <w:r>
              <w:rPr>
                <w:rFonts w:hint="eastAsia" w:ascii="宋体" w:hAnsi="宋体" w:cs="宋体"/>
                <w:bCs/>
                <w:szCs w:val="21"/>
              </w:rPr>
              <w:t>服务能力</w:t>
            </w:r>
          </w:p>
        </w:tc>
        <w:tc>
          <w:tcPr>
            <w:tcW w:w="3474" w:type="pct"/>
            <w:shd w:val="clear" w:color="auto" w:fill="FFFFFF"/>
            <w:vAlign w:val="center"/>
          </w:tcPr>
          <w:p w14:paraId="47C01197">
            <w:pPr>
              <w:spacing w:line="360" w:lineRule="auto"/>
              <w:rPr>
                <w:rFonts w:ascii="宋体" w:hAnsi="宋体" w:cs="宋体"/>
                <w:bCs/>
                <w:szCs w:val="21"/>
              </w:rPr>
            </w:pPr>
            <w:r>
              <w:rPr>
                <w:rFonts w:hint="eastAsia" w:ascii="宋体" w:hAnsi="宋体" w:cs="宋体"/>
                <w:bCs/>
                <w:szCs w:val="21"/>
              </w:rPr>
              <w:t>支持100GB以上规模的存储及计算需求，最大可达EB级别</w:t>
            </w:r>
          </w:p>
        </w:tc>
        <w:tc>
          <w:tcPr>
            <w:tcW w:w="618" w:type="pct"/>
            <w:shd w:val="clear" w:color="auto" w:fill="FFFFFF"/>
            <w:vAlign w:val="center"/>
          </w:tcPr>
          <w:p w14:paraId="31885BCF">
            <w:pPr>
              <w:spacing w:line="360" w:lineRule="auto"/>
              <w:rPr>
                <w:rFonts w:ascii="宋体" w:hAnsi="宋体" w:cs="宋体"/>
                <w:bCs/>
                <w:szCs w:val="21"/>
              </w:rPr>
            </w:pPr>
          </w:p>
        </w:tc>
      </w:tr>
      <w:tr w14:paraId="2634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08" w:type="pct"/>
            <w:vMerge w:val="continue"/>
            <w:shd w:val="clear" w:color="auto" w:fill="FFFFFF"/>
            <w:vAlign w:val="center"/>
          </w:tcPr>
          <w:p w14:paraId="704BEE46">
            <w:pPr>
              <w:spacing w:line="360" w:lineRule="auto"/>
              <w:rPr>
                <w:rFonts w:ascii="宋体" w:hAnsi="宋体" w:cs="宋体"/>
                <w:bCs/>
                <w:szCs w:val="21"/>
              </w:rPr>
            </w:pPr>
          </w:p>
        </w:tc>
        <w:tc>
          <w:tcPr>
            <w:tcW w:w="3474" w:type="pct"/>
            <w:shd w:val="clear" w:color="auto" w:fill="FFFFFF"/>
            <w:vAlign w:val="center"/>
          </w:tcPr>
          <w:p w14:paraId="7B475020">
            <w:pPr>
              <w:spacing w:line="360" w:lineRule="auto"/>
              <w:rPr>
                <w:rFonts w:ascii="宋体" w:hAnsi="宋体" w:cs="宋体"/>
                <w:bCs/>
                <w:szCs w:val="21"/>
              </w:rPr>
            </w:pPr>
            <w:r>
              <w:rPr>
                <w:rFonts w:hint="eastAsia" w:ascii="宋体" w:hAnsi="宋体" w:cs="宋体"/>
                <w:bCs/>
                <w:szCs w:val="21"/>
              </w:rPr>
              <w:t>支持丰富的计算模型，支持有向无环图计算逻辑，目前支持的计算功能包括：SQL，MapReduce，Graph以及MPI迭代类的算法</w:t>
            </w:r>
          </w:p>
        </w:tc>
        <w:tc>
          <w:tcPr>
            <w:tcW w:w="618" w:type="pct"/>
            <w:shd w:val="clear" w:color="auto" w:fill="FFFFFF"/>
            <w:vAlign w:val="center"/>
          </w:tcPr>
          <w:p w14:paraId="6DDC7D0D">
            <w:pPr>
              <w:spacing w:line="360" w:lineRule="auto"/>
              <w:rPr>
                <w:rFonts w:ascii="宋体" w:hAnsi="宋体" w:cs="宋体"/>
                <w:bCs/>
                <w:szCs w:val="21"/>
              </w:rPr>
            </w:pPr>
          </w:p>
        </w:tc>
      </w:tr>
    </w:tbl>
    <w:p w14:paraId="01808D3A">
      <w:pPr>
        <w:pStyle w:val="23"/>
        <w:snapToGrid w:val="0"/>
        <w:ind w:firstLine="420" w:firstLineChars="200"/>
        <w:outlineLvl w:val="4"/>
        <w:rPr>
          <w:rFonts w:hAnsi="宋体" w:cs="宋体"/>
          <w:sz w:val="21"/>
        </w:rPr>
      </w:pPr>
      <w:r>
        <w:rPr>
          <w:rFonts w:hint="eastAsia" w:hAnsi="宋体" w:cs="宋体"/>
          <w:sz w:val="21"/>
        </w:rPr>
        <w:t>7.1.2.9负载均衡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6924"/>
        <w:gridCol w:w="1274"/>
      </w:tblGrid>
      <w:tr w14:paraId="4597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Align w:val="center"/>
          </w:tcPr>
          <w:p w14:paraId="7A6AFAFC">
            <w:pPr>
              <w:spacing w:line="360" w:lineRule="auto"/>
              <w:jc w:val="center"/>
              <w:rPr>
                <w:rFonts w:ascii="宋体" w:hAnsi="宋体" w:cs="宋体"/>
                <w:b/>
                <w:szCs w:val="21"/>
              </w:rPr>
            </w:pPr>
            <w:r>
              <w:rPr>
                <w:rFonts w:hint="eastAsia" w:ascii="宋体" w:hAnsi="宋体" w:cs="宋体"/>
                <w:b/>
                <w:szCs w:val="21"/>
              </w:rPr>
              <w:t>指标项</w:t>
            </w:r>
          </w:p>
        </w:tc>
        <w:tc>
          <w:tcPr>
            <w:tcW w:w="3727" w:type="pct"/>
            <w:vAlign w:val="center"/>
          </w:tcPr>
          <w:p w14:paraId="5C0E66DE">
            <w:pPr>
              <w:spacing w:line="360" w:lineRule="auto"/>
              <w:jc w:val="center"/>
              <w:rPr>
                <w:rFonts w:ascii="宋体" w:hAnsi="宋体" w:cs="宋体"/>
                <w:b/>
                <w:szCs w:val="21"/>
              </w:rPr>
            </w:pPr>
            <w:r>
              <w:rPr>
                <w:rFonts w:hint="eastAsia" w:ascii="宋体" w:hAnsi="宋体" w:cs="宋体"/>
                <w:b/>
                <w:szCs w:val="21"/>
              </w:rPr>
              <w:t>规格要求</w:t>
            </w:r>
          </w:p>
        </w:tc>
        <w:tc>
          <w:tcPr>
            <w:tcW w:w="686" w:type="pct"/>
            <w:vAlign w:val="center"/>
          </w:tcPr>
          <w:p w14:paraId="66F4262C">
            <w:pPr>
              <w:spacing w:line="360" w:lineRule="auto"/>
              <w:jc w:val="center"/>
              <w:rPr>
                <w:rFonts w:ascii="宋体" w:hAnsi="宋体" w:cs="宋体"/>
                <w:b/>
                <w:szCs w:val="21"/>
              </w:rPr>
            </w:pPr>
            <w:r>
              <w:rPr>
                <w:rFonts w:hint="eastAsia" w:ascii="宋体" w:hAnsi="宋体" w:cs="宋体"/>
                <w:b/>
                <w:szCs w:val="21"/>
              </w:rPr>
              <w:t>备注</w:t>
            </w:r>
          </w:p>
        </w:tc>
      </w:tr>
      <w:tr w14:paraId="4CBF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restart"/>
            <w:vAlign w:val="center"/>
          </w:tcPr>
          <w:p w14:paraId="56177E41">
            <w:pPr>
              <w:spacing w:line="360" w:lineRule="auto"/>
              <w:rPr>
                <w:rFonts w:ascii="宋体" w:hAnsi="宋体" w:cs="宋体"/>
                <w:szCs w:val="21"/>
              </w:rPr>
            </w:pPr>
            <w:r>
              <w:rPr>
                <w:rFonts w:hint="eastAsia" w:ascii="宋体" w:hAnsi="宋体" w:cs="宋体"/>
                <w:szCs w:val="21"/>
              </w:rPr>
              <w:t>负载均衡</w:t>
            </w:r>
          </w:p>
        </w:tc>
        <w:tc>
          <w:tcPr>
            <w:tcW w:w="3727" w:type="pct"/>
            <w:vAlign w:val="center"/>
          </w:tcPr>
          <w:p w14:paraId="02F49DCA">
            <w:pPr>
              <w:spacing w:line="360" w:lineRule="auto"/>
              <w:rPr>
                <w:rFonts w:ascii="宋体" w:hAnsi="宋体" w:cs="宋体"/>
                <w:szCs w:val="21"/>
              </w:rPr>
            </w:pPr>
            <w:r>
              <w:rPr>
                <w:rFonts w:hint="eastAsia" w:ascii="宋体" w:hAnsi="宋体" w:cs="宋体"/>
                <w:szCs w:val="21"/>
              </w:rPr>
              <w:t>协议支持：提供四层(TCP协议和UDP协议)和七层(HTTP和HTTPS协议)的负载均衡服务。</w:t>
            </w:r>
          </w:p>
        </w:tc>
        <w:tc>
          <w:tcPr>
            <w:tcW w:w="686" w:type="pct"/>
            <w:vAlign w:val="center"/>
          </w:tcPr>
          <w:p w14:paraId="296F4365">
            <w:pPr>
              <w:spacing w:line="360" w:lineRule="auto"/>
              <w:rPr>
                <w:rFonts w:ascii="宋体" w:hAnsi="宋体" w:cs="宋体"/>
                <w:szCs w:val="21"/>
              </w:rPr>
            </w:pPr>
          </w:p>
        </w:tc>
      </w:tr>
      <w:tr w14:paraId="3E48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14:paraId="237640BD">
            <w:pPr>
              <w:widowControl/>
              <w:spacing w:line="360" w:lineRule="auto"/>
              <w:jc w:val="left"/>
              <w:rPr>
                <w:rFonts w:ascii="宋体" w:hAnsi="宋体" w:cs="宋体"/>
                <w:szCs w:val="21"/>
              </w:rPr>
            </w:pPr>
          </w:p>
        </w:tc>
        <w:tc>
          <w:tcPr>
            <w:tcW w:w="3727" w:type="pct"/>
            <w:vAlign w:val="center"/>
          </w:tcPr>
          <w:p w14:paraId="1D8E2828">
            <w:pPr>
              <w:spacing w:line="360" w:lineRule="auto"/>
              <w:rPr>
                <w:rFonts w:ascii="宋体" w:hAnsi="宋体" w:cs="宋体"/>
                <w:szCs w:val="21"/>
              </w:rPr>
            </w:pPr>
            <w:r>
              <w:rPr>
                <w:rFonts w:hint="eastAsia" w:ascii="宋体" w:hAnsi="宋体" w:cs="宋体"/>
                <w:szCs w:val="21"/>
              </w:rPr>
              <w:t>健康检查：提供后端</w:t>
            </w:r>
            <w:r>
              <w:rPr>
                <w:rFonts w:hint="eastAsia" w:ascii="宋体" w:hAnsi="宋体" w:cs="宋体"/>
                <w:szCs w:val="21"/>
                <w:lang w:eastAsia="zh-Hans"/>
              </w:rPr>
              <w:t>云服务器</w:t>
            </w:r>
            <w:r>
              <w:rPr>
                <w:rFonts w:hint="eastAsia" w:ascii="宋体" w:hAnsi="宋体" w:cs="宋体"/>
                <w:szCs w:val="21"/>
              </w:rPr>
              <w:t>实例的健康检查。负载均衡服务会自动屏蔽异常状态的</w:t>
            </w:r>
            <w:r>
              <w:rPr>
                <w:rFonts w:hint="eastAsia" w:ascii="宋体" w:hAnsi="宋体" w:cs="宋体"/>
                <w:szCs w:val="21"/>
                <w:lang w:eastAsia="zh-Hans"/>
              </w:rPr>
              <w:t>云服务器</w:t>
            </w:r>
            <w:r>
              <w:rPr>
                <w:rFonts w:hint="eastAsia" w:ascii="宋体" w:hAnsi="宋体" w:cs="宋体"/>
                <w:szCs w:val="21"/>
              </w:rPr>
              <w:t>实例,待该</w:t>
            </w:r>
            <w:r>
              <w:rPr>
                <w:rFonts w:hint="eastAsia" w:ascii="宋体" w:hAnsi="宋体" w:cs="宋体"/>
                <w:szCs w:val="21"/>
                <w:lang w:eastAsia="zh-Hans"/>
              </w:rPr>
              <w:t>云服务器</w:t>
            </w:r>
            <w:r>
              <w:rPr>
                <w:rFonts w:hint="eastAsia" w:ascii="宋体" w:hAnsi="宋体" w:cs="宋体"/>
                <w:szCs w:val="21"/>
              </w:rPr>
              <w:t>实例恢复正常后自动解除屏蔽</w:t>
            </w:r>
          </w:p>
        </w:tc>
        <w:tc>
          <w:tcPr>
            <w:tcW w:w="686" w:type="pct"/>
            <w:vAlign w:val="center"/>
          </w:tcPr>
          <w:p w14:paraId="516206ED">
            <w:pPr>
              <w:spacing w:line="360" w:lineRule="auto"/>
              <w:rPr>
                <w:rFonts w:ascii="宋体" w:hAnsi="宋体" w:cs="宋体"/>
                <w:kern w:val="0"/>
                <w:szCs w:val="21"/>
              </w:rPr>
            </w:pPr>
          </w:p>
        </w:tc>
      </w:tr>
      <w:tr w14:paraId="3003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14:paraId="0608D21A">
            <w:pPr>
              <w:widowControl/>
              <w:spacing w:line="360" w:lineRule="auto"/>
              <w:jc w:val="left"/>
              <w:rPr>
                <w:rFonts w:ascii="宋体" w:hAnsi="宋体" w:cs="宋体"/>
                <w:szCs w:val="21"/>
              </w:rPr>
            </w:pPr>
          </w:p>
        </w:tc>
        <w:tc>
          <w:tcPr>
            <w:tcW w:w="3727" w:type="pct"/>
            <w:vAlign w:val="center"/>
          </w:tcPr>
          <w:p w14:paraId="17AD9BCF">
            <w:pPr>
              <w:spacing w:line="360" w:lineRule="auto"/>
              <w:rPr>
                <w:rFonts w:ascii="宋体" w:hAnsi="宋体" w:cs="宋体"/>
                <w:szCs w:val="21"/>
              </w:rPr>
            </w:pPr>
            <w:r>
              <w:rPr>
                <w:rFonts w:hint="eastAsia" w:ascii="宋体" w:hAnsi="宋体" w:cs="宋体"/>
                <w:szCs w:val="21"/>
              </w:rPr>
              <w:t>采用集群部署,可实现会话同步,以消除服务器单点,提升冗余,保证服务的稳定性。</w:t>
            </w:r>
          </w:p>
        </w:tc>
        <w:tc>
          <w:tcPr>
            <w:tcW w:w="686" w:type="pct"/>
            <w:vAlign w:val="center"/>
          </w:tcPr>
          <w:p w14:paraId="3B0E2C52">
            <w:pPr>
              <w:spacing w:line="360" w:lineRule="auto"/>
              <w:rPr>
                <w:rFonts w:ascii="宋体" w:hAnsi="宋体" w:cs="宋体"/>
                <w:szCs w:val="21"/>
              </w:rPr>
            </w:pPr>
          </w:p>
        </w:tc>
      </w:tr>
      <w:tr w14:paraId="693A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14:paraId="4554B094">
            <w:pPr>
              <w:widowControl/>
              <w:spacing w:line="360" w:lineRule="auto"/>
              <w:jc w:val="left"/>
              <w:rPr>
                <w:rFonts w:ascii="宋体" w:hAnsi="宋体" w:cs="宋体"/>
                <w:szCs w:val="21"/>
              </w:rPr>
            </w:pPr>
          </w:p>
        </w:tc>
        <w:tc>
          <w:tcPr>
            <w:tcW w:w="3727" w:type="pct"/>
            <w:vAlign w:val="center"/>
          </w:tcPr>
          <w:p w14:paraId="761E2F15">
            <w:pPr>
              <w:widowControl/>
              <w:spacing w:line="360" w:lineRule="auto"/>
              <w:jc w:val="left"/>
              <w:rPr>
                <w:rFonts w:ascii="宋体" w:hAnsi="宋体" w:cs="宋体"/>
                <w:szCs w:val="21"/>
              </w:rPr>
            </w:pPr>
            <w:r>
              <w:rPr>
                <w:rFonts w:hint="eastAsia" w:ascii="宋体" w:hAnsi="宋体" w:cs="宋体"/>
                <w:szCs w:val="21"/>
              </w:rPr>
              <w:t>调度算法:支持轮询、最小连接数两种调度算法:</w:t>
            </w:r>
          </w:p>
          <w:p w14:paraId="0E5A1038">
            <w:pPr>
              <w:widowControl/>
              <w:spacing w:line="360" w:lineRule="auto"/>
              <w:jc w:val="left"/>
              <w:rPr>
                <w:rFonts w:ascii="宋体" w:hAnsi="宋体" w:cs="宋体"/>
                <w:szCs w:val="21"/>
              </w:rPr>
            </w:pPr>
            <w:r>
              <w:rPr>
                <w:rFonts w:hint="eastAsia" w:ascii="宋体" w:hAnsi="宋体" w:cs="宋体"/>
                <w:szCs w:val="21"/>
              </w:rPr>
              <w:t xml:space="preserve"> • 轮询:按照访问次数依次将外部请求依序分发到后端</w:t>
            </w:r>
            <w:r>
              <w:rPr>
                <w:rFonts w:hint="eastAsia" w:ascii="宋体" w:hAnsi="宋体" w:cs="宋体"/>
                <w:szCs w:val="21"/>
                <w:lang w:eastAsia="zh-Hans"/>
              </w:rPr>
              <w:t>云服务器</w:t>
            </w:r>
            <w:r>
              <w:rPr>
                <w:rFonts w:hint="eastAsia" w:ascii="宋体" w:hAnsi="宋体" w:cs="宋体"/>
                <w:szCs w:val="21"/>
              </w:rPr>
              <w:t>实例上。</w:t>
            </w:r>
          </w:p>
          <w:p w14:paraId="5ECB5E50">
            <w:pPr>
              <w:widowControl/>
              <w:spacing w:line="360" w:lineRule="auto"/>
              <w:jc w:val="left"/>
              <w:rPr>
                <w:rFonts w:ascii="宋体" w:hAnsi="宋体" w:cs="宋体"/>
                <w:szCs w:val="21"/>
              </w:rPr>
            </w:pPr>
            <w:r>
              <w:rPr>
                <w:rFonts w:hint="eastAsia" w:ascii="宋体" w:hAnsi="宋体" w:cs="宋体"/>
                <w:szCs w:val="21"/>
              </w:rPr>
              <w:t xml:space="preserve"> • 最小连接数:连接数越小的后端服务器被轮询到的次数(概率)也越高</w:t>
            </w:r>
          </w:p>
        </w:tc>
        <w:tc>
          <w:tcPr>
            <w:tcW w:w="686" w:type="pct"/>
            <w:vAlign w:val="center"/>
          </w:tcPr>
          <w:p w14:paraId="1FBE7F08">
            <w:pPr>
              <w:spacing w:line="360" w:lineRule="auto"/>
              <w:rPr>
                <w:rFonts w:ascii="宋体" w:hAnsi="宋体" w:cs="宋体"/>
                <w:szCs w:val="21"/>
              </w:rPr>
            </w:pPr>
          </w:p>
        </w:tc>
      </w:tr>
      <w:tr w14:paraId="1760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14:paraId="64AE0614">
            <w:pPr>
              <w:widowControl/>
              <w:spacing w:line="360" w:lineRule="auto"/>
              <w:jc w:val="left"/>
              <w:rPr>
                <w:rFonts w:ascii="宋体" w:hAnsi="宋体" w:cs="宋体"/>
                <w:szCs w:val="21"/>
              </w:rPr>
            </w:pPr>
          </w:p>
        </w:tc>
        <w:tc>
          <w:tcPr>
            <w:tcW w:w="3727" w:type="pct"/>
            <w:vAlign w:val="center"/>
          </w:tcPr>
          <w:p w14:paraId="34AD7331">
            <w:pPr>
              <w:spacing w:line="360" w:lineRule="auto"/>
              <w:rPr>
                <w:rFonts w:ascii="宋体" w:hAnsi="宋体" w:cs="宋体"/>
                <w:szCs w:val="21"/>
              </w:rPr>
            </w:pPr>
            <w:r>
              <w:rPr>
                <w:rFonts w:hint="eastAsia" w:ascii="宋体" w:hAnsi="宋体" w:cs="宋体"/>
                <w:szCs w:val="21"/>
              </w:rPr>
              <w:t>证书管理：针对HTTPS协议,提供统一的证书管理服务。证书无需上传到后端</w:t>
            </w:r>
            <w:r>
              <w:rPr>
                <w:rFonts w:hint="eastAsia" w:ascii="宋体" w:hAnsi="宋体" w:cs="宋体"/>
                <w:szCs w:val="21"/>
                <w:lang w:eastAsia="zh-Hans"/>
              </w:rPr>
              <w:t>云服务器</w:t>
            </w:r>
            <w:r>
              <w:rPr>
                <w:rFonts w:hint="eastAsia" w:ascii="宋体" w:hAnsi="宋体" w:cs="宋体"/>
                <w:szCs w:val="21"/>
              </w:rPr>
              <w:t>实例,解密处理在负载均衡上进行,降低后端</w:t>
            </w:r>
            <w:r>
              <w:rPr>
                <w:rFonts w:hint="eastAsia" w:ascii="宋体" w:hAnsi="宋体" w:cs="宋体"/>
                <w:szCs w:val="21"/>
                <w:lang w:eastAsia="zh-Hans"/>
              </w:rPr>
              <w:t>云服务器</w:t>
            </w:r>
            <w:r>
              <w:rPr>
                <w:rFonts w:hint="eastAsia" w:ascii="宋体" w:hAnsi="宋体" w:cs="宋体"/>
                <w:szCs w:val="21"/>
              </w:rPr>
              <w:t>实例的CPU开销</w:t>
            </w:r>
          </w:p>
        </w:tc>
        <w:tc>
          <w:tcPr>
            <w:tcW w:w="686" w:type="pct"/>
            <w:vAlign w:val="center"/>
          </w:tcPr>
          <w:p w14:paraId="4C33C71B">
            <w:pPr>
              <w:spacing w:line="360" w:lineRule="auto"/>
              <w:rPr>
                <w:rFonts w:ascii="宋体" w:hAnsi="宋体" w:cs="宋体"/>
                <w:szCs w:val="21"/>
              </w:rPr>
            </w:pPr>
          </w:p>
        </w:tc>
      </w:tr>
      <w:tr w14:paraId="1142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14:paraId="1246698F">
            <w:pPr>
              <w:widowControl/>
              <w:spacing w:line="360" w:lineRule="auto"/>
              <w:jc w:val="left"/>
              <w:rPr>
                <w:rFonts w:ascii="宋体" w:hAnsi="宋体" w:cs="宋体"/>
                <w:szCs w:val="21"/>
              </w:rPr>
            </w:pPr>
          </w:p>
        </w:tc>
        <w:tc>
          <w:tcPr>
            <w:tcW w:w="3727" w:type="pct"/>
            <w:vAlign w:val="center"/>
          </w:tcPr>
          <w:p w14:paraId="442DD6DB">
            <w:pPr>
              <w:spacing w:line="360" w:lineRule="auto"/>
              <w:rPr>
                <w:rFonts w:ascii="宋体" w:hAnsi="宋体" w:cs="宋体"/>
                <w:szCs w:val="21"/>
              </w:rPr>
            </w:pPr>
            <w:r>
              <w:rPr>
                <w:rFonts w:hint="eastAsia" w:ascii="宋体" w:hAnsi="宋体" w:cs="宋体"/>
                <w:szCs w:val="21"/>
              </w:rPr>
              <w:t>回话保持：提供会话保持功能。在会话的生命周期内,可以将同一客户端的请求转发到同一台后端</w:t>
            </w:r>
            <w:r>
              <w:rPr>
                <w:rFonts w:hint="eastAsia" w:ascii="宋体" w:hAnsi="宋体" w:cs="宋体"/>
                <w:szCs w:val="21"/>
                <w:lang w:eastAsia="zh-Hans"/>
              </w:rPr>
              <w:t>云服务器</w:t>
            </w:r>
            <w:r>
              <w:rPr>
                <w:rFonts w:hint="eastAsia" w:ascii="宋体" w:hAnsi="宋体" w:cs="宋体"/>
                <w:szCs w:val="21"/>
              </w:rPr>
              <w:t>实例上。</w:t>
            </w:r>
          </w:p>
        </w:tc>
        <w:tc>
          <w:tcPr>
            <w:tcW w:w="686" w:type="pct"/>
            <w:vAlign w:val="center"/>
          </w:tcPr>
          <w:p w14:paraId="5E073610">
            <w:pPr>
              <w:spacing w:line="360" w:lineRule="auto"/>
              <w:rPr>
                <w:rFonts w:ascii="宋体" w:hAnsi="宋体" w:cs="宋体"/>
                <w:szCs w:val="21"/>
              </w:rPr>
            </w:pPr>
          </w:p>
        </w:tc>
      </w:tr>
      <w:tr w14:paraId="347D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14:paraId="1E98C64F">
            <w:pPr>
              <w:widowControl/>
              <w:spacing w:line="360" w:lineRule="auto"/>
              <w:jc w:val="left"/>
              <w:rPr>
                <w:rFonts w:ascii="宋体" w:hAnsi="宋体" w:cs="宋体"/>
                <w:szCs w:val="21"/>
              </w:rPr>
            </w:pPr>
          </w:p>
        </w:tc>
        <w:tc>
          <w:tcPr>
            <w:tcW w:w="3727" w:type="pct"/>
            <w:vAlign w:val="center"/>
          </w:tcPr>
          <w:p w14:paraId="3DD7EF70">
            <w:pPr>
              <w:spacing w:line="360" w:lineRule="auto"/>
              <w:rPr>
                <w:rFonts w:ascii="宋体" w:hAnsi="宋体" w:cs="宋体"/>
                <w:szCs w:val="21"/>
              </w:rPr>
            </w:pPr>
            <w:r>
              <w:rPr>
                <w:rFonts w:hint="eastAsia" w:ascii="宋体" w:hAnsi="宋体" w:cs="宋体"/>
                <w:szCs w:val="21"/>
              </w:rPr>
              <w:t>访问控制：支持白名单访问控制。通过添加负载均衡监听的访问白名单,仅允许特定IP访问负载均衡服务。</w:t>
            </w:r>
          </w:p>
        </w:tc>
        <w:tc>
          <w:tcPr>
            <w:tcW w:w="686" w:type="pct"/>
            <w:vAlign w:val="center"/>
          </w:tcPr>
          <w:p w14:paraId="33D4544D">
            <w:pPr>
              <w:spacing w:line="360" w:lineRule="auto"/>
              <w:rPr>
                <w:rFonts w:ascii="宋体" w:hAnsi="宋体" w:cs="宋体"/>
                <w:szCs w:val="21"/>
              </w:rPr>
            </w:pPr>
          </w:p>
        </w:tc>
      </w:tr>
    </w:tbl>
    <w:p w14:paraId="406E6811">
      <w:pPr>
        <w:pStyle w:val="23"/>
        <w:snapToGrid w:val="0"/>
        <w:ind w:firstLine="420" w:firstLineChars="200"/>
        <w:outlineLvl w:val="4"/>
        <w:rPr>
          <w:rFonts w:hAnsi="宋体" w:cs="宋体"/>
          <w:sz w:val="21"/>
        </w:rPr>
      </w:pPr>
      <w:r>
        <w:rPr>
          <w:rFonts w:hint="eastAsia" w:hAnsi="宋体" w:cs="宋体"/>
          <w:sz w:val="21"/>
        </w:rPr>
        <w:t>7.1.2.10专有网络</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6883"/>
        <w:gridCol w:w="1275"/>
      </w:tblGrid>
      <w:tr w14:paraId="681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vAlign w:val="center"/>
          </w:tcPr>
          <w:p w14:paraId="3F2D1EE6">
            <w:pPr>
              <w:spacing w:line="360" w:lineRule="auto"/>
              <w:jc w:val="center"/>
              <w:rPr>
                <w:rFonts w:ascii="宋体" w:hAnsi="宋体" w:cs="宋体"/>
                <w:b/>
                <w:szCs w:val="21"/>
              </w:rPr>
            </w:pPr>
            <w:r>
              <w:rPr>
                <w:rFonts w:hint="eastAsia" w:ascii="宋体" w:hAnsi="宋体" w:cs="宋体"/>
                <w:b/>
                <w:szCs w:val="21"/>
              </w:rPr>
              <w:t>指标项</w:t>
            </w:r>
          </w:p>
        </w:tc>
        <w:tc>
          <w:tcPr>
            <w:tcW w:w="3705" w:type="pct"/>
            <w:tcBorders>
              <w:top w:val="single" w:color="auto" w:sz="4" w:space="0"/>
              <w:left w:val="single" w:color="auto" w:sz="4" w:space="0"/>
              <w:bottom w:val="single" w:color="auto" w:sz="4" w:space="0"/>
              <w:right w:val="single" w:color="auto" w:sz="4" w:space="0"/>
            </w:tcBorders>
            <w:vAlign w:val="center"/>
          </w:tcPr>
          <w:p w14:paraId="6C607744">
            <w:pPr>
              <w:spacing w:line="360" w:lineRule="auto"/>
              <w:jc w:val="center"/>
              <w:rPr>
                <w:rFonts w:ascii="宋体" w:hAnsi="宋体" w:cs="宋体"/>
                <w:b/>
                <w:szCs w:val="21"/>
              </w:rPr>
            </w:pPr>
            <w:r>
              <w:rPr>
                <w:rFonts w:hint="eastAsia" w:ascii="宋体" w:hAnsi="宋体" w:cs="宋体"/>
                <w:b/>
                <w:szCs w:val="21"/>
              </w:rPr>
              <w:t>规格要求</w:t>
            </w:r>
          </w:p>
        </w:tc>
        <w:tc>
          <w:tcPr>
            <w:tcW w:w="686" w:type="pct"/>
            <w:tcBorders>
              <w:top w:val="single" w:color="auto" w:sz="4" w:space="0"/>
              <w:left w:val="single" w:color="auto" w:sz="4" w:space="0"/>
              <w:bottom w:val="single" w:color="auto" w:sz="4" w:space="0"/>
              <w:right w:val="single" w:color="auto" w:sz="4" w:space="0"/>
            </w:tcBorders>
            <w:vAlign w:val="center"/>
          </w:tcPr>
          <w:p w14:paraId="3E44C7B5">
            <w:pPr>
              <w:spacing w:line="360" w:lineRule="auto"/>
              <w:jc w:val="center"/>
              <w:rPr>
                <w:rFonts w:ascii="宋体" w:hAnsi="宋体" w:cs="宋体"/>
                <w:b/>
                <w:szCs w:val="21"/>
              </w:rPr>
            </w:pPr>
            <w:r>
              <w:rPr>
                <w:rFonts w:hint="eastAsia" w:ascii="宋体" w:hAnsi="宋体" w:cs="宋体"/>
                <w:b/>
                <w:szCs w:val="21"/>
              </w:rPr>
              <w:t>备注</w:t>
            </w:r>
          </w:p>
        </w:tc>
      </w:tr>
      <w:tr w14:paraId="0B32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tcBorders>
              <w:top w:val="single" w:color="auto" w:sz="4" w:space="0"/>
              <w:left w:val="single" w:color="auto" w:sz="4" w:space="0"/>
              <w:bottom w:val="single" w:color="auto" w:sz="4" w:space="0"/>
              <w:right w:val="single" w:color="auto" w:sz="4" w:space="0"/>
            </w:tcBorders>
            <w:vAlign w:val="center"/>
          </w:tcPr>
          <w:p w14:paraId="719AAC07">
            <w:pPr>
              <w:spacing w:line="360" w:lineRule="auto"/>
              <w:rPr>
                <w:rFonts w:ascii="宋体" w:hAnsi="宋体" w:cs="宋体"/>
                <w:szCs w:val="21"/>
              </w:rPr>
            </w:pPr>
            <w:r>
              <w:rPr>
                <w:rFonts w:hint="eastAsia" w:ascii="宋体" w:hAnsi="宋体" w:cs="宋体"/>
                <w:szCs w:val="21"/>
              </w:rPr>
              <w:t>服务标准</w:t>
            </w:r>
          </w:p>
        </w:tc>
        <w:tc>
          <w:tcPr>
            <w:tcW w:w="3705" w:type="pct"/>
            <w:tcBorders>
              <w:top w:val="single" w:color="auto" w:sz="4" w:space="0"/>
              <w:left w:val="single" w:color="auto" w:sz="4" w:space="0"/>
              <w:bottom w:val="single" w:color="auto" w:sz="4" w:space="0"/>
              <w:right w:val="single" w:color="auto" w:sz="4" w:space="0"/>
            </w:tcBorders>
            <w:vAlign w:val="center"/>
          </w:tcPr>
          <w:p w14:paraId="1561EDD2">
            <w:pPr>
              <w:spacing w:line="360" w:lineRule="auto"/>
              <w:rPr>
                <w:rFonts w:ascii="宋体" w:hAnsi="宋体" w:cs="宋体"/>
                <w:szCs w:val="21"/>
              </w:rPr>
            </w:pPr>
            <w:r>
              <w:rPr>
                <w:rFonts w:hint="eastAsia" w:ascii="宋体" w:hAnsi="宋体" w:cs="宋体"/>
                <w:szCs w:val="21"/>
              </w:rPr>
              <w:t>在所提供的云平台构建出一个隔离的网络环境，客户完全掌控自己的虚拟网络，包括选择自有IP地址范围、划分网段、配置路由表和网关等。</w:t>
            </w:r>
          </w:p>
        </w:tc>
        <w:tc>
          <w:tcPr>
            <w:tcW w:w="686" w:type="pct"/>
            <w:tcBorders>
              <w:top w:val="single" w:color="auto" w:sz="4" w:space="0"/>
              <w:left w:val="single" w:color="auto" w:sz="4" w:space="0"/>
              <w:bottom w:val="single" w:color="auto" w:sz="4" w:space="0"/>
              <w:right w:val="single" w:color="auto" w:sz="4" w:space="0"/>
            </w:tcBorders>
            <w:vAlign w:val="center"/>
          </w:tcPr>
          <w:p w14:paraId="390E73E0">
            <w:pPr>
              <w:spacing w:line="360" w:lineRule="auto"/>
              <w:rPr>
                <w:rFonts w:ascii="宋体" w:hAnsi="宋体" w:cs="宋体"/>
                <w:szCs w:val="21"/>
              </w:rPr>
            </w:pPr>
          </w:p>
        </w:tc>
      </w:tr>
      <w:tr w14:paraId="7337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restart"/>
            <w:tcBorders>
              <w:top w:val="single" w:color="auto" w:sz="4" w:space="0"/>
              <w:left w:val="single" w:color="auto" w:sz="4" w:space="0"/>
              <w:right w:val="single" w:color="auto" w:sz="4" w:space="0"/>
            </w:tcBorders>
            <w:vAlign w:val="center"/>
          </w:tcPr>
          <w:p w14:paraId="46E8944F">
            <w:pPr>
              <w:spacing w:line="360" w:lineRule="auto"/>
              <w:rPr>
                <w:rFonts w:ascii="宋体" w:hAnsi="宋体" w:cs="宋体"/>
                <w:szCs w:val="21"/>
              </w:rPr>
            </w:pPr>
            <w:r>
              <w:rPr>
                <w:rFonts w:hint="eastAsia" w:ascii="宋体" w:hAnsi="宋体" w:cs="宋体"/>
                <w:szCs w:val="21"/>
              </w:rPr>
              <w:t>服务特性</w:t>
            </w:r>
          </w:p>
        </w:tc>
        <w:tc>
          <w:tcPr>
            <w:tcW w:w="3705" w:type="pct"/>
            <w:tcBorders>
              <w:top w:val="single" w:color="auto" w:sz="4" w:space="0"/>
              <w:left w:val="single" w:color="auto" w:sz="4" w:space="0"/>
              <w:bottom w:val="single" w:color="auto" w:sz="4" w:space="0"/>
              <w:right w:val="single" w:color="auto" w:sz="4" w:space="0"/>
            </w:tcBorders>
            <w:vAlign w:val="center"/>
          </w:tcPr>
          <w:p w14:paraId="0C325F3C">
            <w:pPr>
              <w:spacing w:line="360" w:lineRule="auto"/>
              <w:rPr>
                <w:rFonts w:ascii="宋体" w:hAnsi="宋体" w:cs="宋体"/>
                <w:szCs w:val="21"/>
              </w:rPr>
            </w:pPr>
            <w:r>
              <w:rPr>
                <w:rFonts w:hint="eastAsia" w:ascii="宋体" w:hAnsi="宋体" w:cs="宋体"/>
                <w:szCs w:val="21"/>
              </w:rPr>
              <w:t>使用隧道技术达到与传统VLAN相同隔离效果，广播域隔离在实例网卡级别</w:t>
            </w:r>
          </w:p>
        </w:tc>
        <w:tc>
          <w:tcPr>
            <w:tcW w:w="686" w:type="pct"/>
            <w:tcBorders>
              <w:top w:val="single" w:color="auto" w:sz="4" w:space="0"/>
              <w:left w:val="single" w:color="auto" w:sz="4" w:space="0"/>
              <w:bottom w:val="single" w:color="auto" w:sz="4" w:space="0"/>
              <w:right w:val="single" w:color="auto" w:sz="4" w:space="0"/>
            </w:tcBorders>
            <w:vAlign w:val="center"/>
          </w:tcPr>
          <w:p w14:paraId="4256F1DF">
            <w:pPr>
              <w:spacing w:line="360" w:lineRule="auto"/>
              <w:rPr>
                <w:rFonts w:ascii="宋体" w:hAnsi="宋体" w:cs="宋体"/>
                <w:szCs w:val="21"/>
              </w:rPr>
            </w:pPr>
          </w:p>
        </w:tc>
      </w:tr>
      <w:tr w14:paraId="22A2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tcBorders>
              <w:left w:val="single" w:color="auto" w:sz="4" w:space="0"/>
              <w:right w:val="single" w:color="auto" w:sz="4" w:space="0"/>
            </w:tcBorders>
            <w:vAlign w:val="center"/>
          </w:tcPr>
          <w:p w14:paraId="3DAFA18B">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38F7BC97">
            <w:pPr>
              <w:spacing w:line="360" w:lineRule="auto"/>
              <w:rPr>
                <w:rFonts w:ascii="宋体" w:hAnsi="宋体" w:cs="宋体"/>
                <w:szCs w:val="21"/>
              </w:rPr>
            </w:pPr>
            <w:r>
              <w:rPr>
                <w:rFonts w:hint="eastAsia" w:ascii="宋体" w:hAnsi="宋体" w:cs="宋体"/>
                <w:szCs w:val="21"/>
              </w:rPr>
              <w:t>按需配置网络设置、软件定义网络，管理操作实时生效</w:t>
            </w:r>
          </w:p>
        </w:tc>
        <w:tc>
          <w:tcPr>
            <w:tcW w:w="686" w:type="pct"/>
            <w:tcBorders>
              <w:top w:val="single" w:color="auto" w:sz="4" w:space="0"/>
              <w:left w:val="single" w:color="auto" w:sz="4" w:space="0"/>
              <w:bottom w:val="single" w:color="auto" w:sz="4" w:space="0"/>
              <w:right w:val="single" w:color="auto" w:sz="4" w:space="0"/>
            </w:tcBorders>
            <w:vAlign w:val="center"/>
          </w:tcPr>
          <w:p w14:paraId="15DABDC2">
            <w:pPr>
              <w:spacing w:line="360" w:lineRule="auto"/>
              <w:rPr>
                <w:rFonts w:ascii="宋体" w:hAnsi="宋体" w:cs="宋体"/>
                <w:szCs w:val="21"/>
              </w:rPr>
            </w:pPr>
          </w:p>
        </w:tc>
      </w:tr>
      <w:tr w14:paraId="29D5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tcBorders>
              <w:left w:val="single" w:color="auto" w:sz="4" w:space="0"/>
              <w:right w:val="single" w:color="auto" w:sz="4" w:space="0"/>
            </w:tcBorders>
            <w:vAlign w:val="center"/>
          </w:tcPr>
          <w:p w14:paraId="21BCAC96">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22BFBB47">
            <w:pPr>
              <w:spacing w:line="360" w:lineRule="auto"/>
              <w:rPr>
                <w:rFonts w:ascii="宋体" w:hAnsi="宋体" w:cs="宋体"/>
                <w:szCs w:val="21"/>
              </w:rPr>
            </w:pPr>
            <w:r>
              <w:rPr>
                <w:rFonts w:hint="eastAsia" w:ascii="宋体" w:hAnsi="宋体" w:cs="宋体"/>
                <w:szCs w:val="21"/>
              </w:rPr>
              <w:t xml:space="preserve">灵活的访问控制规则，满足政务、金融用户的安全隔离规范 </w:t>
            </w:r>
            <w:r>
              <w:rPr>
                <w:rFonts w:hint="eastAsia" w:ascii="宋体" w:hAnsi="宋体" w:cs="宋体"/>
                <w:szCs w:val="21"/>
              </w:rPr>
              <w:br w:type="textWrapping"/>
            </w:r>
            <w:r>
              <w:rPr>
                <w:rFonts w:hint="eastAsia" w:ascii="宋体" w:hAnsi="宋体" w:cs="宋体"/>
                <w:szCs w:val="21"/>
              </w:rPr>
              <w:t>可通过RAM实现对网络的权限管理</w:t>
            </w:r>
          </w:p>
        </w:tc>
        <w:tc>
          <w:tcPr>
            <w:tcW w:w="686" w:type="pct"/>
            <w:tcBorders>
              <w:top w:val="single" w:color="auto" w:sz="4" w:space="0"/>
              <w:left w:val="single" w:color="auto" w:sz="4" w:space="0"/>
              <w:bottom w:val="single" w:color="auto" w:sz="4" w:space="0"/>
              <w:right w:val="single" w:color="auto" w:sz="4" w:space="0"/>
            </w:tcBorders>
            <w:vAlign w:val="center"/>
          </w:tcPr>
          <w:p w14:paraId="3849D471">
            <w:pPr>
              <w:spacing w:line="360" w:lineRule="auto"/>
              <w:rPr>
                <w:rFonts w:ascii="宋体" w:hAnsi="宋体" w:cs="宋体"/>
                <w:szCs w:val="21"/>
              </w:rPr>
            </w:pPr>
          </w:p>
        </w:tc>
      </w:tr>
      <w:tr w14:paraId="0336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tcBorders>
              <w:left w:val="single" w:color="auto" w:sz="4" w:space="0"/>
              <w:right w:val="single" w:color="auto" w:sz="4" w:space="0"/>
            </w:tcBorders>
            <w:vAlign w:val="center"/>
          </w:tcPr>
          <w:p w14:paraId="682BB846">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4EA7EDDA">
            <w:pPr>
              <w:spacing w:line="360" w:lineRule="auto"/>
              <w:rPr>
                <w:rFonts w:ascii="宋体" w:hAnsi="宋体" w:cs="宋体"/>
                <w:szCs w:val="21"/>
              </w:rPr>
            </w:pPr>
            <w:r>
              <w:rPr>
                <w:rFonts w:hint="eastAsia" w:ascii="宋体" w:hAnsi="宋体" w:cs="宋体"/>
                <w:szCs w:val="21"/>
              </w:rPr>
              <w:t>支持使用高速通道实现跨地域/跨用户的内网互通和物理专线接入</w:t>
            </w:r>
            <w:r>
              <w:rPr>
                <w:rFonts w:hint="eastAsia" w:ascii="宋体" w:hAnsi="宋体" w:cs="宋体"/>
                <w:szCs w:val="21"/>
              </w:rPr>
              <w:br w:type="textWrapping"/>
            </w:r>
            <w:r>
              <w:rPr>
                <w:rFonts w:hint="eastAsia" w:ascii="宋体" w:hAnsi="宋体" w:cs="宋体"/>
                <w:szCs w:val="21"/>
              </w:rPr>
              <w:t>支持使用NAT网关进行DNAT/SNAT转发</w:t>
            </w:r>
          </w:p>
        </w:tc>
        <w:tc>
          <w:tcPr>
            <w:tcW w:w="686" w:type="pct"/>
            <w:tcBorders>
              <w:top w:val="single" w:color="auto" w:sz="4" w:space="0"/>
              <w:left w:val="single" w:color="auto" w:sz="4" w:space="0"/>
              <w:bottom w:val="single" w:color="auto" w:sz="4" w:space="0"/>
              <w:right w:val="single" w:color="auto" w:sz="4" w:space="0"/>
            </w:tcBorders>
            <w:vAlign w:val="center"/>
          </w:tcPr>
          <w:p w14:paraId="4ECDD4C8">
            <w:pPr>
              <w:spacing w:line="360" w:lineRule="auto"/>
              <w:rPr>
                <w:rFonts w:ascii="宋体" w:hAnsi="宋体" w:cs="宋体"/>
                <w:szCs w:val="21"/>
              </w:rPr>
            </w:pPr>
          </w:p>
        </w:tc>
      </w:tr>
      <w:tr w14:paraId="0A31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tcBorders>
              <w:left w:val="single" w:color="auto" w:sz="4" w:space="0"/>
              <w:right w:val="single" w:color="auto" w:sz="4" w:space="0"/>
            </w:tcBorders>
            <w:vAlign w:val="center"/>
          </w:tcPr>
          <w:p w14:paraId="19E22339">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10C42C38">
            <w:pPr>
              <w:spacing w:line="360" w:lineRule="auto"/>
              <w:rPr>
                <w:rFonts w:ascii="宋体" w:hAnsi="宋体" w:cs="宋体"/>
                <w:szCs w:val="21"/>
              </w:rPr>
            </w:pPr>
            <w:r>
              <w:rPr>
                <w:rFonts w:hint="eastAsia" w:ascii="宋体" w:hAnsi="宋体" w:cs="宋体"/>
                <w:szCs w:val="21"/>
              </w:rPr>
              <w:t>通过NAT网关支持灵活的DNAT/SNAT转发，支持多IP共享带宽</w:t>
            </w:r>
          </w:p>
        </w:tc>
        <w:tc>
          <w:tcPr>
            <w:tcW w:w="686" w:type="pct"/>
            <w:tcBorders>
              <w:top w:val="single" w:color="auto" w:sz="4" w:space="0"/>
              <w:left w:val="single" w:color="auto" w:sz="4" w:space="0"/>
              <w:bottom w:val="single" w:color="auto" w:sz="4" w:space="0"/>
              <w:right w:val="single" w:color="auto" w:sz="4" w:space="0"/>
            </w:tcBorders>
            <w:vAlign w:val="center"/>
          </w:tcPr>
          <w:p w14:paraId="621A413C">
            <w:pPr>
              <w:spacing w:line="360" w:lineRule="auto"/>
              <w:rPr>
                <w:rFonts w:ascii="宋体" w:hAnsi="宋体" w:cs="宋体"/>
                <w:szCs w:val="21"/>
              </w:rPr>
            </w:pPr>
          </w:p>
        </w:tc>
      </w:tr>
      <w:tr w14:paraId="6E06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restart"/>
            <w:tcBorders>
              <w:left w:val="single" w:color="auto" w:sz="4" w:space="0"/>
              <w:right w:val="single" w:color="auto" w:sz="4" w:space="0"/>
            </w:tcBorders>
            <w:vAlign w:val="center"/>
          </w:tcPr>
          <w:p w14:paraId="142A1A61">
            <w:pPr>
              <w:widowControl/>
              <w:spacing w:line="360" w:lineRule="auto"/>
              <w:jc w:val="left"/>
              <w:rPr>
                <w:rFonts w:ascii="宋体" w:hAnsi="宋体" w:cs="宋体"/>
                <w:szCs w:val="21"/>
              </w:rPr>
            </w:pPr>
            <w:r>
              <w:rPr>
                <w:rFonts w:hint="eastAsia" w:ascii="宋体" w:hAnsi="宋体" w:cs="宋体"/>
                <w:szCs w:val="21"/>
              </w:rPr>
              <w:t>服务能力</w:t>
            </w:r>
          </w:p>
        </w:tc>
        <w:tc>
          <w:tcPr>
            <w:tcW w:w="3705" w:type="pct"/>
            <w:tcBorders>
              <w:top w:val="single" w:color="auto" w:sz="4" w:space="0"/>
              <w:left w:val="single" w:color="auto" w:sz="4" w:space="0"/>
              <w:bottom w:val="single" w:color="auto" w:sz="4" w:space="0"/>
              <w:right w:val="single" w:color="auto" w:sz="4" w:space="0"/>
            </w:tcBorders>
            <w:vAlign w:val="center"/>
          </w:tcPr>
          <w:p w14:paraId="7B022939">
            <w:pPr>
              <w:spacing w:line="360" w:lineRule="auto"/>
              <w:rPr>
                <w:rFonts w:ascii="宋体" w:hAnsi="宋体" w:cs="宋体"/>
                <w:szCs w:val="21"/>
              </w:rPr>
            </w:pPr>
            <w:r>
              <w:rPr>
                <w:rFonts w:hint="eastAsia" w:ascii="宋体" w:hAnsi="宋体" w:cs="宋体"/>
                <w:szCs w:val="21"/>
              </w:rPr>
              <w:t>可以通过交换机将专有网络的私有 IP 地址划分成一个或多个子网</w:t>
            </w:r>
          </w:p>
        </w:tc>
        <w:tc>
          <w:tcPr>
            <w:tcW w:w="686" w:type="pct"/>
            <w:tcBorders>
              <w:top w:val="single" w:color="auto" w:sz="4" w:space="0"/>
              <w:left w:val="single" w:color="auto" w:sz="4" w:space="0"/>
              <w:bottom w:val="single" w:color="auto" w:sz="4" w:space="0"/>
              <w:right w:val="single" w:color="auto" w:sz="4" w:space="0"/>
            </w:tcBorders>
            <w:vAlign w:val="center"/>
          </w:tcPr>
          <w:p w14:paraId="64CA33C0">
            <w:pPr>
              <w:spacing w:line="360" w:lineRule="auto"/>
              <w:rPr>
                <w:rFonts w:ascii="宋体" w:hAnsi="宋体" w:cs="宋体"/>
                <w:szCs w:val="21"/>
              </w:rPr>
            </w:pPr>
          </w:p>
        </w:tc>
      </w:tr>
      <w:tr w14:paraId="4933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tcBorders>
              <w:left w:val="single" w:color="auto" w:sz="4" w:space="0"/>
              <w:right w:val="single" w:color="auto" w:sz="4" w:space="0"/>
            </w:tcBorders>
            <w:vAlign w:val="center"/>
          </w:tcPr>
          <w:p w14:paraId="69DB794F">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2650D600">
            <w:pPr>
              <w:spacing w:line="360" w:lineRule="auto"/>
              <w:rPr>
                <w:rFonts w:ascii="宋体" w:hAnsi="宋体" w:cs="宋体"/>
                <w:szCs w:val="21"/>
              </w:rPr>
            </w:pPr>
            <w:r>
              <w:rPr>
                <w:rFonts w:hint="eastAsia" w:ascii="宋体" w:hAnsi="宋体" w:cs="宋体"/>
                <w:szCs w:val="21"/>
              </w:rPr>
              <w:t>根据业务需求配置虚拟路由器的路由规则，管理专有网络流量的转发路径</w:t>
            </w:r>
          </w:p>
        </w:tc>
        <w:tc>
          <w:tcPr>
            <w:tcW w:w="686" w:type="pct"/>
            <w:tcBorders>
              <w:top w:val="single" w:color="auto" w:sz="4" w:space="0"/>
              <w:left w:val="single" w:color="auto" w:sz="4" w:space="0"/>
              <w:bottom w:val="single" w:color="auto" w:sz="4" w:space="0"/>
              <w:right w:val="single" w:color="auto" w:sz="4" w:space="0"/>
            </w:tcBorders>
            <w:vAlign w:val="center"/>
          </w:tcPr>
          <w:p w14:paraId="4FA7E4C7">
            <w:pPr>
              <w:spacing w:line="360" w:lineRule="auto"/>
              <w:rPr>
                <w:rFonts w:ascii="宋体" w:hAnsi="宋体" w:cs="宋体"/>
                <w:szCs w:val="21"/>
              </w:rPr>
            </w:pPr>
          </w:p>
        </w:tc>
      </w:tr>
      <w:tr w14:paraId="37F5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9" w:type="pct"/>
            <w:vMerge w:val="continue"/>
            <w:tcBorders>
              <w:left w:val="single" w:color="auto" w:sz="4" w:space="0"/>
              <w:right w:val="single" w:color="auto" w:sz="4" w:space="0"/>
            </w:tcBorders>
            <w:vAlign w:val="center"/>
          </w:tcPr>
          <w:p w14:paraId="185F4EC6">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44ACD259">
            <w:pPr>
              <w:spacing w:line="360" w:lineRule="auto"/>
              <w:rPr>
                <w:rFonts w:ascii="宋体" w:hAnsi="宋体" w:cs="宋体"/>
                <w:szCs w:val="21"/>
              </w:rPr>
            </w:pPr>
            <w:r>
              <w:rPr>
                <w:rFonts w:hint="eastAsia" w:ascii="宋体" w:hAnsi="宋体" w:cs="宋体"/>
                <w:szCs w:val="21"/>
              </w:rPr>
              <w:t>可以使用NAT网关作为</w:t>
            </w:r>
            <w:r>
              <w:rPr>
                <w:rFonts w:hint="eastAsia" w:ascii="宋体" w:hAnsi="宋体" w:cs="宋体"/>
                <w:szCs w:val="21"/>
                <w:lang w:eastAsia="zh-Hans"/>
              </w:rPr>
              <w:t>专有网络</w:t>
            </w:r>
            <w:r>
              <w:rPr>
                <w:rFonts w:hint="eastAsia" w:ascii="宋体" w:hAnsi="宋体" w:cs="宋体"/>
                <w:szCs w:val="21"/>
              </w:rPr>
              <w:t>的公网网关，实现 SNAT / DNAT / 共享带宽</w:t>
            </w:r>
          </w:p>
        </w:tc>
        <w:tc>
          <w:tcPr>
            <w:tcW w:w="686" w:type="pct"/>
            <w:tcBorders>
              <w:top w:val="single" w:color="auto" w:sz="4" w:space="0"/>
              <w:left w:val="single" w:color="auto" w:sz="4" w:space="0"/>
              <w:bottom w:val="single" w:color="auto" w:sz="4" w:space="0"/>
              <w:right w:val="single" w:color="auto" w:sz="4" w:space="0"/>
            </w:tcBorders>
            <w:vAlign w:val="center"/>
          </w:tcPr>
          <w:p w14:paraId="1D6F2BFB">
            <w:pPr>
              <w:spacing w:line="360" w:lineRule="auto"/>
              <w:rPr>
                <w:rFonts w:ascii="宋体" w:hAnsi="宋体" w:cs="宋体"/>
                <w:szCs w:val="21"/>
              </w:rPr>
            </w:pPr>
          </w:p>
        </w:tc>
      </w:tr>
      <w:tr w14:paraId="13F2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Merge w:val="continue"/>
            <w:tcBorders>
              <w:left w:val="single" w:color="auto" w:sz="4" w:space="0"/>
              <w:right w:val="single" w:color="auto" w:sz="4" w:space="0"/>
            </w:tcBorders>
            <w:vAlign w:val="center"/>
          </w:tcPr>
          <w:p w14:paraId="39126553">
            <w:pPr>
              <w:widowControl/>
              <w:spacing w:line="360" w:lineRule="auto"/>
              <w:jc w:val="left"/>
              <w:rPr>
                <w:rFonts w:ascii="宋体" w:hAnsi="宋体" w:cs="宋体"/>
                <w:szCs w:val="21"/>
              </w:rPr>
            </w:pPr>
          </w:p>
        </w:tc>
        <w:tc>
          <w:tcPr>
            <w:tcW w:w="3705" w:type="pct"/>
            <w:tcBorders>
              <w:top w:val="single" w:color="auto" w:sz="4" w:space="0"/>
              <w:left w:val="single" w:color="auto" w:sz="4" w:space="0"/>
              <w:bottom w:val="single" w:color="auto" w:sz="4" w:space="0"/>
              <w:right w:val="single" w:color="auto" w:sz="4" w:space="0"/>
            </w:tcBorders>
            <w:vAlign w:val="center"/>
          </w:tcPr>
          <w:p w14:paraId="0B493A8C">
            <w:pPr>
              <w:spacing w:line="360" w:lineRule="auto"/>
              <w:rPr>
                <w:rFonts w:ascii="宋体" w:hAnsi="宋体" w:cs="宋体"/>
                <w:szCs w:val="21"/>
              </w:rPr>
            </w:pPr>
            <w:r>
              <w:rPr>
                <w:rFonts w:hint="eastAsia" w:ascii="宋体" w:hAnsi="宋体" w:cs="宋体"/>
                <w:szCs w:val="21"/>
              </w:rPr>
              <w:t>支持自建VPN网关，弹性公网IP</w:t>
            </w:r>
          </w:p>
        </w:tc>
        <w:tc>
          <w:tcPr>
            <w:tcW w:w="686" w:type="pct"/>
            <w:tcBorders>
              <w:top w:val="single" w:color="auto" w:sz="4" w:space="0"/>
              <w:left w:val="single" w:color="auto" w:sz="4" w:space="0"/>
              <w:bottom w:val="single" w:color="auto" w:sz="4" w:space="0"/>
              <w:right w:val="single" w:color="auto" w:sz="4" w:space="0"/>
            </w:tcBorders>
            <w:vAlign w:val="center"/>
          </w:tcPr>
          <w:p w14:paraId="1A926602">
            <w:pPr>
              <w:spacing w:line="360" w:lineRule="auto"/>
              <w:rPr>
                <w:rFonts w:ascii="宋体" w:hAnsi="宋体" w:cs="宋体"/>
                <w:szCs w:val="21"/>
              </w:rPr>
            </w:pPr>
          </w:p>
        </w:tc>
      </w:tr>
    </w:tbl>
    <w:p w14:paraId="2B5240FA">
      <w:pPr>
        <w:pStyle w:val="23"/>
        <w:snapToGrid w:val="0"/>
        <w:ind w:firstLine="420" w:firstLineChars="200"/>
        <w:outlineLvl w:val="4"/>
        <w:rPr>
          <w:rFonts w:hAnsi="宋体" w:cs="宋体"/>
          <w:sz w:val="21"/>
        </w:rPr>
      </w:pPr>
      <w:r>
        <w:rPr>
          <w:rFonts w:hint="eastAsia" w:hAnsi="宋体" w:cs="宋体"/>
          <w:sz w:val="21"/>
        </w:rPr>
        <w:t>7.1.2.11实时计算</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6798"/>
        <w:gridCol w:w="1274"/>
      </w:tblGrid>
      <w:tr w14:paraId="7741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pct"/>
            <w:vAlign w:val="center"/>
          </w:tcPr>
          <w:p w14:paraId="4B6E2500">
            <w:pPr>
              <w:spacing w:line="360" w:lineRule="auto"/>
              <w:jc w:val="center"/>
              <w:rPr>
                <w:rFonts w:ascii="宋体" w:hAnsi="宋体" w:cs="宋体"/>
                <w:b/>
                <w:szCs w:val="21"/>
              </w:rPr>
            </w:pPr>
            <w:r>
              <w:rPr>
                <w:rFonts w:hint="eastAsia" w:ascii="宋体" w:hAnsi="宋体" w:cs="宋体"/>
                <w:b/>
                <w:szCs w:val="21"/>
              </w:rPr>
              <w:t>指标项</w:t>
            </w:r>
          </w:p>
        </w:tc>
        <w:tc>
          <w:tcPr>
            <w:tcW w:w="3659" w:type="pct"/>
            <w:vAlign w:val="center"/>
          </w:tcPr>
          <w:p w14:paraId="5EB33CE5">
            <w:pPr>
              <w:spacing w:line="360" w:lineRule="auto"/>
              <w:jc w:val="center"/>
              <w:rPr>
                <w:rFonts w:ascii="宋体" w:hAnsi="宋体" w:cs="宋体"/>
                <w:b/>
                <w:szCs w:val="21"/>
              </w:rPr>
            </w:pPr>
            <w:r>
              <w:rPr>
                <w:rFonts w:hint="eastAsia" w:ascii="宋体" w:hAnsi="宋体" w:cs="宋体"/>
                <w:b/>
                <w:szCs w:val="21"/>
              </w:rPr>
              <w:t>规格要求</w:t>
            </w:r>
          </w:p>
        </w:tc>
        <w:tc>
          <w:tcPr>
            <w:tcW w:w="686" w:type="pct"/>
            <w:vAlign w:val="center"/>
          </w:tcPr>
          <w:p w14:paraId="7E6C788F">
            <w:pPr>
              <w:spacing w:line="360" w:lineRule="auto"/>
              <w:jc w:val="center"/>
              <w:rPr>
                <w:rFonts w:ascii="宋体" w:hAnsi="宋体" w:cs="宋体"/>
                <w:b/>
                <w:szCs w:val="21"/>
              </w:rPr>
            </w:pPr>
            <w:r>
              <w:rPr>
                <w:rFonts w:hint="eastAsia" w:ascii="宋体" w:hAnsi="宋体" w:cs="宋体"/>
                <w:b/>
                <w:szCs w:val="21"/>
              </w:rPr>
              <w:t>备注</w:t>
            </w:r>
          </w:p>
        </w:tc>
      </w:tr>
      <w:tr w14:paraId="622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pct"/>
            <w:vAlign w:val="center"/>
          </w:tcPr>
          <w:p w14:paraId="640419EE">
            <w:pPr>
              <w:spacing w:line="360" w:lineRule="auto"/>
              <w:rPr>
                <w:rFonts w:ascii="宋体" w:hAnsi="宋体" w:cs="宋体"/>
                <w:szCs w:val="21"/>
              </w:rPr>
            </w:pPr>
            <w:r>
              <w:rPr>
                <w:rFonts w:hint="eastAsia" w:ascii="宋体" w:hAnsi="宋体" w:cs="宋体"/>
                <w:szCs w:val="21"/>
              </w:rPr>
              <w:t>服务标准</w:t>
            </w:r>
          </w:p>
        </w:tc>
        <w:tc>
          <w:tcPr>
            <w:tcW w:w="3659" w:type="pct"/>
            <w:vAlign w:val="center"/>
          </w:tcPr>
          <w:p w14:paraId="1E2DE0DF">
            <w:pPr>
              <w:spacing w:line="360" w:lineRule="auto"/>
              <w:rPr>
                <w:rFonts w:ascii="宋体" w:hAnsi="宋体" w:cs="宋体"/>
                <w:szCs w:val="21"/>
              </w:rPr>
            </w:pPr>
            <w:r>
              <w:rPr>
                <w:rFonts w:hint="eastAsia" w:ascii="宋体" w:hAnsi="宋体" w:cs="宋体"/>
                <w:szCs w:val="21"/>
              </w:rPr>
              <w:t>提供实时流数据计算服务的通用计算平台</w:t>
            </w:r>
          </w:p>
        </w:tc>
        <w:tc>
          <w:tcPr>
            <w:tcW w:w="686" w:type="pct"/>
            <w:vAlign w:val="center"/>
          </w:tcPr>
          <w:p w14:paraId="28459037">
            <w:pPr>
              <w:spacing w:line="360" w:lineRule="auto"/>
              <w:rPr>
                <w:rFonts w:ascii="宋体" w:hAnsi="宋体" w:cs="宋体"/>
                <w:szCs w:val="21"/>
              </w:rPr>
            </w:pPr>
          </w:p>
        </w:tc>
      </w:tr>
      <w:tr w14:paraId="4727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Merge w:val="restart"/>
            <w:vAlign w:val="center"/>
          </w:tcPr>
          <w:p w14:paraId="28CF5D6C">
            <w:pPr>
              <w:spacing w:line="360" w:lineRule="auto"/>
              <w:rPr>
                <w:rFonts w:ascii="宋体" w:hAnsi="宋体" w:cs="宋体"/>
                <w:szCs w:val="21"/>
              </w:rPr>
            </w:pPr>
            <w:r>
              <w:rPr>
                <w:rFonts w:hint="eastAsia" w:ascii="宋体" w:hAnsi="宋体" w:cs="宋体"/>
                <w:szCs w:val="21"/>
              </w:rPr>
              <w:t>服务特性</w:t>
            </w:r>
          </w:p>
        </w:tc>
        <w:tc>
          <w:tcPr>
            <w:tcW w:w="3659" w:type="pct"/>
            <w:vAlign w:val="center"/>
          </w:tcPr>
          <w:p w14:paraId="374E70C9">
            <w:pPr>
              <w:spacing w:line="360" w:lineRule="auto"/>
              <w:rPr>
                <w:rFonts w:ascii="宋体" w:hAnsi="宋体" w:cs="宋体"/>
                <w:szCs w:val="21"/>
              </w:rPr>
            </w:pPr>
            <w:r>
              <w:rPr>
                <w:rFonts w:hint="eastAsia" w:ascii="宋体" w:hAnsi="宋体" w:cs="宋体"/>
                <w:szCs w:val="21"/>
              </w:rPr>
              <w:t>数据采集和存储：对接多种上游的流式存储,例如:</w:t>
            </w:r>
            <w:r>
              <w:rPr>
                <w:rFonts w:hint="eastAsia" w:ascii="宋体" w:hAnsi="宋体" w:cs="宋体"/>
                <w:szCs w:val="21"/>
                <w:lang w:eastAsia="zh-Hans"/>
              </w:rPr>
              <w:t>实时数据分发服务</w:t>
            </w:r>
            <w:r>
              <w:rPr>
                <w:rFonts w:hint="eastAsia" w:ascii="宋体" w:hAnsi="宋体" w:cs="宋体"/>
                <w:szCs w:val="21"/>
              </w:rPr>
              <w:t>、LogService、IoTHub、</w:t>
            </w:r>
            <w:r>
              <w:rPr>
                <w:rFonts w:hint="eastAsia" w:ascii="宋体" w:hAnsi="宋体" w:cs="宋体"/>
                <w:szCs w:val="21"/>
                <w:lang w:eastAsia="zh-Hans"/>
              </w:rPr>
              <w:t>数据传输服务</w:t>
            </w:r>
            <w:r>
              <w:rPr>
                <w:rFonts w:hint="eastAsia" w:ascii="宋体" w:hAnsi="宋体" w:cs="宋体"/>
                <w:szCs w:val="21"/>
              </w:rPr>
              <w:t>和</w:t>
            </w:r>
            <w:r>
              <w:rPr>
                <w:rFonts w:hint="eastAsia" w:ascii="宋体" w:hAnsi="宋体" w:cs="宋体"/>
                <w:szCs w:val="21"/>
                <w:lang w:eastAsia="zh-Hans"/>
              </w:rPr>
              <w:t>消息队列</w:t>
            </w:r>
            <w:r>
              <w:rPr>
                <w:rFonts w:hint="eastAsia" w:ascii="宋体" w:hAnsi="宋体" w:cs="宋体"/>
                <w:szCs w:val="21"/>
              </w:rPr>
              <w:t>,可以不用进行数据采集、数据集成,即可享受现有的数据流式存储；</w:t>
            </w:r>
          </w:p>
          <w:p w14:paraId="7AF8FAC7">
            <w:pPr>
              <w:spacing w:line="360" w:lineRule="auto"/>
              <w:rPr>
                <w:rFonts w:ascii="宋体" w:hAnsi="宋体" w:cs="宋体"/>
                <w:szCs w:val="21"/>
              </w:rPr>
            </w:pPr>
            <w:r>
              <w:rPr>
                <w:rFonts w:hint="eastAsia" w:ascii="宋体" w:hAnsi="宋体" w:cs="宋体"/>
                <w:szCs w:val="21"/>
              </w:rPr>
              <w:t>提供包括</w:t>
            </w:r>
            <w:r>
              <w:rPr>
                <w:rFonts w:hint="eastAsia" w:ascii="宋体" w:hAnsi="宋体" w:cs="宋体"/>
                <w:szCs w:val="21"/>
                <w:lang w:eastAsia="zh-Hans"/>
              </w:rPr>
              <w:t>关系型数据库</w:t>
            </w:r>
            <w:r>
              <w:rPr>
                <w:rFonts w:hint="eastAsia" w:ascii="宋体" w:hAnsi="宋体" w:cs="宋体"/>
                <w:szCs w:val="21"/>
              </w:rPr>
              <w:t>、</w:t>
            </w:r>
            <w:r>
              <w:rPr>
                <w:rFonts w:hint="eastAsia" w:ascii="宋体" w:hAnsi="宋体" w:cs="宋体"/>
                <w:szCs w:val="21"/>
                <w:lang w:eastAsia="zh-Hans"/>
              </w:rPr>
              <w:t>数据仓库</w:t>
            </w:r>
            <w:r>
              <w:rPr>
                <w:rFonts w:hint="eastAsia" w:ascii="宋体" w:hAnsi="宋体" w:cs="宋体"/>
                <w:szCs w:val="21"/>
              </w:rPr>
              <w:t>、</w:t>
            </w:r>
            <w:r>
              <w:rPr>
                <w:rFonts w:hint="eastAsia" w:ascii="宋体" w:hAnsi="宋体" w:cs="宋体"/>
                <w:szCs w:val="21"/>
                <w:lang w:eastAsia="zh-Hans"/>
              </w:rPr>
              <w:t>表存储</w:t>
            </w:r>
            <w:r>
              <w:rPr>
                <w:rFonts w:hint="eastAsia" w:ascii="宋体" w:hAnsi="宋体" w:cs="宋体"/>
                <w:szCs w:val="21"/>
                <w:u w:val="single"/>
                <w:lang w:eastAsia="zh-Hans"/>
              </w:rPr>
              <w:t>格</w:t>
            </w:r>
            <w:r>
              <w:rPr>
                <w:rFonts w:hint="eastAsia" w:ascii="宋体" w:hAnsi="宋体" w:cs="宋体"/>
                <w:szCs w:val="21"/>
              </w:rPr>
              <w:t>等数据存储系统的管理界面；</w:t>
            </w:r>
          </w:p>
        </w:tc>
        <w:tc>
          <w:tcPr>
            <w:tcW w:w="686" w:type="pct"/>
            <w:vAlign w:val="center"/>
          </w:tcPr>
          <w:p w14:paraId="5203BDB0">
            <w:pPr>
              <w:spacing w:line="360" w:lineRule="auto"/>
              <w:rPr>
                <w:rFonts w:ascii="宋体" w:hAnsi="宋体" w:cs="宋体"/>
                <w:szCs w:val="21"/>
              </w:rPr>
            </w:pPr>
          </w:p>
        </w:tc>
      </w:tr>
      <w:tr w14:paraId="79F7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5" w:type="pct"/>
            <w:vMerge w:val="continue"/>
            <w:vAlign w:val="center"/>
          </w:tcPr>
          <w:p w14:paraId="2EDD2EDA">
            <w:pPr>
              <w:widowControl/>
              <w:spacing w:line="360" w:lineRule="auto"/>
              <w:jc w:val="left"/>
              <w:rPr>
                <w:rFonts w:ascii="宋体" w:hAnsi="宋体" w:cs="宋体"/>
                <w:szCs w:val="21"/>
              </w:rPr>
            </w:pPr>
          </w:p>
        </w:tc>
        <w:tc>
          <w:tcPr>
            <w:tcW w:w="3659" w:type="pct"/>
            <w:vAlign w:val="center"/>
          </w:tcPr>
          <w:p w14:paraId="7C151029">
            <w:pPr>
              <w:spacing w:line="360" w:lineRule="auto"/>
              <w:rPr>
                <w:rFonts w:ascii="宋体" w:hAnsi="宋体" w:cs="宋体"/>
                <w:szCs w:val="21"/>
              </w:rPr>
            </w:pPr>
            <w:r>
              <w:rPr>
                <w:rFonts w:hint="eastAsia" w:ascii="宋体" w:hAnsi="宋体" w:cs="宋体"/>
                <w:szCs w:val="21"/>
              </w:rPr>
              <w:t>数据开发：提供全托管的在线开发平台,集成多种SQL辅助功能,包括</w:t>
            </w:r>
            <w:r>
              <w:rPr>
                <w:rFonts w:hint="eastAsia" w:ascii="宋体" w:hAnsi="宋体" w:cs="宋体"/>
                <w:szCs w:val="21"/>
                <w:lang w:eastAsia="zh-Hans"/>
              </w:rPr>
              <w:t>实时计算</w:t>
            </w:r>
            <w:r>
              <w:rPr>
                <w:rFonts w:hint="eastAsia" w:ascii="宋体" w:hAnsi="宋体" w:cs="宋体"/>
                <w:szCs w:val="21"/>
              </w:rPr>
              <w:t>语法检查、智能提示和语法高亮</w:t>
            </w:r>
          </w:p>
        </w:tc>
        <w:tc>
          <w:tcPr>
            <w:tcW w:w="686" w:type="pct"/>
            <w:vAlign w:val="center"/>
          </w:tcPr>
          <w:p w14:paraId="0AF77971">
            <w:pPr>
              <w:spacing w:line="360" w:lineRule="auto"/>
              <w:rPr>
                <w:rFonts w:ascii="宋体" w:hAnsi="宋体" w:cs="宋体"/>
                <w:szCs w:val="21"/>
              </w:rPr>
            </w:pPr>
          </w:p>
        </w:tc>
      </w:tr>
      <w:tr w14:paraId="4D8D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5" w:type="pct"/>
            <w:vMerge w:val="continue"/>
            <w:vAlign w:val="center"/>
          </w:tcPr>
          <w:p w14:paraId="671EBE24">
            <w:pPr>
              <w:widowControl/>
              <w:spacing w:line="360" w:lineRule="auto"/>
              <w:jc w:val="left"/>
              <w:rPr>
                <w:rFonts w:ascii="宋体" w:hAnsi="宋体" w:cs="宋体"/>
                <w:szCs w:val="21"/>
              </w:rPr>
            </w:pPr>
          </w:p>
        </w:tc>
        <w:tc>
          <w:tcPr>
            <w:tcW w:w="3659" w:type="pct"/>
            <w:vAlign w:val="center"/>
          </w:tcPr>
          <w:p w14:paraId="40B57CB1">
            <w:pPr>
              <w:spacing w:line="360" w:lineRule="auto"/>
              <w:rPr>
                <w:rFonts w:ascii="宋体" w:hAnsi="宋体" w:cs="宋体"/>
                <w:szCs w:val="21"/>
              </w:rPr>
            </w:pPr>
            <w:r>
              <w:rPr>
                <w:rFonts w:hint="eastAsia" w:ascii="宋体" w:hAnsi="宋体" w:cs="宋体"/>
                <w:szCs w:val="21"/>
              </w:rPr>
              <w:t>数据运维：提供以下运维监控功能:作业状态、数据曲线、FailOver、CheckPoints、JobManager、TaskExecutor、血缘关系和属性参数</w:t>
            </w:r>
          </w:p>
        </w:tc>
        <w:tc>
          <w:tcPr>
            <w:tcW w:w="686" w:type="pct"/>
            <w:vAlign w:val="center"/>
          </w:tcPr>
          <w:p w14:paraId="15C48D94">
            <w:pPr>
              <w:spacing w:line="360" w:lineRule="auto"/>
              <w:rPr>
                <w:rFonts w:ascii="宋体" w:hAnsi="宋体" w:cs="宋体"/>
                <w:szCs w:val="21"/>
              </w:rPr>
            </w:pPr>
          </w:p>
        </w:tc>
      </w:tr>
      <w:tr w14:paraId="573F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5" w:type="pct"/>
            <w:vMerge w:val="continue"/>
            <w:vAlign w:val="center"/>
          </w:tcPr>
          <w:p w14:paraId="6350014E">
            <w:pPr>
              <w:widowControl/>
              <w:spacing w:line="360" w:lineRule="auto"/>
              <w:jc w:val="left"/>
              <w:rPr>
                <w:rFonts w:ascii="宋体" w:hAnsi="宋体" w:cs="宋体"/>
                <w:szCs w:val="21"/>
              </w:rPr>
            </w:pPr>
          </w:p>
        </w:tc>
        <w:tc>
          <w:tcPr>
            <w:tcW w:w="3659" w:type="pct"/>
            <w:vAlign w:val="center"/>
          </w:tcPr>
          <w:p w14:paraId="0AA3248D">
            <w:pPr>
              <w:spacing w:line="360" w:lineRule="auto"/>
              <w:rPr>
                <w:rFonts w:ascii="宋体" w:hAnsi="宋体" w:cs="宋体"/>
                <w:szCs w:val="21"/>
              </w:rPr>
            </w:pPr>
            <w:r>
              <w:rPr>
                <w:rFonts w:hint="eastAsia" w:ascii="宋体" w:hAnsi="宋体" w:cs="宋体"/>
                <w:szCs w:val="21"/>
              </w:rPr>
              <w:t>性能调优：支持手动和自动调优方式；</w:t>
            </w:r>
          </w:p>
        </w:tc>
        <w:tc>
          <w:tcPr>
            <w:tcW w:w="686" w:type="pct"/>
            <w:vAlign w:val="center"/>
          </w:tcPr>
          <w:p w14:paraId="755571F6">
            <w:pPr>
              <w:spacing w:line="360" w:lineRule="auto"/>
              <w:rPr>
                <w:rFonts w:ascii="宋体" w:hAnsi="宋体" w:cs="宋体"/>
                <w:szCs w:val="21"/>
              </w:rPr>
            </w:pPr>
          </w:p>
        </w:tc>
      </w:tr>
      <w:tr w14:paraId="5B06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55" w:type="pct"/>
            <w:vMerge w:val="continue"/>
            <w:vAlign w:val="center"/>
          </w:tcPr>
          <w:p w14:paraId="2933FB68">
            <w:pPr>
              <w:widowControl/>
              <w:spacing w:line="360" w:lineRule="auto"/>
              <w:jc w:val="left"/>
              <w:rPr>
                <w:rFonts w:ascii="宋体" w:hAnsi="宋体" w:cs="宋体"/>
                <w:szCs w:val="21"/>
              </w:rPr>
            </w:pPr>
          </w:p>
        </w:tc>
        <w:tc>
          <w:tcPr>
            <w:tcW w:w="3659" w:type="pct"/>
            <w:vAlign w:val="center"/>
          </w:tcPr>
          <w:p w14:paraId="696667A0">
            <w:pPr>
              <w:spacing w:line="360" w:lineRule="auto"/>
              <w:rPr>
                <w:rFonts w:ascii="宋体" w:hAnsi="宋体" w:cs="宋体"/>
                <w:szCs w:val="21"/>
              </w:rPr>
            </w:pPr>
            <w:r>
              <w:rPr>
                <w:rFonts w:hint="eastAsia" w:ascii="宋体" w:hAnsi="宋体" w:cs="宋体"/>
                <w:szCs w:val="21"/>
              </w:rPr>
              <w:t>数据监控：对接云监控平台，提供实时监控服务；</w:t>
            </w:r>
          </w:p>
        </w:tc>
        <w:tc>
          <w:tcPr>
            <w:tcW w:w="686" w:type="pct"/>
            <w:vAlign w:val="center"/>
          </w:tcPr>
          <w:p w14:paraId="338C51AF">
            <w:pPr>
              <w:spacing w:line="360" w:lineRule="auto"/>
              <w:rPr>
                <w:rFonts w:ascii="宋体" w:hAnsi="宋体" w:cs="宋体"/>
                <w:szCs w:val="21"/>
              </w:rPr>
            </w:pPr>
          </w:p>
        </w:tc>
      </w:tr>
      <w:tr w14:paraId="0083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55" w:type="pct"/>
            <w:vMerge w:val="restart"/>
            <w:vAlign w:val="center"/>
          </w:tcPr>
          <w:p w14:paraId="5BB73814">
            <w:pPr>
              <w:widowControl/>
              <w:spacing w:line="360" w:lineRule="auto"/>
              <w:jc w:val="left"/>
              <w:rPr>
                <w:rFonts w:ascii="宋体" w:hAnsi="宋体" w:cs="宋体"/>
                <w:szCs w:val="21"/>
              </w:rPr>
            </w:pPr>
            <w:r>
              <w:rPr>
                <w:rFonts w:hint="eastAsia" w:ascii="宋体" w:hAnsi="宋体" w:cs="宋体"/>
                <w:szCs w:val="21"/>
              </w:rPr>
              <w:t>服务能力</w:t>
            </w:r>
          </w:p>
        </w:tc>
        <w:tc>
          <w:tcPr>
            <w:tcW w:w="3659" w:type="pct"/>
            <w:vAlign w:val="center"/>
          </w:tcPr>
          <w:p w14:paraId="252133DE">
            <w:pPr>
              <w:spacing w:line="360" w:lineRule="auto"/>
              <w:rPr>
                <w:rFonts w:ascii="宋体" w:hAnsi="宋体" w:cs="宋体"/>
                <w:szCs w:val="21"/>
              </w:rPr>
            </w:pPr>
            <w:r>
              <w:rPr>
                <w:rFonts w:hint="eastAsia" w:ascii="宋体" w:hAnsi="宋体" w:cs="宋体"/>
                <w:szCs w:val="21"/>
              </w:rPr>
              <w:t>强大的实时处理能力：提供标准的StreamSQL，支持各类失败场景的自动恢复，支持多种内建的字符串、时间、统计等类型函数，精确的计算资源控制,彻底保证您的作业的隔离性</w:t>
            </w:r>
          </w:p>
        </w:tc>
        <w:tc>
          <w:tcPr>
            <w:tcW w:w="686" w:type="pct"/>
            <w:vAlign w:val="center"/>
          </w:tcPr>
          <w:p w14:paraId="1B7A8388">
            <w:pPr>
              <w:spacing w:line="360" w:lineRule="auto"/>
              <w:rPr>
                <w:rFonts w:ascii="宋体" w:hAnsi="宋体" w:cs="宋体"/>
                <w:szCs w:val="21"/>
              </w:rPr>
            </w:pPr>
          </w:p>
        </w:tc>
      </w:tr>
      <w:tr w14:paraId="5F83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pct"/>
            <w:vMerge w:val="continue"/>
            <w:vAlign w:val="center"/>
          </w:tcPr>
          <w:p w14:paraId="6EA5D70F">
            <w:pPr>
              <w:widowControl/>
              <w:spacing w:line="360" w:lineRule="auto"/>
              <w:jc w:val="left"/>
              <w:rPr>
                <w:rFonts w:ascii="宋体" w:hAnsi="宋体" w:cs="宋体"/>
                <w:szCs w:val="21"/>
              </w:rPr>
            </w:pPr>
          </w:p>
        </w:tc>
        <w:tc>
          <w:tcPr>
            <w:tcW w:w="3659" w:type="pct"/>
            <w:vAlign w:val="center"/>
          </w:tcPr>
          <w:p w14:paraId="635AB461">
            <w:pPr>
              <w:spacing w:line="360" w:lineRule="auto"/>
              <w:rPr>
                <w:rFonts w:ascii="宋体" w:hAnsi="宋体" w:cs="宋体"/>
                <w:szCs w:val="21"/>
              </w:rPr>
            </w:pPr>
            <w:r>
              <w:rPr>
                <w:rFonts w:hint="eastAsia" w:ascii="宋体" w:hAnsi="宋体" w:cs="宋体"/>
                <w:szCs w:val="21"/>
              </w:rPr>
              <w:t>良好的流式开发体验：支持标准SQL，提供内建的字符串、时间、统计等各类计算函</w:t>
            </w:r>
          </w:p>
        </w:tc>
        <w:tc>
          <w:tcPr>
            <w:tcW w:w="686" w:type="pct"/>
            <w:vAlign w:val="center"/>
          </w:tcPr>
          <w:p w14:paraId="1F188B62">
            <w:pPr>
              <w:spacing w:line="360" w:lineRule="auto"/>
              <w:rPr>
                <w:rFonts w:ascii="宋体" w:hAnsi="宋体" w:cs="宋体"/>
                <w:szCs w:val="21"/>
              </w:rPr>
            </w:pPr>
          </w:p>
        </w:tc>
      </w:tr>
      <w:tr w14:paraId="7A51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55" w:type="pct"/>
            <w:vMerge w:val="continue"/>
            <w:vAlign w:val="center"/>
          </w:tcPr>
          <w:p w14:paraId="45EDA5DC">
            <w:pPr>
              <w:widowControl/>
              <w:spacing w:line="360" w:lineRule="auto"/>
              <w:jc w:val="left"/>
              <w:rPr>
                <w:rFonts w:ascii="宋体" w:hAnsi="宋体" w:cs="宋体"/>
                <w:szCs w:val="21"/>
              </w:rPr>
            </w:pPr>
          </w:p>
        </w:tc>
        <w:tc>
          <w:tcPr>
            <w:tcW w:w="3659" w:type="pct"/>
            <w:vAlign w:val="center"/>
          </w:tcPr>
          <w:p w14:paraId="04D8DFEA">
            <w:pPr>
              <w:spacing w:line="360" w:lineRule="auto"/>
              <w:rPr>
                <w:rFonts w:ascii="宋体" w:hAnsi="宋体" w:cs="宋体"/>
                <w:szCs w:val="21"/>
              </w:rPr>
            </w:pPr>
            <w:r>
              <w:rPr>
                <w:rFonts w:hint="eastAsia" w:ascii="宋体" w:hAnsi="宋体" w:cs="宋体"/>
                <w:szCs w:val="21"/>
              </w:rPr>
              <w:t>低廉的人力和集群成本：大量优化的SQL执行引擎,会产生比手写原生Storm任务更高效且更廉价的计算任务</w:t>
            </w:r>
          </w:p>
        </w:tc>
        <w:tc>
          <w:tcPr>
            <w:tcW w:w="686" w:type="pct"/>
            <w:vAlign w:val="center"/>
          </w:tcPr>
          <w:p w14:paraId="42891941">
            <w:pPr>
              <w:spacing w:line="360" w:lineRule="auto"/>
              <w:rPr>
                <w:rFonts w:ascii="宋体" w:hAnsi="宋体" w:cs="宋体"/>
                <w:szCs w:val="21"/>
              </w:rPr>
            </w:pPr>
          </w:p>
        </w:tc>
      </w:tr>
    </w:tbl>
    <w:p w14:paraId="6344EE92">
      <w:pPr>
        <w:pStyle w:val="23"/>
        <w:snapToGrid w:val="0"/>
        <w:ind w:firstLine="420" w:firstLineChars="200"/>
        <w:outlineLvl w:val="4"/>
        <w:rPr>
          <w:rFonts w:hAnsi="宋体" w:cs="宋体"/>
          <w:sz w:val="21"/>
        </w:rPr>
      </w:pPr>
      <w:r>
        <w:rPr>
          <w:rFonts w:hint="eastAsia" w:hAnsi="宋体" w:cs="宋体"/>
          <w:sz w:val="21"/>
        </w:rPr>
        <w:t>7.1.2.12实时数据分发平台</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688"/>
        <w:gridCol w:w="1416"/>
      </w:tblGrid>
      <w:tr w14:paraId="5D6E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Align w:val="center"/>
          </w:tcPr>
          <w:p w14:paraId="132FA103">
            <w:pPr>
              <w:spacing w:line="360" w:lineRule="auto"/>
              <w:jc w:val="center"/>
              <w:rPr>
                <w:rFonts w:ascii="宋体" w:hAnsi="宋体" w:cs="宋体"/>
                <w:b/>
                <w:szCs w:val="21"/>
              </w:rPr>
            </w:pPr>
            <w:r>
              <w:rPr>
                <w:rFonts w:hint="eastAsia" w:ascii="宋体" w:hAnsi="宋体" w:cs="宋体"/>
                <w:b/>
                <w:szCs w:val="21"/>
              </w:rPr>
              <w:t>指标项</w:t>
            </w:r>
          </w:p>
        </w:tc>
        <w:tc>
          <w:tcPr>
            <w:tcW w:w="3600" w:type="pct"/>
            <w:vAlign w:val="center"/>
          </w:tcPr>
          <w:p w14:paraId="6497F348">
            <w:pPr>
              <w:spacing w:line="360" w:lineRule="auto"/>
              <w:jc w:val="center"/>
              <w:rPr>
                <w:rFonts w:ascii="宋体" w:hAnsi="宋体" w:cs="宋体"/>
                <w:b/>
                <w:szCs w:val="21"/>
              </w:rPr>
            </w:pPr>
            <w:r>
              <w:rPr>
                <w:rFonts w:hint="eastAsia" w:ascii="宋体" w:hAnsi="宋体" w:cs="宋体"/>
                <w:b/>
                <w:szCs w:val="21"/>
              </w:rPr>
              <w:t>规格要求</w:t>
            </w:r>
          </w:p>
        </w:tc>
        <w:tc>
          <w:tcPr>
            <w:tcW w:w="762" w:type="pct"/>
            <w:vAlign w:val="center"/>
          </w:tcPr>
          <w:p w14:paraId="05A790A3">
            <w:pPr>
              <w:spacing w:line="360" w:lineRule="auto"/>
              <w:jc w:val="center"/>
              <w:rPr>
                <w:rFonts w:ascii="宋体" w:hAnsi="宋体" w:cs="宋体"/>
                <w:b/>
                <w:szCs w:val="21"/>
              </w:rPr>
            </w:pPr>
            <w:r>
              <w:rPr>
                <w:rFonts w:hint="eastAsia" w:ascii="宋体" w:hAnsi="宋体" w:cs="宋体"/>
                <w:b/>
                <w:szCs w:val="21"/>
              </w:rPr>
              <w:t>备注</w:t>
            </w:r>
          </w:p>
        </w:tc>
      </w:tr>
      <w:tr w14:paraId="23AA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Align w:val="center"/>
          </w:tcPr>
          <w:p w14:paraId="124C79FD">
            <w:pPr>
              <w:spacing w:line="360" w:lineRule="auto"/>
              <w:rPr>
                <w:rFonts w:ascii="宋体" w:hAnsi="宋体" w:cs="宋体"/>
                <w:szCs w:val="21"/>
              </w:rPr>
            </w:pPr>
            <w:r>
              <w:rPr>
                <w:rFonts w:hint="eastAsia" w:ascii="宋体" w:hAnsi="宋体" w:cs="宋体"/>
                <w:szCs w:val="21"/>
              </w:rPr>
              <w:t>服务标准</w:t>
            </w:r>
          </w:p>
        </w:tc>
        <w:tc>
          <w:tcPr>
            <w:tcW w:w="3600" w:type="pct"/>
            <w:vAlign w:val="center"/>
          </w:tcPr>
          <w:p w14:paraId="20C8425B">
            <w:pPr>
              <w:spacing w:line="360" w:lineRule="auto"/>
              <w:rPr>
                <w:rFonts w:ascii="宋体" w:hAnsi="宋体" w:cs="宋体"/>
                <w:szCs w:val="21"/>
              </w:rPr>
            </w:pPr>
            <w:r>
              <w:rPr>
                <w:rFonts w:hint="eastAsia" w:ascii="宋体" w:hAnsi="宋体" w:cs="宋体"/>
                <w:szCs w:val="21"/>
              </w:rPr>
              <w:t>提供对流式数据的发布(Publish)、订阅(Subscribe)及分发功能,让用户可以轻松构建基于流式数据的分析和应用</w:t>
            </w:r>
          </w:p>
        </w:tc>
        <w:tc>
          <w:tcPr>
            <w:tcW w:w="762" w:type="pct"/>
            <w:vAlign w:val="center"/>
          </w:tcPr>
          <w:p w14:paraId="7F4D63BF">
            <w:pPr>
              <w:spacing w:line="360" w:lineRule="auto"/>
              <w:rPr>
                <w:rFonts w:ascii="宋体" w:hAnsi="宋体" w:cs="宋体"/>
                <w:szCs w:val="21"/>
              </w:rPr>
            </w:pPr>
          </w:p>
        </w:tc>
      </w:tr>
      <w:tr w14:paraId="79CE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Merge w:val="restart"/>
            <w:vAlign w:val="center"/>
          </w:tcPr>
          <w:p w14:paraId="634A3E2D">
            <w:pPr>
              <w:spacing w:line="360" w:lineRule="auto"/>
              <w:rPr>
                <w:rFonts w:ascii="宋体" w:hAnsi="宋体" w:cs="宋体"/>
                <w:szCs w:val="21"/>
              </w:rPr>
            </w:pPr>
            <w:r>
              <w:rPr>
                <w:rFonts w:hint="eastAsia" w:ascii="宋体" w:hAnsi="宋体" w:cs="宋体"/>
                <w:szCs w:val="21"/>
              </w:rPr>
              <w:t>服务特性</w:t>
            </w:r>
          </w:p>
        </w:tc>
        <w:tc>
          <w:tcPr>
            <w:tcW w:w="3600" w:type="pct"/>
            <w:vAlign w:val="center"/>
          </w:tcPr>
          <w:p w14:paraId="2803A160">
            <w:pPr>
              <w:spacing w:line="360" w:lineRule="auto"/>
              <w:rPr>
                <w:rFonts w:ascii="宋体" w:hAnsi="宋体" w:cs="宋体"/>
                <w:szCs w:val="21"/>
              </w:rPr>
            </w:pPr>
            <w:r>
              <w:rPr>
                <w:rFonts w:hint="eastAsia" w:ascii="宋体" w:hAnsi="宋体" w:cs="宋体"/>
                <w:szCs w:val="21"/>
              </w:rPr>
              <w:t>数据队列：单shard内数据保序;对Shard的读/写性能提供SLA的保障;单topic的性能以shard数为单位水平扩展</w:t>
            </w:r>
          </w:p>
        </w:tc>
        <w:tc>
          <w:tcPr>
            <w:tcW w:w="762" w:type="pct"/>
            <w:vAlign w:val="center"/>
          </w:tcPr>
          <w:p w14:paraId="737F12E8">
            <w:pPr>
              <w:spacing w:line="360" w:lineRule="auto"/>
              <w:rPr>
                <w:rFonts w:ascii="宋体" w:hAnsi="宋体" w:cs="宋体"/>
                <w:szCs w:val="21"/>
              </w:rPr>
            </w:pPr>
          </w:p>
        </w:tc>
      </w:tr>
      <w:tr w14:paraId="381C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Merge w:val="continue"/>
            <w:vAlign w:val="center"/>
          </w:tcPr>
          <w:p w14:paraId="42C134B3">
            <w:pPr>
              <w:widowControl/>
              <w:spacing w:line="360" w:lineRule="auto"/>
              <w:jc w:val="left"/>
              <w:rPr>
                <w:rFonts w:ascii="宋体" w:hAnsi="宋体" w:cs="宋体"/>
                <w:szCs w:val="21"/>
              </w:rPr>
            </w:pPr>
          </w:p>
        </w:tc>
        <w:tc>
          <w:tcPr>
            <w:tcW w:w="3600" w:type="pct"/>
            <w:vAlign w:val="center"/>
          </w:tcPr>
          <w:p w14:paraId="59224264">
            <w:pPr>
              <w:spacing w:line="360" w:lineRule="auto"/>
              <w:rPr>
                <w:rFonts w:ascii="宋体" w:hAnsi="宋体" w:cs="宋体"/>
                <w:szCs w:val="21"/>
              </w:rPr>
            </w:pPr>
            <w:r>
              <w:rPr>
                <w:rFonts w:hint="eastAsia" w:ascii="宋体" w:hAnsi="宋体" w:cs="宋体"/>
                <w:szCs w:val="21"/>
              </w:rPr>
              <w:t>点位存储：支持消费应用将消费点位保存到</w:t>
            </w:r>
            <w:r>
              <w:rPr>
                <w:rFonts w:hint="eastAsia" w:ascii="宋体" w:hAnsi="宋体" w:cs="宋体"/>
                <w:szCs w:val="21"/>
                <w:lang w:eastAsia="zh-Hans"/>
              </w:rPr>
              <w:t>实时数据分发</w:t>
            </w:r>
            <w:r>
              <w:rPr>
                <w:rFonts w:hint="eastAsia" w:ascii="宋体" w:hAnsi="宋体" w:cs="宋体"/>
                <w:szCs w:val="21"/>
              </w:rPr>
              <w:t>服务,保证消费应用在Failover后可以从保存的点位进行消费。</w:t>
            </w:r>
          </w:p>
        </w:tc>
        <w:tc>
          <w:tcPr>
            <w:tcW w:w="762" w:type="pct"/>
            <w:vAlign w:val="center"/>
          </w:tcPr>
          <w:p w14:paraId="68B6CD6D">
            <w:pPr>
              <w:spacing w:line="360" w:lineRule="auto"/>
              <w:rPr>
                <w:rFonts w:ascii="宋体" w:hAnsi="宋体" w:cs="宋体"/>
                <w:szCs w:val="21"/>
              </w:rPr>
            </w:pPr>
          </w:p>
        </w:tc>
      </w:tr>
      <w:tr w14:paraId="3BFF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Merge w:val="continue"/>
            <w:vAlign w:val="center"/>
          </w:tcPr>
          <w:p w14:paraId="1491A987">
            <w:pPr>
              <w:widowControl/>
              <w:spacing w:line="360" w:lineRule="auto"/>
              <w:jc w:val="left"/>
              <w:rPr>
                <w:rFonts w:ascii="宋体" w:hAnsi="宋体" w:cs="宋体"/>
                <w:szCs w:val="21"/>
              </w:rPr>
            </w:pPr>
          </w:p>
        </w:tc>
        <w:tc>
          <w:tcPr>
            <w:tcW w:w="3600" w:type="pct"/>
            <w:vAlign w:val="center"/>
          </w:tcPr>
          <w:p w14:paraId="38C90AF1">
            <w:pPr>
              <w:spacing w:line="360" w:lineRule="auto"/>
              <w:rPr>
                <w:rFonts w:ascii="宋体" w:hAnsi="宋体" w:cs="宋体"/>
                <w:szCs w:val="21"/>
              </w:rPr>
            </w:pPr>
            <w:r>
              <w:rPr>
                <w:rFonts w:hint="eastAsia" w:ascii="宋体" w:hAnsi="宋体" w:cs="宋体"/>
                <w:szCs w:val="21"/>
              </w:rPr>
              <w:t>数据同步：数据自动同步到政务云其它服务,支持标done功能,确认某一个时间点之前的数据已经全部同步完成</w:t>
            </w:r>
          </w:p>
        </w:tc>
        <w:tc>
          <w:tcPr>
            <w:tcW w:w="762" w:type="pct"/>
            <w:vAlign w:val="center"/>
          </w:tcPr>
          <w:p w14:paraId="499AB59F">
            <w:pPr>
              <w:spacing w:line="360" w:lineRule="auto"/>
              <w:rPr>
                <w:rFonts w:ascii="宋体" w:hAnsi="宋体" w:cs="宋体"/>
                <w:szCs w:val="21"/>
              </w:rPr>
            </w:pPr>
          </w:p>
        </w:tc>
      </w:tr>
      <w:tr w14:paraId="0B32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38" w:type="pct"/>
            <w:vMerge w:val="continue"/>
            <w:vAlign w:val="center"/>
          </w:tcPr>
          <w:p w14:paraId="19761DFF">
            <w:pPr>
              <w:widowControl/>
              <w:spacing w:line="360" w:lineRule="auto"/>
              <w:jc w:val="left"/>
              <w:rPr>
                <w:rFonts w:ascii="宋体" w:hAnsi="宋体" w:cs="宋体"/>
                <w:szCs w:val="21"/>
              </w:rPr>
            </w:pPr>
          </w:p>
        </w:tc>
        <w:tc>
          <w:tcPr>
            <w:tcW w:w="3600" w:type="pct"/>
            <w:vAlign w:val="center"/>
          </w:tcPr>
          <w:p w14:paraId="3EAC1340">
            <w:pPr>
              <w:spacing w:line="360" w:lineRule="auto"/>
              <w:rPr>
                <w:rFonts w:ascii="宋体" w:hAnsi="宋体" w:cs="宋体"/>
                <w:szCs w:val="21"/>
              </w:rPr>
            </w:pPr>
            <w:r>
              <w:rPr>
                <w:rFonts w:hint="eastAsia" w:ascii="宋体" w:hAnsi="宋体" w:cs="宋体"/>
                <w:szCs w:val="21"/>
              </w:rPr>
              <w:t>扩容缩容Merge/Splits：支持为Topic动态扩容/缩容，提供服务弹性伸缩功能,用户可根据实时的流量调整Shard数量,来应对突发性的流量增长或达到节约资源的目的</w:t>
            </w:r>
          </w:p>
        </w:tc>
        <w:tc>
          <w:tcPr>
            <w:tcW w:w="762" w:type="pct"/>
            <w:vAlign w:val="center"/>
          </w:tcPr>
          <w:p w14:paraId="1E8E3205">
            <w:pPr>
              <w:spacing w:line="360" w:lineRule="auto"/>
              <w:rPr>
                <w:rFonts w:ascii="宋体" w:hAnsi="宋体" w:cs="宋体"/>
                <w:szCs w:val="21"/>
              </w:rPr>
            </w:pPr>
          </w:p>
        </w:tc>
      </w:tr>
      <w:tr w14:paraId="49D4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38" w:type="pct"/>
            <w:vMerge w:val="restart"/>
            <w:vAlign w:val="center"/>
          </w:tcPr>
          <w:p w14:paraId="746639D6">
            <w:pPr>
              <w:spacing w:line="360" w:lineRule="auto"/>
              <w:jc w:val="left"/>
              <w:rPr>
                <w:rFonts w:ascii="宋体" w:hAnsi="宋体" w:cs="宋体"/>
                <w:szCs w:val="21"/>
              </w:rPr>
            </w:pPr>
            <w:r>
              <w:rPr>
                <w:rFonts w:hint="eastAsia" w:ascii="宋体" w:hAnsi="宋体" w:cs="宋体"/>
                <w:szCs w:val="21"/>
              </w:rPr>
              <w:t>服务能力</w:t>
            </w:r>
          </w:p>
        </w:tc>
        <w:tc>
          <w:tcPr>
            <w:tcW w:w="3600" w:type="pct"/>
            <w:vAlign w:val="center"/>
          </w:tcPr>
          <w:p w14:paraId="112BC404">
            <w:pPr>
              <w:spacing w:line="360" w:lineRule="auto"/>
              <w:rPr>
                <w:rFonts w:ascii="宋体" w:hAnsi="宋体" w:cs="宋体"/>
                <w:szCs w:val="21"/>
              </w:rPr>
            </w:pPr>
            <w:r>
              <w:rPr>
                <w:rFonts w:hint="eastAsia" w:ascii="宋体" w:hAnsi="宋体" w:cs="宋体"/>
                <w:szCs w:val="21"/>
              </w:rPr>
              <w:t>高吞吐：单主题 ( Topic ) 最高支持每日TB级别的数据量写入;每个分片 ( Shard ) 最高支持每日8000万Record级别的数据量写入</w:t>
            </w:r>
          </w:p>
        </w:tc>
        <w:tc>
          <w:tcPr>
            <w:tcW w:w="762" w:type="pct"/>
            <w:vAlign w:val="center"/>
          </w:tcPr>
          <w:p w14:paraId="1820A57D">
            <w:pPr>
              <w:spacing w:line="360" w:lineRule="auto"/>
              <w:rPr>
                <w:rFonts w:ascii="宋体" w:hAnsi="宋体" w:cs="宋体"/>
                <w:szCs w:val="21"/>
              </w:rPr>
            </w:pPr>
          </w:p>
        </w:tc>
      </w:tr>
      <w:tr w14:paraId="6F61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Merge w:val="continue"/>
            <w:vAlign w:val="center"/>
          </w:tcPr>
          <w:p w14:paraId="0E420139">
            <w:pPr>
              <w:spacing w:line="360" w:lineRule="auto"/>
              <w:jc w:val="left"/>
              <w:rPr>
                <w:rFonts w:ascii="宋体" w:hAnsi="宋体" w:cs="宋体"/>
                <w:szCs w:val="21"/>
              </w:rPr>
            </w:pPr>
          </w:p>
        </w:tc>
        <w:tc>
          <w:tcPr>
            <w:tcW w:w="3600" w:type="pct"/>
            <w:vAlign w:val="center"/>
          </w:tcPr>
          <w:p w14:paraId="623F81EA">
            <w:pPr>
              <w:spacing w:line="360" w:lineRule="auto"/>
              <w:rPr>
                <w:rFonts w:ascii="宋体" w:hAnsi="宋体" w:cs="宋体"/>
                <w:szCs w:val="21"/>
              </w:rPr>
            </w:pPr>
            <w:r>
              <w:rPr>
                <w:rFonts w:hint="eastAsia" w:ascii="宋体" w:hAnsi="宋体" w:cs="宋体"/>
                <w:szCs w:val="21"/>
              </w:rPr>
              <w:t>实时性：通过</w:t>
            </w:r>
            <w:r>
              <w:rPr>
                <w:rFonts w:hint="eastAsia" w:ascii="宋体" w:hAnsi="宋体" w:cs="宋体"/>
                <w:szCs w:val="21"/>
                <w:lang w:eastAsia="zh-Hans"/>
              </w:rPr>
              <w:t>实时数据分发服务</w:t>
            </w:r>
            <w:r>
              <w:rPr>
                <w:rFonts w:hint="eastAsia" w:ascii="宋体" w:hAnsi="宋体" w:cs="宋体"/>
                <w:szCs w:val="21"/>
              </w:rPr>
              <w:t>,用户可以实时的收集通过各种方式生成的数据并进行实时的处理,对用户的业务产生快速的响应</w:t>
            </w:r>
          </w:p>
        </w:tc>
        <w:tc>
          <w:tcPr>
            <w:tcW w:w="762" w:type="pct"/>
            <w:vAlign w:val="center"/>
          </w:tcPr>
          <w:p w14:paraId="2BE5ACD6">
            <w:pPr>
              <w:spacing w:line="360" w:lineRule="auto"/>
              <w:rPr>
                <w:rFonts w:ascii="宋体" w:hAnsi="宋体" w:cs="宋体"/>
                <w:szCs w:val="21"/>
              </w:rPr>
            </w:pPr>
          </w:p>
        </w:tc>
      </w:tr>
      <w:tr w14:paraId="46C8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38" w:type="pct"/>
            <w:vMerge w:val="continue"/>
            <w:vAlign w:val="center"/>
          </w:tcPr>
          <w:p w14:paraId="16685B6F">
            <w:pPr>
              <w:spacing w:line="360" w:lineRule="auto"/>
              <w:jc w:val="left"/>
              <w:rPr>
                <w:rFonts w:ascii="宋体" w:hAnsi="宋体" w:cs="宋体"/>
                <w:szCs w:val="21"/>
              </w:rPr>
            </w:pPr>
          </w:p>
        </w:tc>
        <w:tc>
          <w:tcPr>
            <w:tcW w:w="3600" w:type="pct"/>
            <w:vAlign w:val="center"/>
          </w:tcPr>
          <w:p w14:paraId="7773A9F3">
            <w:pPr>
              <w:spacing w:line="360" w:lineRule="auto"/>
              <w:rPr>
                <w:rFonts w:ascii="宋体" w:hAnsi="宋体" w:cs="宋体"/>
                <w:szCs w:val="21"/>
              </w:rPr>
            </w:pPr>
            <w:r>
              <w:rPr>
                <w:rFonts w:hint="eastAsia" w:ascii="宋体" w:hAnsi="宋体" w:cs="宋体"/>
                <w:szCs w:val="21"/>
              </w:rPr>
              <w:t>易用性：提供丰富的SDK包,包括C++、Java、Pyhon、Ruby、Go等语言，提供Restful API规范；</w:t>
            </w:r>
          </w:p>
        </w:tc>
        <w:tc>
          <w:tcPr>
            <w:tcW w:w="762" w:type="pct"/>
            <w:vAlign w:val="center"/>
          </w:tcPr>
          <w:p w14:paraId="1F7136BC">
            <w:pPr>
              <w:spacing w:line="360" w:lineRule="auto"/>
              <w:rPr>
                <w:rFonts w:ascii="宋体" w:hAnsi="宋体" w:cs="宋体"/>
                <w:szCs w:val="21"/>
              </w:rPr>
            </w:pPr>
          </w:p>
        </w:tc>
      </w:tr>
      <w:tr w14:paraId="2B2F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8" w:type="pct"/>
            <w:vMerge w:val="continue"/>
            <w:vAlign w:val="center"/>
          </w:tcPr>
          <w:p w14:paraId="094C5671">
            <w:pPr>
              <w:widowControl/>
              <w:spacing w:line="360" w:lineRule="auto"/>
              <w:jc w:val="left"/>
              <w:rPr>
                <w:rFonts w:ascii="宋体" w:hAnsi="宋体" w:cs="宋体"/>
                <w:szCs w:val="21"/>
              </w:rPr>
            </w:pPr>
          </w:p>
        </w:tc>
        <w:tc>
          <w:tcPr>
            <w:tcW w:w="3600" w:type="pct"/>
            <w:vAlign w:val="center"/>
          </w:tcPr>
          <w:p w14:paraId="52A55BBE">
            <w:pPr>
              <w:spacing w:line="360" w:lineRule="auto"/>
              <w:rPr>
                <w:rFonts w:ascii="宋体" w:hAnsi="宋体" w:cs="宋体"/>
                <w:szCs w:val="21"/>
              </w:rPr>
            </w:pPr>
            <w:r>
              <w:rPr>
                <w:rFonts w:hint="eastAsia" w:ascii="宋体" w:hAnsi="宋体" w:cs="宋体"/>
                <w:szCs w:val="21"/>
              </w:rPr>
              <w:t>高可用、高安全：服务可用性不低于99.999%，数据持久性不低于99.999%，提供多种鉴权和授权机制及白名单、主子账号功能，提供企业级多层次安全防护,多用户资源隔离机制；</w:t>
            </w:r>
          </w:p>
        </w:tc>
        <w:tc>
          <w:tcPr>
            <w:tcW w:w="762" w:type="pct"/>
            <w:vAlign w:val="center"/>
          </w:tcPr>
          <w:p w14:paraId="2FA7DB2F">
            <w:pPr>
              <w:spacing w:line="360" w:lineRule="auto"/>
              <w:rPr>
                <w:rFonts w:ascii="宋体" w:hAnsi="宋体" w:cs="宋体"/>
                <w:szCs w:val="21"/>
              </w:rPr>
            </w:pPr>
          </w:p>
        </w:tc>
      </w:tr>
    </w:tbl>
    <w:p w14:paraId="092581CA">
      <w:pPr>
        <w:pStyle w:val="23"/>
        <w:snapToGrid w:val="0"/>
        <w:ind w:firstLine="420" w:firstLineChars="200"/>
        <w:outlineLvl w:val="4"/>
        <w:rPr>
          <w:rFonts w:hAnsi="宋体" w:cs="宋体"/>
          <w:sz w:val="21"/>
        </w:rPr>
      </w:pPr>
      <w:r>
        <w:rPr>
          <w:rFonts w:hint="eastAsia" w:hAnsi="宋体" w:cs="宋体"/>
          <w:sz w:val="21"/>
        </w:rPr>
        <w:t>7.1.2.13数据传输服务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6660"/>
        <w:gridCol w:w="1120"/>
      </w:tblGrid>
      <w:tr w14:paraId="3D63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14:paraId="5684A6B4">
            <w:pPr>
              <w:spacing w:line="360" w:lineRule="auto"/>
              <w:jc w:val="center"/>
              <w:rPr>
                <w:rFonts w:ascii="宋体" w:hAnsi="宋体" w:cs="宋体"/>
                <w:b/>
                <w:szCs w:val="21"/>
              </w:rPr>
            </w:pPr>
            <w:r>
              <w:rPr>
                <w:rFonts w:hint="eastAsia" w:ascii="宋体" w:hAnsi="宋体" w:cs="宋体"/>
                <w:b/>
                <w:szCs w:val="21"/>
              </w:rPr>
              <w:t>指标项</w:t>
            </w:r>
          </w:p>
        </w:tc>
        <w:tc>
          <w:tcPr>
            <w:tcW w:w="3585" w:type="pct"/>
            <w:tcBorders>
              <w:top w:val="single" w:color="auto" w:sz="4" w:space="0"/>
              <w:left w:val="single" w:color="auto" w:sz="4" w:space="0"/>
              <w:bottom w:val="single" w:color="auto" w:sz="4" w:space="0"/>
              <w:right w:val="single" w:color="auto" w:sz="4" w:space="0"/>
            </w:tcBorders>
            <w:vAlign w:val="center"/>
          </w:tcPr>
          <w:p w14:paraId="61382EE4">
            <w:pPr>
              <w:spacing w:line="360" w:lineRule="auto"/>
              <w:jc w:val="center"/>
              <w:rPr>
                <w:rFonts w:ascii="宋体" w:hAnsi="宋体" w:cs="宋体"/>
                <w:b/>
                <w:szCs w:val="21"/>
              </w:rPr>
            </w:pPr>
            <w:r>
              <w:rPr>
                <w:rFonts w:hint="eastAsia" w:ascii="宋体" w:hAnsi="宋体" w:cs="宋体"/>
                <w:b/>
                <w:szCs w:val="21"/>
              </w:rPr>
              <w:t>规格要求</w:t>
            </w:r>
          </w:p>
        </w:tc>
        <w:tc>
          <w:tcPr>
            <w:tcW w:w="603" w:type="pct"/>
            <w:tcBorders>
              <w:top w:val="single" w:color="auto" w:sz="4" w:space="0"/>
              <w:left w:val="single" w:color="auto" w:sz="4" w:space="0"/>
              <w:bottom w:val="single" w:color="auto" w:sz="4" w:space="0"/>
              <w:right w:val="single" w:color="auto" w:sz="4" w:space="0"/>
            </w:tcBorders>
            <w:vAlign w:val="center"/>
          </w:tcPr>
          <w:p w14:paraId="3F68D964">
            <w:pPr>
              <w:spacing w:line="360" w:lineRule="auto"/>
              <w:jc w:val="center"/>
              <w:rPr>
                <w:rFonts w:ascii="宋体" w:hAnsi="宋体" w:cs="宋体"/>
                <w:b/>
                <w:szCs w:val="21"/>
              </w:rPr>
            </w:pPr>
            <w:r>
              <w:rPr>
                <w:rFonts w:hint="eastAsia" w:ascii="宋体" w:hAnsi="宋体" w:cs="宋体"/>
                <w:b/>
                <w:szCs w:val="21"/>
              </w:rPr>
              <w:t>备注</w:t>
            </w:r>
          </w:p>
        </w:tc>
      </w:tr>
      <w:tr w14:paraId="7DC8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14:paraId="5EFE74FB">
            <w:pPr>
              <w:spacing w:line="360" w:lineRule="auto"/>
              <w:rPr>
                <w:rFonts w:ascii="宋体" w:hAnsi="宋体" w:cs="宋体"/>
                <w:szCs w:val="21"/>
              </w:rPr>
            </w:pPr>
            <w:r>
              <w:rPr>
                <w:rFonts w:hint="eastAsia" w:ascii="宋体" w:hAnsi="宋体" w:cs="宋体"/>
                <w:szCs w:val="21"/>
              </w:rPr>
              <w:t>服务标准</w:t>
            </w:r>
          </w:p>
        </w:tc>
        <w:tc>
          <w:tcPr>
            <w:tcW w:w="3585" w:type="pct"/>
            <w:tcBorders>
              <w:top w:val="single" w:color="auto" w:sz="4" w:space="0"/>
              <w:left w:val="single" w:color="auto" w:sz="4" w:space="0"/>
              <w:bottom w:val="single" w:color="auto" w:sz="4" w:space="0"/>
              <w:right w:val="single" w:color="auto" w:sz="4" w:space="0"/>
            </w:tcBorders>
            <w:vAlign w:val="center"/>
          </w:tcPr>
          <w:p w14:paraId="0A667C3A">
            <w:pPr>
              <w:spacing w:line="360" w:lineRule="auto"/>
              <w:rPr>
                <w:rFonts w:ascii="宋体" w:hAnsi="宋体" w:cs="宋体"/>
                <w:szCs w:val="21"/>
              </w:rPr>
            </w:pPr>
            <w:r>
              <w:rPr>
                <w:rFonts w:hint="eastAsia" w:ascii="宋体" w:hAnsi="宋体" w:cs="宋体"/>
                <w:szCs w:val="21"/>
              </w:rPr>
              <w:t>数据传输服务提供了数据迁移、数据实时订阅及数据实时同步等多种数据传输能</w:t>
            </w:r>
            <w:r>
              <w:rPr>
                <w:rFonts w:hint="eastAsia" w:ascii="宋体" w:hAnsi="宋体" w:cs="宋体"/>
                <w:szCs w:val="21"/>
                <w:lang w:eastAsia="zh-Hans"/>
              </w:rPr>
              <w:t>力</w:t>
            </w:r>
            <w:r>
              <w:rPr>
                <w:rFonts w:hint="eastAsia" w:ascii="宋体" w:hAnsi="宋体" w:cs="宋体"/>
                <w:szCs w:val="21"/>
              </w:rPr>
              <w:t>。通过数据传输服务可实现不停服数据迁移、数据异地灾备、跨境数据同步、缓存更新等多种业务应</w:t>
            </w:r>
            <w:r>
              <w:rPr>
                <w:rFonts w:hint="eastAsia" w:ascii="宋体" w:hAnsi="宋体" w:cs="宋体"/>
                <w:szCs w:val="21"/>
                <w:lang w:eastAsia="zh-Hans"/>
              </w:rPr>
              <w:t>用</w:t>
            </w:r>
            <w:r>
              <w:rPr>
                <w:rFonts w:hint="eastAsia" w:ascii="宋体" w:hAnsi="宋体" w:cs="宋体"/>
                <w:szCs w:val="21"/>
              </w:rPr>
              <w:t>场景，构建安全、可扩展、</w:t>
            </w:r>
            <w:r>
              <w:rPr>
                <w:rFonts w:hint="eastAsia" w:ascii="宋体" w:hAnsi="宋体" w:cs="宋体"/>
                <w:szCs w:val="21"/>
                <w:lang w:eastAsia="zh-Hans"/>
              </w:rPr>
              <w:t>高</w:t>
            </w:r>
            <w:r>
              <w:rPr>
                <w:rFonts w:hint="eastAsia" w:ascii="宋体" w:hAnsi="宋体" w:cs="宋体"/>
                <w:szCs w:val="21"/>
              </w:rPr>
              <w:t>可</w:t>
            </w:r>
            <w:r>
              <w:rPr>
                <w:rFonts w:hint="eastAsia" w:ascii="宋体" w:hAnsi="宋体" w:cs="宋体"/>
                <w:szCs w:val="21"/>
                <w:lang w:eastAsia="zh-Hans"/>
              </w:rPr>
              <w:t>用</w:t>
            </w:r>
            <w:r>
              <w:rPr>
                <w:rFonts w:hint="eastAsia" w:ascii="宋体" w:hAnsi="宋体" w:cs="宋体"/>
                <w:szCs w:val="21"/>
              </w:rPr>
              <w:t>的数据架构。</w:t>
            </w:r>
          </w:p>
        </w:tc>
        <w:tc>
          <w:tcPr>
            <w:tcW w:w="603" w:type="pct"/>
            <w:tcBorders>
              <w:top w:val="single" w:color="auto" w:sz="4" w:space="0"/>
              <w:left w:val="single" w:color="auto" w:sz="4" w:space="0"/>
              <w:bottom w:val="single" w:color="auto" w:sz="4" w:space="0"/>
              <w:right w:val="single" w:color="auto" w:sz="4" w:space="0"/>
            </w:tcBorders>
            <w:vAlign w:val="center"/>
          </w:tcPr>
          <w:p w14:paraId="75564345">
            <w:pPr>
              <w:spacing w:line="360" w:lineRule="auto"/>
              <w:rPr>
                <w:rFonts w:ascii="宋体" w:hAnsi="宋体" w:cs="宋体"/>
                <w:szCs w:val="21"/>
              </w:rPr>
            </w:pPr>
          </w:p>
        </w:tc>
      </w:tr>
      <w:tr w14:paraId="692C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2" w:type="pct"/>
            <w:vMerge w:val="restart"/>
            <w:tcBorders>
              <w:top w:val="single" w:color="auto" w:sz="4" w:space="0"/>
              <w:left w:val="single" w:color="auto" w:sz="4" w:space="0"/>
              <w:right w:val="single" w:color="auto" w:sz="4" w:space="0"/>
            </w:tcBorders>
            <w:vAlign w:val="center"/>
          </w:tcPr>
          <w:p w14:paraId="550E16D6">
            <w:pPr>
              <w:spacing w:line="360" w:lineRule="auto"/>
              <w:rPr>
                <w:rFonts w:ascii="宋体" w:hAnsi="宋体" w:cs="宋体"/>
                <w:szCs w:val="21"/>
              </w:rPr>
            </w:pPr>
            <w:r>
              <w:rPr>
                <w:rFonts w:hint="eastAsia" w:ascii="宋体" w:hAnsi="宋体" w:cs="宋体"/>
                <w:szCs w:val="21"/>
              </w:rPr>
              <w:t>服务特性</w:t>
            </w:r>
          </w:p>
        </w:tc>
        <w:tc>
          <w:tcPr>
            <w:tcW w:w="3585" w:type="pct"/>
            <w:tcBorders>
              <w:top w:val="single" w:color="auto" w:sz="4" w:space="0"/>
              <w:left w:val="single" w:color="auto" w:sz="4" w:space="0"/>
              <w:bottom w:val="single" w:color="auto" w:sz="4" w:space="0"/>
              <w:right w:val="single" w:color="auto" w:sz="4" w:space="0"/>
            </w:tcBorders>
            <w:vAlign w:val="center"/>
          </w:tcPr>
          <w:p w14:paraId="570B895E">
            <w:pPr>
              <w:spacing w:line="360" w:lineRule="auto"/>
              <w:rPr>
                <w:rFonts w:ascii="宋体" w:hAnsi="宋体" w:cs="宋体"/>
                <w:szCs w:val="21"/>
              </w:rPr>
            </w:pPr>
            <w:r>
              <w:rPr>
                <w:rFonts w:hint="eastAsia" w:ascii="宋体" w:hAnsi="宋体" w:cs="宋体"/>
                <w:szCs w:val="21"/>
              </w:rPr>
              <w:t>数据迁移</w:t>
            </w:r>
            <w:r>
              <w:rPr>
                <w:rFonts w:hint="eastAsia" w:ascii="宋体" w:hAnsi="宋体" w:cs="宋体"/>
                <w:szCs w:val="21"/>
                <w:lang w:eastAsia="zh-Hans"/>
              </w:rPr>
              <w:t>支</w:t>
            </w:r>
            <w:r>
              <w:rPr>
                <w:rFonts w:hint="eastAsia" w:ascii="宋体" w:hAnsi="宋体" w:cs="宋体"/>
                <w:szCs w:val="21"/>
              </w:rPr>
              <w:t>持多种数据源之间的数据迁移</w:t>
            </w:r>
          </w:p>
          <w:p w14:paraId="6E4CF9A4">
            <w:pPr>
              <w:spacing w:line="360" w:lineRule="auto"/>
              <w:rPr>
                <w:rFonts w:ascii="宋体" w:hAnsi="宋体" w:cs="宋体"/>
                <w:szCs w:val="21"/>
              </w:rPr>
            </w:pPr>
            <w:r>
              <w:rPr>
                <w:rFonts w:hint="eastAsia" w:ascii="宋体" w:hAnsi="宋体" w:cs="宋体"/>
                <w:szCs w:val="21"/>
              </w:rPr>
              <w:t>数据迁移</w:t>
            </w:r>
            <w:r>
              <w:rPr>
                <w:rFonts w:hint="eastAsia" w:ascii="宋体" w:hAnsi="宋体" w:cs="宋体"/>
                <w:szCs w:val="21"/>
                <w:lang w:eastAsia="zh-Hans"/>
              </w:rPr>
              <w:t>支</w:t>
            </w:r>
            <w:r>
              <w:rPr>
                <w:rFonts w:hint="eastAsia" w:ascii="宋体" w:hAnsi="宋体" w:cs="宋体"/>
                <w:szCs w:val="21"/>
              </w:rPr>
              <w:t>持的源实例类型包括：</w:t>
            </w:r>
          </w:p>
          <w:p w14:paraId="5D59DDBD">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云数据库</w:t>
            </w:r>
            <w:r>
              <w:rPr>
                <w:rFonts w:hint="eastAsia" w:ascii="宋体" w:hAnsi="宋体" w:cs="宋体"/>
                <w:szCs w:val="21"/>
              </w:rPr>
              <w:t>实例</w:t>
            </w:r>
          </w:p>
          <w:p w14:paraId="28BADBA3">
            <w:pPr>
              <w:spacing w:line="360" w:lineRule="auto"/>
              <w:rPr>
                <w:rFonts w:ascii="宋体" w:hAnsi="宋体" w:cs="宋体"/>
                <w:szCs w:val="21"/>
              </w:rPr>
            </w:pPr>
            <w:r>
              <w:rPr>
                <w:rFonts w:hint="eastAsia" w:ascii="宋体" w:hAnsi="宋体" w:cs="宋体"/>
                <w:szCs w:val="21"/>
              </w:rPr>
              <w:t>• Oracle数据库</w:t>
            </w:r>
          </w:p>
          <w:p w14:paraId="418825C3">
            <w:pPr>
              <w:spacing w:line="360" w:lineRule="auto"/>
              <w:rPr>
                <w:rFonts w:ascii="宋体" w:hAnsi="宋体" w:cs="宋体"/>
                <w:szCs w:val="21"/>
              </w:rPr>
            </w:pPr>
            <w:r>
              <w:rPr>
                <w:rFonts w:hint="eastAsia" w:ascii="宋体" w:hAnsi="宋体" w:cs="宋体"/>
                <w:szCs w:val="21"/>
              </w:rPr>
              <w:t>• 本地自建数据库</w:t>
            </w:r>
          </w:p>
          <w:p w14:paraId="6CC6949F">
            <w:pPr>
              <w:spacing w:line="360" w:lineRule="auto"/>
              <w:rPr>
                <w:rFonts w:ascii="宋体" w:hAnsi="宋体" w:cs="宋体"/>
                <w:szCs w:val="21"/>
              </w:rPr>
            </w:pPr>
            <w:r>
              <w:rPr>
                <w:rFonts w:hint="eastAsia" w:ascii="宋体" w:hAnsi="宋体" w:cs="宋体"/>
                <w:szCs w:val="21"/>
              </w:rPr>
              <w:t>数据迁移</w:t>
            </w:r>
            <w:r>
              <w:rPr>
                <w:rFonts w:hint="eastAsia" w:ascii="宋体" w:hAnsi="宋体" w:cs="宋体"/>
                <w:szCs w:val="21"/>
                <w:lang w:eastAsia="zh-Hans"/>
              </w:rPr>
              <w:t>支</w:t>
            </w:r>
            <w:r>
              <w:rPr>
                <w:rFonts w:hint="eastAsia" w:ascii="宋体" w:hAnsi="宋体" w:cs="宋体"/>
                <w:szCs w:val="21"/>
              </w:rPr>
              <w:t>持的</w:t>
            </w:r>
            <w:r>
              <w:rPr>
                <w:rFonts w:hint="eastAsia" w:ascii="宋体" w:hAnsi="宋体" w:cs="宋体"/>
                <w:szCs w:val="21"/>
                <w:lang w:eastAsia="zh-Hans"/>
              </w:rPr>
              <w:t>目</w:t>
            </w:r>
            <w:r>
              <w:rPr>
                <w:rFonts w:hint="eastAsia" w:ascii="宋体" w:hAnsi="宋体" w:cs="宋体"/>
                <w:szCs w:val="21"/>
              </w:rPr>
              <w:t>标实例包括：</w:t>
            </w:r>
          </w:p>
          <w:p w14:paraId="090D2327">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云数据库</w:t>
            </w:r>
            <w:r>
              <w:rPr>
                <w:rFonts w:hint="eastAsia" w:ascii="宋体" w:hAnsi="宋体" w:cs="宋体"/>
                <w:szCs w:val="21"/>
              </w:rPr>
              <w:t>实例</w:t>
            </w:r>
          </w:p>
          <w:p w14:paraId="46B1BAC9">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分布式关系型数据库</w:t>
            </w:r>
            <w:r>
              <w:rPr>
                <w:rFonts w:hint="eastAsia" w:ascii="宋体" w:hAnsi="宋体" w:cs="宋体"/>
                <w:szCs w:val="21"/>
              </w:rPr>
              <w:t>实例</w:t>
            </w:r>
          </w:p>
          <w:p w14:paraId="4614A71F">
            <w:pPr>
              <w:spacing w:line="360" w:lineRule="auto"/>
              <w:rPr>
                <w:rFonts w:ascii="宋体" w:hAnsi="宋体" w:cs="宋体"/>
                <w:szCs w:val="21"/>
              </w:rPr>
            </w:pPr>
            <w:r>
              <w:rPr>
                <w:rFonts w:hint="eastAsia" w:ascii="宋体" w:hAnsi="宋体" w:cs="宋体"/>
                <w:szCs w:val="21"/>
              </w:rPr>
              <w:t>• HybridDB for MySQL实例</w:t>
            </w:r>
          </w:p>
        </w:tc>
        <w:tc>
          <w:tcPr>
            <w:tcW w:w="603" w:type="pct"/>
            <w:tcBorders>
              <w:top w:val="single" w:color="auto" w:sz="4" w:space="0"/>
              <w:left w:val="single" w:color="auto" w:sz="4" w:space="0"/>
              <w:bottom w:val="single" w:color="auto" w:sz="4" w:space="0"/>
              <w:right w:val="single" w:color="auto" w:sz="4" w:space="0"/>
            </w:tcBorders>
            <w:vAlign w:val="center"/>
          </w:tcPr>
          <w:p w14:paraId="24F5218E">
            <w:pPr>
              <w:spacing w:line="360" w:lineRule="auto"/>
              <w:rPr>
                <w:rFonts w:ascii="宋体" w:hAnsi="宋体" w:cs="宋体"/>
                <w:szCs w:val="21"/>
              </w:rPr>
            </w:pPr>
          </w:p>
        </w:tc>
      </w:tr>
      <w:tr w14:paraId="48CD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2" w:type="pct"/>
            <w:vMerge w:val="continue"/>
            <w:tcBorders>
              <w:left w:val="single" w:color="auto" w:sz="4" w:space="0"/>
              <w:right w:val="single" w:color="auto" w:sz="4" w:space="0"/>
            </w:tcBorders>
            <w:vAlign w:val="center"/>
          </w:tcPr>
          <w:p w14:paraId="469E439F">
            <w:pPr>
              <w:spacing w:line="360" w:lineRule="auto"/>
              <w:rPr>
                <w:rFonts w:ascii="宋体" w:hAnsi="宋体" w:cs="宋体"/>
                <w:szCs w:val="21"/>
              </w:rPr>
            </w:pPr>
          </w:p>
        </w:tc>
        <w:tc>
          <w:tcPr>
            <w:tcW w:w="3585" w:type="pct"/>
            <w:tcBorders>
              <w:top w:val="single" w:color="auto" w:sz="4" w:space="0"/>
              <w:left w:val="single" w:color="auto" w:sz="4" w:space="0"/>
              <w:bottom w:val="single" w:color="auto" w:sz="4" w:space="0"/>
              <w:right w:val="single" w:color="auto" w:sz="4" w:space="0"/>
            </w:tcBorders>
            <w:vAlign w:val="center"/>
          </w:tcPr>
          <w:p w14:paraId="02DBC970">
            <w:pPr>
              <w:spacing w:line="360" w:lineRule="auto"/>
              <w:rPr>
                <w:rFonts w:ascii="宋体" w:hAnsi="宋体" w:cs="宋体"/>
                <w:szCs w:val="21"/>
              </w:rPr>
            </w:pPr>
            <w:r>
              <w:rPr>
                <w:rFonts w:hint="eastAsia" w:ascii="宋体" w:hAnsi="宋体" w:cs="宋体"/>
                <w:szCs w:val="21"/>
              </w:rPr>
              <w:t>数据实时同步功能旨在帮助</w:t>
            </w:r>
            <w:r>
              <w:rPr>
                <w:rFonts w:hint="eastAsia" w:ascii="宋体" w:hAnsi="宋体" w:cs="宋体"/>
                <w:szCs w:val="21"/>
                <w:lang w:eastAsia="zh-Hans"/>
              </w:rPr>
              <w:t>用户</w:t>
            </w:r>
            <w:r>
              <w:rPr>
                <w:rFonts w:hint="eastAsia" w:ascii="宋体" w:hAnsi="宋体" w:cs="宋体"/>
                <w:szCs w:val="21"/>
              </w:rPr>
              <w:t>实现两个数据源之间的数据实时同步</w:t>
            </w:r>
          </w:p>
          <w:p w14:paraId="600178C8">
            <w:pPr>
              <w:spacing w:line="360" w:lineRule="auto"/>
              <w:rPr>
                <w:rFonts w:ascii="宋体" w:hAnsi="宋体" w:cs="宋体"/>
                <w:szCs w:val="21"/>
              </w:rPr>
            </w:pPr>
            <w:r>
              <w:rPr>
                <w:rFonts w:hint="eastAsia" w:ascii="宋体" w:hAnsi="宋体" w:cs="宋体"/>
                <w:szCs w:val="21"/>
              </w:rPr>
              <w:t>数据同步</w:t>
            </w:r>
            <w:r>
              <w:rPr>
                <w:rFonts w:hint="eastAsia" w:ascii="宋体" w:hAnsi="宋体" w:cs="宋体"/>
                <w:szCs w:val="21"/>
                <w:lang w:eastAsia="zh-Hans"/>
              </w:rPr>
              <w:t>支</w:t>
            </w:r>
            <w:r>
              <w:rPr>
                <w:rFonts w:hint="eastAsia" w:ascii="宋体" w:hAnsi="宋体" w:cs="宋体"/>
                <w:szCs w:val="21"/>
              </w:rPr>
              <w:t>持的源实例类型包括：</w:t>
            </w:r>
          </w:p>
          <w:p w14:paraId="6F993D93">
            <w:pPr>
              <w:spacing w:line="360" w:lineRule="auto"/>
              <w:rPr>
                <w:rFonts w:ascii="宋体" w:hAnsi="宋体" w:cs="宋体"/>
                <w:szCs w:val="21"/>
              </w:rPr>
            </w:pPr>
            <w:r>
              <w:rPr>
                <w:rFonts w:hint="eastAsia" w:ascii="宋体" w:hAnsi="宋体" w:cs="宋体"/>
                <w:szCs w:val="21"/>
              </w:rPr>
              <w:t>• MySQL实例</w:t>
            </w:r>
          </w:p>
          <w:p w14:paraId="4D1F133C">
            <w:pPr>
              <w:spacing w:line="360" w:lineRule="auto"/>
              <w:rPr>
                <w:rFonts w:ascii="宋体" w:hAnsi="宋体" w:cs="宋体"/>
                <w:szCs w:val="21"/>
              </w:rPr>
            </w:pPr>
            <w:r>
              <w:rPr>
                <w:rFonts w:hint="eastAsia" w:ascii="宋体" w:hAnsi="宋体" w:cs="宋体"/>
                <w:szCs w:val="21"/>
              </w:rPr>
              <w:t>• 分布式关系型数据库实例</w:t>
            </w:r>
          </w:p>
          <w:p w14:paraId="18994AB6">
            <w:pPr>
              <w:spacing w:line="360" w:lineRule="auto"/>
              <w:rPr>
                <w:rFonts w:ascii="宋体" w:hAnsi="宋体" w:cs="宋体"/>
                <w:szCs w:val="21"/>
              </w:rPr>
            </w:pPr>
            <w:r>
              <w:rPr>
                <w:rFonts w:hint="eastAsia" w:ascii="宋体" w:hAnsi="宋体" w:cs="宋体"/>
                <w:szCs w:val="21"/>
              </w:rPr>
              <w:t>数据同步</w:t>
            </w:r>
            <w:r>
              <w:rPr>
                <w:rFonts w:hint="eastAsia" w:ascii="宋体" w:hAnsi="宋体" w:cs="宋体"/>
                <w:szCs w:val="21"/>
                <w:lang w:eastAsia="zh-Hans"/>
              </w:rPr>
              <w:t>支</w:t>
            </w:r>
            <w:r>
              <w:rPr>
                <w:rFonts w:hint="eastAsia" w:ascii="宋体" w:hAnsi="宋体" w:cs="宋体"/>
                <w:szCs w:val="21"/>
              </w:rPr>
              <w:t>持的</w:t>
            </w:r>
            <w:r>
              <w:rPr>
                <w:rFonts w:hint="eastAsia" w:ascii="宋体" w:hAnsi="宋体" w:cs="宋体"/>
                <w:szCs w:val="21"/>
                <w:lang w:eastAsia="zh-Hans"/>
              </w:rPr>
              <w:t>目</w:t>
            </w:r>
            <w:r>
              <w:rPr>
                <w:rFonts w:hint="eastAsia" w:ascii="宋体" w:hAnsi="宋体" w:cs="宋体"/>
                <w:szCs w:val="21"/>
              </w:rPr>
              <w:t>标实例包括：</w:t>
            </w:r>
          </w:p>
          <w:p w14:paraId="632533E6">
            <w:pPr>
              <w:spacing w:line="360" w:lineRule="auto"/>
              <w:rPr>
                <w:rFonts w:ascii="宋体" w:hAnsi="宋体" w:cs="宋体"/>
                <w:szCs w:val="21"/>
              </w:rPr>
            </w:pPr>
            <w:r>
              <w:rPr>
                <w:rFonts w:hint="eastAsia" w:ascii="宋体" w:hAnsi="宋体" w:cs="宋体"/>
                <w:szCs w:val="21"/>
              </w:rPr>
              <w:t>• MySQL实例</w:t>
            </w:r>
          </w:p>
          <w:p w14:paraId="635533D4">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大数据计算服务</w:t>
            </w:r>
            <w:r>
              <w:rPr>
                <w:rFonts w:hint="eastAsia" w:ascii="宋体" w:hAnsi="宋体" w:cs="宋体"/>
                <w:szCs w:val="21"/>
              </w:rPr>
              <w:t>实例</w:t>
            </w:r>
          </w:p>
          <w:p w14:paraId="7EF0F123">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数据仓库</w:t>
            </w:r>
            <w:r>
              <w:rPr>
                <w:rFonts w:hint="eastAsia" w:ascii="宋体" w:hAnsi="宋体" w:cs="宋体"/>
                <w:szCs w:val="21"/>
              </w:rPr>
              <w:t>实例</w:t>
            </w:r>
          </w:p>
          <w:p w14:paraId="7C4D96C1">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实时数据分发平台</w:t>
            </w:r>
            <w:r>
              <w:rPr>
                <w:rFonts w:hint="eastAsia" w:ascii="宋体" w:hAnsi="宋体" w:cs="宋体"/>
                <w:szCs w:val="21"/>
              </w:rPr>
              <w:t>实例</w:t>
            </w:r>
          </w:p>
          <w:p w14:paraId="692ABDDF">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分布式关系型数据库</w:t>
            </w:r>
            <w:r>
              <w:rPr>
                <w:rFonts w:hint="eastAsia" w:ascii="宋体" w:hAnsi="宋体" w:cs="宋体"/>
                <w:szCs w:val="21"/>
              </w:rPr>
              <w:t>实例</w:t>
            </w:r>
          </w:p>
        </w:tc>
        <w:tc>
          <w:tcPr>
            <w:tcW w:w="603" w:type="pct"/>
            <w:tcBorders>
              <w:top w:val="single" w:color="auto" w:sz="4" w:space="0"/>
              <w:left w:val="single" w:color="auto" w:sz="4" w:space="0"/>
              <w:bottom w:val="single" w:color="auto" w:sz="4" w:space="0"/>
              <w:right w:val="single" w:color="auto" w:sz="4" w:space="0"/>
            </w:tcBorders>
            <w:vAlign w:val="center"/>
          </w:tcPr>
          <w:p w14:paraId="196DC105">
            <w:pPr>
              <w:spacing w:line="360" w:lineRule="auto"/>
              <w:rPr>
                <w:rFonts w:ascii="宋体" w:hAnsi="宋体" w:cs="宋体"/>
                <w:szCs w:val="21"/>
              </w:rPr>
            </w:pPr>
          </w:p>
        </w:tc>
      </w:tr>
      <w:tr w14:paraId="73DD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2" w:type="pct"/>
            <w:vMerge w:val="continue"/>
            <w:tcBorders>
              <w:left w:val="single" w:color="auto" w:sz="4" w:space="0"/>
              <w:right w:val="single" w:color="auto" w:sz="4" w:space="0"/>
            </w:tcBorders>
            <w:vAlign w:val="center"/>
          </w:tcPr>
          <w:p w14:paraId="6EB9A69E">
            <w:pPr>
              <w:spacing w:line="360" w:lineRule="auto"/>
              <w:rPr>
                <w:rFonts w:ascii="宋体" w:hAnsi="宋体" w:cs="宋体"/>
                <w:szCs w:val="21"/>
              </w:rPr>
            </w:pPr>
          </w:p>
        </w:tc>
        <w:tc>
          <w:tcPr>
            <w:tcW w:w="3585" w:type="pct"/>
            <w:tcBorders>
              <w:top w:val="single" w:color="auto" w:sz="4" w:space="0"/>
              <w:left w:val="single" w:color="auto" w:sz="4" w:space="0"/>
              <w:bottom w:val="single" w:color="auto" w:sz="4" w:space="0"/>
              <w:right w:val="single" w:color="auto" w:sz="4" w:space="0"/>
            </w:tcBorders>
            <w:vAlign w:val="center"/>
          </w:tcPr>
          <w:p w14:paraId="3CB33885">
            <w:pPr>
              <w:spacing w:line="360" w:lineRule="auto"/>
              <w:rPr>
                <w:rFonts w:ascii="宋体" w:hAnsi="宋体" w:cs="宋体"/>
                <w:szCs w:val="21"/>
              </w:rPr>
            </w:pPr>
            <w:r>
              <w:rPr>
                <w:rFonts w:hint="eastAsia" w:ascii="宋体" w:hAnsi="宋体" w:cs="宋体"/>
                <w:szCs w:val="21"/>
              </w:rPr>
              <w:t>实时数据订阅功能旨在帮助</w:t>
            </w:r>
            <w:r>
              <w:rPr>
                <w:rFonts w:hint="eastAsia" w:ascii="宋体" w:hAnsi="宋体" w:cs="宋体"/>
                <w:szCs w:val="21"/>
                <w:lang w:eastAsia="zh-Hans"/>
              </w:rPr>
              <w:t>用户</w:t>
            </w:r>
            <w:r>
              <w:rPr>
                <w:rFonts w:hint="eastAsia" w:ascii="宋体" w:hAnsi="宋体" w:cs="宋体"/>
                <w:szCs w:val="21"/>
              </w:rPr>
              <w:t>获取</w:t>
            </w:r>
            <w:r>
              <w:rPr>
                <w:rFonts w:hint="eastAsia" w:ascii="宋体" w:hAnsi="宋体" w:cs="宋体"/>
                <w:szCs w:val="21"/>
                <w:lang w:eastAsia="zh-Hans"/>
              </w:rPr>
              <w:t>云数据库</w:t>
            </w:r>
            <w:r>
              <w:rPr>
                <w:rFonts w:hint="eastAsia" w:ascii="宋体" w:hAnsi="宋体" w:cs="宋体"/>
                <w:szCs w:val="21"/>
              </w:rPr>
              <w:t>/</w:t>
            </w:r>
            <w:r>
              <w:rPr>
                <w:rFonts w:hint="eastAsia" w:ascii="宋体" w:hAnsi="宋体" w:cs="宋体"/>
                <w:szCs w:val="21"/>
                <w:lang w:eastAsia="zh-Hans"/>
              </w:rPr>
              <w:t>分布式关系型数据库</w:t>
            </w:r>
            <w:r>
              <w:rPr>
                <w:rFonts w:hint="eastAsia" w:ascii="宋体" w:hAnsi="宋体" w:cs="宋体"/>
                <w:szCs w:val="21"/>
              </w:rPr>
              <w:t>的实时增量数据，</w:t>
            </w:r>
            <w:r>
              <w:rPr>
                <w:rFonts w:hint="eastAsia" w:ascii="宋体" w:hAnsi="宋体" w:cs="宋体"/>
                <w:szCs w:val="21"/>
                <w:lang w:eastAsia="zh-Hans"/>
              </w:rPr>
              <w:t>用户</w:t>
            </w:r>
            <w:r>
              <w:rPr>
                <w:rFonts w:hint="eastAsia" w:ascii="宋体" w:hAnsi="宋体" w:cs="宋体"/>
                <w:szCs w:val="21"/>
              </w:rPr>
              <w:t>能够根据</w:t>
            </w:r>
            <w:r>
              <w:rPr>
                <w:rFonts w:hint="eastAsia" w:ascii="宋体" w:hAnsi="宋体" w:cs="宋体"/>
                <w:szCs w:val="21"/>
                <w:lang w:eastAsia="zh-Hans"/>
              </w:rPr>
              <w:t>自身</w:t>
            </w:r>
            <w:r>
              <w:rPr>
                <w:rFonts w:hint="eastAsia" w:ascii="宋体" w:hAnsi="宋体" w:cs="宋体"/>
                <w:szCs w:val="21"/>
              </w:rPr>
              <w:t>业务需求</w:t>
            </w:r>
            <w:r>
              <w:rPr>
                <w:rFonts w:hint="eastAsia" w:ascii="宋体" w:hAnsi="宋体" w:cs="宋体"/>
                <w:szCs w:val="21"/>
                <w:lang w:eastAsia="zh-Hans"/>
              </w:rPr>
              <w:t>自</w:t>
            </w:r>
            <w:r>
              <w:rPr>
                <w:rFonts w:hint="eastAsia" w:ascii="宋体" w:hAnsi="宋体" w:cs="宋体"/>
                <w:szCs w:val="21"/>
              </w:rPr>
              <w:t>由消费增量数据，例如实现缓存更新、业务异步解耦、异构数据源数据实时同步及含复杂ETL的数据实时同步等多种业务场景。</w:t>
            </w:r>
          </w:p>
          <w:p w14:paraId="023BDFA6">
            <w:pPr>
              <w:spacing w:line="360" w:lineRule="auto"/>
              <w:rPr>
                <w:rFonts w:ascii="宋体" w:hAnsi="宋体" w:cs="宋体"/>
                <w:szCs w:val="21"/>
              </w:rPr>
            </w:pPr>
            <w:r>
              <w:rPr>
                <w:rFonts w:hint="eastAsia" w:ascii="宋体" w:hAnsi="宋体" w:cs="宋体"/>
                <w:szCs w:val="21"/>
              </w:rPr>
              <w:t>实时数据订阅支持的数据源类型包括：</w:t>
            </w:r>
          </w:p>
          <w:p w14:paraId="6DB40CA7">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云数据库</w:t>
            </w:r>
            <w:r>
              <w:rPr>
                <w:rFonts w:hint="eastAsia" w:ascii="宋体" w:hAnsi="宋体" w:cs="宋体"/>
                <w:szCs w:val="21"/>
              </w:rPr>
              <w:t xml:space="preserve"> For MySQL</w:t>
            </w:r>
          </w:p>
          <w:p w14:paraId="546DDAA0">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Hans"/>
              </w:rPr>
              <w:t>分布式关系型数据库</w:t>
            </w:r>
          </w:p>
        </w:tc>
        <w:tc>
          <w:tcPr>
            <w:tcW w:w="603" w:type="pct"/>
            <w:tcBorders>
              <w:top w:val="single" w:color="auto" w:sz="4" w:space="0"/>
              <w:left w:val="single" w:color="auto" w:sz="4" w:space="0"/>
              <w:bottom w:val="single" w:color="auto" w:sz="4" w:space="0"/>
              <w:right w:val="single" w:color="auto" w:sz="4" w:space="0"/>
            </w:tcBorders>
            <w:vAlign w:val="center"/>
          </w:tcPr>
          <w:p w14:paraId="6C1C14FB">
            <w:pPr>
              <w:spacing w:line="360" w:lineRule="auto"/>
              <w:rPr>
                <w:rFonts w:ascii="宋体" w:hAnsi="宋体" w:cs="宋体"/>
                <w:szCs w:val="21"/>
              </w:rPr>
            </w:pPr>
          </w:p>
        </w:tc>
      </w:tr>
      <w:tr w14:paraId="2C15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2" w:type="pct"/>
            <w:vMerge w:val="restart"/>
            <w:tcBorders>
              <w:left w:val="single" w:color="auto" w:sz="4" w:space="0"/>
              <w:right w:val="single" w:color="auto" w:sz="4" w:space="0"/>
            </w:tcBorders>
            <w:vAlign w:val="center"/>
          </w:tcPr>
          <w:p w14:paraId="07B2F4F3">
            <w:pPr>
              <w:spacing w:line="360" w:lineRule="auto"/>
              <w:rPr>
                <w:rFonts w:ascii="宋体" w:hAnsi="宋体" w:cs="宋体"/>
                <w:szCs w:val="21"/>
              </w:rPr>
            </w:pPr>
            <w:r>
              <w:rPr>
                <w:rFonts w:hint="eastAsia" w:ascii="宋体" w:hAnsi="宋体" w:cs="宋体"/>
                <w:szCs w:val="21"/>
              </w:rPr>
              <w:t>服务能力</w:t>
            </w:r>
          </w:p>
        </w:tc>
        <w:tc>
          <w:tcPr>
            <w:tcW w:w="3585" w:type="pct"/>
            <w:tcBorders>
              <w:top w:val="single" w:color="auto" w:sz="4" w:space="0"/>
              <w:left w:val="single" w:color="auto" w:sz="4" w:space="0"/>
              <w:bottom w:val="single" w:color="auto" w:sz="4" w:space="0"/>
              <w:right w:val="single" w:color="auto" w:sz="4" w:space="0"/>
            </w:tcBorders>
            <w:vAlign w:val="center"/>
          </w:tcPr>
          <w:p w14:paraId="143E1192">
            <w:pPr>
              <w:spacing w:line="360" w:lineRule="auto"/>
              <w:rPr>
                <w:rFonts w:ascii="宋体" w:hAnsi="宋体" w:cs="宋体"/>
                <w:szCs w:val="21"/>
              </w:rPr>
            </w:pPr>
            <w:r>
              <w:rPr>
                <w:rFonts w:hint="eastAsia" w:ascii="宋体" w:hAnsi="宋体" w:cs="宋体"/>
                <w:szCs w:val="21"/>
              </w:rPr>
              <w:t>数据迁移支持多种迁移步骤：结构迁移、全量数据迁移及增量数据迁移。</w:t>
            </w:r>
          </w:p>
          <w:p w14:paraId="6310753A">
            <w:pPr>
              <w:spacing w:line="360" w:lineRule="auto"/>
              <w:rPr>
                <w:rFonts w:ascii="宋体" w:hAnsi="宋体" w:cs="宋体"/>
                <w:szCs w:val="21"/>
              </w:rPr>
            </w:pPr>
            <w:r>
              <w:rPr>
                <w:rFonts w:hint="eastAsia" w:ascii="宋体" w:hAnsi="宋体" w:cs="宋体"/>
                <w:szCs w:val="21"/>
              </w:rPr>
              <w:t>• 结构迁移：将源实例中的结构对象定义一键迁移</w:t>
            </w:r>
            <w:r>
              <w:rPr>
                <w:rFonts w:hint="eastAsia" w:ascii="宋体" w:hAnsi="宋体" w:cs="宋体"/>
                <w:szCs w:val="21"/>
                <w:lang w:eastAsia="zh-Hans"/>
              </w:rPr>
              <w:t>至目</w:t>
            </w:r>
            <w:r>
              <w:rPr>
                <w:rFonts w:hint="eastAsia" w:ascii="宋体" w:hAnsi="宋体" w:cs="宋体"/>
                <w:szCs w:val="21"/>
              </w:rPr>
              <w:t>标实例。</w:t>
            </w:r>
          </w:p>
          <w:p w14:paraId="6699D282">
            <w:pPr>
              <w:spacing w:line="360" w:lineRule="auto"/>
              <w:rPr>
                <w:rFonts w:ascii="宋体" w:hAnsi="宋体" w:cs="宋体"/>
                <w:szCs w:val="21"/>
              </w:rPr>
            </w:pPr>
            <w:r>
              <w:rPr>
                <w:rFonts w:hint="eastAsia" w:ascii="宋体" w:hAnsi="宋体" w:cs="宋体"/>
                <w:szCs w:val="21"/>
              </w:rPr>
              <w:t>• 全量数据迁移：将源实例中的历史存量数据迁移</w:t>
            </w:r>
            <w:r>
              <w:rPr>
                <w:rFonts w:hint="eastAsia" w:ascii="宋体" w:hAnsi="宋体" w:cs="宋体"/>
                <w:szCs w:val="21"/>
                <w:lang w:eastAsia="zh-Hans"/>
              </w:rPr>
              <w:t>至目</w:t>
            </w:r>
            <w:r>
              <w:rPr>
                <w:rFonts w:hint="eastAsia" w:ascii="宋体" w:hAnsi="宋体" w:cs="宋体"/>
                <w:szCs w:val="21"/>
              </w:rPr>
              <w:t>标实例。</w:t>
            </w:r>
          </w:p>
          <w:p w14:paraId="4E028485">
            <w:pPr>
              <w:spacing w:line="360" w:lineRule="auto"/>
              <w:rPr>
                <w:rFonts w:ascii="宋体" w:hAnsi="宋体" w:cs="宋体"/>
                <w:szCs w:val="21"/>
              </w:rPr>
            </w:pPr>
            <w:r>
              <w:rPr>
                <w:rFonts w:hint="eastAsia" w:ascii="宋体" w:hAnsi="宋体" w:cs="宋体"/>
                <w:szCs w:val="21"/>
              </w:rPr>
              <w:t>• 增量数据迁移：将迁移过程中源实例产生的增量数据实时同步到</w:t>
            </w:r>
            <w:r>
              <w:rPr>
                <w:rFonts w:hint="eastAsia" w:ascii="宋体" w:hAnsi="宋体" w:cs="宋体"/>
                <w:szCs w:val="21"/>
                <w:lang w:eastAsia="zh-Hans"/>
              </w:rPr>
              <w:t>目</w:t>
            </w:r>
            <w:r>
              <w:rPr>
                <w:rFonts w:hint="eastAsia" w:ascii="宋体" w:hAnsi="宋体" w:cs="宋体"/>
                <w:szCs w:val="21"/>
              </w:rPr>
              <w:t>标实例。结构迁移＋全量数据迁移＋增量数据迁移可以简单实现业务不停服迁移。</w:t>
            </w:r>
          </w:p>
          <w:p w14:paraId="0BCBB691">
            <w:pPr>
              <w:spacing w:line="360" w:lineRule="auto"/>
              <w:rPr>
                <w:rFonts w:ascii="宋体" w:hAnsi="宋体" w:cs="宋体"/>
                <w:szCs w:val="21"/>
              </w:rPr>
            </w:pPr>
            <w:r>
              <w:rPr>
                <w:rFonts w:hint="eastAsia" w:ascii="宋体" w:hAnsi="宋体" w:cs="宋体"/>
                <w:szCs w:val="21"/>
              </w:rPr>
              <w:t>报警机制</w:t>
            </w:r>
          </w:p>
          <w:p w14:paraId="6FBF5F28">
            <w:pPr>
              <w:spacing w:line="360" w:lineRule="auto"/>
              <w:rPr>
                <w:rFonts w:ascii="宋体" w:hAnsi="宋体" w:cs="宋体"/>
                <w:szCs w:val="21"/>
              </w:rPr>
            </w:pPr>
            <w:r>
              <w:rPr>
                <w:rFonts w:hint="eastAsia" w:ascii="宋体" w:hAnsi="宋体" w:cs="宋体"/>
                <w:szCs w:val="21"/>
              </w:rPr>
              <w:t>数据迁移提供迁移异常报警，一旦迁移任务出现异常，即会向任务的owner发送报警短信，让</w:t>
            </w:r>
            <w:r>
              <w:rPr>
                <w:rFonts w:hint="eastAsia" w:ascii="宋体" w:hAnsi="宋体" w:cs="宋体"/>
                <w:szCs w:val="21"/>
                <w:lang w:eastAsia="zh-Hans"/>
              </w:rPr>
              <w:t>用户</w:t>
            </w:r>
            <w:r>
              <w:rPr>
                <w:rFonts w:hint="eastAsia" w:ascii="宋体" w:hAnsi="宋体" w:cs="宋体"/>
                <w:szCs w:val="21"/>
              </w:rPr>
              <w:t>第一时间了解并处理异常任务。</w:t>
            </w:r>
          </w:p>
        </w:tc>
        <w:tc>
          <w:tcPr>
            <w:tcW w:w="603" w:type="pct"/>
            <w:tcBorders>
              <w:top w:val="single" w:color="auto" w:sz="4" w:space="0"/>
              <w:left w:val="single" w:color="auto" w:sz="4" w:space="0"/>
              <w:bottom w:val="single" w:color="auto" w:sz="4" w:space="0"/>
              <w:right w:val="single" w:color="auto" w:sz="4" w:space="0"/>
            </w:tcBorders>
            <w:vAlign w:val="center"/>
          </w:tcPr>
          <w:p w14:paraId="2F7F9DD8">
            <w:pPr>
              <w:spacing w:line="360" w:lineRule="auto"/>
              <w:rPr>
                <w:rFonts w:ascii="宋体" w:hAnsi="宋体" w:cs="宋体"/>
                <w:szCs w:val="21"/>
              </w:rPr>
            </w:pPr>
          </w:p>
        </w:tc>
      </w:tr>
      <w:tr w14:paraId="3112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2" w:type="pct"/>
            <w:vMerge w:val="continue"/>
            <w:tcBorders>
              <w:left w:val="single" w:color="auto" w:sz="4" w:space="0"/>
              <w:right w:val="single" w:color="auto" w:sz="4" w:space="0"/>
            </w:tcBorders>
            <w:vAlign w:val="center"/>
          </w:tcPr>
          <w:p w14:paraId="3D3D6800">
            <w:pPr>
              <w:spacing w:line="360" w:lineRule="auto"/>
              <w:rPr>
                <w:rFonts w:ascii="宋体" w:hAnsi="宋体" w:cs="宋体"/>
                <w:szCs w:val="21"/>
              </w:rPr>
            </w:pPr>
          </w:p>
        </w:tc>
        <w:tc>
          <w:tcPr>
            <w:tcW w:w="3585" w:type="pct"/>
            <w:tcBorders>
              <w:top w:val="single" w:color="auto" w:sz="4" w:space="0"/>
              <w:left w:val="single" w:color="auto" w:sz="4" w:space="0"/>
              <w:bottom w:val="single" w:color="auto" w:sz="4" w:space="0"/>
              <w:right w:val="single" w:color="auto" w:sz="4" w:space="0"/>
            </w:tcBorders>
            <w:vAlign w:val="center"/>
          </w:tcPr>
          <w:p w14:paraId="2946F4E2">
            <w:pPr>
              <w:spacing w:line="360" w:lineRule="auto"/>
              <w:rPr>
                <w:rFonts w:ascii="宋体" w:hAnsi="宋体" w:cs="宋体"/>
                <w:szCs w:val="21"/>
              </w:rPr>
            </w:pPr>
            <w:r>
              <w:rPr>
                <w:rFonts w:hint="eastAsia" w:ascii="宋体" w:hAnsi="宋体" w:cs="宋体"/>
                <w:szCs w:val="21"/>
              </w:rPr>
              <w:t>数据同步</w:t>
            </w:r>
            <w:r>
              <w:rPr>
                <w:rFonts w:hint="eastAsia" w:ascii="宋体" w:hAnsi="宋体" w:cs="宋体"/>
                <w:szCs w:val="21"/>
                <w:lang w:eastAsia="zh-Hans"/>
              </w:rPr>
              <w:t>支</w:t>
            </w:r>
            <w:r>
              <w:rPr>
                <w:rFonts w:hint="eastAsia" w:ascii="宋体" w:hAnsi="宋体" w:cs="宋体"/>
                <w:szCs w:val="21"/>
              </w:rPr>
              <w:t>持多种特性，有效降低</w:t>
            </w:r>
            <w:r>
              <w:rPr>
                <w:rFonts w:hint="eastAsia" w:ascii="宋体" w:hAnsi="宋体" w:cs="宋体"/>
                <w:szCs w:val="21"/>
                <w:lang w:eastAsia="zh-Hans"/>
              </w:rPr>
              <w:t>用户</w:t>
            </w:r>
            <w:r>
              <w:rPr>
                <w:rFonts w:hint="eastAsia" w:ascii="宋体" w:hAnsi="宋体" w:cs="宋体"/>
                <w:szCs w:val="21"/>
              </w:rPr>
              <w:t>使</w:t>
            </w:r>
            <w:r>
              <w:rPr>
                <w:rFonts w:hint="eastAsia" w:ascii="宋体" w:hAnsi="宋体" w:cs="宋体"/>
                <w:szCs w:val="21"/>
                <w:lang w:eastAsia="zh-Hans"/>
              </w:rPr>
              <w:t>用门</w:t>
            </w:r>
            <w:r>
              <w:rPr>
                <w:rFonts w:hint="eastAsia" w:ascii="宋体" w:hAnsi="宋体" w:cs="宋体"/>
                <w:szCs w:val="21"/>
              </w:rPr>
              <w:t>槛，主要包括：</w:t>
            </w:r>
          </w:p>
          <w:p w14:paraId="5C6EBF56">
            <w:pPr>
              <w:spacing w:line="360" w:lineRule="auto"/>
              <w:rPr>
                <w:rFonts w:ascii="宋体" w:hAnsi="宋体" w:cs="宋体"/>
                <w:szCs w:val="21"/>
              </w:rPr>
            </w:pPr>
            <w:r>
              <w:rPr>
                <w:rFonts w:hint="eastAsia" w:ascii="宋体" w:hAnsi="宋体" w:cs="宋体"/>
                <w:szCs w:val="21"/>
              </w:rPr>
              <w:t>• 动态增减同步对象</w:t>
            </w:r>
          </w:p>
          <w:p w14:paraId="13586668">
            <w:pPr>
              <w:spacing w:line="360" w:lineRule="auto"/>
              <w:rPr>
                <w:rFonts w:ascii="宋体" w:hAnsi="宋体" w:cs="宋体"/>
                <w:szCs w:val="21"/>
              </w:rPr>
            </w:pPr>
            <w:r>
              <w:rPr>
                <w:rFonts w:hint="eastAsia" w:ascii="宋体" w:hAnsi="宋体" w:cs="宋体"/>
                <w:szCs w:val="21"/>
              </w:rPr>
              <w:t>在数据同步过程中，</w:t>
            </w:r>
            <w:r>
              <w:rPr>
                <w:rFonts w:hint="eastAsia" w:ascii="宋体" w:hAnsi="宋体" w:cs="宋体"/>
                <w:szCs w:val="21"/>
                <w:lang w:eastAsia="zh-Hans"/>
              </w:rPr>
              <w:t>用户</w:t>
            </w:r>
            <w:r>
              <w:rPr>
                <w:rFonts w:hint="eastAsia" w:ascii="宋体" w:hAnsi="宋体" w:cs="宋体"/>
                <w:szCs w:val="21"/>
              </w:rPr>
              <w:t>可以随时增加或减少需要同步的对象。</w:t>
            </w:r>
          </w:p>
          <w:p w14:paraId="66B034EA">
            <w:pPr>
              <w:spacing w:line="360" w:lineRule="auto"/>
              <w:rPr>
                <w:rFonts w:ascii="宋体" w:hAnsi="宋体" w:cs="宋体"/>
                <w:szCs w:val="21"/>
              </w:rPr>
            </w:pPr>
            <w:r>
              <w:rPr>
                <w:rFonts w:hint="eastAsia" w:ascii="宋体" w:hAnsi="宋体" w:cs="宋体"/>
                <w:szCs w:val="21"/>
              </w:rPr>
              <w:t>• 完善性能查询体系</w:t>
            </w:r>
          </w:p>
          <w:p w14:paraId="0C035CAF">
            <w:pPr>
              <w:spacing w:line="360" w:lineRule="auto"/>
              <w:rPr>
                <w:rFonts w:ascii="宋体" w:hAnsi="宋体" w:cs="宋体"/>
                <w:szCs w:val="21"/>
              </w:rPr>
            </w:pPr>
            <w:r>
              <w:rPr>
                <w:rFonts w:hint="eastAsia" w:ascii="宋体" w:hAnsi="宋体" w:cs="宋体"/>
                <w:szCs w:val="21"/>
              </w:rPr>
              <w:t>数据同步提供同步延迟、同步性能（RPS、流量）趋势图，</w:t>
            </w:r>
            <w:r>
              <w:rPr>
                <w:rFonts w:hint="eastAsia" w:ascii="宋体" w:hAnsi="宋体" w:cs="宋体"/>
                <w:szCs w:val="21"/>
                <w:lang w:eastAsia="zh-Hans"/>
              </w:rPr>
              <w:t>用户</w:t>
            </w:r>
            <w:r>
              <w:rPr>
                <w:rFonts w:hint="eastAsia" w:ascii="宋体" w:hAnsi="宋体" w:cs="宋体"/>
                <w:szCs w:val="21"/>
              </w:rPr>
              <w:t>可以方便查看同步链路的性能趋势。</w:t>
            </w:r>
          </w:p>
          <w:p w14:paraId="5E39A03E">
            <w:pPr>
              <w:spacing w:line="360" w:lineRule="auto"/>
              <w:rPr>
                <w:rFonts w:ascii="宋体" w:hAnsi="宋体" w:cs="宋体"/>
                <w:szCs w:val="21"/>
              </w:rPr>
            </w:pPr>
            <w:r>
              <w:rPr>
                <w:rFonts w:hint="eastAsia" w:ascii="宋体" w:hAnsi="宋体" w:cs="宋体"/>
                <w:szCs w:val="21"/>
              </w:rPr>
              <w:t>• 完善监控体系</w:t>
            </w:r>
          </w:p>
          <w:p w14:paraId="3C89D0A3">
            <w:pPr>
              <w:spacing w:line="360" w:lineRule="auto"/>
              <w:rPr>
                <w:rFonts w:ascii="宋体" w:hAnsi="宋体" w:cs="宋体"/>
                <w:szCs w:val="21"/>
              </w:rPr>
            </w:pPr>
            <w:r>
              <w:rPr>
                <w:rFonts w:hint="eastAsia" w:ascii="宋体" w:hAnsi="宋体" w:cs="宋体"/>
                <w:szCs w:val="21"/>
              </w:rPr>
              <w:t>数据同步提供同步作业状态、同步延迟的报警监控功能。</w:t>
            </w:r>
            <w:r>
              <w:rPr>
                <w:rFonts w:hint="eastAsia" w:ascii="宋体" w:hAnsi="宋体" w:cs="宋体"/>
                <w:szCs w:val="21"/>
                <w:lang w:eastAsia="zh-Hans"/>
              </w:rPr>
              <w:t>用户</w:t>
            </w:r>
            <w:r>
              <w:rPr>
                <w:rFonts w:hint="eastAsia" w:ascii="宋体" w:hAnsi="宋体" w:cs="宋体"/>
                <w:szCs w:val="21"/>
              </w:rPr>
              <w:t>可以根据业务敏感度，</w:t>
            </w:r>
            <w:r>
              <w:rPr>
                <w:rFonts w:hint="eastAsia" w:ascii="宋体" w:hAnsi="宋体" w:cs="宋体"/>
                <w:szCs w:val="21"/>
                <w:lang w:eastAsia="zh-Hans"/>
              </w:rPr>
              <w:t>自</w:t>
            </w:r>
            <w:r>
              <w:rPr>
                <w:rFonts w:hint="eastAsia" w:ascii="宋体" w:hAnsi="宋体" w:cs="宋体"/>
                <w:szCs w:val="21"/>
              </w:rPr>
              <w:t>定义同步延迟报警阈值。</w:t>
            </w:r>
          </w:p>
        </w:tc>
        <w:tc>
          <w:tcPr>
            <w:tcW w:w="603" w:type="pct"/>
            <w:tcBorders>
              <w:top w:val="single" w:color="auto" w:sz="4" w:space="0"/>
              <w:left w:val="single" w:color="auto" w:sz="4" w:space="0"/>
              <w:bottom w:val="single" w:color="auto" w:sz="4" w:space="0"/>
              <w:right w:val="single" w:color="auto" w:sz="4" w:space="0"/>
            </w:tcBorders>
            <w:vAlign w:val="center"/>
          </w:tcPr>
          <w:p w14:paraId="2D43843D">
            <w:pPr>
              <w:spacing w:line="360" w:lineRule="auto"/>
              <w:rPr>
                <w:rFonts w:ascii="宋体" w:hAnsi="宋体" w:cs="宋体"/>
                <w:szCs w:val="21"/>
              </w:rPr>
            </w:pPr>
          </w:p>
        </w:tc>
      </w:tr>
      <w:tr w14:paraId="427C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2" w:type="pct"/>
            <w:vMerge w:val="continue"/>
            <w:tcBorders>
              <w:left w:val="single" w:color="auto" w:sz="4" w:space="0"/>
              <w:right w:val="single" w:color="auto" w:sz="4" w:space="0"/>
            </w:tcBorders>
            <w:vAlign w:val="center"/>
          </w:tcPr>
          <w:p w14:paraId="67F9ECB5">
            <w:pPr>
              <w:spacing w:line="360" w:lineRule="auto"/>
              <w:rPr>
                <w:rFonts w:ascii="宋体" w:hAnsi="宋体" w:cs="宋体"/>
                <w:szCs w:val="21"/>
              </w:rPr>
            </w:pPr>
          </w:p>
        </w:tc>
        <w:tc>
          <w:tcPr>
            <w:tcW w:w="3585" w:type="pct"/>
            <w:tcBorders>
              <w:top w:val="single" w:color="auto" w:sz="4" w:space="0"/>
              <w:left w:val="single" w:color="auto" w:sz="4" w:space="0"/>
              <w:bottom w:val="single" w:color="auto" w:sz="4" w:space="0"/>
              <w:right w:val="single" w:color="auto" w:sz="4" w:space="0"/>
            </w:tcBorders>
            <w:vAlign w:val="center"/>
          </w:tcPr>
          <w:p w14:paraId="49603A94">
            <w:pPr>
              <w:spacing w:line="360" w:lineRule="auto"/>
              <w:rPr>
                <w:rFonts w:ascii="宋体" w:hAnsi="宋体" w:cs="宋体"/>
                <w:szCs w:val="21"/>
              </w:rPr>
            </w:pPr>
            <w:r>
              <w:rPr>
                <w:rFonts w:hint="eastAsia" w:ascii="宋体" w:hAnsi="宋体" w:cs="宋体"/>
                <w:szCs w:val="21"/>
              </w:rPr>
              <w:t>数据订阅支持多种特性，有效降低</w:t>
            </w:r>
            <w:r>
              <w:rPr>
                <w:rFonts w:hint="eastAsia" w:ascii="宋体" w:hAnsi="宋体" w:cs="宋体"/>
                <w:szCs w:val="21"/>
                <w:lang w:eastAsia="zh-Hans"/>
              </w:rPr>
              <w:t>用户</w:t>
            </w:r>
            <w:r>
              <w:rPr>
                <w:rFonts w:hint="eastAsia" w:ascii="宋体" w:hAnsi="宋体" w:cs="宋体"/>
                <w:szCs w:val="21"/>
              </w:rPr>
              <w:t>使用</w:t>
            </w:r>
            <w:r>
              <w:rPr>
                <w:rFonts w:hint="eastAsia" w:ascii="宋体" w:hAnsi="宋体" w:cs="宋体"/>
                <w:szCs w:val="21"/>
                <w:lang w:eastAsia="zh-Hans"/>
              </w:rPr>
              <w:t>门</w:t>
            </w:r>
            <w:r>
              <w:rPr>
                <w:rFonts w:hint="eastAsia" w:ascii="宋体" w:hAnsi="宋体" w:cs="宋体"/>
                <w:szCs w:val="21"/>
              </w:rPr>
              <w:t>槛，主要包括：</w:t>
            </w:r>
          </w:p>
          <w:p w14:paraId="4A6E6D20">
            <w:pPr>
              <w:spacing w:line="360" w:lineRule="auto"/>
              <w:rPr>
                <w:rFonts w:ascii="宋体" w:hAnsi="宋体" w:cs="宋体"/>
                <w:szCs w:val="21"/>
              </w:rPr>
            </w:pPr>
            <w:r>
              <w:rPr>
                <w:rFonts w:hint="eastAsia" w:ascii="宋体" w:hAnsi="宋体" w:cs="宋体"/>
                <w:szCs w:val="21"/>
              </w:rPr>
              <w:t>• 动态增减订阅对象</w:t>
            </w:r>
          </w:p>
          <w:p w14:paraId="2CF47863">
            <w:pPr>
              <w:spacing w:line="360" w:lineRule="auto"/>
              <w:rPr>
                <w:rFonts w:ascii="宋体" w:hAnsi="宋体" w:cs="宋体"/>
                <w:szCs w:val="21"/>
              </w:rPr>
            </w:pPr>
            <w:r>
              <w:rPr>
                <w:rFonts w:hint="eastAsia" w:ascii="宋体" w:hAnsi="宋体" w:cs="宋体"/>
                <w:szCs w:val="21"/>
              </w:rPr>
              <w:t>在数据订阅过程中，</w:t>
            </w:r>
            <w:r>
              <w:rPr>
                <w:rFonts w:hint="eastAsia" w:ascii="宋体" w:hAnsi="宋体" w:cs="宋体"/>
                <w:szCs w:val="21"/>
                <w:lang w:eastAsia="zh-Hans"/>
              </w:rPr>
              <w:t>用户</w:t>
            </w:r>
            <w:r>
              <w:rPr>
                <w:rFonts w:hint="eastAsia" w:ascii="宋体" w:hAnsi="宋体" w:cs="宋体"/>
                <w:szCs w:val="21"/>
              </w:rPr>
              <w:t>可以随时增加或减少需要订阅的对象。</w:t>
            </w:r>
          </w:p>
          <w:p w14:paraId="57F1F4BE">
            <w:pPr>
              <w:spacing w:line="360" w:lineRule="auto"/>
              <w:rPr>
                <w:rFonts w:ascii="宋体" w:hAnsi="宋体" w:cs="宋体"/>
                <w:szCs w:val="21"/>
              </w:rPr>
            </w:pPr>
            <w:r>
              <w:rPr>
                <w:rFonts w:hint="eastAsia" w:ascii="宋体" w:hAnsi="宋体" w:cs="宋体"/>
                <w:szCs w:val="21"/>
              </w:rPr>
              <w:t>• 在线查看订阅数据</w:t>
            </w:r>
          </w:p>
          <w:p w14:paraId="74F5FC2D">
            <w:pPr>
              <w:spacing w:line="360" w:lineRule="auto"/>
              <w:rPr>
                <w:rFonts w:ascii="宋体" w:hAnsi="宋体" w:cs="宋体"/>
                <w:szCs w:val="21"/>
              </w:rPr>
            </w:pPr>
            <w:r>
              <w:rPr>
                <w:rFonts w:hint="eastAsia" w:ascii="宋体" w:hAnsi="宋体" w:cs="宋体"/>
                <w:szCs w:val="21"/>
              </w:rPr>
              <w:t>数据传输控制台支持在线查看订阅通道中的增量数据。</w:t>
            </w:r>
          </w:p>
          <w:p w14:paraId="44758514">
            <w:pPr>
              <w:spacing w:line="360" w:lineRule="auto"/>
              <w:rPr>
                <w:rFonts w:ascii="宋体" w:hAnsi="宋体" w:cs="宋体"/>
                <w:szCs w:val="21"/>
              </w:rPr>
            </w:pPr>
            <w:r>
              <w:rPr>
                <w:rFonts w:hint="eastAsia" w:ascii="宋体" w:hAnsi="宋体" w:cs="宋体"/>
                <w:szCs w:val="21"/>
              </w:rPr>
              <w:t>• 修改消费时间点</w:t>
            </w:r>
          </w:p>
          <w:p w14:paraId="291408E1">
            <w:pPr>
              <w:spacing w:line="360" w:lineRule="auto"/>
              <w:rPr>
                <w:rFonts w:ascii="宋体" w:hAnsi="宋体" w:cs="宋体"/>
                <w:szCs w:val="21"/>
              </w:rPr>
            </w:pPr>
            <w:r>
              <w:rPr>
                <w:rFonts w:hint="eastAsia" w:ascii="宋体" w:hAnsi="宋体" w:cs="宋体"/>
                <w:szCs w:val="21"/>
              </w:rPr>
              <w:t>数据订阅</w:t>
            </w:r>
            <w:r>
              <w:rPr>
                <w:rFonts w:hint="eastAsia" w:ascii="宋体" w:hAnsi="宋体" w:cs="宋体"/>
                <w:szCs w:val="21"/>
                <w:lang w:eastAsia="zh-Hans"/>
              </w:rPr>
              <w:t>支</w:t>
            </w:r>
            <w:r>
              <w:rPr>
                <w:rFonts w:hint="eastAsia" w:ascii="宋体" w:hAnsi="宋体" w:cs="宋体"/>
                <w:szCs w:val="21"/>
              </w:rPr>
              <w:t>持</w:t>
            </w:r>
            <w:r>
              <w:rPr>
                <w:rFonts w:hint="eastAsia" w:ascii="宋体" w:hAnsi="宋体" w:cs="宋体"/>
                <w:szCs w:val="21"/>
                <w:lang w:eastAsia="zh-Hans"/>
              </w:rPr>
              <w:t>用户</w:t>
            </w:r>
            <w:r>
              <w:rPr>
                <w:rFonts w:hint="eastAsia" w:ascii="宋体" w:hAnsi="宋体" w:cs="宋体"/>
                <w:szCs w:val="21"/>
              </w:rPr>
              <w:t>随时修改需要消费数据对应的时间点。</w:t>
            </w:r>
          </w:p>
          <w:p w14:paraId="7C832DB1">
            <w:pPr>
              <w:spacing w:line="360" w:lineRule="auto"/>
              <w:rPr>
                <w:rFonts w:ascii="宋体" w:hAnsi="宋体" w:cs="宋体"/>
                <w:szCs w:val="21"/>
              </w:rPr>
            </w:pPr>
            <w:r>
              <w:rPr>
                <w:rFonts w:hint="eastAsia" w:ascii="宋体" w:hAnsi="宋体" w:cs="宋体"/>
                <w:szCs w:val="21"/>
              </w:rPr>
              <w:t>• 完善监控体系</w:t>
            </w:r>
          </w:p>
          <w:p w14:paraId="322770FE">
            <w:pPr>
              <w:spacing w:line="360" w:lineRule="auto"/>
              <w:rPr>
                <w:rFonts w:ascii="宋体" w:hAnsi="宋体" w:cs="宋体"/>
                <w:szCs w:val="21"/>
              </w:rPr>
            </w:pPr>
            <w:r>
              <w:rPr>
                <w:rFonts w:hint="eastAsia" w:ascii="宋体" w:hAnsi="宋体" w:cs="宋体"/>
                <w:szCs w:val="21"/>
              </w:rPr>
              <w:t>数据订阅提供订阅通道状态、下游消费延迟的报警监控功能。</w:t>
            </w:r>
            <w:r>
              <w:rPr>
                <w:rFonts w:hint="eastAsia" w:ascii="宋体" w:hAnsi="宋体" w:cs="宋体"/>
                <w:szCs w:val="21"/>
                <w:lang w:eastAsia="zh-Hans"/>
              </w:rPr>
              <w:t>用户</w:t>
            </w:r>
            <w:r>
              <w:rPr>
                <w:rFonts w:hint="eastAsia" w:ascii="宋体" w:hAnsi="宋体" w:cs="宋体"/>
                <w:szCs w:val="21"/>
              </w:rPr>
              <w:t>可以根据业务敏感度，</w:t>
            </w:r>
            <w:r>
              <w:rPr>
                <w:rFonts w:hint="eastAsia" w:ascii="宋体" w:hAnsi="宋体" w:cs="宋体"/>
                <w:szCs w:val="21"/>
                <w:lang w:eastAsia="zh-Hans"/>
              </w:rPr>
              <w:t>自</w:t>
            </w:r>
            <w:r>
              <w:rPr>
                <w:rFonts w:hint="eastAsia" w:ascii="宋体" w:hAnsi="宋体" w:cs="宋体"/>
                <w:szCs w:val="21"/>
              </w:rPr>
              <w:t>定义消费延迟报警阈值。</w:t>
            </w:r>
          </w:p>
        </w:tc>
        <w:tc>
          <w:tcPr>
            <w:tcW w:w="603" w:type="pct"/>
            <w:tcBorders>
              <w:top w:val="single" w:color="auto" w:sz="4" w:space="0"/>
              <w:left w:val="single" w:color="auto" w:sz="4" w:space="0"/>
              <w:bottom w:val="single" w:color="auto" w:sz="4" w:space="0"/>
              <w:right w:val="single" w:color="auto" w:sz="4" w:space="0"/>
            </w:tcBorders>
            <w:vAlign w:val="center"/>
          </w:tcPr>
          <w:p w14:paraId="3BF29705">
            <w:pPr>
              <w:spacing w:line="360" w:lineRule="auto"/>
              <w:rPr>
                <w:rFonts w:ascii="宋体" w:hAnsi="宋体" w:cs="宋体"/>
                <w:szCs w:val="21"/>
              </w:rPr>
            </w:pPr>
          </w:p>
        </w:tc>
      </w:tr>
      <w:tr w14:paraId="6FDB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2" w:type="pct"/>
            <w:tcBorders>
              <w:left w:val="single" w:color="auto" w:sz="4" w:space="0"/>
              <w:right w:val="single" w:color="auto" w:sz="4" w:space="0"/>
            </w:tcBorders>
            <w:vAlign w:val="center"/>
          </w:tcPr>
          <w:p w14:paraId="3E55E7E3">
            <w:pPr>
              <w:spacing w:line="360" w:lineRule="auto"/>
              <w:rPr>
                <w:rFonts w:ascii="宋体" w:hAnsi="宋体" w:cs="宋体"/>
                <w:szCs w:val="21"/>
              </w:rPr>
            </w:pPr>
            <w:r>
              <w:rPr>
                <w:rFonts w:hint="eastAsia" w:ascii="宋体" w:hAnsi="宋体" w:cs="宋体"/>
                <w:szCs w:val="21"/>
              </w:rPr>
              <w:t>安全性</w:t>
            </w:r>
          </w:p>
        </w:tc>
        <w:tc>
          <w:tcPr>
            <w:tcW w:w="3585" w:type="pct"/>
            <w:tcBorders>
              <w:top w:val="single" w:color="auto" w:sz="4" w:space="0"/>
              <w:left w:val="single" w:color="auto" w:sz="4" w:space="0"/>
              <w:bottom w:val="single" w:color="auto" w:sz="4" w:space="0"/>
              <w:right w:val="single" w:color="auto" w:sz="4" w:space="0"/>
            </w:tcBorders>
            <w:vAlign w:val="center"/>
          </w:tcPr>
          <w:p w14:paraId="05B4F9B9">
            <w:pPr>
              <w:spacing w:line="360" w:lineRule="auto"/>
              <w:rPr>
                <w:rFonts w:ascii="宋体" w:hAnsi="宋体" w:cs="宋体"/>
                <w:szCs w:val="21"/>
              </w:rPr>
            </w:pPr>
            <w:r>
              <w:rPr>
                <w:rFonts w:hint="eastAsia" w:ascii="宋体" w:hAnsi="宋体" w:cs="宋体"/>
                <w:szCs w:val="21"/>
                <w:lang w:eastAsia="zh-Hans"/>
              </w:rPr>
              <w:t>数据传输服务</w:t>
            </w:r>
            <w:r>
              <w:rPr>
                <w:rFonts w:hint="eastAsia" w:ascii="宋体" w:hAnsi="宋体" w:cs="宋体"/>
                <w:szCs w:val="21"/>
              </w:rPr>
              <w:t>底层为服务集群，集群内任何一个节点宕机或发生故障，控制中心都能够将这个节点上的所有任</w:t>
            </w:r>
          </w:p>
          <w:p w14:paraId="4ABDCB80">
            <w:pPr>
              <w:spacing w:line="360" w:lineRule="auto"/>
              <w:rPr>
                <w:rFonts w:ascii="宋体" w:hAnsi="宋体" w:cs="宋体"/>
                <w:szCs w:val="21"/>
              </w:rPr>
            </w:pPr>
            <w:r>
              <w:rPr>
                <w:rFonts w:hint="eastAsia" w:ascii="宋体" w:hAnsi="宋体" w:cs="宋体"/>
                <w:szCs w:val="21"/>
              </w:rPr>
              <w:t>务快速切换到其他节点上。</w:t>
            </w:r>
          </w:p>
          <w:p w14:paraId="66D0F2A4">
            <w:pPr>
              <w:spacing w:line="360" w:lineRule="auto"/>
              <w:rPr>
                <w:rFonts w:ascii="宋体" w:hAnsi="宋体" w:cs="宋体"/>
                <w:szCs w:val="21"/>
              </w:rPr>
            </w:pPr>
            <w:r>
              <w:rPr>
                <w:rFonts w:hint="eastAsia" w:ascii="宋体" w:hAnsi="宋体" w:cs="宋体"/>
                <w:szCs w:val="21"/>
              </w:rPr>
              <w:t>数据传输服务内部对部分传输链路提供7×24小时的数据准确性校验，快速发现并纠正传输数据，保证传输数据可靠性。</w:t>
            </w:r>
          </w:p>
          <w:p w14:paraId="615D1B6F">
            <w:pPr>
              <w:spacing w:line="360" w:lineRule="auto"/>
              <w:rPr>
                <w:rFonts w:ascii="宋体" w:hAnsi="宋体" w:cs="宋体"/>
                <w:szCs w:val="21"/>
              </w:rPr>
            </w:pPr>
            <w:r>
              <w:rPr>
                <w:rFonts w:hint="eastAsia" w:ascii="宋体" w:hAnsi="宋体" w:cs="宋体"/>
                <w:szCs w:val="21"/>
              </w:rPr>
              <w:t>数据传输服务各模块间采用安全传输协议及安全token认证，有效得保证数据传输可靠性。</w:t>
            </w:r>
          </w:p>
        </w:tc>
        <w:tc>
          <w:tcPr>
            <w:tcW w:w="603" w:type="pct"/>
            <w:tcBorders>
              <w:top w:val="single" w:color="auto" w:sz="4" w:space="0"/>
              <w:left w:val="single" w:color="auto" w:sz="4" w:space="0"/>
              <w:bottom w:val="single" w:color="auto" w:sz="4" w:space="0"/>
              <w:right w:val="single" w:color="auto" w:sz="4" w:space="0"/>
            </w:tcBorders>
            <w:vAlign w:val="center"/>
          </w:tcPr>
          <w:p w14:paraId="79C3DD26">
            <w:pPr>
              <w:spacing w:line="360" w:lineRule="auto"/>
              <w:rPr>
                <w:rFonts w:ascii="宋体" w:hAnsi="宋体" w:cs="宋体"/>
                <w:szCs w:val="21"/>
              </w:rPr>
            </w:pPr>
          </w:p>
        </w:tc>
      </w:tr>
      <w:tr w14:paraId="3704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2" w:type="pct"/>
            <w:vMerge w:val="restart"/>
            <w:tcBorders>
              <w:left w:val="single" w:color="auto" w:sz="4" w:space="0"/>
              <w:right w:val="single" w:color="auto" w:sz="4" w:space="0"/>
            </w:tcBorders>
            <w:vAlign w:val="center"/>
          </w:tcPr>
          <w:p w14:paraId="0844BBD7">
            <w:pPr>
              <w:spacing w:line="360" w:lineRule="auto"/>
              <w:rPr>
                <w:rFonts w:ascii="宋体" w:hAnsi="宋体" w:cs="宋体"/>
                <w:szCs w:val="21"/>
              </w:rPr>
            </w:pPr>
            <w:r>
              <w:rPr>
                <w:rFonts w:hint="eastAsia" w:ascii="宋体" w:hAnsi="宋体" w:cs="宋体"/>
                <w:szCs w:val="21"/>
              </w:rPr>
              <w:t>可靠性</w:t>
            </w:r>
          </w:p>
        </w:tc>
        <w:tc>
          <w:tcPr>
            <w:tcW w:w="3585" w:type="pct"/>
            <w:tcBorders>
              <w:top w:val="single" w:color="auto" w:sz="4" w:space="0"/>
              <w:left w:val="single" w:color="auto" w:sz="4" w:space="0"/>
              <w:bottom w:val="single" w:color="auto" w:sz="4" w:space="0"/>
              <w:right w:val="single" w:color="auto" w:sz="4" w:space="0"/>
            </w:tcBorders>
            <w:vAlign w:val="center"/>
          </w:tcPr>
          <w:p w14:paraId="5CED8A14">
            <w:pPr>
              <w:spacing w:line="360" w:lineRule="auto"/>
              <w:rPr>
                <w:rFonts w:ascii="宋体" w:hAnsi="宋体" w:cs="宋体"/>
                <w:szCs w:val="21"/>
              </w:rPr>
            </w:pPr>
            <w:r>
              <w:rPr>
                <w:rFonts w:hint="eastAsia" w:ascii="宋体" w:hAnsi="宋体" w:cs="宋体"/>
                <w:szCs w:val="21"/>
              </w:rPr>
              <w:t>支持同城/跨城多机房部署，多机房高可用互备。</w:t>
            </w:r>
          </w:p>
        </w:tc>
        <w:tc>
          <w:tcPr>
            <w:tcW w:w="603" w:type="pct"/>
            <w:tcBorders>
              <w:top w:val="single" w:color="auto" w:sz="4" w:space="0"/>
              <w:left w:val="single" w:color="auto" w:sz="4" w:space="0"/>
              <w:bottom w:val="single" w:color="auto" w:sz="4" w:space="0"/>
              <w:right w:val="single" w:color="auto" w:sz="4" w:space="0"/>
            </w:tcBorders>
            <w:vAlign w:val="center"/>
          </w:tcPr>
          <w:p w14:paraId="3A9BB609">
            <w:pPr>
              <w:spacing w:line="360" w:lineRule="auto"/>
              <w:rPr>
                <w:rFonts w:ascii="宋体" w:hAnsi="宋体" w:cs="宋体"/>
                <w:szCs w:val="21"/>
              </w:rPr>
            </w:pPr>
          </w:p>
        </w:tc>
      </w:tr>
      <w:tr w14:paraId="748C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2" w:type="pct"/>
            <w:vMerge w:val="continue"/>
            <w:tcBorders>
              <w:left w:val="single" w:color="auto" w:sz="4" w:space="0"/>
              <w:right w:val="single" w:color="auto" w:sz="4" w:space="0"/>
            </w:tcBorders>
            <w:vAlign w:val="center"/>
          </w:tcPr>
          <w:p w14:paraId="38D71870">
            <w:pPr>
              <w:spacing w:line="360" w:lineRule="auto"/>
              <w:rPr>
                <w:rFonts w:ascii="宋体" w:hAnsi="宋体" w:cs="宋体"/>
                <w:szCs w:val="21"/>
              </w:rPr>
            </w:pPr>
          </w:p>
        </w:tc>
        <w:tc>
          <w:tcPr>
            <w:tcW w:w="3585" w:type="pct"/>
            <w:tcBorders>
              <w:top w:val="single" w:color="auto" w:sz="4" w:space="0"/>
              <w:left w:val="single" w:color="auto" w:sz="4" w:space="0"/>
              <w:bottom w:val="single" w:color="auto" w:sz="4" w:space="0"/>
              <w:right w:val="single" w:color="auto" w:sz="4" w:space="0"/>
            </w:tcBorders>
            <w:vAlign w:val="center"/>
          </w:tcPr>
          <w:p w14:paraId="277591CF">
            <w:pPr>
              <w:spacing w:line="360" w:lineRule="auto"/>
              <w:rPr>
                <w:rFonts w:ascii="宋体" w:hAnsi="宋体" w:cs="宋体"/>
                <w:szCs w:val="21"/>
              </w:rPr>
            </w:pPr>
            <w:r>
              <w:rPr>
                <w:rFonts w:hint="eastAsia" w:ascii="宋体" w:hAnsi="宋体" w:cs="宋体"/>
                <w:szCs w:val="21"/>
              </w:rPr>
              <w:t>支持集群节点采用冗余架构，无单点故障，节点故障时任务的自动切换和恢复。</w:t>
            </w:r>
          </w:p>
        </w:tc>
        <w:tc>
          <w:tcPr>
            <w:tcW w:w="603" w:type="pct"/>
            <w:tcBorders>
              <w:top w:val="single" w:color="auto" w:sz="4" w:space="0"/>
              <w:left w:val="single" w:color="auto" w:sz="4" w:space="0"/>
              <w:bottom w:val="single" w:color="auto" w:sz="4" w:space="0"/>
              <w:right w:val="single" w:color="auto" w:sz="4" w:space="0"/>
            </w:tcBorders>
            <w:vAlign w:val="center"/>
          </w:tcPr>
          <w:p w14:paraId="1865B21F">
            <w:pPr>
              <w:spacing w:line="360" w:lineRule="auto"/>
              <w:rPr>
                <w:rFonts w:ascii="宋体" w:hAnsi="宋体" w:cs="宋体"/>
                <w:szCs w:val="21"/>
              </w:rPr>
            </w:pPr>
          </w:p>
        </w:tc>
      </w:tr>
    </w:tbl>
    <w:p w14:paraId="43FD0DF3">
      <w:pPr>
        <w:pStyle w:val="23"/>
        <w:snapToGrid w:val="0"/>
        <w:ind w:firstLine="420" w:firstLineChars="200"/>
        <w:outlineLvl w:val="4"/>
        <w:rPr>
          <w:rFonts w:hAnsi="宋体" w:cs="宋体"/>
          <w:sz w:val="21"/>
        </w:rPr>
      </w:pPr>
      <w:r>
        <w:rPr>
          <w:rFonts w:hint="eastAsia" w:hAnsi="宋体" w:cs="宋体"/>
          <w:sz w:val="21"/>
        </w:rPr>
        <w:t>7.1.2.14企业级分布式应用服务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6512"/>
        <w:gridCol w:w="1254"/>
      </w:tblGrid>
      <w:tr w14:paraId="1048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tcBorders>
              <w:top w:val="single" w:color="auto" w:sz="4" w:space="0"/>
              <w:left w:val="single" w:color="auto" w:sz="4" w:space="0"/>
              <w:bottom w:val="single" w:color="auto" w:sz="4" w:space="0"/>
              <w:right w:val="single" w:color="auto" w:sz="4" w:space="0"/>
            </w:tcBorders>
            <w:vAlign w:val="center"/>
          </w:tcPr>
          <w:p w14:paraId="79670CE0">
            <w:pPr>
              <w:spacing w:line="360" w:lineRule="auto"/>
              <w:jc w:val="center"/>
              <w:rPr>
                <w:rFonts w:ascii="宋体" w:hAnsi="宋体" w:cs="宋体"/>
                <w:b/>
                <w:szCs w:val="21"/>
              </w:rPr>
            </w:pPr>
            <w:r>
              <w:rPr>
                <w:rFonts w:hint="eastAsia" w:ascii="宋体" w:hAnsi="宋体" w:cs="宋体"/>
                <w:b/>
                <w:szCs w:val="21"/>
              </w:rPr>
              <w:t>指标项</w:t>
            </w:r>
          </w:p>
        </w:tc>
        <w:tc>
          <w:tcPr>
            <w:tcW w:w="3505" w:type="pct"/>
            <w:tcBorders>
              <w:top w:val="single" w:color="auto" w:sz="4" w:space="0"/>
              <w:left w:val="single" w:color="auto" w:sz="4" w:space="0"/>
              <w:bottom w:val="single" w:color="auto" w:sz="4" w:space="0"/>
              <w:right w:val="single" w:color="auto" w:sz="4" w:space="0"/>
            </w:tcBorders>
            <w:vAlign w:val="center"/>
          </w:tcPr>
          <w:p w14:paraId="7E864E4F">
            <w:pPr>
              <w:spacing w:line="360" w:lineRule="auto"/>
              <w:jc w:val="center"/>
              <w:rPr>
                <w:rFonts w:ascii="宋体" w:hAnsi="宋体" w:cs="宋体"/>
                <w:b/>
                <w:szCs w:val="21"/>
              </w:rPr>
            </w:pPr>
            <w:r>
              <w:rPr>
                <w:rFonts w:hint="eastAsia" w:ascii="宋体" w:hAnsi="宋体" w:cs="宋体"/>
                <w:b/>
                <w:szCs w:val="21"/>
              </w:rPr>
              <w:t>规格要求</w:t>
            </w:r>
          </w:p>
        </w:tc>
        <w:tc>
          <w:tcPr>
            <w:tcW w:w="675" w:type="pct"/>
            <w:tcBorders>
              <w:top w:val="single" w:color="auto" w:sz="4" w:space="0"/>
              <w:left w:val="single" w:color="auto" w:sz="4" w:space="0"/>
              <w:bottom w:val="single" w:color="auto" w:sz="4" w:space="0"/>
              <w:right w:val="single" w:color="auto" w:sz="4" w:space="0"/>
            </w:tcBorders>
            <w:vAlign w:val="center"/>
          </w:tcPr>
          <w:p w14:paraId="326AFDFC">
            <w:pPr>
              <w:spacing w:line="360" w:lineRule="auto"/>
              <w:jc w:val="center"/>
              <w:rPr>
                <w:rFonts w:ascii="宋体" w:hAnsi="宋体" w:cs="宋体"/>
                <w:b/>
                <w:szCs w:val="21"/>
              </w:rPr>
            </w:pPr>
            <w:r>
              <w:rPr>
                <w:rFonts w:hint="eastAsia" w:ascii="宋体" w:hAnsi="宋体" w:cs="宋体"/>
                <w:b/>
                <w:szCs w:val="21"/>
              </w:rPr>
              <w:t>备注</w:t>
            </w:r>
          </w:p>
        </w:tc>
      </w:tr>
      <w:tr w14:paraId="75F5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tcBorders>
              <w:top w:val="single" w:color="auto" w:sz="4" w:space="0"/>
              <w:left w:val="single" w:color="auto" w:sz="4" w:space="0"/>
              <w:bottom w:val="single" w:color="auto" w:sz="4" w:space="0"/>
              <w:right w:val="single" w:color="auto" w:sz="4" w:space="0"/>
            </w:tcBorders>
            <w:vAlign w:val="center"/>
          </w:tcPr>
          <w:p w14:paraId="581E1185">
            <w:pPr>
              <w:spacing w:line="360" w:lineRule="auto"/>
              <w:rPr>
                <w:rFonts w:ascii="宋体" w:hAnsi="宋体" w:cs="宋体"/>
                <w:szCs w:val="21"/>
              </w:rPr>
            </w:pPr>
            <w:r>
              <w:rPr>
                <w:rFonts w:hint="eastAsia" w:ascii="宋体" w:hAnsi="宋体" w:cs="宋体"/>
                <w:szCs w:val="21"/>
              </w:rPr>
              <w:t>服务标准</w:t>
            </w:r>
          </w:p>
        </w:tc>
        <w:tc>
          <w:tcPr>
            <w:tcW w:w="3505" w:type="pct"/>
            <w:tcBorders>
              <w:top w:val="single" w:color="auto" w:sz="4" w:space="0"/>
              <w:left w:val="single" w:color="auto" w:sz="4" w:space="0"/>
              <w:bottom w:val="single" w:color="auto" w:sz="4" w:space="0"/>
              <w:right w:val="single" w:color="auto" w:sz="4" w:space="0"/>
            </w:tcBorders>
            <w:vAlign w:val="center"/>
          </w:tcPr>
          <w:p w14:paraId="265D13AE">
            <w:pPr>
              <w:spacing w:line="360" w:lineRule="auto"/>
              <w:rPr>
                <w:rFonts w:ascii="宋体" w:hAnsi="宋体" w:cs="宋体"/>
                <w:szCs w:val="21"/>
              </w:rPr>
            </w:pPr>
            <w:r>
              <w:rPr>
                <w:rFonts w:hint="eastAsia" w:ascii="宋体" w:hAnsi="宋体" w:cs="宋体"/>
                <w:szCs w:val="21"/>
              </w:rPr>
              <w:t>提供应用开发、部署、监控、运维等全栈式解决方案，同时支持Dubbo、Spring Cloud 等微服务运行环境。</w:t>
            </w:r>
          </w:p>
        </w:tc>
        <w:tc>
          <w:tcPr>
            <w:tcW w:w="675" w:type="pct"/>
            <w:tcBorders>
              <w:top w:val="single" w:color="auto" w:sz="4" w:space="0"/>
              <w:left w:val="single" w:color="auto" w:sz="4" w:space="0"/>
              <w:bottom w:val="single" w:color="auto" w:sz="4" w:space="0"/>
              <w:right w:val="single" w:color="auto" w:sz="4" w:space="0"/>
            </w:tcBorders>
            <w:vAlign w:val="center"/>
          </w:tcPr>
          <w:p w14:paraId="2BFECA53">
            <w:pPr>
              <w:spacing w:line="360" w:lineRule="auto"/>
              <w:rPr>
                <w:rFonts w:ascii="宋体" w:hAnsi="宋体" w:cs="宋体"/>
                <w:szCs w:val="21"/>
              </w:rPr>
            </w:pPr>
          </w:p>
        </w:tc>
      </w:tr>
      <w:tr w14:paraId="4D26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restart"/>
            <w:tcBorders>
              <w:top w:val="single" w:color="auto" w:sz="4" w:space="0"/>
              <w:left w:val="single" w:color="auto" w:sz="4" w:space="0"/>
              <w:right w:val="single" w:color="auto" w:sz="4" w:space="0"/>
            </w:tcBorders>
            <w:vAlign w:val="center"/>
          </w:tcPr>
          <w:p w14:paraId="3C879C06">
            <w:pPr>
              <w:spacing w:line="360" w:lineRule="auto"/>
              <w:rPr>
                <w:rFonts w:ascii="宋体" w:hAnsi="宋体" w:cs="宋体"/>
                <w:szCs w:val="21"/>
              </w:rPr>
            </w:pPr>
            <w:r>
              <w:rPr>
                <w:rFonts w:hint="eastAsia" w:ascii="宋体" w:hAnsi="宋体" w:cs="宋体"/>
                <w:szCs w:val="21"/>
              </w:rPr>
              <w:t>服务特性</w:t>
            </w:r>
          </w:p>
        </w:tc>
        <w:tc>
          <w:tcPr>
            <w:tcW w:w="3505" w:type="pct"/>
            <w:tcBorders>
              <w:top w:val="single" w:color="auto" w:sz="4" w:space="0"/>
              <w:left w:val="single" w:color="auto" w:sz="4" w:space="0"/>
              <w:bottom w:val="single" w:color="auto" w:sz="4" w:space="0"/>
              <w:right w:val="single" w:color="auto" w:sz="4" w:space="0"/>
            </w:tcBorders>
            <w:vAlign w:val="center"/>
          </w:tcPr>
          <w:p w14:paraId="427F2CBC">
            <w:pPr>
              <w:spacing w:line="360" w:lineRule="auto"/>
              <w:rPr>
                <w:rFonts w:ascii="宋体" w:hAnsi="宋体" w:cs="宋体"/>
                <w:szCs w:val="21"/>
              </w:rPr>
            </w:pPr>
            <w:r>
              <w:rPr>
                <w:rFonts w:hint="eastAsia" w:ascii="宋体" w:hAnsi="宋体" w:cs="宋体"/>
                <w:szCs w:val="21"/>
              </w:rPr>
              <w:t>涵盖了应用生命周期管理、运维管控等众多功。</w:t>
            </w:r>
          </w:p>
        </w:tc>
        <w:tc>
          <w:tcPr>
            <w:tcW w:w="675" w:type="pct"/>
            <w:tcBorders>
              <w:top w:val="single" w:color="auto" w:sz="4" w:space="0"/>
              <w:left w:val="single" w:color="auto" w:sz="4" w:space="0"/>
              <w:bottom w:val="single" w:color="auto" w:sz="4" w:space="0"/>
              <w:right w:val="single" w:color="auto" w:sz="4" w:space="0"/>
            </w:tcBorders>
            <w:vAlign w:val="center"/>
          </w:tcPr>
          <w:p w14:paraId="6F94E61F">
            <w:pPr>
              <w:spacing w:line="360" w:lineRule="auto"/>
              <w:rPr>
                <w:rFonts w:ascii="宋体" w:hAnsi="宋体" w:cs="宋体"/>
                <w:szCs w:val="21"/>
              </w:rPr>
            </w:pPr>
          </w:p>
        </w:tc>
      </w:tr>
      <w:tr w14:paraId="4147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6065C6CE">
            <w:pPr>
              <w:spacing w:line="360" w:lineRule="auto"/>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1E963BBD">
            <w:pPr>
              <w:spacing w:line="360" w:lineRule="auto"/>
              <w:rPr>
                <w:rFonts w:ascii="宋体" w:hAnsi="宋体" w:cs="宋体"/>
                <w:szCs w:val="21"/>
              </w:rPr>
            </w:pPr>
            <w:r>
              <w:rPr>
                <w:rFonts w:hint="eastAsia" w:ascii="宋体" w:hAnsi="宋体" w:cs="宋体"/>
                <w:szCs w:val="21"/>
              </w:rPr>
              <w:t>弹性伸缩：弹性伸缩能够感知应用内各个实例的状态，并根据状态动态实现应用扩容、缩容。在保证服务质量的同时，提升应用的可用率。</w:t>
            </w:r>
          </w:p>
        </w:tc>
        <w:tc>
          <w:tcPr>
            <w:tcW w:w="675" w:type="pct"/>
            <w:tcBorders>
              <w:top w:val="single" w:color="auto" w:sz="4" w:space="0"/>
              <w:left w:val="single" w:color="auto" w:sz="4" w:space="0"/>
              <w:bottom w:val="single" w:color="auto" w:sz="4" w:space="0"/>
              <w:right w:val="single" w:color="auto" w:sz="4" w:space="0"/>
            </w:tcBorders>
            <w:vAlign w:val="center"/>
          </w:tcPr>
          <w:p w14:paraId="68843763">
            <w:pPr>
              <w:spacing w:line="360" w:lineRule="auto"/>
              <w:rPr>
                <w:rFonts w:ascii="宋体" w:hAnsi="宋体" w:cs="宋体"/>
                <w:szCs w:val="21"/>
              </w:rPr>
            </w:pPr>
          </w:p>
        </w:tc>
      </w:tr>
      <w:tr w14:paraId="48DC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6E0BDFCD">
            <w:pPr>
              <w:spacing w:line="360" w:lineRule="auto"/>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668A7FED">
            <w:pPr>
              <w:spacing w:line="360" w:lineRule="auto"/>
              <w:rPr>
                <w:rFonts w:ascii="宋体" w:hAnsi="宋体" w:cs="宋体"/>
                <w:szCs w:val="21"/>
              </w:rPr>
            </w:pPr>
            <w:r>
              <w:rPr>
                <w:rFonts w:hint="eastAsia" w:ascii="宋体" w:hAnsi="宋体" w:cs="宋体"/>
                <w:szCs w:val="21"/>
              </w:rPr>
              <w:t>限流降级：限流降级用于解决后端核心服务因压力过大造成系统反应过慢或者崩溃问题。</w:t>
            </w:r>
          </w:p>
        </w:tc>
        <w:tc>
          <w:tcPr>
            <w:tcW w:w="675" w:type="pct"/>
            <w:tcBorders>
              <w:top w:val="single" w:color="auto" w:sz="4" w:space="0"/>
              <w:left w:val="single" w:color="auto" w:sz="4" w:space="0"/>
              <w:bottom w:val="single" w:color="auto" w:sz="4" w:space="0"/>
              <w:right w:val="single" w:color="auto" w:sz="4" w:space="0"/>
            </w:tcBorders>
            <w:vAlign w:val="center"/>
          </w:tcPr>
          <w:p w14:paraId="05889C82">
            <w:pPr>
              <w:spacing w:line="360" w:lineRule="auto"/>
              <w:rPr>
                <w:rFonts w:ascii="宋体" w:hAnsi="宋体" w:cs="宋体"/>
                <w:szCs w:val="21"/>
              </w:rPr>
            </w:pPr>
          </w:p>
        </w:tc>
      </w:tr>
      <w:tr w14:paraId="5DD2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0" w:type="pct"/>
            <w:vMerge w:val="continue"/>
            <w:tcBorders>
              <w:left w:val="single" w:color="auto" w:sz="4" w:space="0"/>
              <w:right w:val="single" w:color="auto" w:sz="4" w:space="0"/>
            </w:tcBorders>
            <w:vAlign w:val="center"/>
          </w:tcPr>
          <w:p w14:paraId="3700D3FD">
            <w:pPr>
              <w:spacing w:line="360" w:lineRule="auto"/>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050110BA">
            <w:pPr>
              <w:spacing w:line="360" w:lineRule="auto"/>
              <w:rPr>
                <w:rFonts w:ascii="宋体" w:hAnsi="宋体" w:cs="宋体"/>
                <w:szCs w:val="21"/>
              </w:rPr>
            </w:pPr>
            <w:r>
              <w:rPr>
                <w:rFonts w:hint="eastAsia" w:ascii="宋体" w:hAnsi="宋体" w:cs="宋体"/>
                <w:szCs w:val="21"/>
              </w:rPr>
              <w:t>健康检查：健康检查对容器与应用进行定时检查和汇报，然后将结果上报到控制台，可以了解集群环境下整个应用的运行状态，排查和定位问题。</w:t>
            </w:r>
          </w:p>
        </w:tc>
        <w:tc>
          <w:tcPr>
            <w:tcW w:w="675" w:type="pct"/>
            <w:tcBorders>
              <w:top w:val="single" w:color="auto" w:sz="4" w:space="0"/>
              <w:left w:val="single" w:color="auto" w:sz="4" w:space="0"/>
              <w:bottom w:val="single" w:color="auto" w:sz="4" w:space="0"/>
              <w:right w:val="single" w:color="auto" w:sz="4" w:space="0"/>
            </w:tcBorders>
            <w:vAlign w:val="center"/>
          </w:tcPr>
          <w:p w14:paraId="602A6C42">
            <w:pPr>
              <w:spacing w:line="360" w:lineRule="auto"/>
              <w:rPr>
                <w:rFonts w:ascii="宋体" w:hAnsi="宋体" w:cs="宋体"/>
                <w:szCs w:val="21"/>
              </w:rPr>
            </w:pPr>
          </w:p>
        </w:tc>
      </w:tr>
      <w:tr w14:paraId="26B7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75F7851C">
            <w:pPr>
              <w:spacing w:line="360" w:lineRule="auto"/>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604B0689">
            <w:pPr>
              <w:spacing w:line="360" w:lineRule="auto"/>
              <w:rPr>
                <w:rFonts w:ascii="宋体" w:hAnsi="宋体" w:cs="宋体"/>
                <w:szCs w:val="21"/>
              </w:rPr>
            </w:pPr>
            <w:r>
              <w:rPr>
                <w:rFonts w:hint="eastAsia" w:ascii="宋体" w:hAnsi="宋体" w:cs="宋体"/>
                <w:szCs w:val="21"/>
              </w:rPr>
              <w:t>灰度发布：灰度发布包括对单个应用的灰度发布和全链路灰度发布。通过灰度发布实现应用新、旧版本的平滑过渡。</w:t>
            </w:r>
          </w:p>
        </w:tc>
        <w:tc>
          <w:tcPr>
            <w:tcW w:w="675" w:type="pct"/>
            <w:tcBorders>
              <w:top w:val="single" w:color="auto" w:sz="4" w:space="0"/>
              <w:left w:val="single" w:color="auto" w:sz="4" w:space="0"/>
              <w:bottom w:val="single" w:color="auto" w:sz="4" w:space="0"/>
              <w:right w:val="single" w:color="auto" w:sz="4" w:space="0"/>
            </w:tcBorders>
            <w:vAlign w:val="center"/>
          </w:tcPr>
          <w:p w14:paraId="1006982A">
            <w:pPr>
              <w:spacing w:line="360" w:lineRule="auto"/>
              <w:rPr>
                <w:rFonts w:ascii="宋体" w:hAnsi="宋体" w:cs="宋体"/>
                <w:szCs w:val="21"/>
              </w:rPr>
            </w:pPr>
          </w:p>
        </w:tc>
      </w:tr>
      <w:tr w14:paraId="511A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restart"/>
            <w:tcBorders>
              <w:left w:val="single" w:color="auto" w:sz="4" w:space="0"/>
              <w:right w:val="single" w:color="auto" w:sz="4" w:space="0"/>
            </w:tcBorders>
            <w:vAlign w:val="center"/>
          </w:tcPr>
          <w:p w14:paraId="4946CA5F">
            <w:pPr>
              <w:spacing w:line="360" w:lineRule="auto"/>
              <w:rPr>
                <w:rFonts w:ascii="宋体" w:hAnsi="宋体" w:cs="宋体"/>
                <w:szCs w:val="21"/>
              </w:rPr>
            </w:pPr>
            <w:r>
              <w:rPr>
                <w:rFonts w:hint="eastAsia" w:ascii="宋体" w:hAnsi="宋体" w:cs="宋体"/>
                <w:szCs w:val="21"/>
              </w:rPr>
              <w:t>服务能力</w:t>
            </w:r>
          </w:p>
        </w:tc>
        <w:tc>
          <w:tcPr>
            <w:tcW w:w="3505" w:type="pct"/>
            <w:tcBorders>
              <w:top w:val="single" w:color="auto" w:sz="4" w:space="0"/>
              <w:left w:val="single" w:color="auto" w:sz="4" w:space="0"/>
              <w:bottom w:val="single" w:color="auto" w:sz="4" w:space="0"/>
              <w:right w:val="single" w:color="auto" w:sz="4" w:space="0"/>
            </w:tcBorders>
            <w:vAlign w:val="center"/>
          </w:tcPr>
          <w:p w14:paraId="48C043A6">
            <w:pPr>
              <w:spacing w:line="360" w:lineRule="auto"/>
              <w:rPr>
                <w:rFonts w:ascii="宋体" w:hAnsi="宋体" w:cs="宋体"/>
                <w:szCs w:val="21"/>
              </w:rPr>
            </w:pPr>
            <w:r>
              <w:rPr>
                <w:rFonts w:hint="eastAsia" w:ascii="宋体" w:hAnsi="宋体" w:cs="宋体"/>
                <w:szCs w:val="21"/>
              </w:rPr>
              <w:t>生命周期管理操作。</w:t>
            </w:r>
          </w:p>
          <w:p w14:paraId="344EF7C8">
            <w:pPr>
              <w:spacing w:line="360" w:lineRule="auto"/>
              <w:rPr>
                <w:rFonts w:ascii="宋体" w:hAnsi="宋体" w:cs="宋体"/>
                <w:szCs w:val="21"/>
              </w:rPr>
            </w:pPr>
            <w:r>
              <w:rPr>
                <w:rFonts w:hint="eastAsia" w:ascii="宋体" w:hAnsi="宋体" w:cs="宋体"/>
                <w:szCs w:val="21"/>
              </w:rPr>
              <w:t>生命周期管理包括创建、部署、扩容、缩容、停止、删除等。因部署的集群类型不同，生命周期管理操作有些差异。</w:t>
            </w:r>
          </w:p>
        </w:tc>
        <w:tc>
          <w:tcPr>
            <w:tcW w:w="675" w:type="pct"/>
            <w:tcBorders>
              <w:top w:val="single" w:color="auto" w:sz="4" w:space="0"/>
              <w:left w:val="single" w:color="auto" w:sz="4" w:space="0"/>
              <w:bottom w:val="single" w:color="auto" w:sz="4" w:space="0"/>
              <w:right w:val="single" w:color="auto" w:sz="4" w:space="0"/>
            </w:tcBorders>
            <w:vAlign w:val="center"/>
          </w:tcPr>
          <w:p w14:paraId="7304E773">
            <w:pPr>
              <w:spacing w:line="360" w:lineRule="auto"/>
              <w:rPr>
                <w:rFonts w:ascii="宋体" w:hAnsi="宋体" w:cs="宋体"/>
                <w:szCs w:val="21"/>
              </w:rPr>
            </w:pPr>
          </w:p>
        </w:tc>
      </w:tr>
      <w:tr w14:paraId="6F87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27ACE383">
            <w:pPr>
              <w:spacing w:line="360" w:lineRule="auto"/>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14BCC532">
            <w:pPr>
              <w:spacing w:line="360" w:lineRule="auto"/>
              <w:rPr>
                <w:rFonts w:ascii="宋体" w:hAnsi="宋体" w:cs="宋体"/>
                <w:szCs w:val="21"/>
              </w:rPr>
            </w:pPr>
            <w:r>
              <w:rPr>
                <w:rFonts w:hint="eastAsia" w:ascii="宋体" w:hAnsi="宋体" w:cs="宋体"/>
                <w:szCs w:val="21"/>
              </w:rPr>
              <w:t>应用监控</w:t>
            </w:r>
          </w:p>
          <w:p w14:paraId="4B46ACCF">
            <w:pPr>
              <w:spacing w:line="360" w:lineRule="auto"/>
              <w:rPr>
                <w:rFonts w:ascii="宋体" w:hAnsi="宋体" w:cs="宋体"/>
                <w:szCs w:val="21"/>
              </w:rPr>
            </w:pPr>
            <w:r>
              <w:rPr>
                <w:rFonts w:hint="eastAsia" w:ascii="宋体" w:hAnsi="宋体" w:cs="宋体"/>
                <w:szCs w:val="21"/>
              </w:rPr>
              <w:t>在应用托管到企业级分布式应用后，可以对应用进行监控。包括基础监控、服务监控、日志和通知报警。</w:t>
            </w:r>
          </w:p>
        </w:tc>
        <w:tc>
          <w:tcPr>
            <w:tcW w:w="675" w:type="pct"/>
            <w:tcBorders>
              <w:top w:val="single" w:color="auto" w:sz="4" w:space="0"/>
              <w:left w:val="single" w:color="auto" w:sz="4" w:space="0"/>
              <w:bottom w:val="single" w:color="auto" w:sz="4" w:space="0"/>
              <w:right w:val="single" w:color="auto" w:sz="4" w:space="0"/>
            </w:tcBorders>
            <w:vAlign w:val="center"/>
          </w:tcPr>
          <w:p w14:paraId="701DAAD4">
            <w:pPr>
              <w:spacing w:line="360" w:lineRule="auto"/>
              <w:rPr>
                <w:rFonts w:ascii="宋体" w:hAnsi="宋体" w:cs="宋体"/>
                <w:szCs w:val="21"/>
              </w:rPr>
            </w:pPr>
          </w:p>
        </w:tc>
      </w:tr>
      <w:tr w14:paraId="78E5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0" w:type="pct"/>
            <w:vMerge w:val="continue"/>
            <w:tcBorders>
              <w:left w:val="single" w:color="auto" w:sz="4" w:space="0"/>
              <w:right w:val="single" w:color="auto" w:sz="4" w:space="0"/>
            </w:tcBorders>
            <w:vAlign w:val="center"/>
          </w:tcPr>
          <w:p w14:paraId="1055943A">
            <w:pPr>
              <w:spacing w:line="360" w:lineRule="auto"/>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01B79B20">
            <w:pPr>
              <w:spacing w:line="360" w:lineRule="auto"/>
              <w:rPr>
                <w:rFonts w:ascii="宋体" w:hAnsi="宋体" w:cs="宋体"/>
                <w:szCs w:val="21"/>
              </w:rPr>
            </w:pPr>
            <w:r>
              <w:rPr>
                <w:rFonts w:hint="eastAsia" w:ascii="宋体" w:hAnsi="宋体" w:cs="宋体"/>
                <w:szCs w:val="21"/>
              </w:rPr>
              <w:t>应用诊断</w:t>
            </w:r>
          </w:p>
          <w:p w14:paraId="21698E04">
            <w:pPr>
              <w:spacing w:line="360" w:lineRule="auto"/>
              <w:rPr>
                <w:rFonts w:ascii="宋体" w:hAnsi="宋体" w:cs="宋体"/>
                <w:szCs w:val="21"/>
              </w:rPr>
            </w:pPr>
            <w:r>
              <w:rPr>
                <w:rFonts w:hint="eastAsia" w:ascii="宋体" w:hAnsi="宋体" w:cs="宋体"/>
                <w:szCs w:val="21"/>
              </w:rPr>
              <w:t>基于 HSF 框架开发的应用部署并运行在容器（EDAS-Container）中。企业级分布式应用 提供了基于容器的诊断功能，提供相应数据来诊断应用运行问题。</w:t>
            </w:r>
          </w:p>
        </w:tc>
        <w:tc>
          <w:tcPr>
            <w:tcW w:w="675" w:type="pct"/>
            <w:tcBorders>
              <w:top w:val="single" w:color="auto" w:sz="4" w:space="0"/>
              <w:left w:val="single" w:color="auto" w:sz="4" w:space="0"/>
              <w:bottom w:val="single" w:color="auto" w:sz="4" w:space="0"/>
              <w:right w:val="single" w:color="auto" w:sz="4" w:space="0"/>
            </w:tcBorders>
            <w:vAlign w:val="center"/>
          </w:tcPr>
          <w:p w14:paraId="545EB284">
            <w:pPr>
              <w:spacing w:line="360" w:lineRule="auto"/>
              <w:rPr>
                <w:rFonts w:ascii="宋体" w:hAnsi="宋体" w:cs="宋体"/>
                <w:szCs w:val="21"/>
              </w:rPr>
            </w:pPr>
          </w:p>
        </w:tc>
      </w:tr>
    </w:tbl>
    <w:p w14:paraId="0FC5E89C">
      <w:pPr>
        <w:pStyle w:val="23"/>
        <w:snapToGrid w:val="0"/>
        <w:ind w:firstLine="420" w:firstLineChars="200"/>
        <w:outlineLvl w:val="4"/>
        <w:rPr>
          <w:rFonts w:hAnsi="宋体" w:cs="宋体"/>
          <w:sz w:val="21"/>
        </w:rPr>
      </w:pPr>
      <w:r>
        <w:rPr>
          <w:rFonts w:hint="eastAsia" w:hAnsi="宋体" w:cs="宋体"/>
          <w:sz w:val="21"/>
        </w:rPr>
        <w:t>7.1.2.15大数据开发治理平台</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6512"/>
        <w:gridCol w:w="1254"/>
      </w:tblGrid>
      <w:tr w14:paraId="18C4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tcBorders>
              <w:top w:val="single" w:color="auto" w:sz="4" w:space="0"/>
              <w:left w:val="single" w:color="auto" w:sz="4" w:space="0"/>
              <w:bottom w:val="single" w:color="auto" w:sz="4" w:space="0"/>
              <w:right w:val="single" w:color="auto" w:sz="4" w:space="0"/>
            </w:tcBorders>
            <w:vAlign w:val="center"/>
          </w:tcPr>
          <w:p w14:paraId="02AE5C85">
            <w:pPr>
              <w:spacing w:line="360" w:lineRule="auto"/>
              <w:jc w:val="center"/>
              <w:rPr>
                <w:rFonts w:ascii="宋体" w:hAnsi="宋体" w:cs="宋体"/>
                <w:b/>
                <w:szCs w:val="21"/>
              </w:rPr>
            </w:pPr>
            <w:r>
              <w:rPr>
                <w:rFonts w:hint="eastAsia" w:ascii="宋体" w:hAnsi="宋体" w:cs="宋体"/>
                <w:b/>
                <w:szCs w:val="21"/>
              </w:rPr>
              <w:t>指标项</w:t>
            </w:r>
          </w:p>
        </w:tc>
        <w:tc>
          <w:tcPr>
            <w:tcW w:w="3505" w:type="pct"/>
            <w:tcBorders>
              <w:top w:val="single" w:color="auto" w:sz="4" w:space="0"/>
              <w:left w:val="single" w:color="auto" w:sz="4" w:space="0"/>
              <w:bottom w:val="single" w:color="auto" w:sz="4" w:space="0"/>
              <w:right w:val="single" w:color="auto" w:sz="4" w:space="0"/>
            </w:tcBorders>
            <w:vAlign w:val="center"/>
          </w:tcPr>
          <w:p w14:paraId="2C361D7D">
            <w:pPr>
              <w:spacing w:line="360" w:lineRule="auto"/>
              <w:jc w:val="center"/>
              <w:rPr>
                <w:rFonts w:ascii="宋体" w:hAnsi="宋体" w:cs="宋体"/>
                <w:b/>
                <w:szCs w:val="21"/>
              </w:rPr>
            </w:pPr>
            <w:r>
              <w:rPr>
                <w:rFonts w:hint="eastAsia" w:ascii="宋体" w:hAnsi="宋体" w:cs="宋体"/>
                <w:b/>
                <w:szCs w:val="21"/>
              </w:rPr>
              <w:t>规格要求</w:t>
            </w:r>
          </w:p>
        </w:tc>
        <w:tc>
          <w:tcPr>
            <w:tcW w:w="675" w:type="pct"/>
            <w:tcBorders>
              <w:top w:val="single" w:color="auto" w:sz="4" w:space="0"/>
              <w:left w:val="single" w:color="auto" w:sz="4" w:space="0"/>
              <w:bottom w:val="single" w:color="auto" w:sz="4" w:space="0"/>
              <w:right w:val="single" w:color="auto" w:sz="4" w:space="0"/>
            </w:tcBorders>
            <w:vAlign w:val="center"/>
          </w:tcPr>
          <w:p w14:paraId="5692B4D0">
            <w:pPr>
              <w:spacing w:line="360" w:lineRule="auto"/>
              <w:jc w:val="center"/>
              <w:rPr>
                <w:rFonts w:ascii="宋体" w:hAnsi="宋体" w:cs="宋体"/>
                <w:b/>
                <w:szCs w:val="21"/>
              </w:rPr>
            </w:pPr>
            <w:r>
              <w:rPr>
                <w:rFonts w:hint="eastAsia" w:ascii="宋体" w:hAnsi="宋体" w:cs="宋体"/>
                <w:b/>
                <w:szCs w:val="21"/>
              </w:rPr>
              <w:t>备注</w:t>
            </w:r>
          </w:p>
        </w:tc>
      </w:tr>
      <w:tr w14:paraId="4A9C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tcBorders>
              <w:top w:val="single" w:color="auto" w:sz="4" w:space="0"/>
              <w:left w:val="single" w:color="auto" w:sz="4" w:space="0"/>
              <w:bottom w:val="single" w:color="auto" w:sz="4" w:space="0"/>
              <w:right w:val="single" w:color="auto" w:sz="4" w:space="0"/>
            </w:tcBorders>
            <w:vAlign w:val="center"/>
          </w:tcPr>
          <w:p w14:paraId="218B1453">
            <w:pPr>
              <w:spacing w:line="360" w:lineRule="auto"/>
              <w:rPr>
                <w:rFonts w:ascii="宋体" w:hAnsi="宋体" w:cs="宋体"/>
                <w:szCs w:val="21"/>
              </w:rPr>
            </w:pPr>
            <w:r>
              <w:rPr>
                <w:rFonts w:hint="eastAsia" w:ascii="宋体" w:hAnsi="宋体" w:cs="宋体"/>
                <w:szCs w:val="21"/>
              </w:rPr>
              <w:t>服务标准</w:t>
            </w:r>
          </w:p>
        </w:tc>
        <w:tc>
          <w:tcPr>
            <w:tcW w:w="3505" w:type="pct"/>
            <w:tcBorders>
              <w:top w:val="single" w:color="auto" w:sz="4" w:space="0"/>
              <w:left w:val="single" w:color="auto" w:sz="4" w:space="0"/>
              <w:bottom w:val="single" w:color="auto" w:sz="4" w:space="0"/>
              <w:right w:val="single" w:color="auto" w:sz="4" w:space="0"/>
            </w:tcBorders>
            <w:vAlign w:val="center"/>
          </w:tcPr>
          <w:p w14:paraId="036F7AC9">
            <w:pPr>
              <w:spacing w:line="360" w:lineRule="auto"/>
              <w:jc w:val="left"/>
              <w:rPr>
                <w:rFonts w:ascii="宋体" w:hAnsi="宋体" w:cs="宋体"/>
                <w:szCs w:val="21"/>
              </w:rPr>
            </w:pPr>
            <w:r>
              <w:rPr>
                <w:rFonts w:hint="eastAsia" w:ascii="宋体" w:hAnsi="宋体" w:cs="宋体"/>
                <w:szCs w:val="21"/>
              </w:rPr>
              <w:t>提供数据集成、开发、治理、服务、质量、安全等全套数据研发工作。</w:t>
            </w:r>
          </w:p>
        </w:tc>
        <w:tc>
          <w:tcPr>
            <w:tcW w:w="675" w:type="pct"/>
            <w:tcBorders>
              <w:top w:val="single" w:color="auto" w:sz="4" w:space="0"/>
              <w:left w:val="single" w:color="auto" w:sz="4" w:space="0"/>
              <w:bottom w:val="single" w:color="auto" w:sz="4" w:space="0"/>
              <w:right w:val="single" w:color="auto" w:sz="4" w:space="0"/>
            </w:tcBorders>
            <w:vAlign w:val="center"/>
          </w:tcPr>
          <w:p w14:paraId="5A10126F">
            <w:pPr>
              <w:spacing w:line="360" w:lineRule="auto"/>
              <w:rPr>
                <w:rFonts w:ascii="宋体" w:hAnsi="宋体" w:cs="宋体"/>
                <w:szCs w:val="21"/>
              </w:rPr>
            </w:pPr>
          </w:p>
        </w:tc>
      </w:tr>
      <w:tr w14:paraId="120F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restart"/>
            <w:tcBorders>
              <w:top w:val="single" w:color="auto" w:sz="4" w:space="0"/>
              <w:left w:val="single" w:color="auto" w:sz="4" w:space="0"/>
              <w:right w:val="single" w:color="auto" w:sz="4" w:space="0"/>
            </w:tcBorders>
            <w:vAlign w:val="center"/>
          </w:tcPr>
          <w:p w14:paraId="13757556">
            <w:pPr>
              <w:spacing w:line="360" w:lineRule="auto"/>
              <w:rPr>
                <w:rFonts w:ascii="宋体" w:hAnsi="宋体" w:cs="宋体"/>
                <w:szCs w:val="21"/>
              </w:rPr>
            </w:pPr>
            <w:r>
              <w:rPr>
                <w:rFonts w:hint="eastAsia" w:ascii="宋体" w:hAnsi="宋体" w:cs="宋体"/>
                <w:szCs w:val="21"/>
              </w:rPr>
              <w:t>服务特性</w:t>
            </w:r>
          </w:p>
        </w:tc>
        <w:tc>
          <w:tcPr>
            <w:tcW w:w="3505" w:type="pct"/>
            <w:tcBorders>
              <w:top w:val="single" w:color="auto" w:sz="4" w:space="0"/>
              <w:left w:val="single" w:color="auto" w:sz="4" w:space="0"/>
              <w:bottom w:val="single" w:color="auto" w:sz="4" w:space="0"/>
              <w:right w:val="single" w:color="auto" w:sz="4" w:space="0"/>
            </w:tcBorders>
            <w:vAlign w:val="center"/>
          </w:tcPr>
          <w:p w14:paraId="58992DE6">
            <w:pPr>
              <w:spacing w:line="360" w:lineRule="auto"/>
              <w:rPr>
                <w:rFonts w:ascii="宋体" w:hAnsi="宋体" w:cs="宋体"/>
                <w:szCs w:val="21"/>
              </w:rPr>
            </w:pPr>
            <w:r>
              <w:rPr>
                <w:rFonts w:hint="eastAsia" w:ascii="宋体" w:hAnsi="宋体" w:cs="宋体"/>
                <w:szCs w:val="21"/>
              </w:rPr>
              <w:t>万亿级数据JOIN，百万级并发Job，作业I/O可达PB级/天</w:t>
            </w:r>
          </w:p>
        </w:tc>
        <w:tc>
          <w:tcPr>
            <w:tcW w:w="675" w:type="pct"/>
            <w:tcBorders>
              <w:top w:val="single" w:color="auto" w:sz="4" w:space="0"/>
              <w:left w:val="single" w:color="auto" w:sz="4" w:space="0"/>
              <w:bottom w:val="single" w:color="auto" w:sz="4" w:space="0"/>
              <w:right w:val="single" w:color="auto" w:sz="4" w:space="0"/>
            </w:tcBorders>
            <w:vAlign w:val="center"/>
          </w:tcPr>
          <w:p w14:paraId="68002F23">
            <w:pPr>
              <w:spacing w:line="360" w:lineRule="auto"/>
              <w:rPr>
                <w:rFonts w:ascii="宋体" w:hAnsi="宋体" w:cs="宋体"/>
                <w:szCs w:val="21"/>
              </w:rPr>
            </w:pPr>
          </w:p>
        </w:tc>
      </w:tr>
      <w:tr w14:paraId="76CF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314F00B5">
            <w:pPr>
              <w:widowControl/>
              <w:spacing w:line="360" w:lineRule="auto"/>
              <w:jc w:val="left"/>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3CB28450">
            <w:pPr>
              <w:spacing w:line="360" w:lineRule="auto"/>
              <w:rPr>
                <w:rFonts w:ascii="宋体" w:hAnsi="宋体" w:cs="宋体"/>
                <w:szCs w:val="21"/>
              </w:rPr>
            </w:pPr>
            <w:r>
              <w:rPr>
                <w:rFonts w:hint="eastAsia" w:ascii="宋体" w:hAnsi="宋体" w:cs="宋体"/>
                <w:szCs w:val="21"/>
              </w:rPr>
              <w:t>离线调度支持百万级任务量，实时监控告警</w:t>
            </w:r>
          </w:p>
        </w:tc>
        <w:tc>
          <w:tcPr>
            <w:tcW w:w="675" w:type="pct"/>
            <w:tcBorders>
              <w:top w:val="single" w:color="auto" w:sz="4" w:space="0"/>
              <w:left w:val="single" w:color="auto" w:sz="4" w:space="0"/>
              <w:bottom w:val="single" w:color="auto" w:sz="4" w:space="0"/>
              <w:right w:val="single" w:color="auto" w:sz="4" w:space="0"/>
            </w:tcBorders>
            <w:vAlign w:val="center"/>
          </w:tcPr>
          <w:p w14:paraId="5FDBE65A">
            <w:pPr>
              <w:spacing w:line="360" w:lineRule="auto"/>
              <w:rPr>
                <w:rFonts w:ascii="宋体" w:hAnsi="宋体" w:cs="宋体"/>
                <w:szCs w:val="21"/>
              </w:rPr>
            </w:pPr>
          </w:p>
        </w:tc>
      </w:tr>
      <w:tr w14:paraId="18F2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20" w:type="pct"/>
            <w:vMerge w:val="continue"/>
            <w:tcBorders>
              <w:left w:val="single" w:color="auto" w:sz="4" w:space="0"/>
              <w:right w:val="single" w:color="auto" w:sz="4" w:space="0"/>
            </w:tcBorders>
            <w:vAlign w:val="center"/>
          </w:tcPr>
          <w:p w14:paraId="3C4A21AA">
            <w:pPr>
              <w:widowControl/>
              <w:spacing w:line="360" w:lineRule="auto"/>
              <w:jc w:val="left"/>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05188F63">
            <w:pPr>
              <w:spacing w:line="360" w:lineRule="auto"/>
              <w:rPr>
                <w:rFonts w:ascii="宋体" w:hAnsi="宋体" w:cs="宋体"/>
                <w:szCs w:val="21"/>
              </w:rPr>
            </w:pPr>
            <w:r>
              <w:rPr>
                <w:rFonts w:hint="eastAsia" w:ascii="宋体" w:hAnsi="宋体" w:cs="宋体"/>
                <w:szCs w:val="21"/>
              </w:rPr>
              <w:t>提供功能强大易用的SQL、MR引擎，兼容大部分标准SQL语法</w:t>
            </w:r>
          </w:p>
        </w:tc>
        <w:tc>
          <w:tcPr>
            <w:tcW w:w="675" w:type="pct"/>
            <w:tcBorders>
              <w:top w:val="single" w:color="auto" w:sz="4" w:space="0"/>
              <w:left w:val="single" w:color="auto" w:sz="4" w:space="0"/>
              <w:bottom w:val="single" w:color="auto" w:sz="4" w:space="0"/>
              <w:right w:val="single" w:color="auto" w:sz="4" w:space="0"/>
            </w:tcBorders>
            <w:vAlign w:val="center"/>
          </w:tcPr>
          <w:p w14:paraId="08F91506">
            <w:pPr>
              <w:spacing w:line="360" w:lineRule="auto"/>
              <w:rPr>
                <w:rFonts w:ascii="宋体" w:hAnsi="宋体" w:cs="宋体"/>
                <w:szCs w:val="21"/>
              </w:rPr>
            </w:pPr>
          </w:p>
        </w:tc>
      </w:tr>
      <w:tr w14:paraId="65D3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0D5379A6">
            <w:pPr>
              <w:widowControl/>
              <w:spacing w:line="360" w:lineRule="auto"/>
              <w:jc w:val="left"/>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49D27D6F">
            <w:pPr>
              <w:spacing w:line="360" w:lineRule="auto"/>
              <w:jc w:val="left"/>
              <w:rPr>
                <w:rFonts w:ascii="宋体" w:hAnsi="宋体" w:cs="宋体"/>
                <w:szCs w:val="21"/>
              </w:rPr>
            </w:pPr>
            <w:r>
              <w:rPr>
                <w:rFonts w:hint="eastAsia" w:ascii="宋体" w:hAnsi="宋体" w:cs="宋体"/>
                <w:szCs w:val="21"/>
              </w:rPr>
              <w:t>采用三重备份、读写请求鉴权、应用沙箱、系统沙箱等多层次数据存储和访问安全机制保护您的数据，确保不丢失、不泄露、不被窃取</w:t>
            </w:r>
          </w:p>
        </w:tc>
        <w:tc>
          <w:tcPr>
            <w:tcW w:w="675" w:type="pct"/>
            <w:tcBorders>
              <w:top w:val="single" w:color="auto" w:sz="4" w:space="0"/>
              <w:left w:val="single" w:color="auto" w:sz="4" w:space="0"/>
              <w:bottom w:val="single" w:color="auto" w:sz="4" w:space="0"/>
              <w:right w:val="single" w:color="auto" w:sz="4" w:space="0"/>
            </w:tcBorders>
            <w:vAlign w:val="center"/>
          </w:tcPr>
          <w:p w14:paraId="7F928EC5">
            <w:pPr>
              <w:spacing w:line="360" w:lineRule="auto"/>
              <w:rPr>
                <w:rFonts w:ascii="宋体" w:hAnsi="宋体" w:cs="宋体"/>
                <w:szCs w:val="21"/>
              </w:rPr>
            </w:pPr>
          </w:p>
        </w:tc>
      </w:tr>
      <w:tr w14:paraId="086B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69C28BCA">
            <w:pPr>
              <w:widowControl/>
              <w:spacing w:line="360" w:lineRule="auto"/>
              <w:jc w:val="left"/>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0DC949D2">
            <w:pPr>
              <w:spacing w:line="360" w:lineRule="auto"/>
              <w:rPr>
                <w:rFonts w:ascii="宋体" w:hAnsi="宋体" w:cs="宋体"/>
                <w:szCs w:val="21"/>
              </w:rPr>
            </w:pPr>
            <w:r>
              <w:rPr>
                <w:rFonts w:hint="eastAsia" w:ascii="宋体" w:hAnsi="宋体" w:cs="宋体"/>
                <w:szCs w:val="21"/>
              </w:rPr>
              <w:t>提供数据从集成、加工、管理、监控、输出服务的全流程所有功能,提供可视化工作流程设计器功能</w:t>
            </w:r>
          </w:p>
        </w:tc>
        <w:tc>
          <w:tcPr>
            <w:tcW w:w="675" w:type="pct"/>
            <w:tcBorders>
              <w:top w:val="single" w:color="auto" w:sz="4" w:space="0"/>
              <w:left w:val="single" w:color="auto" w:sz="4" w:space="0"/>
              <w:bottom w:val="single" w:color="auto" w:sz="4" w:space="0"/>
              <w:right w:val="single" w:color="auto" w:sz="4" w:space="0"/>
            </w:tcBorders>
            <w:vAlign w:val="center"/>
          </w:tcPr>
          <w:p w14:paraId="4DF2A510">
            <w:pPr>
              <w:spacing w:line="360" w:lineRule="auto"/>
              <w:rPr>
                <w:rFonts w:ascii="宋体" w:hAnsi="宋体" w:cs="宋体"/>
                <w:szCs w:val="21"/>
              </w:rPr>
            </w:pPr>
          </w:p>
        </w:tc>
      </w:tr>
      <w:tr w14:paraId="7066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restart"/>
            <w:tcBorders>
              <w:left w:val="single" w:color="auto" w:sz="4" w:space="0"/>
              <w:right w:val="single" w:color="auto" w:sz="4" w:space="0"/>
            </w:tcBorders>
            <w:vAlign w:val="center"/>
          </w:tcPr>
          <w:p w14:paraId="7D205A91">
            <w:pPr>
              <w:widowControl/>
              <w:spacing w:line="360" w:lineRule="auto"/>
              <w:jc w:val="left"/>
              <w:rPr>
                <w:rFonts w:ascii="宋体" w:hAnsi="宋体" w:cs="宋体"/>
                <w:szCs w:val="21"/>
              </w:rPr>
            </w:pPr>
            <w:r>
              <w:rPr>
                <w:rFonts w:hint="eastAsia" w:ascii="宋体" w:hAnsi="宋体" w:cs="宋体"/>
                <w:szCs w:val="21"/>
              </w:rPr>
              <w:t>服务能力</w:t>
            </w:r>
          </w:p>
        </w:tc>
        <w:tc>
          <w:tcPr>
            <w:tcW w:w="3505" w:type="pct"/>
            <w:tcBorders>
              <w:top w:val="single" w:color="auto" w:sz="4" w:space="0"/>
              <w:left w:val="single" w:color="auto" w:sz="4" w:space="0"/>
              <w:bottom w:val="single" w:color="auto" w:sz="4" w:space="0"/>
              <w:right w:val="single" w:color="auto" w:sz="4" w:space="0"/>
            </w:tcBorders>
            <w:vAlign w:val="center"/>
          </w:tcPr>
          <w:p w14:paraId="0F0AA922">
            <w:pPr>
              <w:spacing w:line="360" w:lineRule="auto"/>
              <w:rPr>
                <w:rFonts w:ascii="宋体" w:hAnsi="宋体" w:cs="宋体"/>
                <w:szCs w:val="21"/>
              </w:rPr>
            </w:pPr>
            <w:r>
              <w:rPr>
                <w:rFonts w:hint="eastAsia" w:ascii="宋体" w:hAnsi="宋体" w:cs="宋体"/>
                <w:szCs w:val="21"/>
              </w:rPr>
              <w:t>支持400对异构数据源的离线同步，支持分钟、小时、天、周和月多种调度周期配置</w:t>
            </w:r>
          </w:p>
        </w:tc>
        <w:tc>
          <w:tcPr>
            <w:tcW w:w="675" w:type="pct"/>
            <w:tcBorders>
              <w:top w:val="single" w:color="auto" w:sz="4" w:space="0"/>
              <w:left w:val="single" w:color="auto" w:sz="4" w:space="0"/>
              <w:bottom w:val="single" w:color="auto" w:sz="4" w:space="0"/>
              <w:right w:val="single" w:color="auto" w:sz="4" w:space="0"/>
            </w:tcBorders>
            <w:vAlign w:val="center"/>
          </w:tcPr>
          <w:p w14:paraId="4D61A27A">
            <w:pPr>
              <w:spacing w:line="360" w:lineRule="auto"/>
              <w:rPr>
                <w:rFonts w:ascii="宋体" w:hAnsi="宋体" w:cs="宋体"/>
                <w:szCs w:val="21"/>
              </w:rPr>
            </w:pPr>
          </w:p>
        </w:tc>
      </w:tr>
      <w:tr w14:paraId="234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0" w:type="pct"/>
            <w:vMerge w:val="continue"/>
            <w:tcBorders>
              <w:left w:val="single" w:color="auto" w:sz="4" w:space="0"/>
              <w:right w:val="single" w:color="auto" w:sz="4" w:space="0"/>
            </w:tcBorders>
            <w:vAlign w:val="center"/>
          </w:tcPr>
          <w:p w14:paraId="591B0916">
            <w:pPr>
              <w:widowControl/>
              <w:spacing w:line="360" w:lineRule="auto"/>
              <w:jc w:val="left"/>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0731A08C">
            <w:pPr>
              <w:spacing w:line="360" w:lineRule="auto"/>
              <w:jc w:val="left"/>
              <w:rPr>
                <w:rFonts w:ascii="宋体" w:hAnsi="宋体" w:cs="宋体"/>
                <w:szCs w:val="21"/>
              </w:rPr>
            </w:pPr>
            <w:r>
              <w:rPr>
                <w:rFonts w:hint="eastAsia" w:ascii="宋体" w:hAnsi="宋体" w:cs="宋体"/>
                <w:szCs w:val="21"/>
              </w:rPr>
              <w:t>多租户模型确保您的数据被安全隔离，以租户为单位进行统⼀的权限管控、数据管理、调度资源管理和成员管理工作</w:t>
            </w:r>
          </w:p>
        </w:tc>
        <w:tc>
          <w:tcPr>
            <w:tcW w:w="675" w:type="pct"/>
            <w:tcBorders>
              <w:top w:val="single" w:color="auto" w:sz="4" w:space="0"/>
              <w:left w:val="single" w:color="auto" w:sz="4" w:space="0"/>
              <w:bottom w:val="single" w:color="auto" w:sz="4" w:space="0"/>
              <w:right w:val="single" w:color="auto" w:sz="4" w:space="0"/>
            </w:tcBorders>
            <w:vAlign w:val="center"/>
          </w:tcPr>
          <w:p w14:paraId="152707DD">
            <w:pPr>
              <w:spacing w:line="360" w:lineRule="auto"/>
              <w:rPr>
                <w:rFonts w:ascii="宋体" w:hAnsi="宋体" w:cs="宋体"/>
                <w:szCs w:val="21"/>
              </w:rPr>
            </w:pPr>
          </w:p>
        </w:tc>
      </w:tr>
      <w:tr w14:paraId="797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0" w:type="pct"/>
            <w:vMerge w:val="continue"/>
            <w:tcBorders>
              <w:left w:val="single" w:color="auto" w:sz="4" w:space="0"/>
              <w:right w:val="single" w:color="auto" w:sz="4" w:space="0"/>
            </w:tcBorders>
            <w:vAlign w:val="center"/>
          </w:tcPr>
          <w:p w14:paraId="21698D37">
            <w:pPr>
              <w:widowControl/>
              <w:spacing w:line="360" w:lineRule="auto"/>
              <w:jc w:val="left"/>
              <w:rPr>
                <w:rFonts w:ascii="宋体" w:hAnsi="宋体" w:cs="宋体"/>
                <w:szCs w:val="21"/>
              </w:rPr>
            </w:pPr>
          </w:p>
        </w:tc>
        <w:tc>
          <w:tcPr>
            <w:tcW w:w="3505" w:type="pct"/>
            <w:tcBorders>
              <w:top w:val="single" w:color="auto" w:sz="4" w:space="0"/>
              <w:left w:val="single" w:color="auto" w:sz="4" w:space="0"/>
              <w:bottom w:val="single" w:color="auto" w:sz="4" w:space="0"/>
              <w:right w:val="single" w:color="auto" w:sz="4" w:space="0"/>
            </w:tcBorders>
            <w:vAlign w:val="center"/>
          </w:tcPr>
          <w:p w14:paraId="18CFB55B">
            <w:pPr>
              <w:spacing w:line="360" w:lineRule="auto"/>
              <w:rPr>
                <w:rFonts w:ascii="宋体" w:hAnsi="宋体" w:cs="宋体"/>
                <w:szCs w:val="21"/>
              </w:rPr>
            </w:pPr>
            <w:r>
              <w:rPr>
                <w:rFonts w:hint="eastAsia" w:ascii="宋体" w:hAnsi="宋体" w:cs="宋体"/>
                <w:szCs w:val="21"/>
              </w:rPr>
              <w:t>支持多种异构数据源、离线数据、实时数据的质量校验、通知、管理</w:t>
            </w:r>
          </w:p>
        </w:tc>
        <w:tc>
          <w:tcPr>
            <w:tcW w:w="675" w:type="pct"/>
            <w:tcBorders>
              <w:top w:val="single" w:color="auto" w:sz="4" w:space="0"/>
              <w:left w:val="single" w:color="auto" w:sz="4" w:space="0"/>
              <w:bottom w:val="single" w:color="auto" w:sz="4" w:space="0"/>
              <w:right w:val="single" w:color="auto" w:sz="4" w:space="0"/>
            </w:tcBorders>
            <w:vAlign w:val="center"/>
          </w:tcPr>
          <w:p w14:paraId="22BF15DB">
            <w:pPr>
              <w:spacing w:line="360" w:lineRule="auto"/>
              <w:rPr>
                <w:rFonts w:ascii="宋体" w:hAnsi="宋体" w:cs="宋体"/>
                <w:szCs w:val="21"/>
              </w:rPr>
            </w:pPr>
          </w:p>
        </w:tc>
      </w:tr>
    </w:tbl>
    <w:p w14:paraId="59C00DFF">
      <w:pPr>
        <w:pStyle w:val="23"/>
        <w:snapToGrid w:val="0"/>
        <w:ind w:firstLine="420" w:firstLineChars="200"/>
        <w:outlineLvl w:val="4"/>
        <w:rPr>
          <w:rFonts w:hAnsi="宋体" w:cs="宋体"/>
          <w:sz w:val="21"/>
        </w:rPr>
      </w:pPr>
      <w:r>
        <w:rPr>
          <w:rFonts w:hint="eastAsia" w:hAnsi="宋体" w:cs="宋体"/>
          <w:sz w:val="21"/>
        </w:rPr>
        <w:t>7.1.2.16 GPU云主机服务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6824"/>
        <w:gridCol w:w="1029"/>
      </w:tblGrid>
      <w:tr w14:paraId="2324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tcBorders>
              <w:top w:val="single" w:color="auto" w:sz="4" w:space="0"/>
              <w:left w:val="single" w:color="auto" w:sz="4" w:space="0"/>
              <w:bottom w:val="single" w:color="auto" w:sz="4" w:space="0"/>
              <w:right w:val="single" w:color="auto" w:sz="4" w:space="0"/>
            </w:tcBorders>
            <w:vAlign w:val="center"/>
          </w:tcPr>
          <w:p w14:paraId="28D99D80">
            <w:pPr>
              <w:spacing w:line="360" w:lineRule="auto"/>
              <w:jc w:val="center"/>
              <w:rPr>
                <w:rFonts w:ascii="宋体" w:hAnsi="宋体" w:cs="宋体"/>
                <w:b/>
                <w:szCs w:val="21"/>
              </w:rPr>
            </w:pPr>
            <w:r>
              <w:rPr>
                <w:rFonts w:hint="eastAsia" w:ascii="宋体" w:hAnsi="宋体" w:cs="宋体"/>
                <w:b/>
                <w:szCs w:val="21"/>
              </w:rPr>
              <w:t>指标项</w:t>
            </w:r>
          </w:p>
        </w:tc>
        <w:tc>
          <w:tcPr>
            <w:tcW w:w="3673" w:type="pct"/>
            <w:tcBorders>
              <w:top w:val="single" w:color="auto" w:sz="4" w:space="0"/>
              <w:left w:val="single" w:color="auto" w:sz="4" w:space="0"/>
              <w:bottom w:val="single" w:color="auto" w:sz="4" w:space="0"/>
              <w:right w:val="single" w:color="auto" w:sz="4" w:space="0"/>
            </w:tcBorders>
            <w:vAlign w:val="center"/>
          </w:tcPr>
          <w:p w14:paraId="2F6336B1">
            <w:pPr>
              <w:spacing w:line="360" w:lineRule="auto"/>
              <w:jc w:val="center"/>
              <w:rPr>
                <w:rFonts w:ascii="宋体" w:hAnsi="宋体" w:cs="宋体"/>
                <w:b/>
                <w:szCs w:val="21"/>
              </w:rPr>
            </w:pPr>
            <w:r>
              <w:rPr>
                <w:rFonts w:hint="eastAsia" w:ascii="宋体" w:hAnsi="宋体" w:cs="宋体"/>
                <w:b/>
                <w:szCs w:val="21"/>
              </w:rPr>
              <w:t>规格要求</w:t>
            </w:r>
          </w:p>
        </w:tc>
        <w:tc>
          <w:tcPr>
            <w:tcW w:w="554" w:type="pct"/>
            <w:tcBorders>
              <w:top w:val="single" w:color="auto" w:sz="4" w:space="0"/>
              <w:left w:val="single" w:color="auto" w:sz="4" w:space="0"/>
              <w:bottom w:val="single" w:color="auto" w:sz="4" w:space="0"/>
              <w:right w:val="single" w:color="auto" w:sz="4" w:space="0"/>
            </w:tcBorders>
            <w:vAlign w:val="center"/>
          </w:tcPr>
          <w:p w14:paraId="58D42128">
            <w:pPr>
              <w:spacing w:line="360" w:lineRule="auto"/>
              <w:jc w:val="center"/>
              <w:rPr>
                <w:rFonts w:ascii="宋体" w:hAnsi="宋体" w:cs="宋体"/>
                <w:b/>
                <w:szCs w:val="21"/>
              </w:rPr>
            </w:pPr>
            <w:r>
              <w:rPr>
                <w:rFonts w:hint="eastAsia" w:ascii="宋体" w:hAnsi="宋体" w:cs="宋体"/>
                <w:b/>
                <w:szCs w:val="21"/>
              </w:rPr>
              <w:t>备注</w:t>
            </w:r>
          </w:p>
        </w:tc>
      </w:tr>
      <w:tr w14:paraId="3019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tcBorders>
              <w:top w:val="single" w:color="auto" w:sz="4" w:space="0"/>
              <w:left w:val="single" w:color="auto" w:sz="4" w:space="0"/>
              <w:bottom w:val="single" w:color="auto" w:sz="4" w:space="0"/>
              <w:right w:val="single" w:color="auto" w:sz="4" w:space="0"/>
            </w:tcBorders>
            <w:vAlign w:val="center"/>
          </w:tcPr>
          <w:p w14:paraId="2DA68CB3">
            <w:pPr>
              <w:spacing w:line="360" w:lineRule="auto"/>
              <w:jc w:val="left"/>
              <w:rPr>
                <w:rFonts w:ascii="宋体" w:hAnsi="宋体" w:cs="宋体"/>
                <w:szCs w:val="21"/>
              </w:rPr>
            </w:pPr>
            <w:r>
              <w:rPr>
                <w:rFonts w:hint="eastAsia" w:ascii="宋体" w:hAnsi="宋体" w:cs="宋体"/>
                <w:szCs w:val="21"/>
              </w:rPr>
              <w:t>服务标准</w:t>
            </w:r>
          </w:p>
        </w:tc>
        <w:tc>
          <w:tcPr>
            <w:tcW w:w="3673" w:type="pct"/>
            <w:tcBorders>
              <w:top w:val="single" w:color="auto" w:sz="4" w:space="0"/>
              <w:left w:val="single" w:color="auto" w:sz="4" w:space="0"/>
              <w:bottom w:val="single" w:color="auto" w:sz="4" w:space="0"/>
              <w:right w:val="single" w:color="auto" w:sz="4" w:space="0"/>
            </w:tcBorders>
            <w:vAlign w:val="center"/>
          </w:tcPr>
          <w:p w14:paraId="2B9583F3">
            <w:pPr>
              <w:spacing w:line="360" w:lineRule="auto"/>
              <w:jc w:val="left"/>
              <w:rPr>
                <w:rFonts w:ascii="宋体" w:hAnsi="宋体" w:cs="宋体"/>
                <w:szCs w:val="21"/>
              </w:rPr>
            </w:pPr>
            <w:r>
              <w:rPr>
                <w:rFonts w:hint="eastAsia" w:ascii="宋体" w:hAnsi="宋体" w:cs="宋体"/>
                <w:szCs w:val="21"/>
              </w:rPr>
              <w:t>根据用户需求，弹性计算和GPU高速的并行异构加速器组合在一起，提供弹性计算的特点和GPU的加速能力</w:t>
            </w:r>
          </w:p>
        </w:tc>
        <w:tc>
          <w:tcPr>
            <w:tcW w:w="554" w:type="pct"/>
            <w:tcBorders>
              <w:top w:val="single" w:color="auto" w:sz="4" w:space="0"/>
              <w:left w:val="single" w:color="auto" w:sz="4" w:space="0"/>
              <w:bottom w:val="single" w:color="auto" w:sz="4" w:space="0"/>
              <w:right w:val="single" w:color="auto" w:sz="4" w:space="0"/>
            </w:tcBorders>
            <w:vAlign w:val="center"/>
          </w:tcPr>
          <w:p w14:paraId="1FDC6979">
            <w:pPr>
              <w:spacing w:line="360" w:lineRule="auto"/>
              <w:jc w:val="left"/>
              <w:rPr>
                <w:rFonts w:ascii="宋体" w:hAnsi="宋体" w:cs="宋体"/>
                <w:szCs w:val="21"/>
              </w:rPr>
            </w:pPr>
          </w:p>
        </w:tc>
      </w:tr>
      <w:tr w14:paraId="7D78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vMerge w:val="restart"/>
            <w:tcBorders>
              <w:top w:val="single" w:color="auto" w:sz="4" w:space="0"/>
              <w:left w:val="single" w:color="auto" w:sz="4" w:space="0"/>
              <w:bottom w:val="single" w:color="auto" w:sz="4" w:space="0"/>
              <w:right w:val="single" w:color="auto" w:sz="4" w:space="0"/>
            </w:tcBorders>
            <w:vAlign w:val="center"/>
          </w:tcPr>
          <w:p w14:paraId="58F13B24">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52487075">
            <w:pPr>
              <w:spacing w:line="360" w:lineRule="auto"/>
              <w:jc w:val="left"/>
              <w:rPr>
                <w:rFonts w:ascii="宋体" w:hAnsi="宋体" w:cs="宋体"/>
                <w:szCs w:val="21"/>
              </w:rPr>
            </w:pPr>
            <w:r>
              <w:rPr>
                <w:rFonts w:hint="eastAsia" w:ascii="宋体" w:hAnsi="宋体" w:cs="宋体"/>
                <w:szCs w:val="21"/>
              </w:rPr>
              <w:t>提供系列化的规格族，分钟级创建GPU实例，支持水平扩容和垂直变配</w:t>
            </w:r>
          </w:p>
        </w:tc>
        <w:tc>
          <w:tcPr>
            <w:tcW w:w="554" w:type="pct"/>
            <w:tcBorders>
              <w:top w:val="single" w:color="auto" w:sz="4" w:space="0"/>
              <w:left w:val="single" w:color="auto" w:sz="4" w:space="0"/>
              <w:bottom w:val="single" w:color="auto" w:sz="4" w:space="0"/>
              <w:right w:val="single" w:color="auto" w:sz="4" w:space="0"/>
            </w:tcBorders>
            <w:vAlign w:val="center"/>
          </w:tcPr>
          <w:p w14:paraId="3052A8B7">
            <w:pPr>
              <w:spacing w:line="360" w:lineRule="auto"/>
              <w:jc w:val="left"/>
              <w:rPr>
                <w:rFonts w:ascii="宋体" w:hAnsi="宋体" w:cs="宋体"/>
                <w:szCs w:val="21"/>
              </w:rPr>
            </w:pPr>
          </w:p>
        </w:tc>
      </w:tr>
      <w:tr w14:paraId="2546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vMerge w:val="continue"/>
            <w:tcBorders>
              <w:top w:val="single" w:color="auto" w:sz="4" w:space="0"/>
              <w:left w:val="single" w:color="auto" w:sz="4" w:space="0"/>
              <w:bottom w:val="single" w:color="auto" w:sz="4" w:space="0"/>
              <w:right w:val="single" w:color="auto" w:sz="4" w:space="0"/>
            </w:tcBorders>
            <w:vAlign w:val="center"/>
          </w:tcPr>
          <w:p w14:paraId="62F84238">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2EF7E285">
            <w:pPr>
              <w:spacing w:line="360" w:lineRule="auto"/>
              <w:jc w:val="left"/>
              <w:rPr>
                <w:rFonts w:ascii="宋体" w:hAnsi="宋体" w:cs="宋体"/>
                <w:szCs w:val="21"/>
              </w:rPr>
            </w:pPr>
            <w:r>
              <w:rPr>
                <w:rFonts w:hint="eastAsia" w:ascii="宋体" w:hAnsi="宋体" w:cs="宋体"/>
                <w:szCs w:val="21"/>
              </w:rPr>
              <w:t>支持GPUDirect，GPU之间点对点通信。GPU可以直接通过NVLink总线互联通信，具备高带宽低时延的特点，无需CPU干预。</w:t>
            </w:r>
          </w:p>
        </w:tc>
        <w:tc>
          <w:tcPr>
            <w:tcW w:w="554" w:type="pct"/>
            <w:tcBorders>
              <w:top w:val="single" w:color="auto" w:sz="4" w:space="0"/>
              <w:left w:val="single" w:color="auto" w:sz="4" w:space="0"/>
              <w:bottom w:val="single" w:color="auto" w:sz="4" w:space="0"/>
              <w:right w:val="single" w:color="auto" w:sz="4" w:space="0"/>
            </w:tcBorders>
            <w:vAlign w:val="center"/>
          </w:tcPr>
          <w:p w14:paraId="1FDA9654">
            <w:pPr>
              <w:spacing w:line="360" w:lineRule="auto"/>
              <w:jc w:val="left"/>
              <w:rPr>
                <w:rFonts w:ascii="宋体" w:hAnsi="宋体" w:cs="宋体"/>
                <w:szCs w:val="21"/>
              </w:rPr>
            </w:pPr>
          </w:p>
        </w:tc>
      </w:tr>
      <w:tr w14:paraId="48AF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pct"/>
            <w:vMerge w:val="continue"/>
            <w:tcBorders>
              <w:top w:val="single" w:color="auto" w:sz="4" w:space="0"/>
              <w:left w:val="single" w:color="auto" w:sz="4" w:space="0"/>
              <w:bottom w:val="single" w:color="auto" w:sz="4" w:space="0"/>
              <w:right w:val="single" w:color="auto" w:sz="4" w:space="0"/>
            </w:tcBorders>
            <w:vAlign w:val="center"/>
          </w:tcPr>
          <w:p w14:paraId="6317C055">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50AF4796">
            <w:pPr>
              <w:spacing w:line="360" w:lineRule="auto"/>
              <w:jc w:val="left"/>
              <w:rPr>
                <w:rFonts w:ascii="宋体" w:hAnsi="宋体" w:cs="宋体"/>
                <w:szCs w:val="21"/>
              </w:rPr>
            </w:pPr>
            <w:r>
              <w:rPr>
                <w:rFonts w:hint="eastAsia" w:ascii="宋体" w:hAnsi="宋体" w:cs="宋体"/>
                <w:szCs w:val="21"/>
              </w:rPr>
              <w:t>多租户间弹性GPU安全隔离，并通过Hypervisor授权和管理。允许灵活配置多块GPU实现互相高速通信的同时，还具备隔离带来的安全性</w:t>
            </w:r>
          </w:p>
        </w:tc>
        <w:tc>
          <w:tcPr>
            <w:tcW w:w="554" w:type="pct"/>
            <w:tcBorders>
              <w:top w:val="single" w:color="auto" w:sz="4" w:space="0"/>
              <w:left w:val="single" w:color="auto" w:sz="4" w:space="0"/>
              <w:bottom w:val="single" w:color="auto" w:sz="4" w:space="0"/>
              <w:right w:val="single" w:color="auto" w:sz="4" w:space="0"/>
            </w:tcBorders>
            <w:vAlign w:val="center"/>
          </w:tcPr>
          <w:p w14:paraId="23F4941D">
            <w:pPr>
              <w:spacing w:line="360" w:lineRule="auto"/>
              <w:jc w:val="left"/>
              <w:rPr>
                <w:rFonts w:ascii="宋体" w:hAnsi="宋体" w:cs="宋体"/>
                <w:szCs w:val="21"/>
              </w:rPr>
            </w:pPr>
          </w:p>
        </w:tc>
      </w:tr>
      <w:tr w14:paraId="6E44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vMerge w:val="continue"/>
            <w:tcBorders>
              <w:top w:val="single" w:color="auto" w:sz="4" w:space="0"/>
              <w:left w:val="single" w:color="auto" w:sz="4" w:space="0"/>
              <w:bottom w:val="single" w:color="auto" w:sz="4" w:space="0"/>
              <w:right w:val="single" w:color="auto" w:sz="4" w:space="0"/>
            </w:tcBorders>
            <w:vAlign w:val="center"/>
          </w:tcPr>
          <w:p w14:paraId="02041C84">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290D50B7">
            <w:pPr>
              <w:spacing w:line="360" w:lineRule="auto"/>
              <w:jc w:val="left"/>
              <w:rPr>
                <w:rFonts w:ascii="宋体" w:hAnsi="宋体" w:cs="宋体"/>
                <w:szCs w:val="21"/>
              </w:rPr>
            </w:pPr>
            <w:r>
              <w:rPr>
                <w:rFonts w:hint="eastAsia" w:ascii="宋体" w:hAnsi="宋体" w:cs="宋体"/>
                <w:szCs w:val="21"/>
              </w:rPr>
              <w:t>提供全面的GPU监控数据，包括GPU、实例和分组维度</w:t>
            </w:r>
          </w:p>
        </w:tc>
        <w:tc>
          <w:tcPr>
            <w:tcW w:w="554" w:type="pct"/>
            <w:tcBorders>
              <w:top w:val="single" w:color="auto" w:sz="4" w:space="0"/>
              <w:left w:val="single" w:color="auto" w:sz="4" w:space="0"/>
              <w:bottom w:val="single" w:color="auto" w:sz="4" w:space="0"/>
              <w:right w:val="single" w:color="auto" w:sz="4" w:space="0"/>
            </w:tcBorders>
            <w:vAlign w:val="center"/>
          </w:tcPr>
          <w:p w14:paraId="0BEA6B4F">
            <w:pPr>
              <w:spacing w:line="360" w:lineRule="auto"/>
              <w:jc w:val="left"/>
              <w:rPr>
                <w:rFonts w:ascii="宋体" w:hAnsi="宋体" w:cs="宋体"/>
                <w:szCs w:val="21"/>
              </w:rPr>
            </w:pPr>
          </w:p>
        </w:tc>
      </w:tr>
      <w:tr w14:paraId="089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vMerge w:val="restart"/>
            <w:tcBorders>
              <w:top w:val="single" w:color="auto" w:sz="4" w:space="0"/>
              <w:left w:val="single" w:color="auto" w:sz="4" w:space="0"/>
              <w:bottom w:val="single" w:color="auto" w:sz="4" w:space="0"/>
              <w:right w:val="single" w:color="auto" w:sz="4" w:space="0"/>
            </w:tcBorders>
            <w:vAlign w:val="center"/>
          </w:tcPr>
          <w:p w14:paraId="410C59FC">
            <w:pPr>
              <w:spacing w:line="360" w:lineRule="auto"/>
              <w:jc w:val="left"/>
              <w:rPr>
                <w:rFonts w:ascii="宋体" w:hAnsi="宋体" w:cs="宋体"/>
                <w:szCs w:val="21"/>
              </w:rPr>
            </w:pPr>
            <w:r>
              <w:rPr>
                <w:rFonts w:hint="eastAsia" w:ascii="宋体" w:hAnsi="宋体" w:cs="宋体"/>
                <w:szCs w:val="21"/>
              </w:rPr>
              <w:t>服务能力</w:t>
            </w:r>
          </w:p>
          <w:p w14:paraId="099E30C3">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3FA4E386">
            <w:pPr>
              <w:spacing w:line="360" w:lineRule="auto"/>
              <w:jc w:val="left"/>
              <w:rPr>
                <w:rFonts w:ascii="宋体" w:hAnsi="宋体" w:cs="宋体"/>
                <w:szCs w:val="21"/>
              </w:rPr>
            </w:pPr>
            <w:r>
              <w:rPr>
                <w:rFonts w:hint="eastAsia" w:ascii="宋体" w:hAnsi="宋体" w:cs="宋体"/>
                <w:szCs w:val="21"/>
              </w:rPr>
              <w:t>内存性能不低于物理内存性能。</w:t>
            </w:r>
          </w:p>
        </w:tc>
        <w:tc>
          <w:tcPr>
            <w:tcW w:w="554" w:type="pct"/>
            <w:tcBorders>
              <w:top w:val="single" w:color="auto" w:sz="4" w:space="0"/>
              <w:left w:val="single" w:color="auto" w:sz="4" w:space="0"/>
              <w:bottom w:val="single" w:color="auto" w:sz="4" w:space="0"/>
              <w:right w:val="single" w:color="auto" w:sz="4" w:space="0"/>
            </w:tcBorders>
            <w:vAlign w:val="center"/>
          </w:tcPr>
          <w:p w14:paraId="66C3568A">
            <w:pPr>
              <w:spacing w:line="360" w:lineRule="auto"/>
              <w:jc w:val="left"/>
              <w:rPr>
                <w:rFonts w:ascii="宋体" w:hAnsi="宋体" w:cs="宋体"/>
                <w:szCs w:val="21"/>
              </w:rPr>
            </w:pPr>
          </w:p>
        </w:tc>
      </w:tr>
      <w:tr w14:paraId="4C25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vMerge w:val="continue"/>
            <w:tcBorders>
              <w:top w:val="single" w:color="auto" w:sz="4" w:space="0"/>
              <w:left w:val="single" w:color="auto" w:sz="4" w:space="0"/>
              <w:bottom w:val="single" w:color="auto" w:sz="4" w:space="0"/>
              <w:right w:val="single" w:color="auto" w:sz="4" w:space="0"/>
            </w:tcBorders>
            <w:vAlign w:val="center"/>
          </w:tcPr>
          <w:p w14:paraId="298BE128">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3423EC16">
            <w:pPr>
              <w:spacing w:line="360" w:lineRule="auto"/>
              <w:jc w:val="left"/>
              <w:rPr>
                <w:rFonts w:ascii="宋体" w:hAnsi="宋体" w:cs="宋体"/>
                <w:szCs w:val="21"/>
              </w:rPr>
            </w:pPr>
            <w:r>
              <w:rPr>
                <w:rFonts w:hint="eastAsia" w:ascii="宋体" w:hAnsi="宋体" w:cs="宋体"/>
                <w:szCs w:val="21"/>
              </w:rPr>
              <w:t>支持故障切换，动态迁移，多数据备份等，可以达到99.9%的可用性</w:t>
            </w:r>
          </w:p>
        </w:tc>
        <w:tc>
          <w:tcPr>
            <w:tcW w:w="554" w:type="pct"/>
            <w:tcBorders>
              <w:top w:val="single" w:color="auto" w:sz="4" w:space="0"/>
              <w:left w:val="single" w:color="auto" w:sz="4" w:space="0"/>
              <w:bottom w:val="single" w:color="auto" w:sz="4" w:space="0"/>
              <w:right w:val="single" w:color="auto" w:sz="4" w:space="0"/>
            </w:tcBorders>
            <w:vAlign w:val="center"/>
          </w:tcPr>
          <w:p w14:paraId="7F4A0506">
            <w:pPr>
              <w:spacing w:line="360" w:lineRule="auto"/>
              <w:jc w:val="left"/>
              <w:rPr>
                <w:rFonts w:ascii="宋体" w:hAnsi="宋体" w:cs="宋体"/>
                <w:szCs w:val="21"/>
              </w:rPr>
            </w:pPr>
          </w:p>
        </w:tc>
      </w:tr>
      <w:tr w14:paraId="54D4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14:paraId="5B60C78B">
            <w:pPr>
              <w:spacing w:line="360" w:lineRule="auto"/>
              <w:jc w:val="left"/>
              <w:rPr>
                <w:rFonts w:ascii="宋体" w:hAnsi="宋体" w:cs="宋体"/>
                <w:szCs w:val="21"/>
              </w:rPr>
            </w:pPr>
            <w:r>
              <w:rPr>
                <w:rFonts w:hint="eastAsia" w:ascii="宋体" w:hAnsi="宋体" w:cs="宋体"/>
                <w:szCs w:val="21"/>
              </w:rPr>
              <w:t>操作系统</w:t>
            </w:r>
          </w:p>
          <w:p w14:paraId="38C17B16">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19FCF0E7">
            <w:pPr>
              <w:spacing w:line="360" w:lineRule="auto"/>
              <w:jc w:val="left"/>
              <w:rPr>
                <w:rFonts w:ascii="宋体" w:hAnsi="宋体" w:cs="宋体"/>
                <w:szCs w:val="21"/>
              </w:rPr>
            </w:pPr>
            <w:r>
              <w:rPr>
                <w:rFonts w:hint="eastAsia" w:ascii="宋体" w:hAnsi="宋体" w:cs="宋体"/>
                <w:szCs w:val="21"/>
              </w:rPr>
              <w:t>提供主流的WINDOWS、LINUX等操作系统，Windows具备正版授权。</w:t>
            </w:r>
          </w:p>
        </w:tc>
        <w:tc>
          <w:tcPr>
            <w:tcW w:w="554" w:type="pct"/>
            <w:tcBorders>
              <w:top w:val="single" w:color="auto" w:sz="4" w:space="0"/>
              <w:left w:val="single" w:color="auto" w:sz="4" w:space="0"/>
              <w:bottom w:val="single" w:color="auto" w:sz="4" w:space="0"/>
              <w:right w:val="single" w:color="auto" w:sz="4" w:space="0"/>
            </w:tcBorders>
            <w:vAlign w:val="center"/>
          </w:tcPr>
          <w:p w14:paraId="3C321545">
            <w:pPr>
              <w:spacing w:line="360" w:lineRule="auto"/>
              <w:jc w:val="left"/>
              <w:rPr>
                <w:rFonts w:ascii="宋体" w:hAnsi="宋体" w:cs="宋体"/>
                <w:szCs w:val="21"/>
              </w:rPr>
            </w:pPr>
          </w:p>
        </w:tc>
      </w:tr>
      <w:tr w14:paraId="7E41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pct"/>
            <w:tcBorders>
              <w:top w:val="single" w:color="auto" w:sz="4" w:space="0"/>
              <w:left w:val="single" w:color="auto" w:sz="4" w:space="0"/>
              <w:bottom w:val="single" w:color="auto" w:sz="4" w:space="0"/>
              <w:right w:val="single" w:color="auto" w:sz="4" w:space="0"/>
            </w:tcBorders>
            <w:vAlign w:val="center"/>
          </w:tcPr>
          <w:p w14:paraId="0D11F83B">
            <w:pPr>
              <w:spacing w:line="360" w:lineRule="auto"/>
              <w:jc w:val="left"/>
              <w:rPr>
                <w:rFonts w:ascii="宋体" w:hAnsi="宋体" w:cs="宋体"/>
                <w:szCs w:val="21"/>
              </w:rPr>
            </w:pPr>
            <w:r>
              <w:rPr>
                <w:rFonts w:hint="eastAsia" w:ascii="宋体" w:hAnsi="宋体" w:cs="宋体"/>
                <w:szCs w:val="21"/>
              </w:rPr>
              <w:t>主机磁盘</w:t>
            </w:r>
          </w:p>
          <w:p w14:paraId="38711D4C">
            <w:pPr>
              <w:spacing w:line="360" w:lineRule="auto"/>
              <w:jc w:val="left"/>
              <w:rPr>
                <w:rFonts w:ascii="宋体" w:hAnsi="宋体" w:cs="宋体"/>
                <w:szCs w:val="21"/>
              </w:rPr>
            </w:pPr>
          </w:p>
        </w:tc>
        <w:tc>
          <w:tcPr>
            <w:tcW w:w="3673" w:type="pct"/>
            <w:tcBorders>
              <w:top w:val="single" w:color="auto" w:sz="4" w:space="0"/>
              <w:left w:val="single" w:color="auto" w:sz="4" w:space="0"/>
              <w:bottom w:val="single" w:color="auto" w:sz="4" w:space="0"/>
              <w:right w:val="single" w:color="auto" w:sz="4" w:space="0"/>
            </w:tcBorders>
            <w:vAlign w:val="center"/>
          </w:tcPr>
          <w:p w14:paraId="667C4ED7">
            <w:pPr>
              <w:spacing w:line="360" w:lineRule="auto"/>
              <w:jc w:val="left"/>
              <w:rPr>
                <w:rFonts w:ascii="宋体" w:hAnsi="宋体" w:cs="宋体"/>
                <w:szCs w:val="21"/>
              </w:rPr>
            </w:pPr>
            <w:r>
              <w:rPr>
                <w:rFonts w:hint="eastAsia" w:ascii="宋体" w:hAnsi="宋体" w:cs="宋体"/>
                <w:szCs w:val="21"/>
              </w:rPr>
              <w:t>提供高效云盘、SSD云盘两种</w:t>
            </w:r>
          </w:p>
        </w:tc>
        <w:tc>
          <w:tcPr>
            <w:tcW w:w="554" w:type="pct"/>
            <w:tcBorders>
              <w:top w:val="single" w:color="auto" w:sz="4" w:space="0"/>
              <w:left w:val="single" w:color="auto" w:sz="4" w:space="0"/>
              <w:bottom w:val="single" w:color="auto" w:sz="4" w:space="0"/>
              <w:right w:val="single" w:color="auto" w:sz="4" w:space="0"/>
            </w:tcBorders>
            <w:vAlign w:val="center"/>
          </w:tcPr>
          <w:p w14:paraId="475CC034">
            <w:pPr>
              <w:spacing w:line="360" w:lineRule="auto"/>
              <w:jc w:val="left"/>
              <w:rPr>
                <w:rFonts w:ascii="宋体" w:hAnsi="宋体" w:cs="宋体"/>
                <w:szCs w:val="21"/>
              </w:rPr>
            </w:pPr>
          </w:p>
        </w:tc>
      </w:tr>
    </w:tbl>
    <w:p w14:paraId="6675772C">
      <w:pPr>
        <w:pStyle w:val="23"/>
        <w:snapToGrid w:val="0"/>
        <w:ind w:firstLine="420" w:firstLineChars="200"/>
        <w:outlineLvl w:val="4"/>
        <w:rPr>
          <w:rFonts w:hAnsi="宋体" w:cs="宋体"/>
          <w:sz w:val="21"/>
        </w:rPr>
      </w:pPr>
      <w:r>
        <w:rPr>
          <w:rFonts w:hint="eastAsia" w:hAnsi="宋体" w:cs="宋体"/>
          <w:sz w:val="21"/>
        </w:rPr>
        <w:t>7.1.2.17 API网关服务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6641"/>
        <w:gridCol w:w="1260"/>
      </w:tblGrid>
      <w:tr w14:paraId="75CA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71C6DA2A">
            <w:pPr>
              <w:spacing w:line="360" w:lineRule="auto"/>
              <w:jc w:val="center"/>
              <w:rPr>
                <w:rFonts w:ascii="宋体" w:hAnsi="宋体" w:cs="宋体"/>
                <w:b/>
                <w:szCs w:val="21"/>
              </w:rPr>
            </w:pPr>
            <w:r>
              <w:rPr>
                <w:rFonts w:hint="eastAsia" w:ascii="宋体" w:hAnsi="宋体" w:cs="宋体"/>
                <w:b/>
                <w:szCs w:val="21"/>
              </w:rPr>
              <w:t>指标项</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5B78ECEB">
            <w:pPr>
              <w:spacing w:line="360" w:lineRule="auto"/>
              <w:jc w:val="center"/>
              <w:rPr>
                <w:rFonts w:ascii="宋体" w:hAnsi="宋体" w:cs="宋体"/>
                <w:b/>
                <w:szCs w:val="21"/>
              </w:rPr>
            </w:pPr>
            <w:r>
              <w:rPr>
                <w:rFonts w:hint="eastAsia" w:ascii="宋体" w:hAnsi="宋体" w:cs="宋体"/>
                <w:b/>
                <w:szCs w:val="21"/>
              </w:rPr>
              <w:t>规格要求</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E88A214">
            <w:pPr>
              <w:spacing w:line="360" w:lineRule="auto"/>
              <w:jc w:val="center"/>
              <w:rPr>
                <w:rFonts w:ascii="宋体" w:hAnsi="宋体" w:cs="宋体"/>
                <w:b/>
                <w:szCs w:val="21"/>
              </w:rPr>
            </w:pPr>
            <w:r>
              <w:rPr>
                <w:rFonts w:hint="eastAsia" w:ascii="宋体" w:hAnsi="宋体" w:cs="宋体"/>
                <w:b/>
                <w:szCs w:val="21"/>
              </w:rPr>
              <w:t>备注</w:t>
            </w:r>
          </w:p>
        </w:tc>
      </w:tr>
      <w:tr w14:paraId="1B0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24D9B53A">
            <w:pPr>
              <w:spacing w:line="360" w:lineRule="auto"/>
              <w:jc w:val="left"/>
              <w:rPr>
                <w:rFonts w:ascii="宋体" w:hAnsi="宋体" w:cs="宋体"/>
                <w:szCs w:val="21"/>
              </w:rPr>
            </w:pPr>
            <w:r>
              <w:rPr>
                <w:rFonts w:hint="eastAsia" w:ascii="宋体" w:hAnsi="宋体" w:cs="宋体"/>
                <w:szCs w:val="21"/>
              </w:rPr>
              <w:t>服务标准</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3B2B3BF8">
            <w:pPr>
              <w:spacing w:line="360" w:lineRule="auto"/>
              <w:jc w:val="left"/>
              <w:rPr>
                <w:rFonts w:ascii="宋体" w:hAnsi="宋体" w:cs="宋体"/>
                <w:szCs w:val="21"/>
              </w:rPr>
            </w:pPr>
            <w:r>
              <w:rPr>
                <w:rFonts w:hint="eastAsia" w:ascii="宋体" w:hAnsi="宋体" w:cs="宋体"/>
                <w:szCs w:val="21"/>
              </w:rPr>
              <w:t>提供防攻击、防重放、请求加密、身份认证、权限管理、流量控制等多重手段保证API安全，降低API开放风险。 提供API定义、发布、下线等全生命周期管理，提升API管理、迭代的效率。</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3D8B047">
            <w:pPr>
              <w:spacing w:line="360" w:lineRule="auto"/>
              <w:jc w:val="left"/>
              <w:rPr>
                <w:rFonts w:ascii="宋体" w:hAnsi="宋体" w:cs="宋体"/>
                <w:szCs w:val="21"/>
              </w:rPr>
            </w:pPr>
          </w:p>
        </w:tc>
      </w:tr>
      <w:tr w14:paraId="49FA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0E972D53">
            <w:pPr>
              <w:spacing w:line="360" w:lineRule="auto"/>
              <w:jc w:val="left"/>
              <w:rPr>
                <w:rFonts w:ascii="宋体" w:hAnsi="宋体" w:cs="宋体"/>
                <w:szCs w:val="21"/>
              </w:rPr>
            </w:pPr>
            <w:r>
              <w:rPr>
                <w:rFonts w:hint="eastAsia" w:ascii="宋体" w:hAnsi="宋体" w:cs="宋体"/>
                <w:szCs w:val="21"/>
              </w:rPr>
              <w:t>API生命周期管理</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628AB7FA">
            <w:pPr>
              <w:spacing w:line="360" w:lineRule="auto"/>
              <w:jc w:val="left"/>
              <w:rPr>
                <w:rFonts w:ascii="宋体" w:hAnsi="宋体" w:cs="宋体"/>
                <w:szCs w:val="21"/>
              </w:rPr>
            </w:pPr>
            <w:r>
              <w:rPr>
                <w:rFonts w:hint="eastAsia" w:ascii="宋体" w:hAnsi="宋体" w:cs="宋体"/>
                <w:szCs w:val="21"/>
              </w:rPr>
              <w:t>支持包括API发布、API测试、API下线等生命周期管理功能。</w:t>
            </w:r>
          </w:p>
          <w:p w14:paraId="22CDCFD3">
            <w:pPr>
              <w:spacing w:line="360" w:lineRule="auto"/>
              <w:jc w:val="left"/>
              <w:rPr>
                <w:rFonts w:ascii="宋体" w:hAnsi="宋体" w:cs="宋体"/>
                <w:szCs w:val="21"/>
              </w:rPr>
            </w:pPr>
            <w:r>
              <w:rPr>
                <w:rFonts w:hint="eastAsia" w:ascii="宋体" w:hAnsi="宋体" w:cs="宋体"/>
                <w:szCs w:val="21"/>
              </w:rPr>
              <w:t>支持API日常管理、API版本管理、API快速回滚等维护功能。</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39E624C">
            <w:pPr>
              <w:spacing w:line="360" w:lineRule="auto"/>
              <w:jc w:val="left"/>
              <w:rPr>
                <w:rFonts w:ascii="宋体" w:hAnsi="宋体" w:cs="宋体"/>
                <w:szCs w:val="21"/>
              </w:rPr>
            </w:pPr>
          </w:p>
        </w:tc>
      </w:tr>
      <w:tr w14:paraId="46D2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0796CEDF">
            <w:pPr>
              <w:spacing w:line="360" w:lineRule="auto"/>
              <w:jc w:val="left"/>
              <w:rPr>
                <w:rFonts w:ascii="宋体" w:hAnsi="宋体" w:cs="宋体"/>
                <w:szCs w:val="21"/>
              </w:rPr>
            </w:pPr>
            <w:r>
              <w:rPr>
                <w:rFonts w:hint="eastAsia" w:ascii="宋体" w:hAnsi="宋体" w:cs="宋体"/>
                <w:szCs w:val="21"/>
              </w:rPr>
              <w:t>安全防护</w:t>
            </w:r>
          </w:p>
          <w:p w14:paraId="70E85729">
            <w:pPr>
              <w:spacing w:line="360" w:lineRule="auto"/>
              <w:jc w:val="left"/>
              <w:rPr>
                <w:rFonts w:ascii="宋体" w:hAnsi="宋体" w:cs="宋体"/>
                <w:szCs w:val="21"/>
              </w:rPr>
            </w:pP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176ED446">
            <w:pPr>
              <w:spacing w:line="360" w:lineRule="auto"/>
              <w:jc w:val="left"/>
              <w:rPr>
                <w:rFonts w:ascii="宋体" w:hAnsi="宋体" w:cs="宋体"/>
                <w:szCs w:val="21"/>
              </w:rPr>
            </w:pPr>
            <w:r>
              <w:rPr>
                <w:rFonts w:hint="eastAsia" w:ascii="宋体" w:hAnsi="宋体" w:cs="宋体"/>
                <w:szCs w:val="21"/>
              </w:rPr>
              <w:t>支持多种认证方式，</w:t>
            </w:r>
          </w:p>
          <w:p w14:paraId="57C301EE">
            <w:pPr>
              <w:spacing w:line="360" w:lineRule="auto"/>
              <w:jc w:val="left"/>
              <w:rPr>
                <w:rFonts w:ascii="宋体" w:hAnsi="宋体" w:cs="宋体"/>
                <w:szCs w:val="21"/>
              </w:rPr>
            </w:pPr>
            <w:r>
              <w:rPr>
                <w:rFonts w:hint="eastAsia" w:ascii="宋体" w:hAnsi="宋体" w:cs="宋体"/>
                <w:szCs w:val="21"/>
              </w:rPr>
              <w:t>支持HMAC（SHA-1、SHA-256）算法签名。</w:t>
            </w:r>
          </w:p>
          <w:p w14:paraId="2FF8680D">
            <w:pPr>
              <w:spacing w:line="360" w:lineRule="auto"/>
              <w:jc w:val="left"/>
              <w:rPr>
                <w:rFonts w:ascii="宋体" w:hAnsi="宋体" w:cs="宋体"/>
                <w:szCs w:val="21"/>
              </w:rPr>
            </w:pPr>
            <w:r>
              <w:rPr>
                <w:rFonts w:hint="eastAsia" w:ascii="宋体" w:hAnsi="宋体" w:cs="宋体"/>
                <w:szCs w:val="21"/>
              </w:rPr>
              <w:t>支持HTTPS协议，支持SSL加密。 防攻击、防注入、请求防重放、请求防篡改。</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03D10F1">
            <w:pPr>
              <w:spacing w:line="360" w:lineRule="auto"/>
              <w:jc w:val="left"/>
              <w:rPr>
                <w:rFonts w:ascii="宋体" w:hAnsi="宋体" w:cs="宋体"/>
                <w:szCs w:val="21"/>
              </w:rPr>
            </w:pPr>
          </w:p>
        </w:tc>
      </w:tr>
      <w:tr w14:paraId="0CB1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63118B81">
            <w:pPr>
              <w:spacing w:line="360" w:lineRule="auto"/>
              <w:jc w:val="left"/>
              <w:rPr>
                <w:rFonts w:ascii="宋体" w:hAnsi="宋体" w:cs="宋体"/>
                <w:szCs w:val="21"/>
              </w:rPr>
            </w:pPr>
            <w:r>
              <w:rPr>
                <w:rFonts w:hint="eastAsia" w:ascii="宋体" w:hAnsi="宋体" w:cs="宋体"/>
                <w:szCs w:val="21"/>
              </w:rPr>
              <w:t>插件功能</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3848933A">
            <w:pPr>
              <w:spacing w:line="360" w:lineRule="auto"/>
              <w:jc w:val="left"/>
              <w:rPr>
                <w:rFonts w:ascii="宋体" w:hAnsi="宋体" w:cs="宋体"/>
                <w:szCs w:val="21"/>
              </w:rPr>
            </w:pPr>
            <w:r>
              <w:rPr>
                <w:rFonts w:hint="eastAsia" w:ascii="宋体" w:hAnsi="宋体" w:cs="宋体"/>
                <w:szCs w:val="21"/>
              </w:rPr>
              <w:t>通过插件功能，使API具备插拔式的功能扩展 网关提供了丰富的插件种类：流量控制，IP访问控制，后端签名，JWT鉴权，跨域资源访问（CORS），缓存，后端路由，访问控制，断路器，错误码映射。</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0664295">
            <w:pPr>
              <w:spacing w:line="360" w:lineRule="auto"/>
              <w:jc w:val="left"/>
              <w:rPr>
                <w:rFonts w:ascii="宋体" w:hAnsi="宋体" w:cs="宋体"/>
                <w:szCs w:val="21"/>
              </w:rPr>
            </w:pPr>
          </w:p>
        </w:tc>
      </w:tr>
      <w:tr w14:paraId="2339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44FB7F3F">
            <w:pPr>
              <w:spacing w:line="360" w:lineRule="auto"/>
              <w:jc w:val="left"/>
              <w:rPr>
                <w:rFonts w:ascii="宋体" w:hAnsi="宋体" w:cs="宋体"/>
                <w:szCs w:val="21"/>
              </w:rPr>
            </w:pPr>
            <w:r>
              <w:rPr>
                <w:rFonts w:hint="eastAsia" w:ascii="宋体" w:hAnsi="宋体" w:cs="宋体"/>
                <w:szCs w:val="21"/>
              </w:rPr>
              <w:t>自动化工具</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409224D5">
            <w:pPr>
              <w:spacing w:line="360" w:lineRule="auto"/>
              <w:jc w:val="left"/>
              <w:rPr>
                <w:rFonts w:ascii="宋体" w:hAnsi="宋体" w:cs="宋体"/>
                <w:szCs w:val="21"/>
              </w:rPr>
            </w:pPr>
            <w:r>
              <w:rPr>
                <w:rFonts w:hint="eastAsia" w:ascii="宋体" w:hAnsi="宋体" w:cs="宋体"/>
                <w:szCs w:val="21"/>
              </w:rPr>
              <w:t>自动生成API文档</w:t>
            </w:r>
          </w:p>
          <w:p w14:paraId="1650998D">
            <w:pPr>
              <w:spacing w:line="360" w:lineRule="auto"/>
              <w:jc w:val="left"/>
              <w:rPr>
                <w:rFonts w:ascii="宋体" w:hAnsi="宋体" w:cs="宋体"/>
                <w:szCs w:val="21"/>
              </w:rPr>
            </w:pPr>
            <w:r>
              <w:rPr>
                <w:rFonts w:hint="eastAsia" w:ascii="宋体" w:hAnsi="宋体" w:cs="宋体"/>
                <w:szCs w:val="21"/>
              </w:rPr>
              <w:t>提供多种语言的SDK示例</w:t>
            </w:r>
          </w:p>
          <w:p w14:paraId="4AD72950">
            <w:pPr>
              <w:spacing w:line="360" w:lineRule="auto"/>
              <w:jc w:val="left"/>
              <w:rPr>
                <w:rFonts w:ascii="宋体" w:hAnsi="宋体" w:cs="宋体"/>
                <w:szCs w:val="21"/>
              </w:rPr>
            </w:pPr>
            <w:r>
              <w:rPr>
                <w:rFonts w:hint="eastAsia" w:ascii="宋体" w:hAnsi="宋体" w:cs="宋体"/>
                <w:szCs w:val="21"/>
              </w:rPr>
              <w:t>提供可视化界面调试工具，快速测试，快速上线</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7BBA716">
            <w:pPr>
              <w:spacing w:line="360" w:lineRule="auto"/>
              <w:jc w:val="left"/>
              <w:rPr>
                <w:rFonts w:ascii="宋体" w:hAnsi="宋体" w:cs="宋体"/>
                <w:szCs w:val="21"/>
              </w:rPr>
            </w:pPr>
          </w:p>
        </w:tc>
      </w:tr>
      <w:tr w14:paraId="3E54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20776C85">
            <w:pPr>
              <w:spacing w:line="360" w:lineRule="auto"/>
              <w:jc w:val="left"/>
              <w:rPr>
                <w:rFonts w:ascii="宋体" w:hAnsi="宋体" w:cs="宋体"/>
                <w:szCs w:val="21"/>
              </w:rPr>
            </w:pPr>
            <w:r>
              <w:rPr>
                <w:rFonts w:hint="eastAsia" w:ascii="宋体" w:hAnsi="宋体" w:cs="宋体"/>
                <w:szCs w:val="21"/>
              </w:rPr>
              <w:t>监控报警</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01175134">
            <w:pPr>
              <w:spacing w:line="360" w:lineRule="auto"/>
              <w:jc w:val="left"/>
              <w:rPr>
                <w:rFonts w:ascii="宋体" w:hAnsi="宋体" w:cs="宋体"/>
                <w:szCs w:val="21"/>
              </w:rPr>
            </w:pPr>
            <w:r>
              <w:rPr>
                <w:rFonts w:hint="eastAsia" w:ascii="宋体" w:hAnsi="宋体" w:cs="宋体"/>
                <w:szCs w:val="21"/>
              </w:rPr>
              <w:t>提供可视化的API实时监控，包括：调用量、响应时间、错误率等。</w:t>
            </w:r>
          </w:p>
          <w:p w14:paraId="388D253D">
            <w:pPr>
              <w:spacing w:line="360" w:lineRule="auto"/>
              <w:jc w:val="left"/>
              <w:rPr>
                <w:rFonts w:ascii="宋体" w:hAnsi="宋体" w:cs="宋体"/>
                <w:szCs w:val="21"/>
              </w:rPr>
            </w:pPr>
            <w:r>
              <w:rPr>
                <w:rFonts w:hint="eastAsia" w:ascii="宋体" w:hAnsi="宋体" w:cs="宋体"/>
                <w:szCs w:val="21"/>
              </w:rPr>
              <w:t>配置API报警，以便实时掌握API运行情况 结合SLS，提供API全量日志查询</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22BC7DCF">
            <w:pPr>
              <w:spacing w:line="360" w:lineRule="auto"/>
              <w:jc w:val="left"/>
              <w:rPr>
                <w:rFonts w:ascii="宋体" w:hAnsi="宋体" w:cs="宋体"/>
                <w:szCs w:val="21"/>
              </w:rPr>
            </w:pPr>
          </w:p>
        </w:tc>
      </w:tr>
      <w:tr w14:paraId="11A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4867EC60">
            <w:pPr>
              <w:spacing w:line="360" w:lineRule="auto"/>
              <w:jc w:val="left"/>
              <w:rPr>
                <w:rFonts w:ascii="宋体" w:hAnsi="宋体" w:cs="宋体"/>
                <w:szCs w:val="21"/>
              </w:rPr>
            </w:pPr>
            <w:r>
              <w:rPr>
                <w:rFonts w:hint="eastAsia" w:ascii="宋体" w:hAnsi="宋体" w:cs="宋体"/>
                <w:szCs w:val="21"/>
              </w:rPr>
              <w:t>权限控制</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4FA1E3C6">
            <w:pPr>
              <w:spacing w:line="360" w:lineRule="auto"/>
              <w:jc w:val="left"/>
              <w:rPr>
                <w:rFonts w:ascii="宋体" w:hAnsi="宋体" w:cs="宋体"/>
                <w:szCs w:val="21"/>
              </w:rPr>
            </w:pPr>
            <w:r>
              <w:rPr>
                <w:rFonts w:hint="eastAsia" w:ascii="宋体" w:hAnsi="宋体" w:cs="宋体"/>
                <w:szCs w:val="21"/>
              </w:rPr>
              <w:t>可以利用APP作为请求API的身份，网关支持针对APP的权限控制。</w:t>
            </w:r>
          </w:p>
          <w:p w14:paraId="4DCDFEF8">
            <w:pPr>
              <w:spacing w:line="360" w:lineRule="auto"/>
              <w:jc w:val="left"/>
              <w:rPr>
                <w:rFonts w:ascii="宋体" w:hAnsi="宋体" w:cs="宋体"/>
                <w:szCs w:val="21"/>
              </w:rPr>
            </w:pPr>
            <w:r>
              <w:rPr>
                <w:rFonts w:hint="eastAsia" w:ascii="宋体" w:hAnsi="宋体" w:cs="宋体"/>
                <w:szCs w:val="21"/>
              </w:rPr>
              <w:t>只有已经获得授权的APP才能请求相应的API。</w:t>
            </w:r>
          </w:p>
          <w:p w14:paraId="2B845474">
            <w:pPr>
              <w:spacing w:line="360" w:lineRule="auto"/>
              <w:jc w:val="left"/>
              <w:rPr>
                <w:rFonts w:ascii="宋体" w:hAnsi="宋体" w:cs="宋体"/>
                <w:szCs w:val="21"/>
              </w:rPr>
            </w:pPr>
            <w:r>
              <w:rPr>
                <w:rFonts w:hint="eastAsia" w:ascii="宋体" w:hAnsi="宋体" w:cs="宋体"/>
                <w:szCs w:val="21"/>
              </w:rPr>
              <w:t>API提供者可以主动授权某个APP调用某个API的权限。</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6AC00D9">
            <w:pPr>
              <w:spacing w:line="360" w:lineRule="auto"/>
              <w:jc w:val="left"/>
              <w:rPr>
                <w:rFonts w:ascii="宋体" w:hAnsi="宋体" w:cs="宋体"/>
                <w:szCs w:val="21"/>
              </w:rPr>
            </w:pPr>
          </w:p>
        </w:tc>
      </w:tr>
    </w:tbl>
    <w:p w14:paraId="1D21E345">
      <w:pPr>
        <w:pStyle w:val="23"/>
        <w:snapToGrid w:val="0"/>
        <w:ind w:firstLine="420" w:firstLineChars="200"/>
        <w:outlineLvl w:val="4"/>
        <w:rPr>
          <w:rFonts w:hAnsi="宋体" w:cs="宋体"/>
          <w:sz w:val="21"/>
        </w:rPr>
      </w:pPr>
      <w:r>
        <w:rPr>
          <w:rFonts w:hint="eastAsia" w:hAnsi="宋体" w:cs="宋体"/>
          <w:sz w:val="21"/>
        </w:rPr>
        <w:t>7.1.2.18日志服务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6641"/>
        <w:gridCol w:w="1260"/>
      </w:tblGrid>
      <w:tr w14:paraId="3F31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2F0E571F">
            <w:pPr>
              <w:spacing w:line="360" w:lineRule="auto"/>
              <w:jc w:val="center"/>
              <w:rPr>
                <w:rFonts w:ascii="宋体" w:hAnsi="宋体" w:cs="宋体"/>
                <w:b/>
                <w:szCs w:val="21"/>
              </w:rPr>
            </w:pPr>
            <w:r>
              <w:rPr>
                <w:rFonts w:hint="eastAsia" w:ascii="宋体" w:hAnsi="宋体" w:cs="宋体"/>
                <w:b/>
                <w:szCs w:val="21"/>
              </w:rPr>
              <w:t>指标项</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0E61A903">
            <w:pPr>
              <w:spacing w:line="360" w:lineRule="auto"/>
              <w:jc w:val="center"/>
              <w:rPr>
                <w:rFonts w:ascii="宋体" w:hAnsi="宋体" w:cs="宋体"/>
                <w:b/>
                <w:szCs w:val="21"/>
              </w:rPr>
            </w:pPr>
            <w:r>
              <w:rPr>
                <w:rFonts w:hint="eastAsia" w:ascii="宋体" w:hAnsi="宋体" w:cs="宋体"/>
                <w:b/>
                <w:szCs w:val="21"/>
              </w:rPr>
              <w:t>规格要求</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1300F698">
            <w:pPr>
              <w:spacing w:line="360" w:lineRule="auto"/>
              <w:jc w:val="center"/>
              <w:rPr>
                <w:rFonts w:ascii="宋体" w:hAnsi="宋体" w:cs="宋体"/>
                <w:b/>
                <w:szCs w:val="21"/>
              </w:rPr>
            </w:pPr>
            <w:r>
              <w:rPr>
                <w:rFonts w:hint="eastAsia" w:ascii="宋体" w:hAnsi="宋体" w:cs="宋体"/>
                <w:b/>
                <w:szCs w:val="21"/>
              </w:rPr>
              <w:t>备注</w:t>
            </w:r>
          </w:p>
        </w:tc>
      </w:tr>
      <w:tr w14:paraId="15C8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14:paraId="6E363907">
            <w:pPr>
              <w:spacing w:line="360" w:lineRule="auto"/>
              <w:jc w:val="left"/>
              <w:rPr>
                <w:rFonts w:ascii="宋体" w:hAnsi="宋体" w:cs="宋体"/>
                <w:szCs w:val="21"/>
              </w:rPr>
            </w:pPr>
            <w:r>
              <w:rPr>
                <w:rFonts w:hint="eastAsia" w:ascii="宋体" w:hAnsi="宋体" w:cs="宋体"/>
                <w:szCs w:val="21"/>
              </w:rPr>
              <w:t>基本功能</w:t>
            </w:r>
          </w:p>
        </w:tc>
        <w:tc>
          <w:tcPr>
            <w:tcW w:w="3574" w:type="pct"/>
            <w:tcBorders>
              <w:top w:val="single" w:color="auto" w:sz="4" w:space="0"/>
              <w:left w:val="single" w:color="auto" w:sz="4" w:space="0"/>
              <w:bottom w:val="single" w:color="auto" w:sz="4" w:space="0"/>
              <w:right w:val="single" w:color="auto" w:sz="4" w:space="0"/>
            </w:tcBorders>
            <w:shd w:val="clear" w:color="auto" w:fill="auto"/>
            <w:vAlign w:val="center"/>
          </w:tcPr>
          <w:p w14:paraId="1962A054">
            <w:pPr>
              <w:spacing w:line="360" w:lineRule="auto"/>
              <w:jc w:val="left"/>
              <w:rPr>
                <w:rFonts w:ascii="宋体" w:hAnsi="宋体" w:cs="宋体"/>
                <w:szCs w:val="21"/>
              </w:rPr>
            </w:pPr>
            <w:r>
              <w:rPr>
                <w:rFonts w:hint="eastAsia" w:ascii="宋体" w:hAnsi="宋体" w:cs="宋体"/>
                <w:szCs w:val="21"/>
              </w:rPr>
              <w:t>（1）实时采集日志</w:t>
            </w:r>
          </w:p>
          <w:p w14:paraId="5E8C653F">
            <w:pPr>
              <w:spacing w:line="360" w:lineRule="auto"/>
              <w:jc w:val="left"/>
              <w:rPr>
                <w:rFonts w:ascii="宋体" w:hAnsi="宋体" w:cs="宋体"/>
                <w:szCs w:val="21"/>
              </w:rPr>
            </w:pPr>
            <w:r>
              <w:rPr>
                <w:rFonts w:hint="eastAsia" w:ascii="宋体" w:hAnsi="宋体" w:cs="宋体"/>
                <w:szCs w:val="21"/>
              </w:rPr>
              <w:t>云日志服务提供实时日志采集功能，采集到的日志数据可以在云日志控制台以简单有序的方式展示、方便快捷的方式进行查询，并且可以长期存储。</w:t>
            </w:r>
          </w:p>
          <w:p w14:paraId="27B31F7C">
            <w:pPr>
              <w:spacing w:line="360" w:lineRule="auto"/>
              <w:jc w:val="left"/>
              <w:rPr>
                <w:rFonts w:ascii="宋体" w:hAnsi="宋体" w:cs="宋体"/>
                <w:szCs w:val="21"/>
              </w:rPr>
            </w:pPr>
            <w:r>
              <w:rPr>
                <w:rFonts w:hint="eastAsia" w:ascii="宋体" w:hAnsi="宋体" w:cs="宋体"/>
                <w:szCs w:val="21"/>
              </w:rPr>
              <w:t>（2）日志查询与实时分析</w:t>
            </w:r>
          </w:p>
          <w:p w14:paraId="05362F25">
            <w:pPr>
              <w:spacing w:line="360" w:lineRule="auto"/>
              <w:jc w:val="left"/>
              <w:rPr>
                <w:rFonts w:ascii="宋体" w:hAnsi="宋体" w:cs="宋体"/>
                <w:szCs w:val="21"/>
              </w:rPr>
            </w:pPr>
            <w:r>
              <w:rPr>
                <w:rFonts w:hint="eastAsia" w:ascii="宋体" w:hAnsi="宋体" w:cs="宋体"/>
                <w:szCs w:val="21"/>
              </w:rPr>
              <w:t>对采集的日志数，可以通过关键字查询等方式简单快速地进行查询，适用于日志实时分析、安全诊断分析等，通过日志数据分析，可以得出详细的运营数据。</w:t>
            </w:r>
          </w:p>
          <w:p w14:paraId="2184FB6E">
            <w:pPr>
              <w:keepNext/>
              <w:keepLines/>
              <w:tabs>
                <w:tab w:val="left" w:pos="1008"/>
              </w:tabs>
              <w:spacing w:line="360" w:lineRule="auto"/>
              <w:outlineLvl w:val="4"/>
              <w:rPr>
                <w:rFonts w:ascii="宋体" w:hAnsi="宋体" w:cs="宋体"/>
                <w:szCs w:val="21"/>
              </w:rPr>
            </w:pPr>
            <w:r>
              <w:rPr>
                <w:rFonts w:hint="eastAsia" w:ascii="宋体" w:hAnsi="宋体" w:cs="宋体"/>
                <w:szCs w:val="21"/>
              </w:rPr>
              <w:t>（3）海量日志管理</w:t>
            </w:r>
          </w:p>
          <w:p w14:paraId="2B0C914E">
            <w:pPr>
              <w:keepNext/>
              <w:keepLines/>
              <w:tabs>
                <w:tab w:val="left" w:pos="1008"/>
              </w:tabs>
              <w:spacing w:line="360" w:lineRule="auto"/>
              <w:outlineLvl w:val="4"/>
              <w:rPr>
                <w:rFonts w:ascii="宋体" w:hAnsi="宋体" w:cs="宋体"/>
                <w:szCs w:val="21"/>
              </w:rPr>
            </w:pPr>
            <w:r>
              <w:rPr>
                <w:rFonts w:hint="eastAsia" w:ascii="宋体" w:hAnsi="宋体" w:cs="宋体"/>
                <w:szCs w:val="21"/>
              </w:rPr>
              <w:t>云日志服务支持每天百TB级日志的接入，十亿级日志秒级搜索</w:t>
            </w:r>
          </w:p>
          <w:p w14:paraId="74193EC9">
            <w:pPr>
              <w:keepNext/>
              <w:keepLines/>
              <w:tabs>
                <w:tab w:val="left" w:pos="1008"/>
              </w:tabs>
              <w:spacing w:line="360" w:lineRule="auto"/>
              <w:outlineLvl w:val="4"/>
              <w:rPr>
                <w:rFonts w:ascii="宋体" w:hAnsi="宋体" w:cs="宋体"/>
                <w:szCs w:val="21"/>
              </w:rPr>
            </w:pPr>
            <w:r>
              <w:rPr>
                <w:rFonts w:hint="eastAsia" w:ascii="宋体" w:hAnsi="宋体" w:cs="宋体"/>
                <w:szCs w:val="21"/>
              </w:rPr>
              <w:t>（4）多种结构化解析</w:t>
            </w:r>
          </w:p>
          <w:p w14:paraId="3D296CC6">
            <w:pPr>
              <w:keepNext/>
              <w:keepLines/>
              <w:tabs>
                <w:tab w:val="left" w:pos="1008"/>
              </w:tabs>
              <w:spacing w:line="360" w:lineRule="auto"/>
              <w:outlineLvl w:val="4"/>
              <w:rPr>
                <w:rFonts w:ascii="宋体" w:hAnsi="宋体" w:cs="宋体"/>
                <w:b/>
                <w:bCs/>
                <w:szCs w:val="21"/>
              </w:rPr>
            </w:pPr>
            <w:r>
              <w:rPr>
                <w:rFonts w:hint="eastAsia" w:ascii="宋体" w:hAnsi="宋体" w:cs="宋体"/>
                <w:szCs w:val="21"/>
              </w:rPr>
              <w:t>支持JSON、分隔符、正则格式结构化解析</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43B3BE54">
            <w:pPr>
              <w:spacing w:line="360" w:lineRule="auto"/>
              <w:jc w:val="left"/>
              <w:rPr>
                <w:rFonts w:ascii="宋体" w:hAnsi="宋体" w:cs="宋体"/>
                <w:szCs w:val="21"/>
              </w:rPr>
            </w:pPr>
          </w:p>
        </w:tc>
      </w:tr>
    </w:tbl>
    <w:p w14:paraId="6F8BE805">
      <w:pPr>
        <w:pStyle w:val="23"/>
        <w:snapToGrid w:val="0"/>
        <w:ind w:firstLine="420" w:firstLineChars="200"/>
        <w:outlineLvl w:val="4"/>
        <w:rPr>
          <w:rFonts w:hAnsi="宋体" w:cs="宋体"/>
          <w:sz w:val="21"/>
        </w:rPr>
      </w:pPr>
      <w:r>
        <w:rPr>
          <w:rFonts w:hint="eastAsia" w:hAnsi="宋体" w:cs="宋体"/>
          <w:sz w:val="21"/>
        </w:rPr>
        <w:t>7.1.2.19弹性收缩服务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6688"/>
        <w:gridCol w:w="1288"/>
      </w:tblGrid>
      <w:tr w14:paraId="42D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Align w:val="center"/>
          </w:tcPr>
          <w:p w14:paraId="5C7FB8BF">
            <w:pPr>
              <w:spacing w:line="360" w:lineRule="auto"/>
              <w:jc w:val="center"/>
              <w:rPr>
                <w:rFonts w:ascii="宋体" w:hAnsi="宋体" w:cs="宋体"/>
                <w:b/>
                <w:kern w:val="0"/>
                <w:szCs w:val="21"/>
              </w:rPr>
            </w:pPr>
            <w:r>
              <w:rPr>
                <w:rFonts w:hint="eastAsia" w:ascii="宋体" w:hAnsi="宋体" w:cs="宋体"/>
                <w:b/>
                <w:kern w:val="0"/>
                <w:szCs w:val="21"/>
                <w:lang w:bidi="ar"/>
              </w:rPr>
              <w:t>指标项</w:t>
            </w:r>
          </w:p>
        </w:tc>
        <w:tc>
          <w:tcPr>
            <w:tcW w:w="3600" w:type="pct"/>
            <w:vAlign w:val="center"/>
          </w:tcPr>
          <w:p w14:paraId="76C0EA52">
            <w:pPr>
              <w:spacing w:line="360" w:lineRule="auto"/>
              <w:jc w:val="center"/>
              <w:rPr>
                <w:rFonts w:ascii="宋体" w:hAnsi="宋体" w:cs="宋体"/>
                <w:b/>
                <w:kern w:val="0"/>
                <w:szCs w:val="21"/>
              </w:rPr>
            </w:pPr>
            <w:r>
              <w:rPr>
                <w:rFonts w:hint="eastAsia" w:ascii="宋体" w:hAnsi="宋体" w:cs="宋体"/>
                <w:b/>
                <w:kern w:val="0"/>
                <w:szCs w:val="21"/>
                <w:lang w:bidi="ar"/>
              </w:rPr>
              <w:t>规格要求</w:t>
            </w:r>
          </w:p>
        </w:tc>
        <w:tc>
          <w:tcPr>
            <w:tcW w:w="693" w:type="pct"/>
            <w:vAlign w:val="center"/>
          </w:tcPr>
          <w:p w14:paraId="1A70174F">
            <w:pPr>
              <w:spacing w:line="360" w:lineRule="auto"/>
              <w:jc w:val="center"/>
              <w:rPr>
                <w:rFonts w:ascii="宋体" w:hAnsi="宋体" w:cs="宋体"/>
                <w:b/>
                <w:kern w:val="0"/>
                <w:szCs w:val="21"/>
              </w:rPr>
            </w:pPr>
            <w:r>
              <w:rPr>
                <w:rFonts w:hint="eastAsia" w:ascii="宋体" w:hAnsi="宋体" w:cs="宋体"/>
                <w:b/>
                <w:kern w:val="0"/>
                <w:szCs w:val="21"/>
                <w:lang w:bidi="ar"/>
              </w:rPr>
              <w:t>备注</w:t>
            </w:r>
          </w:p>
        </w:tc>
      </w:tr>
      <w:tr w14:paraId="437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Align w:val="center"/>
          </w:tcPr>
          <w:p w14:paraId="20F2EE2C">
            <w:pPr>
              <w:spacing w:line="360" w:lineRule="auto"/>
              <w:jc w:val="left"/>
              <w:rPr>
                <w:rFonts w:ascii="宋体" w:hAnsi="宋体" w:cs="宋体"/>
                <w:kern w:val="0"/>
                <w:szCs w:val="21"/>
              </w:rPr>
            </w:pPr>
            <w:r>
              <w:rPr>
                <w:rFonts w:hint="eastAsia" w:ascii="宋体" w:hAnsi="宋体" w:cs="宋体"/>
                <w:kern w:val="0"/>
                <w:szCs w:val="21"/>
              </w:rPr>
              <w:t>服务标准</w:t>
            </w:r>
          </w:p>
        </w:tc>
        <w:tc>
          <w:tcPr>
            <w:tcW w:w="3600" w:type="pct"/>
            <w:vAlign w:val="center"/>
          </w:tcPr>
          <w:p w14:paraId="10473998">
            <w:pPr>
              <w:spacing w:line="360" w:lineRule="auto"/>
              <w:jc w:val="left"/>
              <w:rPr>
                <w:rFonts w:ascii="宋体" w:hAnsi="宋体" w:cs="宋体"/>
                <w:kern w:val="0"/>
                <w:szCs w:val="21"/>
              </w:rPr>
            </w:pPr>
            <w:r>
              <w:rPr>
                <w:rFonts w:hint="eastAsia" w:ascii="宋体" w:hAnsi="宋体" w:cs="宋体"/>
                <w:kern w:val="0"/>
                <w:szCs w:val="21"/>
              </w:rPr>
              <w:t>根据业务需求和策略，自动调整其弹性计算资源大小；根据设置的伸缩规则，在业务需求增长时，自动增加云服务器；在业务需求下降时，自动减少云服务器实例。</w:t>
            </w:r>
          </w:p>
        </w:tc>
        <w:tc>
          <w:tcPr>
            <w:tcW w:w="693" w:type="pct"/>
            <w:vAlign w:val="center"/>
          </w:tcPr>
          <w:p w14:paraId="3B94C234">
            <w:pPr>
              <w:spacing w:line="360" w:lineRule="auto"/>
              <w:jc w:val="center"/>
              <w:rPr>
                <w:rFonts w:ascii="宋体" w:hAnsi="宋体" w:cs="宋体"/>
                <w:kern w:val="0"/>
                <w:szCs w:val="21"/>
              </w:rPr>
            </w:pPr>
          </w:p>
        </w:tc>
      </w:tr>
      <w:tr w14:paraId="18E2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restart"/>
            <w:vAlign w:val="center"/>
          </w:tcPr>
          <w:p w14:paraId="6648F1C6">
            <w:pPr>
              <w:spacing w:line="360" w:lineRule="auto"/>
              <w:jc w:val="left"/>
              <w:rPr>
                <w:rFonts w:ascii="宋体" w:hAnsi="宋体" w:cs="宋体"/>
                <w:kern w:val="0"/>
                <w:szCs w:val="21"/>
              </w:rPr>
            </w:pPr>
            <w:r>
              <w:rPr>
                <w:rFonts w:hint="eastAsia" w:ascii="宋体" w:hAnsi="宋体" w:cs="宋体"/>
                <w:kern w:val="0"/>
                <w:szCs w:val="21"/>
              </w:rPr>
              <w:t>服务能力</w:t>
            </w:r>
          </w:p>
        </w:tc>
        <w:tc>
          <w:tcPr>
            <w:tcW w:w="3600" w:type="pct"/>
          </w:tcPr>
          <w:p w14:paraId="69C59097">
            <w:pPr>
              <w:spacing w:line="360" w:lineRule="auto"/>
              <w:rPr>
                <w:rFonts w:ascii="宋体" w:hAnsi="宋体" w:cs="宋体"/>
                <w:kern w:val="0"/>
                <w:szCs w:val="21"/>
              </w:rPr>
            </w:pPr>
            <w:r>
              <w:rPr>
                <w:rFonts w:hint="eastAsia" w:ascii="宋体" w:hAnsi="宋体" w:cs="宋体"/>
                <w:kern w:val="0"/>
                <w:szCs w:val="21"/>
              </w:rPr>
              <w:t>按需求自动调整实例数量：在业务量高峰期时，将自动增加云服务器实例；在业务量回落时，自动减少云服务器实例。</w:t>
            </w:r>
          </w:p>
        </w:tc>
        <w:tc>
          <w:tcPr>
            <w:tcW w:w="693" w:type="pct"/>
          </w:tcPr>
          <w:p w14:paraId="1C9F3146">
            <w:pPr>
              <w:spacing w:line="360" w:lineRule="auto"/>
              <w:rPr>
                <w:rFonts w:ascii="宋体" w:hAnsi="宋体" w:cs="宋体"/>
                <w:kern w:val="0"/>
                <w:szCs w:val="21"/>
              </w:rPr>
            </w:pPr>
          </w:p>
        </w:tc>
      </w:tr>
      <w:tr w14:paraId="49DA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continue"/>
          </w:tcPr>
          <w:p w14:paraId="677A16E3">
            <w:pPr>
              <w:spacing w:line="360" w:lineRule="auto"/>
              <w:rPr>
                <w:rFonts w:ascii="宋体" w:hAnsi="宋体" w:cs="宋体"/>
                <w:kern w:val="0"/>
                <w:szCs w:val="21"/>
              </w:rPr>
            </w:pPr>
          </w:p>
        </w:tc>
        <w:tc>
          <w:tcPr>
            <w:tcW w:w="3600" w:type="pct"/>
          </w:tcPr>
          <w:p w14:paraId="247AB9F4">
            <w:pPr>
              <w:spacing w:line="360" w:lineRule="auto"/>
              <w:rPr>
                <w:rFonts w:ascii="宋体" w:hAnsi="宋体" w:cs="宋体"/>
                <w:kern w:val="0"/>
                <w:szCs w:val="21"/>
              </w:rPr>
            </w:pPr>
            <w:r>
              <w:rPr>
                <w:rFonts w:hint="eastAsia" w:ascii="宋体" w:hAnsi="宋体" w:cs="宋体"/>
                <w:kern w:val="0"/>
                <w:szCs w:val="21"/>
              </w:rPr>
              <w:t>实例状态随时监控，自动替换不健康实例。</w:t>
            </w:r>
          </w:p>
        </w:tc>
        <w:tc>
          <w:tcPr>
            <w:tcW w:w="693" w:type="pct"/>
          </w:tcPr>
          <w:p w14:paraId="10FBC654">
            <w:pPr>
              <w:spacing w:line="360" w:lineRule="auto"/>
              <w:rPr>
                <w:rFonts w:ascii="宋体" w:hAnsi="宋体" w:cs="宋体"/>
                <w:kern w:val="0"/>
                <w:szCs w:val="21"/>
              </w:rPr>
            </w:pPr>
          </w:p>
        </w:tc>
      </w:tr>
      <w:tr w14:paraId="017C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continue"/>
          </w:tcPr>
          <w:p w14:paraId="01DE53D1">
            <w:pPr>
              <w:spacing w:line="360" w:lineRule="auto"/>
              <w:rPr>
                <w:rFonts w:ascii="宋体" w:hAnsi="宋体" w:cs="宋体"/>
                <w:kern w:val="0"/>
                <w:szCs w:val="21"/>
              </w:rPr>
            </w:pPr>
          </w:p>
        </w:tc>
        <w:tc>
          <w:tcPr>
            <w:tcW w:w="3600" w:type="pct"/>
          </w:tcPr>
          <w:p w14:paraId="0D53F88A">
            <w:pPr>
              <w:spacing w:line="360" w:lineRule="auto"/>
              <w:rPr>
                <w:rFonts w:ascii="宋体" w:hAnsi="宋体" w:cs="宋体"/>
                <w:kern w:val="0"/>
                <w:szCs w:val="21"/>
              </w:rPr>
            </w:pPr>
            <w:r>
              <w:rPr>
                <w:rFonts w:hint="eastAsia" w:ascii="宋体" w:hAnsi="宋体" w:cs="宋体"/>
                <w:kern w:val="0"/>
                <w:szCs w:val="21"/>
              </w:rPr>
              <w:t>与负载均衡及关系型数据库紧密集成，可自动管理负载均衡后端服务器和关系型数据库白名单。</w:t>
            </w:r>
          </w:p>
        </w:tc>
        <w:tc>
          <w:tcPr>
            <w:tcW w:w="693" w:type="pct"/>
          </w:tcPr>
          <w:p w14:paraId="174553F3">
            <w:pPr>
              <w:spacing w:line="360" w:lineRule="auto"/>
              <w:rPr>
                <w:rFonts w:ascii="宋体" w:hAnsi="宋体" w:cs="宋体"/>
                <w:kern w:val="0"/>
                <w:szCs w:val="21"/>
              </w:rPr>
            </w:pPr>
          </w:p>
        </w:tc>
      </w:tr>
      <w:tr w14:paraId="0686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continue"/>
          </w:tcPr>
          <w:p w14:paraId="58459C83">
            <w:pPr>
              <w:spacing w:line="360" w:lineRule="auto"/>
              <w:rPr>
                <w:rFonts w:ascii="宋体" w:hAnsi="宋体" w:cs="宋体"/>
                <w:kern w:val="0"/>
                <w:szCs w:val="21"/>
              </w:rPr>
            </w:pPr>
          </w:p>
        </w:tc>
        <w:tc>
          <w:tcPr>
            <w:tcW w:w="3600" w:type="pct"/>
          </w:tcPr>
          <w:p w14:paraId="42FC7EF8">
            <w:pPr>
              <w:spacing w:line="360" w:lineRule="auto"/>
              <w:rPr>
                <w:rFonts w:ascii="宋体" w:hAnsi="宋体" w:cs="宋体"/>
                <w:kern w:val="0"/>
                <w:szCs w:val="21"/>
              </w:rPr>
            </w:pPr>
            <w:r>
              <w:rPr>
                <w:rFonts w:hint="eastAsia" w:ascii="宋体" w:hAnsi="宋体" w:cs="宋体"/>
                <w:kern w:val="0"/>
                <w:szCs w:val="21"/>
              </w:rPr>
              <w:t>伸缩模式丰富多样，可按需组合使用，多模式兼容，可同时配置定时、自定义、固定、健康模式，通过API对接外在监控系统。</w:t>
            </w:r>
          </w:p>
        </w:tc>
        <w:tc>
          <w:tcPr>
            <w:tcW w:w="693" w:type="pct"/>
          </w:tcPr>
          <w:p w14:paraId="78FFC7B5">
            <w:pPr>
              <w:spacing w:line="360" w:lineRule="auto"/>
              <w:rPr>
                <w:rFonts w:ascii="宋体" w:hAnsi="宋体" w:cs="宋体"/>
                <w:kern w:val="0"/>
                <w:szCs w:val="21"/>
              </w:rPr>
            </w:pPr>
          </w:p>
        </w:tc>
      </w:tr>
      <w:tr w14:paraId="27B6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pct"/>
            <w:vMerge w:val="continue"/>
          </w:tcPr>
          <w:p w14:paraId="105D305D">
            <w:pPr>
              <w:spacing w:line="360" w:lineRule="auto"/>
              <w:rPr>
                <w:rFonts w:ascii="宋体" w:hAnsi="宋体" w:cs="宋体"/>
                <w:kern w:val="0"/>
                <w:szCs w:val="21"/>
              </w:rPr>
            </w:pPr>
          </w:p>
        </w:tc>
        <w:tc>
          <w:tcPr>
            <w:tcW w:w="3600" w:type="pct"/>
          </w:tcPr>
          <w:p w14:paraId="7D0F342A">
            <w:pPr>
              <w:spacing w:line="360" w:lineRule="auto"/>
              <w:rPr>
                <w:rFonts w:ascii="宋体" w:hAnsi="宋体" w:cs="宋体"/>
                <w:kern w:val="0"/>
                <w:szCs w:val="21"/>
              </w:rPr>
            </w:pPr>
            <w:r>
              <w:rPr>
                <w:rFonts w:hint="eastAsia" w:ascii="宋体" w:hAnsi="宋体" w:cs="宋体"/>
                <w:kern w:val="0"/>
                <w:szCs w:val="21"/>
              </w:rPr>
              <w:t>多种伸缩模式支持：可支持定时、动态、自定义、固定数量、健康模式、多模式并行6种伸缩模式。</w:t>
            </w:r>
          </w:p>
        </w:tc>
        <w:tc>
          <w:tcPr>
            <w:tcW w:w="693" w:type="pct"/>
          </w:tcPr>
          <w:p w14:paraId="69F31DEA">
            <w:pPr>
              <w:spacing w:line="360" w:lineRule="auto"/>
              <w:rPr>
                <w:rFonts w:ascii="宋体" w:hAnsi="宋体" w:cs="宋体"/>
                <w:kern w:val="0"/>
                <w:szCs w:val="21"/>
              </w:rPr>
            </w:pPr>
          </w:p>
        </w:tc>
      </w:tr>
    </w:tbl>
    <w:p w14:paraId="5132246D">
      <w:pPr>
        <w:pStyle w:val="23"/>
        <w:snapToGrid w:val="0"/>
        <w:ind w:firstLine="420" w:firstLineChars="200"/>
        <w:outlineLvl w:val="4"/>
        <w:rPr>
          <w:rFonts w:hAnsi="宋体" w:cs="宋体"/>
          <w:sz w:val="21"/>
        </w:rPr>
      </w:pPr>
      <w:r>
        <w:rPr>
          <w:rFonts w:hint="eastAsia" w:hAnsi="宋体" w:cs="宋体"/>
          <w:sz w:val="21"/>
        </w:rPr>
        <w:t>7.1.2.20 IPV6服务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6641"/>
        <w:gridCol w:w="1260"/>
      </w:tblGrid>
      <w:tr w14:paraId="1EF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7" w:type="pct"/>
            <w:shd w:val="clear" w:color="auto" w:fill="auto"/>
            <w:vAlign w:val="center"/>
          </w:tcPr>
          <w:p w14:paraId="7A67E0B7">
            <w:pPr>
              <w:spacing w:line="360" w:lineRule="auto"/>
              <w:jc w:val="center"/>
              <w:rPr>
                <w:rFonts w:ascii="宋体" w:hAnsi="宋体" w:cs="宋体"/>
                <w:b/>
                <w:szCs w:val="21"/>
              </w:rPr>
            </w:pPr>
            <w:r>
              <w:rPr>
                <w:rFonts w:hint="eastAsia" w:ascii="宋体" w:hAnsi="宋体" w:cs="宋体"/>
                <w:b/>
                <w:szCs w:val="21"/>
              </w:rPr>
              <w:t>指标项</w:t>
            </w:r>
          </w:p>
        </w:tc>
        <w:tc>
          <w:tcPr>
            <w:tcW w:w="3574" w:type="pct"/>
            <w:shd w:val="clear" w:color="auto" w:fill="auto"/>
            <w:vAlign w:val="center"/>
          </w:tcPr>
          <w:p w14:paraId="315FAC4B">
            <w:pPr>
              <w:spacing w:line="360" w:lineRule="auto"/>
              <w:jc w:val="center"/>
              <w:rPr>
                <w:rFonts w:ascii="宋体" w:hAnsi="宋体" w:cs="宋体"/>
                <w:b/>
                <w:szCs w:val="21"/>
              </w:rPr>
            </w:pPr>
            <w:r>
              <w:rPr>
                <w:rFonts w:hint="eastAsia" w:ascii="宋体" w:hAnsi="宋体" w:cs="宋体"/>
                <w:b/>
                <w:szCs w:val="21"/>
              </w:rPr>
              <w:t>规格要求</w:t>
            </w:r>
          </w:p>
        </w:tc>
        <w:tc>
          <w:tcPr>
            <w:tcW w:w="678" w:type="pct"/>
            <w:shd w:val="clear" w:color="auto" w:fill="auto"/>
            <w:vAlign w:val="center"/>
          </w:tcPr>
          <w:p w14:paraId="45F5866A">
            <w:pPr>
              <w:spacing w:line="360" w:lineRule="auto"/>
              <w:jc w:val="center"/>
              <w:rPr>
                <w:rFonts w:ascii="宋体" w:hAnsi="宋体" w:cs="宋体"/>
                <w:b/>
                <w:szCs w:val="21"/>
              </w:rPr>
            </w:pPr>
            <w:r>
              <w:rPr>
                <w:rFonts w:hint="eastAsia" w:ascii="宋体" w:hAnsi="宋体" w:cs="宋体"/>
                <w:b/>
                <w:szCs w:val="21"/>
              </w:rPr>
              <w:t>备注</w:t>
            </w:r>
          </w:p>
        </w:tc>
      </w:tr>
      <w:tr w14:paraId="46AE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shd w:val="clear" w:color="auto" w:fill="auto"/>
            <w:vAlign w:val="center"/>
          </w:tcPr>
          <w:p w14:paraId="408846D3">
            <w:pPr>
              <w:spacing w:line="360" w:lineRule="auto"/>
              <w:rPr>
                <w:rFonts w:ascii="宋体" w:hAnsi="宋体" w:cs="宋体"/>
                <w:szCs w:val="21"/>
              </w:rPr>
            </w:pPr>
            <w:r>
              <w:rPr>
                <w:rFonts w:hint="eastAsia" w:ascii="宋体" w:hAnsi="宋体" w:cs="宋体"/>
                <w:szCs w:val="21"/>
              </w:rPr>
              <w:t>服务标准</w:t>
            </w:r>
          </w:p>
        </w:tc>
        <w:tc>
          <w:tcPr>
            <w:tcW w:w="3574" w:type="pct"/>
            <w:shd w:val="clear" w:color="auto" w:fill="auto"/>
            <w:vAlign w:val="center"/>
          </w:tcPr>
          <w:p w14:paraId="3CA59B86">
            <w:pPr>
              <w:spacing w:line="360" w:lineRule="auto"/>
              <w:rPr>
                <w:rFonts w:ascii="宋体" w:hAnsi="宋体" w:cs="宋体"/>
                <w:szCs w:val="21"/>
              </w:rPr>
            </w:pPr>
            <w:r>
              <w:rPr>
                <w:rFonts w:hint="eastAsia" w:ascii="宋体" w:hAnsi="宋体" w:cs="宋体"/>
                <w:szCs w:val="21"/>
              </w:rPr>
              <w:t>提供基于政务云平台的IPV6网关服务，灵活定义IPv6的出流量和入流量</w:t>
            </w:r>
          </w:p>
        </w:tc>
        <w:tc>
          <w:tcPr>
            <w:tcW w:w="678" w:type="pct"/>
            <w:shd w:val="clear" w:color="auto" w:fill="auto"/>
            <w:vAlign w:val="center"/>
          </w:tcPr>
          <w:p w14:paraId="5733AF9E">
            <w:pPr>
              <w:spacing w:line="360" w:lineRule="auto"/>
              <w:rPr>
                <w:rFonts w:ascii="宋体" w:hAnsi="宋体" w:cs="宋体"/>
                <w:szCs w:val="21"/>
              </w:rPr>
            </w:pPr>
          </w:p>
        </w:tc>
      </w:tr>
      <w:tr w14:paraId="78FE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Merge w:val="restart"/>
            <w:shd w:val="clear" w:color="auto" w:fill="auto"/>
            <w:vAlign w:val="center"/>
          </w:tcPr>
          <w:p w14:paraId="7CFA5BE4">
            <w:pPr>
              <w:spacing w:line="360" w:lineRule="auto"/>
              <w:rPr>
                <w:rFonts w:ascii="宋体" w:hAnsi="宋体" w:cs="宋体"/>
                <w:szCs w:val="21"/>
              </w:rPr>
            </w:pPr>
            <w:r>
              <w:rPr>
                <w:rFonts w:hint="eastAsia" w:ascii="宋体" w:hAnsi="宋体" w:cs="宋体"/>
                <w:szCs w:val="21"/>
              </w:rPr>
              <w:t>功能要求</w:t>
            </w:r>
          </w:p>
        </w:tc>
        <w:tc>
          <w:tcPr>
            <w:tcW w:w="3574" w:type="pct"/>
            <w:shd w:val="clear" w:color="auto" w:fill="auto"/>
            <w:vAlign w:val="center"/>
          </w:tcPr>
          <w:p w14:paraId="4B18C00B">
            <w:pPr>
              <w:spacing w:line="360" w:lineRule="auto"/>
              <w:rPr>
                <w:rFonts w:ascii="宋体" w:hAnsi="宋体" w:cs="宋体"/>
                <w:szCs w:val="21"/>
              </w:rPr>
            </w:pPr>
            <w:r>
              <w:rPr>
                <w:rFonts w:hint="eastAsia" w:ascii="宋体" w:hAnsi="宋体" w:cs="宋体"/>
                <w:szCs w:val="21"/>
              </w:rPr>
              <w:t>IPv6私网通信：</w:t>
            </w:r>
          </w:p>
          <w:p w14:paraId="5736F216">
            <w:pPr>
              <w:spacing w:line="360" w:lineRule="auto"/>
              <w:rPr>
                <w:rFonts w:ascii="宋体" w:hAnsi="宋体" w:cs="宋体"/>
                <w:szCs w:val="21"/>
              </w:rPr>
            </w:pPr>
            <w:r>
              <w:rPr>
                <w:rFonts w:hint="eastAsia" w:ascii="宋体" w:hAnsi="宋体" w:cs="宋体"/>
                <w:szCs w:val="21"/>
              </w:rPr>
              <w:t>默认申请的专有网络IPv6地址的只具备私网通信能力。</w:t>
            </w:r>
            <w:r>
              <w:rPr>
                <w:rFonts w:hint="eastAsia" w:ascii="宋体" w:hAnsi="宋体" w:cs="宋体"/>
                <w:szCs w:val="21"/>
                <w:lang w:eastAsia="zh-Hans"/>
              </w:rPr>
              <w:t>专有</w:t>
            </w:r>
            <w:r>
              <w:rPr>
                <w:rFonts w:hint="eastAsia" w:ascii="宋体" w:hAnsi="宋体" w:cs="宋体"/>
                <w:szCs w:val="21"/>
              </w:rPr>
              <w:t>网络中的云实例只能通过IPv6地址访问同一个</w:t>
            </w:r>
            <w:r>
              <w:rPr>
                <w:rFonts w:hint="eastAsia" w:ascii="宋体" w:hAnsi="宋体" w:cs="宋体"/>
                <w:szCs w:val="21"/>
                <w:lang w:eastAsia="zh-Hans"/>
              </w:rPr>
              <w:t>专有</w:t>
            </w:r>
            <w:r>
              <w:rPr>
                <w:rFonts w:hint="eastAsia" w:ascii="宋体" w:hAnsi="宋体" w:cs="宋体"/>
                <w:szCs w:val="21"/>
              </w:rPr>
              <w:t>网络中的其他IPv6地址。</w:t>
            </w:r>
          </w:p>
        </w:tc>
        <w:tc>
          <w:tcPr>
            <w:tcW w:w="678" w:type="pct"/>
            <w:shd w:val="clear" w:color="auto" w:fill="auto"/>
            <w:vAlign w:val="center"/>
          </w:tcPr>
          <w:p w14:paraId="6EF5DDE2">
            <w:pPr>
              <w:spacing w:line="360" w:lineRule="auto"/>
              <w:rPr>
                <w:rFonts w:ascii="宋体" w:hAnsi="宋体" w:cs="宋体"/>
                <w:szCs w:val="21"/>
              </w:rPr>
            </w:pPr>
          </w:p>
        </w:tc>
      </w:tr>
      <w:tr w14:paraId="6FB9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Merge w:val="continue"/>
            <w:shd w:val="clear" w:color="auto" w:fill="auto"/>
            <w:vAlign w:val="center"/>
          </w:tcPr>
          <w:p w14:paraId="73B9FE4A">
            <w:pPr>
              <w:spacing w:line="360" w:lineRule="auto"/>
              <w:rPr>
                <w:rFonts w:ascii="宋体" w:hAnsi="宋体" w:cs="宋体"/>
                <w:szCs w:val="21"/>
              </w:rPr>
            </w:pPr>
          </w:p>
        </w:tc>
        <w:tc>
          <w:tcPr>
            <w:tcW w:w="3574" w:type="pct"/>
            <w:shd w:val="clear" w:color="auto" w:fill="auto"/>
            <w:vAlign w:val="center"/>
          </w:tcPr>
          <w:p w14:paraId="693BBD27">
            <w:pPr>
              <w:spacing w:line="360" w:lineRule="auto"/>
              <w:rPr>
                <w:rFonts w:ascii="宋体" w:hAnsi="宋体" w:cs="宋体"/>
                <w:szCs w:val="21"/>
              </w:rPr>
            </w:pPr>
            <w:r>
              <w:rPr>
                <w:rFonts w:hint="eastAsia" w:ascii="宋体" w:hAnsi="宋体" w:cs="宋体"/>
                <w:szCs w:val="21"/>
              </w:rPr>
              <w:t>IPv6公网通信：</w:t>
            </w:r>
          </w:p>
          <w:p w14:paraId="134C684F">
            <w:pPr>
              <w:spacing w:line="360" w:lineRule="auto"/>
              <w:rPr>
                <w:rFonts w:ascii="宋体" w:hAnsi="宋体" w:cs="宋体"/>
                <w:szCs w:val="21"/>
              </w:rPr>
            </w:pPr>
            <w:r>
              <w:rPr>
                <w:rFonts w:hint="eastAsia" w:ascii="宋体" w:hAnsi="宋体" w:cs="宋体"/>
                <w:szCs w:val="21"/>
              </w:rPr>
              <w:t>可以为申请的IPv6地址购买公网带宽，使</w:t>
            </w:r>
            <w:r>
              <w:rPr>
                <w:rFonts w:hint="eastAsia" w:ascii="宋体" w:hAnsi="宋体" w:cs="宋体"/>
                <w:szCs w:val="21"/>
                <w:lang w:eastAsia="zh-Hans"/>
              </w:rPr>
              <w:t>专有</w:t>
            </w:r>
            <w:r>
              <w:rPr>
                <w:rFonts w:hint="eastAsia" w:ascii="宋体" w:hAnsi="宋体" w:cs="宋体"/>
                <w:szCs w:val="21"/>
              </w:rPr>
              <w:t>网络中的云实例可以通过该IPv6地址访问互联网，同时也允许Pv6终端通过互联网访问</w:t>
            </w:r>
            <w:r>
              <w:rPr>
                <w:rFonts w:hint="eastAsia" w:ascii="宋体" w:hAnsi="宋体" w:cs="宋体"/>
                <w:szCs w:val="21"/>
                <w:lang w:eastAsia="zh-Hans"/>
              </w:rPr>
              <w:t>专有</w:t>
            </w:r>
            <w:r>
              <w:rPr>
                <w:rFonts w:hint="eastAsia" w:ascii="宋体" w:hAnsi="宋体" w:cs="宋体"/>
                <w:szCs w:val="21"/>
              </w:rPr>
              <w:t>网络中的云实例。</w:t>
            </w:r>
          </w:p>
        </w:tc>
        <w:tc>
          <w:tcPr>
            <w:tcW w:w="678" w:type="pct"/>
            <w:shd w:val="clear" w:color="auto" w:fill="auto"/>
            <w:vAlign w:val="center"/>
          </w:tcPr>
          <w:p w14:paraId="6761007E">
            <w:pPr>
              <w:spacing w:line="360" w:lineRule="auto"/>
              <w:rPr>
                <w:rFonts w:ascii="宋体" w:hAnsi="宋体" w:cs="宋体"/>
                <w:szCs w:val="21"/>
              </w:rPr>
            </w:pPr>
          </w:p>
        </w:tc>
      </w:tr>
      <w:tr w14:paraId="2B6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Merge w:val="continue"/>
            <w:shd w:val="clear" w:color="auto" w:fill="auto"/>
            <w:vAlign w:val="center"/>
          </w:tcPr>
          <w:p w14:paraId="2A5D6FEF">
            <w:pPr>
              <w:spacing w:line="360" w:lineRule="auto"/>
              <w:rPr>
                <w:rFonts w:ascii="宋体" w:hAnsi="宋体" w:cs="宋体"/>
                <w:szCs w:val="21"/>
              </w:rPr>
            </w:pPr>
          </w:p>
        </w:tc>
        <w:tc>
          <w:tcPr>
            <w:tcW w:w="3574" w:type="pct"/>
            <w:shd w:val="clear" w:color="auto" w:fill="auto"/>
            <w:vAlign w:val="center"/>
          </w:tcPr>
          <w:p w14:paraId="2E38D499">
            <w:pPr>
              <w:spacing w:line="360" w:lineRule="auto"/>
              <w:rPr>
                <w:rFonts w:ascii="宋体" w:hAnsi="宋体" w:cs="宋体"/>
                <w:szCs w:val="21"/>
              </w:rPr>
            </w:pPr>
            <w:r>
              <w:rPr>
                <w:rFonts w:hint="eastAsia" w:ascii="宋体" w:hAnsi="宋体" w:cs="宋体"/>
                <w:szCs w:val="21"/>
              </w:rPr>
              <w:t>IPv6公网通信—仅主动访问：</w:t>
            </w:r>
          </w:p>
          <w:p w14:paraId="74AA9C58">
            <w:pPr>
              <w:spacing w:line="360" w:lineRule="auto"/>
              <w:rPr>
                <w:rFonts w:ascii="宋体" w:hAnsi="宋体" w:cs="宋体"/>
                <w:szCs w:val="21"/>
              </w:rPr>
            </w:pPr>
            <w:r>
              <w:rPr>
                <w:rFonts w:hint="eastAsia" w:ascii="宋体" w:hAnsi="宋体" w:cs="宋体"/>
                <w:szCs w:val="21"/>
              </w:rPr>
              <w:t>可以通过配置仅主动出规则，使IPv6地址可以主动访问互联网，但不允许IPv6终端通过互联网访问</w:t>
            </w:r>
            <w:r>
              <w:rPr>
                <w:rFonts w:hint="eastAsia" w:ascii="宋体" w:hAnsi="宋体" w:cs="宋体"/>
                <w:szCs w:val="21"/>
                <w:lang w:eastAsia="zh-Hans"/>
              </w:rPr>
              <w:t>专有</w:t>
            </w:r>
            <w:r>
              <w:rPr>
                <w:rFonts w:hint="eastAsia" w:ascii="宋体" w:hAnsi="宋体" w:cs="宋体"/>
                <w:szCs w:val="21"/>
              </w:rPr>
              <w:t>网络中的云实例。可以随时删除仅主动出规则。</w:t>
            </w:r>
          </w:p>
        </w:tc>
        <w:tc>
          <w:tcPr>
            <w:tcW w:w="678" w:type="pct"/>
            <w:shd w:val="clear" w:color="auto" w:fill="auto"/>
            <w:vAlign w:val="center"/>
          </w:tcPr>
          <w:p w14:paraId="75B10BC9">
            <w:pPr>
              <w:spacing w:line="360" w:lineRule="auto"/>
              <w:rPr>
                <w:rFonts w:ascii="宋体" w:hAnsi="宋体" w:cs="宋体"/>
                <w:szCs w:val="21"/>
              </w:rPr>
            </w:pPr>
          </w:p>
        </w:tc>
      </w:tr>
      <w:tr w14:paraId="2B1E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Merge w:val="restart"/>
            <w:shd w:val="clear" w:color="auto" w:fill="auto"/>
            <w:vAlign w:val="center"/>
          </w:tcPr>
          <w:p w14:paraId="18752924">
            <w:pPr>
              <w:spacing w:line="360" w:lineRule="auto"/>
              <w:rPr>
                <w:rFonts w:ascii="宋体" w:hAnsi="宋体" w:cs="宋体"/>
                <w:szCs w:val="21"/>
              </w:rPr>
            </w:pPr>
            <w:r>
              <w:rPr>
                <w:rFonts w:hint="eastAsia" w:ascii="宋体" w:hAnsi="宋体" w:cs="宋体"/>
                <w:szCs w:val="21"/>
              </w:rPr>
              <w:t>功能要求</w:t>
            </w:r>
          </w:p>
        </w:tc>
        <w:tc>
          <w:tcPr>
            <w:tcW w:w="3574" w:type="pct"/>
            <w:shd w:val="clear" w:color="auto" w:fill="auto"/>
            <w:vAlign w:val="center"/>
          </w:tcPr>
          <w:p w14:paraId="04A626B0">
            <w:pPr>
              <w:spacing w:line="360" w:lineRule="auto"/>
              <w:rPr>
                <w:rFonts w:ascii="宋体" w:hAnsi="宋体" w:cs="宋体"/>
                <w:szCs w:val="21"/>
              </w:rPr>
            </w:pPr>
            <w:r>
              <w:rPr>
                <w:rFonts w:hint="eastAsia" w:ascii="宋体" w:hAnsi="宋体" w:cs="宋体"/>
                <w:szCs w:val="21"/>
              </w:rPr>
              <w:t>高可用：IPv6网关提供跨可用区级的高可用能力，帮您打造极致稳定的IPv6公网网关服务</w:t>
            </w:r>
          </w:p>
        </w:tc>
        <w:tc>
          <w:tcPr>
            <w:tcW w:w="678" w:type="pct"/>
            <w:shd w:val="clear" w:color="auto" w:fill="auto"/>
            <w:vAlign w:val="center"/>
          </w:tcPr>
          <w:p w14:paraId="49EEF637">
            <w:pPr>
              <w:spacing w:line="360" w:lineRule="auto"/>
              <w:rPr>
                <w:rFonts w:ascii="宋体" w:hAnsi="宋体" w:cs="宋体"/>
                <w:szCs w:val="21"/>
              </w:rPr>
            </w:pPr>
          </w:p>
        </w:tc>
      </w:tr>
      <w:tr w14:paraId="5974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vMerge w:val="continue"/>
            <w:shd w:val="clear" w:color="auto" w:fill="auto"/>
            <w:vAlign w:val="center"/>
          </w:tcPr>
          <w:p w14:paraId="6AEC4C10">
            <w:pPr>
              <w:spacing w:line="360" w:lineRule="auto"/>
              <w:rPr>
                <w:rFonts w:ascii="宋体" w:hAnsi="宋体" w:cs="宋体"/>
                <w:szCs w:val="21"/>
              </w:rPr>
            </w:pPr>
          </w:p>
        </w:tc>
        <w:tc>
          <w:tcPr>
            <w:tcW w:w="3574" w:type="pct"/>
            <w:shd w:val="clear" w:color="auto" w:fill="auto"/>
            <w:vAlign w:val="center"/>
          </w:tcPr>
          <w:p w14:paraId="35FF4A62">
            <w:pPr>
              <w:spacing w:line="360" w:lineRule="auto"/>
              <w:rPr>
                <w:rFonts w:ascii="宋体" w:hAnsi="宋体" w:cs="宋体"/>
                <w:szCs w:val="21"/>
              </w:rPr>
            </w:pPr>
            <w:r>
              <w:rPr>
                <w:rFonts w:hint="eastAsia" w:ascii="宋体" w:hAnsi="宋体" w:cs="宋体"/>
                <w:szCs w:val="21"/>
              </w:rPr>
              <w:t>高性能：单个IPv6网关实例可提供万兆级吞吐量，满足超大业务的IPv6公网需求</w:t>
            </w:r>
          </w:p>
        </w:tc>
        <w:tc>
          <w:tcPr>
            <w:tcW w:w="678" w:type="pct"/>
            <w:shd w:val="clear" w:color="auto" w:fill="auto"/>
            <w:vAlign w:val="center"/>
          </w:tcPr>
          <w:p w14:paraId="0D346615">
            <w:pPr>
              <w:spacing w:line="360" w:lineRule="auto"/>
              <w:rPr>
                <w:rFonts w:ascii="宋体" w:hAnsi="宋体" w:cs="宋体"/>
                <w:szCs w:val="21"/>
              </w:rPr>
            </w:pPr>
          </w:p>
        </w:tc>
      </w:tr>
      <w:tr w14:paraId="1484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7" w:type="pct"/>
            <w:vMerge w:val="continue"/>
            <w:shd w:val="clear" w:color="auto" w:fill="auto"/>
            <w:vAlign w:val="center"/>
          </w:tcPr>
          <w:p w14:paraId="4DB8DB2C">
            <w:pPr>
              <w:spacing w:line="360" w:lineRule="auto"/>
              <w:rPr>
                <w:rFonts w:ascii="宋体" w:hAnsi="宋体" w:cs="宋体"/>
                <w:szCs w:val="21"/>
              </w:rPr>
            </w:pPr>
          </w:p>
        </w:tc>
        <w:tc>
          <w:tcPr>
            <w:tcW w:w="3574" w:type="pct"/>
            <w:shd w:val="clear" w:color="auto" w:fill="auto"/>
            <w:vAlign w:val="center"/>
          </w:tcPr>
          <w:p w14:paraId="69507D5B">
            <w:pPr>
              <w:spacing w:line="360" w:lineRule="auto"/>
              <w:rPr>
                <w:rFonts w:ascii="宋体" w:hAnsi="宋体" w:cs="宋体"/>
                <w:szCs w:val="21"/>
              </w:rPr>
            </w:pPr>
            <w:r>
              <w:rPr>
                <w:rFonts w:hint="eastAsia" w:ascii="宋体" w:hAnsi="宋体" w:cs="宋体"/>
                <w:szCs w:val="21"/>
              </w:rPr>
              <w:t>灵活管理：可以通过调整公网带宽和设置仅主动出规则，灵活设置IPv6地址的公网通信能力</w:t>
            </w:r>
          </w:p>
        </w:tc>
        <w:tc>
          <w:tcPr>
            <w:tcW w:w="678" w:type="pct"/>
            <w:shd w:val="clear" w:color="auto" w:fill="auto"/>
            <w:vAlign w:val="center"/>
          </w:tcPr>
          <w:p w14:paraId="104E3DCC">
            <w:pPr>
              <w:spacing w:line="360" w:lineRule="auto"/>
              <w:rPr>
                <w:rFonts w:ascii="宋体" w:hAnsi="宋体" w:cs="宋体"/>
                <w:szCs w:val="21"/>
              </w:rPr>
            </w:pPr>
          </w:p>
        </w:tc>
      </w:tr>
    </w:tbl>
    <w:p w14:paraId="3D51128F">
      <w:pPr>
        <w:pStyle w:val="23"/>
        <w:snapToGrid w:val="0"/>
        <w:ind w:firstLine="420" w:firstLineChars="200"/>
        <w:outlineLvl w:val="4"/>
        <w:rPr>
          <w:rFonts w:hAnsi="宋体" w:cs="宋体"/>
          <w:sz w:val="21"/>
        </w:rPr>
      </w:pPr>
      <w:r>
        <w:rPr>
          <w:rFonts w:hint="eastAsia" w:hAnsi="宋体" w:cs="宋体"/>
          <w:sz w:val="21"/>
        </w:rPr>
        <w:t>7.1.2.21消息队列</w:t>
      </w:r>
    </w:p>
    <w:tbl>
      <w:tblPr>
        <w:tblStyle w:val="62"/>
        <w:tblW w:w="5000" w:type="pct"/>
        <w:tblInd w:w="0" w:type="dxa"/>
        <w:tblLayout w:type="autofit"/>
        <w:tblCellMar>
          <w:top w:w="0" w:type="dxa"/>
          <w:left w:w="108" w:type="dxa"/>
          <w:bottom w:w="0" w:type="dxa"/>
          <w:right w:w="108" w:type="dxa"/>
        </w:tblCellMar>
      </w:tblPr>
      <w:tblGrid>
        <w:gridCol w:w="1444"/>
        <w:gridCol w:w="6623"/>
        <w:gridCol w:w="1222"/>
      </w:tblGrid>
      <w:tr w14:paraId="746F58E6">
        <w:tblPrEx>
          <w:tblCellMar>
            <w:top w:w="0" w:type="dxa"/>
            <w:left w:w="108" w:type="dxa"/>
            <w:bottom w:w="0" w:type="dxa"/>
            <w:right w:w="108" w:type="dxa"/>
          </w:tblCellMar>
        </w:tblPrEx>
        <w:trPr>
          <w:trHeight w:val="270" w:hRule="atLeast"/>
        </w:trPr>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336C6222">
            <w:pPr>
              <w:widowControl/>
              <w:jc w:val="center"/>
              <w:rPr>
                <w:rFonts w:ascii="宋体" w:hAnsi="宋体" w:cs="宋体"/>
                <w:b/>
                <w:szCs w:val="21"/>
              </w:rPr>
            </w:pPr>
            <w:r>
              <w:rPr>
                <w:rFonts w:hint="eastAsia" w:ascii="宋体" w:hAnsi="宋体" w:cs="宋体"/>
                <w:b/>
                <w:szCs w:val="21"/>
              </w:rPr>
              <w:t>指标项</w:t>
            </w:r>
          </w:p>
        </w:tc>
        <w:tc>
          <w:tcPr>
            <w:tcW w:w="3565" w:type="pct"/>
            <w:tcBorders>
              <w:top w:val="single" w:color="auto" w:sz="4" w:space="0"/>
              <w:left w:val="nil"/>
              <w:bottom w:val="single" w:color="auto" w:sz="4" w:space="0"/>
              <w:right w:val="single" w:color="auto" w:sz="4" w:space="0"/>
            </w:tcBorders>
            <w:shd w:val="clear" w:color="auto" w:fill="auto"/>
            <w:vAlign w:val="center"/>
          </w:tcPr>
          <w:p w14:paraId="572786C7">
            <w:pPr>
              <w:widowControl/>
              <w:jc w:val="center"/>
              <w:rPr>
                <w:rFonts w:ascii="宋体" w:hAnsi="宋体" w:cs="宋体"/>
                <w:b/>
                <w:szCs w:val="21"/>
              </w:rPr>
            </w:pPr>
            <w:r>
              <w:rPr>
                <w:rFonts w:hint="eastAsia" w:ascii="宋体" w:hAnsi="宋体" w:cs="宋体"/>
                <w:b/>
                <w:szCs w:val="21"/>
              </w:rPr>
              <w:t>规格要求</w:t>
            </w:r>
          </w:p>
        </w:tc>
        <w:tc>
          <w:tcPr>
            <w:tcW w:w="658" w:type="pct"/>
            <w:tcBorders>
              <w:top w:val="single" w:color="auto" w:sz="4" w:space="0"/>
              <w:left w:val="nil"/>
              <w:bottom w:val="single" w:color="auto" w:sz="4" w:space="0"/>
              <w:right w:val="single" w:color="auto" w:sz="4" w:space="0"/>
            </w:tcBorders>
            <w:shd w:val="clear" w:color="auto" w:fill="auto"/>
            <w:vAlign w:val="center"/>
          </w:tcPr>
          <w:p w14:paraId="7CBE142E">
            <w:pPr>
              <w:widowControl/>
              <w:jc w:val="center"/>
              <w:rPr>
                <w:rFonts w:ascii="宋体" w:hAnsi="宋体" w:cs="宋体"/>
                <w:b/>
                <w:szCs w:val="21"/>
              </w:rPr>
            </w:pPr>
            <w:r>
              <w:rPr>
                <w:rFonts w:hint="eastAsia" w:ascii="宋体" w:hAnsi="宋体" w:cs="宋体"/>
                <w:b/>
                <w:szCs w:val="21"/>
              </w:rPr>
              <w:t>备注</w:t>
            </w:r>
          </w:p>
        </w:tc>
      </w:tr>
      <w:tr w14:paraId="21263EFE">
        <w:tblPrEx>
          <w:tblCellMar>
            <w:top w:w="0" w:type="dxa"/>
            <w:left w:w="108" w:type="dxa"/>
            <w:bottom w:w="0" w:type="dxa"/>
            <w:right w:w="108" w:type="dxa"/>
          </w:tblCellMar>
        </w:tblPrEx>
        <w:trPr>
          <w:trHeight w:val="540" w:hRule="atLeast"/>
        </w:trPr>
        <w:tc>
          <w:tcPr>
            <w:tcW w:w="777" w:type="pct"/>
            <w:vMerge w:val="restart"/>
            <w:tcBorders>
              <w:top w:val="nil"/>
              <w:left w:val="single" w:color="auto" w:sz="4" w:space="0"/>
              <w:bottom w:val="single" w:color="auto" w:sz="4" w:space="0"/>
              <w:right w:val="single" w:color="auto" w:sz="4" w:space="0"/>
            </w:tcBorders>
            <w:shd w:val="clear" w:color="auto" w:fill="auto"/>
            <w:noWrap/>
            <w:vAlign w:val="center"/>
          </w:tcPr>
          <w:p w14:paraId="1C803271">
            <w:pPr>
              <w:spacing w:line="360" w:lineRule="auto"/>
              <w:jc w:val="center"/>
              <w:rPr>
                <w:rFonts w:ascii="宋体" w:hAnsi="宋体" w:cs="宋体"/>
                <w:szCs w:val="21"/>
              </w:rPr>
            </w:pPr>
            <w:r>
              <w:rPr>
                <w:rFonts w:hint="eastAsia" w:ascii="宋体" w:hAnsi="宋体" w:cs="宋体"/>
                <w:szCs w:val="21"/>
              </w:rPr>
              <w:t>功能特性</w:t>
            </w:r>
          </w:p>
        </w:tc>
        <w:tc>
          <w:tcPr>
            <w:tcW w:w="3565" w:type="pct"/>
            <w:tcBorders>
              <w:top w:val="nil"/>
              <w:left w:val="nil"/>
              <w:bottom w:val="single" w:color="auto" w:sz="4" w:space="0"/>
              <w:right w:val="single" w:color="auto" w:sz="4" w:space="0"/>
            </w:tcBorders>
            <w:shd w:val="clear" w:color="auto" w:fill="auto"/>
            <w:vAlign w:val="center"/>
          </w:tcPr>
          <w:p w14:paraId="0B3859A3">
            <w:pPr>
              <w:widowControl/>
              <w:jc w:val="left"/>
              <w:rPr>
                <w:rFonts w:ascii="宋体" w:hAnsi="宋体" w:cs="宋体"/>
                <w:szCs w:val="21"/>
              </w:rPr>
            </w:pPr>
            <w:r>
              <w:rPr>
                <w:rFonts w:hint="eastAsia" w:ascii="宋体" w:hAnsi="宋体" w:cs="宋体"/>
                <w:szCs w:val="21"/>
              </w:rPr>
              <w:t>支持消息队列实例管理，支持创建、更新实例，删除实例。</w:t>
            </w:r>
          </w:p>
        </w:tc>
        <w:tc>
          <w:tcPr>
            <w:tcW w:w="658" w:type="pct"/>
            <w:tcBorders>
              <w:top w:val="nil"/>
              <w:left w:val="nil"/>
              <w:bottom w:val="single" w:color="auto" w:sz="4" w:space="0"/>
              <w:right w:val="single" w:color="auto" w:sz="4" w:space="0"/>
            </w:tcBorders>
            <w:shd w:val="clear" w:color="auto" w:fill="auto"/>
            <w:noWrap/>
            <w:vAlign w:val="center"/>
          </w:tcPr>
          <w:p w14:paraId="71210B2A">
            <w:pPr>
              <w:widowControl/>
              <w:jc w:val="left"/>
              <w:rPr>
                <w:rFonts w:ascii="宋体" w:hAnsi="宋体" w:cs="宋体"/>
                <w:szCs w:val="21"/>
              </w:rPr>
            </w:pPr>
            <w:r>
              <w:rPr>
                <w:rFonts w:hint="eastAsia" w:ascii="宋体" w:hAnsi="宋体" w:cs="宋体"/>
                <w:szCs w:val="21"/>
              </w:rPr>
              <w:t>　</w:t>
            </w:r>
          </w:p>
        </w:tc>
      </w:tr>
      <w:tr w14:paraId="6546DA28">
        <w:tblPrEx>
          <w:tblCellMar>
            <w:top w:w="0" w:type="dxa"/>
            <w:left w:w="108" w:type="dxa"/>
            <w:bottom w:w="0" w:type="dxa"/>
            <w:right w:w="108" w:type="dxa"/>
          </w:tblCellMar>
        </w:tblPrEx>
        <w:trPr>
          <w:trHeight w:val="540" w:hRule="atLeast"/>
        </w:trPr>
        <w:tc>
          <w:tcPr>
            <w:tcW w:w="777" w:type="pct"/>
            <w:vMerge w:val="continue"/>
            <w:tcBorders>
              <w:top w:val="nil"/>
              <w:left w:val="single" w:color="auto" w:sz="4" w:space="0"/>
              <w:bottom w:val="single" w:color="auto" w:sz="4" w:space="0"/>
              <w:right w:val="single" w:color="auto" w:sz="4" w:space="0"/>
            </w:tcBorders>
            <w:vAlign w:val="center"/>
          </w:tcPr>
          <w:p w14:paraId="6831F635">
            <w:pPr>
              <w:widowControl/>
              <w:jc w:val="left"/>
              <w:rPr>
                <w:rFonts w:ascii="宋体" w:hAnsi="宋体" w:cs="宋体"/>
                <w:szCs w:val="21"/>
              </w:rPr>
            </w:pPr>
          </w:p>
        </w:tc>
        <w:tc>
          <w:tcPr>
            <w:tcW w:w="3565" w:type="pct"/>
            <w:tcBorders>
              <w:top w:val="nil"/>
              <w:left w:val="nil"/>
              <w:bottom w:val="single" w:color="auto" w:sz="4" w:space="0"/>
              <w:right w:val="single" w:color="auto" w:sz="4" w:space="0"/>
            </w:tcBorders>
            <w:shd w:val="clear" w:color="auto" w:fill="auto"/>
            <w:vAlign w:val="center"/>
          </w:tcPr>
          <w:p w14:paraId="4214C626">
            <w:pPr>
              <w:widowControl/>
              <w:jc w:val="left"/>
              <w:rPr>
                <w:rFonts w:ascii="宋体" w:hAnsi="宋体" w:cs="宋体"/>
                <w:szCs w:val="21"/>
              </w:rPr>
            </w:pPr>
            <w:r>
              <w:rPr>
                <w:rFonts w:hint="eastAsia" w:ascii="宋体" w:hAnsi="宋体" w:cs="宋体"/>
                <w:szCs w:val="21"/>
              </w:rPr>
              <w:t>支持TCP协议SDK，支持HTTP协议SDK接入。</w:t>
            </w:r>
          </w:p>
        </w:tc>
        <w:tc>
          <w:tcPr>
            <w:tcW w:w="658" w:type="pct"/>
            <w:tcBorders>
              <w:top w:val="nil"/>
              <w:left w:val="nil"/>
              <w:bottom w:val="single" w:color="auto" w:sz="4" w:space="0"/>
              <w:right w:val="single" w:color="auto" w:sz="4" w:space="0"/>
            </w:tcBorders>
            <w:shd w:val="clear" w:color="auto" w:fill="auto"/>
            <w:noWrap/>
            <w:vAlign w:val="center"/>
          </w:tcPr>
          <w:p w14:paraId="71870D1C">
            <w:pPr>
              <w:widowControl/>
              <w:jc w:val="left"/>
              <w:rPr>
                <w:rFonts w:ascii="宋体" w:hAnsi="宋体" w:cs="宋体"/>
                <w:szCs w:val="21"/>
              </w:rPr>
            </w:pPr>
            <w:r>
              <w:rPr>
                <w:rFonts w:hint="eastAsia" w:ascii="宋体" w:hAnsi="宋体" w:cs="宋体"/>
                <w:szCs w:val="21"/>
              </w:rPr>
              <w:t>　</w:t>
            </w:r>
          </w:p>
        </w:tc>
      </w:tr>
      <w:tr w14:paraId="274D0D1E">
        <w:tblPrEx>
          <w:tblCellMar>
            <w:top w:w="0" w:type="dxa"/>
            <w:left w:w="108" w:type="dxa"/>
            <w:bottom w:w="0" w:type="dxa"/>
            <w:right w:w="108" w:type="dxa"/>
          </w:tblCellMar>
        </w:tblPrEx>
        <w:trPr>
          <w:trHeight w:val="540" w:hRule="atLeast"/>
        </w:trPr>
        <w:tc>
          <w:tcPr>
            <w:tcW w:w="777" w:type="pct"/>
            <w:vMerge w:val="continue"/>
            <w:tcBorders>
              <w:top w:val="nil"/>
              <w:left w:val="single" w:color="auto" w:sz="4" w:space="0"/>
              <w:bottom w:val="single" w:color="auto" w:sz="4" w:space="0"/>
              <w:right w:val="single" w:color="auto" w:sz="4" w:space="0"/>
            </w:tcBorders>
            <w:vAlign w:val="center"/>
          </w:tcPr>
          <w:p w14:paraId="67C3B2E9">
            <w:pPr>
              <w:widowControl/>
              <w:jc w:val="left"/>
              <w:rPr>
                <w:rFonts w:ascii="宋体" w:hAnsi="宋体" w:cs="宋体"/>
                <w:szCs w:val="21"/>
              </w:rPr>
            </w:pPr>
          </w:p>
        </w:tc>
        <w:tc>
          <w:tcPr>
            <w:tcW w:w="3565" w:type="pct"/>
            <w:tcBorders>
              <w:top w:val="nil"/>
              <w:left w:val="nil"/>
              <w:bottom w:val="single" w:color="auto" w:sz="4" w:space="0"/>
              <w:right w:val="single" w:color="auto" w:sz="4" w:space="0"/>
            </w:tcBorders>
            <w:shd w:val="clear" w:color="auto" w:fill="auto"/>
            <w:vAlign w:val="center"/>
          </w:tcPr>
          <w:p w14:paraId="6C91ABC8">
            <w:pPr>
              <w:widowControl/>
              <w:jc w:val="left"/>
              <w:rPr>
                <w:rFonts w:ascii="宋体" w:hAnsi="宋体" w:cs="宋体"/>
                <w:szCs w:val="21"/>
              </w:rPr>
            </w:pPr>
            <w:r>
              <w:rPr>
                <w:rFonts w:hint="eastAsia" w:ascii="宋体" w:hAnsi="宋体" w:cs="宋体"/>
                <w:szCs w:val="21"/>
              </w:rPr>
              <w:t>按照消息的发布顺序进行顺序消费（FIFO），支持全局顺序与分区顺序。</w:t>
            </w:r>
          </w:p>
        </w:tc>
        <w:tc>
          <w:tcPr>
            <w:tcW w:w="658" w:type="pct"/>
            <w:tcBorders>
              <w:top w:val="nil"/>
              <w:left w:val="nil"/>
              <w:bottom w:val="single" w:color="auto" w:sz="4" w:space="0"/>
              <w:right w:val="single" w:color="auto" w:sz="4" w:space="0"/>
            </w:tcBorders>
            <w:shd w:val="clear" w:color="auto" w:fill="auto"/>
            <w:noWrap/>
            <w:vAlign w:val="center"/>
          </w:tcPr>
          <w:p w14:paraId="7F10CF78">
            <w:pPr>
              <w:widowControl/>
              <w:jc w:val="left"/>
              <w:rPr>
                <w:rFonts w:ascii="宋体" w:hAnsi="宋体" w:cs="宋体"/>
                <w:szCs w:val="21"/>
              </w:rPr>
            </w:pPr>
            <w:r>
              <w:rPr>
                <w:rFonts w:hint="eastAsia" w:ascii="宋体" w:hAnsi="宋体" w:cs="宋体"/>
                <w:szCs w:val="21"/>
              </w:rPr>
              <w:t>　</w:t>
            </w:r>
          </w:p>
        </w:tc>
      </w:tr>
      <w:tr w14:paraId="1B2904C4">
        <w:tblPrEx>
          <w:tblCellMar>
            <w:top w:w="0" w:type="dxa"/>
            <w:left w:w="108" w:type="dxa"/>
            <w:bottom w:w="0" w:type="dxa"/>
            <w:right w:w="108" w:type="dxa"/>
          </w:tblCellMar>
        </w:tblPrEx>
        <w:trPr>
          <w:trHeight w:val="540" w:hRule="atLeast"/>
        </w:trPr>
        <w:tc>
          <w:tcPr>
            <w:tcW w:w="777" w:type="pct"/>
            <w:vMerge w:val="continue"/>
            <w:tcBorders>
              <w:top w:val="nil"/>
              <w:left w:val="single" w:color="auto" w:sz="4" w:space="0"/>
              <w:bottom w:val="single" w:color="auto" w:sz="4" w:space="0"/>
              <w:right w:val="single" w:color="auto" w:sz="4" w:space="0"/>
            </w:tcBorders>
            <w:vAlign w:val="center"/>
          </w:tcPr>
          <w:p w14:paraId="1A922538">
            <w:pPr>
              <w:widowControl/>
              <w:jc w:val="left"/>
              <w:rPr>
                <w:rFonts w:ascii="宋体" w:hAnsi="宋体" w:cs="宋体"/>
                <w:szCs w:val="21"/>
              </w:rPr>
            </w:pPr>
          </w:p>
        </w:tc>
        <w:tc>
          <w:tcPr>
            <w:tcW w:w="3565" w:type="pct"/>
            <w:tcBorders>
              <w:top w:val="nil"/>
              <w:left w:val="nil"/>
              <w:bottom w:val="single" w:color="auto" w:sz="4" w:space="0"/>
              <w:right w:val="single" w:color="auto" w:sz="4" w:space="0"/>
            </w:tcBorders>
            <w:shd w:val="clear" w:color="auto" w:fill="auto"/>
            <w:vAlign w:val="center"/>
          </w:tcPr>
          <w:p w14:paraId="695E0C98">
            <w:pPr>
              <w:widowControl/>
              <w:jc w:val="left"/>
              <w:rPr>
                <w:rFonts w:ascii="宋体" w:hAnsi="宋体" w:cs="宋体"/>
                <w:szCs w:val="21"/>
              </w:rPr>
            </w:pPr>
            <w:r>
              <w:rPr>
                <w:rFonts w:hint="eastAsia" w:ascii="宋体" w:hAnsi="宋体" w:cs="宋体"/>
                <w:szCs w:val="21"/>
              </w:rPr>
              <w:t>支持查询无法被正常消费的消息并可以进行重投。</w:t>
            </w:r>
          </w:p>
        </w:tc>
        <w:tc>
          <w:tcPr>
            <w:tcW w:w="658" w:type="pct"/>
            <w:tcBorders>
              <w:top w:val="nil"/>
              <w:left w:val="nil"/>
              <w:bottom w:val="single" w:color="auto" w:sz="4" w:space="0"/>
              <w:right w:val="single" w:color="auto" w:sz="4" w:space="0"/>
            </w:tcBorders>
            <w:shd w:val="clear" w:color="auto" w:fill="auto"/>
            <w:noWrap/>
            <w:vAlign w:val="center"/>
          </w:tcPr>
          <w:p w14:paraId="41BFCDE9">
            <w:pPr>
              <w:widowControl/>
              <w:jc w:val="left"/>
              <w:rPr>
                <w:rFonts w:ascii="宋体" w:hAnsi="宋体" w:cs="宋体"/>
                <w:szCs w:val="21"/>
              </w:rPr>
            </w:pPr>
            <w:r>
              <w:rPr>
                <w:rFonts w:hint="eastAsia" w:ascii="宋体" w:hAnsi="宋体" w:cs="宋体"/>
                <w:szCs w:val="21"/>
              </w:rPr>
              <w:t>　</w:t>
            </w:r>
          </w:p>
        </w:tc>
      </w:tr>
      <w:tr w14:paraId="70942F0F">
        <w:tblPrEx>
          <w:tblCellMar>
            <w:top w:w="0" w:type="dxa"/>
            <w:left w:w="108" w:type="dxa"/>
            <w:bottom w:w="0" w:type="dxa"/>
            <w:right w:w="108" w:type="dxa"/>
          </w:tblCellMar>
        </w:tblPrEx>
        <w:trPr>
          <w:trHeight w:val="540" w:hRule="atLeast"/>
        </w:trPr>
        <w:tc>
          <w:tcPr>
            <w:tcW w:w="777" w:type="pct"/>
            <w:vMerge w:val="continue"/>
            <w:tcBorders>
              <w:top w:val="nil"/>
              <w:left w:val="single" w:color="auto" w:sz="4" w:space="0"/>
              <w:bottom w:val="single" w:color="auto" w:sz="4" w:space="0"/>
              <w:right w:val="single" w:color="auto" w:sz="4" w:space="0"/>
            </w:tcBorders>
            <w:vAlign w:val="center"/>
          </w:tcPr>
          <w:p w14:paraId="3ECC3F1D">
            <w:pPr>
              <w:widowControl/>
              <w:jc w:val="left"/>
              <w:rPr>
                <w:rFonts w:ascii="宋体" w:hAnsi="宋体" w:cs="宋体"/>
                <w:szCs w:val="21"/>
              </w:rPr>
            </w:pPr>
          </w:p>
        </w:tc>
        <w:tc>
          <w:tcPr>
            <w:tcW w:w="3565" w:type="pct"/>
            <w:tcBorders>
              <w:top w:val="nil"/>
              <w:left w:val="nil"/>
              <w:bottom w:val="single" w:color="auto" w:sz="4" w:space="0"/>
              <w:right w:val="single" w:color="auto" w:sz="4" w:space="0"/>
            </w:tcBorders>
            <w:shd w:val="clear" w:color="auto" w:fill="auto"/>
            <w:vAlign w:val="center"/>
          </w:tcPr>
          <w:p w14:paraId="203FA18D">
            <w:pPr>
              <w:widowControl/>
              <w:jc w:val="left"/>
              <w:rPr>
                <w:rFonts w:ascii="宋体" w:hAnsi="宋体" w:cs="宋体"/>
                <w:szCs w:val="21"/>
              </w:rPr>
            </w:pPr>
            <w:r>
              <w:rPr>
                <w:rFonts w:hint="eastAsia" w:ascii="宋体" w:hAnsi="宋体" w:cs="宋体"/>
                <w:szCs w:val="21"/>
              </w:rPr>
              <w:t>支持 Topic、Message ID、Message Key 多维度方式查询消息详细信息。</w:t>
            </w:r>
          </w:p>
        </w:tc>
        <w:tc>
          <w:tcPr>
            <w:tcW w:w="658" w:type="pct"/>
            <w:tcBorders>
              <w:top w:val="nil"/>
              <w:left w:val="nil"/>
              <w:bottom w:val="single" w:color="auto" w:sz="4" w:space="0"/>
              <w:right w:val="single" w:color="auto" w:sz="4" w:space="0"/>
            </w:tcBorders>
            <w:shd w:val="clear" w:color="auto" w:fill="auto"/>
            <w:noWrap/>
            <w:vAlign w:val="center"/>
          </w:tcPr>
          <w:p w14:paraId="36154899">
            <w:pPr>
              <w:widowControl/>
              <w:jc w:val="left"/>
              <w:rPr>
                <w:rFonts w:ascii="宋体" w:hAnsi="宋体" w:cs="宋体"/>
                <w:szCs w:val="21"/>
              </w:rPr>
            </w:pPr>
            <w:r>
              <w:rPr>
                <w:rFonts w:hint="eastAsia" w:ascii="宋体" w:hAnsi="宋体" w:cs="宋体"/>
                <w:szCs w:val="21"/>
              </w:rPr>
              <w:t>　</w:t>
            </w:r>
          </w:p>
        </w:tc>
      </w:tr>
      <w:tr w14:paraId="1DCF2262">
        <w:tblPrEx>
          <w:tblCellMar>
            <w:top w:w="0" w:type="dxa"/>
            <w:left w:w="108" w:type="dxa"/>
            <w:bottom w:w="0" w:type="dxa"/>
            <w:right w:w="108" w:type="dxa"/>
          </w:tblCellMar>
        </w:tblPrEx>
        <w:trPr>
          <w:trHeight w:val="540"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10AD93FA">
            <w:pPr>
              <w:widowControl/>
              <w:jc w:val="left"/>
              <w:rPr>
                <w:rFonts w:ascii="宋体" w:hAnsi="宋体" w:cs="宋体"/>
                <w:szCs w:val="21"/>
              </w:rPr>
            </w:pPr>
            <w:r>
              <w:rPr>
                <w:rFonts w:hint="eastAsia" w:ascii="宋体" w:hAnsi="宋体" w:cs="宋体"/>
                <w:szCs w:val="21"/>
              </w:rPr>
              <w:t>可靠性</w:t>
            </w:r>
          </w:p>
        </w:tc>
        <w:tc>
          <w:tcPr>
            <w:tcW w:w="3565" w:type="pct"/>
            <w:tcBorders>
              <w:top w:val="nil"/>
              <w:left w:val="nil"/>
              <w:bottom w:val="single" w:color="auto" w:sz="4" w:space="0"/>
              <w:right w:val="single" w:color="auto" w:sz="4" w:space="0"/>
            </w:tcBorders>
            <w:shd w:val="clear" w:color="auto" w:fill="auto"/>
            <w:vAlign w:val="center"/>
          </w:tcPr>
          <w:p w14:paraId="701025DA">
            <w:pPr>
              <w:widowControl/>
              <w:jc w:val="left"/>
              <w:rPr>
                <w:rFonts w:ascii="宋体" w:hAnsi="宋体" w:cs="宋体"/>
                <w:szCs w:val="21"/>
              </w:rPr>
            </w:pPr>
            <w:r>
              <w:rPr>
                <w:rFonts w:hint="eastAsia" w:ascii="宋体" w:hAnsi="宋体" w:cs="宋体"/>
                <w:szCs w:val="21"/>
              </w:rPr>
              <w:t>在支持海量消息堆积的情况下，始终保证高性能，不影响集群的正常服务。</w:t>
            </w:r>
          </w:p>
        </w:tc>
        <w:tc>
          <w:tcPr>
            <w:tcW w:w="658" w:type="pct"/>
            <w:tcBorders>
              <w:top w:val="nil"/>
              <w:left w:val="nil"/>
              <w:bottom w:val="single" w:color="auto" w:sz="4" w:space="0"/>
              <w:right w:val="single" w:color="auto" w:sz="4" w:space="0"/>
            </w:tcBorders>
            <w:shd w:val="clear" w:color="auto" w:fill="auto"/>
            <w:noWrap/>
            <w:vAlign w:val="center"/>
          </w:tcPr>
          <w:p w14:paraId="1F0ABE3E">
            <w:pPr>
              <w:widowControl/>
              <w:jc w:val="left"/>
              <w:rPr>
                <w:rFonts w:ascii="宋体" w:hAnsi="宋体" w:cs="宋体"/>
                <w:szCs w:val="21"/>
              </w:rPr>
            </w:pPr>
            <w:r>
              <w:rPr>
                <w:rFonts w:hint="eastAsia" w:ascii="宋体" w:hAnsi="宋体" w:cs="宋体"/>
                <w:szCs w:val="21"/>
              </w:rPr>
              <w:t>　</w:t>
            </w:r>
          </w:p>
        </w:tc>
      </w:tr>
      <w:tr w14:paraId="5107BC92">
        <w:tblPrEx>
          <w:tblCellMar>
            <w:top w:w="0" w:type="dxa"/>
            <w:left w:w="108" w:type="dxa"/>
            <w:bottom w:w="0" w:type="dxa"/>
            <w:right w:w="108" w:type="dxa"/>
          </w:tblCellMar>
        </w:tblPrEx>
        <w:trPr>
          <w:trHeight w:val="540" w:hRule="atLeast"/>
        </w:trPr>
        <w:tc>
          <w:tcPr>
            <w:tcW w:w="777" w:type="pct"/>
            <w:tcBorders>
              <w:top w:val="nil"/>
              <w:left w:val="single" w:color="auto" w:sz="4" w:space="0"/>
              <w:bottom w:val="single" w:color="auto" w:sz="4" w:space="0"/>
              <w:right w:val="single" w:color="auto" w:sz="4" w:space="0"/>
            </w:tcBorders>
            <w:shd w:val="clear" w:color="auto" w:fill="auto"/>
            <w:noWrap/>
            <w:vAlign w:val="center"/>
          </w:tcPr>
          <w:p w14:paraId="6A25F1B5">
            <w:pPr>
              <w:widowControl/>
              <w:jc w:val="left"/>
              <w:rPr>
                <w:rFonts w:ascii="宋体" w:hAnsi="宋体" w:cs="宋体"/>
                <w:szCs w:val="21"/>
              </w:rPr>
            </w:pPr>
            <w:r>
              <w:rPr>
                <w:rFonts w:hint="eastAsia" w:ascii="宋体" w:hAnsi="宋体" w:cs="宋体"/>
                <w:szCs w:val="21"/>
              </w:rPr>
              <w:t>安全性</w:t>
            </w:r>
          </w:p>
        </w:tc>
        <w:tc>
          <w:tcPr>
            <w:tcW w:w="3565" w:type="pct"/>
            <w:tcBorders>
              <w:top w:val="nil"/>
              <w:left w:val="nil"/>
              <w:bottom w:val="single" w:color="auto" w:sz="4" w:space="0"/>
              <w:right w:val="single" w:color="auto" w:sz="4" w:space="0"/>
            </w:tcBorders>
            <w:shd w:val="clear" w:color="auto" w:fill="auto"/>
            <w:vAlign w:val="center"/>
          </w:tcPr>
          <w:p w14:paraId="2379E580">
            <w:pPr>
              <w:widowControl/>
              <w:jc w:val="left"/>
              <w:rPr>
                <w:rFonts w:ascii="宋体" w:hAnsi="宋体" w:cs="宋体"/>
                <w:szCs w:val="21"/>
              </w:rPr>
            </w:pPr>
            <w:r>
              <w:rPr>
                <w:rFonts w:hint="eastAsia" w:ascii="宋体" w:hAnsi="宋体" w:cs="宋体"/>
                <w:szCs w:val="21"/>
              </w:rPr>
              <w:t>具备完善的多用户隔离机制，保障用户数据的私密性</w:t>
            </w:r>
          </w:p>
        </w:tc>
        <w:tc>
          <w:tcPr>
            <w:tcW w:w="658" w:type="pct"/>
            <w:tcBorders>
              <w:top w:val="nil"/>
              <w:left w:val="nil"/>
              <w:bottom w:val="single" w:color="auto" w:sz="4" w:space="0"/>
              <w:right w:val="single" w:color="auto" w:sz="4" w:space="0"/>
            </w:tcBorders>
            <w:shd w:val="clear" w:color="auto" w:fill="auto"/>
            <w:noWrap/>
            <w:vAlign w:val="center"/>
          </w:tcPr>
          <w:p w14:paraId="39605B4C">
            <w:pPr>
              <w:widowControl/>
              <w:jc w:val="left"/>
              <w:rPr>
                <w:rFonts w:ascii="宋体" w:hAnsi="宋体" w:cs="宋体"/>
                <w:szCs w:val="21"/>
              </w:rPr>
            </w:pPr>
            <w:r>
              <w:rPr>
                <w:rFonts w:hint="eastAsia" w:ascii="宋体" w:hAnsi="宋体" w:cs="宋体"/>
                <w:szCs w:val="21"/>
              </w:rPr>
              <w:t>　</w:t>
            </w:r>
          </w:p>
        </w:tc>
      </w:tr>
    </w:tbl>
    <w:p w14:paraId="44807C4A">
      <w:pPr>
        <w:pStyle w:val="23"/>
        <w:snapToGrid w:val="0"/>
        <w:ind w:firstLine="420" w:firstLineChars="200"/>
        <w:outlineLvl w:val="4"/>
        <w:rPr>
          <w:rFonts w:hAnsi="宋体" w:cs="宋体"/>
          <w:sz w:val="21"/>
        </w:rPr>
      </w:pPr>
      <w:r>
        <w:rPr>
          <w:rFonts w:hint="eastAsia" w:hAnsi="宋体" w:cs="宋体"/>
          <w:sz w:val="21"/>
        </w:rPr>
        <w:t>7.1.2.22搜索服务（Elasticsearch）</w:t>
      </w:r>
    </w:p>
    <w:tbl>
      <w:tblPr>
        <w:tblStyle w:val="62"/>
        <w:tblW w:w="5000" w:type="pct"/>
        <w:tblInd w:w="0" w:type="dxa"/>
        <w:tblLayout w:type="autofit"/>
        <w:tblCellMar>
          <w:top w:w="0" w:type="dxa"/>
          <w:left w:w="108" w:type="dxa"/>
          <w:bottom w:w="0" w:type="dxa"/>
          <w:right w:w="108" w:type="dxa"/>
        </w:tblCellMar>
      </w:tblPr>
      <w:tblGrid>
        <w:gridCol w:w="1365"/>
        <w:gridCol w:w="6643"/>
        <w:gridCol w:w="1281"/>
      </w:tblGrid>
      <w:tr w14:paraId="62F72B3D">
        <w:tblPrEx>
          <w:tblCellMar>
            <w:top w:w="0" w:type="dxa"/>
            <w:left w:w="108" w:type="dxa"/>
            <w:bottom w:w="0" w:type="dxa"/>
            <w:right w:w="108" w:type="dxa"/>
          </w:tblCellMar>
        </w:tblPrEx>
        <w:trPr>
          <w:trHeight w:val="270" w:hRule="atLeast"/>
          <w:tblHeader/>
        </w:trPr>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7B7673F5">
            <w:pPr>
              <w:widowControl/>
              <w:jc w:val="left"/>
              <w:rPr>
                <w:rFonts w:ascii="宋体" w:hAnsi="宋体" w:cs="宋体"/>
                <w:b/>
                <w:szCs w:val="21"/>
              </w:rPr>
            </w:pPr>
            <w:r>
              <w:rPr>
                <w:rFonts w:hint="eastAsia" w:ascii="宋体" w:hAnsi="宋体" w:cs="宋体"/>
                <w:b/>
                <w:szCs w:val="21"/>
              </w:rPr>
              <w:t>指标项</w:t>
            </w:r>
          </w:p>
        </w:tc>
        <w:tc>
          <w:tcPr>
            <w:tcW w:w="3576" w:type="pct"/>
            <w:tcBorders>
              <w:top w:val="single" w:color="auto" w:sz="4" w:space="0"/>
              <w:left w:val="nil"/>
              <w:bottom w:val="single" w:color="auto" w:sz="4" w:space="0"/>
              <w:right w:val="single" w:color="auto" w:sz="4" w:space="0"/>
            </w:tcBorders>
            <w:shd w:val="clear" w:color="auto" w:fill="auto"/>
            <w:vAlign w:val="center"/>
          </w:tcPr>
          <w:p w14:paraId="724BE481">
            <w:pPr>
              <w:widowControl/>
              <w:jc w:val="center"/>
              <w:rPr>
                <w:rFonts w:ascii="宋体" w:hAnsi="宋体" w:cs="宋体"/>
                <w:b/>
                <w:szCs w:val="21"/>
              </w:rPr>
            </w:pPr>
            <w:r>
              <w:rPr>
                <w:rFonts w:hint="eastAsia" w:ascii="宋体" w:hAnsi="宋体" w:cs="宋体"/>
                <w:b/>
                <w:szCs w:val="21"/>
              </w:rPr>
              <w:t>指标要求</w:t>
            </w:r>
          </w:p>
        </w:tc>
        <w:tc>
          <w:tcPr>
            <w:tcW w:w="689" w:type="pct"/>
            <w:tcBorders>
              <w:top w:val="single" w:color="auto" w:sz="4" w:space="0"/>
              <w:left w:val="nil"/>
              <w:bottom w:val="single" w:color="auto" w:sz="4" w:space="0"/>
              <w:right w:val="single" w:color="auto" w:sz="4" w:space="0"/>
            </w:tcBorders>
          </w:tcPr>
          <w:p w14:paraId="17120C8C">
            <w:pPr>
              <w:widowControl/>
              <w:jc w:val="left"/>
              <w:rPr>
                <w:rFonts w:ascii="宋体" w:hAnsi="宋体" w:cs="宋体"/>
                <w:b/>
                <w:szCs w:val="21"/>
              </w:rPr>
            </w:pPr>
            <w:r>
              <w:rPr>
                <w:rFonts w:hint="eastAsia" w:ascii="宋体" w:hAnsi="宋体" w:cs="宋体"/>
                <w:b/>
                <w:szCs w:val="21"/>
              </w:rPr>
              <w:t>备注</w:t>
            </w:r>
          </w:p>
        </w:tc>
      </w:tr>
      <w:tr w14:paraId="09C6801C">
        <w:tblPrEx>
          <w:tblCellMar>
            <w:top w:w="0" w:type="dxa"/>
            <w:left w:w="108" w:type="dxa"/>
            <w:bottom w:w="0" w:type="dxa"/>
            <w:right w:w="108" w:type="dxa"/>
          </w:tblCellMar>
        </w:tblPrEx>
        <w:trPr>
          <w:trHeight w:val="480"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3C58381B">
            <w:pPr>
              <w:widowControl/>
              <w:jc w:val="left"/>
              <w:rPr>
                <w:rFonts w:ascii="宋体" w:hAnsi="宋体" w:cs="宋体"/>
                <w:szCs w:val="21"/>
              </w:rPr>
            </w:pPr>
            <w:r>
              <w:rPr>
                <w:rFonts w:hint="eastAsia" w:ascii="宋体" w:hAnsi="宋体" w:cs="宋体"/>
                <w:szCs w:val="21"/>
              </w:rPr>
              <w:t>服务标准</w:t>
            </w:r>
          </w:p>
        </w:tc>
        <w:tc>
          <w:tcPr>
            <w:tcW w:w="3576" w:type="pct"/>
            <w:tcBorders>
              <w:top w:val="nil"/>
              <w:left w:val="nil"/>
              <w:bottom w:val="single" w:color="auto" w:sz="4" w:space="0"/>
              <w:right w:val="single" w:color="auto" w:sz="4" w:space="0"/>
            </w:tcBorders>
            <w:shd w:val="clear" w:color="auto" w:fill="auto"/>
            <w:vAlign w:val="center"/>
          </w:tcPr>
          <w:p w14:paraId="04AE7379">
            <w:pPr>
              <w:spacing w:line="360" w:lineRule="auto"/>
              <w:rPr>
                <w:rFonts w:ascii="宋体" w:hAnsi="宋体" w:cs="宋体"/>
                <w:szCs w:val="21"/>
              </w:rPr>
            </w:pPr>
            <w:r>
              <w:rPr>
                <w:rFonts w:hint="eastAsia" w:ascii="宋体" w:hAnsi="宋体" w:cs="宋体"/>
                <w:szCs w:val="21"/>
              </w:rPr>
              <w:t>基于Lucene的搜索服务器，提供一个分布式多用户能力的全文搜索引擎，基于RESTful web接口。</w:t>
            </w:r>
          </w:p>
        </w:tc>
        <w:tc>
          <w:tcPr>
            <w:tcW w:w="689" w:type="pct"/>
            <w:tcBorders>
              <w:top w:val="nil"/>
              <w:left w:val="nil"/>
              <w:bottom w:val="single" w:color="auto" w:sz="4" w:space="0"/>
              <w:right w:val="single" w:color="auto" w:sz="4" w:space="0"/>
            </w:tcBorders>
          </w:tcPr>
          <w:p w14:paraId="085A5807">
            <w:pPr>
              <w:widowControl/>
              <w:jc w:val="left"/>
              <w:rPr>
                <w:rFonts w:ascii="宋体" w:hAnsi="宋体" w:cs="宋体"/>
                <w:szCs w:val="21"/>
              </w:rPr>
            </w:pPr>
          </w:p>
        </w:tc>
      </w:tr>
      <w:tr w14:paraId="66DBEDCA">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567C099B">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0706E191">
            <w:pPr>
              <w:spacing w:line="360" w:lineRule="auto"/>
              <w:rPr>
                <w:rFonts w:ascii="宋体" w:hAnsi="宋体" w:cs="宋体"/>
                <w:szCs w:val="21"/>
              </w:rPr>
            </w:pPr>
            <w:r>
              <w:rPr>
                <w:rFonts w:hint="eastAsia" w:ascii="宋体" w:hAnsi="宋体" w:cs="宋体"/>
                <w:szCs w:val="21"/>
              </w:rPr>
              <w:t>提供企业级搜索引擎能力，能够达到实时搜索、稳定、可靠、快速且安装使用方便。</w:t>
            </w:r>
          </w:p>
        </w:tc>
        <w:tc>
          <w:tcPr>
            <w:tcW w:w="689" w:type="pct"/>
            <w:tcBorders>
              <w:top w:val="nil"/>
              <w:left w:val="nil"/>
              <w:bottom w:val="single" w:color="auto" w:sz="4" w:space="0"/>
              <w:right w:val="single" w:color="auto" w:sz="4" w:space="0"/>
            </w:tcBorders>
          </w:tcPr>
          <w:p w14:paraId="7771B8BC">
            <w:pPr>
              <w:widowControl/>
              <w:jc w:val="left"/>
              <w:rPr>
                <w:rFonts w:ascii="宋体" w:hAnsi="宋体" w:cs="宋体"/>
                <w:szCs w:val="21"/>
              </w:rPr>
            </w:pPr>
          </w:p>
        </w:tc>
      </w:tr>
      <w:tr w14:paraId="621B8D37">
        <w:tblPrEx>
          <w:tblCellMar>
            <w:top w:w="0" w:type="dxa"/>
            <w:left w:w="108" w:type="dxa"/>
            <w:bottom w:w="0" w:type="dxa"/>
            <w:right w:w="108" w:type="dxa"/>
          </w:tblCellMar>
        </w:tblPrEx>
        <w:trPr>
          <w:trHeight w:val="270"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08BBD1D4">
            <w:pPr>
              <w:widowControl/>
              <w:jc w:val="left"/>
              <w:rPr>
                <w:rFonts w:ascii="宋体" w:hAnsi="宋体" w:cs="宋体"/>
                <w:szCs w:val="21"/>
              </w:rPr>
            </w:pPr>
            <w:r>
              <w:rPr>
                <w:rFonts w:hint="eastAsia" w:ascii="宋体" w:hAnsi="宋体" w:cs="宋体"/>
                <w:szCs w:val="21"/>
              </w:rPr>
              <w:t>服务特性</w:t>
            </w:r>
          </w:p>
        </w:tc>
        <w:tc>
          <w:tcPr>
            <w:tcW w:w="3576" w:type="pct"/>
            <w:tcBorders>
              <w:top w:val="nil"/>
              <w:left w:val="nil"/>
              <w:bottom w:val="single" w:color="auto" w:sz="4" w:space="0"/>
              <w:right w:val="single" w:color="auto" w:sz="4" w:space="0"/>
            </w:tcBorders>
            <w:shd w:val="clear" w:color="auto" w:fill="auto"/>
            <w:vAlign w:val="center"/>
          </w:tcPr>
          <w:p w14:paraId="4B293C44">
            <w:pPr>
              <w:spacing w:line="360" w:lineRule="auto"/>
              <w:rPr>
                <w:rFonts w:ascii="宋体" w:hAnsi="宋体" w:cs="宋体"/>
                <w:szCs w:val="21"/>
              </w:rPr>
            </w:pPr>
            <w:r>
              <w:rPr>
                <w:rFonts w:hint="eastAsia" w:ascii="宋体" w:hAnsi="宋体" w:cs="宋体"/>
                <w:szCs w:val="21"/>
              </w:rPr>
              <w:t>提供分布式搜索引擎和数据分析引擎能力。</w:t>
            </w:r>
          </w:p>
        </w:tc>
        <w:tc>
          <w:tcPr>
            <w:tcW w:w="689" w:type="pct"/>
            <w:tcBorders>
              <w:top w:val="nil"/>
              <w:left w:val="nil"/>
              <w:bottom w:val="single" w:color="auto" w:sz="4" w:space="0"/>
              <w:right w:val="single" w:color="auto" w:sz="4" w:space="0"/>
            </w:tcBorders>
          </w:tcPr>
          <w:p w14:paraId="760C7E50">
            <w:pPr>
              <w:widowControl/>
              <w:jc w:val="left"/>
              <w:rPr>
                <w:rFonts w:ascii="宋体" w:hAnsi="宋体" w:cs="宋体"/>
                <w:szCs w:val="21"/>
              </w:rPr>
            </w:pPr>
          </w:p>
        </w:tc>
      </w:tr>
      <w:tr w14:paraId="1DBD337A">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4EBCD8BA">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360F6D08">
            <w:pPr>
              <w:spacing w:line="360" w:lineRule="auto"/>
              <w:rPr>
                <w:rFonts w:ascii="宋体" w:hAnsi="宋体" w:cs="宋体"/>
                <w:szCs w:val="21"/>
              </w:rPr>
            </w:pPr>
            <w:r>
              <w:rPr>
                <w:rFonts w:hint="eastAsia" w:ascii="宋体" w:hAnsi="宋体" w:cs="宋体"/>
                <w:szCs w:val="21"/>
              </w:rPr>
              <w:t>全文检索，结构化检索，数据分析。</w:t>
            </w:r>
          </w:p>
        </w:tc>
        <w:tc>
          <w:tcPr>
            <w:tcW w:w="689" w:type="pct"/>
            <w:tcBorders>
              <w:top w:val="nil"/>
              <w:left w:val="nil"/>
              <w:bottom w:val="single" w:color="auto" w:sz="4" w:space="0"/>
              <w:right w:val="single" w:color="auto" w:sz="4" w:space="0"/>
            </w:tcBorders>
          </w:tcPr>
          <w:p w14:paraId="1AF84D21">
            <w:pPr>
              <w:widowControl/>
              <w:jc w:val="left"/>
              <w:rPr>
                <w:rFonts w:ascii="宋体" w:hAnsi="宋体" w:cs="宋体"/>
                <w:szCs w:val="21"/>
              </w:rPr>
            </w:pPr>
          </w:p>
        </w:tc>
      </w:tr>
      <w:tr w14:paraId="47C6778A">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5400EAB5">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54BE6E72">
            <w:pPr>
              <w:spacing w:line="360" w:lineRule="auto"/>
              <w:rPr>
                <w:rFonts w:ascii="宋体" w:hAnsi="宋体" w:cs="宋体"/>
                <w:szCs w:val="21"/>
              </w:rPr>
            </w:pPr>
            <w:r>
              <w:rPr>
                <w:rFonts w:hint="eastAsia" w:ascii="宋体" w:hAnsi="宋体" w:cs="宋体"/>
                <w:szCs w:val="21"/>
              </w:rPr>
              <w:t>对海量数据进行近实时的处理</w:t>
            </w:r>
          </w:p>
        </w:tc>
        <w:tc>
          <w:tcPr>
            <w:tcW w:w="689" w:type="pct"/>
            <w:tcBorders>
              <w:top w:val="nil"/>
              <w:left w:val="nil"/>
              <w:bottom w:val="single" w:color="auto" w:sz="4" w:space="0"/>
              <w:right w:val="single" w:color="auto" w:sz="4" w:space="0"/>
            </w:tcBorders>
          </w:tcPr>
          <w:p w14:paraId="2492A017">
            <w:pPr>
              <w:widowControl/>
              <w:jc w:val="left"/>
              <w:rPr>
                <w:rFonts w:ascii="宋体" w:hAnsi="宋体" w:cs="宋体"/>
                <w:szCs w:val="21"/>
              </w:rPr>
            </w:pPr>
          </w:p>
        </w:tc>
      </w:tr>
      <w:tr w14:paraId="14E32732">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58096C76">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317458A0">
            <w:pPr>
              <w:spacing w:line="360" w:lineRule="auto"/>
              <w:rPr>
                <w:rFonts w:ascii="宋体" w:hAnsi="宋体" w:cs="宋体"/>
                <w:szCs w:val="21"/>
              </w:rPr>
            </w:pPr>
            <w:r>
              <w:rPr>
                <w:rFonts w:hint="eastAsia" w:ascii="宋体" w:hAnsi="宋体" w:cs="宋体"/>
                <w:szCs w:val="21"/>
              </w:rPr>
              <w:t>分布式：支持自动将海量数据分散到多台服务器上去存储和检索。</w:t>
            </w:r>
          </w:p>
        </w:tc>
        <w:tc>
          <w:tcPr>
            <w:tcW w:w="689" w:type="pct"/>
            <w:tcBorders>
              <w:top w:val="nil"/>
              <w:left w:val="nil"/>
              <w:bottom w:val="single" w:color="auto" w:sz="4" w:space="0"/>
              <w:right w:val="single" w:color="auto" w:sz="4" w:space="0"/>
            </w:tcBorders>
          </w:tcPr>
          <w:p w14:paraId="177A47A7">
            <w:pPr>
              <w:widowControl/>
              <w:jc w:val="left"/>
              <w:rPr>
                <w:rFonts w:ascii="宋体" w:hAnsi="宋体" w:cs="宋体"/>
                <w:szCs w:val="21"/>
              </w:rPr>
            </w:pPr>
          </w:p>
        </w:tc>
      </w:tr>
      <w:tr w14:paraId="47642B73">
        <w:tblPrEx>
          <w:tblCellMar>
            <w:top w:w="0" w:type="dxa"/>
            <w:left w:w="108" w:type="dxa"/>
            <w:bottom w:w="0" w:type="dxa"/>
            <w:right w:w="108" w:type="dxa"/>
          </w:tblCellMar>
        </w:tblPrEx>
        <w:trPr>
          <w:trHeight w:val="480" w:hRule="atLeast"/>
        </w:trPr>
        <w:tc>
          <w:tcPr>
            <w:tcW w:w="735" w:type="pct"/>
            <w:vMerge w:val="continue"/>
            <w:tcBorders>
              <w:top w:val="nil"/>
              <w:left w:val="single" w:color="auto" w:sz="4" w:space="0"/>
              <w:bottom w:val="single" w:color="auto" w:sz="4" w:space="0"/>
              <w:right w:val="single" w:color="auto" w:sz="4" w:space="0"/>
            </w:tcBorders>
            <w:vAlign w:val="center"/>
          </w:tcPr>
          <w:p w14:paraId="44CF0F01">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0A941424">
            <w:pPr>
              <w:spacing w:line="360" w:lineRule="auto"/>
              <w:rPr>
                <w:rFonts w:ascii="宋体" w:hAnsi="宋体" w:cs="宋体"/>
                <w:szCs w:val="21"/>
              </w:rPr>
            </w:pPr>
            <w:r>
              <w:rPr>
                <w:rFonts w:hint="eastAsia" w:ascii="宋体" w:hAnsi="宋体" w:cs="宋体"/>
                <w:szCs w:val="21"/>
              </w:rPr>
              <w:t>海量数据的处理：分布式完成后，可采用大量的服务器去存储和检索数据，实现海量数据的处理。</w:t>
            </w:r>
          </w:p>
        </w:tc>
        <w:tc>
          <w:tcPr>
            <w:tcW w:w="689" w:type="pct"/>
            <w:tcBorders>
              <w:top w:val="nil"/>
              <w:left w:val="nil"/>
              <w:bottom w:val="single" w:color="auto" w:sz="4" w:space="0"/>
              <w:right w:val="single" w:color="auto" w:sz="4" w:space="0"/>
            </w:tcBorders>
          </w:tcPr>
          <w:p w14:paraId="0D6B96CC">
            <w:pPr>
              <w:widowControl/>
              <w:jc w:val="left"/>
              <w:rPr>
                <w:rFonts w:ascii="宋体" w:hAnsi="宋体" w:cs="宋体"/>
                <w:szCs w:val="21"/>
              </w:rPr>
            </w:pPr>
          </w:p>
        </w:tc>
      </w:tr>
      <w:tr w14:paraId="213C825D">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27D11416">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231A19B1">
            <w:pPr>
              <w:spacing w:line="360" w:lineRule="auto"/>
              <w:rPr>
                <w:rFonts w:ascii="宋体" w:hAnsi="宋体" w:cs="宋体"/>
                <w:szCs w:val="21"/>
              </w:rPr>
            </w:pPr>
            <w:r>
              <w:rPr>
                <w:rFonts w:hint="eastAsia" w:ascii="宋体" w:hAnsi="宋体" w:cs="宋体"/>
                <w:szCs w:val="21"/>
              </w:rPr>
              <w:t>近实时：在秒级别对数据进行搜索和分析。</w:t>
            </w:r>
          </w:p>
        </w:tc>
        <w:tc>
          <w:tcPr>
            <w:tcW w:w="689" w:type="pct"/>
            <w:tcBorders>
              <w:top w:val="nil"/>
              <w:left w:val="nil"/>
              <w:bottom w:val="single" w:color="auto" w:sz="4" w:space="0"/>
              <w:right w:val="single" w:color="auto" w:sz="4" w:space="0"/>
            </w:tcBorders>
          </w:tcPr>
          <w:p w14:paraId="6067C552">
            <w:pPr>
              <w:widowControl/>
              <w:jc w:val="left"/>
              <w:rPr>
                <w:rFonts w:ascii="宋体" w:hAnsi="宋体" w:cs="宋体"/>
                <w:szCs w:val="21"/>
              </w:rPr>
            </w:pPr>
          </w:p>
        </w:tc>
      </w:tr>
      <w:tr w14:paraId="3C69F356">
        <w:tblPrEx>
          <w:tblCellMar>
            <w:top w:w="0" w:type="dxa"/>
            <w:left w:w="108" w:type="dxa"/>
            <w:bottom w:w="0" w:type="dxa"/>
            <w:right w:w="108" w:type="dxa"/>
          </w:tblCellMar>
        </w:tblPrEx>
        <w:trPr>
          <w:trHeight w:val="270"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1011C44F">
            <w:pPr>
              <w:widowControl/>
              <w:jc w:val="left"/>
              <w:rPr>
                <w:rFonts w:ascii="宋体" w:hAnsi="宋体" w:cs="宋体"/>
                <w:szCs w:val="21"/>
              </w:rPr>
            </w:pPr>
            <w:r>
              <w:rPr>
                <w:rFonts w:hint="eastAsia" w:ascii="宋体" w:hAnsi="宋体" w:cs="宋体"/>
                <w:szCs w:val="21"/>
              </w:rPr>
              <w:t>服务能力</w:t>
            </w:r>
          </w:p>
        </w:tc>
        <w:tc>
          <w:tcPr>
            <w:tcW w:w="3576" w:type="pct"/>
            <w:tcBorders>
              <w:top w:val="nil"/>
              <w:left w:val="nil"/>
              <w:bottom w:val="single" w:color="auto" w:sz="4" w:space="0"/>
              <w:right w:val="single" w:color="auto" w:sz="4" w:space="0"/>
            </w:tcBorders>
            <w:shd w:val="clear" w:color="auto" w:fill="auto"/>
            <w:vAlign w:val="center"/>
          </w:tcPr>
          <w:p w14:paraId="343CC04A">
            <w:pPr>
              <w:spacing w:line="360" w:lineRule="auto"/>
              <w:rPr>
                <w:rFonts w:ascii="宋体" w:hAnsi="宋体" w:cs="宋体"/>
                <w:szCs w:val="21"/>
              </w:rPr>
            </w:pPr>
            <w:r>
              <w:rPr>
                <w:rFonts w:hint="eastAsia" w:ascii="宋体" w:hAnsi="宋体" w:cs="宋体"/>
                <w:szCs w:val="21"/>
              </w:rPr>
              <w:t>实时检索和分析</w:t>
            </w:r>
          </w:p>
        </w:tc>
        <w:tc>
          <w:tcPr>
            <w:tcW w:w="689" w:type="pct"/>
            <w:tcBorders>
              <w:top w:val="nil"/>
              <w:left w:val="nil"/>
              <w:bottom w:val="single" w:color="auto" w:sz="4" w:space="0"/>
              <w:right w:val="single" w:color="auto" w:sz="4" w:space="0"/>
            </w:tcBorders>
          </w:tcPr>
          <w:p w14:paraId="7377BEFE">
            <w:pPr>
              <w:widowControl/>
              <w:jc w:val="left"/>
              <w:rPr>
                <w:rFonts w:ascii="宋体" w:hAnsi="宋体" w:cs="宋体"/>
                <w:szCs w:val="21"/>
              </w:rPr>
            </w:pPr>
          </w:p>
        </w:tc>
      </w:tr>
      <w:tr w14:paraId="08AC9535">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3BE1BED7">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32A146C6">
            <w:pPr>
              <w:spacing w:line="360" w:lineRule="auto"/>
              <w:rPr>
                <w:rFonts w:ascii="宋体" w:hAnsi="宋体" w:cs="宋体"/>
                <w:szCs w:val="21"/>
              </w:rPr>
            </w:pPr>
            <w:r>
              <w:rPr>
                <w:rFonts w:hint="eastAsia" w:ascii="宋体" w:hAnsi="宋体" w:cs="宋体"/>
                <w:szCs w:val="21"/>
              </w:rPr>
              <w:t>最大可支持PB级数据实时搜索和分析，最大可支持毫秒级快速响应。</w:t>
            </w:r>
          </w:p>
        </w:tc>
        <w:tc>
          <w:tcPr>
            <w:tcW w:w="689" w:type="pct"/>
            <w:tcBorders>
              <w:top w:val="nil"/>
              <w:left w:val="nil"/>
              <w:bottom w:val="single" w:color="auto" w:sz="4" w:space="0"/>
              <w:right w:val="single" w:color="auto" w:sz="4" w:space="0"/>
            </w:tcBorders>
          </w:tcPr>
          <w:p w14:paraId="24A4D10F">
            <w:pPr>
              <w:widowControl/>
              <w:jc w:val="left"/>
              <w:rPr>
                <w:rFonts w:ascii="宋体" w:hAnsi="宋体" w:cs="宋体"/>
                <w:szCs w:val="21"/>
                <w:lang w:eastAsia="zh-Hans"/>
              </w:rPr>
            </w:pPr>
          </w:p>
        </w:tc>
      </w:tr>
      <w:tr w14:paraId="40FB42F1">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0F25D2E7">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7F1C91F6">
            <w:pPr>
              <w:spacing w:line="360" w:lineRule="auto"/>
              <w:rPr>
                <w:rFonts w:ascii="宋体" w:hAnsi="宋体" w:cs="宋体"/>
                <w:szCs w:val="21"/>
              </w:rPr>
            </w:pPr>
            <w:r>
              <w:rPr>
                <w:rFonts w:hint="eastAsia" w:ascii="宋体" w:hAnsi="宋体" w:cs="宋体"/>
                <w:szCs w:val="21"/>
              </w:rPr>
              <w:t>部署维护简单</w:t>
            </w:r>
          </w:p>
        </w:tc>
        <w:tc>
          <w:tcPr>
            <w:tcW w:w="689" w:type="pct"/>
            <w:tcBorders>
              <w:top w:val="nil"/>
              <w:left w:val="nil"/>
              <w:bottom w:val="single" w:color="auto" w:sz="4" w:space="0"/>
              <w:right w:val="single" w:color="auto" w:sz="4" w:space="0"/>
            </w:tcBorders>
          </w:tcPr>
          <w:p w14:paraId="20DAE17A">
            <w:pPr>
              <w:widowControl/>
              <w:jc w:val="left"/>
              <w:rPr>
                <w:rFonts w:ascii="宋体" w:hAnsi="宋体" w:cs="宋体"/>
                <w:szCs w:val="21"/>
              </w:rPr>
            </w:pPr>
          </w:p>
        </w:tc>
      </w:tr>
      <w:tr w14:paraId="79B4360C">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38D8815B">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4B72090E">
            <w:pPr>
              <w:spacing w:line="360" w:lineRule="auto"/>
              <w:rPr>
                <w:rFonts w:ascii="宋体" w:hAnsi="宋体" w:cs="宋体"/>
                <w:szCs w:val="21"/>
              </w:rPr>
            </w:pPr>
            <w:r>
              <w:rPr>
                <w:rFonts w:hint="eastAsia" w:ascii="宋体" w:hAnsi="宋体" w:cs="宋体"/>
                <w:szCs w:val="21"/>
              </w:rPr>
              <w:t>自动化部署，提供完善的系统监控模块。</w:t>
            </w:r>
          </w:p>
        </w:tc>
        <w:tc>
          <w:tcPr>
            <w:tcW w:w="689" w:type="pct"/>
            <w:tcBorders>
              <w:top w:val="nil"/>
              <w:left w:val="nil"/>
              <w:bottom w:val="single" w:color="auto" w:sz="4" w:space="0"/>
              <w:right w:val="single" w:color="auto" w:sz="4" w:space="0"/>
            </w:tcBorders>
          </w:tcPr>
          <w:p w14:paraId="69DE739B">
            <w:pPr>
              <w:widowControl/>
              <w:jc w:val="left"/>
              <w:rPr>
                <w:rFonts w:ascii="宋体" w:hAnsi="宋体" w:cs="宋体"/>
                <w:szCs w:val="21"/>
              </w:rPr>
            </w:pPr>
          </w:p>
        </w:tc>
      </w:tr>
      <w:tr w14:paraId="69A3E52D">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3FB360ED">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60B30A8A">
            <w:pPr>
              <w:spacing w:line="360" w:lineRule="auto"/>
              <w:rPr>
                <w:rFonts w:ascii="宋体" w:hAnsi="宋体" w:cs="宋体"/>
                <w:szCs w:val="21"/>
              </w:rPr>
            </w:pPr>
            <w:r>
              <w:rPr>
                <w:rFonts w:hint="eastAsia" w:ascii="宋体" w:hAnsi="宋体" w:cs="宋体"/>
                <w:szCs w:val="21"/>
              </w:rPr>
              <w:t>可视化分析</w:t>
            </w:r>
          </w:p>
        </w:tc>
        <w:tc>
          <w:tcPr>
            <w:tcW w:w="689" w:type="pct"/>
            <w:tcBorders>
              <w:top w:val="nil"/>
              <w:left w:val="nil"/>
              <w:bottom w:val="single" w:color="auto" w:sz="4" w:space="0"/>
              <w:right w:val="single" w:color="auto" w:sz="4" w:space="0"/>
            </w:tcBorders>
          </w:tcPr>
          <w:p w14:paraId="6B497BED">
            <w:pPr>
              <w:widowControl/>
              <w:jc w:val="left"/>
              <w:rPr>
                <w:rFonts w:ascii="宋体" w:hAnsi="宋体" w:cs="宋体"/>
                <w:szCs w:val="21"/>
              </w:rPr>
            </w:pPr>
          </w:p>
        </w:tc>
      </w:tr>
      <w:tr w14:paraId="57C2A182">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054A9F91">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72A8E6A3">
            <w:pPr>
              <w:spacing w:line="360" w:lineRule="auto"/>
              <w:rPr>
                <w:rFonts w:ascii="宋体" w:hAnsi="宋体" w:cs="宋体"/>
                <w:szCs w:val="21"/>
              </w:rPr>
            </w:pPr>
            <w:r>
              <w:rPr>
                <w:rFonts w:hint="eastAsia" w:ascii="宋体" w:hAnsi="宋体" w:cs="宋体"/>
                <w:szCs w:val="21"/>
              </w:rPr>
              <w:t>可视化数据分析、后台管理。</w:t>
            </w:r>
          </w:p>
        </w:tc>
        <w:tc>
          <w:tcPr>
            <w:tcW w:w="689" w:type="pct"/>
            <w:tcBorders>
              <w:top w:val="nil"/>
              <w:left w:val="nil"/>
              <w:bottom w:val="single" w:color="auto" w:sz="4" w:space="0"/>
              <w:right w:val="single" w:color="auto" w:sz="4" w:space="0"/>
            </w:tcBorders>
          </w:tcPr>
          <w:p w14:paraId="522A086E">
            <w:pPr>
              <w:widowControl/>
              <w:jc w:val="left"/>
              <w:rPr>
                <w:rFonts w:ascii="宋体" w:hAnsi="宋体" w:cs="宋体"/>
                <w:szCs w:val="21"/>
              </w:rPr>
            </w:pPr>
          </w:p>
        </w:tc>
      </w:tr>
      <w:tr w14:paraId="402A8596">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111DDE2E">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68D28C95">
            <w:pPr>
              <w:spacing w:line="360" w:lineRule="auto"/>
              <w:rPr>
                <w:rFonts w:ascii="宋体" w:hAnsi="宋体" w:cs="宋体"/>
                <w:szCs w:val="21"/>
              </w:rPr>
            </w:pPr>
            <w:r>
              <w:rPr>
                <w:rFonts w:hint="eastAsia" w:ascii="宋体" w:hAnsi="宋体" w:cs="宋体"/>
                <w:szCs w:val="21"/>
              </w:rPr>
              <w:t>弹性扩展</w:t>
            </w:r>
          </w:p>
        </w:tc>
        <w:tc>
          <w:tcPr>
            <w:tcW w:w="689" w:type="pct"/>
            <w:tcBorders>
              <w:top w:val="nil"/>
              <w:left w:val="nil"/>
              <w:bottom w:val="single" w:color="auto" w:sz="4" w:space="0"/>
              <w:right w:val="single" w:color="auto" w:sz="4" w:space="0"/>
            </w:tcBorders>
          </w:tcPr>
          <w:p w14:paraId="6E7AB845">
            <w:pPr>
              <w:widowControl/>
              <w:jc w:val="left"/>
              <w:rPr>
                <w:rFonts w:ascii="宋体" w:hAnsi="宋体" w:cs="宋体"/>
                <w:szCs w:val="21"/>
              </w:rPr>
            </w:pPr>
          </w:p>
        </w:tc>
      </w:tr>
      <w:tr w14:paraId="56B624FC">
        <w:tblPrEx>
          <w:tblCellMar>
            <w:top w:w="0" w:type="dxa"/>
            <w:left w:w="108" w:type="dxa"/>
            <w:bottom w:w="0" w:type="dxa"/>
            <w:right w:w="108" w:type="dxa"/>
          </w:tblCellMar>
        </w:tblPrEx>
        <w:trPr>
          <w:trHeight w:val="270" w:hRule="atLeast"/>
        </w:trPr>
        <w:tc>
          <w:tcPr>
            <w:tcW w:w="735" w:type="pct"/>
            <w:vMerge w:val="continue"/>
            <w:tcBorders>
              <w:top w:val="nil"/>
              <w:left w:val="single" w:color="auto" w:sz="4" w:space="0"/>
              <w:bottom w:val="single" w:color="auto" w:sz="4" w:space="0"/>
              <w:right w:val="single" w:color="auto" w:sz="4" w:space="0"/>
            </w:tcBorders>
            <w:vAlign w:val="center"/>
          </w:tcPr>
          <w:p w14:paraId="63B52647">
            <w:pPr>
              <w:widowControl/>
              <w:jc w:val="left"/>
              <w:rPr>
                <w:rFonts w:ascii="宋体" w:hAnsi="宋体" w:cs="宋体"/>
                <w:szCs w:val="21"/>
              </w:rPr>
            </w:pPr>
          </w:p>
        </w:tc>
        <w:tc>
          <w:tcPr>
            <w:tcW w:w="3576" w:type="pct"/>
            <w:tcBorders>
              <w:top w:val="nil"/>
              <w:left w:val="nil"/>
              <w:bottom w:val="single" w:color="auto" w:sz="4" w:space="0"/>
              <w:right w:val="single" w:color="auto" w:sz="4" w:space="0"/>
            </w:tcBorders>
            <w:shd w:val="clear" w:color="auto" w:fill="auto"/>
            <w:vAlign w:val="center"/>
          </w:tcPr>
          <w:p w14:paraId="3E7F70BA">
            <w:pPr>
              <w:spacing w:line="360" w:lineRule="auto"/>
              <w:rPr>
                <w:rFonts w:ascii="宋体" w:hAnsi="宋体" w:cs="宋体"/>
                <w:szCs w:val="21"/>
              </w:rPr>
            </w:pPr>
            <w:r>
              <w:rPr>
                <w:rFonts w:hint="eastAsia" w:ascii="宋体" w:hAnsi="宋体" w:cs="宋体"/>
                <w:szCs w:val="21"/>
              </w:rPr>
              <w:t>支持弹性扩展到上百台服务器，服务器硬件配置可以伸缩。</w:t>
            </w:r>
          </w:p>
        </w:tc>
        <w:tc>
          <w:tcPr>
            <w:tcW w:w="689" w:type="pct"/>
            <w:tcBorders>
              <w:top w:val="nil"/>
              <w:left w:val="nil"/>
              <w:bottom w:val="single" w:color="auto" w:sz="4" w:space="0"/>
              <w:right w:val="single" w:color="auto" w:sz="4" w:space="0"/>
            </w:tcBorders>
          </w:tcPr>
          <w:p w14:paraId="408267BB">
            <w:pPr>
              <w:widowControl/>
              <w:jc w:val="left"/>
              <w:rPr>
                <w:rFonts w:ascii="宋体" w:hAnsi="宋体" w:cs="宋体"/>
                <w:szCs w:val="21"/>
              </w:rPr>
            </w:pPr>
          </w:p>
        </w:tc>
      </w:tr>
      <w:tr w14:paraId="1D955B9C">
        <w:tblPrEx>
          <w:tblCellMar>
            <w:top w:w="0" w:type="dxa"/>
            <w:left w:w="108" w:type="dxa"/>
            <w:bottom w:w="0" w:type="dxa"/>
            <w:right w:w="108" w:type="dxa"/>
          </w:tblCellMar>
        </w:tblPrEx>
        <w:trPr>
          <w:trHeight w:val="270" w:hRule="atLeast"/>
        </w:trPr>
        <w:tc>
          <w:tcPr>
            <w:tcW w:w="735" w:type="pct"/>
            <w:tcBorders>
              <w:top w:val="nil"/>
              <w:left w:val="single" w:color="auto" w:sz="4" w:space="0"/>
              <w:bottom w:val="single" w:color="auto" w:sz="4" w:space="0"/>
              <w:right w:val="single" w:color="auto" w:sz="4" w:space="0"/>
            </w:tcBorders>
            <w:shd w:val="clear" w:color="auto" w:fill="auto"/>
            <w:vAlign w:val="center"/>
          </w:tcPr>
          <w:p w14:paraId="1AA0363D">
            <w:pPr>
              <w:widowControl/>
              <w:jc w:val="left"/>
              <w:rPr>
                <w:rFonts w:ascii="宋体" w:hAnsi="宋体" w:cs="宋体"/>
                <w:szCs w:val="21"/>
              </w:rPr>
            </w:pPr>
            <w:r>
              <w:rPr>
                <w:rFonts w:hint="eastAsia" w:ascii="宋体" w:hAnsi="宋体" w:cs="宋体"/>
                <w:szCs w:val="21"/>
              </w:rPr>
              <w:t>安全性</w:t>
            </w:r>
          </w:p>
        </w:tc>
        <w:tc>
          <w:tcPr>
            <w:tcW w:w="3576" w:type="pct"/>
            <w:tcBorders>
              <w:top w:val="nil"/>
              <w:left w:val="nil"/>
              <w:bottom w:val="single" w:color="auto" w:sz="4" w:space="0"/>
              <w:right w:val="single" w:color="auto" w:sz="4" w:space="0"/>
            </w:tcBorders>
            <w:shd w:val="clear" w:color="auto" w:fill="auto"/>
            <w:vAlign w:val="center"/>
          </w:tcPr>
          <w:p w14:paraId="3AC13218">
            <w:pPr>
              <w:spacing w:line="360" w:lineRule="auto"/>
              <w:rPr>
                <w:rFonts w:ascii="宋体" w:hAnsi="宋体" w:cs="宋体"/>
                <w:szCs w:val="21"/>
              </w:rPr>
            </w:pPr>
            <w:r>
              <w:rPr>
                <w:rFonts w:hint="eastAsia" w:ascii="宋体" w:hAnsi="宋体" w:cs="宋体"/>
                <w:szCs w:val="21"/>
              </w:rPr>
              <w:t>具备较为完善的权限认证与隔离机制，保障数据安全。</w:t>
            </w:r>
          </w:p>
        </w:tc>
        <w:tc>
          <w:tcPr>
            <w:tcW w:w="689" w:type="pct"/>
            <w:tcBorders>
              <w:top w:val="nil"/>
              <w:left w:val="nil"/>
              <w:bottom w:val="single" w:color="auto" w:sz="4" w:space="0"/>
              <w:right w:val="single" w:color="auto" w:sz="4" w:space="0"/>
            </w:tcBorders>
          </w:tcPr>
          <w:p w14:paraId="624D1AE0">
            <w:pPr>
              <w:widowControl/>
              <w:jc w:val="left"/>
              <w:rPr>
                <w:rFonts w:ascii="宋体" w:hAnsi="宋体" w:cs="宋体"/>
                <w:szCs w:val="21"/>
              </w:rPr>
            </w:pPr>
          </w:p>
        </w:tc>
      </w:tr>
    </w:tbl>
    <w:p w14:paraId="79C7F8AE">
      <w:pPr>
        <w:pStyle w:val="23"/>
        <w:snapToGrid w:val="0"/>
        <w:ind w:firstLine="420" w:firstLineChars="200"/>
        <w:outlineLvl w:val="4"/>
        <w:rPr>
          <w:rFonts w:hAnsi="宋体" w:cs="宋体"/>
          <w:sz w:val="21"/>
        </w:rPr>
      </w:pPr>
      <w:r>
        <w:rPr>
          <w:rFonts w:hint="eastAsia" w:hAnsi="宋体" w:cs="宋体"/>
          <w:sz w:val="21"/>
        </w:rPr>
        <w:t>7.1.2.23容器服务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6707"/>
        <w:gridCol w:w="1241"/>
      </w:tblGrid>
      <w:tr w14:paraId="2B4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22" w:type="pct"/>
            <w:shd w:val="clear" w:color="auto" w:fill="auto"/>
            <w:vAlign w:val="center"/>
          </w:tcPr>
          <w:p w14:paraId="600D9F32">
            <w:pPr>
              <w:widowControl/>
              <w:jc w:val="left"/>
              <w:rPr>
                <w:rFonts w:ascii="宋体" w:hAnsi="宋体" w:cs="宋体"/>
                <w:b/>
                <w:szCs w:val="21"/>
              </w:rPr>
            </w:pPr>
            <w:r>
              <w:rPr>
                <w:rFonts w:hint="eastAsia" w:ascii="宋体" w:hAnsi="宋体" w:cs="宋体"/>
                <w:b/>
                <w:szCs w:val="21"/>
              </w:rPr>
              <w:t>指标项</w:t>
            </w:r>
          </w:p>
        </w:tc>
        <w:tc>
          <w:tcPr>
            <w:tcW w:w="3610" w:type="pct"/>
            <w:shd w:val="clear" w:color="auto" w:fill="auto"/>
            <w:vAlign w:val="center"/>
          </w:tcPr>
          <w:p w14:paraId="72CEA234">
            <w:pPr>
              <w:widowControl/>
              <w:jc w:val="center"/>
              <w:rPr>
                <w:rFonts w:ascii="宋体" w:hAnsi="宋体" w:cs="宋体"/>
                <w:b/>
                <w:szCs w:val="21"/>
              </w:rPr>
            </w:pPr>
            <w:r>
              <w:rPr>
                <w:rFonts w:hint="eastAsia" w:ascii="宋体" w:hAnsi="宋体" w:cs="宋体"/>
                <w:b/>
                <w:szCs w:val="21"/>
              </w:rPr>
              <w:t>指标要求</w:t>
            </w:r>
          </w:p>
        </w:tc>
        <w:tc>
          <w:tcPr>
            <w:tcW w:w="668" w:type="pct"/>
          </w:tcPr>
          <w:p w14:paraId="5E21F38B">
            <w:pPr>
              <w:widowControl/>
              <w:jc w:val="left"/>
              <w:rPr>
                <w:rFonts w:ascii="宋体" w:hAnsi="宋体" w:cs="宋体"/>
                <w:b/>
                <w:szCs w:val="21"/>
              </w:rPr>
            </w:pPr>
            <w:r>
              <w:rPr>
                <w:rFonts w:hint="eastAsia" w:ascii="宋体" w:hAnsi="宋体" w:cs="宋体"/>
                <w:b/>
                <w:szCs w:val="21"/>
              </w:rPr>
              <w:t>备注</w:t>
            </w:r>
          </w:p>
        </w:tc>
      </w:tr>
      <w:tr w14:paraId="2718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22" w:type="pct"/>
            <w:shd w:val="clear" w:color="auto" w:fill="auto"/>
            <w:vAlign w:val="center"/>
          </w:tcPr>
          <w:p w14:paraId="6CF1545B">
            <w:pPr>
              <w:widowControl/>
              <w:jc w:val="left"/>
              <w:rPr>
                <w:rFonts w:ascii="宋体" w:hAnsi="宋体" w:cs="宋体"/>
                <w:szCs w:val="21"/>
              </w:rPr>
            </w:pPr>
            <w:r>
              <w:rPr>
                <w:rFonts w:hint="eastAsia" w:ascii="宋体" w:hAnsi="宋体" w:cs="宋体"/>
                <w:szCs w:val="21"/>
              </w:rPr>
              <w:t>监控</w:t>
            </w:r>
          </w:p>
        </w:tc>
        <w:tc>
          <w:tcPr>
            <w:tcW w:w="3610" w:type="pct"/>
            <w:shd w:val="clear" w:color="auto" w:fill="auto"/>
            <w:vAlign w:val="center"/>
          </w:tcPr>
          <w:p w14:paraId="1FB120F7">
            <w:pPr>
              <w:spacing w:line="360" w:lineRule="auto"/>
              <w:rPr>
                <w:rFonts w:ascii="宋体" w:hAnsi="宋体" w:cs="宋体"/>
                <w:szCs w:val="21"/>
              </w:rPr>
            </w:pPr>
            <w:r>
              <w:rPr>
                <w:rFonts w:hint="eastAsia" w:ascii="宋体" w:hAnsi="宋体" w:cs="宋体"/>
                <w:szCs w:val="21"/>
              </w:rPr>
              <w:t>支持集群、节点、应用、容器实例层面的监控，支持集成Prometheus服务的能力，为集群提供全方位监控大盘。</w:t>
            </w:r>
          </w:p>
        </w:tc>
        <w:tc>
          <w:tcPr>
            <w:tcW w:w="668" w:type="pct"/>
          </w:tcPr>
          <w:p w14:paraId="7195B306">
            <w:pPr>
              <w:widowControl/>
              <w:jc w:val="left"/>
              <w:rPr>
                <w:rFonts w:ascii="宋体" w:hAnsi="宋体" w:cs="宋体"/>
                <w:szCs w:val="21"/>
              </w:rPr>
            </w:pPr>
          </w:p>
        </w:tc>
      </w:tr>
      <w:tr w14:paraId="3A1A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22" w:type="pct"/>
            <w:shd w:val="clear" w:color="auto" w:fill="auto"/>
            <w:vAlign w:val="center"/>
          </w:tcPr>
          <w:p w14:paraId="349AC7E7">
            <w:pPr>
              <w:widowControl/>
              <w:jc w:val="left"/>
              <w:rPr>
                <w:rFonts w:ascii="宋体" w:hAnsi="宋体" w:cs="宋体"/>
                <w:szCs w:val="21"/>
              </w:rPr>
            </w:pPr>
            <w:r>
              <w:rPr>
                <w:rFonts w:hint="eastAsia" w:ascii="宋体" w:hAnsi="宋体" w:cs="宋体"/>
                <w:szCs w:val="21"/>
              </w:rPr>
              <w:t>集群操作</w:t>
            </w:r>
          </w:p>
        </w:tc>
        <w:tc>
          <w:tcPr>
            <w:tcW w:w="3610" w:type="pct"/>
            <w:shd w:val="clear" w:color="auto" w:fill="auto"/>
            <w:vAlign w:val="center"/>
          </w:tcPr>
          <w:p w14:paraId="44E9FE4C">
            <w:pPr>
              <w:spacing w:line="360" w:lineRule="auto"/>
              <w:rPr>
                <w:rFonts w:ascii="宋体" w:hAnsi="宋体" w:cs="宋体"/>
                <w:szCs w:val="21"/>
              </w:rPr>
            </w:pPr>
            <w:r>
              <w:rPr>
                <w:rFonts w:hint="eastAsia" w:ascii="宋体" w:hAnsi="宋体" w:cs="宋体"/>
                <w:szCs w:val="21"/>
              </w:rPr>
              <w:t>支持查看Kubernetes集群中的事件整体概览以及重要事件（访问、命令执行、删除资源、访问保密字典等）的详细信息。支持查看Kubernetes集群中常见的计算资源、网络资源以及存储资源的操作统计信息。操作包括创建、更新、删除、访问。支持查看Kubernetes集群中某类资源的详细操作列表；支持自定义时间维度查询。</w:t>
            </w:r>
          </w:p>
        </w:tc>
        <w:tc>
          <w:tcPr>
            <w:tcW w:w="668" w:type="pct"/>
          </w:tcPr>
          <w:p w14:paraId="4EE1C9CA">
            <w:pPr>
              <w:widowControl/>
              <w:jc w:val="left"/>
              <w:rPr>
                <w:rFonts w:ascii="宋体" w:hAnsi="宋体" w:cs="宋体"/>
                <w:szCs w:val="21"/>
              </w:rPr>
            </w:pPr>
          </w:p>
        </w:tc>
      </w:tr>
      <w:tr w14:paraId="065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2" w:type="pct"/>
            <w:shd w:val="clear" w:color="auto" w:fill="auto"/>
            <w:vAlign w:val="center"/>
          </w:tcPr>
          <w:p w14:paraId="2F4F56FA">
            <w:pPr>
              <w:widowControl/>
              <w:jc w:val="left"/>
              <w:rPr>
                <w:rFonts w:ascii="宋体" w:hAnsi="宋体" w:cs="宋体"/>
                <w:szCs w:val="21"/>
              </w:rPr>
            </w:pPr>
            <w:r>
              <w:rPr>
                <w:rFonts w:hint="eastAsia" w:ascii="宋体" w:hAnsi="宋体" w:cs="宋体"/>
                <w:szCs w:val="21"/>
              </w:rPr>
              <w:t>日志管理</w:t>
            </w:r>
          </w:p>
        </w:tc>
        <w:tc>
          <w:tcPr>
            <w:tcW w:w="3610" w:type="pct"/>
            <w:shd w:val="clear" w:color="auto" w:fill="auto"/>
            <w:vAlign w:val="center"/>
          </w:tcPr>
          <w:p w14:paraId="037A55F2">
            <w:pPr>
              <w:spacing w:line="360" w:lineRule="auto"/>
              <w:rPr>
                <w:rFonts w:ascii="宋体" w:hAnsi="宋体" w:cs="宋体"/>
                <w:szCs w:val="21"/>
              </w:rPr>
            </w:pPr>
            <w:r>
              <w:rPr>
                <w:rFonts w:hint="eastAsia" w:ascii="宋体" w:hAnsi="宋体" w:cs="宋体"/>
                <w:szCs w:val="21"/>
              </w:rPr>
              <w:t>支持容器实例日志查看和应用日志采集。</w:t>
            </w:r>
          </w:p>
        </w:tc>
        <w:tc>
          <w:tcPr>
            <w:tcW w:w="668" w:type="pct"/>
          </w:tcPr>
          <w:p w14:paraId="25DC493B">
            <w:pPr>
              <w:widowControl/>
              <w:jc w:val="left"/>
              <w:rPr>
                <w:rFonts w:ascii="宋体" w:hAnsi="宋体" w:cs="宋体"/>
                <w:szCs w:val="21"/>
              </w:rPr>
            </w:pPr>
          </w:p>
        </w:tc>
      </w:tr>
      <w:tr w14:paraId="0B09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2" w:type="pct"/>
            <w:shd w:val="clear" w:color="auto" w:fill="auto"/>
            <w:vAlign w:val="center"/>
          </w:tcPr>
          <w:p w14:paraId="443EAF37">
            <w:pPr>
              <w:widowControl/>
              <w:jc w:val="left"/>
              <w:rPr>
                <w:rFonts w:ascii="宋体" w:hAnsi="宋体" w:cs="宋体"/>
                <w:szCs w:val="21"/>
              </w:rPr>
            </w:pPr>
            <w:r>
              <w:rPr>
                <w:rFonts w:hint="eastAsia" w:ascii="宋体" w:hAnsi="宋体" w:cs="宋体"/>
                <w:szCs w:val="21"/>
              </w:rPr>
              <w:t>YAML</w:t>
            </w:r>
          </w:p>
          <w:p w14:paraId="0ADF3E6B">
            <w:pPr>
              <w:widowControl/>
              <w:jc w:val="left"/>
              <w:rPr>
                <w:rFonts w:ascii="宋体" w:hAnsi="宋体" w:cs="宋体"/>
                <w:szCs w:val="21"/>
              </w:rPr>
            </w:pPr>
            <w:r>
              <w:rPr>
                <w:rFonts w:hint="eastAsia" w:ascii="宋体" w:hAnsi="宋体" w:cs="宋体"/>
                <w:szCs w:val="21"/>
              </w:rPr>
              <w:t>编排</w:t>
            </w:r>
          </w:p>
        </w:tc>
        <w:tc>
          <w:tcPr>
            <w:tcW w:w="3610" w:type="pct"/>
            <w:shd w:val="clear" w:color="auto" w:fill="auto"/>
            <w:vAlign w:val="center"/>
          </w:tcPr>
          <w:p w14:paraId="3F2FC452">
            <w:pPr>
              <w:spacing w:line="360" w:lineRule="auto"/>
              <w:rPr>
                <w:rFonts w:ascii="宋体" w:hAnsi="宋体" w:cs="宋体"/>
                <w:szCs w:val="21"/>
              </w:rPr>
            </w:pPr>
            <w:r>
              <w:rPr>
                <w:rFonts w:hint="eastAsia" w:ascii="宋体" w:hAnsi="宋体" w:cs="宋体"/>
                <w:szCs w:val="21"/>
              </w:rPr>
              <w:t>支持使用yaml文件创建应用，查看已部署应用的YAML文件，可修改已部署yaml配置。</w:t>
            </w:r>
          </w:p>
        </w:tc>
        <w:tc>
          <w:tcPr>
            <w:tcW w:w="668" w:type="pct"/>
          </w:tcPr>
          <w:p w14:paraId="42AAAE32">
            <w:pPr>
              <w:widowControl/>
              <w:jc w:val="left"/>
              <w:rPr>
                <w:rFonts w:ascii="宋体" w:hAnsi="宋体" w:cs="宋体"/>
                <w:szCs w:val="21"/>
              </w:rPr>
            </w:pPr>
          </w:p>
        </w:tc>
      </w:tr>
      <w:tr w14:paraId="2FB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2" w:type="pct"/>
            <w:shd w:val="clear" w:color="auto" w:fill="auto"/>
            <w:vAlign w:val="center"/>
          </w:tcPr>
          <w:p w14:paraId="5AD8DEE5">
            <w:pPr>
              <w:widowControl/>
              <w:jc w:val="left"/>
              <w:rPr>
                <w:rFonts w:ascii="宋体" w:hAnsi="宋体" w:cs="宋体"/>
                <w:szCs w:val="21"/>
              </w:rPr>
            </w:pPr>
            <w:r>
              <w:rPr>
                <w:rFonts w:hint="eastAsia" w:ascii="宋体" w:hAnsi="宋体" w:cs="宋体"/>
                <w:szCs w:val="21"/>
              </w:rPr>
              <w:t>安全</w:t>
            </w:r>
          </w:p>
          <w:p w14:paraId="11BE3BF9">
            <w:pPr>
              <w:widowControl/>
              <w:jc w:val="left"/>
              <w:rPr>
                <w:rFonts w:ascii="宋体" w:hAnsi="宋体" w:cs="宋体"/>
                <w:szCs w:val="21"/>
              </w:rPr>
            </w:pPr>
            <w:r>
              <w:rPr>
                <w:rFonts w:hint="eastAsia" w:ascii="宋体" w:hAnsi="宋体" w:cs="宋体"/>
                <w:szCs w:val="21"/>
              </w:rPr>
              <w:t>容器</w:t>
            </w:r>
          </w:p>
        </w:tc>
        <w:tc>
          <w:tcPr>
            <w:tcW w:w="3610" w:type="pct"/>
            <w:shd w:val="clear" w:color="auto" w:fill="auto"/>
            <w:vAlign w:val="center"/>
          </w:tcPr>
          <w:p w14:paraId="59390FB6">
            <w:pPr>
              <w:spacing w:line="360" w:lineRule="auto"/>
              <w:rPr>
                <w:rFonts w:ascii="宋体" w:hAnsi="宋体" w:cs="宋体"/>
                <w:szCs w:val="21"/>
              </w:rPr>
            </w:pPr>
            <w:r>
              <w:rPr>
                <w:rFonts w:hint="eastAsia" w:ascii="宋体" w:hAnsi="宋体" w:cs="宋体"/>
                <w:szCs w:val="21"/>
              </w:rPr>
              <w:t>支持安全容器，安全容器需拥有独立的内核，具备更好的安全隔离能力且具备与Docker容器一样的用户体验。</w:t>
            </w:r>
          </w:p>
        </w:tc>
        <w:tc>
          <w:tcPr>
            <w:tcW w:w="668" w:type="pct"/>
          </w:tcPr>
          <w:p w14:paraId="04F7A49B">
            <w:pPr>
              <w:widowControl/>
              <w:jc w:val="left"/>
              <w:rPr>
                <w:rFonts w:ascii="宋体" w:hAnsi="宋体" w:cs="宋体"/>
                <w:szCs w:val="21"/>
              </w:rPr>
            </w:pPr>
          </w:p>
        </w:tc>
      </w:tr>
      <w:tr w14:paraId="2E2F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2" w:type="pct"/>
            <w:shd w:val="clear" w:color="auto" w:fill="auto"/>
            <w:vAlign w:val="center"/>
          </w:tcPr>
          <w:p w14:paraId="32D6AEC1">
            <w:pPr>
              <w:widowControl/>
              <w:jc w:val="left"/>
              <w:rPr>
                <w:rFonts w:ascii="宋体" w:hAnsi="宋体" w:cs="宋体"/>
                <w:szCs w:val="21"/>
              </w:rPr>
            </w:pPr>
            <w:r>
              <w:rPr>
                <w:rFonts w:hint="eastAsia" w:ascii="宋体" w:hAnsi="宋体" w:cs="宋体"/>
                <w:szCs w:val="21"/>
              </w:rPr>
              <w:t>容器</w:t>
            </w:r>
          </w:p>
          <w:p w14:paraId="54401E93">
            <w:pPr>
              <w:widowControl/>
              <w:jc w:val="left"/>
              <w:rPr>
                <w:rFonts w:ascii="宋体" w:hAnsi="宋体" w:cs="宋体"/>
                <w:szCs w:val="21"/>
              </w:rPr>
            </w:pPr>
            <w:r>
              <w:rPr>
                <w:rFonts w:hint="eastAsia" w:ascii="宋体" w:hAnsi="宋体" w:cs="宋体"/>
                <w:szCs w:val="21"/>
              </w:rPr>
              <w:t>伸缩</w:t>
            </w:r>
          </w:p>
        </w:tc>
        <w:tc>
          <w:tcPr>
            <w:tcW w:w="3610" w:type="pct"/>
            <w:shd w:val="clear" w:color="auto" w:fill="auto"/>
            <w:vAlign w:val="center"/>
          </w:tcPr>
          <w:p w14:paraId="2D66C3CC">
            <w:pPr>
              <w:spacing w:line="360" w:lineRule="auto"/>
              <w:rPr>
                <w:rFonts w:ascii="宋体" w:hAnsi="宋体" w:cs="宋体"/>
                <w:szCs w:val="21"/>
              </w:rPr>
            </w:pPr>
            <w:r>
              <w:rPr>
                <w:rFonts w:hint="eastAsia" w:ascii="宋体" w:hAnsi="宋体" w:cs="宋体"/>
                <w:szCs w:val="21"/>
              </w:rPr>
              <w:t>支持手动伸缩和弹性伸缩，支持手工调整Pod的副本数量进行横向伸缩，支持配置容器资源阈值进行容器实例的自动伸缩。</w:t>
            </w:r>
          </w:p>
        </w:tc>
        <w:tc>
          <w:tcPr>
            <w:tcW w:w="668" w:type="pct"/>
          </w:tcPr>
          <w:p w14:paraId="44EFB6B5">
            <w:pPr>
              <w:widowControl/>
              <w:jc w:val="left"/>
              <w:rPr>
                <w:rFonts w:ascii="宋体" w:hAnsi="宋体" w:cs="宋体"/>
                <w:szCs w:val="21"/>
              </w:rPr>
            </w:pPr>
          </w:p>
        </w:tc>
      </w:tr>
      <w:tr w14:paraId="0E3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722" w:type="pct"/>
            <w:shd w:val="clear" w:color="auto" w:fill="auto"/>
            <w:vAlign w:val="center"/>
          </w:tcPr>
          <w:p w14:paraId="438E38E4">
            <w:pPr>
              <w:widowControl/>
              <w:jc w:val="left"/>
              <w:rPr>
                <w:rFonts w:ascii="宋体" w:hAnsi="宋体" w:cs="宋体"/>
                <w:szCs w:val="21"/>
              </w:rPr>
            </w:pPr>
            <w:r>
              <w:rPr>
                <w:rFonts w:hint="eastAsia" w:ascii="宋体" w:hAnsi="宋体" w:cs="宋体"/>
                <w:szCs w:val="21"/>
              </w:rPr>
              <w:t>容器存储管理</w:t>
            </w:r>
          </w:p>
        </w:tc>
        <w:tc>
          <w:tcPr>
            <w:tcW w:w="3610" w:type="pct"/>
            <w:shd w:val="clear" w:color="auto" w:fill="auto"/>
            <w:vAlign w:val="center"/>
          </w:tcPr>
          <w:p w14:paraId="29D5CDF2">
            <w:pPr>
              <w:spacing w:line="360" w:lineRule="auto"/>
              <w:rPr>
                <w:rFonts w:ascii="宋体" w:hAnsi="宋体" w:cs="宋体"/>
                <w:szCs w:val="21"/>
              </w:rPr>
            </w:pPr>
            <w:r>
              <w:rPr>
                <w:rFonts w:hint="eastAsia" w:ascii="宋体" w:hAnsi="宋体" w:cs="宋体"/>
                <w:szCs w:val="21"/>
              </w:rPr>
              <w:t>支持从页面上进行容器存储卷（本地存储、块存储、文件存储、对象存储）的生命周期管理。</w:t>
            </w:r>
          </w:p>
        </w:tc>
        <w:tc>
          <w:tcPr>
            <w:tcW w:w="668" w:type="pct"/>
          </w:tcPr>
          <w:p w14:paraId="1A6D2123">
            <w:pPr>
              <w:widowControl/>
              <w:jc w:val="left"/>
              <w:rPr>
                <w:rFonts w:ascii="宋体" w:hAnsi="宋体" w:cs="宋体"/>
                <w:szCs w:val="21"/>
              </w:rPr>
            </w:pPr>
          </w:p>
        </w:tc>
      </w:tr>
      <w:tr w14:paraId="16EF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2" w:type="pct"/>
            <w:shd w:val="clear" w:color="auto" w:fill="auto"/>
            <w:vAlign w:val="center"/>
          </w:tcPr>
          <w:p w14:paraId="1DBA95CE">
            <w:pPr>
              <w:widowControl/>
              <w:jc w:val="left"/>
              <w:rPr>
                <w:rFonts w:ascii="宋体" w:hAnsi="宋体" w:cs="宋体"/>
                <w:szCs w:val="21"/>
              </w:rPr>
            </w:pPr>
            <w:r>
              <w:rPr>
                <w:rFonts w:hint="eastAsia" w:ascii="宋体" w:hAnsi="宋体" w:cs="宋体"/>
                <w:szCs w:val="21"/>
              </w:rPr>
              <w:t>容器实例远程控制</w:t>
            </w:r>
          </w:p>
        </w:tc>
        <w:tc>
          <w:tcPr>
            <w:tcW w:w="3610" w:type="pct"/>
            <w:shd w:val="clear" w:color="auto" w:fill="auto"/>
            <w:vAlign w:val="center"/>
          </w:tcPr>
          <w:p w14:paraId="5D386F9C">
            <w:pPr>
              <w:spacing w:line="360" w:lineRule="auto"/>
              <w:rPr>
                <w:rFonts w:ascii="宋体" w:hAnsi="宋体" w:cs="宋体"/>
                <w:szCs w:val="21"/>
              </w:rPr>
            </w:pPr>
            <w:r>
              <w:rPr>
                <w:rFonts w:hint="eastAsia" w:ascii="宋体" w:hAnsi="宋体" w:cs="宋体"/>
                <w:szCs w:val="21"/>
              </w:rPr>
              <w:t>容器实例支持以wellshell终端方式进行远程访问控制。</w:t>
            </w:r>
          </w:p>
        </w:tc>
        <w:tc>
          <w:tcPr>
            <w:tcW w:w="668" w:type="pct"/>
          </w:tcPr>
          <w:p w14:paraId="4C631383">
            <w:pPr>
              <w:widowControl/>
              <w:jc w:val="left"/>
              <w:rPr>
                <w:rFonts w:ascii="宋体" w:hAnsi="宋体" w:cs="宋体"/>
                <w:szCs w:val="21"/>
              </w:rPr>
            </w:pPr>
          </w:p>
        </w:tc>
      </w:tr>
      <w:tr w14:paraId="7BBC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22" w:type="pct"/>
            <w:shd w:val="clear" w:color="auto" w:fill="auto"/>
            <w:vAlign w:val="center"/>
          </w:tcPr>
          <w:p w14:paraId="1EE80864">
            <w:pPr>
              <w:widowControl/>
              <w:jc w:val="left"/>
              <w:rPr>
                <w:rFonts w:ascii="宋体" w:hAnsi="宋体" w:cs="宋体"/>
                <w:szCs w:val="21"/>
              </w:rPr>
            </w:pPr>
            <w:r>
              <w:rPr>
                <w:rFonts w:hint="eastAsia" w:ascii="宋体" w:hAnsi="宋体" w:cs="宋体"/>
                <w:szCs w:val="21"/>
              </w:rPr>
              <w:t>节点</w:t>
            </w:r>
          </w:p>
          <w:p w14:paraId="50094C7D">
            <w:pPr>
              <w:widowControl/>
              <w:jc w:val="left"/>
              <w:rPr>
                <w:rFonts w:ascii="宋体" w:hAnsi="宋体" w:cs="宋体"/>
                <w:szCs w:val="21"/>
              </w:rPr>
            </w:pPr>
            <w:r>
              <w:rPr>
                <w:rFonts w:hint="eastAsia" w:ascii="宋体" w:hAnsi="宋体" w:cs="宋体"/>
                <w:szCs w:val="21"/>
              </w:rPr>
              <w:t>伸缩</w:t>
            </w:r>
          </w:p>
        </w:tc>
        <w:tc>
          <w:tcPr>
            <w:tcW w:w="3610" w:type="pct"/>
            <w:shd w:val="clear" w:color="auto" w:fill="auto"/>
            <w:vAlign w:val="center"/>
          </w:tcPr>
          <w:p w14:paraId="2530D900">
            <w:pPr>
              <w:spacing w:line="360" w:lineRule="auto"/>
              <w:rPr>
                <w:rFonts w:ascii="宋体" w:hAnsi="宋体" w:cs="宋体"/>
                <w:szCs w:val="21"/>
              </w:rPr>
            </w:pPr>
            <w:r>
              <w:rPr>
                <w:rFonts w:hint="eastAsia" w:ascii="宋体" w:hAnsi="宋体" w:cs="宋体"/>
                <w:szCs w:val="21"/>
              </w:rPr>
              <w:t>支持从Web页面一键式手工自助添加和删除节点，伸缩过程中无需人工干预。支持通过弹性伸缩组自动创建工作节点并加入集群。支持设定缩容规则触发后自动下线工作节点。</w:t>
            </w:r>
          </w:p>
        </w:tc>
        <w:tc>
          <w:tcPr>
            <w:tcW w:w="668" w:type="pct"/>
          </w:tcPr>
          <w:p w14:paraId="56340B40">
            <w:pPr>
              <w:widowControl/>
              <w:jc w:val="left"/>
              <w:rPr>
                <w:rFonts w:ascii="宋体" w:hAnsi="宋体" w:cs="宋体"/>
                <w:szCs w:val="21"/>
              </w:rPr>
            </w:pPr>
          </w:p>
        </w:tc>
      </w:tr>
      <w:tr w14:paraId="50C3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2" w:type="pct"/>
            <w:shd w:val="clear" w:color="auto" w:fill="auto"/>
            <w:vAlign w:val="center"/>
          </w:tcPr>
          <w:p w14:paraId="404A6E64">
            <w:pPr>
              <w:widowControl/>
              <w:jc w:val="left"/>
              <w:rPr>
                <w:rFonts w:ascii="宋体" w:hAnsi="宋体" w:cs="宋体"/>
                <w:szCs w:val="21"/>
              </w:rPr>
            </w:pPr>
            <w:r>
              <w:rPr>
                <w:rFonts w:hint="eastAsia" w:ascii="宋体" w:hAnsi="宋体" w:cs="宋体"/>
                <w:szCs w:val="21"/>
              </w:rPr>
              <w:t>集群创建/删除</w:t>
            </w:r>
          </w:p>
        </w:tc>
        <w:tc>
          <w:tcPr>
            <w:tcW w:w="3610" w:type="pct"/>
            <w:shd w:val="clear" w:color="auto" w:fill="auto"/>
            <w:vAlign w:val="center"/>
          </w:tcPr>
          <w:p w14:paraId="35652FDF">
            <w:pPr>
              <w:spacing w:line="360" w:lineRule="auto"/>
              <w:rPr>
                <w:rFonts w:ascii="宋体" w:hAnsi="宋体" w:cs="宋体"/>
                <w:szCs w:val="21"/>
              </w:rPr>
            </w:pPr>
            <w:r>
              <w:rPr>
                <w:rFonts w:hint="eastAsia" w:ascii="宋体" w:hAnsi="宋体" w:cs="宋体"/>
                <w:szCs w:val="21"/>
              </w:rPr>
              <w:t>容器服务与云平台无缝对接，能够通过控制台实现集群的一键式自助创建和删除集群。</w:t>
            </w:r>
          </w:p>
        </w:tc>
        <w:tc>
          <w:tcPr>
            <w:tcW w:w="668" w:type="pct"/>
          </w:tcPr>
          <w:p w14:paraId="100988D0">
            <w:pPr>
              <w:widowControl/>
              <w:jc w:val="left"/>
              <w:rPr>
                <w:rFonts w:ascii="宋体" w:hAnsi="宋体" w:cs="宋体"/>
                <w:szCs w:val="21"/>
              </w:rPr>
            </w:pPr>
          </w:p>
        </w:tc>
      </w:tr>
      <w:tr w14:paraId="792E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2" w:type="pct"/>
            <w:shd w:val="clear" w:color="auto" w:fill="auto"/>
            <w:vAlign w:val="center"/>
          </w:tcPr>
          <w:p w14:paraId="16661649">
            <w:pPr>
              <w:widowControl/>
              <w:jc w:val="left"/>
              <w:rPr>
                <w:rFonts w:ascii="宋体" w:hAnsi="宋体" w:cs="宋体"/>
                <w:szCs w:val="21"/>
              </w:rPr>
            </w:pPr>
            <w:r>
              <w:rPr>
                <w:rFonts w:hint="eastAsia" w:ascii="宋体" w:hAnsi="宋体" w:cs="宋体"/>
                <w:szCs w:val="21"/>
              </w:rPr>
              <w:t>集群</w:t>
            </w:r>
          </w:p>
          <w:p w14:paraId="11137601">
            <w:pPr>
              <w:widowControl/>
              <w:jc w:val="left"/>
              <w:rPr>
                <w:rFonts w:ascii="宋体" w:hAnsi="宋体" w:cs="宋体"/>
                <w:szCs w:val="21"/>
              </w:rPr>
            </w:pPr>
            <w:r>
              <w:rPr>
                <w:rFonts w:hint="eastAsia" w:ascii="宋体" w:hAnsi="宋体" w:cs="宋体"/>
                <w:szCs w:val="21"/>
              </w:rPr>
              <w:t>概览</w:t>
            </w:r>
          </w:p>
        </w:tc>
        <w:tc>
          <w:tcPr>
            <w:tcW w:w="3610" w:type="pct"/>
            <w:shd w:val="clear" w:color="auto" w:fill="auto"/>
            <w:vAlign w:val="center"/>
          </w:tcPr>
          <w:p w14:paraId="6124E383">
            <w:pPr>
              <w:spacing w:line="360" w:lineRule="auto"/>
              <w:rPr>
                <w:rFonts w:ascii="宋体" w:hAnsi="宋体" w:cs="宋体"/>
                <w:szCs w:val="21"/>
              </w:rPr>
            </w:pPr>
            <w:r>
              <w:rPr>
                <w:rFonts w:hint="eastAsia" w:ascii="宋体" w:hAnsi="宋体" w:cs="宋体"/>
                <w:szCs w:val="21"/>
              </w:rPr>
              <w:t>提供平台看台功能，能够快速查看资源的总体运行状态，包括节点、组件、应用的运行状态，集群的事件记录以及集群的当前的资源使用情况。</w:t>
            </w:r>
          </w:p>
        </w:tc>
        <w:tc>
          <w:tcPr>
            <w:tcW w:w="668" w:type="pct"/>
          </w:tcPr>
          <w:p w14:paraId="66E79BE7">
            <w:pPr>
              <w:widowControl/>
              <w:jc w:val="left"/>
              <w:rPr>
                <w:rFonts w:ascii="宋体" w:hAnsi="宋体" w:cs="宋体"/>
                <w:szCs w:val="21"/>
              </w:rPr>
            </w:pPr>
          </w:p>
        </w:tc>
      </w:tr>
      <w:tr w14:paraId="761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2" w:type="pct"/>
            <w:shd w:val="clear" w:color="auto" w:fill="auto"/>
            <w:vAlign w:val="center"/>
          </w:tcPr>
          <w:p w14:paraId="0E106C4F">
            <w:pPr>
              <w:widowControl/>
              <w:jc w:val="left"/>
              <w:rPr>
                <w:rFonts w:ascii="宋体" w:hAnsi="宋体" w:cs="宋体"/>
                <w:szCs w:val="21"/>
              </w:rPr>
            </w:pPr>
            <w:r>
              <w:rPr>
                <w:rFonts w:hint="eastAsia" w:ascii="宋体" w:hAnsi="宋体" w:cs="宋体"/>
                <w:szCs w:val="21"/>
              </w:rPr>
              <w:t>Matser节点高可用</w:t>
            </w:r>
          </w:p>
        </w:tc>
        <w:tc>
          <w:tcPr>
            <w:tcW w:w="3610" w:type="pct"/>
            <w:shd w:val="clear" w:color="auto" w:fill="auto"/>
            <w:vAlign w:val="center"/>
          </w:tcPr>
          <w:p w14:paraId="366D122C">
            <w:pPr>
              <w:spacing w:line="360" w:lineRule="auto"/>
              <w:rPr>
                <w:rFonts w:ascii="宋体" w:hAnsi="宋体" w:cs="宋体"/>
                <w:szCs w:val="21"/>
              </w:rPr>
            </w:pPr>
            <w:r>
              <w:rPr>
                <w:rFonts w:hint="eastAsia" w:ascii="宋体" w:hAnsi="宋体" w:cs="宋体"/>
                <w:szCs w:val="21"/>
              </w:rPr>
              <w:t>集群单个Master节点故障时，不影响集群正常使用，全部Master节点全部故障时，不影响已有业务正常使用。</w:t>
            </w:r>
          </w:p>
        </w:tc>
        <w:tc>
          <w:tcPr>
            <w:tcW w:w="668" w:type="pct"/>
          </w:tcPr>
          <w:p w14:paraId="337DA53E">
            <w:pPr>
              <w:widowControl/>
              <w:jc w:val="left"/>
              <w:rPr>
                <w:rFonts w:ascii="宋体" w:hAnsi="宋体" w:cs="宋体"/>
                <w:szCs w:val="21"/>
              </w:rPr>
            </w:pPr>
          </w:p>
        </w:tc>
      </w:tr>
      <w:tr w14:paraId="0836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2" w:type="pct"/>
            <w:shd w:val="clear" w:color="auto" w:fill="auto"/>
            <w:vAlign w:val="center"/>
          </w:tcPr>
          <w:p w14:paraId="229B5367">
            <w:pPr>
              <w:widowControl/>
              <w:jc w:val="left"/>
              <w:rPr>
                <w:rFonts w:ascii="宋体" w:hAnsi="宋体" w:cs="宋体"/>
                <w:szCs w:val="21"/>
              </w:rPr>
            </w:pPr>
            <w:r>
              <w:rPr>
                <w:rFonts w:hint="eastAsia" w:ascii="宋体" w:hAnsi="宋体" w:cs="宋体"/>
                <w:szCs w:val="21"/>
              </w:rPr>
              <w:t>Worker节点高可用</w:t>
            </w:r>
          </w:p>
        </w:tc>
        <w:tc>
          <w:tcPr>
            <w:tcW w:w="3610" w:type="pct"/>
            <w:shd w:val="clear" w:color="auto" w:fill="auto"/>
            <w:vAlign w:val="center"/>
          </w:tcPr>
          <w:p w14:paraId="62FBB479">
            <w:pPr>
              <w:spacing w:line="360" w:lineRule="auto"/>
              <w:rPr>
                <w:rFonts w:ascii="宋体" w:hAnsi="宋体" w:cs="宋体"/>
                <w:szCs w:val="21"/>
              </w:rPr>
            </w:pPr>
            <w:r>
              <w:rPr>
                <w:rFonts w:hint="eastAsia" w:ascii="宋体" w:hAnsi="宋体" w:cs="宋体"/>
                <w:szCs w:val="21"/>
              </w:rPr>
              <w:t>Worker节点故障迁移时，故障节点上POD自动迁移。</w:t>
            </w:r>
          </w:p>
        </w:tc>
        <w:tc>
          <w:tcPr>
            <w:tcW w:w="668" w:type="pct"/>
          </w:tcPr>
          <w:p w14:paraId="49564005">
            <w:pPr>
              <w:widowControl/>
              <w:jc w:val="left"/>
              <w:rPr>
                <w:rFonts w:ascii="宋体" w:hAnsi="宋体" w:cs="宋体"/>
                <w:szCs w:val="21"/>
              </w:rPr>
            </w:pPr>
          </w:p>
        </w:tc>
      </w:tr>
    </w:tbl>
    <w:p w14:paraId="26BF41D2">
      <w:pPr>
        <w:pStyle w:val="23"/>
        <w:snapToGrid w:val="0"/>
        <w:ind w:firstLine="420" w:firstLineChars="200"/>
        <w:outlineLvl w:val="4"/>
        <w:rPr>
          <w:rFonts w:hAnsi="宋体" w:cs="宋体"/>
          <w:sz w:val="21"/>
        </w:rPr>
      </w:pPr>
      <w:r>
        <w:rPr>
          <w:rFonts w:hint="eastAsia" w:hAnsi="宋体" w:cs="宋体"/>
          <w:sz w:val="21"/>
        </w:rPr>
        <w:t>7.1.2.24数据资源平台</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6859"/>
        <w:gridCol w:w="1074"/>
      </w:tblGrid>
      <w:tr w14:paraId="0AD1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5D5EC43B">
            <w:pPr>
              <w:autoSpaceDE w:val="0"/>
              <w:autoSpaceDN w:val="0"/>
              <w:jc w:val="center"/>
              <w:rPr>
                <w:rFonts w:ascii="宋体" w:hAnsi="宋体" w:cs="宋体"/>
                <w:b/>
                <w:szCs w:val="21"/>
              </w:rPr>
            </w:pPr>
            <w:r>
              <w:rPr>
                <w:rFonts w:hint="eastAsia" w:ascii="宋体" w:hAnsi="宋体" w:cs="宋体"/>
                <w:b/>
                <w:szCs w:val="21"/>
              </w:rPr>
              <w:t>指标项</w:t>
            </w:r>
          </w:p>
        </w:tc>
        <w:tc>
          <w:tcPr>
            <w:tcW w:w="3692" w:type="pct"/>
            <w:tcBorders>
              <w:top w:val="single" w:color="auto" w:sz="4" w:space="0"/>
              <w:left w:val="single" w:color="auto" w:sz="4" w:space="0"/>
              <w:bottom w:val="single" w:color="auto" w:sz="4" w:space="0"/>
              <w:right w:val="single" w:color="auto" w:sz="4" w:space="0"/>
            </w:tcBorders>
            <w:vAlign w:val="center"/>
          </w:tcPr>
          <w:p w14:paraId="28332064">
            <w:pPr>
              <w:autoSpaceDE w:val="0"/>
              <w:autoSpaceDN w:val="0"/>
              <w:jc w:val="center"/>
              <w:rPr>
                <w:rFonts w:ascii="宋体" w:hAnsi="宋体" w:cs="宋体"/>
                <w:b/>
                <w:szCs w:val="21"/>
              </w:rPr>
            </w:pPr>
            <w:r>
              <w:rPr>
                <w:rFonts w:hint="eastAsia" w:ascii="宋体" w:hAnsi="宋体" w:cs="宋体"/>
                <w:b/>
                <w:szCs w:val="21"/>
              </w:rPr>
              <w:t>规格要求</w:t>
            </w:r>
          </w:p>
        </w:tc>
        <w:tc>
          <w:tcPr>
            <w:tcW w:w="578" w:type="pct"/>
            <w:tcBorders>
              <w:top w:val="single" w:color="auto" w:sz="4" w:space="0"/>
              <w:left w:val="single" w:color="auto" w:sz="4" w:space="0"/>
              <w:bottom w:val="single" w:color="auto" w:sz="4" w:space="0"/>
              <w:right w:val="single" w:color="auto" w:sz="4" w:space="0"/>
            </w:tcBorders>
            <w:vAlign w:val="center"/>
          </w:tcPr>
          <w:p w14:paraId="1D6D0DD1">
            <w:pPr>
              <w:jc w:val="center"/>
              <w:rPr>
                <w:rFonts w:ascii="宋体" w:hAnsi="宋体" w:cs="宋体"/>
                <w:b/>
                <w:szCs w:val="21"/>
              </w:rPr>
            </w:pPr>
            <w:r>
              <w:rPr>
                <w:rFonts w:hint="eastAsia" w:ascii="宋体" w:hAnsi="宋体" w:cs="宋体"/>
                <w:b/>
                <w:szCs w:val="21"/>
              </w:rPr>
              <w:t>备注</w:t>
            </w:r>
          </w:p>
        </w:tc>
      </w:tr>
      <w:tr w14:paraId="7726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5AC231AC">
            <w:pPr>
              <w:autoSpaceDE w:val="0"/>
              <w:autoSpaceDN w:val="0"/>
              <w:jc w:val="center"/>
              <w:rPr>
                <w:rFonts w:ascii="宋体" w:hAnsi="宋体" w:cs="宋体"/>
                <w:szCs w:val="21"/>
              </w:rPr>
            </w:pPr>
            <w:r>
              <w:rPr>
                <w:rFonts w:hint="eastAsia" w:ascii="宋体" w:hAnsi="宋体" w:cs="宋体"/>
                <w:szCs w:val="21"/>
              </w:rPr>
              <w:t>服务标准</w:t>
            </w:r>
          </w:p>
        </w:tc>
        <w:tc>
          <w:tcPr>
            <w:tcW w:w="3692" w:type="pct"/>
            <w:tcBorders>
              <w:top w:val="single" w:color="auto" w:sz="4" w:space="0"/>
              <w:left w:val="single" w:color="auto" w:sz="4" w:space="0"/>
              <w:bottom w:val="single" w:color="auto" w:sz="4" w:space="0"/>
              <w:right w:val="single" w:color="auto" w:sz="4" w:space="0"/>
            </w:tcBorders>
            <w:vAlign w:val="center"/>
          </w:tcPr>
          <w:p w14:paraId="0EB503BA">
            <w:pPr>
              <w:autoSpaceDE w:val="0"/>
              <w:autoSpaceDN w:val="0"/>
              <w:jc w:val="left"/>
              <w:rPr>
                <w:rFonts w:ascii="宋体" w:hAnsi="宋体" w:cs="宋体"/>
                <w:szCs w:val="21"/>
              </w:rPr>
            </w:pPr>
            <w:r>
              <w:rPr>
                <w:rFonts w:hint="eastAsia" w:ascii="宋体" w:hAnsi="宋体" w:cs="宋体"/>
                <w:szCs w:val="21"/>
              </w:rPr>
              <w:t>数据资源平台支持工作组、云计算资源、成员的创建及管理，支持实时、离线等任务的运维，支持平台中已沉淀的数据资产的导入导出，为数据资源平台的运行、使用提供了必要的基础保障。</w:t>
            </w:r>
          </w:p>
        </w:tc>
        <w:tc>
          <w:tcPr>
            <w:tcW w:w="578" w:type="pct"/>
            <w:tcBorders>
              <w:top w:val="single" w:color="auto" w:sz="4" w:space="0"/>
              <w:left w:val="single" w:color="auto" w:sz="4" w:space="0"/>
              <w:bottom w:val="single" w:color="auto" w:sz="4" w:space="0"/>
              <w:right w:val="single" w:color="auto" w:sz="4" w:space="0"/>
            </w:tcBorders>
            <w:vAlign w:val="center"/>
          </w:tcPr>
          <w:p w14:paraId="27BC3F23">
            <w:pPr>
              <w:rPr>
                <w:rFonts w:ascii="宋体" w:hAnsi="宋体" w:cs="宋体"/>
                <w:szCs w:val="21"/>
              </w:rPr>
            </w:pPr>
          </w:p>
        </w:tc>
      </w:tr>
      <w:tr w14:paraId="13DA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restart"/>
            <w:tcBorders>
              <w:top w:val="single" w:color="auto" w:sz="4" w:space="0"/>
              <w:left w:val="single" w:color="auto" w:sz="4" w:space="0"/>
              <w:right w:val="single" w:color="auto" w:sz="4" w:space="0"/>
            </w:tcBorders>
            <w:vAlign w:val="center"/>
          </w:tcPr>
          <w:p w14:paraId="6C6B0FB3">
            <w:pPr>
              <w:autoSpaceDE w:val="0"/>
              <w:autoSpaceDN w:val="0"/>
              <w:jc w:val="center"/>
              <w:rPr>
                <w:rFonts w:ascii="宋体" w:hAnsi="宋体" w:cs="宋体"/>
                <w:szCs w:val="21"/>
              </w:rPr>
            </w:pPr>
            <w:r>
              <w:rPr>
                <w:rFonts w:hint="eastAsia" w:ascii="宋体" w:hAnsi="宋体" w:cs="宋体"/>
                <w:szCs w:val="21"/>
              </w:rPr>
              <w:t>服务特性</w:t>
            </w:r>
          </w:p>
        </w:tc>
        <w:tc>
          <w:tcPr>
            <w:tcW w:w="3692" w:type="pct"/>
            <w:tcBorders>
              <w:top w:val="single" w:color="auto" w:sz="4" w:space="0"/>
              <w:left w:val="single" w:color="auto" w:sz="4" w:space="0"/>
              <w:bottom w:val="single" w:color="auto" w:sz="4" w:space="0"/>
              <w:right w:val="single" w:color="auto" w:sz="4" w:space="0"/>
            </w:tcBorders>
            <w:vAlign w:val="center"/>
          </w:tcPr>
          <w:p w14:paraId="77114E9B">
            <w:pPr>
              <w:autoSpaceDE w:val="0"/>
              <w:autoSpaceDN w:val="0"/>
              <w:jc w:val="left"/>
              <w:rPr>
                <w:rFonts w:ascii="宋体" w:hAnsi="宋体" w:cs="宋体"/>
                <w:szCs w:val="21"/>
              </w:rPr>
            </w:pPr>
            <w:r>
              <w:rPr>
                <w:rFonts w:hint="eastAsia" w:ascii="宋体" w:hAnsi="宋体" w:cs="宋体"/>
                <w:szCs w:val="21"/>
              </w:rPr>
              <w:t>跨平台</w:t>
            </w:r>
          </w:p>
          <w:p w14:paraId="6562C016">
            <w:pPr>
              <w:autoSpaceDE w:val="0"/>
              <w:autoSpaceDN w:val="0"/>
              <w:jc w:val="left"/>
              <w:rPr>
                <w:rFonts w:ascii="宋体" w:hAnsi="宋体" w:cs="宋体"/>
                <w:szCs w:val="21"/>
              </w:rPr>
            </w:pPr>
            <w:r>
              <w:rPr>
                <w:rFonts w:hint="eastAsia" w:ascii="宋体" w:hAnsi="宋体" w:cs="宋体"/>
                <w:szCs w:val="21"/>
              </w:rPr>
              <w:t>支持多种计算平台，以数据应用场景视角完成异构平台下的任务编排与调度。</w:t>
            </w:r>
          </w:p>
        </w:tc>
        <w:tc>
          <w:tcPr>
            <w:tcW w:w="578" w:type="pct"/>
            <w:tcBorders>
              <w:top w:val="single" w:color="auto" w:sz="4" w:space="0"/>
              <w:left w:val="single" w:color="auto" w:sz="4" w:space="0"/>
              <w:bottom w:val="single" w:color="auto" w:sz="4" w:space="0"/>
              <w:right w:val="single" w:color="auto" w:sz="4" w:space="0"/>
            </w:tcBorders>
            <w:vAlign w:val="center"/>
          </w:tcPr>
          <w:p w14:paraId="1545415E">
            <w:pPr>
              <w:rPr>
                <w:rFonts w:ascii="宋体" w:hAnsi="宋体" w:cs="宋体"/>
                <w:szCs w:val="21"/>
              </w:rPr>
            </w:pPr>
          </w:p>
        </w:tc>
      </w:tr>
      <w:tr w14:paraId="375A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62C4912E">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3234C088">
            <w:pPr>
              <w:autoSpaceDE w:val="0"/>
              <w:autoSpaceDN w:val="0"/>
              <w:jc w:val="left"/>
              <w:rPr>
                <w:rFonts w:ascii="宋体" w:hAnsi="宋体" w:cs="宋体"/>
                <w:szCs w:val="21"/>
              </w:rPr>
            </w:pPr>
            <w:r>
              <w:rPr>
                <w:rFonts w:hint="eastAsia" w:ascii="宋体" w:hAnsi="宋体" w:cs="宋体"/>
                <w:szCs w:val="21"/>
              </w:rPr>
              <w:t>开放性</w:t>
            </w:r>
          </w:p>
          <w:p w14:paraId="741001DC">
            <w:pPr>
              <w:autoSpaceDE w:val="0"/>
              <w:autoSpaceDN w:val="0"/>
              <w:jc w:val="left"/>
              <w:rPr>
                <w:rFonts w:ascii="宋体" w:hAnsi="宋体" w:cs="宋体"/>
                <w:szCs w:val="21"/>
              </w:rPr>
            </w:pPr>
            <w:r>
              <w:rPr>
                <w:rFonts w:hint="eastAsia" w:ascii="宋体" w:hAnsi="宋体" w:cs="宋体"/>
                <w:szCs w:val="21"/>
              </w:rPr>
              <w:t>支持多种被集成方式，支持第三方插件，满足不同行业对数据智能的需求。</w:t>
            </w:r>
          </w:p>
        </w:tc>
        <w:tc>
          <w:tcPr>
            <w:tcW w:w="578" w:type="pct"/>
            <w:tcBorders>
              <w:top w:val="single" w:color="auto" w:sz="4" w:space="0"/>
              <w:left w:val="single" w:color="auto" w:sz="4" w:space="0"/>
              <w:bottom w:val="single" w:color="auto" w:sz="4" w:space="0"/>
              <w:right w:val="single" w:color="auto" w:sz="4" w:space="0"/>
            </w:tcBorders>
            <w:vAlign w:val="center"/>
          </w:tcPr>
          <w:p w14:paraId="42674E49">
            <w:pPr>
              <w:rPr>
                <w:rFonts w:ascii="宋体" w:hAnsi="宋体" w:cs="宋体"/>
                <w:szCs w:val="21"/>
              </w:rPr>
            </w:pPr>
          </w:p>
        </w:tc>
      </w:tr>
      <w:tr w14:paraId="4E20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0D3B89EA">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6FECDC17">
            <w:pPr>
              <w:autoSpaceDE w:val="0"/>
              <w:autoSpaceDN w:val="0"/>
              <w:jc w:val="left"/>
              <w:rPr>
                <w:rFonts w:ascii="宋体" w:hAnsi="宋体" w:cs="宋体"/>
                <w:szCs w:val="21"/>
              </w:rPr>
            </w:pPr>
            <w:r>
              <w:rPr>
                <w:rFonts w:hint="eastAsia" w:ascii="宋体" w:hAnsi="宋体" w:cs="宋体"/>
                <w:szCs w:val="21"/>
              </w:rPr>
              <w:t>服务化</w:t>
            </w:r>
          </w:p>
          <w:p w14:paraId="5EF657B4">
            <w:pPr>
              <w:snapToGrid w:val="0"/>
              <w:spacing w:line="420" w:lineRule="exact"/>
              <w:rPr>
                <w:rFonts w:ascii="宋体" w:hAnsi="宋体" w:cs="宋体"/>
                <w:szCs w:val="21"/>
              </w:rPr>
            </w:pPr>
            <w:r>
              <w:rPr>
                <w:rFonts w:hint="eastAsia" w:ascii="宋体" w:hAnsi="宋体" w:cs="宋体"/>
                <w:szCs w:val="21"/>
              </w:rPr>
              <w:t>支持提供自定义函数、函数资源、数据基础库的能力，从而在数据开发等过程中灵活调用各类自定义函数和基础数据。</w:t>
            </w:r>
          </w:p>
        </w:tc>
        <w:tc>
          <w:tcPr>
            <w:tcW w:w="578" w:type="pct"/>
            <w:tcBorders>
              <w:top w:val="single" w:color="auto" w:sz="4" w:space="0"/>
              <w:left w:val="single" w:color="auto" w:sz="4" w:space="0"/>
              <w:bottom w:val="single" w:color="auto" w:sz="4" w:space="0"/>
              <w:right w:val="single" w:color="auto" w:sz="4" w:space="0"/>
            </w:tcBorders>
            <w:vAlign w:val="center"/>
          </w:tcPr>
          <w:p w14:paraId="6C983D6A">
            <w:pPr>
              <w:rPr>
                <w:rFonts w:ascii="宋体" w:hAnsi="宋体" w:cs="宋体"/>
                <w:szCs w:val="21"/>
              </w:rPr>
            </w:pPr>
          </w:p>
        </w:tc>
      </w:tr>
      <w:tr w14:paraId="3E11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6695B74B">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75BFFE5F">
            <w:pPr>
              <w:autoSpaceDE w:val="0"/>
              <w:autoSpaceDN w:val="0"/>
              <w:jc w:val="left"/>
              <w:rPr>
                <w:rFonts w:ascii="宋体" w:hAnsi="宋体" w:cs="宋体"/>
                <w:szCs w:val="21"/>
              </w:rPr>
            </w:pPr>
            <w:r>
              <w:rPr>
                <w:rFonts w:hint="eastAsia" w:ascii="宋体" w:hAnsi="宋体" w:cs="宋体"/>
                <w:szCs w:val="21"/>
              </w:rPr>
              <w:t>工程化</w:t>
            </w:r>
          </w:p>
          <w:p w14:paraId="0CD987EA">
            <w:pPr>
              <w:autoSpaceDE w:val="0"/>
              <w:autoSpaceDN w:val="0"/>
              <w:jc w:val="left"/>
              <w:rPr>
                <w:rFonts w:ascii="宋体" w:hAnsi="宋体" w:cs="宋体"/>
                <w:szCs w:val="21"/>
              </w:rPr>
            </w:pPr>
            <w:r>
              <w:rPr>
                <w:rFonts w:hint="eastAsia" w:ascii="宋体" w:hAnsi="宋体" w:cs="宋体"/>
                <w:szCs w:val="21"/>
              </w:rPr>
              <w:t>支持数据和算法的跨项目复制，提供标准交付、快速部署，降低成本。</w:t>
            </w:r>
          </w:p>
        </w:tc>
        <w:tc>
          <w:tcPr>
            <w:tcW w:w="578" w:type="pct"/>
            <w:tcBorders>
              <w:top w:val="single" w:color="auto" w:sz="4" w:space="0"/>
              <w:left w:val="single" w:color="auto" w:sz="4" w:space="0"/>
              <w:bottom w:val="single" w:color="auto" w:sz="4" w:space="0"/>
              <w:right w:val="single" w:color="auto" w:sz="4" w:space="0"/>
            </w:tcBorders>
            <w:vAlign w:val="center"/>
          </w:tcPr>
          <w:p w14:paraId="660D1FBA">
            <w:pPr>
              <w:rPr>
                <w:rFonts w:ascii="宋体" w:hAnsi="宋体" w:cs="宋体"/>
                <w:szCs w:val="21"/>
              </w:rPr>
            </w:pPr>
          </w:p>
        </w:tc>
      </w:tr>
      <w:tr w14:paraId="6790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restart"/>
            <w:tcBorders>
              <w:left w:val="single" w:color="auto" w:sz="4" w:space="0"/>
              <w:right w:val="single" w:color="auto" w:sz="4" w:space="0"/>
            </w:tcBorders>
            <w:vAlign w:val="center"/>
          </w:tcPr>
          <w:p w14:paraId="5E0EBACF">
            <w:pPr>
              <w:autoSpaceDE w:val="0"/>
              <w:autoSpaceDN w:val="0"/>
              <w:jc w:val="center"/>
              <w:rPr>
                <w:rFonts w:ascii="宋体" w:hAnsi="宋体" w:cs="宋体"/>
                <w:szCs w:val="21"/>
              </w:rPr>
            </w:pPr>
            <w:r>
              <w:rPr>
                <w:rFonts w:hint="eastAsia" w:ascii="宋体" w:hAnsi="宋体" w:cs="宋体"/>
                <w:szCs w:val="21"/>
              </w:rPr>
              <w:t>服务能力</w:t>
            </w:r>
          </w:p>
        </w:tc>
        <w:tc>
          <w:tcPr>
            <w:tcW w:w="3692" w:type="pct"/>
            <w:tcBorders>
              <w:top w:val="single" w:color="auto" w:sz="4" w:space="0"/>
              <w:left w:val="single" w:color="auto" w:sz="4" w:space="0"/>
              <w:bottom w:val="single" w:color="auto" w:sz="4" w:space="0"/>
              <w:right w:val="single" w:color="auto" w:sz="4" w:space="0"/>
            </w:tcBorders>
            <w:vAlign w:val="center"/>
          </w:tcPr>
          <w:p w14:paraId="01D88BEA">
            <w:pPr>
              <w:snapToGrid w:val="0"/>
              <w:spacing w:line="420" w:lineRule="exact"/>
              <w:rPr>
                <w:rFonts w:ascii="宋体" w:hAnsi="宋体" w:cs="宋体"/>
                <w:szCs w:val="21"/>
              </w:rPr>
            </w:pPr>
            <w:r>
              <w:rPr>
                <w:rFonts w:hint="eastAsia" w:ascii="宋体" w:hAnsi="宋体" w:cs="宋体"/>
                <w:szCs w:val="21"/>
              </w:rPr>
              <w:t>支持工作组管理：支持工作组的创建、管理，以达到各工作组之间空间隔离的效果，并提供编辑、禁用、复制、删除等功能。支持工作组下云计算资源、成员的添加、管理。</w:t>
            </w:r>
          </w:p>
        </w:tc>
        <w:tc>
          <w:tcPr>
            <w:tcW w:w="578" w:type="pct"/>
            <w:tcBorders>
              <w:top w:val="single" w:color="auto" w:sz="4" w:space="0"/>
              <w:left w:val="single" w:color="auto" w:sz="4" w:space="0"/>
              <w:bottom w:val="single" w:color="auto" w:sz="4" w:space="0"/>
              <w:right w:val="single" w:color="auto" w:sz="4" w:space="0"/>
            </w:tcBorders>
            <w:vAlign w:val="center"/>
          </w:tcPr>
          <w:p w14:paraId="680E6CFE">
            <w:pPr>
              <w:rPr>
                <w:rFonts w:ascii="宋体" w:hAnsi="宋体" w:cs="宋体"/>
                <w:szCs w:val="21"/>
              </w:rPr>
            </w:pPr>
          </w:p>
        </w:tc>
      </w:tr>
      <w:tr w14:paraId="3AF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4F3540B5">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5288D083">
            <w:pPr>
              <w:snapToGrid w:val="0"/>
              <w:spacing w:line="420" w:lineRule="exact"/>
              <w:rPr>
                <w:rFonts w:ascii="宋体" w:hAnsi="宋体" w:cs="宋体"/>
                <w:szCs w:val="21"/>
              </w:rPr>
            </w:pPr>
            <w:r>
              <w:rPr>
                <w:rFonts w:hint="eastAsia" w:ascii="宋体" w:hAnsi="宋体" w:cs="宋体"/>
                <w:szCs w:val="21"/>
              </w:rPr>
              <w:t>支持新建专业模式工作组，使开发、生产云计算资源隔离，对生产环境的数据读写权限、任务上线发布进行严格权限控制，更加安全可靠。</w:t>
            </w:r>
          </w:p>
        </w:tc>
        <w:tc>
          <w:tcPr>
            <w:tcW w:w="578" w:type="pct"/>
            <w:tcBorders>
              <w:top w:val="single" w:color="auto" w:sz="4" w:space="0"/>
              <w:left w:val="single" w:color="auto" w:sz="4" w:space="0"/>
              <w:bottom w:val="single" w:color="auto" w:sz="4" w:space="0"/>
              <w:right w:val="single" w:color="auto" w:sz="4" w:space="0"/>
            </w:tcBorders>
            <w:vAlign w:val="center"/>
          </w:tcPr>
          <w:p w14:paraId="1DBEC764">
            <w:pPr>
              <w:rPr>
                <w:rFonts w:ascii="宋体" w:hAnsi="宋体" w:cs="宋体"/>
                <w:szCs w:val="21"/>
              </w:rPr>
            </w:pPr>
          </w:p>
        </w:tc>
      </w:tr>
      <w:tr w14:paraId="238D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7DF49A1F">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719D1D6C">
            <w:pPr>
              <w:snapToGrid w:val="0"/>
              <w:spacing w:line="420" w:lineRule="exact"/>
              <w:rPr>
                <w:rFonts w:ascii="宋体" w:hAnsi="宋体" w:cs="宋体"/>
                <w:szCs w:val="21"/>
              </w:rPr>
            </w:pPr>
            <w:r>
              <w:rPr>
                <w:rFonts w:hint="eastAsia" w:ascii="宋体" w:hAnsi="宋体" w:cs="宋体"/>
                <w:szCs w:val="21"/>
              </w:rPr>
              <w:t>支持云计算资源管理：支持多个类型的云计算资源的新建管理，并提供复制、编辑、检测、删除等功能。专业模式工作组下，支持设置云计算资源的使用环境，分为开发和生产环境，对生产环境的数据读写权限、任务上线发布进行严格权限控制。</w:t>
            </w:r>
          </w:p>
        </w:tc>
        <w:tc>
          <w:tcPr>
            <w:tcW w:w="578" w:type="pct"/>
            <w:tcBorders>
              <w:top w:val="single" w:color="auto" w:sz="4" w:space="0"/>
              <w:left w:val="single" w:color="auto" w:sz="4" w:space="0"/>
              <w:bottom w:val="single" w:color="auto" w:sz="4" w:space="0"/>
              <w:right w:val="single" w:color="auto" w:sz="4" w:space="0"/>
            </w:tcBorders>
            <w:vAlign w:val="center"/>
          </w:tcPr>
          <w:p w14:paraId="36ADB0AB">
            <w:pPr>
              <w:rPr>
                <w:rFonts w:ascii="宋体" w:hAnsi="宋体" w:cs="宋体"/>
                <w:szCs w:val="21"/>
              </w:rPr>
            </w:pPr>
          </w:p>
        </w:tc>
      </w:tr>
      <w:tr w14:paraId="589F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449A0CA3">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125E5DFF">
            <w:pPr>
              <w:snapToGrid w:val="0"/>
              <w:spacing w:line="420" w:lineRule="exact"/>
              <w:rPr>
                <w:rFonts w:ascii="宋体" w:hAnsi="宋体" w:cs="宋体"/>
                <w:szCs w:val="21"/>
              </w:rPr>
            </w:pPr>
            <w:r>
              <w:rPr>
                <w:rFonts w:hint="eastAsia" w:ascii="宋体" w:hAnsi="宋体" w:cs="宋体"/>
                <w:szCs w:val="21"/>
              </w:rPr>
              <w:t>支持成员管理：支持对账号的相应工作组管理员、工作组开发者、工作组分析员进行配置，并支持移除成员、详情查看等功能。</w:t>
            </w:r>
          </w:p>
        </w:tc>
        <w:tc>
          <w:tcPr>
            <w:tcW w:w="578" w:type="pct"/>
            <w:tcBorders>
              <w:top w:val="single" w:color="auto" w:sz="4" w:space="0"/>
              <w:left w:val="single" w:color="auto" w:sz="4" w:space="0"/>
              <w:bottom w:val="single" w:color="auto" w:sz="4" w:space="0"/>
              <w:right w:val="single" w:color="auto" w:sz="4" w:space="0"/>
            </w:tcBorders>
            <w:vAlign w:val="center"/>
          </w:tcPr>
          <w:p w14:paraId="0CB15569">
            <w:pPr>
              <w:rPr>
                <w:rFonts w:ascii="宋体" w:hAnsi="宋体" w:cs="宋体"/>
                <w:szCs w:val="21"/>
              </w:rPr>
            </w:pPr>
          </w:p>
        </w:tc>
      </w:tr>
      <w:tr w14:paraId="2869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2D4DE7C6">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45DB53C6">
            <w:pPr>
              <w:snapToGrid w:val="0"/>
              <w:spacing w:line="420" w:lineRule="exact"/>
              <w:rPr>
                <w:rFonts w:ascii="宋体" w:hAnsi="宋体" w:cs="宋体"/>
                <w:szCs w:val="21"/>
              </w:rPr>
            </w:pPr>
            <w:r>
              <w:rPr>
                <w:rFonts w:hint="eastAsia" w:ascii="宋体" w:hAnsi="宋体" w:cs="宋体"/>
                <w:szCs w:val="21"/>
              </w:rPr>
              <w:t>支持查看系统中各组件的功能权限和数据权限。</w:t>
            </w:r>
          </w:p>
        </w:tc>
        <w:tc>
          <w:tcPr>
            <w:tcW w:w="578" w:type="pct"/>
            <w:tcBorders>
              <w:top w:val="single" w:color="auto" w:sz="4" w:space="0"/>
              <w:left w:val="single" w:color="auto" w:sz="4" w:space="0"/>
              <w:bottom w:val="single" w:color="auto" w:sz="4" w:space="0"/>
              <w:right w:val="single" w:color="auto" w:sz="4" w:space="0"/>
            </w:tcBorders>
            <w:vAlign w:val="center"/>
          </w:tcPr>
          <w:p w14:paraId="53EA6E82">
            <w:pPr>
              <w:rPr>
                <w:rFonts w:ascii="宋体" w:hAnsi="宋体" w:cs="宋体"/>
                <w:szCs w:val="21"/>
              </w:rPr>
            </w:pPr>
          </w:p>
        </w:tc>
      </w:tr>
      <w:tr w14:paraId="1DC7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0" w:type="pct"/>
            <w:vMerge w:val="continue"/>
            <w:tcBorders>
              <w:left w:val="single" w:color="auto" w:sz="4" w:space="0"/>
              <w:right w:val="single" w:color="auto" w:sz="4" w:space="0"/>
            </w:tcBorders>
            <w:vAlign w:val="center"/>
          </w:tcPr>
          <w:p w14:paraId="4E37CB56">
            <w:pPr>
              <w:autoSpaceDE w:val="0"/>
              <w:autoSpaceDN w:val="0"/>
              <w:jc w:val="left"/>
              <w:rPr>
                <w:rFonts w:ascii="宋体" w:hAnsi="宋体" w:cs="宋体"/>
                <w:szCs w:val="21"/>
              </w:rPr>
            </w:pPr>
          </w:p>
        </w:tc>
        <w:tc>
          <w:tcPr>
            <w:tcW w:w="3692" w:type="pct"/>
            <w:tcBorders>
              <w:top w:val="single" w:color="auto" w:sz="4" w:space="0"/>
              <w:left w:val="single" w:color="auto" w:sz="4" w:space="0"/>
              <w:bottom w:val="single" w:color="auto" w:sz="4" w:space="0"/>
              <w:right w:val="single" w:color="auto" w:sz="4" w:space="0"/>
            </w:tcBorders>
            <w:vAlign w:val="center"/>
          </w:tcPr>
          <w:p w14:paraId="383B04B4">
            <w:pPr>
              <w:snapToGrid w:val="0"/>
              <w:spacing w:line="420" w:lineRule="exact"/>
              <w:rPr>
                <w:rFonts w:ascii="宋体" w:hAnsi="宋体" w:cs="宋体"/>
                <w:szCs w:val="21"/>
              </w:rPr>
            </w:pPr>
            <w:r>
              <w:rPr>
                <w:rFonts w:hint="eastAsia" w:ascii="宋体" w:hAnsi="宋体" w:cs="宋体"/>
                <w:szCs w:val="21"/>
              </w:rPr>
              <w:t>支持对数据资源平台中的数据同步、数据开发等进行运维管理，帮助用户从多种维度全方位的度掌握数据资源平台中运行各类任务的运行情况，快速定位平台问题并及时进行处理，保障平台的稳定运行。</w:t>
            </w:r>
          </w:p>
        </w:tc>
        <w:tc>
          <w:tcPr>
            <w:tcW w:w="578" w:type="pct"/>
            <w:tcBorders>
              <w:top w:val="single" w:color="auto" w:sz="4" w:space="0"/>
              <w:left w:val="single" w:color="auto" w:sz="4" w:space="0"/>
              <w:bottom w:val="single" w:color="auto" w:sz="4" w:space="0"/>
              <w:right w:val="single" w:color="auto" w:sz="4" w:space="0"/>
            </w:tcBorders>
            <w:vAlign w:val="center"/>
          </w:tcPr>
          <w:p w14:paraId="761952E7">
            <w:pPr>
              <w:rPr>
                <w:rFonts w:ascii="宋体" w:hAnsi="宋体" w:cs="宋体"/>
                <w:szCs w:val="21"/>
              </w:rPr>
            </w:pPr>
          </w:p>
        </w:tc>
      </w:tr>
    </w:tbl>
    <w:p w14:paraId="0C9FE80D">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7.2信创云平台技术要求</w:t>
      </w:r>
    </w:p>
    <w:p w14:paraId="70D93A11">
      <w:pPr>
        <w:pStyle w:val="23"/>
        <w:snapToGrid w:val="0"/>
        <w:ind w:firstLine="420" w:firstLineChars="200"/>
        <w:outlineLvl w:val="3"/>
        <w:rPr>
          <w:rFonts w:hAnsi="宋体" w:cs="宋体"/>
          <w:sz w:val="21"/>
        </w:rPr>
      </w:pPr>
      <w:r>
        <w:rPr>
          <w:rFonts w:hint="eastAsia" w:hAnsi="宋体" w:cs="宋体"/>
          <w:sz w:val="21"/>
        </w:rPr>
        <w:t>7.2.1平台总体要求</w:t>
      </w:r>
    </w:p>
    <w:tbl>
      <w:tblPr>
        <w:tblStyle w:val="6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3"/>
        <w:gridCol w:w="7546"/>
      </w:tblGrid>
      <w:tr w14:paraId="21F0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8" w:type="pct"/>
            <w:tcBorders>
              <w:top w:val="single" w:color="auto" w:sz="4" w:space="0"/>
              <w:left w:val="single" w:color="auto" w:sz="4" w:space="0"/>
              <w:bottom w:val="single" w:color="auto" w:sz="4" w:space="0"/>
              <w:right w:val="single" w:color="auto" w:sz="4" w:space="0"/>
            </w:tcBorders>
            <w:vAlign w:val="center"/>
          </w:tcPr>
          <w:p w14:paraId="562D1D46">
            <w:pPr>
              <w:snapToGrid w:val="0"/>
              <w:spacing w:line="360" w:lineRule="auto"/>
              <w:jc w:val="center"/>
              <w:rPr>
                <w:rFonts w:ascii="宋体" w:hAnsi="宋体" w:cs="宋体"/>
                <w:b/>
                <w:bCs/>
                <w:szCs w:val="21"/>
                <w:shd w:val="clear" w:color="auto" w:fill="FFFFFF"/>
              </w:rPr>
            </w:pPr>
            <w:r>
              <w:rPr>
                <w:rFonts w:hint="eastAsia" w:ascii="宋体" w:hAnsi="宋体" w:cs="宋体"/>
                <w:b/>
                <w:bCs/>
                <w:szCs w:val="21"/>
                <w:shd w:val="clear" w:color="auto" w:fill="FFFFFF"/>
              </w:rPr>
              <w:t>指标项</w:t>
            </w:r>
          </w:p>
        </w:tc>
        <w:tc>
          <w:tcPr>
            <w:tcW w:w="4062" w:type="pct"/>
            <w:tcBorders>
              <w:top w:val="single" w:color="auto" w:sz="4" w:space="0"/>
              <w:left w:val="single" w:color="auto" w:sz="4" w:space="0"/>
              <w:bottom w:val="single" w:color="auto" w:sz="4" w:space="0"/>
              <w:right w:val="single" w:color="auto" w:sz="4" w:space="0"/>
            </w:tcBorders>
            <w:vAlign w:val="center"/>
          </w:tcPr>
          <w:p w14:paraId="23BF8310">
            <w:pPr>
              <w:snapToGrid w:val="0"/>
              <w:spacing w:line="360" w:lineRule="auto"/>
              <w:jc w:val="center"/>
              <w:rPr>
                <w:rFonts w:ascii="宋体" w:hAnsi="宋体" w:cs="宋体"/>
                <w:b/>
                <w:bCs/>
                <w:szCs w:val="21"/>
                <w:shd w:val="clear" w:color="auto" w:fill="FFFFFF"/>
              </w:rPr>
            </w:pPr>
            <w:r>
              <w:rPr>
                <w:rFonts w:hint="eastAsia" w:ascii="宋体" w:hAnsi="宋体" w:cs="宋体"/>
                <w:b/>
                <w:bCs/>
                <w:szCs w:val="21"/>
                <w:shd w:val="clear" w:color="auto" w:fill="FFFFFF"/>
              </w:rPr>
              <w:t>采购要求</w:t>
            </w:r>
          </w:p>
        </w:tc>
      </w:tr>
      <w:tr w14:paraId="71787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938" w:type="pct"/>
            <w:tcBorders>
              <w:top w:val="single" w:color="auto" w:sz="4" w:space="0"/>
              <w:left w:val="single" w:color="auto" w:sz="4" w:space="0"/>
              <w:bottom w:val="single" w:color="auto" w:sz="4" w:space="0"/>
              <w:right w:val="single" w:color="auto" w:sz="4" w:space="0"/>
            </w:tcBorders>
            <w:vAlign w:val="center"/>
          </w:tcPr>
          <w:p w14:paraId="671E5337">
            <w:pPr>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云平台技术</w:t>
            </w:r>
          </w:p>
        </w:tc>
        <w:tc>
          <w:tcPr>
            <w:tcW w:w="4062" w:type="pct"/>
            <w:tcBorders>
              <w:top w:val="single" w:color="auto" w:sz="4" w:space="0"/>
              <w:left w:val="single" w:color="auto" w:sz="4" w:space="0"/>
              <w:bottom w:val="single" w:color="auto" w:sz="4" w:space="0"/>
              <w:right w:val="single" w:color="auto" w:sz="4" w:space="0"/>
            </w:tcBorders>
            <w:vAlign w:val="center"/>
          </w:tcPr>
          <w:p w14:paraId="57A76A49">
            <w:pPr>
              <w:snapToGrid w:val="0"/>
              <w:spacing w:line="360" w:lineRule="auto"/>
              <w:rPr>
                <w:rFonts w:hint="eastAsia" w:ascii="宋体" w:hAnsi="宋体" w:eastAsia="宋体" w:cs="宋体"/>
                <w:szCs w:val="21"/>
                <w:lang w:eastAsia="zh-CN"/>
              </w:rPr>
            </w:pPr>
            <w:r>
              <w:rPr>
                <w:rFonts w:hint="eastAsia" w:ascii="宋体" w:hAnsi="宋体" w:cs="宋体"/>
                <w:b/>
                <w:bCs/>
                <w:szCs w:val="21"/>
                <w:u w:val="single"/>
              </w:rPr>
              <w:t>★云平台要求所有产品(组件)采用分布式技术架构，能够支持鲲鹏、飞腾、海光等主流国产芯片服务器。采用先进调度机制实现对集群内的CPU、内存资源进行统一调度； 采用先进的管理机制实现对集群内的硬盘资源进行统一的管理和分配。</w:t>
            </w:r>
            <w:r>
              <w:rPr>
                <w:rFonts w:hint="eastAsia" w:ascii="宋体" w:hAnsi="宋体" w:cs="宋体"/>
                <w:b/>
                <w:bCs/>
                <w:szCs w:val="21"/>
                <w:u w:val="single"/>
                <w:lang w:eastAsia="zh-CN"/>
              </w:rPr>
              <w:t>（</w:t>
            </w:r>
            <w:r>
              <w:rPr>
                <w:rFonts w:hint="eastAsia" w:ascii="宋体" w:hAnsi="宋体" w:eastAsia="宋体" w:cs="宋体"/>
                <w:b/>
                <w:bCs/>
                <w:color w:val="auto"/>
                <w:sz w:val="21"/>
                <w:szCs w:val="21"/>
                <w:highlight w:val="none"/>
                <w:u w:val="single"/>
              </w:rPr>
              <w:t>需提供平台建设证明材料</w:t>
            </w:r>
            <w:r>
              <w:rPr>
                <w:rFonts w:hint="eastAsia" w:ascii="宋体" w:hAnsi="宋体" w:cs="宋体"/>
                <w:b/>
                <w:bCs/>
                <w:szCs w:val="21"/>
                <w:u w:val="single"/>
                <w:lang w:eastAsia="zh-CN"/>
              </w:rPr>
              <w:t>）</w:t>
            </w:r>
          </w:p>
        </w:tc>
      </w:tr>
      <w:tr w14:paraId="1DFDF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8" w:type="pct"/>
            <w:tcBorders>
              <w:top w:val="single" w:color="auto" w:sz="4" w:space="0"/>
              <w:left w:val="single" w:color="auto" w:sz="4" w:space="0"/>
              <w:bottom w:val="single" w:color="auto" w:sz="4" w:space="0"/>
              <w:right w:val="single" w:color="auto" w:sz="4" w:space="0"/>
            </w:tcBorders>
            <w:vAlign w:val="center"/>
          </w:tcPr>
          <w:p w14:paraId="371411FF">
            <w:pPr>
              <w:snapToGrid w:val="0"/>
              <w:spacing w:line="360" w:lineRule="auto"/>
              <w:rPr>
                <w:rFonts w:ascii="宋体" w:hAnsi="宋体" w:cs="宋体"/>
                <w:szCs w:val="21"/>
                <w:shd w:val="clear" w:color="auto" w:fill="FFFFFF"/>
              </w:rPr>
            </w:pPr>
            <w:r>
              <w:rPr>
                <w:rFonts w:hint="eastAsia" w:ascii="宋体" w:hAnsi="宋体" w:cs="宋体"/>
                <w:szCs w:val="21"/>
                <w:shd w:val="clear" w:color="auto" w:fill="FFFFFF"/>
              </w:rPr>
              <w:t>网络要求</w:t>
            </w:r>
          </w:p>
        </w:tc>
        <w:tc>
          <w:tcPr>
            <w:tcW w:w="4062" w:type="pct"/>
            <w:tcBorders>
              <w:top w:val="single" w:color="auto" w:sz="4" w:space="0"/>
              <w:left w:val="single" w:color="auto" w:sz="4" w:space="0"/>
              <w:bottom w:val="single" w:color="auto" w:sz="4" w:space="0"/>
              <w:right w:val="single" w:color="auto" w:sz="4" w:space="0"/>
            </w:tcBorders>
            <w:vAlign w:val="center"/>
          </w:tcPr>
          <w:p w14:paraId="197B587A">
            <w:pPr>
              <w:snapToGrid w:val="0"/>
              <w:spacing w:line="360" w:lineRule="auto"/>
              <w:rPr>
                <w:rFonts w:ascii="宋体" w:hAnsi="宋体" w:cs="宋体"/>
                <w:szCs w:val="21"/>
              </w:rPr>
            </w:pPr>
            <w:r>
              <w:rPr>
                <w:rFonts w:hint="eastAsia" w:ascii="宋体" w:hAnsi="宋体" w:cs="宋体"/>
                <w:szCs w:val="21"/>
              </w:rPr>
              <w:t>本项目云平台网络应满足分区的设计要求。</w:t>
            </w:r>
          </w:p>
        </w:tc>
      </w:tr>
      <w:tr w14:paraId="66317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8" w:type="pct"/>
            <w:tcBorders>
              <w:top w:val="single" w:color="auto" w:sz="4" w:space="0"/>
              <w:left w:val="single" w:color="auto" w:sz="4" w:space="0"/>
              <w:bottom w:val="single" w:color="auto" w:sz="4" w:space="0"/>
              <w:right w:val="single" w:color="auto" w:sz="4" w:space="0"/>
            </w:tcBorders>
            <w:vAlign w:val="center"/>
          </w:tcPr>
          <w:p w14:paraId="22453AAA">
            <w:pPr>
              <w:snapToGrid w:val="0"/>
              <w:spacing w:line="360" w:lineRule="auto"/>
              <w:rPr>
                <w:rFonts w:ascii="宋体" w:hAnsi="宋体" w:cs="宋体"/>
                <w:szCs w:val="21"/>
                <w:shd w:val="clear" w:color="auto" w:fill="FFFFFF"/>
              </w:rPr>
            </w:pPr>
            <w:r>
              <w:rPr>
                <w:rFonts w:hint="eastAsia" w:ascii="宋体" w:hAnsi="宋体" w:cs="宋体"/>
                <w:szCs w:val="21"/>
              </w:rPr>
              <w:t>系统软件服务</w:t>
            </w:r>
          </w:p>
        </w:tc>
        <w:tc>
          <w:tcPr>
            <w:tcW w:w="4062" w:type="pct"/>
            <w:tcBorders>
              <w:top w:val="single" w:color="auto" w:sz="4" w:space="0"/>
              <w:left w:val="single" w:color="auto" w:sz="4" w:space="0"/>
              <w:bottom w:val="single" w:color="auto" w:sz="4" w:space="0"/>
              <w:right w:val="single" w:color="auto" w:sz="4" w:space="0"/>
            </w:tcBorders>
            <w:vAlign w:val="center"/>
          </w:tcPr>
          <w:p w14:paraId="040F9F37">
            <w:pPr>
              <w:snapToGrid w:val="0"/>
              <w:spacing w:line="360" w:lineRule="auto"/>
              <w:rPr>
                <w:rFonts w:ascii="宋体" w:hAnsi="宋体" w:cs="宋体"/>
                <w:szCs w:val="21"/>
              </w:rPr>
            </w:pPr>
            <w:r>
              <w:rPr>
                <w:rFonts w:hint="eastAsia" w:ascii="宋体" w:hAnsi="宋体" w:cs="宋体"/>
                <w:szCs w:val="21"/>
              </w:rPr>
              <w:t>提供</w:t>
            </w:r>
            <w:r>
              <w:rPr>
                <w:rFonts w:hint="eastAsia" w:ascii="宋体" w:hAnsi="宋体" w:cs="宋体"/>
                <w:szCs w:val="21"/>
                <w:lang w:eastAsia="zh-Hans"/>
              </w:rPr>
              <w:t>云服务器</w:t>
            </w:r>
            <w:r>
              <w:rPr>
                <w:rFonts w:hint="eastAsia" w:ascii="宋体" w:hAnsi="宋体" w:cs="宋体"/>
                <w:szCs w:val="21"/>
              </w:rPr>
              <w:t>操作系统软件、数据库软件和中间件软件等系统软件，满足应用部署要求。</w:t>
            </w:r>
          </w:p>
        </w:tc>
      </w:tr>
    </w:tbl>
    <w:p w14:paraId="5C4683F9">
      <w:pPr>
        <w:pStyle w:val="23"/>
        <w:snapToGrid w:val="0"/>
        <w:ind w:firstLine="420" w:firstLineChars="200"/>
        <w:outlineLvl w:val="3"/>
        <w:rPr>
          <w:rFonts w:hAnsi="宋体" w:cs="宋体"/>
          <w:sz w:val="21"/>
        </w:rPr>
      </w:pPr>
      <w:r>
        <w:rPr>
          <w:rFonts w:hint="eastAsia" w:hAnsi="宋体" w:cs="宋体"/>
          <w:sz w:val="21"/>
        </w:rPr>
        <w:t>7.2.2产品技术要求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7401"/>
      </w:tblGrid>
      <w:tr w14:paraId="2D08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16" w:type="pct"/>
            <w:vAlign w:val="center"/>
          </w:tcPr>
          <w:p w14:paraId="18862AC1">
            <w:pPr>
              <w:snapToGrid w:val="0"/>
              <w:spacing w:line="420" w:lineRule="exact"/>
              <w:jc w:val="center"/>
              <w:rPr>
                <w:rFonts w:ascii="宋体" w:hAnsi="宋体" w:cs="宋体"/>
                <w:b/>
                <w:szCs w:val="21"/>
              </w:rPr>
            </w:pPr>
            <w:r>
              <w:rPr>
                <w:rFonts w:hint="eastAsia" w:ascii="宋体" w:hAnsi="宋体" w:cs="宋体"/>
                <w:b/>
                <w:szCs w:val="21"/>
              </w:rPr>
              <w:t>指标项</w:t>
            </w:r>
          </w:p>
        </w:tc>
        <w:tc>
          <w:tcPr>
            <w:tcW w:w="3984" w:type="pct"/>
            <w:vAlign w:val="center"/>
          </w:tcPr>
          <w:p w14:paraId="1DA4216F">
            <w:pPr>
              <w:snapToGrid w:val="0"/>
              <w:spacing w:line="420" w:lineRule="exact"/>
              <w:jc w:val="center"/>
              <w:rPr>
                <w:rFonts w:ascii="宋体" w:hAnsi="宋体" w:cs="宋体"/>
                <w:b/>
                <w:szCs w:val="21"/>
              </w:rPr>
            </w:pPr>
            <w:r>
              <w:rPr>
                <w:rFonts w:hint="eastAsia" w:ascii="宋体" w:hAnsi="宋体" w:cs="宋体"/>
                <w:b/>
                <w:szCs w:val="21"/>
              </w:rPr>
              <w:t>采购要求</w:t>
            </w:r>
          </w:p>
        </w:tc>
      </w:tr>
      <w:tr w14:paraId="01A8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16" w:type="pct"/>
            <w:vMerge w:val="restart"/>
            <w:vAlign w:val="center"/>
          </w:tcPr>
          <w:p w14:paraId="50DA2815">
            <w:pPr>
              <w:snapToGrid w:val="0"/>
              <w:spacing w:line="420" w:lineRule="exact"/>
              <w:rPr>
                <w:rFonts w:ascii="宋体" w:hAnsi="宋体" w:cs="宋体"/>
                <w:szCs w:val="21"/>
              </w:rPr>
            </w:pPr>
            <w:r>
              <w:rPr>
                <w:rFonts w:hint="eastAsia" w:ascii="宋体" w:hAnsi="宋体" w:cs="宋体"/>
                <w:szCs w:val="21"/>
                <w:lang w:eastAsia="zh-Hans"/>
              </w:rPr>
              <w:t>云服务器</w:t>
            </w:r>
            <w:r>
              <w:rPr>
                <w:rFonts w:hint="eastAsia" w:ascii="宋体" w:hAnsi="宋体" w:cs="宋体"/>
                <w:szCs w:val="21"/>
              </w:rPr>
              <w:t>技术要求</w:t>
            </w:r>
          </w:p>
        </w:tc>
        <w:tc>
          <w:tcPr>
            <w:tcW w:w="3984" w:type="pct"/>
          </w:tcPr>
          <w:p w14:paraId="764CFD5C">
            <w:pPr>
              <w:snapToGrid w:val="0"/>
              <w:spacing w:line="420" w:lineRule="exact"/>
              <w:rPr>
                <w:rFonts w:ascii="宋体" w:hAnsi="宋体" w:cs="宋体"/>
                <w:szCs w:val="21"/>
              </w:rPr>
            </w:pPr>
            <w:r>
              <w:rPr>
                <w:rFonts w:hint="eastAsia" w:ascii="宋体" w:hAnsi="宋体" w:cs="宋体"/>
                <w:szCs w:val="21"/>
              </w:rPr>
              <w:t>对以下操作系统的支持：麒麟操作系统，统信操作系统等国产主流操作系统；提供多种API接口，包括创建，删除，修改，查询，启动，重启，停止。</w:t>
            </w:r>
          </w:p>
        </w:tc>
      </w:tr>
      <w:tr w14:paraId="1CD7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16" w:type="pct"/>
            <w:vMerge w:val="continue"/>
            <w:vAlign w:val="center"/>
          </w:tcPr>
          <w:p w14:paraId="65032F36">
            <w:pPr>
              <w:snapToGrid w:val="0"/>
              <w:spacing w:line="420" w:lineRule="exact"/>
              <w:rPr>
                <w:rFonts w:ascii="宋体" w:hAnsi="宋体" w:cs="宋体"/>
                <w:szCs w:val="21"/>
              </w:rPr>
            </w:pPr>
          </w:p>
        </w:tc>
        <w:tc>
          <w:tcPr>
            <w:tcW w:w="3984" w:type="pct"/>
          </w:tcPr>
          <w:p w14:paraId="283E51C6">
            <w:pPr>
              <w:snapToGrid w:val="0"/>
              <w:spacing w:line="420" w:lineRule="exact"/>
              <w:rPr>
                <w:rFonts w:ascii="宋体" w:hAnsi="宋体" w:cs="宋体"/>
                <w:szCs w:val="21"/>
              </w:rPr>
            </w:pPr>
            <w:r>
              <w:rPr>
                <w:rFonts w:hint="eastAsia" w:ascii="宋体" w:hAnsi="宋体" w:cs="宋体"/>
                <w:szCs w:val="21"/>
              </w:rPr>
              <w:t>可支持国产CPU的云服务器。</w:t>
            </w:r>
          </w:p>
        </w:tc>
      </w:tr>
      <w:tr w14:paraId="3100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16" w:type="pct"/>
            <w:vMerge w:val="continue"/>
            <w:vAlign w:val="center"/>
          </w:tcPr>
          <w:p w14:paraId="6D6327C2">
            <w:pPr>
              <w:snapToGrid w:val="0"/>
              <w:spacing w:line="420" w:lineRule="exact"/>
              <w:rPr>
                <w:rFonts w:ascii="宋体" w:hAnsi="宋体" w:cs="宋体"/>
                <w:szCs w:val="21"/>
              </w:rPr>
            </w:pPr>
          </w:p>
        </w:tc>
        <w:tc>
          <w:tcPr>
            <w:tcW w:w="3984" w:type="pct"/>
          </w:tcPr>
          <w:p w14:paraId="34F1BA76">
            <w:pPr>
              <w:snapToGrid w:val="0"/>
              <w:spacing w:line="420" w:lineRule="exact"/>
              <w:rPr>
                <w:rFonts w:ascii="宋体" w:hAnsi="宋体" w:cs="宋体"/>
                <w:szCs w:val="21"/>
              </w:rPr>
            </w:pPr>
            <w:r>
              <w:rPr>
                <w:rFonts w:hint="eastAsia" w:ascii="宋体" w:hAnsi="宋体" w:cs="宋体"/>
                <w:szCs w:val="21"/>
              </w:rPr>
              <w:t>云服务器支持用户通过快照对云服务器的数据进行备份，通过快照进行云服务器的数据恢复，可以为每块磁盘创建64个快照，支持设置自动快照策略。</w:t>
            </w:r>
          </w:p>
        </w:tc>
      </w:tr>
      <w:tr w14:paraId="0A29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16" w:type="pct"/>
            <w:vMerge w:val="continue"/>
            <w:vAlign w:val="center"/>
          </w:tcPr>
          <w:p w14:paraId="4F49EEE6">
            <w:pPr>
              <w:snapToGrid w:val="0"/>
              <w:spacing w:line="420" w:lineRule="exact"/>
              <w:rPr>
                <w:rFonts w:ascii="宋体" w:hAnsi="宋体" w:cs="宋体"/>
                <w:szCs w:val="21"/>
              </w:rPr>
            </w:pPr>
          </w:p>
        </w:tc>
        <w:tc>
          <w:tcPr>
            <w:tcW w:w="3984" w:type="pct"/>
          </w:tcPr>
          <w:p w14:paraId="38FA6878">
            <w:pPr>
              <w:snapToGrid w:val="0"/>
              <w:spacing w:line="420" w:lineRule="exact"/>
              <w:rPr>
                <w:rFonts w:ascii="宋体" w:hAnsi="宋体" w:cs="宋体"/>
                <w:szCs w:val="21"/>
              </w:rPr>
            </w:pPr>
            <w:r>
              <w:rPr>
                <w:rFonts w:hint="eastAsia" w:ascii="宋体" w:hAnsi="宋体" w:cs="宋体"/>
                <w:szCs w:val="21"/>
              </w:rPr>
              <w:t>支持虚拟机系统盘在线扩容，支持在白屏化界面操作。</w:t>
            </w:r>
          </w:p>
        </w:tc>
      </w:tr>
      <w:tr w14:paraId="170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16" w:type="pct"/>
            <w:vMerge w:val="restart"/>
            <w:vAlign w:val="center"/>
          </w:tcPr>
          <w:p w14:paraId="51CB8F82">
            <w:pPr>
              <w:snapToGrid w:val="0"/>
              <w:spacing w:line="420" w:lineRule="exact"/>
              <w:rPr>
                <w:rFonts w:ascii="宋体" w:hAnsi="宋体" w:cs="宋体"/>
                <w:szCs w:val="21"/>
              </w:rPr>
            </w:pPr>
            <w:r>
              <w:rPr>
                <w:rFonts w:hint="eastAsia" w:ascii="宋体" w:hAnsi="宋体" w:cs="宋体"/>
                <w:szCs w:val="21"/>
              </w:rPr>
              <w:t>云主机数据盘技术要求</w:t>
            </w:r>
          </w:p>
        </w:tc>
        <w:tc>
          <w:tcPr>
            <w:tcW w:w="3984" w:type="pct"/>
            <w:vAlign w:val="center"/>
          </w:tcPr>
          <w:p w14:paraId="644DB8B2">
            <w:pPr>
              <w:snapToGrid w:val="0"/>
              <w:spacing w:line="420" w:lineRule="exact"/>
              <w:rPr>
                <w:rFonts w:ascii="宋体" w:hAnsi="宋体" w:cs="宋体"/>
                <w:szCs w:val="21"/>
              </w:rPr>
            </w:pPr>
            <w:r>
              <w:rPr>
                <w:rFonts w:hint="eastAsia" w:ascii="宋体" w:hAnsi="宋体" w:cs="宋体"/>
                <w:szCs w:val="21"/>
              </w:rPr>
              <w:t>支持在线扩展容量，扩容期间无需关闭虚拟机，无需卸载云盘；系统盘在线扩容不停业务。</w:t>
            </w:r>
          </w:p>
        </w:tc>
      </w:tr>
      <w:tr w14:paraId="3216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6" w:type="pct"/>
            <w:vMerge w:val="continue"/>
            <w:vAlign w:val="center"/>
          </w:tcPr>
          <w:p w14:paraId="427A2F52">
            <w:pPr>
              <w:snapToGrid w:val="0"/>
              <w:spacing w:line="420" w:lineRule="exact"/>
              <w:rPr>
                <w:rFonts w:ascii="宋体" w:hAnsi="宋体" w:cs="宋体"/>
                <w:szCs w:val="21"/>
              </w:rPr>
            </w:pPr>
          </w:p>
        </w:tc>
        <w:tc>
          <w:tcPr>
            <w:tcW w:w="3984" w:type="pct"/>
            <w:vAlign w:val="center"/>
          </w:tcPr>
          <w:p w14:paraId="34D2F3E9">
            <w:pPr>
              <w:snapToGrid w:val="0"/>
              <w:spacing w:line="420" w:lineRule="exact"/>
              <w:rPr>
                <w:rFonts w:ascii="宋体" w:hAnsi="宋体" w:cs="宋体"/>
                <w:szCs w:val="21"/>
              </w:rPr>
            </w:pPr>
            <w:r>
              <w:rPr>
                <w:rFonts w:hint="eastAsia" w:ascii="宋体" w:hAnsi="宋体" w:cs="宋体"/>
                <w:szCs w:val="21"/>
              </w:rPr>
              <w:t>单个云盘支持32TB容量。</w:t>
            </w:r>
          </w:p>
        </w:tc>
      </w:tr>
      <w:tr w14:paraId="37D8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016" w:type="pct"/>
            <w:vMerge w:val="continue"/>
            <w:vAlign w:val="center"/>
          </w:tcPr>
          <w:p w14:paraId="4A4959FD">
            <w:pPr>
              <w:snapToGrid w:val="0"/>
              <w:spacing w:line="420" w:lineRule="exact"/>
              <w:rPr>
                <w:rFonts w:ascii="宋体" w:hAnsi="宋体" w:cs="宋体"/>
                <w:szCs w:val="21"/>
              </w:rPr>
            </w:pPr>
          </w:p>
        </w:tc>
        <w:tc>
          <w:tcPr>
            <w:tcW w:w="3984" w:type="pct"/>
            <w:vAlign w:val="center"/>
          </w:tcPr>
          <w:p w14:paraId="27883DFD">
            <w:pPr>
              <w:snapToGrid w:val="0"/>
              <w:spacing w:line="420" w:lineRule="exact"/>
              <w:rPr>
                <w:rFonts w:ascii="宋体" w:hAnsi="宋体" w:cs="宋体"/>
                <w:szCs w:val="21"/>
              </w:rPr>
            </w:pPr>
            <w:r>
              <w:rPr>
                <w:rFonts w:hint="eastAsia" w:ascii="宋体" w:hAnsi="宋体" w:cs="宋体"/>
                <w:szCs w:val="21"/>
              </w:rPr>
              <w:t>单台实例支持挂载不少于17块云盘(包括系统盘)，支持同时挂载本地盘与云盘；</w:t>
            </w:r>
          </w:p>
        </w:tc>
      </w:tr>
      <w:tr w14:paraId="74A7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6" w:type="pct"/>
            <w:vMerge w:val="continue"/>
            <w:vAlign w:val="center"/>
          </w:tcPr>
          <w:p w14:paraId="25FA237F">
            <w:pPr>
              <w:snapToGrid w:val="0"/>
              <w:spacing w:line="420" w:lineRule="exact"/>
              <w:rPr>
                <w:rFonts w:ascii="宋体" w:hAnsi="宋体" w:cs="宋体"/>
                <w:szCs w:val="21"/>
              </w:rPr>
            </w:pPr>
          </w:p>
        </w:tc>
        <w:tc>
          <w:tcPr>
            <w:tcW w:w="3984" w:type="pct"/>
            <w:vAlign w:val="center"/>
          </w:tcPr>
          <w:p w14:paraId="1D5BB9FA">
            <w:pPr>
              <w:snapToGrid w:val="0"/>
              <w:spacing w:line="420" w:lineRule="exact"/>
              <w:rPr>
                <w:rFonts w:ascii="宋体" w:hAnsi="宋体" w:cs="宋体"/>
                <w:szCs w:val="21"/>
              </w:rPr>
            </w:pPr>
            <w:r>
              <w:rPr>
                <w:rFonts w:hint="eastAsia" w:ascii="宋体" w:hAnsi="宋体" w:cs="宋体"/>
                <w:szCs w:val="21"/>
              </w:rPr>
              <w:t>支持针对云盘在线创建快照，能够支持针对任意快照时间点进行回滚。</w:t>
            </w:r>
          </w:p>
        </w:tc>
      </w:tr>
      <w:tr w14:paraId="619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16" w:type="pct"/>
            <w:vMerge w:val="restart"/>
            <w:vAlign w:val="center"/>
          </w:tcPr>
          <w:p w14:paraId="78F63E2D">
            <w:pPr>
              <w:snapToGrid w:val="0"/>
              <w:spacing w:line="420" w:lineRule="exact"/>
              <w:rPr>
                <w:rFonts w:ascii="宋体" w:hAnsi="宋体" w:cs="宋体"/>
                <w:szCs w:val="21"/>
              </w:rPr>
            </w:pPr>
            <w:r>
              <w:rPr>
                <w:rFonts w:hint="eastAsia" w:ascii="宋体" w:hAnsi="宋体" w:cs="宋体"/>
                <w:szCs w:val="21"/>
              </w:rPr>
              <w:t>云对象存储服务技术要求</w:t>
            </w:r>
          </w:p>
        </w:tc>
        <w:tc>
          <w:tcPr>
            <w:tcW w:w="3984" w:type="pct"/>
            <w:vAlign w:val="center"/>
          </w:tcPr>
          <w:p w14:paraId="60701771">
            <w:pPr>
              <w:snapToGrid w:val="0"/>
              <w:spacing w:line="420" w:lineRule="exact"/>
              <w:rPr>
                <w:rFonts w:ascii="宋体" w:hAnsi="宋体" w:cs="宋体"/>
                <w:szCs w:val="21"/>
              </w:rPr>
            </w:pPr>
            <w:r>
              <w:rPr>
                <w:rFonts w:hint="eastAsia" w:ascii="宋体" w:hAnsi="宋体" w:cs="宋体"/>
                <w:szCs w:val="21"/>
              </w:rPr>
              <w:t>对象存储服务支持RESTful API接口、兼容Amazon S3接口。</w:t>
            </w:r>
          </w:p>
        </w:tc>
      </w:tr>
      <w:tr w14:paraId="696E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6" w:type="pct"/>
            <w:vMerge w:val="continue"/>
            <w:vAlign w:val="center"/>
          </w:tcPr>
          <w:p w14:paraId="1BF7E9F5">
            <w:pPr>
              <w:snapToGrid w:val="0"/>
              <w:spacing w:line="420" w:lineRule="exact"/>
              <w:rPr>
                <w:rFonts w:ascii="宋体" w:hAnsi="宋体" w:cs="宋体"/>
                <w:szCs w:val="21"/>
              </w:rPr>
            </w:pPr>
          </w:p>
        </w:tc>
        <w:tc>
          <w:tcPr>
            <w:tcW w:w="3984" w:type="pct"/>
            <w:vAlign w:val="center"/>
          </w:tcPr>
          <w:p w14:paraId="18834C4B">
            <w:pPr>
              <w:snapToGrid w:val="0"/>
              <w:spacing w:line="420" w:lineRule="exact"/>
              <w:rPr>
                <w:rFonts w:ascii="宋体" w:hAnsi="宋体" w:cs="宋体"/>
                <w:szCs w:val="21"/>
              </w:rPr>
            </w:pPr>
            <w:r>
              <w:rPr>
                <w:rFonts w:hint="eastAsia" w:ascii="宋体" w:hAnsi="宋体" w:cs="宋体"/>
                <w:szCs w:val="21"/>
              </w:rPr>
              <w:t>理论存储空间无上限，单个对象最大支持40TB以上，单租户最大bucket数量不少于100个， 图片大小支持不小于20MB。</w:t>
            </w:r>
          </w:p>
        </w:tc>
      </w:tr>
      <w:tr w14:paraId="4D7B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6" w:type="pct"/>
            <w:vMerge w:val="continue"/>
            <w:vAlign w:val="center"/>
          </w:tcPr>
          <w:p w14:paraId="415941E5">
            <w:pPr>
              <w:snapToGrid w:val="0"/>
              <w:spacing w:line="420" w:lineRule="exact"/>
              <w:rPr>
                <w:rFonts w:ascii="宋体" w:hAnsi="宋体" w:cs="宋体"/>
                <w:szCs w:val="21"/>
              </w:rPr>
            </w:pPr>
          </w:p>
        </w:tc>
        <w:tc>
          <w:tcPr>
            <w:tcW w:w="3984" w:type="pct"/>
            <w:vAlign w:val="center"/>
          </w:tcPr>
          <w:p w14:paraId="605E6413">
            <w:pPr>
              <w:snapToGrid w:val="0"/>
              <w:spacing w:line="420" w:lineRule="exact"/>
              <w:rPr>
                <w:rFonts w:ascii="宋体" w:hAnsi="宋体" w:cs="宋体"/>
                <w:szCs w:val="21"/>
              </w:rPr>
            </w:pPr>
            <w:r>
              <w:rPr>
                <w:rFonts w:hint="eastAsia" w:ascii="宋体" w:hAnsi="宋体" w:cs="宋体"/>
                <w:szCs w:val="21"/>
              </w:rPr>
              <w:t>提供基于三副本或EC校验模式的数据多重冗余备份。</w:t>
            </w:r>
          </w:p>
        </w:tc>
      </w:tr>
      <w:tr w14:paraId="15C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6" w:type="pct"/>
            <w:vMerge w:val="continue"/>
            <w:vAlign w:val="center"/>
          </w:tcPr>
          <w:p w14:paraId="0DC065F7">
            <w:pPr>
              <w:snapToGrid w:val="0"/>
              <w:spacing w:line="420" w:lineRule="exact"/>
              <w:rPr>
                <w:rFonts w:ascii="宋体" w:hAnsi="宋体" w:cs="宋体"/>
                <w:szCs w:val="21"/>
              </w:rPr>
            </w:pPr>
          </w:p>
        </w:tc>
        <w:tc>
          <w:tcPr>
            <w:tcW w:w="3984" w:type="pct"/>
            <w:vAlign w:val="center"/>
          </w:tcPr>
          <w:p w14:paraId="2BD14ECF">
            <w:pPr>
              <w:snapToGrid w:val="0"/>
              <w:spacing w:line="420" w:lineRule="exact"/>
              <w:rPr>
                <w:rFonts w:ascii="宋体" w:hAnsi="宋体" w:cs="宋体"/>
                <w:szCs w:val="21"/>
              </w:rPr>
            </w:pPr>
            <w:r>
              <w:rPr>
                <w:rFonts w:hint="eastAsia" w:ascii="宋体" w:hAnsi="宋体" w:cs="宋体"/>
                <w:szCs w:val="21"/>
              </w:rPr>
              <w:t>支持原生图片处理服务：创建图片处理规则、获取图片信息、图片格式转换、图片缩放、裁剪、旋转、图片效果处理、原图保护、数据持久化、添加图片、文字混合水印、自定义图片处理样式、通过管道顺序调用多种图片处理功能</w:t>
            </w:r>
          </w:p>
        </w:tc>
      </w:tr>
      <w:tr w14:paraId="29CD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16" w:type="pct"/>
            <w:vMerge w:val="restart"/>
            <w:vAlign w:val="center"/>
          </w:tcPr>
          <w:p w14:paraId="6EA88570">
            <w:pPr>
              <w:snapToGrid w:val="0"/>
              <w:spacing w:line="420" w:lineRule="exact"/>
              <w:rPr>
                <w:rFonts w:ascii="宋体" w:hAnsi="宋体" w:cs="宋体"/>
                <w:szCs w:val="21"/>
              </w:rPr>
            </w:pPr>
            <w:r>
              <w:rPr>
                <w:rFonts w:hint="eastAsia" w:ascii="宋体" w:hAnsi="宋体" w:cs="宋体"/>
                <w:szCs w:val="21"/>
              </w:rPr>
              <w:t>云负载均衡技术要求</w:t>
            </w:r>
          </w:p>
        </w:tc>
        <w:tc>
          <w:tcPr>
            <w:tcW w:w="3984" w:type="pct"/>
            <w:vAlign w:val="center"/>
          </w:tcPr>
          <w:p w14:paraId="13BF789E">
            <w:pPr>
              <w:snapToGrid w:val="0"/>
              <w:spacing w:line="420" w:lineRule="exact"/>
              <w:rPr>
                <w:rFonts w:ascii="宋体" w:hAnsi="宋体" w:cs="宋体"/>
                <w:szCs w:val="21"/>
              </w:rPr>
            </w:pPr>
            <w:r>
              <w:rPr>
                <w:rFonts w:hint="eastAsia" w:ascii="宋体" w:hAnsi="宋体" w:cs="宋体"/>
                <w:szCs w:val="21"/>
              </w:rPr>
              <w:t xml:space="preserve">采用国产化CPU服务器实现； </w:t>
            </w:r>
          </w:p>
        </w:tc>
      </w:tr>
      <w:tr w14:paraId="6AED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16" w:type="pct"/>
            <w:vMerge w:val="continue"/>
            <w:vAlign w:val="center"/>
          </w:tcPr>
          <w:p w14:paraId="4AB54971">
            <w:pPr>
              <w:snapToGrid w:val="0"/>
              <w:spacing w:line="420" w:lineRule="exact"/>
              <w:rPr>
                <w:rFonts w:ascii="宋体" w:hAnsi="宋体" w:cs="宋体"/>
                <w:szCs w:val="21"/>
              </w:rPr>
            </w:pPr>
          </w:p>
        </w:tc>
        <w:tc>
          <w:tcPr>
            <w:tcW w:w="3984" w:type="pct"/>
            <w:vAlign w:val="center"/>
          </w:tcPr>
          <w:p w14:paraId="5B8639F0">
            <w:pPr>
              <w:snapToGrid w:val="0"/>
              <w:spacing w:line="420" w:lineRule="exact"/>
              <w:rPr>
                <w:rFonts w:ascii="宋体" w:hAnsi="宋体" w:cs="宋体"/>
                <w:szCs w:val="21"/>
              </w:rPr>
            </w:pPr>
            <w:r>
              <w:rPr>
                <w:rFonts w:hint="eastAsia" w:ascii="宋体" w:hAnsi="宋体" w:cs="宋体"/>
                <w:szCs w:val="21"/>
              </w:rPr>
              <w:t>同时支持4层负载均衡和七层负载均衡；</w:t>
            </w:r>
          </w:p>
        </w:tc>
      </w:tr>
      <w:tr w14:paraId="2D0E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6" w:type="pct"/>
            <w:vMerge w:val="continue"/>
            <w:vAlign w:val="center"/>
          </w:tcPr>
          <w:p w14:paraId="32D53600">
            <w:pPr>
              <w:snapToGrid w:val="0"/>
              <w:spacing w:line="420" w:lineRule="exact"/>
              <w:rPr>
                <w:rFonts w:ascii="宋体" w:hAnsi="宋体" w:cs="宋体"/>
                <w:szCs w:val="21"/>
              </w:rPr>
            </w:pPr>
          </w:p>
        </w:tc>
        <w:tc>
          <w:tcPr>
            <w:tcW w:w="3984" w:type="pct"/>
            <w:vAlign w:val="center"/>
          </w:tcPr>
          <w:p w14:paraId="0066077D">
            <w:pPr>
              <w:snapToGrid w:val="0"/>
              <w:spacing w:line="420" w:lineRule="exact"/>
              <w:rPr>
                <w:rFonts w:ascii="宋体" w:hAnsi="宋体" w:cs="宋体"/>
                <w:szCs w:val="21"/>
              </w:rPr>
            </w:pPr>
            <w:r>
              <w:rPr>
                <w:rFonts w:hint="eastAsia" w:ascii="宋体" w:hAnsi="宋体" w:cs="宋体"/>
                <w:szCs w:val="21"/>
              </w:rPr>
              <w:t>支持集群高可用架构，支持动态扩展；</w:t>
            </w:r>
          </w:p>
        </w:tc>
      </w:tr>
      <w:tr w14:paraId="798E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6" w:type="pct"/>
            <w:vMerge w:val="restart"/>
            <w:vAlign w:val="center"/>
          </w:tcPr>
          <w:p w14:paraId="37D6EAAD">
            <w:pPr>
              <w:snapToGrid w:val="0"/>
              <w:spacing w:line="420" w:lineRule="exact"/>
              <w:rPr>
                <w:rFonts w:ascii="宋体" w:hAnsi="宋体" w:cs="宋体"/>
                <w:szCs w:val="21"/>
              </w:rPr>
            </w:pPr>
            <w:r>
              <w:rPr>
                <w:rFonts w:hint="eastAsia" w:ascii="宋体" w:hAnsi="宋体" w:cs="宋体"/>
                <w:szCs w:val="21"/>
              </w:rPr>
              <w:t>云管理平台技术要求</w:t>
            </w:r>
          </w:p>
        </w:tc>
        <w:tc>
          <w:tcPr>
            <w:tcW w:w="3984" w:type="pct"/>
            <w:vAlign w:val="center"/>
          </w:tcPr>
          <w:p w14:paraId="01E11C1F">
            <w:pPr>
              <w:snapToGrid w:val="0"/>
              <w:spacing w:line="420" w:lineRule="exact"/>
              <w:rPr>
                <w:rFonts w:ascii="宋体" w:hAnsi="宋体" w:cs="宋体"/>
                <w:szCs w:val="21"/>
              </w:rPr>
            </w:pPr>
            <w:r>
              <w:rPr>
                <w:rFonts w:hint="eastAsia" w:ascii="宋体" w:hAnsi="宋体" w:cs="宋体"/>
                <w:szCs w:val="21"/>
              </w:rPr>
              <w:t>虚拟资源管理：提供对</w:t>
            </w:r>
            <w:r>
              <w:rPr>
                <w:rFonts w:hint="eastAsia" w:ascii="宋体" w:hAnsi="宋体" w:cs="宋体"/>
                <w:szCs w:val="21"/>
                <w:lang w:eastAsia="zh-Hans"/>
              </w:rPr>
              <w:t>云数据库</w:t>
            </w:r>
            <w:r>
              <w:rPr>
                <w:rFonts w:hint="eastAsia" w:ascii="宋体" w:hAnsi="宋体" w:cs="宋体"/>
                <w:szCs w:val="21"/>
              </w:rPr>
              <w:t>、云数据库、云存储、负载均衡、多租户等全方位的管理和监控；将分散的高性能计算资源实现统一融合管理，计算资源不再以孤立的形式存在，而由云管控平台整合、管理与调度，构成出一个统一的资源池，实现资源的按需分配，确保闲置、高性能资源得到充分利用，提高资源利用率。</w:t>
            </w:r>
          </w:p>
        </w:tc>
      </w:tr>
      <w:tr w14:paraId="28D2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16" w:type="pct"/>
            <w:vMerge w:val="continue"/>
            <w:vAlign w:val="center"/>
          </w:tcPr>
          <w:p w14:paraId="0A46F8CF">
            <w:pPr>
              <w:snapToGrid w:val="0"/>
              <w:spacing w:line="420" w:lineRule="exact"/>
              <w:rPr>
                <w:rFonts w:ascii="宋体" w:hAnsi="宋体" w:cs="宋体"/>
                <w:szCs w:val="21"/>
              </w:rPr>
            </w:pPr>
          </w:p>
        </w:tc>
        <w:tc>
          <w:tcPr>
            <w:tcW w:w="3984" w:type="pct"/>
            <w:vAlign w:val="center"/>
          </w:tcPr>
          <w:p w14:paraId="435AD557">
            <w:pPr>
              <w:snapToGrid w:val="0"/>
              <w:spacing w:line="420" w:lineRule="exact"/>
              <w:rPr>
                <w:rFonts w:ascii="宋体" w:hAnsi="宋体" w:cs="宋体"/>
                <w:szCs w:val="21"/>
              </w:rPr>
            </w:pPr>
            <w:r>
              <w:rPr>
                <w:rFonts w:hint="eastAsia" w:ascii="宋体" w:hAnsi="宋体" w:cs="宋体"/>
                <w:szCs w:val="21"/>
              </w:rPr>
              <w:t>运营管理：主要面向云资源的使用者及管理员，基于用户的鉴权及资源分配，提供对云资源的各类操作、监控、分析等管理功能。告警支持钉钉推送。</w:t>
            </w:r>
          </w:p>
        </w:tc>
      </w:tr>
      <w:tr w14:paraId="3A0E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016" w:type="pct"/>
            <w:vAlign w:val="center"/>
          </w:tcPr>
          <w:p w14:paraId="3046E8CC">
            <w:pPr>
              <w:snapToGrid w:val="0"/>
              <w:spacing w:line="420" w:lineRule="exact"/>
              <w:rPr>
                <w:rFonts w:ascii="宋体" w:hAnsi="宋体" w:cs="宋体"/>
                <w:szCs w:val="21"/>
              </w:rPr>
            </w:pPr>
            <w:r>
              <w:rPr>
                <w:rFonts w:hint="eastAsia" w:ascii="宋体" w:hAnsi="宋体" w:cs="宋体"/>
                <w:szCs w:val="21"/>
              </w:rPr>
              <w:t>国产操作系统</w:t>
            </w:r>
          </w:p>
        </w:tc>
        <w:tc>
          <w:tcPr>
            <w:tcW w:w="3984" w:type="pct"/>
            <w:vAlign w:val="center"/>
          </w:tcPr>
          <w:p w14:paraId="557DA882">
            <w:pPr>
              <w:snapToGrid w:val="0"/>
              <w:spacing w:line="420" w:lineRule="exact"/>
              <w:rPr>
                <w:rFonts w:ascii="宋体" w:hAnsi="宋体" w:cs="宋体"/>
                <w:szCs w:val="21"/>
              </w:rPr>
            </w:pPr>
            <w:r>
              <w:rPr>
                <w:rFonts w:hint="eastAsia" w:ascii="宋体" w:hAnsi="宋体" w:cs="宋体"/>
                <w:szCs w:val="21"/>
              </w:rPr>
              <w:t>基本文件管理、设备管理、日志管理、服务管理、进程和监控管理、网络管理、资源管理、软件包管理、硬盘管理等基本功能，提供语言支持工具、文件共享服务工具、集成开发平台等常用工具，支持KVM虚拟化技术</w:t>
            </w:r>
          </w:p>
          <w:p w14:paraId="11677DD8">
            <w:pPr>
              <w:snapToGrid w:val="0"/>
              <w:spacing w:line="420" w:lineRule="exact"/>
              <w:rPr>
                <w:rFonts w:ascii="宋体" w:hAnsi="宋体" w:cs="宋体"/>
                <w:szCs w:val="21"/>
              </w:rPr>
            </w:pPr>
            <w:r>
              <w:rPr>
                <w:rFonts w:hint="eastAsia" w:ascii="宋体" w:hAnsi="宋体" w:cs="宋体"/>
                <w:szCs w:val="21"/>
              </w:rPr>
              <w:t>具备政务网内操作系统软件升级仓库的能力。</w:t>
            </w:r>
          </w:p>
          <w:p w14:paraId="13817754">
            <w:pPr>
              <w:snapToGrid w:val="0"/>
              <w:spacing w:line="420" w:lineRule="exact"/>
              <w:rPr>
                <w:rFonts w:ascii="宋体" w:hAnsi="宋体" w:cs="宋体"/>
                <w:szCs w:val="21"/>
              </w:rPr>
            </w:pPr>
            <w:r>
              <w:rPr>
                <w:rFonts w:hint="eastAsia" w:ascii="宋体" w:hAnsi="宋体" w:cs="宋体"/>
                <w:szCs w:val="21"/>
              </w:rPr>
              <w:t>具备适配两家或者两家以上符合上述要求的国产化操作系统产品的能力。</w:t>
            </w:r>
          </w:p>
        </w:tc>
      </w:tr>
      <w:tr w14:paraId="0838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016" w:type="pct"/>
            <w:vMerge w:val="restart"/>
            <w:vAlign w:val="center"/>
          </w:tcPr>
          <w:p w14:paraId="1CAD4C3A">
            <w:pPr>
              <w:snapToGrid w:val="0"/>
              <w:spacing w:line="420" w:lineRule="exact"/>
              <w:rPr>
                <w:rFonts w:ascii="宋体" w:hAnsi="宋体" w:cs="宋体"/>
                <w:szCs w:val="21"/>
              </w:rPr>
            </w:pPr>
            <w:r>
              <w:rPr>
                <w:rFonts w:hint="eastAsia" w:ascii="宋体" w:hAnsi="宋体" w:cs="宋体"/>
                <w:szCs w:val="21"/>
                <w:lang w:eastAsia="zh-Hans"/>
              </w:rPr>
              <w:t>国产</w:t>
            </w:r>
            <w:r>
              <w:rPr>
                <w:rFonts w:hint="eastAsia" w:ascii="宋体" w:hAnsi="宋体" w:cs="宋体"/>
                <w:szCs w:val="21"/>
              </w:rPr>
              <w:t>数据库</w:t>
            </w:r>
          </w:p>
        </w:tc>
        <w:tc>
          <w:tcPr>
            <w:tcW w:w="3984" w:type="pct"/>
            <w:vAlign w:val="center"/>
          </w:tcPr>
          <w:p w14:paraId="2EEC4386">
            <w:pPr>
              <w:snapToGrid w:val="0"/>
              <w:spacing w:line="420" w:lineRule="exact"/>
              <w:rPr>
                <w:rFonts w:ascii="宋体" w:hAnsi="宋体" w:cs="宋体"/>
                <w:szCs w:val="21"/>
              </w:rPr>
            </w:pPr>
            <w:r>
              <w:rPr>
                <w:rFonts w:hint="eastAsia" w:ascii="宋体" w:hAnsi="宋体" w:cs="宋体"/>
                <w:szCs w:val="21"/>
              </w:rPr>
              <w:t>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tc>
      </w:tr>
      <w:tr w14:paraId="17BB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016" w:type="pct"/>
            <w:vMerge w:val="continue"/>
            <w:vAlign w:val="center"/>
          </w:tcPr>
          <w:p w14:paraId="33E7DDDB">
            <w:pPr>
              <w:snapToGrid w:val="0"/>
              <w:spacing w:line="420" w:lineRule="exact"/>
              <w:rPr>
                <w:rFonts w:ascii="宋体" w:hAnsi="宋体" w:cs="宋体"/>
                <w:szCs w:val="21"/>
              </w:rPr>
            </w:pPr>
          </w:p>
        </w:tc>
        <w:tc>
          <w:tcPr>
            <w:tcW w:w="3984" w:type="pct"/>
            <w:vAlign w:val="center"/>
          </w:tcPr>
          <w:p w14:paraId="008B0279">
            <w:pPr>
              <w:snapToGrid w:val="0"/>
              <w:spacing w:line="420" w:lineRule="exact"/>
              <w:rPr>
                <w:rFonts w:ascii="宋体" w:hAnsi="宋体" w:cs="宋体"/>
                <w:szCs w:val="21"/>
              </w:rPr>
            </w:pPr>
            <w:r>
              <w:rPr>
                <w:rFonts w:hint="eastAsia" w:ascii="宋体" w:hAnsi="宋体" w:cs="宋体"/>
                <w:szCs w:val="21"/>
              </w:rPr>
              <w:t>符合GB/T30994-2014关系数据库管理规范、GB/T28821-2012关系数据库管理系统技术要求和基础通用产品集群版数据库管理系统测试规范要求。</w:t>
            </w:r>
          </w:p>
        </w:tc>
      </w:tr>
      <w:tr w14:paraId="7148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016" w:type="pct"/>
            <w:vAlign w:val="center"/>
          </w:tcPr>
          <w:p w14:paraId="63BE1654">
            <w:pPr>
              <w:snapToGrid w:val="0"/>
              <w:spacing w:line="420" w:lineRule="exact"/>
              <w:rPr>
                <w:rFonts w:ascii="宋体" w:hAnsi="宋体" w:cs="宋体"/>
                <w:szCs w:val="21"/>
              </w:rPr>
            </w:pPr>
            <w:r>
              <w:rPr>
                <w:rFonts w:hint="eastAsia" w:ascii="宋体" w:hAnsi="宋体" w:cs="宋体"/>
                <w:szCs w:val="21"/>
              </w:rPr>
              <w:t>国产web应用中间件</w:t>
            </w:r>
          </w:p>
        </w:tc>
        <w:tc>
          <w:tcPr>
            <w:tcW w:w="3984" w:type="pct"/>
            <w:vAlign w:val="center"/>
          </w:tcPr>
          <w:p w14:paraId="719E4DE7">
            <w:pPr>
              <w:snapToGrid w:val="0"/>
              <w:spacing w:line="420" w:lineRule="exact"/>
              <w:rPr>
                <w:rFonts w:ascii="宋体" w:hAnsi="宋体" w:cs="宋体"/>
                <w:szCs w:val="21"/>
              </w:rPr>
            </w:pPr>
            <w:r>
              <w:rPr>
                <w:rFonts w:hint="eastAsia" w:ascii="宋体" w:hAnsi="宋体" w:cs="宋体"/>
                <w:szCs w:val="21"/>
              </w:rPr>
              <w:t>具备Web应用、EJB应用、虚拟主机、应用服务器集群、身份验证、日志审计等基本工作，提供类库管理、集成环境管理、图形化监控、JVM配置、垃圾回收配置工具、支持实例部署、数据库连接服务，为业务系统提供运行环境。</w:t>
            </w:r>
          </w:p>
        </w:tc>
      </w:tr>
    </w:tbl>
    <w:p w14:paraId="36ECA278">
      <w:pPr>
        <w:ind w:firstLine="480"/>
        <w:rPr>
          <w:rFonts w:ascii="宋体" w:hAnsi="宋体" w:cs="宋体"/>
          <w:snapToGrid w:val="0"/>
          <w:kern w:val="0"/>
          <w:szCs w:val="21"/>
        </w:rPr>
      </w:pPr>
    </w:p>
    <w:p w14:paraId="69BD220F">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7.3云平台安全及运维服务要求</w:t>
      </w:r>
    </w:p>
    <w:p w14:paraId="15551231">
      <w:pPr>
        <w:pStyle w:val="23"/>
        <w:snapToGrid w:val="0"/>
        <w:ind w:firstLine="420" w:firstLineChars="200"/>
        <w:outlineLvl w:val="3"/>
        <w:rPr>
          <w:rFonts w:hAnsi="宋体" w:cs="宋体"/>
          <w:sz w:val="21"/>
        </w:rPr>
      </w:pPr>
      <w:r>
        <w:rPr>
          <w:rFonts w:hint="eastAsia" w:hAnsi="宋体" w:cs="宋体"/>
          <w:sz w:val="21"/>
        </w:rPr>
        <w:t>7.3.1云平台安全服务</w:t>
      </w:r>
    </w:p>
    <w:p w14:paraId="5CB3955A">
      <w:pPr>
        <w:spacing w:line="360" w:lineRule="auto"/>
        <w:ind w:firstLine="480"/>
        <w:rPr>
          <w:rFonts w:ascii="宋体" w:hAnsi="宋体" w:cs="宋体"/>
          <w:szCs w:val="21"/>
        </w:rPr>
      </w:pPr>
      <w:r>
        <w:rPr>
          <w:rFonts w:hint="eastAsia" w:ascii="宋体" w:hAnsi="宋体" w:cs="宋体"/>
          <w:szCs w:val="21"/>
        </w:rPr>
        <w:t>本项目云平台须按照《GB/T 25070-2019 信息安全技术网络安全等级保护安全设计技术要求》中等级保护三级设计要求进行防护，满足安全通用要求和云计算安全扩展要求进行设备配置，如防火墙、主机杀毒软件、日志审计系统、堡垒机、数据库审计、漏洞扫描、WEB应用防火墙以及入侵检测等产品。</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7645"/>
      </w:tblGrid>
      <w:tr w14:paraId="75C3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tcPr>
          <w:p w14:paraId="3A76BF15">
            <w:pPr>
              <w:spacing w:line="360" w:lineRule="auto"/>
              <w:jc w:val="center"/>
              <w:rPr>
                <w:rFonts w:ascii="宋体" w:hAnsi="宋体" w:cs="宋体"/>
                <w:b/>
                <w:szCs w:val="21"/>
              </w:rPr>
            </w:pPr>
            <w:r>
              <w:rPr>
                <w:rFonts w:hint="eastAsia" w:ascii="宋体" w:hAnsi="宋体" w:cs="宋体"/>
                <w:b/>
                <w:szCs w:val="21"/>
              </w:rPr>
              <w:t>指标项</w:t>
            </w:r>
          </w:p>
        </w:tc>
        <w:tc>
          <w:tcPr>
            <w:tcW w:w="4115" w:type="pct"/>
          </w:tcPr>
          <w:p w14:paraId="2FF485D0">
            <w:pPr>
              <w:spacing w:line="360" w:lineRule="auto"/>
              <w:jc w:val="center"/>
              <w:rPr>
                <w:rFonts w:ascii="宋体" w:hAnsi="宋体" w:cs="宋体"/>
                <w:b/>
                <w:szCs w:val="21"/>
              </w:rPr>
            </w:pPr>
            <w:r>
              <w:rPr>
                <w:rFonts w:hint="eastAsia" w:ascii="宋体" w:hAnsi="宋体" w:cs="宋体"/>
                <w:b/>
                <w:szCs w:val="21"/>
              </w:rPr>
              <w:t>详细技术要求</w:t>
            </w:r>
          </w:p>
        </w:tc>
      </w:tr>
      <w:tr w14:paraId="79C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vMerge w:val="restart"/>
            <w:vAlign w:val="center"/>
          </w:tcPr>
          <w:p w14:paraId="4A45BC81">
            <w:pPr>
              <w:spacing w:line="360" w:lineRule="auto"/>
              <w:jc w:val="center"/>
              <w:rPr>
                <w:rFonts w:ascii="宋体" w:hAnsi="宋体" w:cs="宋体"/>
                <w:szCs w:val="21"/>
              </w:rPr>
            </w:pPr>
            <w:r>
              <w:rPr>
                <w:rFonts w:hint="eastAsia" w:ascii="宋体" w:hAnsi="宋体" w:cs="宋体"/>
                <w:szCs w:val="21"/>
              </w:rPr>
              <w:t>虚拟主机防护</w:t>
            </w:r>
          </w:p>
        </w:tc>
        <w:tc>
          <w:tcPr>
            <w:tcW w:w="4115" w:type="pct"/>
          </w:tcPr>
          <w:p w14:paraId="3D4FE4AA">
            <w:pPr>
              <w:spacing w:line="360" w:lineRule="auto"/>
              <w:rPr>
                <w:rFonts w:ascii="宋体" w:hAnsi="宋体" w:cs="宋体"/>
                <w:szCs w:val="21"/>
              </w:rPr>
            </w:pPr>
            <w:r>
              <w:rPr>
                <w:rFonts w:hint="eastAsia" w:ascii="宋体" w:hAnsi="宋体" w:cs="宋体"/>
                <w:szCs w:val="21"/>
              </w:rPr>
              <w:t>支持监听端口、账号信息、运行进程、软件版本等资产指纹识别</w:t>
            </w:r>
          </w:p>
        </w:tc>
      </w:tr>
      <w:tr w14:paraId="034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vMerge w:val="continue"/>
          </w:tcPr>
          <w:p w14:paraId="52A3533E">
            <w:pPr>
              <w:spacing w:line="360" w:lineRule="auto"/>
              <w:rPr>
                <w:rFonts w:ascii="宋体" w:hAnsi="宋体" w:cs="宋体"/>
                <w:szCs w:val="21"/>
              </w:rPr>
            </w:pPr>
          </w:p>
        </w:tc>
        <w:tc>
          <w:tcPr>
            <w:tcW w:w="4115" w:type="pct"/>
          </w:tcPr>
          <w:p w14:paraId="72F30165">
            <w:pPr>
              <w:spacing w:line="360" w:lineRule="auto"/>
              <w:rPr>
                <w:rFonts w:ascii="宋体" w:hAnsi="宋体" w:cs="宋体"/>
                <w:szCs w:val="21"/>
              </w:rPr>
            </w:pPr>
            <w:r>
              <w:rPr>
                <w:rFonts w:hint="eastAsia" w:ascii="宋体" w:hAnsi="宋体" w:cs="宋体"/>
                <w:szCs w:val="21"/>
              </w:rPr>
              <w:t>异常登录检测：能检测出系统的异常登录事件，支持异地登录、非法IP登录、非法时间登录、非法账号登录到提醒</w:t>
            </w:r>
          </w:p>
        </w:tc>
      </w:tr>
      <w:tr w14:paraId="64FB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vMerge w:val="continue"/>
          </w:tcPr>
          <w:p w14:paraId="43487047">
            <w:pPr>
              <w:spacing w:line="360" w:lineRule="auto"/>
              <w:rPr>
                <w:rFonts w:ascii="宋体" w:hAnsi="宋体" w:cs="宋体"/>
                <w:szCs w:val="21"/>
              </w:rPr>
            </w:pPr>
          </w:p>
        </w:tc>
        <w:tc>
          <w:tcPr>
            <w:tcW w:w="4115" w:type="pct"/>
          </w:tcPr>
          <w:p w14:paraId="5BD4D2F2">
            <w:pPr>
              <w:spacing w:line="360" w:lineRule="auto"/>
              <w:rPr>
                <w:rFonts w:ascii="宋体" w:hAnsi="宋体" w:cs="宋体"/>
                <w:szCs w:val="21"/>
              </w:rPr>
            </w:pPr>
            <w:r>
              <w:rPr>
                <w:rFonts w:hint="eastAsia" w:ascii="宋体" w:hAnsi="宋体" w:cs="宋体"/>
                <w:szCs w:val="21"/>
              </w:rPr>
              <w:t>入侵检测：基于对主机进程、网络、文件原始行为数据进行多维算法关联分析，支持反弹shell、Java执行异常CMD命令、bash异常下载、异常进程启动、异常指令执行等主机异常行为告警</w:t>
            </w:r>
          </w:p>
        </w:tc>
      </w:tr>
      <w:tr w14:paraId="0278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pct"/>
            <w:vMerge w:val="continue"/>
          </w:tcPr>
          <w:p w14:paraId="5109FBD4">
            <w:pPr>
              <w:spacing w:line="360" w:lineRule="auto"/>
              <w:rPr>
                <w:rFonts w:ascii="宋体" w:hAnsi="宋体" w:cs="宋体"/>
                <w:szCs w:val="21"/>
              </w:rPr>
            </w:pPr>
          </w:p>
        </w:tc>
        <w:tc>
          <w:tcPr>
            <w:tcW w:w="4115" w:type="pct"/>
          </w:tcPr>
          <w:p w14:paraId="2AC5BD58">
            <w:pPr>
              <w:spacing w:line="360" w:lineRule="auto"/>
              <w:rPr>
                <w:rFonts w:ascii="宋体" w:hAnsi="宋体" w:cs="宋体"/>
                <w:szCs w:val="21"/>
              </w:rPr>
            </w:pPr>
            <w:r>
              <w:rPr>
                <w:rFonts w:hint="eastAsia" w:ascii="宋体" w:hAnsi="宋体" w:cs="宋体"/>
                <w:szCs w:val="21"/>
              </w:rPr>
              <w:t>支持Linux登录弱口令、Tomcat、Redis等基线检查</w:t>
            </w:r>
          </w:p>
        </w:tc>
      </w:tr>
    </w:tbl>
    <w:p w14:paraId="730A9D11">
      <w:pPr>
        <w:pStyle w:val="23"/>
        <w:snapToGrid w:val="0"/>
        <w:ind w:firstLine="420" w:firstLineChars="200"/>
        <w:outlineLvl w:val="4"/>
        <w:rPr>
          <w:rFonts w:hAnsi="宋体" w:cs="宋体"/>
          <w:sz w:val="21"/>
        </w:rPr>
      </w:pPr>
      <w:r>
        <w:rPr>
          <w:rFonts w:hint="eastAsia" w:hAnsi="宋体" w:cs="宋体"/>
          <w:sz w:val="21"/>
        </w:rPr>
        <w:t>7.3.1.1堡垒机服务</w:t>
      </w:r>
    </w:p>
    <w:p w14:paraId="71C33C31">
      <w:pPr>
        <w:spacing w:line="360" w:lineRule="auto"/>
        <w:ind w:firstLine="480"/>
        <w:rPr>
          <w:rFonts w:ascii="宋体" w:hAnsi="宋体" w:cs="宋体"/>
          <w:szCs w:val="21"/>
        </w:rPr>
      </w:pPr>
      <w:r>
        <w:rPr>
          <w:rFonts w:hint="eastAsia" w:ascii="宋体" w:hAnsi="宋体" w:cs="宋体"/>
          <w:szCs w:val="21"/>
        </w:rPr>
        <w:t>提供政务云平台的统一登录运维堡垒机服务，通过堡垒机（运维审计）来实现合规需求，对账号进行统一管理，对资产授权和认证进行集中管控，并让工作人员与资产分离，对工作人员和资产实施严格的访问控制，能够自行阻断越权访问，可以覆盖全部资产的同时还能对工作人员的操作进行控制和审计，保障服务器管理安全。</w:t>
      </w:r>
    </w:p>
    <w:p w14:paraId="67EC0B6B">
      <w:pPr>
        <w:ind w:firstLine="480"/>
        <w:rPr>
          <w:rFonts w:ascii="宋体" w:hAnsi="宋体" w:cs="宋体"/>
          <w:szCs w:val="21"/>
        </w:rPr>
      </w:pP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7780"/>
      </w:tblGrid>
      <w:tr w14:paraId="1342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shd w:val="clear" w:color="auto" w:fill="auto"/>
            <w:vAlign w:val="center"/>
          </w:tcPr>
          <w:p w14:paraId="2420DDF0">
            <w:pPr>
              <w:spacing w:line="360" w:lineRule="auto"/>
              <w:jc w:val="center"/>
              <w:rPr>
                <w:rFonts w:ascii="宋体" w:hAnsi="宋体" w:cs="宋体"/>
                <w:b/>
                <w:szCs w:val="21"/>
              </w:rPr>
            </w:pPr>
            <w:r>
              <w:rPr>
                <w:rFonts w:hint="eastAsia" w:ascii="宋体" w:hAnsi="宋体" w:cs="宋体"/>
                <w:b/>
                <w:szCs w:val="21"/>
              </w:rPr>
              <w:t>指标项</w:t>
            </w:r>
          </w:p>
        </w:tc>
        <w:tc>
          <w:tcPr>
            <w:tcW w:w="4188" w:type="pct"/>
            <w:shd w:val="clear" w:color="auto" w:fill="auto"/>
            <w:vAlign w:val="center"/>
          </w:tcPr>
          <w:p w14:paraId="714A235A">
            <w:pPr>
              <w:spacing w:line="360" w:lineRule="auto"/>
              <w:jc w:val="center"/>
              <w:rPr>
                <w:rFonts w:ascii="宋体" w:hAnsi="宋体" w:cs="宋体"/>
                <w:b/>
                <w:szCs w:val="21"/>
              </w:rPr>
            </w:pPr>
            <w:r>
              <w:rPr>
                <w:rFonts w:hint="eastAsia" w:ascii="宋体" w:hAnsi="宋体" w:cs="宋体"/>
                <w:b/>
                <w:szCs w:val="21"/>
              </w:rPr>
              <w:t>技术参数</w:t>
            </w:r>
          </w:p>
        </w:tc>
      </w:tr>
      <w:tr w14:paraId="00EF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restart"/>
            <w:shd w:val="clear" w:color="auto" w:fill="auto"/>
            <w:vAlign w:val="center"/>
          </w:tcPr>
          <w:p w14:paraId="200144B7">
            <w:pPr>
              <w:spacing w:line="360" w:lineRule="auto"/>
              <w:rPr>
                <w:rFonts w:ascii="宋体" w:hAnsi="宋体" w:cs="宋体"/>
                <w:szCs w:val="21"/>
              </w:rPr>
            </w:pPr>
            <w:r>
              <w:rPr>
                <w:rFonts w:hint="eastAsia" w:ascii="宋体" w:hAnsi="宋体" w:cs="宋体"/>
                <w:szCs w:val="21"/>
              </w:rPr>
              <w:t>用户管理要求</w:t>
            </w:r>
          </w:p>
        </w:tc>
        <w:tc>
          <w:tcPr>
            <w:tcW w:w="4188" w:type="pct"/>
            <w:shd w:val="clear" w:color="auto" w:fill="auto"/>
            <w:vAlign w:val="center"/>
          </w:tcPr>
          <w:p w14:paraId="11CD89E7">
            <w:pPr>
              <w:spacing w:line="360" w:lineRule="auto"/>
              <w:rPr>
                <w:rFonts w:ascii="宋体" w:hAnsi="宋体" w:cs="宋体"/>
                <w:szCs w:val="21"/>
              </w:rPr>
            </w:pPr>
            <w:r>
              <w:rPr>
                <w:rFonts w:hint="eastAsia" w:ascii="宋体" w:hAnsi="宋体" w:cs="宋体"/>
                <w:szCs w:val="21"/>
              </w:rPr>
              <w:t>支持用户的批量导入/导出；支持用户安全策略功能，如用户有效期、用户登录时间限制、用户登录IP范围、用户登录MAC限制</w:t>
            </w:r>
          </w:p>
        </w:tc>
      </w:tr>
      <w:tr w14:paraId="36EA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663DEE2F">
            <w:pPr>
              <w:spacing w:line="360" w:lineRule="auto"/>
              <w:rPr>
                <w:rFonts w:ascii="宋体" w:hAnsi="宋体" w:cs="宋体"/>
                <w:szCs w:val="21"/>
              </w:rPr>
            </w:pPr>
          </w:p>
        </w:tc>
        <w:tc>
          <w:tcPr>
            <w:tcW w:w="4188" w:type="pct"/>
            <w:shd w:val="clear" w:color="auto" w:fill="auto"/>
            <w:vAlign w:val="center"/>
          </w:tcPr>
          <w:p w14:paraId="2AE7F24D">
            <w:pPr>
              <w:spacing w:line="360" w:lineRule="auto"/>
              <w:rPr>
                <w:rFonts w:ascii="宋体" w:hAnsi="宋体" w:cs="宋体"/>
                <w:szCs w:val="21"/>
              </w:rPr>
            </w:pPr>
            <w:r>
              <w:rPr>
                <w:rFonts w:hint="eastAsia" w:ascii="宋体" w:hAnsi="宋体" w:cs="宋体"/>
                <w:szCs w:val="21"/>
              </w:rPr>
              <w:t>支持按部门组织架构（至少10个层级的部门）管理用户数据、资产数据、授权数据、审计数据，且数据相互隔离；可按部门层级分别设定各部门不同权限的管理员，如部门内的运维管理员、审计管理员、系统管理员等。每个部门管理员仅可管理本部门及下级部门的相关配置</w:t>
            </w:r>
          </w:p>
        </w:tc>
      </w:tr>
      <w:tr w14:paraId="4860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45D73965">
            <w:pPr>
              <w:spacing w:line="360" w:lineRule="auto"/>
              <w:rPr>
                <w:rFonts w:ascii="宋体" w:hAnsi="宋体" w:cs="宋体"/>
                <w:szCs w:val="21"/>
              </w:rPr>
            </w:pPr>
          </w:p>
        </w:tc>
        <w:tc>
          <w:tcPr>
            <w:tcW w:w="4188" w:type="pct"/>
            <w:shd w:val="clear" w:color="auto" w:fill="auto"/>
            <w:vAlign w:val="center"/>
          </w:tcPr>
          <w:p w14:paraId="5B5471B5">
            <w:pPr>
              <w:spacing w:line="360" w:lineRule="auto"/>
              <w:rPr>
                <w:rFonts w:ascii="宋体" w:hAnsi="宋体" w:cs="宋体"/>
                <w:szCs w:val="21"/>
              </w:rPr>
            </w:pPr>
            <w:r>
              <w:rPr>
                <w:rFonts w:hint="eastAsia" w:ascii="宋体" w:hAnsi="宋体" w:cs="宋体"/>
                <w:szCs w:val="21"/>
              </w:rPr>
              <w:t>支持标准化对接CAS、JWT、SAML2、OAuth2单点登录认证，且支持配置是否自动创建堡垒机中不存在用户</w:t>
            </w:r>
          </w:p>
        </w:tc>
      </w:tr>
      <w:tr w14:paraId="17C6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12" w:type="pct"/>
            <w:vMerge w:val="continue"/>
            <w:shd w:val="clear" w:color="auto" w:fill="auto"/>
            <w:vAlign w:val="center"/>
          </w:tcPr>
          <w:p w14:paraId="040CF373">
            <w:pPr>
              <w:spacing w:line="360" w:lineRule="auto"/>
              <w:rPr>
                <w:rFonts w:ascii="宋体" w:hAnsi="宋体" w:cs="宋体"/>
                <w:szCs w:val="21"/>
              </w:rPr>
            </w:pPr>
          </w:p>
        </w:tc>
        <w:tc>
          <w:tcPr>
            <w:tcW w:w="4188" w:type="pct"/>
            <w:shd w:val="clear" w:color="auto" w:fill="auto"/>
            <w:vAlign w:val="center"/>
          </w:tcPr>
          <w:p w14:paraId="5462F5F6">
            <w:pPr>
              <w:spacing w:line="360" w:lineRule="auto"/>
              <w:rPr>
                <w:rFonts w:ascii="宋体" w:hAnsi="宋体" w:cs="宋体"/>
                <w:szCs w:val="21"/>
              </w:rPr>
            </w:pPr>
            <w:r>
              <w:rPr>
                <w:rFonts w:hint="eastAsia" w:ascii="宋体" w:hAnsi="宋体" w:cs="宋体"/>
                <w:szCs w:val="21"/>
              </w:rPr>
              <w:t>支持基于不同的用户设置不同的双因子认证模式；支持单用户同时开启多种身份认证方式</w:t>
            </w:r>
          </w:p>
        </w:tc>
      </w:tr>
      <w:tr w14:paraId="4959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restart"/>
            <w:shd w:val="clear" w:color="auto" w:fill="auto"/>
            <w:vAlign w:val="center"/>
          </w:tcPr>
          <w:p w14:paraId="6EE97DCC">
            <w:pPr>
              <w:spacing w:line="360" w:lineRule="auto"/>
              <w:rPr>
                <w:rFonts w:ascii="宋体" w:hAnsi="宋体" w:cs="宋体"/>
                <w:szCs w:val="21"/>
              </w:rPr>
            </w:pPr>
            <w:r>
              <w:rPr>
                <w:rFonts w:hint="eastAsia" w:ascii="宋体" w:hAnsi="宋体" w:cs="宋体"/>
                <w:szCs w:val="21"/>
              </w:rPr>
              <w:t>设备管理</w:t>
            </w:r>
          </w:p>
        </w:tc>
        <w:tc>
          <w:tcPr>
            <w:tcW w:w="4188" w:type="pct"/>
            <w:shd w:val="clear" w:color="auto" w:fill="auto"/>
            <w:vAlign w:val="center"/>
          </w:tcPr>
          <w:p w14:paraId="5BFCE440">
            <w:pPr>
              <w:spacing w:line="360" w:lineRule="auto"/>
              <w:rPr>
                <w:rFonts w:ascii="宋体" w:hAnsi="宋体" w:cs="宋体"/>
                <w:szCs w:val="21"/>
              </w:rPr>
            </w:pPr>
            <w:r>
              <w:rPr>
                <w:rFonts w:hint="eastAsia" w:ascii="宋体" w:hAnsi="宋体" w:cs="宋体"/>
                <w:szCs w:val="21"/>
              </w:rPr>
              <w:t>单点登录支持调用多种本地客户端工具：字符：xshell、secureCRT、putty、MobaXterm，图形：mstsc、realvnc，文件传输：secureFX、flashFXP、filezilla、winscp、Xftp、MobaXterm，数据库：ssms、sqlwb、DBeaver、mysqlcli、DbVisualizer、MySQLWorkbench、MySQLFront、PLSQL、SQLPlus、db2cmd、QuestCentral、pgAdmin3、psSQL、Ksql、lsql、Dlsql、DMmanager、GbaseDataStudio、Toad、ToadForDB2、navicat系列，无需应用发布服务器。</w:t>
            </w:r>
          </w:p>
        </w:tc>
      </w:tr>
      <w:tr w14:paraId="6744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7F92D291">
            <w:pPr>
              <w:spacing w:line="360" w:lineRule="auto"/>
              <w:rPr>
                <w:rFonts w:ascii="宋体" w:hAnsi="宋体" w:cs="宋体"/>
                <w:szCs w:val="21"/>
              </w:rPr>
            </w:pPr>
          </w:p>
        </w:tc>
        <w:tc>
          <w:tcPr>
            <w:tcW w:w="4188" w:type="pct"/>
            <w:shd w:val="clear" w:color="auto" w:fill="auto"/>
            <w:vAlign w:val="center"/>
          </w:tcPr>
          <w:p w14:paraId="74B91DC2">
            <w:pPr>
              <w:spacing w:line="360" w:lineRule="auto"/>
              <w:rPr>
                <w:rFonts w:ascii="宋体" w:hAnsi="宋体" w:cs="宋体"/>
                <w:szCs w:val="21"/>
              </w:rPr>
            </w:pPr>
            <w:r>
              <w:rPr>
                <w:rFonts w:hint="eastAsia" w:ascii="宋体" w:hAnsi="宋体" w:cs="宋体"/>
                <w:szCs w:val="21"/>
              </w:rPr>
              <w:t>支持目录树模式对主机进行管理，可以按主机组、部门、主机网络、操作系统4种视图进行树状目录排列。</w:t>
            </w:r>
          </w:p>
        </w:tc>
      </w:tr>
      <w:tr w14:paraId="302F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409ACA13">
            <w:pPr>
              <w:spacing w:line="360" w:lineRule="auto"/>
              <w:rPr>
                <w:rFonts w:ascii="宋体" w:hAnsi="宋体" w:cs="宋体"/>
                <w:szCs w:val="21"/>
              </w:rPr>
            </w:pPr>
          </w:p>
        </w:tc>
        <w:tc>
          <w:tcPr>
            <w:tcW w:w="4188" w:type="pct"/>
            <w:shd w:val="clear" w:color="auto" w:fill="auto"/>
            <w:vAlign w:val="center"/>
          </w:tcPr>
          <w:p w14:paraId="7079747B">
            <w:pPr>
              <w:spacing w:line="360" w:lineRule="auto"/>
              <w:rPr>
                <w:rFonts w:ascii="宋体" w:hAnsi="宋体" w:cs="宋体"/>
                <w:szCs w:val="21"/>
              </w:rPr>
            </w:pPr>
            <w:r>
              <w:rPr>
                <w:rFonts w:hint="eastAsia" w:ascii="宋体" w:hAnsi="宋体" w:cs="宋体"/>
                <w:szCs w:val="21"/>
              </w:rPr>
              <w:t>支持标准适配多个云环境，包括阿里云、华为云、百度云、亚马逊云、腾讯云、Ucloud等，支持同步云上主机信息至堡垒机。</w:t>
            </w:r>
          </w:p>
        </w:tc>
      </w:tr>
      <w:tr w14:paraId="0817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64E0373C">
            <w:pPr>
              <w:spacing w:line="360" w:lineRule="auto"/>
              <w:rPr>
                <w:rFonts w:ascii="宋体" w:hAnsi="宋体" w:cs="宋体"/>
                <w:szCs w:val="21"/>
              </w:rPr>
            </w:pPr>
          </w:p>
        </w:tc>
        <w:tc>
          <w:tcPr>
            <w:tcW w:w="4188" w:type="pct"/>
            <w:shd w:val="clear" w:color="auto" w:fill="auto"/>
            <w:vAlign w:val="center"/>
          </w:tcPr>
          <w:p w14:paraId="7DCB6E05">
            <w:pPr>
              <w:spacing w:line="360" w:lineRule="auto"/>
              <w:rPr>
                <w:rFonts w:ascii="宋体" w:hAnsi="宋体" w:cs="宋体"/>
                <w:szCs w:val="21"/>
              </w:rPr>
            </w:pPr>
            <w:r>
              <w:rPr>
                <w:rFonts w:hint="eastAsia" w:ascii="宋体" w:hAnsi="宋体" w:cs="宋体"/>
                <w:szCs w:val="21"/>
              </w:rPr>
              <w:t>支持自动收集设备IP、运维协议、端口号、账号、密码、与用户的权限关系，可自动完成授权。</w:t>
            </w:r>
          </w:p>
        </w:tc>
      </w:tr>
      <w:tr w14:paraId="41F8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shd w:val="clear" w:color="auto" w:fill="auto"/>
            <w:vAlign w:val="center"/>
          </w:tcPr>
          <w:p w14:paraId="1111E517">
            <w:pPr>
              <w:spacing w:line="360" w:lineRule="auto"/>
              <w:rPr>
                <w:rFonts w:ascii="宋体" w:hAnsi="宋体" w:cs="宋体"/>
                <w:szCs w:val="21"/>
              </w:rPr>
            </w:pPr>
            <w:r>
              <w:rPr>
                <w:rFonts w:hint="eastAsia" w:ascii="宋体" w:hAnsi="宋体" w:cs="宋体"/>
                <w:szCs w:val="21"/>
              </w:rPr>
              <w:t>自动改密要求</w:t>
            </w:r>
          </w:p>
        </w:tc>
        <w:tc>
          <w:tcPr>
            <w:tcW w:w="4188" w:type="pct"/>
            <w:shd w:val="clear" w:color="auto" w:fill="auto"/>
            <w:vAlign w:val="center"/>
          </w:tcPr>
          <w:p w14:paraId="1EFE4F11">
            <w:pPr>
              <w:spacing w:line="360" w:lineRule="auto"/>
              <w:rPr>
                <w:rFonts w:ascii="宋体" w:hAnsi="宋体" w:cs="宋体"/>
                <w:szCs w:val="21"/>
              </w:rPr>
            </w:pPr>
            <w:r>
              <w:rPr>
                <w:rFonts w:hint="eastAsia" w:ascii="宋体" w:hAnsi="宋体" w:cs="宋体"/>
                <w:szCs w:val="21"/>
              </w:rPr>
              <w:t>支持定期自动修改windows服务器、网络设备、linux/unix等目标设备密码功能，且自动改密不借助于Agent，无需开放445、135、139等高危端口；支持对常见数据库及国产数据库的自动改密功能；支持对Web应用的自动改密功能，并且支持随堡垒机提供的改密插件录制向导，通过改密插件自动生成web应用的改密脚本</w:t>
            </w:r>
          </w:p>
        </w:tc>
      </w:tr>
      <w:tr w14:paraId="72F6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restart"/>
            <w:shd w:val="clear" w:color="auto" w:fill="auto"/>
            <w:vAlign w:val="center"/>
          </w:tcPr>
          <w:p w14:paraId="3A58E774">
            <w:pPr>
              <w:spacing w:line="360" w:lineRule="auto"/>
              <w:rPr>
                <w:rFonts w:ascii="宋体" w:hAnsi="宋体" w:cs="宋体"/>
                <w:szCs w:val="21"/>
              </w:rPr>
            </w:pPr>
            <w:r>
              <w:rPr>
                <w:rFonts w:hint="eastAsia" w:ascii="宋体" w:hAnsi="宋体" w:cs="宋体"/>
                <w:szCs w:val="21"/>
              </w:rPr>
              <w:t>运维方式要求</w:t>
            </w:r>
          </w:p>
        </w:tc>
        <w:tc>
          <w:tcPr>
            <w:tcW w:w="4188" w:type="pct"/>
            <w:shd w:val="clear" w:color="auto" w:fill="auto"/>
            <w:vAlign w:val="center"/>
          </w:tcPr>
          <w:p w14:paraId="449BB87A">
            <w:pPr>
              <w:spacing w:line="360" w:lineRule="auto"/>
              <w:rPr>
                <w:rFonts w:ascii="宋体" w:hAnsi="宋体" w:cs="宋体"/>
                <w:szCs w:val="21"/>
              </w:rPr>
            </w:pPr>
            <w:r>
              <w:rPr>
                <w:rFonts w:hint="eastAsia" w:ascii="宋体" w:hAnsi="宋体" w:cs="宋体"/>
                <w:szCs w:val="21"/>
              </w:rPr>
              <w:t>支持Windows/macOS操作系统下C/S架构的堡垒机专用客户端、UOS /麒麟等国产操作系统下C/S架构的堡垒机专用客户端登录堡垒机并进行管理及运维操作</w:t>
            </w:r>
          </w:p>
        </w:tc>
      </w:tr>
      <w:tr w14:paraId="0485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36B39B50">
            <w:pPr>
              <w:spacing w:line="360" w:lineRule="auto"/>
              <w:rPr>
                <w:rFonts w:ascii="宋体" w:hAnsi="宋体" w:cs="宋体"/>
                <w:szCs w:val="21"/>
              </w:rPr>
            </w:pPr>
          </w:p>
        </w:tc>
        <w:tc>
          <w:tcPr>
            <w:tcW w:w="4188" w:type="pct"/>
            <w:shd w:val="clear" w:color="auto" w:fill="auto"/>
            <w:vAlign w:val="center"/>
          </w:tcPr>
          <w:p w14:paraId="4035E339">
            <w:pPr>
              <w:spacing w:line="360" w:lineRule="auto"/>
              <w:rPr>
                <w:rFonts w:ascii="宋体" w:hAnsi="宋体" w:cs="宋体"/>
                <w:szCs w:val="21"/>
              </w:rPr>
            </w:pPr>
            <w:r>
              <w:rPr>
                <w:rFonts w:hint="eastAsia" w:ascii="宋体" w:hAnsi="宋体" w:cs="宋体"/>
                <w:szCs w:val="21"/>
              </w:rPr>
              <w:t>H5运维方式：支持ssh、telnet、rlogin、rdp、vnc、ftp、sftp、x11协议的H5运维，无需本地运维客户端工具</w:t>
            </w:r>
          </w:p>
        </w:tc>
      </w:tr>
      <w:tr w14:paraId="73ED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restart"/>
            <w:shd w:val="clear" w:color="auto" w:fill="auto"/>
            <w:vAlign w:val="center"/>
          </w:tcPr>
          <w:p w14:paraId="57477B6B">
            <w:pPr>
              <w:spacing w:line="360" w:lineRule="auto"/>
              <w:rPr>
                <w:rFonts w:ascii="宋体" w:hAnsi="宋体" w:cs="宋体"/>
                <w:szCs w:val="21"/>
              </w:rPr>
            </w:pPr>
            <w:r>
              <w:rPr>
                <w:rFonts w:hint="eastAsia" w:ascii="宋体" w:hAnsi="宋体" w:cs="宋体"/>
                <w:szCs w:val="21"/>
              </w:rPr>
              <w:t>审计日志要求</w:t>
            </w:r>
          </w:p>
        </w:tc>
        <w:tc>
          <w:tcPr>
            <w:tcW w:w="4188" w:type="pct"/>
            <w:shd w:val="clear" w:color="auto" w:fill="auto"/>
            <w:vAlign w:val="center"/>
          </w:tcPr>
          <w:p w14:paraId="26D87B10">
            <w:pPr>
              <w:spacing w:line="360" w:lineRule="auto"/>
              <w:rPr>
                <w:rFonts w:ascii="宋体" w:hAnsi="宋体" w:cs="宋体"/>
                <w:szCs w:val="21"/>
              </w:rPr>
            </w:pPr>
            <w:r>
              <w:rPr>
                <w:rFonts w:hint="eastAsia" w:ascii="宋体" w:hAnsi="宋体" w:cs="宋体"/>
                <w:szCs w:val="21"/>
              </w:rPr>
              <w:t>支持提供禁止审计功能，可对部分设定策略的会话不审计录像，防止机密信息二次泄漏</w:t>
            </w:r>
          </w:p>
        </w:tc>
      </w:tr>
      <w:tr w14:paraId="103C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2" w:type="pct"/>
            <w:vMerge w:val="continue"/>
            <w:shd w:val="clear" w:color="auto" w:fill="auto"/>
            <w:vAlign w:val="center"/>
          </w:tcPr>
          <w:p w14:paraId="20EB8551">
            <w:pPr>
              <w:spacing w:line="360" w:lineRule="auto"/>
              <w:rPr>
                <w:rFonts w:ascii="宋体" w:hAnsi="宋体" w:cs="宋体"/>
                <w:szCs w:val="21"/>
              </w:rPr>
            </w:pPr>
          </w:p>
        </w:tc>
        <w:tc>
          <w:tcPr>
            <w:tcW w:w="4188" w:type="pct"/>
            <w:shd w:val="clear" w:color="auto" w:fill="auto"/>
            <w:vAlign w:val="center"/>
          </w:tcPr>
          <w:p w14:paraId="6777CBBF">
            <w:pPr>
              <w:spacing w:line="360" w:lineRule="auto"/>
              <w:rPr>
                <w:rFonts w:ascii="宋体" w:hAnsi="宋体" w:cs="宋体"/>
                <w:szCs w:val="21"/>
              </w:rPr>
            </w:pPr>
            <w:r>
              <w:rPr>
                <w:rFonts w:hint="eastAsia" w:ascii="宋体" w:hAnsi="宋体" w:cs="宋体"/>
                <w:szCs w:val="21"/>
              </w:rPr>
              <w:t>支持对运维操作会话的在线监控、实时阻断；支持录像慢速/快速回放（最慢0.5倍速/最快64倍速）、支持记录起止时间、来源用户、来源IP、目标设备、协议/应用类型、命令记录、操作内容（如对文件的上传、下载、删除、修改等操作等）的详细行为日志</w:t>
            </w:r>
          </w:p>
        </w:tc>
      </w:tr>
    </w:tbl>
    <w:p w14:paraId="6916A37F">
      <w:pPr>
        <w:pStyle w:val="23"/>
        <w:snapToGrid w:val="0"/>
        <w:ind w:firstLine="420" w:firstLineChars="200"/>
        <w:outlineLvl w:val="4"/>
        <w:rPr>
          <w:rFonts w:hAnsi="宋体" w:cs="宋体"/>
          <w:sz w:val="21"/>
        </w:rPr>
      </w:pPr>
      <w:r>
        <w:rPr>
          <w:rFonts w:hint="eastAsia" w:hAnsi="宋体" w:cs="宋体"/>
          <w:sz w:val="21"/>
        </w:rPr>
        <w:t>7.3.1.2漏洞扫描服务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855"/>
        <w:gridCol w:w="1087"/>
      </w:tblGrid>
      <w:tr w14:paraId="6B51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tcBorders>
              <w:top w:val="single" w:color="auto" w:sz="4" w:space="0"/>
              <w:left w:val="single" w:color="auto" w:sz="4" w:space="0"/>
              <w:bottom w:val="single" w:color="auto" w:sz="4" w:space="0"/>
              <w:right w:val="single" w:color="auto" w:sz="4" w:space="0"/>
            </w:tcBorders>
            <w:vAlign w:val="center"/>
          </w:tcPr>
          <w:p w14:paraId="3E910BF8">
            <w:pPr>
              <w:widowControl/>
              <w:spacing w:line="360" w:lineRule="auto"/>
              <w:jc w:val="center"/>
              <w:rPr>
                <w:rFonts w:ascii="宋体" w:hAnsi="宋体" w:cs="宋体"/>
                <w:b/>
                <w:szCs w:val="21"/>
              </w:rPr>
            </w:pPr>
            <w:r>
              <w:rPr>
                <w:rFonts w:hint="eastAsia" w:ascii="宋体" w:hAnsi="宋体" w:cs="宋体"/>
                <w:b/>
                <w:szCs w:val="21"/>
              </w:rPr>
              <w:t>指标项</w:t>
            </w:r>
          </w:p>
        </w:tc>
        <w:tc>
          <w:tcPr>
            <w:tcW w:w="3689" w:type="pct"/>
            <w:tcBorders>
              <w:top w:val="single" w:color="auto" w:sz="4" w:space="0"/>
              <w:left w:val="single" w:color="auto" w:sz="4" w:space="0"/>
              <w:bottom w:val="single" w:color="auto" w:sz="4" w:space="0"/>
              <w:right w:val="single" w:color="auto" w:sz="4" w:space="0"/>
            </w:tcBorders>
            <w:vAlign w:val="center"/>
          </w:tcPr>
          <w:p w14:paraId="5E9617A6">
            <w:pPr>
              <w:spacing w:line="360" w:lineRule="auto"/>
              <w:jc w:val="center"/>
              <w:rPr>
                <w:rFonts w:ascii="宋体" w:hAnsi="宋体" w:cs="宋体"/>
                <w:b/>
                <w:szCs w:val="21"/>
              </w:rPr>
            </w:pPr>
            <w:r>
              <w:rPr>
                <w:rFonts w:hint="eastAsia" w:ascii="宋体" w:hAnsi="宋体" w:cs="宋体"/>
                <w:b/>
                <w:szCs w:val="21"/>
              </w:rPr>
              <w:t>规格要求</w:t>
            </w:r>
          </w:p>
        </w:tc>
        <w:tc>
          <w:tcPr>
            <w:tcW w:w="585" w:type="pct"/>
            <w:tcBorders>
              <w:top w:val="single" w:color="auto" w:sz="4" w:space="0"/>
              <w:left w:val="single" w:color="auto" w:sz="4" w:space="0"/>
              <w:bottom w:val="single" w:color="auto" w:sz="4" w:space="0"/>
              <w:right w:val="single" w:color="auto" w:sz="4" w:space="0"/>
            </w:tcBorders>
            <w:vAlign w:val="center"/>
          </w:tcPr>
          <w:p w14:paraId="6B544F32">
            <w:pPr>
              <w:spacing w:line="360" w:lineRule="auto"/>
              <w:jc w:val="center"/>
              <w:rPr>
                <w:rFonts w:ascii="宋体" w:hAnsi="宋体" w:cs="宋体"/>
                <w:b/>
                <w:szCs w:val="21"/>
              </w:rPr>
            </w:pPr>
            <w:r>
              <w:rPr>
                <w:rFonts w:hint="eastAsia" w:ascii="宋体" w:hAnsi="宋体" w:cs="宋体"/>
                <w:b/>
                <w:szCs w:val="21"/>
              </w:rPr>
              <w:t>备注</w:t>
            </w:r>
          </w:p>
        </w:tc>
      </w:tr>
      <w:tr w14:paraId="585F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tcBorders>
              <w:top w:val="single" w:color="auto" w:sz="4" w:space="0"/>
              <w:left w:val="single" w:color="auto" w:sz="4" w:space="0"/>
              <w:bottom w:val="single" w:color="auto" w:sz="4" w:space="0"/>
              <w:right w:val="single" w:color="auto" w:sz="4" w:space="0"/>
            </w:tcBorders>
            <w:vAlign w:val="center"/>
          </w:tcPr>
          <w:p w14:paraId="378E417C">
            <w:pPr>
              <w:widowControl/>
              <w:jc w:val="left"/>
              <w:rPr>
                <w:rFonts w:hint="eastAsia" w:ascii="宋体" w:hAnsi="宋体" w:cs="宋体"/>
                <w:szCs w:val="21"/>
              </w:rPr>
            </w:pPr>
            <w:r>
              <w:rPr>
                <w:rFonts w:hint="eastAsia" w:ascii="宋体" w:hAnsi="宋体" w:cs="宋体"/>
                <w:szCs w:val="21"/>
              </w:rPr>
              <w:t>漏洞扫描服务</w:t>
            </w:r>
          </w:p>
        </w:tc>
        <w:tc>
          <w:tcPr>
            <w:tcW w:w="3689" w:type="pct"/>
            <w:tcBorders>
              <w:top w:val="single" w:color="auto" w:sz="4" w:space="0"/>
              <w:left w:val="single" w:color="auto" w:sz="4" w:space="0"/>
              <w:bottom w:val="single" w:color="auto" w:sz="4" w:space="0"/>
              <w:right w:val="single" w:color="auto" w:sz="4" w:space="0"/>
            </w:tcBorders>
            <w:vAlign w:val="center"/>
          </w:tcPr>
          <w:p w14:paraId="12B5AA2F">
            <w:pPr>
              <w:pStyle w:val="260"/>
              <w:numPr>
                <w:ilvl w:val="0"/>
                <w:numId w:val="0"/>
              </w:numPr>
              <w:ind w:firstLine="0" w:firstLineChars="0"/>
              <w:rPr>
                <w:rFonts w:hint="eastAsia" w:ascii="宋体" w:hAnsi="宋体" w:eastAsia="宋体" w:cs="宋体"/>
                <w:sz w:val="21"/>
                <w:szCs w:val="21"/>
              </w:rPr>
            </w:pPr>
            <w:r>
              <w:rPr>
                <w:rFonts w:hint="eastAsia" w:ascii="宋体" w:hAnsi="宋体" w:eastAsia="宋体" w:cs="宋体"/>
                <w:sz w:val="21"/>
                <w:szCs w:val="21"/>
              </w:rPr>
              <w:t>至少通过两种不同厂家的扫描平台，对政务云业务的主机和应用系统进行漏洞扫描。</w:t>
            </w:r>
          </w:p>
          <w:p w14:paraId="16F699C9">
            <w:pPr>
              <w:rPr>
                <w:rFonts w:hint="eastAsia" w:ascii="宋体" w:hAnsi="宋体" w:eastAsia="宋体" w:cs="宋体"/>
                <w:sz w:val="21"/>
                <w:szCs w:val="21"/>
              </w:rPr>
            </w:pPr>
            <w:r>
              <w:rPr>
                <w:rFonts w:hint="eastAsia" w:ascii="宋体" w:hAnsi="宋体" w:eastAsia="宋体" w:cs="宋体"/>
                <w:sz w:val="21"/>
                <w:szCs w:val="21"/>
              </w:rPr>
              <w:t>每月及应用上线前对全区应用开展云上服务器、数据库等云资源的高危漏洞、高危端口、弱口令扫描，并出具扫描结果报告</w:t>
            </w:r>
            <w:r>
              <w:rPr>
                <w:rFonts w:hint="eastAsia" w:ascii="宋体" w:hAnsi="宋体" w:eastAsia="宋体" w:cs="宋体"/>
                <w:sz w:val="21"/>
                <w:szCs w:val="21"/>
                <w:lang w:eastAsia="zh-CN"/>
              </w:rPr>
              <w:t>。</w:t>
            </w:r>
          </w:p>
        </w:tc>
        <w:tc>
          <w:tcPr>
            <w:tcW w:w="585" w:type="pct"/>
            <w:tcBorders>
              <w:top w:val="single" w:color="auto" w:sz="4" w:space="0"/>
              <w:left w:val="single" w:color="auto" w:sz="4" w:space="0"/>
              <w:bottom w:val="single" w:color="auto" w:sz="4" w:space="0"/>
              <w:right w:val="single" w:color="auto" w:sz="4" w:space="0"/>
            </w:tcBorders>
            <w:vAlign w:val="center"/>
          </w:tcPr>
          <w:p w14:paraId="0AA812B9">
            <w:pPr>
              <w:rPr>
                <w:rFonts w:ascii="宋体" w:hAnsi="宋体" w:cs="宋体"/>
                <w:szCs w:val="21"/>
              </w:rPr>
            </w:pPr>
          </w:p>
        </w:tc>
      </w:tr>
    </w:tbl>
    <w:p w14:paraId="136974F0">
      <w:pPr>
        <w:pStyle w:val="23"/>
        <w:snapToGrid w:val="0"/>
        <w:ind w:firstLine="420" w:firstLineChars="200"/>
        <w:outlineLvl w:val="4"/>
        <w:rPr>
          <w:rFonts w:hint="eastAsia" w:hAnsi="宋体" w:cs="宋体"/>
          <w:sz w:val="21"/>
        </w:rPr>
      </w:pPr>
      <w:r>
        <w:rPr>
          <w:rFonts w:hint="eastAsia" w:hAnsi="宋体" w:cs="宋体"/>
          <w:sz w:val="21"/>
        </w:rPr>
        <w:t>7.3.1.</w:t>
      </w:r>
      <w:r>
        <w:rPr>
          <w:rFonts w:hint="eastAsia" w:hAnsi="宋体" w:cs="宋体"/>
          <w:sz w:val="21"/>
          <w:lang w:val="en-US" w:eastAsia="zh-CN"/>
        </w:rPr>
        <w:t>3渗透测试</w:t>
      </w:r>
      <w:r>
        <w:rPr>
          <w:rFonts w:hint="eastAsia" w:hAnsi="宋体" w:cs="宋体"/>
          <w:sz w:val="21"/>
        </w:rPr>
        <w:t>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6853"/>
        <w:gridCol w:w="1087"/>
      </w:tblGrid>
      <w:tr w14:paraId="2BAC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tcBorders>
              <w:top w:val="single" w:color="auto" w:sz="4" w:space="0"/>
              <w:left w:val="single" w:color="auto" w:sz="4" w:space="0"/>
              <w:bottom w:val="single" w:color="auto" w:sz="4" w:space="0"/>
              <w:right w:val="single" w:color="auto" w:sz="4" w:space="0"/>
            </w:tcBorders>
            <w:vAlign w:val="center"/>
          </w:tcPr>
          <w:p w14:paraId="3C7358DD">
            <w:pPr>
              <w:widowControl/>
              <w:adjustRightIn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指标项</w:t>
            </w:r>
          </w:p>
        </w:tc>
        <w:tc>
          <w:tcPr>
            <w:tcW w:w="3689" w:type="pct"/>
            <w:tcBorders>
              <w:top w:val="single" w:color="auto" w:sz="4" w:space="0"/>
              <w:left w:val="single" w:color="auto" w:sz="4" w:space="0"/>
              <w:bottom w:val="single" w:color="auto" w:sz="4" w:space="0"/>
              <w:right w:val="single" w:color="auto" w:sz="4" w:space="0"/>
            </w:tcBorders>
            <w:vAlign w:val="center"/>
          </w:tcPr>
          <w:p w14:paraId="23486399">
            <w:pPr>
              <w:adjustRightIn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规格要求</w:t>
            </w:r>
          </w:p>
        </w:tc>
        <w:tc>
          <w:tcPr>
            <w:tcW w:w="585" w:type="pct"/>
            <w:tcBorders>
              <w:top w:val="single" w:color="auto" w:sz="4" w:space="0"/>
              <w:left w:val="single" w:color="auto" w:sz="4" w:space="0"/>
              <w:bottom w:val="single" w:color="auto" w:sz="4" w:space="0"/>
              <w:right w:val="single" w:color="auto" w:sz="4" w:space="0"/>
            </w:tcBorders>
            <w:vAlign w:val="center"/>
          </w:tcPr>
          <w:p w14:paraId="303C4880">
            <w:pPr>
              <w:adjustRightIn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57A8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Borders>
              <w:top w:val="single" w:color="auto" w:sz="4" w:space="0"/>
              <w:left w:val="single" w:color="auto" w:sz="4" w:space="0"/>
              <w:bottom w:val="single" w:color="auto" w:sz="4" w:space="0"/>
              <w:right w:val="single" w:color="auto" w:sz="4" w:space="0"/>
            </w:tcBorders>
            <w:vAlign w:val="center"/>
          </w:tcPr>
          <w:p w14:paraId="3247F5CA">
            <w:pPr>
              <w:widowControl/>
              <w:numPr>
                <w:ilvl w:val="-1"/>
                <w:numId w:val="0"/>
              </w:numPr>
              <w:adjustRightInd/>
              <w:spacing w:line="360" w:lineRule="auto"/>
              <w:ind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渗透测试服务</w:t>
            </w:r>
          </w:p>
        </w:tc>
        <w:tc>
          <w:tcPr>
            <w:tcW w:w="6851" w:type="dxa"/>
            <w:tcBorders>
              <w:top w:val="single" w:color="auto" w:sz="4" w:space="0"/>
              <w:left w:val="single" w:color="auto" w:sz="4" w:space="0"/>
              <w:bottom w:val="single" w:color="auto" w:sz="4" w:space="0"/>
              <w:right w:val="single" w:color="auto" w:sz="4" w:space="0"/>
            </w:tcBorders>
            <w:vAlign w:val="center"/>
          </w:tcPr>
          <w:p w14:paraId="0FE1AD2F">
            <w:pPr>
              <w:widowControl/>
              <w:numPr>
                <w:ilvl w:val="-1"/>
                <w:numId w:val="0"/>
              </w:numPr>
              <w:adjustRightInd/>
              <w:spacing w:line="360" w:lineRule="auto"/>
              <w:ind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针对全区不少于16个应用系统渗透测试，并提供测试报告。</w:t>
            </w:r>
          </w:p>
        </w:tc>
        <w:tc>
          <w:tcPr>
            <w:tcW w:w="585" w:type="pct"/>
            <w:tcBorders>
              <w:top w:val="single" w:color="auto" w:sz="4" w:space="0"/>
              <w:left w:val="single" w:color="auto" w:sz="4" w:space="0"/>
              <w:bottom w:val="single" w:color="auto" w:sz="4" w:space="0"/>
              <w:right w:val="single" w:color="auto" w:sz="4" w:space="0"/>
            </w:tcBorders>
            <w:vAlign w:val="center"/>
          </w:tcPr>
          <w:p w14:paraId="382F56BC">
            <w:pPr>
              <w:adjustRightInd w:val="0"/>
              <w:rPr>
                <w:rFonts w:ascii="仿宋_GB2312" w:hAnsi="等线" w:eastAsia="仿宋_GB2312" w:cs="Times New Roman"/>
                <w:sz w:val="24"/>
              </w:rPr>
            </w:pPr>
          </w:p>
        </w:tc>
      </w:tr>
    </w:tbl>
    <w:p w14:paraId="4589C940">
      <w:pPr>
        <w:pStyle w:val="23"/>
        <w:snapToGrid w:val="0"/>
        <w:ind w:firstLine="420" w:firstLineChars="200"/>
        <w:outlineLvl w:val="3"/>
        <w:rPr>
          <w:rFonts w:hAnsi="宋体" w:cs="宋体"/>
          <w:sz w:val="21"/>
        </w:rPr>
      </w:pPr>
      <w:r>
        <w:rPr>
          <w:rFonts w:hint="eastAsia" w:hAnsi="宋体" w:cs="宋体"/>
          <w:sz w:val="21"/>
        </w:rPr>
        <w:t>7.</w:t>
      </w:r>
      <w:r>
        <w:rPr>
          <w:rFonts w:hAnsi="宋体" w:cs="宋体"/>
          <w:sz w:val="21"/>
        </w:rPr>
        <w:t>3</w:t>
      </w:r>
      <w:r>
        <w:rPr>
          <w:rFonts w:hint="eastAsia" w:hAnsi="宋体" w:cs="宋体"/>
          <w:sz w:val="21"/>
        </w:rPr>
        <w:t>.</w:t>
      </w:r>
      <w:r>
        <w:rPr>
          <w:rFonts w:hAnsi="宋体" w:cs="宋体"/>
          <w:sz w:val="21"/>
        </w:rPr>
        <w:t>2</w:t>
      </w:r>
      <w:r>
        <w:rPr>
          <w:rFonts w:hint="eastAsia" w:hAnsi="宋体" w:cs="宋体"/>
          <w:sz w:val="21"/>
        </w:rPr>
        <w:t>互联网出口服务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6853"/>
        <w:gridCol w:w="1087"/>
      </w:tblGrid>
      <w:tr w14:paraId="5E99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tcBorders>
              <w:top w:val="single" w:color="auto" w:sz="4" w:space="0"/>
              <w:left w:val="single" w:color="auto" w:sz="4" w:space="0"/>
              <w:bottom w:val="single" w:color="auto" w:sz="4" w:space="0"/>
              <w:right w:val="single" w:color="auto" w:sz="4" w:space="0"/>
            </w:tcBorders>
            <w:vAlign w:val="center"/>
          </w:tcPr>
          <w:p w14:paraId="35A421A2">
            <w:pPr>
              <w:widowControl/>
              <w:spacing w:line="360" w:lineRule="auto"/>
              <w:jc w:val="left"/>
              <w:rPr>
                <w:rFonts w:ascii="宋体" w:hAnsi="宋体" w:cs="宋体"/>
                <w:b/>
                <w:szCs w:val="21"/>
              </w:rPr>
            </w:pPr>
            <w:r>
              <w:rPr>
                <w:rFonts w:hint="eastAsia" w:ascii="宋体" w:hAnsi="宋体" w:cs="宋体"/>
                <w:b/>
                <w:szCs w:val="21"/>
              </w:rPr>
              <w:t>指标项</w:t>
            </w:r>
          </w:p>
        </w:tc>
        <w:tc>
          <w:tcPr>
            <w:tcW w:w="3689" w:type="pct"/>
            <w:tcBorders>
              <w:top w:val="single" w:color="auto" w:sz="4" w:space="0"/>
              <w:left w:val="single" w:color="auto" w:sz="4" w:space="0"/>
              <w:bottom w:val="single" w:color="auto" w:sz="4" w:space="0"/>
              <w:right w:val="single" w:color="auto" w:sz="4" w:space="0"/>
            </w:tcBorders>
            <w:vAlign w:val="center"/>
          </w:tcPr>
          <w:p w14:paraId="20E69370">
            <w:pPr>
              <w:spacing w:line="360" w:lineRule="auto"/>
              <w:jc w:val="center"/>
              <w:rPr>
                <w:rFonts w:ascii="宋体" w:hAnsi="宋体" w:cs="宋体"/>
                <w:b/>
                <w:szCs w:val="21"/>
              </w:rPr>
            </w:pPr>
            <w:r>
              <w:rPr>
                <w:rFonts w:hint="eastAsia" w:ascii="宋体" w:hAnsi="宋体" w:cs="宋体"/>
                <w:b/>
                <w:szCs w:val="21"/>
              </w:rPr>
              <w:t>规格要求</w:t>
            </w:r>
          </w:p>
        </w:tc>
        <w:tc>
          <w:tcPr>
            <w:tcW w:w="585" w:type="pct"/>
            <w:tcBorders>
              <w:top w:val="single" w:color="auto" w:sz="4" w:space="0"/>
              <w:left w:val="single" w:color="auto" w:sz="4" w:space="0"/>
              <w:bottom w:val="single" w:color="auto" w:sz="4" w:space="0"/>
              <w:right w:val="single" w:color="auto" w:sz="4" w:space="0"/>
            </w:tcBorders>
            <w:vAlign w:val="center"/>
          </w:tcPr>
          <w:p w14:paraId="60F89318">
            <w:pPr>
              <w:spacing w:line="360" w:lineRule="auto"/>
              <w:rPr>
                <w:rFonts w:ascii="宋体" w:hAnsi="宋体" w:cs="宋体"/>
                <w:b/>
                <w:szCs w:val="21"/>
              </w:rPr>
            </w:pPr>
            <w:r>
              <w:rPr>
                <w:rFonts w:hint="eastAsia" w:ascii="宋体" w:hAnsi="宋体" w:cs="宋体"/>
                <w:b/>
                <w:szCs w:val="21"/>
              </w:rPr>
              <w:t>备注</w:t>
            </w:r>
          </w:p>
        </w:tc>
      </w:tr>
      <w:tr w14:paraId="21DB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tcBorders>
              <w:top w:val="single" w:color="auto" w:sz="4" w:space="0"/>
              <w:left w:val="single" w:color="auto" w:sz="4" w:space="0"/>
              <w:bottom w:val="single" w:color="auto" w:sz="4" w:space="0"/>
              <w:right w:val="single" w:color="auto" w:sz="4" w:space="0"/>
            </w:tcBorders>
            <w:vAlign w:val="center"/>
          </w:tcPr>
          <w:p w14:paraId="158D3257">
            <w:pPr>
              <w:widowControl/>
              <w:spacing w:line="360" w:lineRule="auto"/>
              <w:jc w:val="left"/>
              <w:rPr>
                <w:rFonts w:ascii="宋体" w:hAnsi="宋体" w:cs="宋体"/>
                <w:szCs w:val="21"/>
              </w:rPr>
            </w:pPr>
            <w:r>
              <w:rPr>
                <w:rFonts w:hint="eastAsia" w:ascii="宋体" w:hAnsi="宋体" w:cs="宋体"/>
                <w:szCs w:val="21"/>
              </w:rPr>
              <w:t>互联网出口</w:t>
            </w:r>
          </w:p>
        </w:tc>
        <w:tc>
          <w:tcPr>
            <w:tcW w:w="3689" w:type="pct"/>
            <w:tcBorders>
              <w:top w:val="single" w:color="auto" w:sz="4" w:space="0"/>
              <w:left w:val="single" w:color="auto" w:sz="4" w:space="0"/>
              <w:bottom w:val="single" w:color="auto" w:sz="4" w:space="0"/>
              <w:right w:val="single" w:color="auto" w:sz="4" w:space="0"/>
            </w:tcBorders>
            <w:vAlign w:val="center"/>
          </w:tcPr>
          <w:p w14:paraId="14D103E1">
            <w:pPr>
              <w:spacing w:line="360" w:lineRule="auto"/>
              <w:rPr>
                <w:rFonts w:ascii="宋体" w:hAnsi="宋体" w:cs="宋体"/>
                <w:szCs w:val="21"/>
              </w:rPr>
            </w:pPr>
            <w:r>
              <w:rPr>
                <w:rFonts w:hint="eastAsia" w:ascii="宋体" w:hAnsi="宋体" w:cs="宋体"/>
                <w:szCs w:val="21"/>
              </w:rPr>
              <w:t>为钱塘政务云及信创云平台提供稳定可靠的互联网出口。</w:t>
            </w:r>
          </w:p>
        </w:tc>
        <w:tc>
          <w:tcPr>
            <w:tcW w:w="585" w:type="pct"/>
            <w:tcBorders>
              <w:top w:val="single" w:color="auto" w:sz="4" w:space="0"/>
              <w:left w:val="single" w:color="auto" w:sz="4" w:space="0"/>
              <w:bottom w:val="single" w:color="auto" w:sz="4" w:space="0"/>
              <w:right w:val="single" w:color="auto" w:sz="4" w:space="0"/>
            </w:tcBorders>
            <w:vAlign w:val="center"/>
          </w:tcPr>
          <w:p w14:paraId="039243B3">
            <w:pPr>
              <w:spacing w:line="360" w:lineRule="auto"/>
              <w:rPr>
                <w:rFonts w:ascii="宋体" w:hAnsi="宋体" w:cs="宋体"/>
                <w:szCs w:val="21"/>
              </w:rPr>
            </w:pPr>
          </w:p>
        </w:tc>
      </w:tr>
    </w:tbl>
    <w:p w14:paraId="17575EDB">
      <w:pPr>
        <w:pStyle w:val="23"/>
        <w:snapToGrid w:val="0"/>
        <w:ind w:firstLine="420" w:firstLineChars="200"/>
        <w:outlineLvl w:val="3"/>
        <w:rPr>
          <w:rFonts w:hint="eastAsia" w:hAnsi="宋体" w:cs="宋体"/>
          <w:kern w:val="2"/>
          <w:sz w:val="21"/>
          <w:szCs w:val="21"/>
          <w:lang w:val="en-US" w:eastAsia="zh-CN"/>
        </w:rPr>
      </w:pPr>
      <w:r>
        <w:rPr>
          <w:rFonts w:hint="eastAsia" w:hAnsi="宋体" w:cs="宋体"/>
          <w:kern w:val="2"/>
          <w:sz w:val="21"/>
          <w:szCs w:val="21"/>
          <w:lang w:val="en-US" w:eastAsia="zh-CN"/>
        </w:rPr>
        <w:t>7.3.3</w:t>
      </w:r>
      <w:r>
        <w:rPr>
          <w:rFonts w:hint="eastAsia" w:ascii="宋体" w:hAnsi="宋体" w:cs="宋体"/>
          <w:kern w:val="2"/>
          <w:sz w:val="21"/>
          <w:szCs w:val="21"/>
          <w:lang w:val="en-US" w:eastAsia="zh-CN"/>
        </w:rPr>
        <w:t>DLP数据防泄漏</w:t>
      </w:r>
      <w:r>
        <w:rPr>
          <w:rFonts w:hint="eastAsia" w:hAnsi="宋体" w:cs="宋体"/>
          <w:kern w:val="2"/>
          <w:sz w:val="21"/>
          <w:szCs w:val="21"/>
          <w:lang w:val="en-US" w:eastAsia="zh-CN"/>
        </w:rPr>
        <w:t>服务</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6853"/>
        <w:gridCol w:w="1087"/>
      </w:tblGrid>
      <w:tr w14:paraId="5B11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tcBorders>
              <w:top w:val="single" w:color="auto" w:sz="4" w:space="0"/>
              <w:left w:val="single" w:color="auto" w:sz="4" w:space="0"/>
              <w:bottom w:val="single" w:color="auto" w:sz="4" w:space="0"/>
              <w:right w:val="single" w:color="auto" w:sz="4" w:space="0"/>
            </w:tcBorders>
            <w:vAlign w:val="center"/>
          </w:tcPr>
          <w:p w14:paraId="5AEFA6D0">
            <w:pPr>
              <w:widowControl/>
              <w:spacing w:line="360" w:lineRule="auto"/>
              <w:jc w:val="left"/>
              <w:rPr>
                <w:rFonts w:ascii="宋体" w:hAnsi="宋体" w:cs="宋体"/>
                <w:b/>
                <w:szCs w:val="21"/>
              </w:rPr>
            </w:pPr>
            <w:r>
              <w:rPr>
                <w:rFonts w:hint="eastAsia" w:ascii="宋体" w:hAnsi="宋体" w:cs="宋体"/>
                <w:b/>
                <w:szCs w:val="21"/>
              </w:rPr>
              <w:t>指标项</w:t>
            </w:r>
          </w:p>
        </w:tc>
        <w:tc>
          <w:tcPr>
            <w:tcW w:w="3689" w:type="pct"/>
            <w:tcBorders>
              <w:top w:val="single" w:color="auto" w:sz="4" w:space="0"/>
              <w:left w:val="single" w:color="auto" w:sz="4" w:space="0"/>
              <w:bottom w:val="single" w:color="auto" w:sz="4" w:space="0"/>
              <w:right w:val="single" w:color="auto" w:sz="4" w:space="0"/>
            </w:tcBorders>
            <w:vAlign w:val="center"/>
          </w:tcPr>
          <w:p w14:paraId="2452A74A">
            <w:pPr>
              <w:spacing w:line="360" w:lineRule="auto"/>
              <w:jc w:val="center"/>
              <w:rPr>
                <w:rFonts w:ascii="宋体" w:hAnsi="宋体" w:cs="宋体"/>
                <w:b/>
                <w:szCs w:val="21"/>
              </w:rPr>
            </w:pPr>
            <w:r>
              <w:rPr>
                <w:rFonts w:hint="eastAsia" w:ascii="宋体" w:hAnsi="宋体" w:cs="宋体"/>
                <w:b/>
                <w:szCs w:val="21"/>
              </w:rPr>
              <w:t>规格要求</w:t>
            </w:r>
          </w:p>
        </w:tc>
        <w:tc>
          <w:tcPr>
            <w:tcW w:w="585" w:type="pct"/>
            <w:tcBorders>
              <w:top w:val="single" w:color="auto" w:sz="4" w:space="0"/>
              <w:left w:val="single" w:color="auto" w:sz="4" w:space="0"/>
              <w:bottom w:val="single" w:color="auto" w:sz="4" w:space="0"/>
              <w:right w:val="single" w:color="auto" w:sz="4" w:space="0"/>
            </w:tcBorders>
            <w:vAlign w:val="center"/>
          </w:tcPr>
          <w:p w14:paraId="23D58524">
            <w:pPr>
              <w:spacing w:line="360" w:lineRule="auto"/>
              <w:rPr>
                <w:rFonts w:ascii="宋体" w:hAnsi="宋体" w:cs="宋体"/>
                <w:b/>
                <w:szCs w:val="21"/>
              </w:rPr>
            </w:pPr>
            <w:r>
              <w:rPr>
                <w:rFonts w:hint="eastAsia" w:ascii="宋体" w:hAnsi="宋体" w:cs="宋体"/>
                <w:b/>
                <w:szCs w:val="21"/>
              </w:rPr>
              <w:t>备注</w:t>
            </w:r>
          </w:p>
        </w:tc>
      </w:tr>
      <w:tr w14:paraId="48AB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pct"/>
            <w:tcBorders>
              <w:top w:val="single" w:color="auto" w:sz="4" w:space="0"/>
              <w:left w:val="single" w:color="auto" w:sz="4" w:space="0"/>
              <w:bottom w:val="single" w:color="auto" w:sz="4" w:space="0"/>
              <w:right w:val="single" w:color="auto" w:sz="4" w:space="0"/>
            </w:tcBorders>
            <w:vAlign w:val="center"/>
          </w:tcPr>
          <w:p w14:paraId="419432AA">
            <w:pPr>
              <w:widowControl/>
              <w:spacing w:line="360" w:lineRule="auto"/>
              <w:jc w:val="left"/>
              <w:rPr>
                <w:rFonts w:ascii="宋体" w:hAnsi="宋体" w:cs="宋体"/>
                <w:szCs w:val="21"/>
              </w:rPr>
            </w:pPr>
            <w:r>
              <w:rPr>
                <w:rFonts w:hint="eastAsia" w:ascii="宋体" w:hAnsi="宋体" w:cs="宋体"/>
                <w:szCs w:val="21"/>
              </w:rPr>
              <w:t>DLP数据防泄漏服务</w:t>
            </w:r>
          </w:p>
        </w:tc>
        <w:tc>
          <w:tcPr>
            <w:tcW w:w="3689" w:type="pct"/>
            <w:tcBorders>
              <w:top w:val="single" w:color="auto" w:sz="4" w:space="0"/>
              <w:left w:val="single" w:color="auto" w:sz="4" w:space="0"/>
              <w:bottom w:val="single" w:color="auto" w:sz="4" w:space="0"/>
              <w:right w:val="single" w:color="auto" w:sz="4" w:space="0"/>
            </w:tcBorders>
            <w:vAlign w:val="center"/>
          </w:tcPr>
          <w:p w14:paraId="6FBDEC8A">
            <w:pPr>
              <w:spacing w:line="360" w:lineRule="auto"/>
              <w:rPr>
                <w:rFonts w:ascii="宋体" w:hAnsi="宋体" w:cs="宋体"/>
                <w:szCs w:val="21"/>
              </w:rPr>
            </w:pPr>
            <w:r>
              <w:rPr>
                <w:rFonts w:hint="eastAsia" w:ascii="宋体" w:hAnsi="宋体" w:cs="宋体"/>
                <w:szCs w:val="21"/>
              </w:rPr>
              <w:t>提供包含检测预防、实时防护、安全保护、风险处置、事件追溯等能力的全生命周期管控与防护一体化终端安全</w:t>
            </w:r>
          </w:p>
        </w:tc>
        <w:tc>
          <w:tcPr>
            <w:tcW w:w="585" w:type="pct"/>
            <w:tcBorders>
              <w:top w:val="single" w:color="auto" w:sz="4" w:space="0"/>
              <w:left w:val="single" w:color="auto" w:sz="4" w:space="0"/>
              <w:bottom w:val="single" w:color="auto" w:sz="4" w:space="0"/>
              <w:right w:val="single" w:color="auto" w:sz="4" w:space="0"/>
            </w:tcBorders>
            <w:vAlign w:val="center"/>
          </w:tcPr>
          <w:p w14:paraId="7157FF78">
            <w:pPr>
              <w:spacing w:line="360" w:lineRule="auto"/>
              <w:rPr>
                <w:rFonts w:ascii="宋体" w:hAnsi="宋体" w:cs="宋体"/>
                <w:szCs w:val="21"/>
              </w:rPr>
            </w:pPr>
          </w:p>
        </w:tc>
      </w:tr>
    </w:tbl>
    <w:p w14:paraId="24507828">
      <w:pPr>
        <w:pStyle w:val="23"/>
        <w:snapToGrid w:val="0"/>
        <w:ind w:firstLine="420" w:firstLineChars="200"/>
        <w:outlineLvl w:val="3"/>
        <w:rPr>
          <w:rFonts w:hAnsi="宋体" w:cs="宋体"/>
          <w:sz w:val="21"/>
        </w:rPr>
      </w:pPr>
      <w:r>
        <w:rPr>
          <w:rFonts w:hint="eastAsia" w:hAnsi="宋体" w:cs="宋体"/>
          <w:sz w:val="21"/>
        </w:rPr>
        <w:t>7.3.</w:t>
      </w:r>
      <w:r>
        <w:rPr>
          <w:rFonts w:hint="eastAsia" w:hAnsi="宋体" w:cs="宋体"/>
          <w:sz w:val="21"/>
          <w:lang w:val="en-US" w:eastAsia="zh-CN"/>
        </w:rPr>
        <w:t>4</w:t>
      </w:r>
      <w:r>
        <w:rPr>
          <w:rFonts w:hint="eastAsia" w:hAnsi="宋体" w:cs="宋体"/>
          <w:sz w:val="21"/>
        </w:rPr>
        <w:t>租户安全服务</w:t>
      </w:r>
    </w:p>
    <w:p w14:paraId="634A464A">
      <w:pPr>
        <w:pStyle w:val="23"/>
        <w:snapToGrid w:val="0"/>
        <w:ind w:firstLine="420" w:firstLineChars="200"/>
        <w:outlineLvl w:val="4"/>
        <w:rPr>
          <w:rFonts w:hAnsi="宋体" w:cs="宋体"/>
          <w:sz w:val="21"/>
        </w:rPr>
      </w:pPr>
      <w:r>
        <w:rPr>
          <w:rFonts w:hint="eastAsia" w:hAnsi="宋体" w:cs="宋体"/>
          <w:sz w:val="21"/>
        </w:rPr>
        <w:t>7.3.</w:t>
      </w:r>
      <w:r>
        <w:rPr>
          <w:rFonts w:hint="eastAsia" w:hAnsi="宋体" w:cs="宋体"/>
          <w:sz w:val="21"/>
          <w:lang w:val="en-US" w:eastAsia="zh-CN"/>
        </w:rPr>
        <w:t>4</w:t>
      </w:r>
      <w:r>
        <w:rPr>
          <w:rFonts w:hint="eastAsia" w:hAnsi="宋体" w:cs="宋体"/>
          <w:sz w:val="21"/>
        </w:rPr>
        <w:t>.1信息系统等保安全服务</w:t>
      </w:r>
    </w:p>
    <w:p w14:paraId="3D627042">
      <w:pPr>
        <w:spacing w:line="360" w:lineRule="auto"/>
        <w:ind w:firstLine="480"/>
        <w:rPr>
          <w:rFonts w:ascii="宋体" w:hAnsi="宋体" w:cs="宋体"/>
          <w:szCs w:val="21"/>
        </w:rPr>
      </w:pPr>
      <w:r>
        <w:rPr>
          <w:rFonts w:hint="eastAsia" w:ascii="宋体" w:hAnsi="宋体" w:cs="宋体"/>
          <w:szCs w:val="21"/>
        </w:rPr>
        <w:t>投标人需按照三级系统、二级系统的规模对部署在云平台上的应用系统提供统一的安全服务，提供的安全服务包括但不限于以下内容。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7821"/>
      </w:tblGrid>
      <w:tr w14:paraId="599D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3D0AE633">
            <w:pPr>
              <w:spacing w:line="360" w:lineRule="auto"/>
              <w:jc w:val="center"/>
              <w:rPr>
                <w:rFonts w:ascii="宋体" w:hAnsi="宋体" w:cs="宋体"/>
                <w:b/>
                <w:szCs w:val="21"/>
              </w:rPr>
            </w:pPr>
            <w:r>
              <w:rPr>
                <w:rFonts w:hint="eastAsia" w:ascii="宋体" w:hAnsi="宋体" w:cs="宋体"/>
                <w:b/>
                <w:szCs w:val="21"/>
              </w:rPr>
              <w:t>指标项</w:t>
            </w:r>
          </w:p>
        </w:tc>
        <w:tc>
          <w:tcPr>
            <w:tcW w:w="4210" w:type="pct"/>
          </w:tcPr>
          <w:p w14:paraId="7BC32F4A">
            <w:pPr>
              <w:spacing w:line="360" w:lineRule="auto"/>
              <w:jc w:val="center"/>
              <w:rPr>
                <w:rFonts w:ascii="宋体" w:hAnsi="宋体" w:cs="宋体"/>
                <w:b/>
                <w:szCs w:val="21"/>
              </w:rPr>
            </w:pPr>
            <w:r>
              <w:rPr>
                <w:rFonts w:hint="eastAsia" w:ascii="宋体" w:hAnsi="宋体" w:cs="宋体"/>
                <w:b/>
                <w:szCs w:val="21"/>
              </w:rPr>
              <w:t>详细技术要求</w:t>
            </w:r>
          </w:p>
        </w:tc>
      </w:tr>
      <w:tr w14:paraId="5A14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5E9C75F6">
            <w:pPr>
              <w:spacing w:line="360" w:lineRule="auto"/>
              <w:rPr>
                <w:rFonts w:ascii="宋体" w:hAnsi="宋体" w:cs="宋体"/>
                <w:szCs w:val="21"/>
              </w:rPr>
            </w:pPr>
            <w:r>
              <w:rPr>
                <w:rFonts w:hint="eastAsia" w:ascii="宋体" w:hAnsi="宋体" w:cs="宋体"/>
                <w:szCs w:val="21"/>
              </w:rPr>
              <w:t>下一代防火墙</w:t>
            </w:r>
          </w:p>
        </w:tc>
        <w:tc>
          <w:tcPr>
            <w:tcW w:w="4210" w:type="pct"/>
          </w:tcPr>
          <w:p w14:paraId="75D5A554">
            <w:pPr>
              <w:spacing w:line="360" w:lineRule="auto"/>
              <w:rPr>
                <w:rFonts w:ascii="宋体" w:hAnsi="宋体" w:cs="宋体"/>
                <w:szCs w:val="21"/>
              </w:rPr>
            </w:pPr>
            <w:r>
              <w:rPr>
                <w:rFonts w:hint="eastAsia" w:ascii="宋体" w:hAnsi="宋体" w:cs="宋体"/>
                <w:szCs w:val="21"/>
              </w:rPr>
              <w:t>作用于信息系统所有子网及安全域；控制进出各子网的所有数据流量，阻止各类非法应用。并提供边界处访问控制、包过滤、防病毒、入侵防护、邮件过滤、VPN等功能。</w:t>
            </w:r>
          </w:p>
        </w:tc>
      </w:tr>
      <w:tr w14:paraId="7244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13F851B5">
            <w:pPr>
              <w:spacing w:line="360" w:lineRule="auto"/>
              <w:rPr>
                <w:rFonts w:ascii="宋体" w:hAnsi="宋体" w:cs="宋体"/>
                <w:szCs w:val="21"/>
              </w:rPr>
            </w:pPr>
            <w:r>
              <w:rPr>
                <w:rFonts w:hint="eastAsia" w:ascii="宋体" w:hAnsi="宋体" w:cs="宋体"/>
                <w:szCs w:val="21"/>
              </w:rPr>
              <w:t>Web应用防火墙</w:t>
            </w:r>
          </w:p>
        </w:tc>
        <w:tc>
          <w:tcPr>
            <w:tcW w:w="4210" w:type="pct"/>
          </w:tcPr>
          <w:p w14:paraId="158961F0">
            <w:pPr>
              <w:spacing w:line="360" w:lineRule="auto"/>
              <w:rPr>
                <w:rFonts w:ascii="宋体" w:hAnsi="宋体" w:cs="宋体"/>
                <w:szCs w:val="21"/>
              </w:rPr>
            </w:pPr>
            <w:r>
              <w:rPr>
                <w:rFonts w:hint="eastAsia" w:ascii="宋体" w:hAnsi="宋体" w:cs="宋体"/>
                <w:szCs w:val="21"/>
              </w:rPr>
              <w:t>对访问应用系统的行为进行检测，并阻断恶意攻击行为。即支持防护来自互联网的攻击，也支持防护来自</w:t>
            </w:r>
            <w:r>
              <w:rPr>
                <w:rFonts w:hint="eastAsia" w:ascii="宋体" w:hAnsi="宋体" w:cs="宋体"/>
                <w:szCs w:val="21"/>
                <w:lang w:eastAsia="zh-Hans"/>
              </w:rPr>
              <w:t>专有网络</w:t>
            </w:r>
            <w:r>
              <w:rPr>
                <w:rFonts w:hint="eastAsia" w:ascii="宋体" w:hAnsi="宋体" w:cs="宋体"/>
                <w:szCs w:val="21"/>
              </w:rPr>
              <w:t>内部的攻击</w:t>
            </w:r>
          </w:p>
        </w:tc>
      </w:tr>
      <w:tr w14:paraId="5119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21CB6BF2">
            <w:pPr>
              <w:spacing w:line="360" w:lineRule="auto"/>
              <w:rPr>
                <w:rFonts w:ascii="宋体" w:hAnsi="宋体" w:cs="宋体"/>
                <w:szCs w:val="21"/>
              </w:rPr>
            </w:pPr>
            <w:r>
              <w:rPr>
                <w:rFonts w:hint="eastAsia" w:ascii="宋体" w:hAnsi="宋体" w:cs="宋体"/>
                <w:szCs w:val="21"/>
              </w:rPr>
              <w:t>数据库审计</w:t>
            </w:r>
          </w:p>
        </w:tc>
        <w:tc>
          <w:tcPr>
            <w:tcW w:w="4210" w:type="pct"/>
          </w:tcPr>
          <w:p w14:paraId="2FEE23AB">
            <w:pPr>
              <w:spacing w:line="360" w:lineRule="auto"/>
              <w:rPr>
                <w:rFonts w:ascii="宋体" w:hAnsi="宋体" w:cs="宋体"/>
                <w:szCs w:val="21"/>
              </w:rPr>
            </w:pPr>
            <w:r>
              <w:rPr>
                <w:rFonts w:hint="eastAsia" w:ascii="宋体" w:hAnsi="宋体" w:cs="宋体"/>
                <w:szCs w:val="21"/>
              </w:rPr>
              <w:t>对内部用户对数据库的操作进行细粒度的审计并分析，发现危险行为。支持单一数据库和全局数据库两个维度分别审计展示、查询。</w:t>
            </w:r>
          </w:p>
        </w:tc>
      </w:tr>
      <w:tr w14:paraId="0528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65E466EE">
            <w:pPr>
              <w:spacing w:line="360" w:lineRule="auto"/>
              <w:rPr>
                <w:rFonts w:ascii="宋体" w:hAnsi="宋体" w:cs="宋体"/>
                <w:szCs w:val="21"/>
              </w:rPr>
            </w:pPr>
            <w:r>
              <w:rPr>
                <w:rFonts w:hint="eastAsia" w:ascii="宋体" w:hAnsi="宋体" w:cs="宋体"/>
                <w:szCs w:val="21"/>
              </w:rPr>
              <w:t>运维审计</w:t>
            </w:r>
          </w:p>
        </w:tc>
        <w:tc>
          <w:tcPr>
            <w:tcW w:w="4210" w:type="pct"/>
          </w:tcPr>
          <w:p w14:paraId="3E09C024">
            <w:pPr>
              <w:spacing w:line="360" w:lineRule="auto"/>
              <w:rPr>
                <w:rFonts w:ascii="宋体" w:hAnsi="宋体" w:cs="宋体"/>
                <w:szCs w:val="21"/>
              </w:rPr>
            </w:pPr>
            <w:r>
              <w:rPr>
                <w:rFonts w:hint="eastAsia" w:ascii="宋体" w:hAnsi="宋体" w:cs="宋体"/>
                <w:szCs w:val="21"/>
              </w:rPr>
              <w:t>通过4A审计对内部用户对网络资产的运维行为进行监控</w:t>
            </w:r>
          </w:p>
        </w:tc>
      </w:tr>
      <w:tr w14:paraId="6AE7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0384F852">
            <w:pPr>
              <w:spacing w:line="360" w:lineRule="auto"/>
              <w:rPr>
                <w:rFonts w:ascii="宋体" w:hAnsi="宋体" w:cs="宋体"/>
                <w:szCs w:val="21"/>
              </w:rPr>
            </w:pPr>
            <w:r>
              <w:rPr>
                <w:rFonts w:hint="eastAsia" w:ascii="宋体" w:hAnsi="宋体" w:cs="宋体"/>
                <w:szCs w:val="21"/>
              </w:rPr>
              <w:t>综合日志分析与收集系统</w:t>
            </w:r>
          </w:p>
        </w:tc>
        <w:tc>
          <w:tcPr>
            <w:tcW w:w="4210" w:type="pct"/>
          </w:tcPr>
          <w:p w14:paraId="2F99559B">
            <w:pPr>
              <w:spacing w:line="360" w:lineRule="auto"/>
              <w:rPr>
                <w:rFonts w:ascii="宋体" w:hAnsi="宋体" w:cs="宋体"/>
                <w:szCs w:val="21"/>
              </w:rPr>
            </w:pPr>
            <w:r>
              <w:rPr>
                <w:rFonts w:hint="eastAsia" w:ascii="宋体" w:hAnsi="宋体" w:cs="宋体"/>
                <w:szCs w:val="21"/>
              </w:rPr>
              <w:t>收集来自网络设备、主机、安全设备等的日志，并进行统一展现和关联分析</w:t>
            </w:r>
          </w:p>
        </w:tc>
      </w:tr>
      <w:tr w14:paraId="1779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2F125866">
            <w:pPr>
              <w:spacing w:line="360" w:lineRule="auto"/>
              <w:rPr>
                <w:rFonts w:ascii="宋体" w:hAnsi="宋体" w:cs="宋体"/>
                <w:szCs w:val="21"/>
              </w:rPr>
            </w:pPr>
            <w:r>
              <w:rPr>
                <w:rFonts w:hint="eastAsia" w:ascii="宋体" w:hAnsi="宋体" w:cs="宋体"/>
                <w:szCs w:val="21"/>
              </w:rPr>
              <w:t>网络安全扫描</w:t>
            </w:r>
          </w:p>
        </w:tc>
        <w:tc>
          <w:tcPr>
            <w:tcW w:w="4210" w:type="pct"/>
          </w:tcPr>
          <w:p w14:paraId="2FB99D18">
            <w:pPr>
              <w:spacing w:line="360" w:lineRule="auto"/>
              <w:rPr>
                <w:rFonts w:ascii="宋体" w:hAnsi="宋体" w:cs="宋体"/>
                <w:szCs w:val="21"/>
              </w:rPr>
            </w:pPr>
            <w:r>
              <w:rPr>
                <w:rFonts w:hint="eastAsia" w:ascii="宋体" w:hAnsi="宋体" w:cs="宋体"/>
                <w:szCs w:val="21"/>
              </w:rPr>
              <w:t>对主机、网络设备、恶意代码等进行漏洞检测。支持资产导入功能，包括域名资产、IP资产、URL资产，实施查看导入进度</w:t>
            </w:r>
          </w:p>
        </w:tc>
      </w:tr>
      <w:tr w14:paraId="70ED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293B9F7B">
            <w:pPr>
              <w:spacing w:line="360" w:lineRule="auto"/>
              <w:rPr>
                <w:rFonts w:ascii="宋体" w:hAnsi="宋体" w:cs="宋体"/>
                <w:szCs w:val="21"/>
              </w:rPr>
            </w:pPr>
            <w:r>
              <w:rPr>
                <w:rFonts w:hint="eastAsia" w:ascii="宋体" w:hAnsi="宋体" w:cs="宋体"/>
                <w:szCs w:val="21"/>
              </w:rPr>
              <w:t>检测系统</w:t>
            </w:r>
          </w:p>
        </w:tc>
        <w:tc>
          <w:tcPr>
            <w:tcW w:w="4210" w:type="pct"/>
          </w:tcPr>
          <w:p w14:paraId="5EE42D59">
            <w:pPr>
              <w:spacing w:line="360" w:lineRule="auto"/>
              <w:rPr>
                <w:rFonts w:ascii="宋体" w:hAnsi="宋体" w:cs="宋体"/>
                <w:szCs w:val="21"/>
              </w:rPr>
            </w:pPr>
            <w:r>
              <w:rPr>
                <w:rFonts w:hint="eastAsia" w:ascii="宋体" w:hAnsi="宋体" w:cs="宋体"/>
                <w:szCs w:val="21"/>
              </w:rPr>
              <w:t>作用于信息系统的重要安全域；实时检测目标网络流量，及时发现入侵行为并进行报警和审计</w:t>
            </w:r>
          </w:p>
        </w:tc>
      </w:tr>
      <w:tr w14:paraId="1F89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57A02108">
            <w:pPr>
              <w:spacing w:line="360" w:lineRule="auto"/>
              <w:rPr>
                <w:rFonts w:ascii="宋体" w:hAnsi="宋体" w:cs="宋体"/>
                <w:szCs w:val="21"/>
              </w:rPr>
            </w:pPr>
            <w:r>
              <w:rPr>
                <w:rFonts w:hint="eastAsia" w:ascii="宋体" w:hAnsi="宋体" w:cs="宋体"/>
                <w:szCs w:val="21"/>
              </w:rPr>
              <w:t>安全管理平台</w:t>
            </w:r>
          </w:p>
        </w:tc>
        <w:tc>
          <w:tcPr>
            <w:tcW w:w="4210" w:type="pct"/>
          </w:tcPr>
          <w:p w14:paraId="1C068EEF">
            <w:pPr>
              <w:spacing w:line="360" w:lineRule="auto"/>
              <w:rPr>
                <w:rFonts w:ascii="宋体" w:hAnsi="宋体" w:cs="宋体"/>
                <w:szCs w:val="21"/>
              </w:rPr>
            </w:pPr>
            <w:r>
              <w:rPr>
                <w:rFonts w:hint="eastAsia" w:ascii="宋体" w:hAnsi="宋体" w:cs="宋体"/>
                <w:szCs w:val="21"/>
              </w:rPr>
              <w:t>管理所有安全设备及部分网络设备；</w:t>
            </w:r>
          </w:p>
          <w:p w14:paraId="45D198FD">
            <w:pPr>
              <w:spacing w:line="360" w:lineRule="auto"/>
              <w:rPr>
                <w:rFonts w:ascii="宋体" w:hAnsi="宋体" w:cs="宋体"/>
                <w:szCs w:val="21"/>
              </w:rPr>
            </w:pPr>
            <w:r>
              <w:rPr>
                <w:rFonts w:hint="eastAsia" w:ascii="宋体" w:hAnsi="宋体" w:cs="宋体"/>
                <w:szCs w:val="21"/>
              </w:rPr>
              <w:t>对安全设备和部分网络设备进行统一管理、状态监控、策略下发，实现全局网络安全态势感知</w:t>
            </w:r>
          </w:p>
          <w:p w14:paraId="3ACF6778">
            <w:pPr>
              <w:spacing w:line="360" w:lineRule="auto"/>
              <w:rPr>
                <w:rFonts w:ascii="宋体" w:hAnsi="宋体" w:cs="宋体"/>
                <w:szCs w:val="21"/>
              </w:rPr>
            </w:pPr>
            <w:r>
              <w:rPr>
                <w:rFonts w:hint="eastAsia" w:ascii="宋体" w:hAnsi="宋体" w:cs="宋体"/>
                <w:szCs w:val="21"/>
              </w:rPr>
              <w:t>安全产品支持以通用授权许可的方式进行开通，管理平台只记录许可总数，授权许可将根据产品种类及规格进行按需扣减消耗。</w:t>
            </w:r>
            <w:r>
              <w:rPr>
                <w:rFonts w:hint="eastAsia" w:ascii="宋体" w:hAnsi="宋体" w:cs="宋体"/>
                <w:szCs w:val="21"/>
              </w:rPr>
              <w:br w:type="textWrapping"/>
            </w:r>
            <w:r>
              <w:rPr>
                <w:rFonts w:hint="eastAsia" w:ascii="宋体" w:hAnsi="宋体" w:cs="宋体"/>
                <w:szCs w:val="21"/>
              </w:rPr>
              <w:t>平台及所有组件支持多租户共享架构，即通过一套管理平台向多个租户提供安全能力，在平台界面即可管理并使用各个组件。</w:t>
            </w:r>
          </w:p>
        </w:tc>
      </w:tr>
      <w:tr w14:paraId="323F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2CCD508C">
            <w:pPr>
              <w:spacing w:line="360" w:lineRule="auto"/>
              <w:rPr>
                <w:rFonts w:ascii="宋体" w:hAnsi="宋体" w:cs="宋体"/>
                <w:szCs w:val="21"/>
              </w:rPr>
            </w:pPr>
            <w:r>
              <w:rPr>
                <w:rFonts w:hint="eastAsia" w:ascii="宋体" w:hAnsi="宋体" w:cs="宋体"/>
                <w:szCs w:val="21"/>
              </w:rPr>
              <w:t>网络安全审计</w:t>
            </w:r>
          </w:p>
        </w:tc>
        <w:tc>
          <w:tcPr>
            <w:tcW w:w="4210" w:type="pct"/>
          </w:tcPr>
          <w:p w14:paraId="03F29525">
            <w:pPr>
              <w:spacing w:line="360" w:lineRule="auto"/>
              <w:rPr>
                <w:rFonts w:ascii="宋体" w:hAnsi="宋体" w:cs="宋体"/>
                <w:szCs w:val="21"/>
              </w:rPr>
            </w:pPr>
            <w:r>
              <w:rPr>
                <w:rFonts w:hint="eastAsia" w:ascii="宋体" w:hAnsi="宋体" w:cs="宋体"/>
                <w:szCs w:val="21"/>
              </w:rPr>
              <w:t>对信息系统网络行为监控和审计，及时发现网络应用异常行为。为集中安全管理提供监控数据</w:t>
            </w:r>
          </w:p>
        </w:tc>
      </w:tr>
      <w:tr w14:paraId="4CAC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5DA68E0A">
            <w:pPr>
              <w:spacing w:line="360" w:lineRule="auto"/>
              <w:rPr>
                <w:rFonts w:ascii="宋体" w:hAnsi="宋体" w:cs="宋体"/>
                <w:szCs w:val="21"/>
              </w:rPr>
            </w:pPr>
            <w:r>
              <w:rPr>
                <w:rFonts w:hint="eastAsia" w:ascii="宋体" w:hAnsi="宋体" w:cs="宋体"/>
                <w:szCs w:val="21"/>
              </w:rPr>
              <w:t>网络防病毒</w:t>
            </w:r>
          </w:p>
        </w:tc>
        <w:tc>
          <w:tcPr>
            <w:tcW w:w="4210" w:type="pct"/>
          </w:tcPr>
          <w:p w14:paraId="4FC224FC">
            <w:pPr>
              <w:spacing w:line="360" w:lineRule="auto"/>
              <w:rPr>
                <w:rFonts w:ascii="宋体" w:hAnsi="宋体" w:cs="宋体"/>
                <w:szCs w:val="21"/>
              </w:rPr>
            </w:pPr>
            <w:r>
              <w:rPr>
                <w:rFonts w:hint="eastAsia" w:ascii="宋体" w:hAnsi="宋体" w:cs="宋体"/>
                <w:szCs w:val="21"/>
              </w:rPr>
              <w:t>抑制来自外部或内部的恶意病毒传播，保持网络清洁。与防病毒网关组成多层次深度防御</w:t>
            </w:r>
          </w:p>
        </w:tc>
      </w:tr>
      <w:tr w14:paraId="3ED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Pr>
          <w:p w14:paraId="7A83D1D0">
            <w:pPr>
              <w:spacing w:line="360" w:lineRule="auto"/>
              <w:rPr>
                <w:rFonts w:ascii="宋体" w:hAnsi="宋体" w:cs="宋体"/>
                <w:szCs w:val="21"/>
              </w:rPr>
            </w:pPr>
            <w:r>
              <w:rPr>
                <w:rFonts w:hint="eastAsia" w:ascii="宋体" w:hAnsi="宋体" w:cs="宋体"/>
                <w:szCs w:val="21"/>
              </w:rPr>
              <w:t>终端安全管理系统</w:t>
            </w:r>
          </w:p>
        </w:tc>
        <w:tc>
          <w:tcPr>
            <w:tcW w:w="4210" w:type="pct"/>
          </w:tcPr>
          <w:p w14:paraId="68A10957">
            <w:pPr>
              <w:spacing w:line="360" w:lineRule="auto"/>
              <w:rPr>
                <w:rFonts w:ascii="宋体" w:hAnsi="宋体" w:cs="宋体"/>
                <w:szCs w:val="21"/>
              </w:rPr>
            </w:pPr>
            <w:r>
              <w:rPr>
                <w:rFonts w:hint="eastAsia" w:ascii="宋体" w:hAnsi="宋体" w:cs="宋体"/>
                <w:szCs w:val="21"/>
              </w:rPr>
              <w:t>统一进行内网终端的安全管理，通过对终端和访问行为进行限制和保护，实现终端安全加固、网络接入控制、非法外联控制、资产管理、I/O接入管理、终端配置维护、终端审计监控等</w:t>
            </w:r>
          </w:p>
        </w:tc>
      </w:tr>
    </w:tbl>
    <w:p w14:paraId="40210F69">
      <w:pPr>
        <w:pStyle w:val="23"/>
        <w:snapToGrid w:val="0"/>
        <w:ind w:firstLine="420" w:firstLineChars="200"/>
        <w:outlineLvl w:val="4"/>
        <w:rPr>
          <w:rFonts w:hAnsi="宋体" w:cs="宋体"/>
          <w:sz w:val="21"/>
        </w:rPr>
      </w:pPr>
      <w:r>
        <w:rPr>
          <w:rFonts w:hint="eastAsia" w:hAnsi="宋体" w:cs="宋体"/>
          <w:sz w:val="21"/>
        </w:rPr>
        <w:t>7.3.</w:t>
      </w:r>
      <w:r>
        <w:rPr>
          <w:rFonts w:hint="eastAsia" w:hAnsi="宋体" w:cs="宋体"/>
          <w:sz w:val="21"/>
          <w:lang w:val="en-US" w:eastAsia="zh-CN"/>
        </w:rPr>
        <w:t>4</w:t>
      </w:r>
      <w:r>
        <w:rPr>
          <w:rFonts w:hint="eastAsia" w:hAnsi="宋体" w:cs="宋体"/>
          <w:sz w:val="21"/>
        </w:rPr>
        <w:t>.2信息系统密评加固服务</w:t>
      </w:r>
    </w:p>
    <w:p w14:paraId="3E4C8A1D">
      <w:pPr>
        <w:pStyle w:val="713"/>
        <w:ind w:firstLine="420"/>
        <w:rPr>
          <w:rFonts w:ascii="宋体" w:hAnsi="宋体" w:eastAsia="宋体" w:cs="宋体"/>
          <w:sz w:val="21"/>
        </w:rPr>
      </w:pPr>
      <w:r>
        <w:rPr>
          <w:rFonts w:hint="eastAsia" w:ascii="宋体" w:hAnsi="宋体" w:eastAsia="宋体" w:cs="宋体"/>
          <w:sz w:val="21"/>
        </w:rPr>
        <w:t>钱塘区信息系统密评加固服务是对采用密码技术、产品和服务集成建设的网络和信息系统中密码应用系统的加固服务。对云业务系统严格按照《信息系统密码应用基本要求》（GB/T39786-2021）的总体要求，包括密码算法、密码技术、密码产品和密码服务进行加固；对信息系统严格按照密码技术应用要求，包括物理和环境安全、网络和通信安全、设备和计算安全、应用和数据安全、密钥管理及安全管理进行加固；对所须评估的系统提供商用密码应用安全性加固服务，最终输出被评估系统密码应用的加固。</w:t>
      </w:r>
    </w:p>
    <w:p w14:paraId="0318981F">
      <w:pPr>
        <w:spacing w:line="360" w:lineRule="auto"/>
        <w:ind w:firstLine="420" w:firstLineChars="200"/>
        <w:rPr>
          <w:rFonts w:ascii="宋体" w:hAnsi="宋体" w:cs="宋体"/>
          <w:szCs w:val="21"/>
        </w:rPr>
      </w:pPr>
      <w:r>
        <w:rPr>
          <w:rFonts w:hint="eastAsia" w:ascii="宋体" w:hAnsi="宋体" w:cs="宋体"/>
          <w:szCs w:val="21"/>
        </w:rPr>
        <w:t>具体加固服务内容包括：</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06"/>
        <w:gridCol w:w="2545"/>
        <w:gridCol w:w="3827"/>
      </w:tblGrid>
      <w:tr w14:paraId="5E0C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3D597671">
            <w:pPr>
              <w:widowControl/>
              <w:jc w:val="center"/>
              <w:rPr>
                <w:rFonts w:ascii="宋体" w:hAnsi="宋体" w:cs="宋体"/>
                <w:b/>
                <w:bCs/>
                <w:kern w:val="0"/>
                <w:szCs w:val="21"/>
              </w:rPr>
            </w:pPr>
            <w:r>
              <w:rPr>
                <w:rFonts w:hint="eastAsia" w:ascii="宋体" w:hAnsi="宋体" w:cs="宋体"/>
                <w:b/>
                <w:bCs/>
                <w:kern w:val="0"/>
                <w:szCs w:val="21"/>
              </w:rPr>
              <w:t>序号</w:t>
            </w:r>
          </w:p>
        </w:tc>
        <w:tc>
          <w:tcPr>
            <w:tcW w:w="1241" w:type="pct"/>
            <w:vAlign w:val="center"/>
          </w:tcPr>
          <w:p w14:paraId="7A38CBB7">
            <w:pPr>
              <w:widowControl/>
              <w:jc w:val="center"/>
              <w:rPr>
                <w:rFonts w:ascii="宋体" w:hAnsi="宋体" w:cs="宋体"/>
                <w:b/>
                <w:bCs/>
                <w:kern w:val="0"/>
                <w:szCs w:val="21"/>
              </w:rPr>
            </w:pPr>
            <w:r>
              <w:rPr>
                <w:rFonts w:hint="eastAsia" w:ascii="宋体" w:hAnsi="宋体" w:cs="宋体"/>
                <w:b/>
                <w:bCs/>
                <w:kern w:val="0"/>
                <w:szCs w:val="21"/>
              </w:rPr>
              <w:t>服务名称</w:t>
            </w:r>
          </w:p>
        </w:tc>
        <w:tc>
          <w:tcPr>
            <w:tcW w:w="1370" w:type="pct"/>
            <w:shd w:val="clear" w:color="auto" w:fill="auto"/>
            <w:vAlign w:val="center"/>
          </w:tcPr>
          <w:p w14:paraId="5CD95690">
            <w:pPr>
              <w:widowControl/>
              <w:jc w:val="center"/>
              <w:rPr>
                <w:rFonts w:ascii="宋体" w:hAnsi="宋体" w:cs="宋体"/>
                <w:b/>
                <w:bCs/>
                <w:kern w:val="0"/>
                <w:szCs w:val="21"/>
              </w:rPr>
            </w:pPr>
            <w:r>
              <w:rPr>
                <w:rFonts w:hint="eastAsia" w:ascii="宋体" w:hAnsi="宋体" w:cs="宋体"/>
                <w:b/>
                <w:bCs/>
                <w:kern w:val="0"/>
                <w:szCs w:val="21"/>
              </w:rPr>
              <w:t>服务子类</w:t>
            </w:r>
          </w:p>
        </w:tc>
        <w:tc>
          <w:tcPr>
            <w:tcW w:w="2060" w:type="pct"/>
            <w:shd w:val="clear" w:color="auto" w:fill="auto"/>
            <w:vAlign w:val="center"/>
          </w:tcPr>
          <w:p w14:paraId="17B9EF45">
            <w:pPr>
              <w:widowControl/>
              <w:jc w:val="center"/>
              <w:rPr>
                <w:rFonts w:ascii="宋体" w:hAnsi="宋体" w:cs="宋体"/>
                <w:b/>
                <w:bCs/>
                <w:kern w:val="0"/>
                <w:szCs w:val="21"/>
              </w:rPr>
            </w:pPr>
            <w:r>
              <w:rPr>
                <w:rFonts w:hint="eastAsia" w:ascii="宋体" w:hAnsi="宋体" w:cs="宋体"/>
                <w:b/>
                <w:bCs/>
                <w:kern w:val="0"/>
                <w:szCs w:val="21"/>
              </w:rPr>
              <w:t>说明</w:t>
            </w:r>
          </w:p>
        </w:tc>
      </w:tr>
      <w:tr w14:paraId="70FF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58A8FCB8">
            <w:pPr>
              <w:widowControl/>
              <w:jc w:val="left"/>
              <w:rPr>
                <w:rFonts w:ascii="宋体" w:hAnsi="宋体" w:cs="宋体"/>
                <w:kern w:val="0"/>
                <w:szCs w:val="21"/>
              </w:rPr>
            </w:pPr>
            <w:r>
              <w:rPr>
                <w:rFonts w:hint="eastAsia" w:ascii="宋体" w:hAnsi="宋体" w:cs="宋体"/>
                <w:kern w:val="0"/>
                <w:szCs w:val="21"/>
              </w:rPr>
              <w:t>1</w:t>
            </w:r>
          </w:p>
        </w:tc>
        <w:tc>
          <w:tcPr>
            <w:tcW w:w="1241" w:type="pct"/>
            <w:vMerge w:val="restart"/>
            <w:vAlign w:val="center"/>
          </w:tcPr>
          <w:p w14:paraId="180DF50F">
            <w:pPr>
              <w:widowControl/>
              <w:jc w:val="center"/>
              <w:rPr>
                <w:rFonts w:ascii="宋体" w:hAnsi="宋体" w:cs="宋体"/>
                <w:kern w:val="0"/>
                <w:szCs w:val="21"/>
              </w:rPr>
            </w:pPr>
            <w:r>
              <w:rPr>
                <w:rFonts w:hint="eastAsia" w:ascii="宋体" w:hAnsi="宋体" w:cs="宋体"/>
                <w:szCs w:val="21"/>
              </w:rPr>
              <w:t>密评加固服务</w:t>
            </w:r>
          </w:p>
        </w:tc>
        <w:tc>
          <w:tcPr>
            <w:tcW w:w="1370" w:type="pct"/>
            <w:shd w:val="clear" w:color="auto" w:fill="auto"/>
            <w:vAlign w:val="center"/>
          </w:tcPr>
          <w:p w14:paraId="6D3DDC5C">
            <w:pPr>
              <w:widowControl/>
              <w:jc w:val="left"/>
              <w:rPr>
                <w:rFonts w:ascii="宋体" w:hAnsi="宋体" w:cs="宋体"/>
                <w:kern w:val="0"/>
                <w:szCs w:val="21"/>
              </w:rPr>
            </w:pPr>
            <w:r>
              <w:rPr>
                <w:rFonts w:hint="eastAsia" w:ascii="宋体" w:hAnsi="宋体" w:cs="宋体"/>
                <w:kern w:val="0"/>
                <w:szCs w:val="21"/>
              </w:rPr>
              <w:t>应用系统密评的解决方案咨询服务</w:t>
            </w:r>
          </w:p>
        </w:tc>
        <w:tc>
          <w:tcPr>
            <w:tcW w:w="2060" w:type="pct"/>
            <w:shd w:val="clear" w:color="auto" w:fill="auto"/>
            <w:vAlign w:val="center"/>
          </w:tcPr>
          <w:p w14:paraId="02CC4D07">
            <w:pPr>
              <w:widowControl/>
              <w:jc w:val="left"/>
              <w:rPr>
                <w:rFonts w:ascii="宋体" w:hAnsi="宋体" w:cs="宋体"/>
                <w:kern w:val="0"/>
                <w:szCs w:val="21"/>
              </w:rPr>
            </w:pPr>
            <w:r>
              <w:rPr>
                <w:rFonts w:hint="eastAsia" w:ascii="宋体" w:hAnsi="宋体" w:cs="宋体"/>
                <w:kern w:val="0"/>
                <w:szCs w:val="21"/>
              </w:rPr>
              <w:t>密码方案的过程咨询、问题关闭等</w:t>
            </w:r>
          </w:p>
        </w:tc>
      </w:tr>
      <w:tr w14:paraId="37C9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1E66F000">
            <w:pPr>
              <w:widowControl/>
              <w:jc w:val="left"/>
              <w:rPr>
                <w:rFonts w:ascii="宋体" w:hAnsi="宋体" w:cs="宋体"/>
                <w:kern w:val="0"/>
                <w:szCs w:val="21"/>
              </w:rPr>
            </w:pPr>
            <w:r>
              <w:rPr>
                <w:rFonts w:hint="eastAsia" w:ascii="宋体" w:hAnsi="宋体" w:cs="宋体"/>
                <w:kern w:val="0"/>
                <w:szCs w:val="21"/>
              </w:rPr>
              <w:t>2</w:t>
            </w:r>
          </w:p>
        </w:tc>
        <w:tc>
          <w:tcPr>
            <w:tcW w:w="1241" w:type="pct"/>
            <w:vMerge w:val="continue"/>
          </w:tcPr>
          <w:p w14:paraId="28EF80F8">
            <w:pPr>
              <w:widowControl/>
              <w:jc w:val="left"/>
              <w:rPr>
                <w:rFonts w:ascii="宋体" w:hAnsi="宋体" w:cs="宋体"/>
                <w:kern w:val="0"/>
                <w:szCs w:val="21"/>
              </w:rPr>
            </w:pPr>
          </w:p>
        </w:tc>
        <w:tc>
          <w:tcPr>
            <w:tcW w:w="1370" w:type="pct"/>
            <w:shd w:val="clear" w:color="auto" w:fill="auto"/>
            <w:vAlign w:val="center"/>
          </w:tcPr>
          <w:p w14:paraId="6DEF4468">
            <w:pPr>
              <w:widowControl/>
              <w:jc w:val="left"/>
              <w:rPr>
                <w:rFonts w:ascii="宋体" w:hAnsi="宋体" w:cs="宋体"/>
                <w:kern w:val="0"/>
                <w:szCs w:val="21"/>
              </w:rPr>
            </w:pPr>
            <w:r>
              <w:rPr>
                <w:rFonts w:hint="eastAsia" w:ascii="宋体" w:hAnsi="宋体" w:cs="宋体"/>
                <w:kern w:val="0"/>
                <w:szCs w:val="21"/>
              </w:rPr>
              <w:t>应用系统密码改造方案编写</w:t>
            </w:r>
          </w:p>
        </w:tc>
        <w:tc>
          <w:tcPr>
            <w:tcW w:w="2060" w:type="pct"/>
            <w:shd w:val="clear" w:color="auto" w:fill="auto"/>
            <w:vAlign w:val="center"/>
          </w:tcPr>
          <w:p w14:paraId="7479BE77">
            <w:pPr>
              <w:widowControl/>
              <w:jc w:val="left"/>
              <w:rPr>
                <w:rFonts w:ascii="宋体" w:hAnsi="宋体" w:cs="宋体"/>
                <w:kern w:val="0"/>
                <w:szCs w:val="21"/>
              </w:rPr>
            </w:pPr>
            <w:r>
              <w:rPr>
                <w:rFonts w:hint="eastAsia" w:ascii="宋体" w:hAnsi="宋体" w:cs="宋体"/>
                <w:kern w:val="0"/>
                <w:szCs w:val="21"/>
              </w:rPr>
              <w:t>商用密码改造方案编写</w:t>
            </w:r>
          </w:p>
        </w:tc>
      </w:tr>
      <w:tr w14:paraId="0C72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78C98259">
            <w:pPr>
              <w:widowControl/>
              <w:jc w:val="left"/>
              <w:rPr>
                <w:rFonts w:ascii="宋体" w:hAnsi="宋体" w:cs="宋体"/>
                <w:kern w:val="0"/>
                <w:szCs w:val="21"/>
              </w:rPr>
            </w:pPr>
            <w:r>
              <w:rPr>
                <w:rFonts w:hint="eastAsia" w:ascii="宋体" w:hAnsi="宋体" w:cs="宋体"/>
                <w:kern w:val="0"/>
                <w:szCs w:val="21"/>
              </w:rPr>
              <w:t>3</w:t>
            </w:r>
          </w:p>
        </w:tc>
        <w:tc>
          <w:tcPr>
            <w:tcW w:w="1241" w:type="pct"/>
            <w:vMerge w:val="continue"/>
          </w:tcPr>
          <w:p w14:paraId="7F8E9800">
            <w:pPr>
              <w:widowControl/>
              <w:jc w:val="left"/>
              <w:rPr>
                <w:rFonts w:ascii="宋体" w:hAnsi="宋体" w:cs="宋体"/>
                <w:kern w:val="0"/>
                <w:szCs w:val="21"/>
              </w:rPr>
            </w:pPr>
          </w:p>
        </w:tc>
        <w:tc>
          <w:tcPr>
            <w:tcW w:w="1370" w:type="pct"/>
            <w:shd w:val="clear" w:color="auto" w:fill="auto"/>
            <w:vAlign w:val="center"/>
          </w:tcPr>
          <w:p w14:paraId="455E5410">
            <w:pPr>
              <w:widowControl/>
              <w:jc w:val="left"/>
              <w:rPr>
                <w:rFonts w:ascii="宋体" w:hAnsi="宋体" w:cs="宋体"/>
                <w:kern w:val="0"/>
                <w:szCs w:val="21"/>
              </w:rPr>
            </w:pPr>
            <w:r>
              <w:rPr>
                <w:rFonts w:hint="eastAsia" w:ascii="宋体" w:hAnsi="宋体" w:cs="宋体"/>
                <w:kern w:val="0"/>
                <w:szCs w:val="21"/>
              </w:rPr>
              <w:t>应用系统传输加密服务</w:t>
            </w:r>
          </w:p>
        </w:tc>
        <w:tc>
          <w:tcPr>
            <w:tcW w:w="2060" w:type="pct"/>
            <w:shd w:val="clear" w:color="auto" w:fill="auto"/>
            <w:vAlign w:val="center"/>
          </w:tcPr>
          <w:p w14:paraId="254FF803">
            <w:pPr>
              <w:widowControl/>
              <w:jc w:val="left"/>
              <w:rPr>
                <w:rFonts w:ascii="宋体" w:hAnsi="宋体" w:cs="宋体"/>
                <w:kern w:val="0"/>
                <w:szCs w:val="21"/>
              </w:rPr>
            </w:pPr>
            <w:r>
              <w:rPr>
                <w:rFonts w:hint="eastAsia" w:ascii="宋体" w:hAnsi="宋体" w:cs="宋体"/>
                <w:kern w:val="0"/>
                <w:szCs w:val="21"/>
              </w:rPr>
              <w:t>通道传输加密</w:t>
            </w:r>
          </w:p>
        </w:tc>
      </w:tr>
      <w:tr w14:paraId="6537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51CADDCC">
            <w:pPr>
              <w:widowControl/>
              <w:jc w:val="left"/>
              <w:rPr>
                <w:rFonts w:ascii="宋体" w:hAnsi="宋体" w:cs="宋体"/>
                <w:kern w:val="0"/>
                <w:szCs w:val="21"/>
              </w:rPr>
            </w:pPr>
            <w:r>
              <w:rPr>
                <w:rFonts w:hint="eastAsia" w:ascii="宋体" w:hAnsi="宋体" w:cs="宋体"/>
                <w:kern w:val="0"/>
                <w:szCs w:val="21"/>
              </w:rPr>
              <w:t>4</w:t>
            </w:r>
          </w:p>
        </w:tc>
        <w:tc>
          <w:tcPr>
            <w:tcW w:w="1241" w:type="pct"/>
            <w:vMerge w:val="continue"/>
          </w:tcPr>
          <w:p w14:paraId="237098D9">
            <w:pPr>
              <w:widowControl/>
              <w:jc w:val="left"/>
              <w:rPr>
                <w:rFonts w:ascii="宋体" w:hAnsi="宋体" w:cs="宋体"/>
                <w:kern w:val="0"/>
                <w:szCs w:val="21"/>
              </w:rPr>
            </w:pPr>
          </w:p>
        </w:tc>
        <w:tc>
          <w:tcPr>
            <w:tcW w:w="1370" w:type="pct"/>
            <w:shd w:val="clear" w:color="auto" w:fill="auto"/>
            <w:vAlign w:val="center"/>
          </w:tcPr>
          <w:p w14:paraId="01F24469">
            <w:pPr>
              <w:widowControl/>
              <w:jc w:val="left"/>
              <w:rPr>
                <w:rFonts w:ascii="宋体" w:hAnsi="宋体" w:cs="宋体"/>
                <w:kern w:val="0"/>
                <w:szCs w:val="21"/>
              </w:rPr>
            </w:pPr>
            <w:r>
              <w:rPr>
                <w:rFonts w:hint="eastAsia" w:ascii="宋体" w:hAnsi="宋体" w:cs="宋体"/>
                <w:kern w:val="0"/>
                <w:szCs w:val="21"/>
              </w:rPr>
              <w:t>应用系统存储加密服务</w:t>
            </w:r>
          </w:p>
        </w:tc>
        <w:tc>
          <w:tcPr>
            <w:tcW w:w="2060" w:type="pct"/>
            <w:shd w:val="clear" w:color="auto" w:fill="auto"/>
            <w:vAlign w:val="center"/>
          </w:tcPr>
          <w:p w14:paraId="22E8465E">
            <w:pPr>
              <w:widowControl/>
              <w:jc w:val="left"/>
              <w:rPr>
                <w:rFonts w:ascii="宋体" w:hAnsi="宋体" w:cs="宋体"/>
                <w:kern w:val="0"/>
                <w:szCs w:val="21"/>
              </w:rPr>
            </w:pPr>
            <w:r>
              <w:rPr>
                <w:rFonts w:hint="eastAsia" w:ascii="宋体" w:hAnsi="宋体" w:cs="宋体"/>
                <w:kern w:val="0"/>
                <w:szCs w:val="21"/>
              </w:rPr>
              <w:t>数据存储加密</w:t>
            </w:r>
          </w:p>
        </w:tc>
      </w:tr>
      <w:tr w14:paraId="6F9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17CABCEB">
            <w:pPr>
              <w:widowControl/>
              <w:jc w:val="left"/>
              <w:rPr>
                <w:rFonts w:ascii="宋体" w:hAnsi="宋体" w:cs="宋体"/>
                <w:kern w:val="0"/>
                <w:szCs w:val="21"/>
              </w:rPr>
            </w:pPr>
            <w:r>
              <w:rPr>
                <w:rFonts w:hint="eastAsia" w:ascii="宋体" w:hAnsi="宋体" w:cs="宋体"/>
                <w:kern w:val="0"/>
                <w:szCs w:val="21"/>
              </w:rPr>
              <w:t>5</w:t>
            </w:r>
          </w:p>
        </w:tc>
        <w:tc>
          <w:tcPr>
            <w:tcW w:w="1241" w:type="pct"/>
            <w:vMerge w:val="continue"/>
          </w:tcPr>
          <w:p w14:paraId="0AD558E8">
            <w:pPr>
              <w:widowControl/>
              <w:jc w:val="left"/>
              <w:rPr>
                <w:rFonts w:ascii="宋体" w:hAnsi="宋体" w:cs="宋体"/>
                <w:kern w:val="0"/>
                <w:szCs w:val="21"/>
              </w:rPr>
            </w:pPr>
          </w:p>
        </w:tc>
        <w:tc>
          <w:tcPr>
            <w:tcW w:w="1370" w:type="pct"/>
            <w:shd w:val="clear" w:color="auto" w:fill="auto"/>
            <w:vAlign w:val="center"/>
          </w:tcPr>
          <w:p w14:paraId="7D982313">
            <w:pPr>
              <w:widowControl/>
              <w:jc w:val="left"/>
              <w:rPr>
                <w:rFonts w:ascii="宋体" w:hAnsi="宋体" w:cs="宋体"/>
                <w:kern w:val="0"/>
                <w:szCs w:val="21"/>
              </w:rPr>
            </w:pPr>
            <w:r>
              <w:rPr>
                <w:rFonts w:hint="eastAsia" w:ascii="宋体" w:hAnsi="宋体" w:cs="宋体"/>
                <w:kern w:val="0"/>
                <w:szCs w:val="21"/>
              </w:rPr>
              <w:t>应用系统安全运维通道服务</w:t>
            </w:r>
          </w:p>
        </w:tc>
        <w:tc>
          <w:tcPr>
            <w:tcW w:w="2060" w:type="pct"/>
            <w:shd w:val="clear" w:color="auto" w:fill="auto"/>
            <w:vAlign w:val="center"/>
          </w:tcPr>
          <w:p w14:paraId="2C322C80">
            <w:pPr>
              <w:widowControl/>
              <w:jc w:val="left"/>
              <w:rPr>
                <w:rFonts w:ascii="宋体" w:hAnsi="宋体" w:cs="宋体"/>
                <w:kern w:val="0"/>
                <w:szCs w:val="21"/>
              </w:rPr>
            </w:pPr>
            <w:r>
              <w:rPr>
                <w:rFonts w:hint="eastAsia" w:ascii="宋体" w:hAnsi="宋体" w:cs="宋体"/>
                <w:kern w:val="0"/>
                <w:szCs w:val="21"/>
              </w:rPr>
              <w:t>运维通道加密，如vpn</w:t>
            </w:r>
          </w:p>
        </w:tc>
      </w:tr>
      <w:tr w14:paraId="1E66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2933BE36">
            <w:pPr>
              <w:widowControl/>
              <w:jc w:val="left"/>
              <w:rPr>
                <w:rFonts w:ascii="宋体" w:hAnsi="宋体" w:cs="宋体"/>
                <w:kern w:val="0"/>
                <w:szCs w:val="21"/>
              </w:rPr>
            </w:pPr>
            <w:r>
              <w:rPr>
                <w:rFonts w:hint="eastAsia" w:ascii="宋体" w:hAnsi="宋体" w:cs="宋体"/>
                <w:kern w:val="0"/>
                <w:szCs w:val="21"/>
              </w:rPr>
              <w:t>6</w:t>
            </w:r>
          </w:p>
        </w:tc>
        <w:tc>
          <w:tcPr>
            <w:tcW w:w="1241" w:type="pct"/>
            <w:vMerge w:val="continue"/>
          </w:tcPr>
          <w:p w14:paraId="2A2A2052">
            <w:pPr>
              <w:widowControl/>
              <w:jc w:val="left"/>
              <w:rPr>
                <w:rFonts w:ascii="宋体" w:hAnsi="宋体" w:cs="宋体"/>
                <w:kern w:val="0"/>
                <w:szCs w:val="21"/>
              </w:rPr>
            </w:pPr>
          </w:p>
        </w:tc>
        <w:tc>
          <w:tcPr>
            <w:tcW w:w="1370" w:type="pct"/>
            <w:shd w:val="clear" w:color="auto" w:fill="auto"/>
            <w:vAlign w:val="center"/>
          </w:tcPr>
          <w:p w14:paraId="68EC439F">
            <w:pPr>
              <w:widowControl/>
              <w:jc w:val="left"/>
              <w:rPr>
                <w:rFonts w:ascii="宋体" w:hAnsi="宋体" w:cs="宋体"/>
                <w:kern w:val="0"/>
                <w:szCs w:val="21"/>
              </w:rPr>
            </w:pPr>
            <w:r>
              <w:rPr>
                <w:rFonts w:hint="eastAsia" w:ascii="宋体" w:hAnsi="宋体" w:cs="宋体"/>
                <w:kern w:val="0"/>
                <w:szCs w:val="21"/>
              </w:rPr>
              <w:t>应用系统完整性校验服务</w:t>
            </w:r>
          </w:p>
        </w:tc>
        <w:tc>
          <w:tcPr>
            <w:tcW w:w="2060" w:type="pct"/>
            <w:shd w:val="clear" w:color="auto" w:fill="auto"/>
            <w:vAlign w:val="center"/>
          </w:tcPr>
          <w:p w14:paraId="5C579D7C">
            <w:pPr>
              <w:widowControl/>
              <w:jc w:val="left"/>
              <w:rPr>
                <w:rFonts w:ascii="宋体" w:hAnsi="宋体" w:cs="宋体"/>
                <w:kern w:val="0"/>
                <w:szCs w:val="21"/>
              </w:rPr>
            </w:pPr>
            <w:r>
              <w:rPr>
                <w:rFonts w:hint="eastAsia" w:ascii="宋体" w:hAnsi="宋体" w:cs="宋体"/>
                <w:kern w:val="0"/>
                <w:szCs w:val="21"/>
              </w:rPr>
              <w:t>提供数据接口对接、联调防止被反编译篡改/二次打包</w:t>
            </w:r>
          </w:p>
        </w:tc>
      </w:tr>
      <w:tr w14:paraId="28D5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680A8D57">
            <w:pPr>
              <w:widowControl/>
              <w:jc w:val="left"/>
              <w:rPr>
                <w:rFonts w:ascii="宋体" w:hAnsi="宋体" w:cs="宋体"/>
                <w:kern w:val="0"/>
                <w:szCs w:val="21"/>
              </w:rPr>
            </w:pPr>
            <w:r>
              <w:rPr>
                <w:rFonts w:hint="eastAsia" w:ascii="宋体" w:hAnsi="宋体" w:cs="宋体"/>
                <w:kern w:val="0"/>
                <w:szCs w:val="21"/>
              </w:rPr>
              <w:t>7</w:t>
            </w:r>
          </w:p>
        </w:tc>
        <w:tc>
          <w:tcPr>
            <w:tcW w:w="1241" w:type="pct"/>
            <w:vMerge w:val="continue"/>
          </w:tcPr>
          <w:p w14:paraId="3A11912A">
            <w:pPr>
              <w:widowControl/>
              <w:jc w:val="left"/>
              <w:rPr>
                <w:rFonts w:ascii="宋体" w:hAnsi="宋体" w:cs="宋体"/>
                <w:kern w:val="0"/>
                <w:szCs w:val="21"/>
              </w:rPr>
            </w:pPr>
          </w:p>
        </w:tc>
        <w:tc>
          <w:tcPr>
            <w:tcW w:w="1370" w:type="pct"/>
            <w:shd w:val="clear" w:color="auto" w:fill="auto"/>
            <w:vAlign w:val="center"/>
          </w:tcPr>
          <w:p w14:paraId="5FC8FA08">
            <w:pPr>
              <w:widowControl/>
              <w:jc w:val="left"/>
              <w:rPr>
                <w:rFonts w:ascii="宋体" w:hAnsi="宋体" w:cs="宋体"/>
                <w:kern w:val="0"/>
                <w:szCs w:val="21"/>
              </w:rPr>
            </w:pPr>
            <w:r>
              <w:rPr>
                <w:rFonts w:hint="eastAsia" w:ascii="宋体" w:hAnsi="宋体" w:cs="宋体"/>
                <w:kern w:val="0"/>
                <w:szCs w:val="21"/>
              </w:rPr>
              <w:t>国密浏览器</w:t>
            </w:r>
          </w:p>
        </w:tc>
        <w:tc>
          <w:tcPr>
            <w:tcW w:w="2060" w:type="pct"/>
            <w:shd w:val="clear" w:color="auto" w:fill="auto"/>
            <w:vAlign w:val="center"/>
          </w:tcPr>
          <w:p w14:paraId="77EF452E">
            <w:pPr>
              <w:widowControl/>
              <w:jc w:val="left"/>
              <w:rPr>
                <w:rFonts w:ascii="宋体" w:hAnsi="宋体" w:cs="宋体"/>
                <w:kern w:val="0"/>
                <w:szCs w:val="21"/>
              </w:rPr>
            </w:pPr>
            <w:r>
              <w:rPr>
                <w:rFonts w:hint="eastAsia" w:ascii="宋体" w:hAnsi="宋体" w:cs="宋体"/>
                <w:kern w:val="0"/>
                <w:szCs w:val="21"/>
              </w:rPr>
              <w:t>国密浏览器安装与使用</w:t>
            </w:r>
          </w:p>
        </w:tc>
      </w:tr>
      <w:tr w14:paraId="0F9E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318F69BA">
            <w:pPr>
              <w:widowControl/>
              <w:jc w:val="left"/>
              <w:rPr>
                <w:rFonts w:ascii="宋体" w:hAnsi="宋体" w:cs="宋体"/>
                <w:kern w:val="0"/>
                <w:szCs w:val="21"/>
              </w:rPr>
            </w:pPr>
            <w:r>
              <w:rPr>
                <w:rFonts w:hint="eastAsia" w:ascii="宋体" w:hAnsi="宋体" w:cs="宋体"/>
                <w:kern w:val="0"/>
                <w:szCs w:val="21"/>
              </w:rPr>
              <w:t>8</w:t>
            </w:r>
          </w:p>
        </w:tc>
        <w:tc>
          <w:tcPr>
            <w:tcW w:w="1241" w:type="pct"/>
            <w:vMerge w:val="continue"/>
          </w:tcPr>
          <w:p w14:paraId="77C992A9">
            <w:pPr>
              <w:widowControl/>
              <w:jc w:val="left"/>
              <w:rPr>
                <w:rFonts w:ascii="宋体" w:hAnsi="宋体" w:cs="宋体"/>
                <w:kern w:val="0"/>
                <w:szCs w:val="21"/>
              </w:rPr>
            </w:pPr>
          </w:p>
        </w:tc>
        <w:tc>
          <w:tcPr>
            <w:tcW w:w="1370" w:type="pct"/>
            <w:shd w:val="clear" w:color="auto" w:fill="auto"/>
            <w:vAlign w:val="center"/>
          </w:tcPr>
          <w:p w14:paraId="2F8ADBA8">
            <w:pPr>
              <w:widowControl/>
              <w:jc w:val="left"/>
              <w:rPr>
                <w:rFonts w:ascii="宋体" w:hAnsi="宋体" w:cs="宋体"/>
                <w:kern w:val="0"/>
                <w:szCs w:val="21"/>
              </w:rPr>
            </w:pPr>
            <w:r>
              <w:rPr>
                <w:rFonts w:hint="eastAsia" w:ascii="宋体" w:hAnsi="宋体" w:cs="宋体"/>
                <w:kern w:val="0"/>
                <w:szCs w:val="21"/>
              </w:rPr>
              <w:t>网站国密站点SSL证书</w:t>
            </w:r>
          </w:p>
        </w:tc>
        <w:tc>
          <w:tcPr>
            <w:tcW w:w="2060" w:type="pct"/>
            <w:shd w:val="clear" w:color="auto" w:fill="auto"/>
            <w:vAlign w:val="center"/>
          </w:tcPr>
          <w:p w14:paraId="6390C427">
            <w:pPr>
              <w:widowControl/>
              <w:jc w:val="left"/>
              <w:rPr>
                <w:rFonts w:ascii="宋体" w:hAnsi="宋体" w:cs="宋体"/>
                <w:kern w:val="0"/>
                <w:szCs w:val="21"/>
              </w:rPr>
            </w:pPr>
            <w:r>
              <w:rPr>
                <w:rFonts w:hint="eastAsia" w:ascii="宋体" w:hAnsi="宋体" w:cs="宋体"/>
                <w:kern w:val="0"/>
                <w:szCs w:val="21"/>
              </w:rPr>
              <w:t>国密SSL证书的安装与使用</w:t>
            </w:r>
          </w:p>
        </w:tc>
      </w:tr>
      <w:tr w14:paraId="09A3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9" w:type="pct"/>
            <w:shd w:val="clear" w:color="auto" w:fill="auto"/>
            <w:vAlign w:val="center"/>
          </w:tcPr>
          <w:p w14:paraId="5C07F727">
            <w:pPr>
              <w:widowControl/>
              <w:jc w:val="left"/>
              <w:rPr>
                <w:rFonts w:ascii="宋体" w:hAnsi="宋体" w:cs="宋体"/>
                <w:kern w:val="0"/>
                <w:szCs w:val="21"/>
              </w:rPr>
            </w:pPr>
            <w:r>
              <w:rPr>
                <w:rFonts w:hint="eastAsia" w:ascii="宋体" w:hAnsi="宋体" w:cs="宋体"/>
                <w:kern w:val="0"/>
                <w:szCs w:val="21"/>
              </w:rPr>
              <w:t>9</w:t>
            </w:r>
          </w:p>
        </w:tc>
        <w:tc>
          <w:tcPr>
            <w:tcW w:w="1241" w:type="pct"/>
            <w:vMerge w:val="continue"/>
          </w:tcPr>
          <w:p w14:paraId="10F53100">
            <w:pPr>
              <w:widowControl/>
              <w:jc w:val="left"/>
              <w:rPr>
                <w:rFonts w:ascii="宋体" w:hAnsi="宋体" w:cs="宋体"/>
                <w:kern w:val="0"/>
                <w:szCs w:val="21"/>
              </w:rPr>
            </w:pPr>
          </w:p>
        </w:tc>
        <w:tc>
          <w:tcPr>
            <w:tcW w:w="1370" w:type="pct"/>
            <w:shd w:val="clear" w:color="auto" w:fill="auto"/>
            <w:vAlign w:val="center"/>
          </w:tcPr>
          <w:p w14:paraId="4B5894BC">
            <w:pPr>
              <w:widowControl/>
              <w:jc w:val="left"/>
              <w:rPr>
                <w:rFonts w:ascii="宋体" w:hAnsi="宋体" w:cs="宋体"/>
                <w:kern w:val="0"/>
                <w:szCs w:val="21"/>
              </w:rPr>
            </w:pPr>
            <w:r>
              <w:rPr>
                <w:rFonts w:hint="eastAsia" w:ascii="宋体" w:hAnsi="宋体" w:cs="宋体"/>
                <w:kern w:val="0"/>
                <w:szCs w:val="21"/>
              </w:rPr>
              <w:t>应用系统数字签名服务</w:t>
            </w:r>
          </w:p>
        </w:tc>
        <w:tc>
          <w:tcPr>
            <w:tcW w:w="2060" w:type="pct"/>
            <w:shd w:val="clear" w:color="auto" w:fill="auto"/>
            <w:vAlign w:val="center"/>
          </w:tcPr>
          <w:p w14:paraId="1C274D10">
            <w:pPr>
              <w:widowControl/>
              <w:jc w:val="left"/>
              <w:rPr>
                <w:rFonts w:ascii="宋体" w:hAnsi="宋体" w:cs="宋体"/>
                <w:kern w:val="0"/>
                <w:szCs w:val="21"/>
              </w:rPr>
            </w:pPr>
            <w:r>
              <w:rPr>
                <w:rFonts w:hint="eastAsia" w:ascii="宋体" w:hAnsi="宋体" w:cs="宋体"/>
                <w:kern w:val="0"/>
                <w:szCs w:val="21"/>
              </w:rPr>
              <w:t>国内机构签发，并使用国密算法</w:t>
            </w:r>
          </w:p>
        </w:tc>
      </w:tr>
      <w:tr w14:paraId="662C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29" w:type="pct"/>
            <w:shd w:val="clear" w:color="auto" w:fill="auto"/>
            <w:vAlign w:val="center"/>
          </w:tcPr>
          <w:p w14:paraId="43F85AE3">
            <w:pPr>
              <w:widowControl/>
              <w:jc w:val="left"/>
              <w:rPr>
                <w:rFonts w:ascii="宋体" w:hAnsi="宋体" w:cs="宋体"/>
                <w:kern w:val="0"/>
                <w:szCs w:val="21"/>
              </w:rPr>
            </w:pPr>
            <w:r>
              <w:rPr>
                <w:rFonts w:hint="eastAsia" w:ascii="宋体" w:hAnsi="宋体" w:cs="宋体"/>
                <w:kern w:val="0"/>
                <w:szCs w:val="21"/>
              </w:rPr>
              <w:t>10</w:t>
            </w:r>
          </w:p>
        </w:tc>
        <w:tc>
          <w:tcPr>
            <w:tcW w:w="1241" w:type="pct"/>
            <w:vMerge w:val="continue"/>
          </w:tcPr>
          <w:p w14:paraId="3ADA4822">
            <w:pPr>
              <w:widowControl/>
              <w:jc w:val="left"/>
              <w:rPr>
                <w:rFonts w:ascii="宋体" w:hAnsi="宋体" w:cs="宋体"/>
                <w:kern w:val="0"/>
                <w:szCs w:val="21"/>
              </w:rPr>
            </w:pPr>
          </w:p>
        </w:tc>
        <w:tc>
          <w:tcPr>
            <w:tcW w:w="1370" w:type="pct"/>
            <w:shd w:val="clear" w:color="auto" w:fill="auto"/>
            <w:vAlign w:val="center"/>
          </w:tcPr>
          <w:p w14:paraId="7CF1757D">
            <w:pPr>
              <w:widowControl/>
              <w:jc w:val="left"/>
              <w:rPr>
                <w:rFonts w:ascii="宋体" w:hAnsi="宋体" w:cs="宋体"/>
                <w:kern w:val="0"/>
                <w:szCs w:val="21"/>
              </w:rPr>
            </w:pPr>
            <w:r>
              <w:rPr>
                <w:rFonts w:hint="eastAsia" w:ascii="宋体" w:hAnsi="宋体" w:cs="宋体"/>
                <w:kern w:val="0"/>
                <w:szCs w:val="21"/>
              </w:rPr>
              <w:t>应用系统密钥管理服务</w:t>
            </w:r>
          </w:p>
        </w:tc>
        <w:tc>
          <w:tcPr>
            <w:tcW w:w="2060" w:type="pct"/>
            <w:shd w:val="clear" w:color="auto" w:fill="auto"/>
            <w:vAlign w:val="center"/>
          </w:tcPr>
          <w:p w14:paraId="6B058B68">
            <w:pPr>
              <w:widowControl/>
              <w:jc w:val="left"/>
              <w:rPr>
                <w:rFonts w:ascii="宋体" w:hAnsi="宋体" w:cs="宋体"/>
                <w:kern w:val="0"/>
                <w:szCs w:val="21"/>
              </w:rPr>
            </w:pPr>
            <w:r>
              <w:rPr>
                <w:rFonts w:hint="eastAsia" w:ascii="宋体" w:hAnsi="宋体" w:cs="宋体"/>
                <w:kern w:val="0"/>
                <w:szCs w:val="21"/>
              </w:rPr>
              <w:t>密钥的生成、存储、使用、更新、吊销和销毁等环节</w:t>
            </w:r>
          </w:p>
        </w:tc>
      </w:tr>
    </w:tbl>
    <w:p w14:paraId="12C34715">
      <w:pPr>
        <w:pStyle w:val="713"/>
        <w:ind w:firstLine="420"/>
        <w:rPr>
          <w:rFonts w:ascii="宋体" w:hAnsi="宋体" w:eastAsia="宋体" w:cs="宋体"/>
          <w:sz w:val="21"/>
        </w:rPr>
      </w:pPr>
      <w:r>
        <w:rPr>
          <w:rFonts w:hint="eastAsia" w:ascii="宋体" w:hAnsi="宋体" w:eastAsia="宋体" w:cs="宋体"/>
          <w:sz w:val="21"/>
        </w:rPr>
        <w:t>具体服务说明：</w:t>
      </w:r>
    </w:p>
    <w:p w14:paraId="694A520B">
      <w:pPr>
        <w:pStyle w:val="713"/>
        <w:ind w:firstLine="420"/>
        <w:rPr>
          <w:rFonts w:ascii="宋体" w:hAnsi="宋体" w:eastAsia="宋体" w:cs="宋体"/>
          <w:bCs/>
          <w:kern w:val="0"/>
          <w:sz w:val="21"/>
        </w:rPr>
      </w:pPr>
      <w:r>
        <w:rPr>
          <w:rFonts w:hint="eastAsia" w:ascii="宋体" w:hAnsi="宋体" w:eastAsia="宋体" w:cs="宋体"/>
          <w:bCs/>
          <w:kern w:val="0"/>
          <w:sz w:val="21"/>
        </w:rPr>
        <w:t xml:space="preserve">1、应用系统密评的解决方案咨询服务。应协助被测系统的所属单位分析信息系统现状，对系统面临的安全风险、风险需求分析等进行分析，明确密码应用需求，提供密码应用方案编制、密评问题答疑等，满足密码应用安全性评估。 </w:t>
      </w:r>
    </w:p>
    <w:p w14:paraId="7D636BAB">
      <w:pPr>
        <w:pStyle w:val="713"/>
        <w:ind w:firstLine="420"/>
        <w:rPr>
          <w:rFonts w:ascii="宋体" w:hAnsi="宋体" w:eastAsia="宋体" w:cs="宋体"/>
          <w:bCs/>
          <w:kern w:val="0"/>
          <w:sz w:val="21"/>
        </w:rPr>
      </w:pPr>
      <w:r>
        <w:rPr>
          <w:rFonts w:hint="eastAsia" w:ascii="宋体" w:hAnsi="宋体" w:eastAsia="宋体" w:cs="宋体"/>
          <w:bCs/>
          <w:kern w:val="0"/>
          <w:sz w:val="21"/>
        </w:rPr>
        <w:t>2、应用系统密码改造方案编写。根据密评要求，协助编写密评系统相关材料，包括密码应用安全管理制度，密码产品使用情况，数据加密后状态，建立操作流程与执行记录模板等，制定应急处置办法并形成报告模块。</w:t>
      </w:r>
    </w:p>
    <w:p w14:paraId="76705BA0">
      <w:pPr>
        <w:pStyle w:val="713"/>
        <w:ind w:firstLine="420"/>
        <w:rPr>
          <w:rFonts w:ascii="宋体" w:hAnsi="宋体" w:eastAsia="宋体" w:cs="宋体"/>
          <w:bCs/>
          <w:kern w:val="0"/>
          <w:sz w:val="21"/>
        </w:rPr>
      </w:pPr>
      <w:r>
        <w:rPr>
          <w:rFonts w:hint="eastAsia" w:ascii="宋体" w:hAnsi="宋体" w:eastAsia="宋体" w:cs="宋体"/>
          <w:bCs/>
          <w:kern w:val="0"/>
          <w:sz w:val="21"/>
        </w:rPr>
        <w:t xml:space="preserve">3. 应用系统传输加密服务。应基于密码服务平台提供的传输加密服务，要求采用 SM4 算法实现重要数据在传输过程中机密性保护，要求采用 HMAC-SM3 算法实现重要数据在传输过程中完整性保护。 </w:t>
      </w:r>
    </w:p>
    <w:p w14:paraId="5A23BC86">
      <w:pPr>
        <w:pStyle w:val="713"/>
        <w:ind w:firstLine="420"/>
        <w:rPr>
          <w:rFonts w:ascii="宋体" w:hAnsi="宋体" w:eastAsia="宋体" w:cs="宋体"/>
          <w:bCs/>
          <w:kern w:val="0"/>
          <w:sz w:val="21"/>
        </w:rPr>
      </w:pPr>
      <w:r>
        <w:rPr>
          <w:rFonts w:hint="eastAsia" w:ascii="宋体" w:hAnsi="宋体" w:eastAsia="宋体" w:cs="宋体"/>
          <w:bCs/>
          <w:kern w:val="0"/>
          <w:sz w:val="21"/>
        </w:rPr>
        <w:t xml:space="preserve">4. 应用系统存储加密服务。应基于密码服务平台提供的存储加密服务，要求采用 SM4 算法实现实现重要数据在存储过程中机密性保护，要求采用 HMAC-SM3 算法实现实现重要数据在存储过程中完整性保护。 </w:t>
      </w:r>
    </w:p>
    <w:p w14:paraId="6100706A">
      <w:pPr>
        <w:pStyle w:val="713"/>
        <w:ind w:firstLine="420"/>
        <w:rPr>
          <w:rFonts w:ascii="宋体" w:hAnsi="宋体" w:eastAsia="宋体" w:cs="宋体"/>
          <w:bCs/>
          <w:kern w:val="0"/>
          <w:sz w:val="21"/>
        </w:rPr>
      </w:pPr>
      <w:r>
        <w:rPr>
          <w:rFonts w:hint="eastAsia" w:ascii="宋体" w:hAnsi="宋体" w:eastAsia="宋体" w:cs="宋体"/>
          <w:bCs/>
          <w:kern w:val="0"/>
          <w:sz w:val="21"/>
        </w:rPr>
        <w:t xml:space="preserve">5. 应用系统安全运维通道服务。应基于密码服务平台提供的安全运维通道服务，运维终端安装 SSL VPN 客户端软件，运维人员通过拨号登录使用 SM2 算法实现通信实体的身份认证、使用 HMAC-SM3 实现通信过程中数据的完整性、使用 SM4 算法实现通 信过程中数据的机密性。 </w:t>
      </w:r>
    </w:p>
    <w:p w14:paraId="1F2E41D6">
      <w:pPr>
        <w:pStyle w:val="713"/>
        <w:ind w:firstLine="420"/>
        <w:rPr>
          <w:rFonts w:ascii="宋体" w:hAnsi="宋体" w:eastAsia="宋体" w:cs="宋体"/>
          <w:bCs/>
          <w:kern w:val="0"/>
          <w:sz w:val="21"/>
        </w:rPr>
      </w:pPr>
      <w:r>
        <w:rPr>
          <w:rFonts w:hint="eastAsia" w:ascii="宋体" w:hAnsi="宋体" w:eastAsia="宋体" w:cs="宋体"/>
          <w:bCs/>
          <w:kern w:val="0"/>
          <w:sz w:val="21"/>
        </w:rPr>
        <w:t xml:space="preserve">6. 应用系统完整性校验服务。应基于密码服务平台提供的完整性校验服务，基于国密 HMAC-SM3 算法实现访问控制列表完整性保护。 </w:t>
      </w:r>
    </w:p>
    <w:p w14:paraId="6F562D82">
      <w:pPr>
        <w:pStyle w:val="713"/>
        <w:ind w:firstLine="420"/>
        <w:rPr>
          <w:rFonts w:ascii="宋体" w:hAnsi="宋体" w:eastAsia="宋体" w:cs="宋体"/>
          <w:bCs/>
          <w:kern w:val="0"/>
          <w:sz w:val="21"/>
        </w:rPr>
      </w:pPr>
      <w:r>
        <w:rPr>
          <w:rFonts w:hint="eastAsia" w:ascii="宋体" w:hAnsi="宋体" w:eastAsia="宋体" w:cs="宋体"/>
          <w:bCs/>
          <w:kern w:val="0"/>
          <w:sz w:val="21"/>
        </w:rPr>
        <w:t xml:space="preserve">7.国密浏览器。使用 SM2/RSA 的双算法自适应部署方案，提供国密算法在 HTTPS 网站通道加密方面的普及应用，帮助关键领域业务系统平滑实现国密算法升级改造并稳定运行。 </w:t>
      </w:r>
    </w:p>
    <w:p w14:paraId="30A06B9A">
      <w:pPr>
        <w:pStyle w:val="713"/>
        <w:ind w:firstLine="420"/>
        <w:rPr>
          <w:rFonts w:ascii="宋体" w:hAnsi="宋体" w:eastAsia="宋体" w:cs="宋体"/>
          <w:bCs/>
          <w:kern w:val="0"/>
          <w:sz w:val="21"/>
        </w:rPr>
      </w:pPr>
      <w:r>
        <w:rPr>
          <w:rFonts w:hint="eastAsia" w:ascii="宋体" w:hAnsi="宋体" w:eastAsia="宋体" w:cs="宋体"/>
          <w:bCs/>
          <w:kern w:val="0"/>
          <w:sz w:val="21"/>
        </w:rPr>
        <w:t xml:space="preserve">8.网站国密站点SSL证书。应通过“国密站点 SSL 证书”的 应用实现 HTTPS 国密通信加密，加强通信过程数据的机密性、 完整性及通信实体对身份鉴别。 </w:t>
      </w:r>
    </w:p>
    <w:p w14:paraId="3FFA5BEC">
      <w:pPr>
        <w:pStyle w:val="713"/>
        <w:ind w:firstLine="420"/>
        <w:rPr>
          <w:rFonts w:ascii="宋体" w:hAnsi="宋体" w:eastAsia="宋体" w:cs="宋体"/>
          <w:bCs/>
          <w:kern w:val="0"/>
          <w:sz w:val="21"/>
        </w:rPr>
      </w:pPr>
      <w:r>
        <w:rPr>
          <w:rFonts w:hint="eastAsia" w:ascii="宋体" w:hAnsi="宋体" w:eastAsia="宋体" w:cs="宋体"/>
          <w:bCs/>
          <w:kern w:val="0"/>
          <w:sz w:val="21"/>
        </w:rPr>
        <w:t xml:space="preserve">9.数字签名服务。应对数字签名以及验证接口进行封装，并按照一定接口规范提供给各个信息系统。信息系统通过调用密码服务平台的数字签名服务，完成对数据的数字签名和签名验证，并支持校验设备的身份真实性。 </w:t>
      </w:r>
    </w:p>
    <w:p w14:paraId="10D68AC5">
      <w:pPr>
        <w:pStyle w:val="713"/>
        <w:ind w:firstLine="420"/>
        <w:rPr>
          <w:rFonts w:ascii="宋体" w:hAnsi="宋体" w:eastAsia="宋体" w:cs="宋体"/>
          <w:bCs/>
          <w:kern w:val="0"/>
          <w:sz w:val="21"/>
        </w:rPr>
      </w:pPr>
      <w:r>
        <w:rPr>
          <w:rFonts w:hint="eastAsia" w:ascii="宋体" w:hAnsi="宋体" w:eastAsia="宋体" w:cs="宋体"/>
          <w:bCs/>
          <w:kern w:val="0"/>
          <w:sz w:val="21"/>
        </w:rPr>
        <w:t xml:space="preserve">10.密钥管理服务。应基于密码服务平台提供的密钥管理服务， 对按照密钥管理标准规范接入的密码设备提供包括密钥生成、分发、存储、使用、更新、归档、备份、恢复和销毁等全生命 周期的管理。 </w:t>
      </w:r>
    </w:p>
    <w:p w14:paraId="43C8285D">
      <w:pPr>
        <w:pStyle w:val="713"/>
        <w:ind w:firstLine="420"/>
        <w:rPr>
          <w:rFonts w:ascii="宋体" w:hAnsi="宋体" w:eastAsia="宋体" w:cs="宋体"/>
          <w:bCs/>
          <w:kern w:val="0"/>
          <w:sz w:val="21"/>
        </w:rPr>
      </w:pPr>
      <w:r>
        <w:rPr>
          <w:rFonts w:hint="eastAsia" w:ascii="宋体" w:hAnsi="宋体" w:eastAsia="宋体" w:cs="宋体"/>
          <w:bCs/>
          <w:kern w:val="0"/>
          <w:sz w:val="21"/>
        </w:rPr>
        <w:t>输出结果：</w:t>
      </w:r>
    </w:p>
    <w:p w14:paraId="66805ACF">
      <w:pPr>
        <w:pStyle w:val="713"/>
        <w:ind w:firstLine="420"/>
        <w:rPr>
          <w:rFonts w:ascii="宋体" w:hAnsi="宋体" w:eastAsia="宋体" w:cs="宋体"/>
          <w:bCs/>
          <w:kern w:val="0"/>
          <w:sz w:val="21"/>
        </w:rPr>
      </w:pPr>
      <w:r>
        <w:rPr>
          <w:rFonts w:hint="eastAsia" w:ascii="宋体" w:hAnsi="宋体" w:eastAsia="宋体" w:cs="宋体"/>
          <w:bCs/>
          <w:kern w:val="0"/>
          <w:sz w:val="21"/>
        </w:rPr>
        <w:t>（1）完成服务后的交付物至少应包括：</w:t>
      </w:r>
    </w:p>
    <w:p w14:paraId="1FC326CD">
      <w:pPr>
        <w:pStyle w:val="713"/>
        <w:ind w:firstLine="420"/>
        <w:rPr>
          <w:rFonts w:ascii="宋体" w:hAnsi="宋体" w:eastAsia="宋体" w:cs="宋体"/>
          <w:bCs/>
          <w:kern w:val="0"/>
          <w:sz w:val="21"/>
        </w:rPr>
      </w:pPr>
      <w:r>
        <w:rPr>
          <w:rFonts w:hint="eastAsia" w:ascii="宋体" w:hAnsi="宋体" w:eastAsia="宋体" w:cs="宋体"/>
          <w:bCs/>
          <w:kern w:val="0"/>
          <w:sz w:val="21"/>
        </w:rPr>
        <w:t>《商用密码应用改造方案》</w:t>
      </w:r>
    </w:p>
    <w:p w14:paraId="0F62512C">
      <w:pPr>
        <w:pStyle w:val="713"/>
        <w:ind w:firstLine="420"/>
        <w:rPr>
          <w:rFonts w:ascii="宋体" w:hAnsi="宋体" w:eastAsia="宋体" w:cs="宋体"/>
          <w:bCs/>
          <w:kern w:val="0"/>
          <w:sz w:val="21"/>
        </w:rPr>
      </w:pPr>
      <w:r>
        <w:rPr>
          <w:rFonts w:hint="eastAsia" w:ascii="宋体" w:hAnsi="宋体" w:eastAsia="宋体" w:cs="宋体"/>
          <w:bCs/>
          <w:kern w:val="0"/>
          <w:sz w:val="21"/>
        </w:rPr>
        <w:t>《密码平台接口技术白皮书》</w:t>
      </w:r>
    </w:p>
    <w:p w14:paraId="0DD2F401">
      <w:pPr>
        <w:pStyle w:val="713"/>
        <w:ind w:firstLine="420"/>
        <w:rPr>
          <w:rFonts w:ascii="宋体" w:hAnsi="宋体" w:eastAsia="宋体" w:cs="宋体"/>
          <w:bCs/>
          <w:kern w:val="0"/>
          <w:sz w:val="21"/>
        </w:rPr>
      </w:pPr>
      <w:r>
        <w:rPr>
          <w:rFonts w:hint="eastAsia" w:ascii="宋体" w:hAnsi="宋体" w:eastAsia="宋体" w:cs="宋体"/>
          <w:bCs/>
          <w:kern w:val="0"/>
          <w:sz w:val="21"/>
        </w:rPr>
        <w:t>（2）最终符合商用密码应用安全性评估标准，并协助在测评结束后完成向密码管理部门的报告备案工作。</w:t>
      </w:r>
    </w:p>
    <w:p w14:paraId="52192E63">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7.4云平台其他技术要求</w:t>
      </w:r>
    </w:p>
    <w:p w14:paraId="5E4DD882">
      <w:pPr>
        <w:pStyle w:val="23"/>
        <w:snapToGrid w:val="0"/>
        <w:ind w:firstLine="420" w:firstLineChars="200"/>
        <w:outlineLvl w:val="3"/>
        <w:rPr>
          <w:rFonts w:hAnsi="宋体" w:cs="宋体"/>
          <w:sz w:val="21"/>
        </w:rPr>
      </w:pPr>
      <w:r>
        <w:rPr>
          <w:rFonts w:hint="eastAsia" w:hAnsi="宋体" w:cs="宋体"/>
          <w:sz w:val="21"/>
        </w:rPr>
        <w:t>7.4.1云资源监控要求</w:t>
      </w:r>
    </w:p>
    <w:p w14:paraId="5E5F0F80">
      <w:pPr>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投标人应加强对云资源使用情况的动态监控，实时监控云业务平台各系统，包括但不限于：CPU，内存，磁盘，网络等系统基本运行指标，形成报表并记录在案。</w:t>
      </w:r>
    </w:p>
    <w:p w14:paraId="3E9C6FD3">
      <w:pPr>
        <w:snapToGrid w:val="0"/>
        <w:spacing w:line="360" w:lineRule="auto"/>
        <w:ind w:firstLine="420" w:firstLineChars="200"/>
        <w:rPr>
          <w:rFonts w:ascii="宋体" w:hAnsi="宋体" w:cs="宋体"/>
          <w:kern w:val="0"/>
          <w:szCs w:val="21"/>
        </w:rPr>
      </w:pPr>
      <w:r>
        <w:rPr>
          <w:rFonts w:hint="eastAsia" w:ascii="宋体" w:hAnsi="宋体" w:cs="宋体"/>
          <w:kern w:val="0"/>
          <w:szCs w:val="21"/>
        </w:rPr>
        <w:t>跟踪分析使用单位云资源运行质量情况，提出资源调整和优化建议。定期对使用单位云资源运行情况进行统计、分析，包括CPU、内存、磁盘利用率等指标，并将数据形成运维报表反馈用户，并配合采购人，协助各使用单位进行资源的合理调整。</w:t>
      </w:r>
    </w:p>
    <w:p w14:paraId="01C72425">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7.5迁移要求</w:t>
      </w:r>
    </w:p>
    <w:p w14:paraId="354E6D4D">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本项目政务云及信创云服务采用租用方式，各系统资源或数据属于采购人。上述系统资源或数据在现有平台运行，也可在转移到中标人提供的平台运行。</w:t>
      </w:r>
    </w:p>
    <w:p w14:paraId="254BA790">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运行在现有电子政务专用云平台的应用系统如需要转移的，投标人应可以提供完整的一键式迁移预案，保证现有系统可以无缝迁移到新平台上，且不会对应用产生影响。采购人（或其授权单位）将配合中标人完成数据的迁移工作，其余迁移工作须中标人独立解决。</w:t>
      </w:r>
    </w:p>
    <w:p w14:paraId="1EDA5CA4">
      <w:pPr>
        <w:snapToGrid w:val="0"/>
        <w:spacing w:line="360" w:lineRule="auto"/>
        <w:ind w:firstLine="420" w:firstLineChars="200"/>
        <w:rPr>
          <w:rFonts w:ascii="宋体" w:hAnsi="宋体" w:cs="宋体"/>
          <w:kern w:val="0"/>
          <w:szCs w:val="21"/>
        </w:rPr>
      </w:pPr>
      <w:r>
        <w:rPr>
          <w:rFonts w:hint="eastAsia" w:ascii="宋体" w:hAnsi="宋体" w:cs="宋体"/>
          <w:kern w:val="0"/>
          <w:szCs w:val="21"/>
        </w:rPr>
        <w:t>注：原服务提供商作为投标人投标时须提供配合迁移工作预案。</w:t>
      </w:r>
    </w:p>
    <w:p w14:paraId="3B6F9246">
      <w:pPr>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投标人须针对本项目详细指标要求进行明确响应，针对采购要求如实描述是否偏离。</w:t>
      </w:r>
    </w:p>
    <w:p w14:paraId="07B219BA">
      <w:pPr>
        <w:pStyle w:val="3"/>
        <w:rPr>
          <w:rFonts w:ascii="宋体" w:hAnsi="宋体" w:cs="宋体"/>
          <w:sz w:val="21"/>
          <w:szCs w:val="21"/>
        </w:rPr>
      </w:pPr>
      <w:bookmarkStart w:id="54" w:name="_Toc11973"/>
      <w:r>
        <w:rPr>
          <w:rFonts w:hint="eastAsia" w:ascii="宋体" w:hAnsi="宋体" w:cs="宋体"/>
          <w:sz w:val="21"/>
          <w:szCs w:val="21"/>
        </w:rPr>
        <w:t>八、服务要求</w:t>
      </w:r>
      <w:bookmarkEnd w:id="54"/>
    </w:p>
    <w:p w14:paraId="7485677A">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8.1伴随服务响应要求</w:t>
      </w:r>
    </w:p>
    <w:p w14:paraId="6624BBA1">
      <w:pPr>
        <w:snapToGrid w:val="0"/>
        <w:spacing w:line="360" w:lineRule="auto"/>
        <w:ind w:firstLine="420" w:firstLineChars="200"/>
        <w:rPr>
          <w:rFonts w:ascii="宋体" w:hAnsi="宋体" w:cs="宋体"/>
          <w:kern w:val="0"/>
          <w:szCs w:val="21"/>
        </w:rPr>
      </w:pPr>
      <w:r>
        <w:rPr>
          <w:rFonts w:hint="eastAsia" w:ascii="宋体" w:hAnsi="宋体" w:cs="宋体"/>
          <w:kern w:val="0"/>
          <w:szCs w:val="21"/>
        </w:rPr>
        <w:t>1、投标人应具有完善的服务保障体系，常驻服务和技术支持机构可提供可靠的及时服务响应能力，配备有足够的专业技术人员。</w:t>
      </w:r>
    </w:p>
    <w:p w14:paraId="37C0F1E6">
      <w:pPr>
        <w:snapToGrid w:val="0"/>
        <w:spacing w:line="360" w:lineRule="auto"/>
        <w:ind w:firstLine="420" w:firstLineChars="200"/>
        <w:rPr>
          <w:rFonts w:ascii="宋体" w:hAnsi="宋体" w:cs="宋体"/>
          <w:kern w:val="0"/>
          <w:szCs w:val="21"/>
        </w:rPr>
      </w:pPr>
      <w:r>
        <w:rPr>
          <w:rFonts w:hint="eastAsia" w:ascii="宋体" w:hAnsi="宋体" w:cs="宋体"/>
          <w:kern w:val="0"/>
          <w:szCs w:val="21"/>
        </w:rPr>
        <w:t>2、投标人应明确说明此次投标的服务策略，提供此次投标货物的服务计划（服务内容、等级、相关服务指标、服务组织机构及人员安排情况及其联络信息）。</w:t>
      </w:r>
    </w:p>
    <w:p w14:paraId="2ED525D1">
      <w:pPr>
        <w:snapToGrid w:val="0"/>
        <w:spacing w:line="360" w:lineRule="auto"/>
        <w:ind w:firstLine="420" w:firstLineChars="200"/>
        <w:rPr>
          <w:rFonts w:ascii="宋体" w:hAnsi="宋体" w:cs="宋体"/>
          <w:kern w:val="0"/>
          <w:szCs w:val="21"/>
        </w:rPr>
      </w:pPr>
      <w:r>
        <w:rPr>
          <w:rFonts w:hint="eastAsia" w:ascii="宋体" w:hAnsi="宋体" w:cs="宋体"/>
          <w:kern w:val="0"/>
          <w:szCs w:val="21"/>
        </w:rPr>
        <w:t>3、在服务期内投标人必须为最终用户提供技术服务热线（7*24小时），负责解答用户在云平台使用中遇到的问题，并及时提出解决问题的建议和操作方法。技术服务热线支持应是中文服务。</w:t>
      </w:r>
    </w:p>
    <w:p w14:paraId="672835D9">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4、在服务期内，投标人应提供7*24小时的现场和技术支持服务，重大技术故障应1小时内提供解决方案或策略；如果逾期未作出响应，投标人应承担由于故障所造成的全部损失。 </w:t>
      </w:r>
    </w:p>
    <w:p w14:paraId="3F62F05C">
      <w:pPr>
        <w:snapToGrid w:val="0"/>
        <w:spacing w:line="360" w:lineRule="auto"/>
        <w:ind w:firstLine="420" w:firstLineChars="200"/>
        <w:rPr>
          <w:rFonts w:ascii="宋体" w:hAnsi="宋体" w:cs="宋体"/>
          <w:kern w:val="0"/>
          <w:szCs w:val="21"/>
        </w:rPr>
      </w:pPr>
      <w:r>
        <w:rPr>
          <w:rFonts w:hint="eastAsia" w:ascii="宋体" w:hAnsi="宋体" w:cs="宋体"/>
          <w:kern w:val="0"/>
          <w:szCs w:val="21"/>
        </w:rPr>
        <w:t>5、在服务期内，投标人应按月提供云平台各业务系统资源使用情况报表并对相应资源进行实时动态调整。</w:t>
      </w:r>
    </w:p>
    <w:p w14:paraId="21AD604F">
      <w:pPr>
        <w:snapToGrid w:val="0"/>
        <w:spacing w:line="360" w:lineRule="auto"/>
        <w:ind w:firstLine="420" w:firstLineChars="200"/>
        <w:rPr>
          <w:rFonts w:ascii="宋体" w:hAnsi="宋体" w:cs="宋体"/>
          <w:kern w:val="0"/>
          <w:szCs w:val="21"/>
        </w:rPr>
      </w:pPr>
      <w:r>
        <w:rPr>
          <w:rFonts w:hint="eastAsia" w:ascii="宋体" w:hAnsi="宋体" w:cs="宋体"/>
          <w:kern w:val="0"/>
          <w:szCs w:val="21"/>
        </w:rPr>
        <w:t>6、投标人具有云平台原厂合作伙伴授权证明（要求在签订合同前取得，投标文件中提供承诺书）。</w:t>
      </w:r>
    </w:p>
    <w:p w14:paraId="70E79EA4">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8.2培训要求</w:t>
      </w:r>
    </w:p>
    <w:p w14:paraId="01A3A712">
      <w:pPr>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需列出项目培训方案的详细计划，包括培训内容、时间、地点、人次，重点对相应应用的操作、使用投标人须保证所提供产品具有合法的版权或使用权，本项目采购的产品，如在本项目范围内使用过程中出现版权或使用权纠纷，应由中标人负责，采购人不承担责任。</w:t>
      </w:r>
    </w:p>
    <w:p w14:paraId="33B3F384">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8.3驻场服务要求</w:t>
      </w:r>
    </w:p>
    <w:p w14:paraId="2F9B8889">
      <w:pPr>
        <w:snapToGrid w:val="0"/>
        <w:spacing w:line="360" w:lineRule="auto"/>
        <w:ind w:firstLine="420" w:firstLineChars="200"/>
        <w:rPr>
          <w:rFonts w:ascii="宋体" w:hAnsi="宋体" w:cs="宋体"/>
          <w:kern w:val="0"/>
          <w:szCs w:val="21"/>
        </w:rPr>
      </w:pPr>
      <w:r>
        <w:rPr>
          <w:rFonts w:hint="eastAsia" w:ascii="宋体" w:hAnsi="宋体" w:cs="宋体"/>
          <w:kern w:val="0"/>
          <w:szCs w:val="21"/>
        </w:rPr>
        <w:t>在服务期内，服务方应提供1名日常运维驻场人员。驻场人员服从采购人安排，对云平台产品做日常的监控、巡检、告警和异常处理；对云上安全做相关协助，协助采购人做云上安全故障定位，给出相关安全建议等，对云平台进行整体维护管理。对采购人的云平台使用满意度负责，优化流程规范提升服务质量。</w:t>
      </w:r>
    </w:p>
    <w:p w14:paraId="7AFEA533">
      <w:pPr>
        <w:snapToGrid w:val="0"/>
        <w:spacing w:line="360" w:lineRule="auto"/>
        <w:ind w:firstLine="422" w:firstLineChars="200"/>
        <w:jc w:val="left"/>
        <w:outlineLvl w:val="2"/>
        <w:rPr>
          <w:rFonts w:ascii="宋体" w:hAnsi="宋体" w:cs="宋体"/>
          <w:b/>
          <w:bCs/>
          <w:snapToGrid w:val="0"/>
          <w:kern w:val="0"/>
          <w:szCs w:val="21"/>
        </w:rPr>
      </w:pPr>
      <w:r>
        <w:rPr>
          <w:rFonts w:hint="eastAsia" w:ascii="宋体" w:hAnsi="宋体" w:cs="宋体"/>
          <w:b/>
          <w:bCs/>
          <w:snapToGrid w:val="0"/>
          <w:kern w:val="0"/>
          <w:szCs w:val="21"/>
        </w:rPr>
        <w:t>8.4项目台账要求</w:t>
      </w:r>
    </w:p>
    <w:p w14:paraId="1CF34924">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本项目提交的成果文档（项目台帐）应覆盖以下内容，电子文档是成果不可分割的部分。项目台账包括但不限于：</w:t>
      </w:r>
    </w:p>
    <w:p w14:paraId="61A1B08B">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（1）项目需求分析；</w:t>
      </w:r>
    </w:p>
    <w:p w14:paraId="0422198B">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（2）实施内容（包括</w:t>
      </w:r>
      <w:r>
        <w:rPr>
          <w:rFonts w:hint="eastAsia" w:ascii="宋体" w:hAnsi="宋体" w:cs="宋体"/>
          <w:szCs w:val="21"/>
        </w:rPr>
        <w:t>政务云机房和网络基础设施提升</w:t>
      </w:r>
      <w:r>
        <w:rPr>
          <w:rFonts w:hint="eastAsia" w:ascii="宋体" w:hAnsi="宋体" w:cs="宋体"/>
          <w:kern w:val="0"/>
          <w:szCs w:val="21"/>
        </w:rPr>
        <w:t>方案、</w:t>
      </w:r>
      <w:r>
        <w:rPr>
          <w:rFonts w:hint="eastAsia" w:ascii="宋体" w:hAnsi="宋体" w:cs="宋体"/>
          <w:szCs w:val="21"/>
        </w:rPr>
        <w:t>政务云平台提升优化方案</w:t>
      </w:r>
      <w:r>
        <w:rPr>
          <w:rFonts w:hint="eastAsia" w:ascii="宋体" w:hAnsi="宋体" w:cs="宋体"/>
          <w:kern w:val="0"/>
          <w:szCs w:val="21"/>
        </w:rPr>
        <w:t>等）；</w:t>
      </w:r>
    </w:p>
    <w:p w14:paraId="6EBE8550">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（3）运维保障内容；</w:t>
      </w:r>
    </w:p>
    <w:p w14:paraId="386C0C07">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（4）机房设备维护记录；</w:t>
      </w:r>
    </w:p>
    <w:p w14:paraId="3D6139FA">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（5）培训内容及培训成果；</w:t>
      </w:r>
    </w:p>
    <w:p w14:paraId="53AB2E9A">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（6）服务清单；</w:t>
      </w:r>
    </w:p>
    <w:p w14:paraId="46B2D749">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（7）项目总结及建议；</w:t>
      </w:r>
    </w:p>
    <w:p w14:paraId="3CB44796">
      <w:pPr>
        <w:tabs>
          <w:tab w:val="left" w:pos="0"/>
        </w:tabs>
        <w:snapToGrid w:val="0"/>
        <w:spacing w:line="360" w:lineRule="auto"/>
        <w:ind w:firstLine="482"/>
        <w:rPr>
          <w:rFonts w:ascii="宋体" w:hAnsi="宋体" w:cs="宋体"/>
          <w:kern w:val="0"/>
          <w:szCs w:val="21"/>
        </w:rPr>
      </w:pPr>
      <w:r>
        <w:rPr>
          <w:rFonts w:hint="eastAsia" w:ascii="宋体" w:hAnsi="宋体" w:cs="宋体"/>
          <w:kern w:val="0"/>
          <w:szCs w:val="21"/>
        </w:rPr>
        <w:t>所有数据的处置权和使用权归采购人所有。</w:t>
      </w:r>
    </w:p>
    <w:p w14:paraId="32DF99C9">
      <w:pPr>
        <w:pStyle w:val="3"/>
        <w:rPr>
          <w:rFonts w:ascii="宋体" w:hAnsi="宋体" w:cs="宋体"/>
          <w:sz w:val="21"/>
          <w:szCs w:val="21"/>
        </w:rPr>
      </w:pPr>
      <w:bookmarkStart w:id="55" w:name="_Toc12313"/>
      <w:r>
        <w:rPr>
          <w:rFonts w:hint="eastAsia" w:ascii="宋体" w:hAnsi="宋体" w:cs="宋体"/>
          <w:sz w:val="21"/>
          <w:szCs w:val="21"/>
        </w:rPr>
        <w:t>九、考核要求</w:t>
      </w:r>
      <w:bookmarkEnd w:id="55"/>
    </w:p>
    <w:p w14:paraId="417DCF33">
      <w:pPr>
        <w:snapToGrid w:val="0"/>
        <w:spacing w:line="360" w:lineRule="auto"/>
        <w:ind w:firstLine="420" w:firstLineChars="200"/>
        <w:rPr>
          <w:rFonts w:ascii="宋体" w:hAnsi="宋体" w:cs="宋体"/>
          <w:kern w:val="0"/>
          <w:szCs w:val="21"/>
        </w:rPr>
      </w:pPr>
      <w:r>
        <w:rPr>
          <w:rFonts w:hint="eastAsia" w:ascii="宋体" w:hAnsi="宋体" w:cs="宋体"/>
          <w:kern w:val="0"/>
          <w:szCs w:val="21"/>
        </w:rPr>
        <w:t>采购人根据项目中标人提供的服务情况进行考核。考核从网络数据安全和服务质量两部分进行，经采购人与中标人协商一致，采购人有权将根据下述安全部分以及服务部分违约责任，视中标人的考核情况扣除部分作为对采购人的补偿或赔偿。</w:t>
      </w:r>
    </w:p>
    <w:p w14:paraId="27541127">
      <w:pPr>
        <w:snapToGrid w:val="0"/>
        <w:spacing w:line="360" w:lineRule="auto"/>
        <w:ind w:firstLine="420" w:firstLineChars="200"/>
        <w:rPr>
          <w:rFonts w:ascii="宋体" w:hAnsi="宋体" w:cs="宋体"/>
          <w:kern w:val="0"/>
          <w:szCs w:val="21"/>
        </w:rPr>
      </w:pPr>
      <w:r>
        <w:rPr>
          <w:rFonts w:hint="eastAsia" w:ascii="宋体" w:hAnsi="宋体" w:cs="宋体"/>
          <w:kern w:val="0"/>
          <w:szCs w:val="21"/>
        </w:rPr>
        <w:t>（一）安全责任</w:t>
      </w:r>
    </w:p>
    <w:p w14:paraId="5B9DDB7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1.中标人应按照《中华人民共和国网络安全法》《中华人民共和国数据安全法》《中华人民共和国个人信息保护法》等法律法规及规章制度的要求，履行网络和数据安全保护义务。</w:t>
      </w:r>
    </w:p>
    <w:p w14:paraId="0565320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2.本项目所涉及的中标人工作人员均需签订《保密承诺书》，且</w:t>
      </w:r>
      <w:r>
        <w:rPr>
          <w:rFonts w:hint="eastAsia" w:ascii="宋体" w:hAnsi="宋体" w:cs="宋体"/>
          <w:kern w:val="0"/>
          <w:szCs w:val="21"/>
          <w:lang w:eastAsia="zh-CN"/>
        </w:rPr>
        <w:t>中标人</w:t>
      </w:r>
      <w:r>
        <w:rPr>
          <w:rFonts w:hint="eastAsia" w:ascii="宋体" w:hAnsi="宋体" w:cs="宋体"/>
          <w:kern w:val="0"/>
          <w:szCs w:val="21"/>
        </w:rPr>
        <w:t>应对项目涉及工作人员进行背景审查，存在泄密风险的</w:t>
      </w:r>
      <w:r>
        <w:rPr>
          <w:rFonts w:hint="eastAsia" w:ascii="宋体" w:hAnsi="宋体" w:cs="宋体"/>
          <w:kern w:val="0"/>
          <w:szCs w:val="21"/>
          <w:lang w:eastAsia="zh-CN"/>
        </w:rPr>
        <w:t>中标人</w:t>
      </w:r>
      <w:r>
        <w:rPr>
          <w:rFonts w:hint="eastAsia" w:ascii="宋体" w:hAnsi="宋体" w:cs="宋体"/>
          <w:kern w:val="0"/>
          <w:szCs w:val="21"/>
        </w:rPr>
        <w:t>工作人员不得接触项目。</w:t>
      </w:r>
      <w:r>
        <w:rPr>
          <w:rFonts w:hint="eastAsia" w:ascii="宋体" w:hAnsi="宋体" w:cs="宋体"/>
          <w:kern w:val="0"/>
          <w:szCs w:val="21"/>
          <w:lang w:eastAsia="zh-CN"/>
        </w:rPr>
        <w:t>中标人</w:t>
      </w:r>
      <w:r>
        <w:rPr>
          <w:rFonts w:hint="eastAsia" w:ascii="宋体" w:hAnsi="宋体" w:cs="宋体"/>
          <w:kern w:val="0"/>
          <w:szCs w:val="21"/>
        </w:rPr>
        <w:t>应做好人员保密教育工作。</w:t>
      </w:r>
    </w:p>
    <w:p w14:paraId="09EAE34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中标人</w:t>
      </w:r>
      <w:r>
        <w:rPr>
          <w:rFonts w:hint="eastAsia" w:ascii="宋体" w:hAnsi="宋体" w:cs="宋体"/>
          <w:kern w:val="0"/>
          <w:szCs w:val="21"/>
        </w:rPr>
        <w:t>应当采取技术措施和其他必要措施，确保其网络和数据安全，防止出现信息泄露、毁损、丢失等风险。在发生或者可能发生信息泄露、毁损、丢失等情况时，应当立即采取补救措施，并将相关情况及时告知甲方。</w:t>
      </w:r>
    </w:p>
    <w:p w14:paraId="768B6063">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4.项目中所包含的建设、运营、运维的信息系统、应用、数据库等，</w:t>
      </w:r>
      <w:r>
        <w:rPr>
          <w:rFonts w:hint="eastAsia" w:ascii="宋体" w:hAnsi="宋体" w:cs="宋体"/>
          <w:kern w:val="0"/>
          <w:szCs w:val="21"/>
          <w:lang w:eastAsia="zh-CN"/>
        </w:rPr>
        <w:t>中标人</w:t>
      </w:r>
      <w:r>
        <w:rPr>
          <w:rFonts w:hint="eastAsia" w:ascii="宋体" w:hAnsi="宋体" w:cs="宋体"/>
          <w:kern w:val="0"/>
          <w:szCs w:val="21"/>
        </w:rPr>
        <w:t>开通相关账号、权限等必须经过甲方审批允许，不得私开账号、擅自更改权限等。</w:t>
      </w:r>
    </w:p>
    <w:p w14:paraId="1DCB8026">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中标人</w:t>
      </w:r>
      <w:r>
        <w:rPr>
          <w:rFonts w:hint="eastAsia" w:ascii="宋体" w:hAnsi="宋体" w:cs="宋体"/>
          <w:kern w:val="0"/>
          <w:szCs w:val="21"/>
        </w:rPr>
        <w:t>应合理使用操作账号，严禁</w:t>
      </w:r>
      <w:r>
        <w:rPr>
          <w:rFonts w:hint="eastAsia" w:ascii="宋体" w:hAnsi="宋体" w:cs="宋体"/>
          <w:kern w:val="0"/>
          <w:szCs w:val="21"/>
          <w:lang w:eastAsia="zh-CN"/>
        </w:rPr>
        <w:t>中标人</w:t>
      </w:r>
      <w:r>
        <w:rPr>
          <w:rFonts w:hint="eastAsia" w:ascii="宋体" w:hAnsi="宋体" w:cs="宋体"/>
          <w:kern w:val="0"/>
          <w:szCs w:val="21"/>
        </w:rPr>
        <w:t>存在多名（2人及以上）工作人员共用一个操作账号的情形，同时操作账号应采用高强度的密码，</w:t>
      </w:r>
      <w:r>
        <w:rPr>
          <w:rFonts w:hint="eastAsia" w:ascii="宋体" w:hAnsi="宋体" w:cs="宋体"/>
          <w:kern w:val="0"/>
          <w:szCs w:val="21"/>
          <w:lang w:eastAsia="zh-CN"/>
        </w:rPr>
        <w:t>中标人</w:t>
      </w:r>
      <w:r>
        <w:rPr>
          <w:rFonts w:hint="eastAsia" w:ascii="宋体" w:hAnsi="宋体" w:cs="宋体"/>
          <w:kern w:val="0"/>
          <w:szCs w:val="21"/>
        </w:rPr>
        <w:t>应妥善保管密码并定期更新账号密码。</w:t>
      </w:r>
    </w:p>
    <w:p w14:paraId="0B66497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6.未经甲方允许，</w:t>
      </w:r>
      <w:r>
        <w:rPr>
          <w:rFonts w:hint="eastAsia" w:ascii="宋体" w:hAnsi="宋体" w:cs="宋体"/>
          <w:kern w:val="0"/>
          <w:szCs w:val="21"/>
          <w:lang w:eastAsia="zh-CN"/>
        </w:rPr>
        <w:t>中标人</w:t>
      </w:r>
      <w:r>
        <w:rPr>
          <w:rFonts w:hint="eastAsia" w:ascii="宋体" w:hAnsi="宋体" w:cs="宋体"/>
          <w:kern w:val="0"/>
          <w:szCs w:val="21"/>
        </w:rPr>
        <w:t>不得对项目云资源私开端口，不得利用项目资源进行与该项目无关的工作，不得将政务网和互联网私自打通。</w:t>
      </w:r>
    </w:p>
    <w:p w14:paraId="75A78FF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中标人</w:t>
      </w:r>
      <w:r>
        <w:rPr>
          <w:rFonts w:hint="eastAsia" w:ascii="宋体" w:hAnsi="宋体" w:cs="宋体"/>
          <w:kern w:val="0"/>
          <w:szCs w:val="21"/>
        </w:rPr>
        <w:t>应严格按照相关要求收集、归集、存储、加工、传输、共享、开放、利用数据资源。做好数据落地相应的数据保护工作，严格执行数据安全技术标准和安全管理措施，避免相关数据出现篡改、破坏、泄露、丢失、非法利用等风险。</w:t>
      </w:r>
    </w:p>
    <w:p w14:paraId="4C930C06">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中标人</w:t>
      </w:r>
      <w:r>
        <w:rPr>
          <w:rFonts w:hint="eastAsia" w:ascii="宋体" w:hAnsi="宋体" w:cs="宋体"/>
          <w:kern w:val="0"/>
          <w:szCs w:val="21"/>
        </w:rPr>
        <w:t>应认真组织开展各项数据处理活动，查找项目数据安全隐患和漏洞，对薄弱环节和潜在威胁采取有力措施并进行及时整改，避免和消除数据安全风险，履行数据安全保护义务。</w:t>
      </w:r>
    </w:p>
    <w:p w14:paraId="194E2AC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9.</w:t>
      </w:r>
      <w:r>
        <w:rPr>
          <w:rFonts w:hint="eastAsia" w:ascii="宋体" w:hAnsi="宋体" w:cs="宋体"/>
          <w:kern w:val="0"/>
          <w:szCs w:val="21"/>
          <w:lang w:eastAsia="zh-CN"/>
        </w:rPr>
        <w:t>中标人</w:t>
      </w:r>
      <w:r>
        <w:rPr>
          <w:rFonts w:hint="eastAsia" w:ascii="宋体" w:hAnsi="宋体" w:cs="宋体"/>
          <w:kern w:val="0"/>
          <w:szCs w:val="21"/>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491D6F4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w:t>
      </w:r>
      <w:r>
        <w:rPr>
          <w:rFonts w:hint="eastAsia" w:ascii="宋体" w:hAnsi="宋体" w:cs="宋体"/>
          <w:kern w:val="0"/>
          <w:szCs w:val="21"/>
          <w:lang w:eastAsia="zh-CN"/>
        </w:rPr>
        <w:t>中标人</w:t>
      </w:r>
      <w:r>
        <w:rPr>
          <w:rFonts w:hint="eastAsia" w:ascii="宋体" w:hAnsi="宋体" w:cs="宋体"/>
          <w:kern w:val="0"/>
          <w:szCs w:val="21"/>
        </w:rPr>
        <w:t>应及时响应、处置甲方布置的安全工作，对其主管的系统、组件、云资源等所属安全事件、隐患及时发现、阻断、排查、处置、溯源（包括但不限于攻防演练等相关活动中发现的）。</w:t>
      </w:r>
    </w:p>
    <w:p w14:paraId="702BC0D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11.项目中所建设的系统、提供的基础设施服务等，</w:t>
      </w:r>
      <w:r>
        <w:rPr>
          <w:rFonts w:hint="eastAsia" w:ascii="宋体" w:hAnsi="宋体" w:cs="宋体"/>
          <w:kern w:val="0"/>
          <w:szCs w:val="21"/>
          <w:lang w:eastAsia="zh-CN"/>
        </w:rPr>
        <w:t>中标人</w:t>
      </w:r>
      <w:r>
        <w:rPr>
          <w:rFonts w:hint="eastAsia" w:ascii="宋体" w:hAnsi="宋体" w:cs="宋体"/>
          <w:kern w:val="0"/>
          <w:szCs w:val="21"/>
        </w:rPr>
        <w:t>应无偿提供操作、告警等安全日志以及资产清单，并且按照规范要求与甲方审计平台实现对接，并且提供相关解析服务（如日志字典等）供甲方进行安全审计。</w:t>
      </w:r>
    </w:p>
    <w:p w14:paraId="55375A1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12.</w:t>
      </w:r>
      <w:r>
        <w:rPr>
          <w:rFonts w:hint="eastAsia" w:ascii="宋体" w:hAnsi="宋体" w:cs="宋体"/>
          <w:kern w:val="0"/>
          <w:szCs w:val="21"/>
          <w:lang w:eastAsia="zh-CN"/>
        </w:rPr>
        <w:t>中标人</w:t>
      </w:r>
      <w:r>
        <w:rPr>
          <w:rFonts w:hint="eastAsia" w:ascii="宋体" w:hAnsi="宋体" w:cs="宋体"/>
          <w:kern w:val="0"/>
          <w:szCs w:val="21"/>
        </w:rPr>
        <w:t>派驻的驻场人员应按照甲方要求办理入场、离场等手续，入驻全省ISV系统，并且遵守甲方劳动、工作纪律，按照甲方要求的工作时间进行出勤。</w:t>
      </w:r>
    </w:p>
    <w:p w14:paraId="1B3E384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13. </w:t>
      </w:r>
      <w:r>
        <w:rPr>
          <w:rFonts w:hint="eastAsia" w:ascii="宋体" w:hAnsi="宋体" w:cs="宋体"/>
          <w:kern w:val="0"/>
          <w:szCs w:val="21"/>
          <w:lang w:eastAsia="zh-CN"/>
        </w:rPr>
        <w:t>中标人</w:t>
      </w:r>
      <w:r>
        <w:rPr>
          <w:rFonts w:hint="eastAsia" w:ascii="宋体" w:hAnsi="宋体" w:cs="宋体"/>
          <w:kern w:val="0"/>
          <w:szCs w:val="21"/>
        </w:rPr>
        <w:t>应配合甲方对项目涉及的资源、系统等常态化安全漏洞扫描，并且及时修复漏洞。</w:t>
      </w:r>
    </w:p>
    <w:p w14:paraId="73A26C4A">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w:t>
      </w:r>
      <w:r>
        <w:rPr>
          <w:rFonts w:hint="eastAsia" w:ascii="宋体" w:hAnsi="宋体" w:cs="宋体"/>
          <w:kern w:val="0"/>
          <w:szCs w:val="21"/>
          <w:lang w:eastAsia="zh-CN"/>
        </w:rPr>
        <w:t>中标人</w:t>
      </w:r>
      <w:r>
        <w:rPr>
          <w:rFonts w:hint="eastAsia" w:ascii="宋体" w:hAnsi="宋体" w:cs="宋体"/>
          <w:kern w:val="0"/>
          <w:szCs w:val="21"/>
        </w:rPr>
        <w:t>应配合甲方完成项目中所建设、运营的应用系统、服务等的网络数据安全检查，并且按要求及时完成检查中发现问题的整改。</w:t>
      </w:r>
    </w:p>
    <w:p w14:paraId="748D811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15.未经甲方允许，</w:t>
      </w:r>
      <w:r>
        <w:rPr>
          <w:rFonts w:hint="eastAsia" w:ascii="宋体" w:hAnsi="宋体" w:cs="宋体"/>
          <w:kern w:val="0"/>
          <w:szCs w:val="21"/>
          <w:lang w:eastAsia="zh-CN"/>
        </w:rPr>
        <w:t>中标人</w:t>
      </w:r>
      <w:r>
        <w:rPr>
          <w:rFonts w:hint="eastAsia" w:ascii="宋体" w:hAnsi="宋体" w:cs="宋体"/>
          <w:kern w:val="0"/>
          <w:szCs w:val="21"/>
        </w:rPr>
        <w:t>不得擅自将项目中涉及的数据拷贝、转移出指定数据区域外进行开发、调试等，包括不限于</w:t>
      </w:r>
      <w:r>
        <w:rPr>
          <w:rFonts w:hint="eastAsia" w:ascii="宋体" w:hAnsi="宋体" w:cs="宋体"/>
          <w:kern w:val="0"/>
          <w:szCs w:val="21"/>
          <w:lang w:eastAsia="zh-CN"/>
        </w:rPr>
        <w:t>中标人</w:t>
      </w:r>
      <w:r>
        <w:rPr>
          <w:rFonts w:hint="eastAsia" w:ascii="宋体" w:hAnsi="宋体" w:cs="宋体"/>
          <w:kern w:val="0"/>
          <w:szCs w:val="21"/>
        </w:rPr>
        <w:t>、第三方公司的服务器等。</w:t>
      </w:r>
    </w:p>
    <w:p w14:paraId="0529FE6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16．每次通报后，</w:t>
      </w:r>
      <w:r>
        <w:rPr>
          <w:rFonts w:hint="eastAsia" w:ascii="宋体" w:hAnsi="宋体" w:cs="宋体"/>
          <w:kern w:val="0"/>
          <w:szCs w:val="21"/>
          <w:lang w:eastAsia="zh-CN"/>
        </w:rPr>
        <w:t>中标人</w:t>
      </w:r>
      <w:r>
        <w:rPr>
          <w:rFonts w:hint="eastAsia" w:ascii="宋体" w:hAnsi="宋体" w:cs="宋体"/>
          <w:kern w:val="0"/>
          <w:szCs w:val="21"/>
        </w:rPr>
        <w:t>应当及时解决并向甲方提交整改报告并根据整改报告内容进行及时整改。</w:t>
      </w:r>
    </w:p>
    <w:p w14:paraId="733410C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w:t>
      </w:r>
      <w:r>
        <w:rPr>
          <w:rFonts w:hint="eastAsia" w:ascii="宋体" w:hAnsi="宋体" w:cs="宋体"/>
          <w:kern w:val="0"/>
          <w:szCs w:val="21"/>
          <w:lang w:eastAsia="zh-CN"/>
        </w:rPr>
        <w:t>中标人</w:t>
      </w:r>
      <w:r>
        <w:rPr>
          <w:rFonts w:hint="eastAsia" w:ascii="宋体" w:hAnsi="宋体" w:cs="宋体"/>
          <w:kern w:val="0"/>
          <w:szCs w:val="21"/>
        </w:rPr>
        <w:t>在项目中所承建信息系统的开发、测试环境，不允许出现甲方及项目相关的标识名称，并且在项目建成后及时下架测试环境。</w:t>
      </w:r>
    </w:p>
    <w:p w14:paraId="0682BE4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18.</w:t>
      </w:r>
      <w:r>
        <w:rPr>
          <w:rFonts w:hint="eastAsia" w:ascii="宋体" w:hAnsi="宋体" w:cs="宋体"/>
          <w:kern w:val="0"/>
          <w:szCs w:val="21"/>
          <w:lang w:eastAsia="zh-CN"/>
        </w:rPr>
        <w:t>中标人</w:t>
      </w:r>
      <w:r>
        <w:rPr>
          <w:rFonts w:hint="eastAsia" w:ascii="宋体" w:hAnsi="宋体" w:cs="宋体"/>
          <w:kern w:val="0"/>
          <w:szCs w:val="21"/>
        </w:rPr>
        <w:t>应承担在项目运维期中的安全责任，履行运维期的项目、应用系统、云资源的安全义务。</w:t>
      </w:r>
    </w:p>
    <w:p w14:paraId="06992479">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19.</w:t>
      </w:r>
      <w:r>
        <w:rPr>
          <w:rFonts w:hint="eastAsia" w:ascii="宋体" w:hAnsi="宋体" w:cs="宋体"/>
          <w:kern w:val="0"/>
          <w:szCs w:val="21"/>
          <w:lang w:eastAsia="zh-CN"/>
        </w:rPr>
        <w:t>中标人</w:t>
      </w:r>
      <w:r>
        <w:rPr>
          <w:rFonts w:hint="eastAsia" w:ascii="宋体" w:hAnsi="宋体" w:cs="宋体"/>
          <w:kern w:val="0"/>
          <w:szCs w:val="21"/>
        </w:rPr>
        <w:t>驻场人员应在重要活动、会议期间，根据甲方安全保障要求，参与重保值班值守工作。</w:t>
      </w:r>
    </w:p>
    <w:p w14:paraId="2453270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20.</w:t>
      </w:r>
      <w:r>
        <w:rPr>
          <w:rFonts w:hint="eastAsia" w:ascii="宋体" w:hAnsi="宋体" w:cs="宋体"/>
          <w:kern w:val="0"/>
          <w:szCs w:val="21"/>
          <w:lang w:eastAsia="zh-CN"/>
        </w:rPr>
        <w:t>中标人</w:t>
      </w:r>
      <w:r>
        <w:rPr>
          <w:rFonts w:hint="eastAsia" w:ascii="宋体" w:hAnsi="宋体" w:cs="宋体"/>
          <w:kern w:val="0"/>
          <w:szCs w:val="21"/>
        </w:rPr>
        <w:t>应按照甲方业务要求，围绕项目内容，提供甲方所需要的业务相关进展及数据，最迟须在甲方要求的24小时内提供准确的信息。</w:t>
      </w:r>
    </w:p>
    <w:p w14:paraId="3B4E1808">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21.</w:t>
      </w:r>
      <w:r>
        <w:rPr>
          <w:rFonts w:hint="eastAsia" w:ascii="宋体" w:hAnsi="宋体" w:cs="宋体"/>
          <w:kern w:val="0"/>
          <w:szCs w:val="21"/>
          <w:lang w:eastAsia="zh-CN"/>
        </w:rPr>
        <w:t>中标人</w:t>
      </w:r>
      <w:r>
        <w:rPr>
          <w:rFonts w:hint="eastAsia" w:ascii="宋体" w:hAnsi="宋体" w:cs="宋体"/>
          <w:kern w:val="0"/>
          <w:szCs w:val="21"/>
        </w:rPr>
        <w:t>在项目中所建设、运营的应用系统、应用服务等涉及鉴权登录的，应使用浙政钉/浙里办扫码方式，若使用账号口令方式的，需要经甲方允许后，并且采用二次验证的方式。</w:t>
      </w:r>
    </w:p>
    <w:p w14:paraId="0C5BF7AE">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22.</w:t>
      </w:r>
      <w:r>
        <w:rPr>
          <w:rFonts w:hint="eastAsia" w:ascii="宋体" w:hAnsi="宋体" w:cs="宋体"/>
          <w:kern w:val="0"/>
          <w:szCs w:val="21"/>
          <w:lang w:eastAsia="zh-CN"/>
        </w:rPr>
        <w:t>中标人</w:t>
      </w:r>
      <w:r>
        <w:rPr>
          <w:rFonts w:hint="eastAsia" w:ascii="宋体" w:hAnsi="宋体" w:cs="宋体"/>
          <w:kern w:val="0"/>
          <w:szCs w:val="21"/>
        </w:rPr>
        <w:t>驻场人员原则上需按照甲方要求，从事项目中约定的相关驻场工作，不得参与其他项目，不得从事项目中已单独支付服务费的等非驻场工作。</w:t>
      </w:r>
    </w:p>
    <w:p w14:paraId="7F1F99A8">
      <w:pPr>
        <w:snapToGrid w:val="0"/>
        <w:spacing w:line="360" w:lineRule="auto"/>
        <w:ind w:firstLine="420" w:firstLineChars="200"/>
        <w:rPr>
          <w:rFonts w:ascii="宋体" w:hAnsi="宋体" w:cs="宋体"/>
          <w:kern w:val="0"/>
          <w:szCs w:val="21"/>
        </w:rPr>
      </w:pPr>
      <w:r>
        <w:rPr>
          <w:rFonts w:hint="eastAsia" w:ascii="宋体" w:hAnsi="宋体" w:cs="宋体"/>
          <w:kern w:val="0"/>
          <w:szCs w:val="21"/>
        </w:rPr>
        <w:t>（二）安全部分违约责任</w:t>
      </w:r>
    </w:p>
    <w:p w14:paraId="6E6A46A6">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1.由于中标人原因，受到国家级安全问题通报的、或造成特别重大事故的，每通报一个问题或发生一次事故，从合同金额内扣除10万元。</w:t>
      </w:r>
    </w:p>
    <w:p w14:paraId="34616419">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2.由于中标人原因，受到省级安全问题通报的、或造成重大事故的，每通报一个问题或发生一次事故，从合同金额扣除5万元。</w:t>
      </w:r>
    </w:p>
    <w:p w14:paraId="38980C3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3.由于中标人原因，受到市级安全问题通报的、或造成较大事故（一般事故）的，每通报一个问题或发生一次事故，从合同金额扣除1万元。</w:t>
      </w:r>
    </w:p>
    <w:p w14:paraId="06739EB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4.中标人未按照采购人要求及时处置所属安全事件、隐患的，每通报一个问题或发生一次事故，每次扣除合同总价的0.125%。</w:t>
      </w:r>
    </w:p>
    <w:p w14:paraId="363A67A5">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中标人存在多名（2人及以上）工作人员共用一个操作账户的，或所主管的系统、云资源等账号出现弱口令的（强口令需至少包含数字、大小写字母、特殊字符等，且无明显规律），每出现1次，每次扣除合同总价的0.05%。</w:t>
      </w:r>
    </w:p>
    <w:p w14:paraId="642CAF3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6.未经采购人审批允许，中标人不得私开账号、擅自更改权限，不得对项目云资源私开端口，不得利用项目资源进行与该项目无关的工作，不得将政务网和互联网私自打通的。每出现一次，扣除合同总价的0.125%。</w:t>
      </w:r>
    </w:p>
    <w:p w14:paraId="22293483">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7.中标人发现数据安全缺陷、漏洞等风险时，未立即采取补救措施的；或发生数字安全事件时，未立即采取处置措施的；相关情况未第一时间向采购人报告的；每出现一次，每次扣除合同总价的0.125%。</w:t>
      </w:r>
    </w:p>
    <w:p w14:paraId="139D0D3B">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8.若中标人未按需提供日志，或提供的操作记录、安全日志等不完整、存在缺失的，每发现一次，每次从合同金额扣除10000元。</w:t>
      </w:r>
    </w:p>
    <w:p w14:paraId="02C11006">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9. 中标人拒不配合网络数据安全检查或经检查后拒不进行整改的，每出现一次，扣除合同总价的0.125%。</w:t>
      </w:r>
    </w:p>
    <w:p w14:paraId="6B6B0BBA">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10.项目结束后，中标人未按约删除其在项目过程中获取的数据资料并擅自使用或许可他人使用的，须承担项目合同总金额10%的违约金处罚，若给甲方造成损失的，还须承担赔偿责任。</w:t>
      </w:r>
    </w:p>
    <w:p w14:paraId="03F0E0A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11.中标人未配合采购人对项目涉及的资源、系统等常态化安全漏洞扫描，或未及时修复漏洞的，每出现一次，扣除合同总价的0.125%。</w:t>
      </w:r>
    </w:p>
    <w:p w14:paraId="0BC3D4B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12. 中标人未配合采购人完成项目中所建设、运营的应用系统、服务等的网络数据安全检查，并且按要求及时完成检查中发现问题的整改,每出现一次，扣除合同总价的0.125%。</w:t>
      </w:r>
    </w:p>
    <w:p w14:paraId="0BC8E04A">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13. </w:t>
      </w:r>
      <w:r>
        <w:rPr>
          <w:rFonts w:hint="eastAsia" w:ascii="宋体" w:hAnsi="宋体" w:cs="宋体"/>
          <w:kern w:val="0"/>
          <w:szCs w:val="21"/>
          <w:lang w:val="en-US" w:eastAsia="zh-CN"/>
        </w:rPr>
        <w:t>中标人</w:t>
      </w:r>
      <w:r>
        <w:rPr>
          <w:rFonts w:hint="eastAsia" w:ascii="宋体" w:hAnsi="宋体" w:cs="宋体"/>
          <w:kern w:val="0"/>
          <w:szCs w:val="21"/>
        </w:rPr>
        <w:t>未按照甲方相关要求，签订《保密承诺书》，办理入场、离场手续的、未入驻全省ISV系统，出现一人次，每人次从合同金额扣除1万元。</w:t>
      </w:r>
    </w:p>
    <w:p w14:paraId="070157B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14．中标人派驻的驻场人员未按照采购人工作要求进行出勤的，每出现1人次从合同金额扣除500元。</w:t>
      </w:r>
    </w:p>
    <w:p w14:paraId="3F4F9F5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15. 中标人不得擅自将项目中涉及的数据拷贝、转移出指定数据区域外进行开发、调试等，包括不限于中标人公司、第三方公司的服务器等，每出现一次，扣除合同总价的0.125%。</w:t>
      </w:r>
    </w:p>
    <w:p w14:paraId="6E9C5329">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16. 每次通报后，若中标人未及时提供整改报告的；或未根据通报内容及时进行整改的，每出现一次，扣除合同总价的0.125%。</w:t>
      </w:r>
    </w:p>
    <w:p w14:paraId="1584F7D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17. 中标人在项目中所承建信息系统的开发、测试环境，出现采购人及项目相关的标识名称，或在项目建成后未及时下架测试环境，每出现一次，扣除合同总价的0.125%。</w:t>
      </w:r>
    </w:p>
    <w:p w14:paraId="20758397">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18. 在重要活动、会议期间，中标人未按照采购人安全保障要求，安排保障人员参与重保值班值守工作，每出现一人次天，从合同金额扣除10000元。</w:t>
      </w:r>
    </w:p>
    <w:p w14:paraId="007536F5">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19. 中标人未按照采购人业务要求，围绕项目内容，未及时提供采购人所需要的业务相关进展及数据，每出现一次，从合同金额扣除1000元。</w:t>
      </w:r>
    </w:p>
    <w:p w14:paraId="2336E352">
      <w:pPr>
        <w:numPr>
          <w:ilvl w:val="-1"/>
          <w:numId w:val="0"/>
        </w:numPr>
        <w:adjustRightInd/>
        <w:snapToGrid w:val="0"/>
        <w:spacing w:line="360" w:lineRule="auto"/>
        <w:ind w:firstLine="420" w:firstLineChars="200"/>
        <w:rPr>
          <w:rFonts w:hint="eastAsia" w:ascii="宋体" w:hAnsi="宋体" w:eastAsia="宋体" w:cs="宋体"/>
          <w:kern w:val="0"/>
          <w:sz w:val="21"/>
          <w:szCs w:val="21"/>
        </w:rPr>
      </w:pPr>
      <w:r>
        <w:rPr>
          <w:rFonts w:hint="eastAsia" w:ascii="宋体" w:hAnsi="宋体" w:cs="宋体"/>
          <w:kern w:val="0"/>
          <w:szCs w:val="21"/>
        </w:rPr>
        <w:t>20. 中标人在项目中所建设、运营的应用系统、应用服务等涉及鉴权登录的，未使用浙政钉/浙里办扫码方式、二次验证的方式的，每发现一次，从合同金额扣除10000元。</w:t>
      </w:r>
    </w:p>
    <w:p w14:paraId="729DF3FB">
      <w:pPr>
        <w:numPr>
          <w:ilvl w:val="-1"/>
          <w:numId w:val="0"/>
        </w:numPr>
        <w:adjustRightInd/>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21. </w:t>
      </w:r>
      <w:r>
        <w:rPr>
          <w:rFonts w:hint="eastAsia" w:ascii="宋体" w:hAnsi="宋体" w:cs="宋体"/>
          <w:kern w:val="0"/>
          <w:sz w:val="21"/>
          <w:szCs w:val="21"/>
          <w:lang w:eastAsia="zh-CN"/>
        </w:rPr>
        <w:t>中标人</w:t>
      </w:r>
      <w:r>
        <w:rPr>
          <w:rFonts w:hint="eastAsia" w:ascii="宋体" w:hAnsi="宋体" w:eastAsia="宋体" w:cs="宋体"/>
          <w:kern w:val="0"/>
          <w:sz w:val="21"/>
          <w:szCs w:val="21"/>
        </w:rPr>
        <w:t>驻场人员未按照甲方约定允许，从事其他项目内容、本项目中已额外单独支付服务费的相关工作，甲方有权扣除涉及的驻场人员服务费。</w:t>
      </w:r>
    </w:p>
    <w:p w14:paraId="7CBF940D">
      <w:pPr>
        <w:widowControl/>
        <w:adjustRightInd/>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22．</w:t>
      </w:r>
      <w:r>
        <w:rPr>
          <w:rFonts w:hint="eastAsia" w:ascii="宋体" w:hAnsi="宋体" w:cs="宋体"/>
          <w:kern w:val="0"/>
          <w:sz w:val="21"/>
          <w:szCs w:val="21"/>
          <w:lang w:eastAsia="zh-CN"/>
        </w:rPr>
        <w:t>中标人</w:t>
      </w:r>
      <w:r>
        <w:rPr>
          <w:rFonts w:hint="eastAsia" w:ascii="宋体" w:hAnsi="宋体" w:eastAsia="宋体" w:cs="宋体"/>
          <w:kern w:val="0"/>
          <w:sz w:val="21"/>
          <w:szCs w:val="21"/>
        </w:rPr>
        <w:t>应当按照《中华人民共和国网络安全法》《中华人民共和国数据安全法》《中华人民共和国个人信息保护法》等法律法规及规章制度要求开展工作，</w:t>
      </w:r>
      <w:r>
        <w:rPr>
          <w:rFonts w:hint="eastAsia" w:ascii="宋体" w:hAnsi="宋体" w:cs="宋体"/>
          <w:kern w:val="0"/>
          <w:sz w:val="21"/>
          <w:szCs w:val="21"/>
          <w:lang w:eastAsia="zh-CN"/>
        </w:rPr>
        <w:t>中标人</w:t>
      </w:r>
      <w:r>
        <w:rPr>
          <w:rFonts w:hint="eastAsia" w:ascii="宋体" w:hAnsi="宋体" w:eastAsia="宋体" w:cs="宋体"/>
          <w:kern w:val="0"/>
          <w:sz w:val="21"/>
          <w:szCs w:val="21"/>
        </w:rPr>
        <w:t>不履行合同义务或者履行合同义务不符合约定的，应当依照法律及合同约定承担相应责任。</w:t>
      </w:r>
    </w:p>
    <w:p w14:paraId="7867CE89">
      <w:pPr>
        <w:snapToGrid w:val="0"/>
        <w:spacing w:line="360" w:lineRule="auto"/>
        <w:ind w:firstLine="420" w:firstLineChars="200"/>
        <w:rPr>
          <w:rFonts w:ascii="宋体" w:hAnsi="宋体" w:cs="宋体"/>
          <w:kern w:val="0"/>
          <w:szCs w:val="21"/>
        </w:rPr>
      </w:pPr>
      <w:r>
        <w:rPr>
          <w:rFonts w:hint="eastAsia" w:ascii="宋体" w:hAnsi="宋体" w:cs="宋体"/>
          <w:kern w:val="0"/>
          <w:szCs w:val="21"/>
        </w:rPr>
        <w:t>（三）服务部分违约责任</w:t>
      </w:r>
    </w:p>
    <w:p w14:paraId="4C36B35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1.由于中标人原因，涉及服务被社会媒体曝光、收到多方投诉情况，出现1次，每次扣除合同总价的0.5%。 </w:t>
      </w:r>
    </w:p>
    <w:p w14:paraId="0A3A7198">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2.未经采购人授权，中标人擅自将服务系统的操作管理权限、账号、视频影像资料、数据及分析应用成果、电脑截图或照片等泄露外传。出现1次，每次扣除不超合同总价的0.5%。</w:t>
      </w:r>
    </w:p>
    <w:p w14:paraId="525F3F6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3.根据一体化智能化公共数据平台考核指标的要求，中标人需配合采购人进行服务的完善。未按一体化智能化公共数据平台考核指标进行或完成服务完善的，出现一次，每次扣除合同总价的0.125%。</w:t>
      </w:r>
    </w:p>
    <w:p w14:paraId="60720FCC">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中标人所提供的云服务器资源利用率低于采购人标准的(CPU平均利用率≥15%,内存平均利用率≥35%,磁盘平均利用率≥40%),每降低1个百分点（存在多项利用率未达标的，以最大差值单项进行计算），该云服务器当月费用扣除1%。中标人未能提供云资源某项利用率数据的，该项数据按利用率为0%进行计算。</w:t>
      </w:r>
    </w:p>
    <w:p w14:paraId="065BB6A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5.中标人未按照采购人相关要求及时梳理更新资产信息，各类服务的IP、账号等资产信息欠缺、归属不清晰，每发生一次，扣1000元。</w:t>
      </w:r>
    </w:p>
    <w:p w14:paraId="58897A9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6.在2024年12月31日前，中标人未通过云计算服务安全评估，或未向中央网信办认证审查中心提交申报材料并由中央网信办指定的云计算服务安全评估专业技术机构出具本云平台符合云计算安全评估要求的证明材料的，一个月扣除合同总价的0.1%（扣款金额每月不得低于50000元），延期不足一月的按实际天数折算。</w:t>
      </w:r>
    </w:p>
    <w:p w14:paraId="373B4448">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7.中标人需定期排查并汇报安全监控、使用率插件的使用情况，如未完成的，出现一次，每次扣除1000元。</w:t>
      </w:r>
    </w:p>
    <w:p w14:paraId="72B81304">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8.由于中标人原因，造成云服务无法正常提供的，第一次发生，扣除合同总价的0.5%，云服务无法恢复超过1小时未解决的，每超过1小时扣除合同总价的0.5%，直至云服务正常恢复(不足一小时的按实际时间折算)。之后再发生，每次扣除比例为前一次扣除比例的2倍。</w:t>
      </w:r>
    </w:p>
    <w:p w14:paraId="3161C901">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9.中标人应根据招标文件或合同在规定时间内提交的文档资料、工作台账、领导交办的文档资料等，应按时完成。如未完成的，出现1次，每次扣除合同总价的0.125%。</w:t>
      </w:r>
    </w:p>
    <w:p w14:paraId="64166A5A">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10.中标人派驻的驻场人员未按照采购人工作要求进行出勤的，每出现1人次从合同金额扣除500元。中标人驻场人员服务响应未满足要求的，每发生1人次，扣款500元。</w:t>
      </w:r>
    </w:p>
    <w:p w14:paraId="36057B3F">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11.中标人应根据采购人要求，在指定时限内，将云资源信息及对应计费信息同步至统一的云管平台，逾期未同步或同步信息错误的，采购人有权扣除该部分资源在信息未同步或同步信息错误期间产生的费用。</w:t>
      </w:r>
    </w:p>
    <w:p w14:paraId="4D1AE723">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12.中标人应该对所提供的云平台及时进行版本升级保障，在云平台原厂已发布新版本且浙江省内政务云平台中已有对应版本实装先例的条件下，若采购人提出要求后3个月内无法完成升级，采购人有权扣除该平台上所有云资源在采购人提出要求超过3个月之日起至平台最终完成升级期间所产生的费用。期间若由于版本未升级给采购人造成损失的，还须承担赔偿责任。</w:t>
      </w:r>
    </w:p>
    <w:p w14:paraId="22503875">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13.若发生扣款事由，采购人在通知中标人后可直接进行扣款，最终解释权归采购人所有。除因第11、12条发生的扣款外，服务部分当年累计扣款不超过合同总价的20%。</w:t>
      </w:r>
    </w:p>
    <w:p w14:paraId="55BA73DA">
      <w:pPr>
        <w:snapToGrid w:val="0"/>
        <w:spacing w:line="360" w:lineRule="auto"/>
        <w:ind w:firstLine="420" w:firstLineChars="200"/>
        <w:rPr>
          <w:rFonts w:ascii="宋体" w:hAnsi="宋体" w:cs="宋体"/>
          <w:kern w:val="0"/>
          <w:szCs w:val="21"/>
        </w:rPr>
      </w:pPr>
      <w:r>
        <w:rPr>
          <w:rFonts w:hint="eastAsia" w:ascii="宋体" w:hAnsi="宋体" w:cs="宋体"/>
          <w:kern w:val="0"/>
          <w:szCs w:val="21"/>
        </w:rPr>
        <w:t>14.中标人驻场人员或专人专职人员未按照合同约定或未经采购人允许，同时参与其他项目工作或本项目中已单独支付服务费的相关工作，出现第一次，扣除10000元，并要求中标人恢复专人专职服务；之后再出现，每次扣除金额为上一次扣除金额的2倍，并要求中标人恢复专人专职服务。</w:t>
      </w:r>
    </w:p>
    <w:p w14:paraId="07229399">
      <w:pPr>
        <w:snapToGrid w:val="0"/>
        <w:spacing w:line="360" w:lineRule="auto"/>
        <w:ind w:firstLine="420" w:firstLineChars="200"/>
        <w:rPr>
          <w:rFonts w:ascii="宋体" w:hAnsi="宋体" w:cs="宋体"/>
          <w:kern w:val="0"/>
          <w:szCs w:val="21"/>
        </w:rPr>
      </w:pPr>
      <w:r>
        <w:rPr>
          <w:rFonts w:hint="eastAsia" w:ascii="宋体" w:hAnsi="宋体" w:cs="宋体"/>
          <w:kern w:val="0"/>
          <w:szCs w:val="21"/>
        </w:rPr>
        <w:t>说明：若发生扣款事由，采购人在通知中标人后可直接在应付合同费用中进行扣款，最终解释权归采购人所有。当年累计扣款不超过预算金额的20%。</w:t>
      </w:r>
    </w:p>
    <w:p w14:paraId="3D44BE58">
      <w:pPr>
        <w:snapToGrid w:val="0"/>
        <w:spacing w:line="360" w:lineRule="auto"/>
        <w:ind w:firstLine="420" w:firstLineChars="200"/>
        <w:rPr>
          <w:rFonts w:ascii="宋体" w:hAnsi="宋体" w:cs="宋体"/>
          <w:kern w:val="0"/>
          <w:szCs w:val="21"/>
        </w:rPr>
      </w:pPr>
      <w:r>
        <w:rPr>
          <w:rFonts w:hint="eastAsia" w:ascii="宋体" w:hAnsi="宋体" w:cs="宋体"/>
          <w:kern w:val="0"/>
          <w:szCs w:val="21"/>
        </w:rPr>
        <w:t>因安全及服务原因进行扣款的，扣款金额在云资源实际发生费用（不超过项目合同金额）的基础上扣除。即：合同实际支付金额=云资源实际发生费用（不超过项目合同金额）-安全及服务扣款。</w:t>
      </w:r>
    </w:p>
    <w:p w14:paraId="2B3A70DF">
      <w:pPr>
        <w:pStyle w:val="3"/>
        <w:rPr>
          <w:rFonts w:ascii="宋体" w:hAnsi="宋体" w:cs="宋体"/>
          <w:kern w:val="0"/>
          <w:sz w:val="21"/>
          <w:szCs w:val="21"/>
        </w:rPr>
      </w:pPr>
      <w:bookmarkStart w:id="56" w:name="_Toc16266"/>
      <w:bookmarkStart w:id="57" w:name="_Toc11953"/>
      <w:bookmarkStart w:id="58" w:name="_Toc17154"/>
      <w:bookmarkStart w:id="59" w:name="_Toc21007"/>
      <w:r>
        <w:rPr>
          <w:rFonts w:hint="eastAsia" w:ascii="宋体" w:hAnsi="宋体" w:cs="宋体"/>
          <w:kern w:val="0"/>
          <w:sz w:val="21"/>
          <w:szCs w:val="21"/>
        </w:rPr>
        <w:t>十、履约验收</w:t>
      </w:r>
      <w:bookmarkEnd w:id="56"/>
      <w:bookmarkEnd w:id="57"/>
      <w:bookmarkEnd w:id="58"/>
      <w:bookmarkEnd w:id="59"/>
    </w:p>
    <w:p w14:paraId="7621BE4B">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1.验收主体：杭州市钱塘区人民政府办公室。</w:t>
      </w:r>
    </w:p>
    <w:p w14:paraId="30253B54">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2.采购人在中标人提供服务的过程中，有权不定期对服务内容和质量进行检查考核。中标人应当配合进行。</w:t>
      </w:r>
    </w:p>
    <w:p w14:paraId="53F12D46">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3.最终验收时间：服务内容执行完毕、服务期截止后。</w:t>
      </w:r>
    </w:p>
    <w:p w14:paraId="62ED0BBA">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4.验收程序：中标人向采购人提出验收申请，采购人按验收方案组织履约验收。中标人应将项目执行过程及时记录、收集、整理，向采购人递交验收申请资料。</w:t>
      </w:r>
    </w:p>
    <w:p w14:paraId="05CECA71">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5.验收内容：中标人实际完成的情况是否符合采购文件要求和中标人在投标响应文件中的商务、技术承诺。</w:t>
      </w:r>
    </w:p>
    <w:p w14:paraId="737E322B">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6.验收标准：中标人已经按采购文件要求和中标人在投标响应文件中的商务、技术承诺完成项目执行。</w:t>
      </w:r>
    </w:p>
    <w:p w14:paraId="3702DCFD">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7.验收时中标人应在现场，验收完毕后作出验收结果报告；验收产生的费用，由采购人承担。</w:t>
      </w:r>
    </w:p>
    <w:p w14:paraId="264C2C9F">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367B9656">
      <w:pPr>
        <w:pStyle w:val="3"/>
        <w:rPr>
          <w:rFonts w:ascii="宋体" w:hAnsi="宋体" w:cs="宋体"/>
          <w:kern w:val="0"/>
          <w:sz w:val="21"/>
          <w:szCs w:val="21"/>
        </w:rPr>
      </w:pPr>
      <w:bookmarkStart w:id="60" w:name="_Toc19274"/>
      <w:bookmarkStart w:id="61" w:name="_Toc24940"/>
      <w:bookmarkStart w:id="62" w:name="_Toc24056"/>
      <w:bookmarkStart w:id="63" w:name="_Toc16971"/>
      <w:bookmarkStart w:id="64" w:name="_Toc4113"/>
      <w:r>
        <w:rPr>
          <w:rFonts w:hint="eastAsia" w:ascii="宋体" w:hAnsi="宋体" w:cs="宋体"/>
          <w:kern w:val="0"/>
          <w:sz w:val="21"/>
          <w:szCs w:val="21"/>
        </w:rPr>
        <w:t>十一、商务要求</w:t>
      </w:r>
      <w:bookmarkEnd w:id="60"/>
      <w:bookmarkEnd w:id="61"/>
      <w:bookmarkEnd w:id="62"/>
      <w:bookmarkEnd w:id="63"/>
      <w:bookmarkEnd w:id="64"/>
    </w:p>
    <w:p w14:paraId="05A67C7E">
      <w:pPr>
        <w:pStyle w:val="23"/>
        <w:snapToGrid w:val="0"/>
        <w:ind w:firstLine="422" w:firstLineChars="200"/>
        <w:outlineLvl w:val="2"/>
        <w:rPr>
          <w:rFonts w:hAnsi="宋体" w:cs="宋体"/>
          <w:b/>
          <w:bCs/>
          <w:sz w:val="21"/>
        </w:rPr>
      </w:pPr>
      <w:r>
        <w:rPr>
          <w:rFonts w:hint="eastAsia" w:hAnsi="宋体" w:cs="宋体"/>
          <w:b/>
          <w:bCs/>
          <w:sz w:val="21"/>
        </w:rPr>
        <w:t>11.1投标报价</w:t>
      </w:r>
    </w:p>
    <w:p w14:paraId="21A26572">
      <w:pPr>
        <w:pStyle w:val="23"/>
        <w:snapToGrid w:val="0"/>
        <w:ind w:firstLine="420" w:firstLineChars="200"/>
        <w:rPr>
          <w:rFonts w:hAnsi="宋体" w:cs="宋体"/>
          <w:sz w:val="21"/>
        </w:rPr>
      </w:pPr>
      <w:r>
        <w:rPr>
          <w:rFonts w:hint="eastAsia" w:hAnsi="宋体" w:cs="宋体"/>
          <w:sz w:val="21"/>
        </w:rPr>
        <w:t>1、本项目</w:t>
      </w:r>
      <w:r>
        <w:rPr>
          <w:rFonts w:hint="eastAsia" w:hAnsi="宋体" w:cs="宋体"/>
          <w:sz w:val="21"/>
          <w:lang w:val="en-US"/>
        </w:rPr>
        <w:t>按单价乘以实际数量进行结算</w:t>
      </w:r>
      <w:r>
        <w:rPr>
          <w:rFonts w:hint="eastAsia" w:hAnsi="宋体" w:cs="宋体"/>
          <w:sz w:val="21"/>
        </w:rPr>
        <w:t>。</w:t>
      </w:r>
    </w:p>
    <w:p w14:paraId="1DB2581C">
      <w:pPr>
        <w:pStyle w:val="23"/>
        <w:snapToGrid w:val="0"/>
        <w:ind w:firstLine="420" w:firstLineChars="200"/>
        <w:rPr>
          <w:rFonts w:hAnsi="宋体" w:cs="宋体"/>
          <w:sz w:val="21"/>
        </w:rPr>
      </w:pPr>
      <w:r>
        <w:rPr>
          <w:rFonts w:hint="eastAsia" w:hAnsi="宋体" w:cs="宋体"/>
          <w:sz w:val="21"/>
        </w:rPr>
        <w:t>综合单价报价包含了设备/资源租赁、安装调试、技术培训、技术支持服务、运维服务（含质保服务、驻点等）、风险、管理、利润、税金等所有内容。本项目投标人须充分考虑各种情况及风险，一旦中标，无论何种原因，合同履行过程中综合单价费用不作调整。</w:t>
      </w:r>
    </w:p>
    <w:p w14:paraId="2024D4E8">
      <w:pPr>
        <w:pStyle w:val="23"/>
        <w:numPr>
          <w:ilvl w:val="0"/>
          <w:numId w:val="1"/>
        </w:numPr>
        <w:snapToGrid w:val="0"/>
        <w:ind w:firstLine="420" w:firstLineChars="200"/>
        <w:rPr>
          <w:rFonts w:hAnsi="宋体" w:cs="宋体"/>
          <w:sz w:val="21"/>
        </w:rPr>
      </w:pPr>
      <w:r>
        <w:rPr>
          <w:rFonts w:hint="eastAsia" w:hAnsi="宋体" w:cs="宋体"/>
          <w:sz w:val="21"/>
        </w:rPr>
        <w:t>报价时填报费率（%）。例如报价为90%，即合同中，各指标综合单价=90%×各指标最高限价。合同款根据各指标综合单价及服务套数、服务时间核算合同价格，不再支付其他任何费用。</w:t>
      </w:r>
    </w:p>
    <w:p w14:paraId="56E3C357">
      <w:pPr>
        <w:pStyle w:val="60"/>
        <w:rPr>
          <w:rFonts w:hAnsi="宋体" w:cs="宋体"/>
          <w:sz w:val="21"/>
          <w:szCs w:val="21"/>
        </w:rPr>
      </w:pPr>
      <w:r>
        <w:rPr>
          <w:rFonts w:hint="eastAsia" w:hAnsi="宋体" w:cs="宋体"/>
          <w:sz w:val="21"/>
          <w:szCs w:val="21"/>
        </w:rPr>
        <w:t>3、本项目合同支付金额的上限为采购预算（</w:t>
      </w:r>
      <w:r>
        <w:rPr>
          <w:rFonts w:hint="eastAsia" w:hAnsi="宋体" w:cs="宋体"/>
          <w:sz w:val="21"/>
          <w:szCs w:val="21"/>
          <w:lang w:val="en-US" w:eastAsia="zh-CN"/>
        </w:rPr>
        <w:t>650</w:t>
      </w:r>
      <w:r>
        <w:rPr>
          <w:rFonts w:hint="eastAsia" w:hAnsi="宋体" w:cs="宋体"/>
          <w:sz w:val="21"/>
          <w:szCs w:val="21"/>
        </w:rPr>
        <w:t>万元）。中标人有义务提醒采购人该项目总价的实时统计情况，以免工作量超限价。</w:t>
      </w:r>
    </w:p>
    <w:p w14:paraId="3FF334A2">
      <w:pPr>
        <w:pStyle w:val="23"/>
        <w:snapToGrid w:val="0"/>
        <w:ind w:firstLine="422" w:firstLineChars="200"/>
        <w:outlineLvl w:val="2"/>
        <w:rPr>
          <w:rFonts w:hAnsi="宋体" w:cs="宋体"/>
          <w:b/>
          <w:bCs/>
          <w:sz w:val="21"/>
        </w:rPr>
      </w:pPr>
      <w:r>
        <w:rPr>
          <w:rFonts w:hint="eastAsia" w:hAnsi="宋体" w:cs="宋体"/>
          <w:b/>
          <w:bCs/>
          <w:sz w:val="21"/>
        </w:rPr>
        <w:t>11.2履约保证金</w:t>
      </w:r>
    </w:p>
    <w:p w14:paraId="52346257">
      <w:pPr>
        <w:pStyle w:val="23"/>
        <w:snapToGrid w:val="0"/>
        <w:ind w:firstLine="420" w:firstLineChars="200"/>
        <w:rPr>
          <w:rFonts w:hAnsi="宋体" w:cs="宋体"/>
          <w:sz w:val="21"/>
        </w:rPr>
      </w:pPr>
      <w:r>
        <w:rPr>
          <w:rFonts w:hint="eastAsia" w:hAnsi="宋体" w:cs="宋体"/>
          <w:sz w:val="21"/>
        </w:rPr>
        <w:t>无。如有违约，从应付合同款中扣除。</w:t>
      </w:r>
    </w:p>
    <w:p w14:paraId="7906E787">
      <w:pPr>
        <w:pStyle w:val="23"/>
        <w:snapToGrid w:val="0"/>
        <w:ind w:firstLine="422" w:firstLineChars="200"/>
        <w:outlineLvl w:val="2"/>
        <w:rPr>
          <w:rFonts w:hAnsi="宋体" w:cs="宋体"/>
          <w:b/>
          <w:bCs/>
          <w:sz w:val="21"/>
        </w:rPr>
      </w:pPr>
      <w:r>
        <w:rPr>
          <w:rFonts w:hint="eastAsia" w:hAnsi="宋体" w:cs="宋体"/>
          <w:b/>
          <w:bCs/>
          <w:sz w:val="21"/>
        </w:rPr>
        <w:t>11.3付款方式</w:t>
      </w:r>
    </w:p>
    <w:p w14:paraId="0D5B5DED">
      <w:pPr>
        <w:snapToGrid w:val="0"/>
        <w:spacing w:line="360" w:lineRule="auto"/>
        <w:ind w:firstLine="420" w:firstLineChars="200"/>
        <w:rPr>
          <w:rFonts w:ascii="宋体" w:hAnsi="宋体" w:cs="宋体"/>
          <w:szCs w:val="21"/>
        </w:rPr>
      </w:pPr>
      <w:bookmarkStart w:id="65" w:name="_Toc418865233"/>
      <w:bookmarkStart w:id="66" w:name="_Toc19932"/>
      <w:bookmarkStart w:id="67" w:name="_Toc16131"/>
      <w:bookmarkStart w:id="68" w:name="_Toc132888838"/>
      <w:bookmarkStart w:id="69" w:name="_Toc223249716"/>
      <w:r>
        <w:rPr>
          <w:rFonts w:hint="eastAsia" w:ascii="宋体" w:hAnsi="宋体" w:cs="宋体"/>
          <w:szCs w:val="21"/>
        </w:rPr>
        <w:t>本项目采用分期付款方式，具体付款方式如下:</w:t>
      </w:r>
    </w:p>
    <w:p w14:paraId="02D4DD30">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第一次：</w:t>
      </w:r>
      <w:r>
        <w:rPr>
          <w:rFonts w:hint="eastAsia" w:ascii="宋体" w:hAnsi="宋体" w:cs="宋体"/>
          <w:szCs w:val="21"/>
        </w:rPr>
        <w:t>合同生效并具备实施条件后5个工作日内，采购人向中标人支付合同金额（即项目预算）的40%作为预付款，在签订合同时，中标人明确表示无需预付款或者主动要求降低预付款比例的，采购人可不适用前述规定。</w:t>
      </w:r>
    </w:p>
    <w:p w14:paraId="26AE6630">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（中标人为大型企业的，预付款相关要求同上）</w:t>
      </w:r>
    </w:p>
    <w:p w14:paraId="3EB8059D">
      <w:pPr>
        <w:snapToGrid w:val="0"/>
        <w:spacing w:line="360" w:lineRule="auto"/>
        <w:ind w:firstLine="420" w:firstLineChars="200"/>
        <w:rPr>
          <w:rFonts w:ascii="宋体" w:hAnsi="宋体" w:cs="宋体"/>
          <w:szCs w:val="21"/>
        </w:rPr>
      </w:pPr>
      <w:r>
        <w:rPr>
          <w:rFonts w:hint="eastAsia" w:ascii="宋体" w:hAnsi="宋体" w:cs="宋体"/>
          <w:szCs w:val="21"/>
        </w:rPr>
        <w:t>第</w:t>
      </w:r>
      <w:r>
        <w:rPr>
          <w:rFonts w:hint="eastAsia" w:ascii="宋体" w:hAnsi="宋体" w:cs="宋体"/>
          <w:szCs w:val="21"/>
          <w:lang w:val="en-US" w:eastAsia="zh-CN"/>
        </w:rPr>
        <w:t>二</w:t>
      </w:r>
      <w:r>
        <w:rPr>
          <w:rFonts w:hint="eastAsia" w:ascii="宋体" w:hAnsi="宋体" w:cs="宋体"/>
          <w:szCs w:val="21"/>
        </w:rPr>
        <w:t>次付款:在合同签订后稳定运行6个月后，中标人向采购人提出付款申请，采购人在收到中标人提供的付款申请材料后5个工作日内支付第一笔款项。</w:t>
      </w:r>
    </w:p>
    <w:p w14:paraId="2F2D2598">
      <w:pPr>
        <w:snapToGrid w:val="0"/>
        <w:spacing w:line="360" w:lineRule="auto"/>
        <w:ind w:firstLine="420" w:firstLineChars="200"/>
        <w:rPr>
          <w:rFonts w:ascii="宋体" w:hAnsi="宋体" w:cs="宋体"/>
          <w:szCs w:val="21"/>
        </w:rPr>
      </w:pPr>
      <w:r>
        <w:rPr>
          <w:rFonts w:hint="eastAsia" w:ascii="宋体" w:hAnsi="宋体" w:cs="宋体"/>
          <w:szCs w:val="21"/>
        </w:rPr>
        <w:t>第</w:t>
      </w:r>
      <w:r>
        <w:rPr>
          <w:rFonts w:hint="eastAsia" w:ascii="宋体" w:hAnsi="宋体" w:cs="宋体"/>
          <w:szCs w:val="21"/>
          <w:lang w:val="en-US" w:eastAsia="zh-CN"/>
        </w:rPr>
        <w:t>三</w:t>
      </w:r>
      <w:r>
        <w:rPr>
          <w:rFonts w:hint="eastAsia" w:ascii="宋体" w:hAnsi="宋体" w:cs="宋体"/>
          <w:szCs w:val="21"/>
        </w:rPr>
        <w:t>次付款:项目期结束后一个月内，采购人对本项目组织履约验收，验收通过后中标人向采购人提出付款申请，采购人在收到中标人提供的付款申请材料后5个工作日内支付第二笔款项。</w:t>
      </w:r>
    </w:p>
    <w:p w14:paraId="729EA50F">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说明：1.</w:t>
      </w:r>
      <w:r>
        <w:rPr>
          <w:rFonts w:hint="eastAsia" w:ascii="宋体" w:hAnsi="宋体" w:cs="宋体"/>
          <w:szCs w:val="21"/>
        </w:rPr>
        <w:t>中标人在每次申请付款时，需提供双方确认的每个付费周期工作量清单、结算费用以及等额合法正规发票。采购人在收到前述材料并确认后才正式支付相应款项。</w:t>
      </w:r>
    </w:p>
    <w:p w14:paraId="54866FEF">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采购人支付了预付款的，合同款项扣除相应预付款金额后支付。</w:t>
      </w:r>
    </w:p>
    <w:p w14:paraId="5FF23334">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采购人支付的总服务费用不超过采购预算。中标人应及时统计费用，如费用超出预算的，采购人实际最多支付至预算金额。如未超过预算金额的，按实际进行结算后支付。</w:t>
      </w:r>
    </w:p>
    <w:p w14:paraId="66D18EBA">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付款前，中标人须向采购人提供正规、等额、合法、有效的发票，以及服务台账清单。实际结算金额=应付金额-罚款金额。根据资金支付情况及财政支付制度，最终付款方式以双方确认，合同明确为准。</w:t>
      </w:r>
    </w:p>
    <w:bookmarkEnd w:id="65"/>
    <w:bookmarkEnd w:id="66"/>
    <w:bookmarkEnd w:id="67"/>
    <w:bookmarkEnd w:id="68"/>
    <w:bookmarkEnd w:id="69"/>
    <w:p w14:paraId="7081BE0E">
      <w:pPr>
        <w:pStyle w:val="3"/>
        <w:rPr>
          <w:rFonts w:ascii="宋体" w:hAnsi="宋体" w:cs="宋体"/>
          <w:sz w:val="21"/>
          <w:szCs w:val="21"/>
        </w:rPr>
      </w:pPr>
      <w:bookmarkStart w:id="70" w:name="_Toc4243"/>
      <w:bookmarkStart w:id="71" w:name="_Toc26835"/>
      <w:bookmarkStart w:id="72" w:name="_Toc446"/>
      <w:bookmarkStart w:id="73" w:name="_Toc11571"/>
      <w:bookmarkStart w:id="74" w:name="_Toc22386"/>
      <w:r>
        <w:rPr>
          <w:rFonts w:hint="eastAsia" w:ascii="宋体" w:hAnsi="宋体" w:cs="宋体"/>
          <w:sz w:val="21"/>
          <w:szCs w:val="21"/>
        </w:rPr>
        <w:t>十二、其他投标要求</w:t>
      </w:r>
      <w:bookmarkEnd w:id="70"/>
      <w:bookmarkEnd w:id="71"/>
      <w:bookmarkEnd w:id="72"/>
      <w:bookmarkEnd w:id="73"/>
      <w:bookmarkEnd w:id="74"/>
    </w:p>
    <w:p w14:paraId="5EE52822">
      <w:pPr>
        <w:pStyle w:val="23"/>
        <w:snapToGrid w:val="0"/>
        <w:ind w:firstLine="422" w:firstLineChars="200"/>
        <w:outlineLvl w:val="2"/>
        <w:rPr>
          <w:rFonts w:hAnsi="宋体" w:cs="宋体"/>
          <w:b/>
          <w:bCs/>
          <w:sz w:val="21"/>
        </w:rPr>
      </w:pPr>
      <w:r>
        <w:rPr>
          <w:rFonts w:hint="eastAsia" w:hAnsi="宋体" w:cs="宋体"/>
          <w:b/>
          <w:bCs/>
          <w:sz w:val="21"/>
        </w:rPr>
        <w:t>12.1投标人要求</w:t>
      </w:r>
    </w:p>
    <w:p w14:paraId="0370D6DB">
      <w:pPr>
        <w:pStyle w:val="23"/>
        <w:snapToGrid w:val="0"/>
        <w:ind w:firstLine="420" w:firstLineChars="200"/>
        <w:rPr>
          <w:rFonts w:hAnsi="宋体" w:cs="宋体"/>
          <w:bCs/>
          <w:sz w:val="21"/>
        </w:rPr>
      </w:pPr>
      <w:r>
        <w:rPr>
          <w:rFonts w:hint="eastAsia" w:hAnsi="宋体" w:cs="宋体"/>
          <w:bCs/>
          <w:sz w:val="21"/>
        </w:rPr>
        <w:t>1、投标人建议有类似项目业绩经验，能提供快速的服务响应，具有较强的项目管理、技术服务和组织实施能力。本项目中，类似项目系指云资源或者云安全租赁服务类项目。</w:t>
      </w:r>
    </w:p>
    <w:p w14:paraId="33E95D6A">
      <w:pPr>
        <w:pStyle w:val="23"/>
        <w:snapToGrid w:val="0"/>
        <w:ind w:firstLine="420" w:firstLineChars="200"/>
        <w:rPr>
          <w:rFonts w:hAnsi="宋体" w:cs="宋体"/>
          <w:bCs/>
          <w:sz w:val="21"/>
        </w:rPr>
      </w:pPr>
      <w:r>
        <w:rPr>
          <w:rFonts w:hint="eastAsia" w:hAnsi="宋体" w:cs="宋体"/>
          <w:bCs/>
          <w:sz w:val="21"/>
        </w:rPr>
        <w:t>2、本项目涉及政务系统，投标人在参与本项目采购活动过程中必须保证不将采购人各种数据资料及各类信息等向第三方透露，在服务过程中严格执行安全保密相关要求。如中标，中标人还必须随合同一同签署保密协议。</w:t>
      </w:r>
    </w:p>
    <w:p w14:paraId="0EDA0A82">
      <w:pPr>
        <w:pStyle w:val="23"/>
        <w:snapToGrid w:val="0"/>
        <w:ind w:firstLine="422" w:firstLineChars="200"/>
        <w:outlineLvl w:val="2"/>
        <w:rPr>
          <w:rFonts w:hAnsi="宋体" w:cs="宋体"/>
          <w:b/>
          <w:bCs/>
          <w:sz w:val="21"/>
        </w:rPr>
      </w:pPr>
      <w:r>
        <w:rPr>
          <w:rFonts w:hint="eastAsia" w:hAnsi="宋体" w:cs="宋体"/>
          <w:b/>
          <w:bCs/>
          <w:sz w:val="21"/>
        </w:rPr>
        <w:t>12.2项目团队要求</w:t>
      </w:r>
    </w:p>
    <w:p w14:paraId="24361083">
      <w:pPr>
        <w:pStyle w:val="23"/>
        <w:snapToGrid w:val="0"/>
        <w:ind w:firstLine="420" w:firstLineChars="200"/>
        <w:rPr>
          <w:rFonts w:hAnsi="宋体" w:cs="宋体"/>
          <w:sz w:val="21"/>
        </w:rPr>
      </w:pPr>
      <w:r>
        <w:rPr>
          <w:rFonts w:hint="eastAsia" w:hAnsi="宋体" w:cs="宋体"/>
          <w:sz w:val="21"/>
        </w:rPr>
        <w:t>1、投标人为本项目组建项目团队，项目团队成员提供人员清单，列明姓名、身份证号码。投入本项目人员须提供社保机构出具投标人为其缴纳的至投标截止时间连续3个月任意一个的社保证明，否则人员不予认可。</w:t>
      </w:r>
    </w:p>
    <w:p w14:paraId="13F58B3F">
      <w:pPr>
        <w:spacing w:line="360" w:lineRule="auto"/>
        <w:ind w:firstLine="420" w:firstLineChars="200"/>
        <w:rPr>
          <w:rFonts w:ascii="宋体" w:hAnsi="宋体" w:cs="宋体"/>
          <w:szCs w:val="21"/>
        </w:rPr>
      </w:pPr>
      <w:r>
        <w:rPr>
          <w:rFonts w:hint="eastAsia" w:ascii="宋体" w:hAnsi="宋体" w:cs="宋体"/>
          <w:szCs w:val="21"/>
        </w:rPr>
        <w:t>2、设项目经理1名，具备</w:t>
      </w:r>
      <w:r>
        <w:rPr>
          <w:rFonts w:hint="eastAsia" w:ascii="宋体" w:hAnsi="宋体" w:cs="宋体"/>
          <w:szCs w:val="21"/>
          <w:lang w:val="zh-CN"/>
        </w:rPr>
        <w:t>信息系统项目管理师证书</w:t>
      </w:r>
      <w:r>
        <w:rPr>
          <w:rFonts w:hint="eastAsia" w:ascii="宋体" w:hAnsi="宋体" w:cs="宋体"/>
          <w:szCs w:val="21"/>
        </w:rPr>
        <w:t>、高级工程师证书、中级通信工程师证书，可有效管理政务云安全问题。</w:t>
      </w:r>
    </w:p>
    <w:p w14:paraId="47AC94DD">
      <w:pPr>
        <w:spacing w:line="360" w:lineRule="auto"/>
        <w:ind w:firstLine="420" w:firstLineChars="200"/>
        <w:rPr>
          <w:rFonts w:ascii="宋体" w:hAnsi="宋体" w:cs="宋体"/>
          <w:szCs w:val="21"/>
        </w:rPr>
      </w:pPr>
      <w:r>
        <w:rPr>
          <w:rFonts w:hint="eastAsia" w:ascii="宋体" w:hAnsi="宋体" w:cs="宋体"/>
          <w:szCs w:val="21"/>
        </w:rPr>
        <w:t>3、设</w:t>
      </w:r>
      <w:r>
        <w:rPr>
          <w:rFonts w:hint="eastAsia" w:ascii="宋体" w:hAnsi="宋体" w:cs="宋体"/>
          <w:szCs w:val="21"/>
          <w:lang w:eastAsia="zh-Hans"/>
        </w:rPr>
        <w:t>技术负责人</w:t>
      </w:r>
      <w:r>
        <w:rPr>
          <w:rFonts w:hint="eastAsia" w:ascii="宋体" w:hAnsi="宋体" w:cs="宋体"/>
          <w:szCs w:val="21"/>
        </w:rPr>
        <w:t>1名，</w:t>
      </w:r>
      <w:r>
        <w:rPr>
          <w:rFonts w:hint="eastAsia" w:ascii="宋体" w:hAnsi="宋体" w:cs="宋体"/>
          <w:szCs w:val="21"/>
          <w:lang w:eastAsia="zh-Hans"/>
        </w:rPr>
        <w:t>具备信息系统项目管理师</w:t>
      </w:r>
      <w:r>
        <w:rPr>
          <w:rFonts w:hint="eastAsia" w:ascii="宋体" w:hAnsi="宋体" w:cs="宋体"/>
          <w:szCs w:val="21"/>
        </w:rPr>
        <w:t>、</w:t>
      </w:r>
      <w:r>
        <w:rPr>
          <w:rFonts w:hint="eastAsia" w:ascii="宋体" w:hAnsi="宋体" w:cs="宋体"/>
          <w:szCs w:val="21"/>
          <w:lang w:eastAsia="zh-Hans"/>
        </w:rPr>
        <w:t>系统分析师</w:t>
      </w:r>
      <w:r>
        <w:rPr>
          <w:rFonts w:hint="eastAsia" w:ascii="宋体" w:hAnsi="宋体" w:cs="宋体"/>
          <w:szCs w:val="21"/>
        </w:rPr>
        <w:t>、</w:t>
      </w:r>
      <w:r>
        <w:rPr>
          <w:rFonts w:hint="eastAsia" w:ascii="宋体" w:hAnsi="宋体" w:cs="宋体"/>
          <w:szCs w:val="21"/>
          <w:lang w:eastAsia="zh-Hans"/>
        </w:rPr>
        <w:t>软件设计师</w:t>
      </w:r>
      <w:r>
        <w:rPr>
          <w:rFonts w:hint="eastAsia" w:ascii="宋体" w:hAnsi="宋体" w:cs="宋体"/>
          <w:szCs w:val="21"/>
        </w:rPr>
        <w:t>证书。</w:t>
      </w:r>
    </w:p>
    <w:p w14:paraId="54B7EBFC">
      <w:pPr>
        <w:pStyle w:val="23"/>
        <w:snapToGrid w:val="0"/>
        <w:ind w:firstLine="420" w:firstLineChars="200"/>
        <w:rPr>
          <w:rFonts w:hAnsi="宋体" w:cs="宋体"/>
          <w:sz w:val="21"/>
        </w:rPr>
      </w:pPr>
      <w:r>
        <w:rPr>
          <w:rFonts w:hint="eastAsia" w:hAnsi="宋体" w:cs="宋体"/>
          <w:sz w:val="21"/>
        </w:rPr>
        <w:t>4、除项目经理、技术负责人外，指派不少于5人的运维团队，进行日常工作协调。运维团队应可提供项目所需的所有服务内容，完成采购方交办的相关工作。</w:t>
      </w:r>
    </w:p>
    <w:p w14:paraId="68BF6CA4">
      <w:pPr>
        <w:pStyle w:val="23"/>
        <w:snapToGrid w:val="0"/>
        <w:ind w:firstLine="420" w:firstLineChars="200"/>
        <w:rPr>
          <w:rFonts w:hAnsi="宋体" w:cs="宋体"/>
          <w:sz w:val="21"/>
        </w:rPr>
      </w:pPr>
      <w:r>
        <w:rPr>
          <w:rFonts w:hint="eastAsia" w:hAnsi="宋体" w:cs="宋体"/>
          <w:sz w:val="21"/>
        </w:rPr>
        <w:t>运维团队</w:t>
      </w:r>
      <w:r>
        <w:rPr>
          <w:rFonts w:hint="eastAsia" w:hAnsi="宋体" w:cs="宋体"/>
          <w:sz w:val="21"/>
          <w:lang w:eastAsia="zh-Hans"/>
        </w:rPr>
        <w:t>团队成员</w:t>
      </w:r>
      <w:r>
        <w:rPr>
          <w:rFonts w:hint="eastAsia" w:hAnsi="宋体" w:cs="宋体"/>
          <w:sz w:val="21"/>
        </w:rPr>
        <w:t>建议</w:t>
      </w:r>
      <w:r>
        <w:rPr>
          <w:rFonts w:hint="eastAsia" w:hAnsi="宋体" w:cs="宋体"/>
          <w:sz w:val="21"/>
          <w:lang w:eastAsia="zh-Hans"/>
        </w:rPr>
        <w:t>具备信息系统项目管理师证书、数据库系统工程师、系统规划与管理师</w:t>
      </w:r>
      <w:r>
        <w:rPr>
          <w:rFonts w:hint="eastAsia" w:hAnsi="宋体" w:cs="宋体"/>
          <w:sz w:val="21"/>
        </w:rPr>
        <w:t>证书</w:t>
      </w:r>
      <w:r>
        <w:rPr>
          <w:rFonts w:hint="eastAsia" w:hAnsi="宋体" w:cs="宋体"/>
          <w:sz w:val="21"/>
          <w:lang w:eastAsia="zh-Hans"/>
        </w:rPr>
        <w:t>。</w:t>
      </w:r>
    </w:p>
    <w:p w14:paraId="73CAB234">
      <w:pPr>
        <w:spacing w:line="360" w:lineRule="auto"/>
        <w:ind w:firstLine="420" w:firstLineChars="200"/>
        <w:rPr>
          <w:rFonts w:ascii="宋体" w:hAnsi="宋体" w:cs="宋体"/>
          <w:szCs w:val="21"/>
        </w:rPr>
      </w:pPr>
      <w:r>
        <w:rPr>
          <w:rFonts w:hint="eastAsia" w:ascii="宋体" w:hAnsi="宋体" w:cs="宋体"/>
          <w:szCs w:val="21"/>
        </w:rPr>
        <w:t>5、为保障日常政务云安全的运维需求，需要运维团队人员具备系统、数据库、网络、虚拟化等相关领域的专业技能。</w:t>
      </w:r>
    </w:p>
    <w:p w14:paraId="18E55893">
      <w:pPr>
        <w:spacing w:line="360" w:lineRule="auto"/>
        <w:ind w:firstLine="420" w:firstLineChars="200"/>
        <w:rPr>
          <w:rFonts w:ascii="宋体" w:hAnsi="宋体" w:cs="宋体"/>
          <w:szCs w:val="21"/>
        </w:rPr>
      </w:pPr>
      <w:r>
        <w:rPr>
          <w:rFonts w:hint="eastAsia" w:ascii="宋体" w:hAnsi="宋体" w:cs="宋体"/>
          <w:szCs w:val="21"/>
        </w:rPr>
        <w:t>运维团队素质和技能要求如下表：</w:t>
      </w:r>
    </w:p>
    <w:tbl>
      <w:tblPr>
        <w:tblStyle w:val="62"/>
        <w:tblW w:w="8296" w:type="dxa"/>
        <w:jc w:val="center"/>
        <w:tblLayout w:type="fixed"/>
        <w:tblCellMar>
          <w:top w:w="0" w:type="dxa"/>
          <w:left w:w="108" w:type="dxa"/>
          <w:bottom w:w="0" w:type="dxa"/>
          <w:right w:w="108" w:type="dxa"/>
        </w:tblCellMar>
      </w:tblPr>
      <w:tblGrid>
        <w:gridCol w:w="1696"/>
        <w:gridCol w:w="6600"/>
      </w:tblGrid>
      <w:tr w14:paraId="42A5CDBA">
        <w:tblPrEx>
          <w:tblCellMar>
            <w:top w:w="0" w:type="dxa"/>
            <w:left w:w="108" w:type="dxa"/>
            <w:bottom w:w="0" w:type="dxa"/>
            <w:right w:w="108" w:type="dxa"/>
          </w:tblCellMar>
        </w:tblPrEx>
        <w:trPr>
          <w:trHeight w:val="66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73138AF">
            <w:pPr>
              <w:snapToGrid w:val="0"/>
              <w:spacing w:line="360" w:lineRule="auto"/>
              <w:rPr>
                <w:rFonts w:ascii="宋体" w:hAnsi="宋体" w:cs="宋体"/>
                <w:b/>
                <w:szCs w:val="21"/>
              </w:rPr>
            </w:pPr>
            <w:r>
              <w:rPr>
                <w:rFonts w:hint="eastAsia" w:ascii="宋体" w:hAnsi="宋体" w:cs="宋体"/>
                <w:b/>
                <w:szCs w:val="21"/>
              </w:rPr>
              <w:t>类别</w:t>
            </w:r>
          </w:p>
        </w:tc>
        <w:tc>
          <w:tcPr>
            <w:tcW w:w="6600" w:type="dxa"/>
            <w:tcBorders>
              <w:top w:val="single" w:color="auto" w:sz="4" w:space="0"/>
              <w:left w:val="single" w:color="auto" w:sz="4" w:space="0"/>
              <w:bottom w:val="single" w:color="auto" w:sz="4" w:space="0"/>
              <w:right w:val="single" w:color="auto" w:sz="4" w:space="0"/>
            </w:tcBorders>
            <w:vAlign w:val="center"/>
          </w:tcPr>
          <w:p w14:paraId="61850D27">
            <w:pPr>
              <w:snapToGrid w:val="0"/>
              <w:spacing w:line="360" w:lineRule="auto"/>
              <w:rPr>
                <w:rFonts w:ascii="宋体" w:hAnsi="宋体" w:cs="宋体"/>
                <w:b/>
                <w:szCs w:val="21"/>
              </w:rPr>
            </w:pPr>
            <w:r>
              <w:rPr>
                <w:rFonts w:hint="eastAsia" w:ascii="宋体" w:hAnsi="宋体" w:cs="宋体"/>
                <w:b/>
                <w:szCs w:val="21"/>
              </w:rPr>
              <w:t>具体要求</w:t>
            </w:r>
          </w:p>
        </w:tc>
      </w:tr>
      <w:tr w14:paraId="697614B4">
        <w:tblPrEx>
          <w:tblCellMar>
            <w:top w:w="0" w:type="dxa"/>
            <w:left w:w="108" w:type="dxa"/>
            <w:bottom w:w="0" w:type="dxa"/>
            <w:right w:w="108" w:type="dxa"/>
          </w:tblCellMar>
        </w:tblPrEx>
        <w:trPr>
          <w:trHeight w:val="66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554F193">
            <w:pPr>
              <w:snapToGrid w:val="0"/>
              <w:spacing w:line="360" w:lineRule="auto"/>
              <w:rPr>
                <w:rFonts w:ascii="宋体" w:hAnsi="宋体" w:cs="宋体"/>
                <w:szCs w:val="21"/>
              </w:rPr>
            </w:pPr>
            <w:r>
              <w:rPr>
                <w:rFonts w:hint="eastAsia" w:ascii="宋体" w:hAnsi="宋体" w:cs="宋体"/>
                <w:szCs w:val="21"/>
              </w:rPr>
              <w:t>经验要求</w:t>
            </w:r>
          </w:p>
        </w:tc>
        <w:tc>
          <w:tcPr>
            <w:tcW w:w="6600" w:type="dxa"/>
            <w:tcBorders>
              <w:top w:val="single" w:color="auto" w:sz="4" w:space="0"/>
              <w:left w:val="single" w:color="auto" w:sz="4" w:space="0"/>
              <w:bottom w:val="single" w:color="auto" w:sz="4" w:space="0"/>
              <w:right w:val="single" w:color="auto" w:sz="4" w:space="0"/>
            </w:tcBorders>
            <w:vAlign w:val="center"/>
          </w:tcPr>
          <w:p w14:paraId="0D84C48E">
            <w:pPr>
              <w:snapToGrid w:val="0"/>
              <w:spacing w:line="360" w:lineRule="auto"/>
              <w:rPr>
                <w:rFonts w:ascii="宋体" w:hAnsi="宋体" w:cs="宋体"/>
                <w:szCs w:val="21"/>
              </w:rPr>
            </w:pPr>
            <w:r>
              <w:rPr>
                <w:rFonts w:hint="eastAsia" w:ascii="宋体" w:hAnsi="宋体" w:cs="宋体"/>
                <w:szCs w:val="21"/>
              </w:rPr>
              <w:t>至少一名5年以上运维服务经验</w:t>
            </w:r>
          </w:p>
        </w:tc>
      </w:tr>
      <w:tr w14:paraId="30E5CD94">
        <w:tblPrEx>
          <w:tblCellMar>
            <w:top w:w="0" w:type="dxa"/>
            <w:left w:w="108" w:type="dxa"/>
            <w:bottom w:w="0" w:type="dxa"/>
            <w:right w:w="108" w:type="dxa"/>
          </w:tblCellMar>
        </w:tblPrEx>
        <w:trPr>
          <w:trHeight w:val="1856" w:hRule="atLeast"/>
          <w:jc w:val="center"/>
        </w:trPr>
        <w:tc>
          <w:tcPr>
            <w:tcW w:w="1696" w:type="dxa"/>
            <w:tcBorders>
              <w:top w:val="nil"/>
              <w:left w:val="single" w:color="auto" w:sz="4" w:space="0"/>
              <w:bottom w:val="single" w:color="auto" w:sz="4" w:space="0"/>
              <w:right w:val="single" w:color="auto" w:sz="4" w:space="0"/>
            </w:tcBorders>
            <w:vAlign w:val="center"/>
          </w:tcPr>
          <w:p w14:paraId="1977DA4B">
            <w:pPr>
              <w:snapToGrid w:val="0"/>
              <w:spacing w:line="360" w:lineRule="auto"/>
              <w:rPr>
                <w:rFonts w:ascii="宋体" w:hAnsi="宋体" w:cs="宋体"/>
                <w:szCs w:val="21"/>
              </w:rPr>
            </w:pPr>
            <w:r>
              <w:rPr>
                <w:rFonts w:hint="eastAsia" w:ascii="宋体" w:hAnsi="宋体" w:cs="宋体"/>
                <w:szCs w:val="21"/>
              </w:rPr>
              <w:t>技能要求</w:t>
            </w:r>
          </w:p>
        </w:tc>
        <w:tc>
          <w:tcPr>
            <w:tcW w:w="6600" w:type="dxa"/>
            <w:tcBorders>
              <w:top w:val="nil"/>
              <w:left w:val="single" w:color="auto" w:sz="4" w:space="0"/>
              <w:bottom w:val="single" w:color="auto" w:sz="4" w:space="0"/>
              <w:right w:val="single" w:color="auto" w:sz="4" w:space="0"/>
            </w:tcBorders>
            <w:vAlign w:val="center"/>
          </w:tcPr>
          <w:p w14:paraId="0879786E">
            <w:pPr>
              <w:numPr>
                <w:ilvl w:val="0"/>
                <w:numId w:val="2"/>
              </w:numPr>
              <w:snapToGrid w:val="0"/>
              <w:spacing w:line="360" w:lineRule="auto"/>
              <w:ind w:left="0" w:firstLine="0"/>
              <w:rPr>
                <w:rFonts w:ascii="宋体" w:hAnsi="宋体" w:cs="宋体"/>
                <w:szCs w:val="21"/>
              </w:rPr>
            </w:pPr>
            <w:r>
              <w:rPr>
                <w:rFonts w:hint="eastAsia" w:ascii="宋体" w:hAnsi="宋体" w:cs="宋体"/>
                <w:szCs w:val="21"/>
              </w:rPr>
              <w:t>具备计算机网络和信息安全的专业知识</w:t>
            </w:r>
          </w:p>
          <w:p w14:paraId="6F91E104">
            <w:pPr>
              <w:numPr>
                <w:ilvl w:val="0"/>
                <w:numId w:val="2"/>
              </w:numPr>
              <w:snapToGrid w:val="0"/>
              <w:spacing w:line="360" w:lineRule="auto"/>
              <w:ind w:left="0" w:firstLine="0"/>
              <w:rPr>
                <w:rFonts w:ascii="宋体" w:hAnsi="宋体" w:cs="宋体"/>
                <w:szCs w:val="21"/>
              </w:rPr>
            </w:pPr>
            <w:r>
              <w:rPr>
                <w:rFonts w:hint="eastAsia" w:ascii="宋体" w:hAnsi="宋体" w:cs="宋体"/>
                <w:szCs w:val="21"/>
              </w:rPr>
              <w:t>应掌握云安全问题引发涉及的各类主流操作系统、数据库、中间件、网络和安全设备的安全配置和安全检查方法；</w:t>
            </w:r>
          </w:p>
          <w:p w14:paraId="4B5865DF">
            <w:pPr>
              <w:numPr>
                <w:ilvl w:val="0"/>
                <w:numId w:val="2"/>
              </w:numPr>
              <w:snapToGrid w:val="0"/>
              <w:spacing w:line="360" w:lineRule="auto"/>
              <w:ind w:left="0" w:firstLine="0"/>
              <w:rPr>
                <w:rFonts w:ascii="宋体" w:hAnsi="宋体" w:cs="宋体"/>
                <w:szCs w:val="21"/>
              </w:rPr>
            </w:pPr>
            <w:r>
              <w:rPr>
                <w:rFonts w:hint="eastAsia" w:ascii="宋体" w:hAnsi="宋体" w:cs="宋体"/>
                <w:szCs w:val="21"/>
              </w:rPr>
              <w:t>掌握漏洞扫描、安全巡检等基本安全扫描工具的使用；</w:t>
            </w:r>
          </w:p>
          <w:p w14:paraId="615E430B">
            <w:pPr>
              <w:numPr>
                <w:ilvl w:val="0"/>
                <w:numId w:val="2"/>
              </w:numPr>
              <w:snapToGrid w:val="0"/>
              <w:spacing w:line="360" w:lineRule="auto"/>
              <w:ind w:left="0" w:firstLine="0"/>
              <w:rPr>
                <w:rFonts w:ascii="宋体" w:hAnsi="宋体" w:cs="宋体"/>
                <w:szCs w:val="21"/>
              </w:rPr>
            </w:pPr>
            <w:r>
              <w:rPr>
                <w:rFonts w:hint="eastAsia" w:ascii="宋体" w:hAnsi="宋体" w:cs="宋体"/>
                <w:szCs w:val="21"/>
              </w:rPr>
              <w:t>具备一定的安全事件分析和预警能力；</w:t>
            </w:r>
          </w:p>
          <w:p w14:paraId="2E881593">
            <w:pPr>
              <w:numPr>
                <w:ilvl w:val="0"/>
                <w:numId w:val="2"/>
              </w:numPr>
              <w:snapToGrid w:val="0"/>
              <w:spacing w:line="360" w:lineRule="auto"/>
              <w:ind w:left="0" w:firstLine="0"/>
              <w:rPr>
                <w:rFonts w:ascii="宋体" w:hAnsi="宋体" w:cs="宋体"/>
                <w:szCs w:val="21"/>
              </w:rPr>
            </w:pPr>
            <w:r>
              <w:rPr>
                <w:rFonts w:hint="eastAsia" w:ascii="宋体" w:hAnsi="宋体" w:cs="宋体"/>
                <w:szCs w:val="21"/>
              </w:rPr>
              <w:t>具备较好的报告整理和书写能力；</w:t>
            </w:r>
          </w:p>
          <w:p w14:paraId="292F9EB3">
            <w:pPr>
              <w:numPr>
                <w:ilvl w:val="0"/>
                <w:numId w:val="2"/>
              </w:numPr>
              <w:snapToGrid w:val="0"/>
              <w:spacing w:line="360" w:lineRule="auto"/>
              <w:ind w:left="0" w:firstLine="0"/>
              <w:rPr>
                <w:rFonts w:ascii="宋体" w:hAnsi="宋体" w:cs="宋体"/>
                <w:szCs w:val="21"/>
              </w:rPr>
            </w:pPr>
            <w:r>
              <w:rPr>
                <w:rFonts w:hint="eastAsia" w:ascii="宋体" w:hAnsi="宋体" w:cs="宋体"/>
                <w:szCs w:val="21"/>
              </w:rPr>
              <w:t>确保政务云安全的日常安全管理；</w:t>
            </w:r>
          </w:p>
          <w:p w14:paraId="3932FA3C">
            <w:pPr>
              <w:numPr>
                <w:ilvl w:val="0"/>
                <w:numId w:val="2"/>
              </w:numPr>
              <w:snapToGrid w:val="0"/>
              <w:spacing w:line="360" w:lineRule="auto"/>
              <w:ind w:left="0" w:firstLine="0"/>
              <w:rPr>
                <w:rFonts w:ascii="宋体" w:hAnsi="宋体" w:cs="宋体"/>
                <w:szCs w:val="21"/>
              </w:rPr>
            </w:pPr>
            <w:r>
              <w:rPr>
                <w:rFonts w:hint="eastAsia" w:ascii="宋体" w:hAnsi="宋体" w:cs="宋体"/>
                <w:szCs w:val="21"/>
              </w:rPr>
              <w:t>日常安全问题解决处理。</w:t>
            </w:r>
          </w:p>
        </w:tc>
      </w:tr>
      <w:tr w14:paraId="16680CC7">
        <w:tblPrEx>
          <w:tblCellMar>
            <w:top w:w="0" w:type="dxa"/>
            <w:left w:w="108" w:type="dxa"/>
            <w:bottom w:w="0" w:type="dxa"/>
            <w:right w:w="108" w:type="dxa"/>
          </w:tblCellMar>
        </w:tblPrEx>
        <w:trPr>
          <w:trHeight w:val="365" w:hRule="atLeast"/>
          <w:jc w:val="center"/>
        </w:trPr>
        <w:tc>
          <w:tcPr>
            <w:tcW w:w="1696" w:type="dxa"/>
            <w:tcBorders>
              <w:top w:val="nil"/>
              <w:left w:val="single" w:color="auto" w:sz="4" w:space="0"/>
              <w:bottom w:val="single" w:color="auto" w:sz="4" w:space="0"/>
              <w:right w:val="single" w:color="auto" w:sz="4" w:space="0"/>
            </w:tcBorders>
            <w:vAlign w:val="center"/>
          </w:tcPr>
          <w:p w14:paraId="4689F183">
            <w:pPr>
              <w:snapToGrid w:val="0"/>
              <w:spacing w:line="360" w:lineRule="auto"/>
              <w:rPr>
                <w:rFonts w:ascii="宋体" w:hAnsi="宋体" w:cs="宋体"/>
                <w:szCs w:val="21"/>
              </w:rPr>
            </w:pPr>
            <w:r>
              <w:rPr>
                <w:rFonts w:hint="eastAsia" w:ascii="宋体" w:hAnsi="宋体" w:cs="宋体"/>
                <w:szCs w:val="21"/>
              </w:rPr>
              <w:t>工作态度</w:t>
            </w:r>
          </w:p>
        </w:tc>
        <w:tc>
          <w:tcPr>
            <w:tcW w:w="6600" w:type="dxa"/>
            <w:tcBorders>
              <w:top w:val="nil"/>
              <w:left w:val="single" w:color="auto" w:sz="4" w:space="0"/>
              <w:bottom w:val="single" w:color="auto" w:sz="4" w:space="0"/>
              <w:right w:val="single" w:color="auto" w:sz="4" w:space="0"/>
            </w:tcBorders>
            <w:vAlign w:val="center"/>
          </w:tcPr>
          <w:p w14:paraId="70213C85">
            <w:pPr>
              <w:snapToGrid w:val="0"/>
              <w:spacing w:line="360" w:lineRule="auto"/>
              <w:rPr>
                <w:rFonts w:ascii="宋体" w:hAnsi="宋体" w:cs="宋体"/>
                <w:szCs w:val="21"/>
              </w:rPr>
            </w:pPr>
            <w:r>
              <w:rPr>
                <w:rFonts w:hint="eastAsia" w:ascii="宋体" w:hAnsi="宋体" w:cs="宋体"/>
                <w:szCs w:val="21"/>
              </w:rPr>
              <w:t>1、具有责任感，良好的服务意识和认真的工作态度；</w:t>
            </w:r>
            <w:r>
              <w:rPr>
                <w:rFonts w:hint="eastAsia" w:ascii="宋体" w:hAnsi="宋体" w:cs="宋体"/>
                <w:szCs w:val="21"/>
              </w:rPr>
              <w:br w:type="textWrapping"/>
            </w:r>
            <w:r>
              <w:rPr>
                <w:rFonts w:hint="eastAsia" w:ascii="宋体" w:hAnsi="宋体" w:cs="宋体"/>
                <w:szCs w:val="21"/>
              </w:rPr>
              <w:t>2、具备良好的沟通表达、团队协作、组织协调能力；</w:t>
            </w:r>
          </w:p>
        </w:tc>
      </w:tr>
    </w:tbl>
    <w:p w14:paraId="210516FE">
      <w:pPr>
        <w:spacing w:line="360" w:lineRule="auto"/>
        <w:ind w:firstLine="420" w:firstLineChars="200"/>
        <w:rPr>
          <w:rFonts w:ascii="宋体" w:hAnsi="宋体" w:cs="宋体"/>
          <w:szCs w:val="21"/>
        </w:rPr>
      </w:pPr>
      <w:r>
        <w:rPr>
          <w:rFonts w:hint="eastAsia" w:ascii="宋体" w:hAnsi="宋体" w:cs="宋体"/>
          <w:szCs w:val="21"/>
        </w:rPr>
        <w:t>每个参加项目人员提供履历表，主要内容包括学历、工作特长、经验与业绩、资质情况等，该人员参与的时间以及在项目中的责任。</w:t>
      </w:r>
    </w:p>
    <w:p w14:paraId="462F3229">
      <w:pPr>
        <w:spacing w:line="360" w:lineRule="auto"/>
        <w:ind w:firstLine="420" w:firstLineChars="200"/>
        <w:rPr>
          <w:rFonts w:ascii="宋体" w:hAnsi="宋体" w:cs="宋体"/>
          <w:szCs w:val="21"/>
        </w:rPr>
      </w:pPr>
      <w:r>
        <w:rPr>
          <w:rFonts w:hint="eastAsia" w:ascii="宋体" w:hAnsi="宋体" w:cs="宋体"/>
          <w:szCs w:val="21"/>
        </w:rPr>
        <w:t>6、另行委派1名驻场人员，详见“8.3驻场服务要求”。</w:t>
      </w:r>
    </w:p>
    <w:p w14:paraId="66C96E52">
      <w:pPr>
        <w:spacing w:line="360" w:lineRule="auto"/>
        <w:ind w:firstLine="420" w:firstLineChars="200"/>
        <w:rPr>
          <w:rFonts w:ascii="宋体" w:hAnsi="宋体" w:cs="宋体"/>
          <w:szCs w:val="21"/>
        </w:rPr>
      </w:pPr>
      <w:r>
        <w:rPr>
          <w:rFonts w:hint="eastAsia" w:ascii="宋体" w:hAnsi="宋体" w:cs="宋体"/>
          <w:szCs w:val="21"/>
        </w:rPr>
        <w:t>7、投标文件中明确的人员在项目开展过程中不得擅自更换，如需更换应提前10个工作日以书面形式通知采购人，经采购人同意后方可更换。更换后的人员资质及经验不得低于更换前。</w:t>
      </w:r>
    </w:p>
    <w:p w14:paraId="0F244957">
      <w:pPr>
        <w:pStyle w:val="3"/>
        <w:rPr>
          <w:lang w:val="en-US"/>
        </w:rPr>
      </w:pPr>
      <w:r>
        <w:rPr>
          <w:rFonts w:hint="eastAsia"/>
          <w:lang w:val="en-US"/>
        </w:rPr>
        <w:t>十三、功能演示要求</w:t>
      </w:r>
    </w:p>
    <w:p w14:paraId="2F3D7961">
      <w:pPr>
        <w:spacing w:line="360" w:lineRule="auto"/>
        <w:ind w:firstLine="420" w:firstLineChars="200"/>
        <w:rPr>
          <w:rFonts w:ascii="宋体" w:hAnsi="宋体" w:cs="宋体"/>
          <w:szCs w:val="21"/>
        </w:rPr>
      </w:pPr>
      <w:r>
        <w:rPr>
          <w:rFonts w:hint="eastAsia" w:ascii="宋体" w:hAnsi="宋体" w:cs="宋体"/>
          <w:szCs w:val="21"/>
        </w:rPr>
        <w:t>1.投标人需提供本项目功能演示及讲解视频，演示视频时间控制在15分钟以内，视频格式要求为MP4等常用格式，以U盘为存储介质邮寄方式送至采购代理机构。以投标文件解密时间先后次序为准，系统演示单独密封并标记供应商全称、相关联系人及其联系方式、项目名称、项目编号、“项目演示”字样。</w:t>
      </w:r>
    </w:p>
    <w:p w14:paraId="18C6BB66">
      <w:pPr>
        <w:spacing w:line="360" w:lineRule="auto"/>
        <w:ind w:firstLine="420" w:firstLineChars="200"/>
        <w:rPr>
          <w:rFonts w:ascii="宋体" w:hAnsi="宋体" w:cs="宋体"/>
          <w:szCs w:val="21"/>
        </w:rPr>
      </w:pPr>
      <w:r>
        <w:rPr>
          <w:rFonts w:hint="eastAsia" w:ascii="宋体" w:hAnsi="宋体" w:cs="宋体"/>
          <w:szCs w:val="21"/>
        </w:rPr>
        <w:t>2.演示顺序以投标文件解密时间先后次序为准。</w:t>
      </w:r>
    </w:p>
    <w:p w14:paraId="20E3E0F3">
      <w:pPr>
        <w:spacing w:line="360" w:lineRule="auto"/>
        <w:ind w:firstLine="420" w:firstLineChars="200"/>
        <w:rPr>
          <w:rFonts w:ascii="宋体" w:hAnsi="宋体" w:cs="宋体"/>
          <w:szCs w:val="21"/>
        </w:rPr>
      </w:pPr>
      <w:r>
        <w:rPr>
          <w:rFonts w:hint="eastAsia" w:ascii="宋体" w:hAnsi="宋体" w:cs="宋体"/>
          <w:szCs w:val="21"/>
        </w:rPr>
        <w:t>3.演示内容详见评标办法。</w:t>
      </w:r>
    </w:p>
    <w:p w14:paraId="1B24FBE9">
      <w:pPr>
        <w:spacing w:line="360" w:lineRule="auto"/>
        <w:ind w:firstLine="420" w:firstLineChars="200"/>
        <w:rPr>
          <w:rFonts w:ascii="宋体" w:hAnsi="宋体" w:cs="宋体"/>
          <w:szCs w:val="21"/>
        </w:rPr>
      </w:pPr>
      <w:r>
        <w:rPr>
          <w:rFonts w:hint="eastAsia" w:ascii="宋体" w:hAnsi="宋体" w:cs="宋体"/>
          <w:szCs w:val="21"/>
        </w:rPr>
        <w:t>4.演示视频递交截止时间：同投标截止时间，未提供或逾期送达将会造成不利评审。</w:t>
      </w:r>
    </w:p>
    <w:p w14:paraId="1AE62B9B">
      <w:pPr>
        <w:spacing w:line="360" w:lineRule="auto"/>
        <w:ind w:firstLine="420" w:firstLineChars="200"/>
        <w:rPr>
          <w:rFonts w:ascii="宋体" w:hAnsi="宋体" w:cs="宋体"/>
          <w:szCs w:val="21"/>
        </w:rPr>
      </w:pPr>
      <w:r>
        <w:rPr>
          <w:rFonts w:hint="eastAsia" w:ascii="宋体" w:hAnsi="宋体" w:cs="宋体"/>
          <w:szCs w:val="21"/>
        </w:rPr>
        <w:t>5.投标截止时间前一个工作日送达的邮寄地址：杭州市文晖路42号现代置业大厦西楼17层1704室；投标截止当日送达地址：</w:t>
      </w:r>
      <w:r>
        <w:rPr>
          <w:rFonts w:hint="eastAsia" w:hAnsi="宋体" w:cs="宋体"/>
          <w:kern w:val="28"/>
        </w:rPr>
        <w:t>杭州钱塘区金沙大道600号东楼六楼</w:t>
      </w:r>
      <w:r>
        <w:rPr>
          <w:rFonts w:hint="eastAsia" w:hAnsi="宋体" w:cs="宋体"/>
          <w:kern w:val="28"/>
          <w:lang w:val="en-US" w:eastAsia="zh-CN"/>
        </w:rPr>
        <w:t>5号</w:t>
      </w:r>
      <w:r>
        <w:rPr>
          <w:rFonts w:hint="eastAsia" w:hAnsi="宋体" w:cs="宋体"/>
          <w:kern w:val="28"/>
        </w:rPr>
        <w:t>开标室；</w:t>
      </w:r>
      <w:r>
        <w:rPr>
          <w:rFonts w:hint="eastAsia" w:ascii="宋体" w:hAnsi="宋体" w:cs="宋体"/>
          <w:szCs w:val="21"/>
        </w:rPr>
        <w:t>收件人：何颖楹 ；联系电话：15700073181。</w:t>
      </w:r>
    </w:p>
    <w:bookmarkEnd w:id="38"/>
    <w:bookmarkEnd w:id="39"/>
    <w:p w14:paraId="59272332">
      <w:pPr>
        <w:rPr>
          <w:rStyle w:val="87"/>
          <w:rFonts w:ascii="宋体" w:hAnsi="宋体" w:cs="宋体"/>
          <w:sz w:val="21"/>
          <w:szCs w:val="21"/>
        </w:rPr>
      </w:pPr>
      <w:bookmarkStart w:id="75" w:name="_Toc10078"/>
    </w:p>
    <w:p w14:paraId="4D7E11A0">
      <w:r>
        <w:rPr>
          <w:rFonts w:hint="eastAsia"/>
        </w:rPr>
        <w:br w:type="page"/>
      </w:r>
    </w:p>
    <w:p w14:paraId="78770681">
      <w:pPr>
        <w:pStyle w:val="2"/>
      </w:pPr>
      <w:r>
        <w:rPr>
          <w:rFonts w:hint="eastAsia"/>
        </w:rPr>
        <w:t xml:space="preserve">第四部分 </w:t>
      </w:r>
      <w:bookmarkStart w:id="76" w:name="_Toc184310336"/>
      <w:bookmarkEnd w:id="76"/>
      <w:bookmarkStart w:id="77" w:name="_Toc184314427"/>
      <w:bookmarkEnd w:id="77"/>
      <w:bookmarkStart w:id="78" w:name="_Toc184308086"/>
      <w:bookmarkEnd w:id="78"/>
      <w:bookmarkStart w:id="79" w:name="_Toc184308040"/>
      <w:bookmarkEnd w:id="79"/>
      <w:bookmarkStart w:id="80" w:name="_Toc184314467"/>
      <w:bookmarkEnd w:id="80"/>
      <w:bookmarkStart w:id="81" w:name="_Toc184310303"/>
      <w:bookmarkEnd w:id="81"/>
      <w:bookmarkStart w:id="82" w:name="_Toc184313282"/>
      <w:bookmarkEnd w:id="82"/>
      <w:bookmarkStart w:id="83" w:name="_Toc184308090"/>
      <w:bookmarkEnd w:id="83"/>
      <w:bookmarkStart w:id="84" w:name="_Toc184308041"/>
      <w:bookmarkEnd w:id="84"/>
      <w:bookmarkStart w:id="85" w:name="_Toc184314469"/>
      <w:bookmarkEnd w:id="85"/>
      <w:bookmarkStart w:id="86" w:name="_Toc184308055"/>
      <w:bookmarkEnd w:id="86"/>
      <w:bookmarkStart w:id="87" w:name="_Toc184312120"/>
      <w:bookmarkEnd w:id="87"/>
      <w:bookmarkStart w:id="88" w:name="_Toc184308048"/>
      <w:bookmarkEnd w:id="88"/>
      <w:bookmarkStart w:id="89" w:name="_Toc184312085"/>
      <w:bookmarkEnd w:id="89"/>
      <w:bookmarkStart w:id="90" w:name="_Toc184308095"/>
      <w:bookmarkEnd w:id="90"/>
      <w:bookmarkStart w:id="91" w:name="_Toc184313284"/>
      <w:bookmarkEnd w:id="91"/>
      <w:bookmarkStart w:id="92" w:name="_Toc184310315"/>
      <w:bookmarkEnd w:id="92"/>
      <w:bookmarkStart w:id="93" w:name="_Toc184314442"/>
      <w:bookmarkEnd w:id="93"/>
      <w:bookmarkStart w:id="94" w:name="_Toc184312126"/>
      <w:bookmarkEnd w:id="94"/>
      <w:bookmarkStart w:id="95" w:name="_Toc184313256"/>
      <w:bookmarkEnd w:id="95"/>
      <w:bookmarkStart w:id="96" w:name="_Toc184310331"/>
      <w:bookmarkEnd w:id="96"/>
      <w:bookmarkStart w:id="97" w:name="_Toc184313266"/>
      <w:bookmarkEnd w:id="97"/>
      <w:bookmarkStart w:id="98" w:name="_Toc184312092"/>
      <w:bookmarkEnd w:id="98"/>
      <w:bookmarkStart w:id="99" w:name="_Toc184308044"/>
      <w:bookmarkEnd w:id="99"/>
      <w:bookmarkStart w:id="100" w:name="_Toc184314465"/>
      <w:bookmarkEnd w:id="100"/>
      <w:bookmarkStart w:id="101" w:name="_Toc184308103"/>
      <w:bookmarkEnd w:id="101"/>
      <w:bookmarkStart w:id="102" w:name="_Toc184313249"/>
      <w:bookmarkEnd w:id="102"/>
      <w:bookmarkStart w:id="103" w:name="_Toc184310294"/>
      <w:bookmarkEnd w:id="103"/>
      <w:bookmarkStart w:id="104" w:name="_Toc184308079"/>
      <w:bookmarkEnd w:id="104"/>
      <w:bookmarkStart w:id="105" w:name="_Toc184314480"/>
      <w:bookmarkEnd w:id="105"/>
      <w:bookmarkStart w:id="106" w:name="_Toc184310314"/>
      <w:bookmarkEnd w:id="106"/>
      <w:bookmarkStart w:id="107" w:name="_Toc184314439"/>
      <w:bookmarkEnd w:id="107"/>
      <w:bookmarkStart w:id="108" w:name="_Toc184308089"/>
      <w:bookmarkEnd w:id="108"/>
      <w:bookmarkStart w:id="109" w:name="_Toc184310284"/>
      <w:bookmarkEnd w:id="109"/>
      <w:bookmarkStart w:id="110" w:name="_Toc184314418"/>
      <w:bookmarkEnd w:id="110"/>
      <w:bookmarkStart w:id="111" w:name="_Toc184313244"/>
      <w:bookmarkEnd w:id="111"/>
      <w:bookmarkStart w:id="112" w:name="_Toc184314452"/>
      <w:bookmarkEnd w:id="112"/>
      <w:bookmarkStart w:id="113" w:name="_Toc184313278"/>
      <w:bookmarkEnd w:id="113"/>
      <w:bookmarkStart w:id="114" w:name="_Toc184310312"/>
      <w:bookmarkEnd w:id="114"/>
      <w:bookmarkStart w:id="115" w:name="_Toc184308101"/>
      <w:bookmarkEnd w:id="115"/>
      <w:bookmarkStart w:id="116" w:name="_Toc184308069"/>
      <w:bookmarkEnd w:id="116"/>
      <w:bookmarkStart w:id="117" w:name="_Toc184313295"/>
      <w:bookmarkEnd w:id="117"/>
      <w:bookmarkStart w:id="118" w:name="_Toc184314441"/>
      <w:bookmarkEnd w:id="118"/>
      <w:bookmarkStart w:id="119" w:name="_Toc184310326"/>
      <w:bookmarkEnd w:id="119"/>
      <w:bookmarkStart w:id="120" w:name="_Toc184313283"/>
      <w:bookmarkEnd w:id="120"/>
      <w:bookmarkStart w:id="121" w:name="_Toc184312100"/>
      <w:bookmarkEnd w:id="121"/>
      <w:bookmarkStart w:id="122" w:name="_Toc184314413"/>
      <w:bookmarkEnd w:id="122"/>
      <w:bookmarkStart w:id="123" w:name="_Toc184310275"/>
      <w:bookmarkEnd w:id="123"/>
      <w:bookmarkStart w:id="124" w:name="_Toc184312069"/>
      <w:bookmarkEnd w:id="124"/>
      <w:bookmarkStart w:id="125" w:name="_Toc184313268"/>
      <w:bookmarkEnd w:id="125"/>
      <w:bookmarkStart w:id="126" w:name="_Toc184308106"/>
      <w:bookmarkEnd w:id="126"/>
      <w:bookmarkStart w:id="127" w:name="_Toc184310333"/>
      <w:bookmarkEnd w:id="127"/>
      <w:bookmarkStart w:id="128" w:name="_Toc184312078"/>
      <w:bookmarkEnd w:id="128"/>
      <w:bookmarkStart w:id="129" w:name="_Toc184313258"/>
      <w:bookmarkEnd w:id="129"/>
      <w:bookmarkStart w:id="130" w:name="_Toc184310317"/>
      <w:bookmarkEnd w:id="130"/>
      <w:bookmarkStart w:id="131" w:name="_Toc184312117"/>
      <w:bookmarkEnd w:id="131"/>
      <w:bookmarkStart w:id="132" w:name="_Toc184310332"/>
      <w:bookmarkEnd w:id="132"/>
      <w:bookmarkStart w:id="133" w:name="_Toc184308060"/>
      <w:bookmarkEnd w:id="133"/>
      <w:bookmarkStart w:id="134" w:name="_Toc184308056"/>
      <w:bookmarkEnd w:id="134"/>
      <w:bookmarkStart w:id="135" w:name="_Toc184310308"/>
      <w:bookmarkEnd w:id="135"/>
      <w:bookmarkStart w:id="136" w:name="_Toc184308054"/>
      <w:bookmarkEnd w:id="136"/>
      <w:bookmarkStart w:id="137" w:name="_Toc184314449"/>
      <w:bookmarkEnd w:id="137"/>
      <w:bookmarkStart w:id="138" w:name="_Toc184310313"/>
      <w:bookmarkEnd w:id="138"/>
      <w:bookmarkStart w:id="139" w:name="_Toc184312097"/>
      <w:bookmarkEnd w:id="139"/>
      <w:bookmarkStart w:id="140" w:name="_Toc184308053"/>
      <w:bookmarkEnd w:id="140"/>
      <w:bookmarkStart w:id="141" w:name="_Toc184312134"/>
      <w:bookmarkEnd w:id="141"/>
      <w:bookmarkStart w:id="142" w:name="_Toc184308078"/>
      <w:bookmarkEnd w:id="142"/>
      <w:bookmarkStart w:id="143" w:name="_Toc184312093"/>
      <w:bookmarkEnd w:id="143"/>
      <w:bookmarkStart w:id="144" w:name="_Toc184313290"/>
      <w:bookmarkEnd w:id="144"/>
      <w:bookmarkStart w:id="145" w:name="_Toc184312080"/>
      <w:bookmarkEnd w:id="145"/>
      <w:bookmarkStart w:id="146" w:name="_Toc184313310"/>
      <w:bookmarkEnd w:id="146"/>
      <w:bookmarkStart w:id="147" w:name="_Toc184314434"/>
      <w:bookmarkEnd w:id="147"/>
      <w:bookmarkStart w:id="148" w:name="_Toc184314477"/>
      <w:bookmarkEnd w:id="148"/>
      <w:bookmarkStart w:id="149" w:name="_Toc184308042"/>
      <w:bookmarkEnd w:id="149"/>
      <w:bookmarkStart w:id="150" w:name="_Toc184314421"/>
      <w:bookmarkEnd w:id="150"/>
      <w:bookmarkStart w:id="151" w:name="_Toc184310318"/>
      <w:bookmarkEnd w:id="151"/>
      <w:bookmarkStart w:id="152" w:name="_Toc184312109"/>
      <w:bookmarkEnd w:id="152"/>
      <w:bookmarkStart w:id="153" w:name="_Toc184310300"/>
      <w:bookmarkEnd w:id="153"/>
      <w:bookmarkStart w:id="154" w:name="_Toc184314435"/>
      <w:bookmarkEnd w:id="154"/>
      <w:bookmarkStart w:id="155" w:name="_Toc184312125"/>
      <w:bookmarkEnd w:id="155"/>
      <w:bookmarkStart w:id="156" w:name="_Toc184313292"/>
      <w:bookmarkEnd w:id="156"/>
      <w:bookmarkStart w:id="157" w:name="_Toc184312086"/>
      <w:bookmarkEnd w:id="157"/>
      <w:bookmarkStart w:id="158" w:name="_Toc184312076"/>
      <w:bookmarkEnd w:id="158"/>
      <w:bookmarkStart w:id="159" w:name="_Toc184314410"/>
      <w:bookmarkEnd w:id="159"/>
      <w:bookmarkStart w:id="160" w:name="_Toc184313276"/>
      <w:bookmarkEnd w:id="160"/>
      <w:bookmarkStart w:id="161" w:name="_Toc184312123"/>
      <w:bookmarkEnd w:id="161"/>
      <w:bookmarkStart w:id="162" w:name="_Toc184310323"/>
      <w:bookmarkEnd w:id="162"/>
      <w:bookmarkStart w:id="163" w:name="_Toc184310316"/>
      <w:bookmarkEnd w:id="163"/>
      <w:bookmarkStart w:id="164" w:name="_Toc184310341"/>
      <w:bookmarkEnd w:id="164"/>
      <w:bookmarkStart w:id="165" w:name="_Toc184313300"/>
      <w:bookmarkEnd w:id="165"/>
      <w:bookmarkStart w:id="166" w:name="_Toc184313253"/>
      <w:bookmarkEnd w:id="166"/>
      <w:bookmarkStart w:id="167" w:name="_Toc184314425"/>
      <w:bookmarkEnd w:id="167"/>
      <w:bookmarkStart w:id="168" w:name="_Toc184314455"/>
      <w:bookmarkEnd w:id="168"/>
      <w:bookmarkStart w:id="169" w:name="_Toc184313279"/>
      <w:bookmarkEnd w:id="169"/>
      <w:bookmarkStart w:id="170" w:name="_Toc184313277"/>
      <w:bookmarkEnd w:id="170"/>
      <w:bookmarkStart w:id="171" w:name="_Toc184314417"/>
      <w:bookmarkEnd w:id="171"/>
      <w:bookmarkStart w:id="172" w:name="_Toc184314426"/>
      <w:bookmarkEnd w:id="172"/>
      <w:bookmarkStart w:id="173" w:name="_Toc184312135"/>
      <w:bookmarkEnd w:id="173"/>
      <w:bookmarkStart w:id="174" w:name="_Toc184313247"/>
      <w:bookmarkEnd w:id="174"/>
      <w:bookmarkStart w:id="175" w:name="_Toc184312079"/>
      <w:bookmarkEnd w:id="175"/>
      <w:bookmarkStart w:id="176" w:name="_Toc184308050"/>
      <w:bookmarkEnd w:id="176"/>
      <w:bookmarkStart w:id="177" w:name="_Toc184314437"/>
      <w:bookmarkEnd w:id="177"/>
      <w:bookmarkStart w:id="178" w:name="_Toc184313287"/>
      <w:bookmarkEnd w:id="178"/>
      <w:bookmarkStart w:id="179" w:name="_Toc184312104"/>
      <w:bookmarkEnd w:id="179"/>
      <w:bookmarkStart w:id="180" w:name="_Toc184310276"/>
      <w:bookmarkEnd w:id="180"/>
      <w:bookmarkStart w:id="181" w:name="_Toc184308059"/>
      <w:bookmarkEnd w:id="181"/>
      <w:bookmarkStart w:id="182" w:name="_Toc184308071"/>
      <w:bookmarkEnd w:id="182"/>
      <w:bookmarkStart w:id="183" w:name="_Toc184312087"/>
      <w:bookmarkEnd w:id="183"/>
      <w:bookmarkStart w:id="184" w:name="_Toc184314428"/>
      <w:bookmarkEnd w:id="184"/>
      <w:bookmarkStart w:id="185" w:name="_Toc184313306"/>
      <w:bookmarkEnd w:id="185"/>
      <w:bookmarkStart w:id="186" w:name="_Toc184314456"/>
      <w:bookmarkEnd w:id="186"/>
      <w:bookmarkStart w:id="187" w:name="_Toc184314423"/>
      <w:bookmarkEnd w:id="187"/>
      <w:bookmarkStart w:id="188" w:name="_Toc184308087"/>
      <w:bookmarkEnd w:id="188"/>
      <w:bookmarkStart w:id="189" w:name="_Toc184312131"/>
      <w:bookmarkEnd w:id="189"/>
      <w:bookmarkStart w:id="190" w:name="_Toc184312119"/>
      <w:bookmarkEnd w:id="190"/>
      <w:bookmarkStart w:id="191" w:name="_Toc184313241"/>
      <w:bookmarkEnd w:id="191"/>
      <w:bookmarkStart w:id="192" w:name="_Toc184314459"/>
      <w:bookmarkEnd w:id="192"/>
      <w:bookmarkStart w:id="193" w:name="_Toc184314443"/>
      <w:bookmarkEnd w:id="193"/>
      <w:bookmarkStart w:id="194" w:name="_Toc184308068"/>
      <w:bookmarkEnd w:id="194"/>
      <w:bookmarkStart w:id="195" w:name="_Toc184312068"/>
      <w:bookmarkEnd w:id="195"/>
      <w:bookmarkStart w:id="196" w:name="_Toc184313280"/>
      <w:bookmarkEnd w:id="196"/>
      <w:bookmarkStart w:id="197" w:name="_Toc184313264"/>
      <w:bookmarkEnd w:id="197"/>
      <w:bookmarkStart w:id="198" w:name="_Toc184312067"/>
      <w:bookmarkEnd w:id="198"/>
      <w:bookmarkStart w:id="199" w:name="_Toc184310289"/>
      <w:bookmarkEnd w:id="199"/>
      <w:bookmarkStart w:id="200" w:name="_Toc184313274"/>
      <w:bookmarkEnd w:id="200"/>
      <w:bookmarkStart w:id="201" w:name="_Toc184308057"/>
      <w:bookmarkEnd w:id="201"/>
      <w:bookmarkStart w:id="202" w:name="_Toc184308074"/>
      <w:bookmarkEnd w:id="202"/>
      <w:bookmarkStart w:id="203" w:name="_Toc184314470"/>
      <w:bookmarkEnd w:id="203"/>
      <w:bookmarkStart w:id="204" w:name="_Toc184308052"/>
      <w:bookmarkEnd w:id="204"/>
      <w:bookmarkStart w:id="205" w:name="_Toc184313271"/>
      <w:bookmarkEnd w:id="205"/>
      <w:bookmarkStart w:id="206" w:name="_Toc184310320"/>
      <w:bookmarkEnd w:id="206"/>
      <w:bookmarkStart w:id="207" w:name="_Toc184308107"/>
      <w:bookmarkEnd w:id="207"/>
      <w:bookmarkStart w:id="208" w:name="_Toc184312096"/>
      <w:bookmarkEnd w:id="208"/>
      <w:bookmarkStart w:id="209" w:name="_Toc184312110"/>
      <w:bookmarkEnd w:id="209"/>
      <w:bookmarkStart w:id="210" w:name="_Toc184312088"/>
      <w:bookmarkEnd w:id="210"/>
      <w:bookmarkStart w:id="211" w:name="_Toc184310327"/>
      <w:bookmarkEnd w:id="211"/>
      <w:bookmarkStart w:id="212" w:name="_Toc184310338"/>
      <w:bookmarkEnd w:id="212"/>
      <w:bookmarkStart w:id="213" w:name="_Toc184308075"/>
      <w:bookmarkEnd w:id="213"/>
      <w:bookmarkStart w:id="214" w:name="_Toc184313238"/>
      <w:bookmarkEnd w:id="214"/>
      <w:bookmarkStart w:id="215" w:name="_Toc184314411"/>
      <w:bookmarkEnd w:id="215"/>
      <w:bookmarkStart w:id="216" w:name="_Toc184312132"/>
      <w:bookmarkEnd w:id="216"/>
      <w:bookmarkStart w:id="217" w:name="_Toc184312103"/>
      <w:bookmarkEnd w:id="217"/>
      <w:bookmarkStart w:id="218" w:name="_Toc184308070"/>
      <w:bookmarkEnd w:id="218"/>
      <w:bookmarkStart w:id="219" w:name="_Toc184313286"/>
      <w:bookmarkEnd w:id="219"/>
      <w:bookmarkStart w:id="220" w:name="_Toc184312081"/>
      <w:bookmarkEnd w:id="220"/>
      <w:bookmarkStart w:id="221" w:name="_Toc184312124"/>
      <w:bookmarkEnd w:id="221"/>
      <w:bookmarkStart w:id="222" w:name="_Toc184314412"/>
      <w:bookmarkEnd w:id="222"/>
      <w:bookmarkStart w:id="223" w:name="_Toc184308092"/>
      <w:bookmarkEnd w:id="223"/>
      <w:bookmarkStart w:id="224" w:name="_Toc184310292"/>
      <w:bookmarkEnd w:id="224"/>
      <w:bookmarkStart w:id="225" w:name="_Toc184312074"/>
      <w:bookmarkEnd w:id="225"/>
      <w:bookmarkStart w:id="226" w:name="_Toc184310337"/>
      <w:bookmarkEnd w:id="226"/>
      <w:bookmarkStart w:id="227" w:name="_Toc184314414"/>
      <w:bookmarkEnd w:id="227"/>
      <w:bookmarkStart w:id="228" w:name="_Toc184312139"/>
      <w:bookmarkEnd w:id="228"/>
      <w:bookmarkStart w:id="229" w:name="_Toc184313269"/>
      <w:bookmarkEnd w:id="229"/>
      <w:bookmarkStart w:id="230" w:name="_Toc184308037"/>
      <w:bookmarkEnd w:id="230"/>
      <w:bookmarkStart w:id="231" w:name="_Toc184314438"/>
      <w:bookmarkEnd w:id="231"/>
      <w:bookmarkStart w:id="232" w:name="_Toc184310272"/>
      <w:bookmarkEnd w:id="232"/>
      <w:bookmarkStart w:id="233" w:name="_Toc184312129"/>
      <w:bookmarkEnd w:id="233"/>
      <w:bookmarkStart w:id="234" w:name="_Toc184310328"/>
      <w:bookmarkEnd w:id="234"/>
      <w:bookmarkStart w:id="235" w:name="_Toc184310283"/>
      <w:bookmarkEnd w:id="235"/>
      <w:bookmarkStart w:id="236" w:name="_Toc184308084"/>
      <w:bookmarkEnd w:id="236"/>
      <w:bookmarkStart w:id="237" w:name="_Toc184312099"/>
      <w:bookmarkEnd w:id="237"/>
      <w:bookmarkStart w:id="238" w:name="_Toc184308080"/>
      <w:bookmarkEnd w:id="238"/>
      <w:bookmarkStart w:id="239" w:name="_Toc184312071"/>
      <w:bookmarkEnd w:id="239"/>
      <w:bookmarkStart w:id="240" w:name="_Toc184310324"/>
      <w:bookmarkEnd w:id="240"/>
      <w:bookmarkStart w:id="241" w:name="_Toc184308038"/>
      <w:bookmarkEnd w:id="241"/>
      <w:bookmarkStart w:id="242" w:name="_Toc184314420"/>
      <w:bookmarkEnd w:id="242"/>
      <w:bookmarkStart w:id="243" w:name="_Toc184310307"/>
      <w:bookmarkEnd w:id="243"/>
      <w:bookmarkStart w:id="244" w:name="_Toc184308091"/>
      <w:bookmarkEnd w:id="244"/>
      <w:bookmarkStart w:id="245" w:name="_Toc184308099"/>
      <w:bookmarkEnd w:id="245"/>
      <w:bookmarkStart w:id="246" w:name="_Toc184312072"/>
      <w:bookmarkEnd w:id="246"/>
      <w:bookmarkStart w:id="247" w:name="_Toc184312116"/>
      <w:bookmarkEnd w:id="247"/>
      <w:bookmarkStart w:id="248" w:name="_Toc184312094"/>
      <w:bookmarkEnd w:id="248"/>
      <w:bookmarkStart w:id="249" w:name="_Toc184312115"/>
      <w:bookmarkEnd w:id="249"/>
      <w:bookmarkStart w:id="250" w:name="_Toc184308036"/>
      <w:bookmarkEnd w:id="250"/>
      <w:bookmarkStart w:id="251" w:name="_Toc184308097"/>
      <w:bookmarkEnd w:id="251"/>
      <w:bookmarkStart w:id="252" w:name="_Toc184313301"/>
      <w:bookmarkEnd w:id="252"/>
      <w:bookmarkStart w:id="253" w:name="_Toc184308108"/>
      <w:bookmarkEnd w:id="253"/>
      <w:bookmarkStart w:id="254" w:name="_Toc184314463"/>
      <w:bookmarkEnd w:id="254"/>
      <w:bookmarkStart w:id="255" w:name="_Toc184308085"/>
      <w:bookmarkEnd w:id="255"/>
      <w:bookmarkStart w:id="256" w:name="_Toc184314433"/>
      <w:bookmarkEnd w:id="256"/>
      <w:bookmarkStart w:id="257" w:name="_Toc184314419"/>
      <w:bookmarkEnd w:id="257"/>
      <w:bookmarkStart w:id="258" w:name="_Toc184308043"/>
      <w:bookmarkEnd w:id="258"/>
      <w:bookmarkStart w:id="259" w:name="_Toc184313285"/>
      <w:bookmarkEnd w:id="259"/>
      <w:bookmarkStart w:id="260" w:name="_Toc184308082"/>
      <w:bookmarkEnd w:id="260"/>
      <w:bookmarkStart w:id="261" w:name="_Toc184310325"/>
      <w:bookmarkEnd w:id="261"/>
      <w:bookmarkStart w:id="262" w:name="_Toc184310344"/>
      <w:bookmarkEnd w:id="262"/>
      <w:bookmarkStart w:id="263" w:name="_Toc184313243"/>
      <w:bookmarkEnd w:id="263"/>
      <w:bookmarkStart w:id="264" w:name="_Toc184308049"/>
      <w:bookmarkEnd w:id="264"/>
      <w:bookmarkStart w:id="265" w:name="_Toc184312130"/>
      <w:bookmarkEnd w:id="265"/>
      <w:bookmarkStart w:id="266" w:name="_Toc184313252"/>
      <w:bookmarkEnd w:id="266"/>
      <w:bookmarkStart w:id="267" w:name="_Toc184314429"/>
      <w:bookmarkEnd w:id="267"/>
      <w:bookmarkStart w:id="268" w:name="_Toc184313251"/>
      <w:bookmarkEnd w:id="268"/>
      <w:bookmarkStart w:id="269" w:name="_Toc184308058"/>
      <w:bookmarkEnd w:id="269"/>
      <w:bookmarkStart w:id="270" w:name="_Toc184314466"/>
      <w:bookmarkEnd w:id="270"/>
      <w:bookmarkStart w:id="271" w:name="_Toc184308066"/>
      <w:bookmarkEnd w:id="271"/>
      <w:bookmarkStart w:id="272" w:name="_Toc184312075"/>
      <w:bookmarkEnd w:id="272"/>
      <w:bookmarkStart w:id="273" w:name="_Toc184313303"/>
      <w:bookmarkEnd w:id="273"/>
      <w:bookmarkStart w:id="274" w:name="_Toc184310343"/>
      <w:bookmarkEnd w:id="274"/>
      <w:bookmarkStart w:id="275" w:name="_Toc184310302"/>
      <w:bookmarkEnd w:id="275"/>
      <w:bookmarkStart w:id="276" w:name="_Toc184314457"/>
      <w:bookmarkEnd w:id="276"/>
      <w:bookmarkStart w:id="277" w:name="_Toc184312105"/>
      <w:bookmarkEnd w:id="277"/>
      <w:bookmarkStart w:id="278" w:name="_Toc184314422"/>
      <w:bookmarkEnd w:id="278"/>
      <w:bookmarkStart w:id="279" w:name="_Toc184314472"/>
      <w:bookmarkEnd w:id="279"/>
      <w:bookmarkStart w:id="280" w:name="_Toc184313265"/>
      <w:bookmarkEnd w:id="280"/>
      <w:bookmarkStart w:id="281" w:name="_Toc184314446"/>
      <w:bookmarkEnd w:id="281"/>
      <w:bookmarkStart w:id="282" w:name="_Toc184314450"/>
      <w:bookmarkEnd w:id="282"/>
      <w:bookmarkStart w:id="283" w:name="_Toc184314432"/>
      <w:bookmarkEnd w:id="283"/>
      <w:bookmarkStart w:id="284" w:name="_Toc184312095"/>
      <w:bookmarkEnd w:id="284"/>
      <w:bookmarkStart w:id="285" w:name="_Toc184313240"/>
      <w:bookmarkEnd w:id="285"/>
      <w:bookmarkStart w:id="286" w:name="_Toc184310297"/>
      <w:bookmarkEnd w:id="286"/>
      <w:bookmarkStart w:id="287" w:name="_Toc184314430"/>
      <w:bookmarkEnd w:id="287"/>
      <w:bookmarkStart w:id="288" w:name="_Toc184314436"/>
      <w:bookmarkEnd w:id="288"/>
      <w:bookmarkStart w:id="289" w:name="_Toc184313250"/>
      <w:bookmarkEnd w:id="289"/>
      <w:bookmarkStart w:id="290" w:name="_Toc184308051"/>
      <w:bookmarkEnd w:id="290"/>
      <w:bookmarkStart w:id="291" w:name="_Toc184310280"/>
      <w:bookmarkEnd w:id="291"/>
      <w:bookmarkStart w:id="292" w:name="_Toc184314451"/>
      <w:bookmarkEnd w:id="292"/>
      <w:bookmarkStart w:id="293" w:name="_Toc184308105"/>
      <w:bookmarkEnd w:id="293"/>
      <w:bookmarkStart w:id="294" w:name="_Toc184313260"/>
      <w:bookmarkEnd w:id="294"/>
      <w:bookmarkStart w:id="295" w:name="_Toc184314482"/>
      <w:bookmarkEnd w:id="295"/>
      <w:bookmarkStart w:id="296" w:name="_Toc184310306"/>
      <w:bookmarkEnd w:id="296"/>
      <w:bookmarkStart w:id="297" w:name="_Toc184312121"/>
      <w:bookmarkEnd w:id="297"/>
      <w:bookmarkStart w:id="298" w:name="_Toc184313298"/>
      <w:bookmarkEnd w:id="298"/>
      <w:bookmarkStart w:id="299" w:name="_Toc184308093"/>
      <w:bookmarkEnd w:id="299"/>
      <w:bookmarkStart w:id="300" w:name="_Toc184313254"/>
      <w:bookmarkEnd w:id="300"/>
      <w:bookmarkStart w:id="301" w:name="_Toc184310301"/>
      <w:bookmarkEnd w:id="301"/>
      <w:bookmarkStart w:id="302" w:name="_Toc184312106"/>
      <w:bookmarkEnd w:id="302"/>
      <w:bookmarkStart w:id="303" w:name="_Toc184312138"/>
      <w:bookmarkEnd w:id="303"/>
      <w:bookmarkStart w:id="304" w:name="_Toc184308061"/>
      <w:bookmarkEnd w:id="304"/>
      <w:bookmarkStart w:id="305" w:name="_Toc184310291"/>
      <w:bookmarkEnd w:id="305"/>
      <w:bookmarkStart w:id="306" w:name="_Toc184313304"/>
      <w:bookmarkEnd w:id="306"/>
      <w:bookmarkStart w:id="307" w:name="_Toc184313273"/>
      <w:bookmarkEnd w:id="307"/>
      <w:bookmarkStart w:id="308" w:name="_Toc184314424"/>
      <w:bookmarkEnd w:id="308"/>
      <w:bookmarkStart w:id="309" w:name="_Toc184313239"/>
      <w:bookmarkEnd w:id="309"/>
      <w:bookmarkStart w:id="310" w:name="_Toc184314473"/>
      <w:bookmarkEnd w:id="310"/>
      <w:bookmarkStart w:id="311" w:name="_Toc184312107"/>
      <w:bookmarkEnd w:id="311"/>
      <w:bookmarkStart w:id="312" w:name="_Toc184308100"/>
      <w:bookmarkEnd w:id="312"/>
      <w:bookmarkStart w:id="313" w:name="_Toc184310282"/>
      <w:bookmarkEnd w:id="313"/>
      <w:bookmarkStart w:id="314" w:name="_Toc184313272"/>
      <w:bookmarkEnd w:id="314"/>
      <w:bookmarkStart w:id="315" w:name="_Toc184308073"/>
      <w:bookmarkEnd w:id="315"/>
      <w:bookmarkStart w:id="316" w:name="_Toc184310295"/>
      <w:bookmarkEnd w:id="316"/>
      <w:bookmarkStart w:id="317" w:name="_Toc184312127"/>
      <w:bookmarkEnd w:id="317"/>
      <w:bookmarkStart w:id="318" w:name="_Toc184310340"/>
      <w:bookmarkEnd w:id="318"/>
      <w:bookmarkStart w:id="319" w:name="_Toc184310288"/>
      <w:bookmarkEnd w:id="319"/>
      <w:bookmarkStart w:id="320" w:name="_Toc184312083"/>
      <w:bookmarkEnd w:id="320"/>
      <w:bookmarkStart w:id="321" w:name="_Toc184310304"/>
      <w:bookmarkEnd w:id="321"/>
      <w:bookmarkStart w:id="322" w:name="_Toc184313309"/>
      <w:bookmarkEnd w:id="322"/>
      <w:bookmarkStart w:id="323" w:name="_Toc184313259"/>
      <w:bookmarkEnd w:id="323"/>
      <w:bookmarkStart w:id="324" w:name="_Toc184313305"/>
      <w:bookmarkEnd w:id="324"/>
      <w:bookmarkStart w:id="325" w:name="_Toc184308081"/>
      <w:bookmarkEnd w:id="325"/>
      <w:bookmarkStart w:id="326" w:name="_Toc184313246"/>
      <w:bookmarkEnd w:id="326"/>
      <w:bookmarkStart w:id="327" w:name="_Toc184313289"/>
      <w:bookmarkEnd w:id="327"/>
      <w:bookmarkStart w:id="328" w:name="_Toc184313248"/>
      <w:bookmarkEnd w:id="328"/>
      <w:bookmarkStart w:id="329" w:name="_Toc184314444"/>
      <w:bookmarkEnd w:id="329"/>
      <w:bookmarkStart w:id="330" w:name="_Toc184312133"/>
      <w:bookmarkEnd w:id="330"/>
      <w:bookmarkStart w:id="331" w:name="_Toc184312137"/>
      <w:bookmarkEnd w:id="331"/>
      <w:bookmarkStart w:id="332" w:name="_Toc184312136"/>
      <w:bookmarkEnd w:id="332"/>
      <w:bookmarkStart w:id="333" w:name="_Toc184308039"/>
      <w:bookmarkEnd w:id="333"/>
      <w:bookmarkStart w:id="334" w:name="_Toc184313275"/>
      <w:bookmarkEnd w:id="334"/>
      <w:bookmarkStart w:id="335" w:name="_Toc184314464"/>
      <w:bookmarkEnd w:id="335"/>
      <w:bookmarkStart w:id="336" w:name="_Toc184314445"/>
      <w:bookmarkEnd w:id="336"/>
      <w:bookmarkStart w:id="337" w:name="_Toc184310335"/>
      <w:bookmarkEnd w:id="337"/>
      <w:bookmarkStart w:id="338" w:name="_Toc184308076"/>
      <w:bookmarkEnd w:id="338"/>
      <w:bookmarkStart w:id="339" w:name="_Toc184314431"/>
      <w:bookmarkEnd w:id="339"/>
      <w:bookmarkStart w:id="340" w:name="_Toc184308064"/>
      <w:bookmarkEnd w:id="340"/>
      <w:bookmarkStart w:id="341" w:name="_Toc184310290"/>
      <w:bookmarkEnd w:id="341"/>
      <w:bookmarkStart w:id="342" w:name="_Toc184308072"/>
      <w:bookmarkEnd w:id="342"/>
      <w:bookmarkStart w:id="343" w:name="_Toc184312098"/>
      <w:bookmarkEnd w:id="343"/>
      <w:bookmarkStart w:id="344" w:name="_Toc184310281"/>
      <w:bookmarkEnd w:id="344"/>
      <w:bookmarkStart w:id="345" w:name="_Toc184310309"/>
      <w:bookmarkEnd w:id="345"/>
      <w:bookmarkStart w:id="346" w:name="_Toc184313288"/>
      <w:bookmarkEnd w:id="346"/>
      <w:bookmarkStart w:id="347" w:name="_Toc184314471"/>
      <w:bookmarkEnd w:id="347"/>
      <w:bookmarkStart w:id="348" w:name="_Toc184310321"/>
      <w:bookmarkEnd w:id="348"/>
      <w:bookmarkStart w:id="349" w:name="_Toc184308062"/>
      <w:bookmarkEnd w:id="349"/>
      <w:bookmarkStart w:id="350" w:name="_Toc184314415"/>
      <w:bookmarkEnd w:id="350"/>
      <w:bookmarkStart w:id="351" w:name="_Toc184313307"/>
      <w:bookmarkEnd w:id="351"/>
      <w:bookmarkStart w:id="352" w:name="_Toc184308104"/>
      <w:bookmarkEnd w:id="352"/>
      <w:bookmarkStart w:id="353" w:name="_Toc184310342"/>
      <w:bookmarkEnd w:id="353"/>
      <w:bookmarkStart w:id="354" w:name="_Toc184314447"/>
      <w:bookmarkEnd w:id="354"/>
      <w:bookmarkStart w:id="355" w:name="_Toc184310285"/>
      <w:bookmarkEnd w:id="355"/>
      <w:bookmarkStart w:id="356" w:name="_Toc184313294"/>
      <w:bookmarkEnd w:id="356"/>
      <w:bookmarkStart w:id="357" w:name="_Toc184314453"/>
      <w:bookmarkEnd w:id="357"/>
      <w:bookmarkStart w:id="358" w:name="_Toc184313245"/>
      <w:bookmarkEnd w:id="358"/>
      <w:bookmarkStart w:id="359" w:name="_Toc184310273"/>
      <w:bookmarkEnd w:id="359"/>
      <w:bookmarkStart w:id="360" w:name="_Toc184308047"/>
      <w:bookmarkEnd w:id="360"/>
      <w:bookmarkStart w:id="361" w:name="_Toc184308045"/>
      <w:bookmarkEnd w:id="361"/>
      <w:bookmarkStart w:id="362" w:name="_Toc184313302"/>
      <w:bookmarkEnd w:id="362"/>
      <w:bookmarkStart w:id="363" w:name="_Toc184313270"/>
      <w:bookmarkEnd w:id="363"/>
      <w:bookmarkStart w:id="364" w:name="_Toc184312108"/>
      <w:bookmarkEnd w:id="364"/>
      <w:bookmarkStart w:id="365" w:name="_Toc184310298"/>
      <w:bookmarkEnd w:id="365"/>
      <w:bookmarkStart w:id="366" w:name="_Toc184310329"/>
      <w:bookmarkEnd w:id="366"/>
      <w:bookmarkStart w:id="367" w:name="_Toc184314474"/>
      <w:bookmarkEnd w:id="367"/>
      <w:bookmarkStart w:id="368" w:name="_Toc184313261"/>
      <w:bookmarkEnd w:id="368"/>
      <w:bookmarkStart w:id="369" w:name="_Toc184308083"/>
      <w:bookmarkEnd w:id="369"/>
      <w:bookmarkStart w:id="370" w:name="_Toc184310339"/>
      <w:bookmarkEnd w:id="370"/>
      <w:bookmarkStart w:id="371" w:name="_Toc184314476"/>
      <w:bookmarkEnd w:id="371"/>
      <w:bookmarkStart w:id="372" w:name="_Toc184312084"/>
      <w:bookmarkEnd w:id="372"/>
      <w:bookmarkStart w:id="373" w:name="_Toc184310305"/>
      <w:bookmarkEnd w:id="373"/>
      <w:bookmarkStart w:id="374" w:name="_Toc184313262"/>
      <w:bookmarkEnd w:id="374"/>
      <w:bookmarkStart w:id="375" w:name="_Toc184314458"/>
      <w:bookmarkEnd w:id="375"/>
      <w:bookmarkStart w:id="376" w:name="_Toc184312082"/>
      <w:bookmarkEnd w:id="376"/>
      <w:bookmarkStart w:id="377" w:name="_Toc184314460"/>
      <w:bookmarkEnd w:id="377"/>
      <w:bookmarkStart w:id="378" w:name="_Toc184308063"/>
      <w:bookmarkEnd w:id="378"/>
      <w:bookmarkStart w:id="379" w:name="_Toc184313293"/>
      <w:bookmarkEnd w:id="379"/>
      <w:bookmarkStart w:id="380" w:name="_Toc184313281"/>
      <w:bookmarkEnd w:id="380"/>
      <w:bookmarkStart w:id="381" w:name="_Toc184314448"/>
      <w:bookmarkEnd w:id="381"/>
      <w:bookmarkStart w:id="382" w:name="_Toc184312101"/>
      <w:bookmarkEnd w:id="382"/>
      <w:bookmarkStart w:id="383" w:name="_Toc184310293"/>
      <w:bookmarkEnd w:id="383"/>
      <w:bookmarkStart w:id="384" w:name="_Toc184308067"/>
      <w:bookmarkEnd w:id="384"/>
      <w:bookmarkStart w:id="385" w:name="_Toc184313297"/>
      <w:bookmarkEnd w:id="385"/>
      <w:bookmarkStart w:id="386" w:name="_Toc184314478"/>
      <w:bookmarkEnd w:id="386"/>
      <w:bookmarkStart w:id="387" w:name="_Toc184312073"/>
      <w:bookmarkEnd w:id="387"/>
      <w:bookmarkStart w:id="388" w:name="_Toc184314416"/>
      <w:bookmarkEnd w:id="388"/>
      <w:bookmarkStart w:id="389" w:name="_Toc184312111"/>
      <w:bookmarkEnd w:id="389"/>
      <w:bookmarkStart w:id="390" w:name="_Toc184314462"/>
      <w:bookmarkEnd w:id="390"/>
      <w:bookmarkStart w:id="391" w:name="_Toc184310311"/>
      <w:bookmarkEnd w:id="391"/>
      <w:bookmarkStart w:id="392" w:name="_Toc184312090"/>
      <w:bookmarkEnd w:id="392"/>
      <w:bookmarkStart w:id="393" w:name="_Toc184314440"/>
      <w:bookmarkEnd w:id="393"/>
      <w:bookmarkStart w:id="394" w:name="_Toc184310286"/>
      <w:bookmarkEnd w:id="394"/>
      <w:bookmarkStart w:id="395" w:name="_Toc184310277"/>
      <w:bookmarkEnd w:id="395"/>
      <w:bookmarkStart w:id="396" w:name="_Toc184310274"/>
      <w:bookmarkEnd w:id="396"/>
      <w:bookmarkStart w:id="397" w:name="_Toc184310334"/>
      <w:bookmarkEnd w:id="397"/>
      <w:bookmarkStart w:id="398" w:name="_Toc184313267"/>
      <w:bookmarkEnd w:id="398"/>
      <w:bookmarkStart w:id="399" w:name="_Toc184310299"/>
      <w:bookmarkEnd w:id="399"/>
      <w:bookmarkStart w:id="400" w:name="_Toc184310310"/>
      <w:bookmarkEnd w:id="400"/>
      <w:bookmarkStart w:id="401" w:name="_Toc184312091"/>
      <w:bookmarkEnd w:id="401"/>
      <w:bookmarkStart w:id="402" w:name="_Toc184313308"/>
      <w:bookmarkEnd w:id="402"/>
      <w:bookmarkStart w:id="403" w:name="_Toc184310296"/>
      <w:bookmarkEnd w:id="403"/>
      <w:bookmarkStart w:id="404" w:name="_Toc184308046"/>
      <w:bookmarkEnd w:id="404"/>
      <w:bookmarkStart w:id="405" w:name="_Toc184314468"/>
      <w:bookmarkEnd w:id="405"/>
      <w:bookmarkStart w:id="406" w:name="_Toc184308088"/>
      <w:bookmarkEnd w:id="406"/>
      <w:bookmarkStart w:id="407" w:name="_Toc184314479"/>
      <w:bookmarkEnd w:id="407"/>
      <w:bookmarkStart w:id="408" w:name="_Toc184312113"/>
      <w:bookmarkEnd w:id="408"/>
      <w:bookmarkStart w:id="409" w:name="_Toc184310319"/>
      <w:bookmarkEnd w:id="409"/>
      <w:bookmarkStart w:id="410" w:name="_Toc184308077"/>
      <w:bookmarkEnd w:id="410"/>
      <w:bookmarkStart w:id="411" w:name="_Toc184314481"/>
      <w:bookmarkEnd w:id="411"/>
      <w:bookmarkStart w:id="412" w:name="_Toc184310287"/>
      <w:bookmarkEnd w:id="412"/>
      <w:bookmarkStart w:id="413" w:name="_Toc184312089"/>
      <w:bookmarkEnd w:id="413"/>
      <w:bookmarkStart w:id="414" w:name="_Toc184308065"/>
      <w:bookmarkEnd w:id="414"/>
      <w:bookmarkStart w:id="415" w:name="_Toc184313263"/>
      <w:bookmarkEnd w:id="415"/>
      <w:bookmarkStart w:id="416" w:name="_Toc184313242"/>
      <w:bookmarkEnd w:id="416"/>
      <w:bookmarkStart w:id="417" w:name="_Toc184310278"/>
      <w:bookmarkEnd w:id="417"/>
      <w:bookmarkStart w:id="418" w:name="_Toc184313257"/>
      <w:bookmarkEnd w:id="418"/>
      <w:bookmarkStart w:id="419" w:name="_Toc184312122"/>
      <w:bookmarkEnd w:id="419"/>
      <w:bookmarkStart w:id="420" w:name="_Toc184312112"/>
      <w:bookmarkEnd w:id="420"/>
      <w:bookmarkStart w:id="421" w:name="_Toc184310279"/>
      <w:bookmarkEnd w:id="421"/>
      <w:bookmarkStart w:id="422" w:name="_Toc184312128"/>
      <w:bookmarkEnd w:id="422"/>
      <w:bookmarkStart w:id="423" w:name="_Toc184313296"/>
      <w:bookmarkEnd w:id="423"/>
      <w:bookmarkStart w:id="424" w:name="_Toc184313255"/>
      <w:bookmarkEnd w:id="424"/>
      <w:bookmarkStart w:id="425" w:name="_Toc184310322"/>
      <w:bookmarkEnd w:id="425"/>
      <w:bookmarkStart w:id="426" w:name="_Toc184313291"/>
      <w:bookmarkEnd w:id="426"/>
      <w:bookmarkStart w:id="427" w:name="_Toc184314461"/>
      <w:bookmarkEnd w:id="427"/>
      <w:bookmarkStart w:id="428" w:name="_Toc184308096"/>
      <w:bookmarkEnd w:id="428"/>
      <w:bookmarkStart w:id="429" w:name="_Toc184314475"/>
      <w:bookmarkEnd w:id="429"/>
      <w:bookmarkStart w:id="430" w:name="_Toc184314454"/>
      <w:bookmarkEnd w:id="430"/>
      <w:bookmarkStart w:id="431" w:name="_Toc184313299"/>
      <w:bookmarkEnd w:id="431"/>
      <w:bookmarkStart w:id="432" w:name="_Toc184308094"/>
      <w:bookmarkEnd w:id="432"/>
      <w:bookmarkStart w:id="433" w:name="_Toc184310330"/>
      <w:bookmarkEnd w:id="433"/>
      <w:bookmarkStart w:id="434" w:name="_Toc184312118"/>
      <w:bookmarkEnd w:id="434"/>
      <w:bookmarkStart w:id="435" w:name="_Toc184312070"/>
      <w:bookmarkEnd w:id="435"/>
      <w:bookmarkStart w:id="436" w:name="_Toc184312114"/>
      <w:bookmarkEnd w:id="436"/>
      <w:bookmarkStart w:id="437" w:name="_Toc184312077"/>
      <w:bookmarkEnd w:id="437"/>
      <w:bookmarkStart w:id="438" w:name="_Toc184308102"/>
      <w:bookmarkEnd w:id="438"/>
      <w:bookmarkStart w:id="439" w:name="_Toc184312102"/>
      <w:bookmarkEnd w:id="439"/>
      <w:bookmarkStart w:id="440" w:name="_Toc184308098"/>
      <w:bookmarkEnd w:id="440"/>
      <w:r>
        <w:rPr>
          <w:rFonts w:hint="eastAsia"/>
        </w:rPr>
        <w:t>评标办法</w:t>
      </w:r>
      <w:bookmarkEnd w:id="75"/>
    </w:p>
    <w:p w14:paraId="09418BD6">
      <w:pPr>
        <w:pStyle w:val="3"/>
        <w:jc w:val="center"/>
        <w:rPr>
          <w:szCs w:val="21"/>
        </w:rPr>
      </w:pPr>
      <w:r>
        <w:rPr>
          <w:rFonts w:hint="eastAsia"/>
          <w:szCs w:val="21"/>
        </w:rPr>
        <w:t>评标办法前附表</w:t>
      </w:r>
    </w:p>
    <w:tbl>
      <w:tblPr>
        <w:tblStyle w:val="63"/>
        <w:tblW w:w="9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5088"/>
        <w:gridCol w:w="730"/>
        <w:gridCol w:w="1126"/>
        <w:gridCol w:w="1267"/>
      </w:tblGrid>
      <w:tr w14:paraId="56092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1" w:type="dxa"/>
            <w:tcBorders>
              <w:tl2br w:val="nil"/>
              <w:tr2bl w:val="nil"/>
            </w:tcBorders>
            <w:vAlign w:val="center"/>
          </w:tcPr>
          <w:p w14:paraId="26E1D7C9">
            <w:pPr>
              <w:pStyle w:val="784"/>
              <w:widowControl w:val="0"/>
              <w:spacing w:line="360" w:lineRule="auto"/>
              <w:jc w:val="center"/>
              <w:rPr>
                <w:rFonts w:ascii="宋体" w:hAnsi="宋体" w:cs="宋体"/>
                <w:b/>
                <w:bCs/>
              </w:rPr>
            </w:pPr>
            <w:r>
              <w:rPr>
                <w:rFonts w:hint="eastAsia" w:ascii="宋体" w:hAnsi="宋体" w:cs="宋体"/>
                <w:b/>
                <w:bCs/>
              </w:rPr>
              <w:t>评标因素</w:t>
            </w:r>
          </w:p>
        </w:tc>
        <w:tc>
          <w:tcPr>
            <w:tcW w:w="5088" w:type="dxa"/>
            <w:tcBorders>
              <w:tl2br w:val="nil"/>
              <w:tr2bl w:val="nil"/>
            </w:tcBorders>
            <w:vAlign w:val="center"/>
          </w:tcPr>
          <w:p w14:paraId="34666CBE">
            <w:pPr>
              <w:pStyle w:val="784"/>
              <w:widowControl w:val="0"/>
              <w:spacing w:line="360" w:lineRule="auto"/>
              <w:jc w:val="center"/>
              <w:rPr>
                <w:rFonts w:ascii="宋体" w:hAnsi="宋体" w:cs="宋体"/>
                <w:b/>
                <w:bCs/>
              </w:rPr>
            </w:pPr>
            <w:r>
              <w:rPr>
                <w:rFonts w:hint="eastAsia" w:ascii="宋体" w:hAnsi="宋体" w:cs="宋体"/>
                <w:b/>
                <w:bCs/>
              </w:rPr>
              <w:t>评标标准</w:t>
            </w:r>
          </w:p>
        </w:tc>
        <w:tc>
          <w:tcPr>
            <w:tcW w:w="730" w:type="dxa"/>
            <w:tcBorders>
              <w:tl2br w:val="nil"/>
              <w:tr2bl w:val="nil"/>
            </w:tcBorders>
            <w:vAlign w:val="center"/>
          </w:tcPr>
          <w:p w14:paraId="28D8FF5F">
            <w:pPr>
              <w:pStyle w:val="784"/>
              <w:widowControl w:val="0"/>
              <w:spacing w:line="360" w:lineRule="auto"/>
              <w:jc w:val="center"/>
              <w:rPr>
                <w:rFonts w:ascii="宋体" w:hAnsi="宋体" w:cs="宋体"/>
                <w:b/>
                <w:bCs/>
              </w:rPr>
            </w:pPr>
            <w:r>
              <w:rPr>
                <w:rFonts w:hint="eastAsia" w:ascii="宋体" w:hAnsi="宋体" w:cs="宋体"/>
                <w:b/>
                <w:bCs/>
              </w:rPr>
              <w:t>权重</w:t>
            </w:r>
          </w:p>
        </w:tc>
        <w:tc>
          <w:tcPr>
            <w:tcW w:w="1126" w:type="dxa"/>
            <w:tcBorders>
              <w:tl2br w:val="nil"/>
              <w:tr2bl w:val="nil"/>
            </w:tcBorders>
            <w:vAlign w:val="center"/>
          </w:tcPr>
          <w:p w14:paraId="028C840D">
            <w:pPr>
              <w:pStyle w:val="784"/>
              <w:widowControl w:val="0"/>
              <w:spacing w:line="360" w:lineRule="auto"/>
              <w:jc w:val="center"/>
              <w:rPr>
                <w:rFonts w:ascii="宋体" w:hAnsi="宋体" w:cs="宋体"/>
                <w:b/>
                <w:bCs/>
              </w:rPr>
            </w:pPr>
            <w:r>
              <w:rPr>
                <w:rFonts w:hint="eastAsia" w:ascii="宋体" w:hAnsi="宋体" w:cs="宋体"/>
                <w:b/>
                <w:bCs/>
              </w:rPr>
              <w:t>主观分/客观分属性</w:t>
            </w:r>
          </w:p>
        </w:tc>
        <w:tc>
          <w:tcPr>
            <w:tcW w:w="1267" w:type="dxa"/>
            <w:tcBorders>
              <w:tl2br w:val="nil"/>
              <w:tr2bl w:val="nil"/>
            </w:tcBorders>
            <w:vAlign w:val="center"/>
          </w:tcPr>
          <w:p w14:paraId="102A1038">
            <w:pPr>
              <w:pStyle w:val="784"/>
              <w:widowControl w:val="0"/>
              <w:spacing w:line="360" w:lineRule="auto"/>
              <w:jc w:val="center"/>
              <w:rPr>
                <w:rFonts w:ascii="宋体" w:hAnsi="宋体" w:cs="宋体"/>
                <w:b/>
                <w:bCs/>
              </w:rPr>
            </w:pPr>
            <w:r>
              <w:rPr>
                <w:rFonts w:hint="eastAsia" w:ascii="宋体" w:hAnsi="宋体" w:cs="宋体"/>
                <w:b/>
                <w:bCs/>
              </w:rPr>
              <w:t>投标文件中评标标准相应的商务技术资料目录*</w:t>
            </w:r>
          </w:p>
        </w:tc>
      </w:tr>
      <w:tr w14:paraId="380E9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502102AD">
            <w:pPr>
              <w:pStyle w:val="784"/>
              <w:widowControl w:val="0"/>
              <w:spacing w:line="360" w:lineRule="auto"/>
              <w:rPr>
                <w:rFonts w:ascii="宋体" w:hAnsi="宋体" w:cs="宋体"/>
                <w:kern w:val="2"/>
              </w:rPr>
            </w:pPr>
            <w:r>
              <w:rPr>
                <w:rFonts w:hint="eastAsia" w:ascii="宋体" w:hAnsi="宋体" w:cs="宋体"/>
                <w:kern w:val="2"/>
              </w:rPr>
              <w:t>类似业绩</w:t>
            </w:r>
          </w:p>
        </w:tc>
        <w:tc>
          <w:tcPr>
            <w:tcW w:w="5088" w:type="dxa"/>
            <w:tcBorders>
              <w:tl2br w:val="nil"/>
              <w:tr2bl w:val="nil"/>
            </w:tcBorders>
            <w:vAlign w:val="center"/>
          </w:tcPr>
          <w:p w14:paraId="509205CE">
            <w:pPr>
              <w:pStyle w:val="784"/>
              <w:widowControl w:val="0"/>
              <w:spacing w:line="360" w:lineRule="auto"/>
              <w:rPr>
                <w:rFonts w:ascii="宋体" w:hAnsi="宋体" w:cs="宋体"/>
                <w:kern w:val="2"/>
              </w:rPr>
            </w:pPr>
            <w:r>
              <w:rPr>
                <w:rFonts w:hint="eastAsia" w:ascii="宋体" w:hAnsi="宋体" w:cs="宋体"/>
                <w:kern w:val="2"/>
              </w:rPr>
              <w:t>类似业绩</w:t>
            </w:r>
          </w:p>
          <w:p w14:paraId="28C57427">
            <w:pPr>
              <w:pStyle w:val="784"/>
              <w:widowControl w:val="0"/>
              <w:spacing w:line="360" w:lineRule="auto"/>
              <w:rPr>
                <w:rFonts w:ascii="宋体" w:hAnsi="宋体" w:cs="宋体"/>
                <w:kern w:val="2"/>
              </w:rPr>
            </w:pPr>
            <w:r>
              <w:rPr>
                <w:rFonts w:hint="eastAsia" w:ascii="宋体" w:hAnsi="宋体" w:cs="宋体"/>
                <w:kern w:val="2"/>
              </w:rPr>
              <w:t>投标截止时间前三年，投标人承担类似项目实施的成功经验情况，投标人须同时提供项目合同和用户验收报告（以用户验收报告时间为准），每个得0.5分；最高得1分。</w:t>
            </w:r>
          </w:p>
        </w:tc>
        <w:tc>
          <w:tcPr>
            <w:tcW w:w="730" w:type="dxa"/>
            <w:tcBorders>
              <w:tl2br w:val="nil"/>
              <w:tr2bl w:val="nil"/>
            </w:tcBorders>
            <w:vAlign w:val="center"/>
          </w:tcPr>
          <w:p w14:paraId="55EA25D0">
            <w:pPr>
              <w:pStyle w:val="784"/>
              <w:widowControl w:val="0"/>
              <w:spacing w:line="360" w:lineRule="auto"/>
              <w:jc w:val="center"/>
              <w:rPr>
                <w:rFonts w:ascii="宋体" w:hAnsi="宋体" w:cs="宋体"/>
                <w:b/>
                <w:bCs/>
                <w:kern w:val="2"/>
              </w:rPr>
            </w:pPr>
            <w:r>
              <w:rPr>
                <w:rFonts w:hint="eastAsia" w:ascii="宋体" w:hAnsi="宋体" w:cs="宋体"/>
                <w:b/>
                <w:bCs/>
                <w:kern w:val="2"/>
              </w:rPr>
              <w:t>1</w:t>
            </w:r>
          </w:p>
        </w:tc>
        <w:tc>
          <w:tcPr>
            <w:tcW w:w="1126" w:type="dxa"/>
            <w:tcBorders>
              <w:tl2br w:val="nil"/>
              <w:tr2bl w:val="nil"/>
            </w:tcBorders>
            <w:vAlign w:val="center"/>
          </w:tcPr>
          <w:p w14:paraId="307117BD">
            <w:pPr>
              <w:pStyle w:val="784"/>
              <w:widowControl w:val="0"/>
              <w:spacing w:line="360" w:lineRule="auto"/>
              <w:jc w:val="center"/>
              <w:rPr>
                <w:rFonts w:ascii="宋体" w:hAnsi="宋体" w:cs="宋体"/>
                <w:b/>
                <w:bCs/>
                <w:kern w:val="2"/>
              </w:rPr>
            </w:pPr>
            <w:r>
              <w:rPr>
                <w:rFonts w:hint="eastAsia" w:ascii="宋体" w:hAnsi="宋体" w:cs="宋体"/>
                <w:b/>
                <w:bCs/>
                <w:kern w:val="2"/>
              </w:rPr>
              <w:t>客观分</w:t>
            </w:r>
          </w:p>
        </w:tc>
        <w:tc>
          <w:tcPr>
            <w:tcW w:w="1267" w:type="dxa"/>
            <w:tcBorders>
              <w:tl2br w:val="nil"/>
              <w:tr2bl w:val="nil"/>
            </w:tcBorders>
            <w:vAlign w:val="center"/>
          </w:tcPr>
          <w:p w14:paraId="78F7181D">
            <w:pPr>
              <w:pStyle w:val="784"/>
              <w:widowControl w:val="0"/>
              <w:spacing w:line="360" w:lineRule="auto"/>
              <w:rPr>
                <w:rFonts w:ascii="宋体" w:hAnsi="宋体" w:cs="宋体"/>
                <w:kern w:val="2"/>
                <w:lang w:val="zh-TW" w:eastAsia="zh-TW"/>
              </w:rPr>
            </w:pPr>
          </w:p>
        </w:tc>
      </w:tr>
      <w:tr w14:paraId="731E6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7B745141">
            <w:pPr>
              <w:pStyle w:val="784"/>
              <w:widowControl w:val="0"/>
              <w:spacing w:line="360" w:lineRule="auto"/>
              <w:jc w:val="center"/>
              <w:rPr>
                <w:rFonts w:ascii="宋体" w:hAnsi="宋体" w:cs="宋体"/>
                <w:kern w:val="2"/>
              </w:rPr>
            </w:pPr>
            <w:r>
              <w:rPr>
                <w:rFonts w:hint="eastAsia" w:ascii="宋体" w:hAnsi="宋体" w:cs="宋体"/>
                <w:kern w:val="2"/>
              </w:rPr>
              <w:t>企业资质</w:t>
            </w:r>
          </w:p>
        </w:tc>
        <w:tc>
          <w:tcPr>
            <w:tcW w:w="5088" w:type="dxa"/>
            <w:tcBorders>
              <w:tl2br w:val="nil"/>
              <w:tr2bl w:val="nil"/>
            </w:tcBorders>
            <w:vAlign w:val="center"/>
          </w:tcPr>
          <w:p w14:paraId="325D67AA">
            <w:pPr>
              <w:pStyle w:val="784"/>
              <w:widowControl w:val="0"/>
              <w:spacing w:line="360" w:lineRule="auto"/>
              <w:rPr>
                <w:rFonts w:ascii="宋体" w:hAnsi="宋体" w:cs="宋体"/>
                <w:kern w:val="2"/>
              </w:rPr>
            </w:pPr>
            <w:r>
              <w:rPr>
                <w:rFonts w:hint="eastAsia" w:ascii="宋体" w:hAnsi="宋体" w:cs="宋体"/>
                <w:kern w:val="2"/>
              </w:rPr>
              <w:t>企业资质</w:t>
            </w:r>
          </w:p>
          <w:p w14:paraId="44478CC5">
            <w:pPr>
              <w:pStyle w:val="784"/>
              <w:widowControl w:val="0"/>
              <w:numPr>
                <w:ilvl w:val="0"/>
                <w:numId w:val="3"/>
              </w:numPr>
              <w:spacing w:line="360" w:lineRule="auto"/>
              <w:rPr>
                <w:rFonts w:ascii="宋体" w:hAnsi="宋体" w:cs="宋体"/>
                <w:kern w:val="2"/>
              </w:rPr>
            </w:pPr>
            <w:r>
              <w:rPr>
                <w:rFonts w:hint="eastAsia" w:ascii="宋体" w:hAnsi="宋体" w:cs="宋体"/>
                <w:kern w:val="2"/>
              </w:rPr>
              <w:t>投标人具有在有效期内的ISO20000信息技术服务管理体系认证证书、ISO27001信息安全管理体系认证证书，每提供一个证书得1分，最高得2分。</w:t>
            </w:r>
          </w:p>
          <w:p w14:paraId="0A5B9479">
            <w:pPr>
              <w:pStyle w:val="784"/>
              <w:widowControl w:val="0"/>
              <w:numPr>
                <w:ilvl w:val="0"/>
                <w:numId w:val="3"/>
              </w:numPr>
              <w:spacing w:line="360" w:lineRule="auto"/>
              <w:rPr>
                <w:rFonts w:ascii="宋体" w:hAnsi="宋体" w:cs="宋体"/>
                <w:kern w:val="2"/>
              </w:rPr>
            </w:pPr>
            <w:r>
              <w:rPr>
                <w:rFonts w:hint="eastAsia" w:ascii="宋体" w:hAnsi="宋体" w:cs="宋体"/>
                <w:kern w:val="2"/>
              </w:rPr>
              <w:t>投标人具有“对象存储、云平台网络（云组网）、物理云主机、混合云安全能力”相关的有效期内由中国信息通信研究院等行政事业单位颁发的可信云认证证书，每个0.5分，最高得2分。</w:t>
            </w:r>
          </w:p>
          <w:p w14:paraId="78064AD1">
            <w:pPr>
              <w:pStyle w:val="784"/>
              <w:widowControl w:val="0"/>
              <w:numPr>
                <w:ilvl w:val="0"/>
                <w:numId w:val="0"/>
              </w:numPr>
              <w:spacing w:line="360" w:lineRule="auto"/>
              <w:rPr>
                <w:rFonts w:hint="default" w:ascii="宋体" w:hAnsi="宋体" w:eastAsia="宋体" w:cs="宋体"/>
                <w:kern w:val="2"/>
                <w:lang w:val="en-US" w:eastAsia="zh-CN"/>
              </w:rPr>
            </w:pPr>
            <w:r>
              <w:rPr>
                <w:rFonts w:hint="eastAsia" w:ascii="宋体" w:hAnsi="宋体" w:cs="宋体"/>
                <w:kern w:val="2"/>
                <w:lang w:val="en-US" w:eastAsia="zh-CN"/>
              </w:rPr>
              <w:t>注：提供相关证书复印件或扫描件。</w:t>
            </w:r>
          </w:p>
        </w:tc>
        <w:tc>
          <w:tcPr>
            <w:tcW w:w="730" w:type="dxa"/>
            <w:tcBorders>
              <w:tl2br w:val="nil"/>
              <w:tr2bl w:val="nil"/>
            </w:tcBorders>
            <w:vAlign w:val="center"/>
          </w:tcPr>
          <w:p w14:paraId="59E122F8">
            <w:pPr>
              <w:pStyle w:val="784"/>
              <w:widowControl w:val="0"/>
              <w:spacing w:line="360" w:lineRule="auto"/>
              <w:jc w:val="center"/>
              <w:rPr>
                <w:rFonts w:ascii="宋体" w:hAnsi="宋体" w:cs="宋体"/>
                <w:b/>
                <w:bCs/>
                <w:kern w:val="2"/>
              </w:rPr>
            </w:pPr>
            <w:r>
              <w:rPr>
                <w:rFonts w:hint="eastAsia" w:ascii="宋体" w:hAnsi="宋体" w:cs="宋体"/>
                <w:b/>
                <w:bCs/>
                <w:kern w:val="2"/>
              </w:rPr>
              <w:t>4</w:t>
            </w:r>
          </w:p>
        </w:tc>
        <w:tc>
          <w:tcPr>
            <w:tcW w:w="1126" w:type="dxa"/>
            <w:tcBorders>
              <w:tl2br w:val="nil"/>
              <w:tr2bl w:val="nil"/>
            </w:tcBorders>
            <w:vAlign w:val="center"/>
          </w:tcPr>
          <w:p w14:paraId="0A10E826">
            <w:pPr>
              <w:pStyle w:val="784"/>
              <w:widowControl w:val="0"/>
              <w:spacing w:line="360" w:lineRule="auto"/>
              <w:jc w:val="center"/>
              <w:rPr>
                <w:rFonts w:ascii="宋体" w:hAnsi="宋体" w:cs="宋体"/>
                <w:b/>
                <w:bCs/>
                <w:kern w:val="2"/>
              </w:rPr>
            </w:pPr>
            <w:r>
              <w:rPr>
                <w:rFonts w:hint="eastAsia" w:ascii="宋体" w:hAnsi="宋体" w:cs="宋体"/>
                <w:b/>
                <w:bCs/>
                <w:kern w:val="2"/>
              </w:rPr>
              <w:t>客观分</w:t>
            </w:r>
          </w:p>
        </w:tc>
        <w:tc>
          <w:tcPr>
            <w:tcW w:w="1267" w:type="dxa"/>
            <w:tcBorders>
              <w:tl2br w:val="nil"/>
              <w:tr2bl w:val="nil"/>
            </w:tcBorders>
            <w:vAlign w:val="center"/>
          </w:tcPr>
          <w:p w14:paraId="53C7334A">
            <w:pPr>
              <w:pStyle w:val="784"/>
              <w:widowControl w:val="0"/>
              <w:spacing w:line="360" w:lineRule="auto"/>
              <w:rPr>
                <w:rFonts w:ascii="宋体" w:hAnsi="宋体" w:cs="宋体"/>
                <w:kern w:val="2"/>
                <w:lang w:val="zh-TW" w:eastAsia="zh-TW"/>
              </w:rPr>
            </w:pPr>
          </w:p>
        </w:tc>
      </w:tr>
      <w:tr w14:paraId="2D056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5C35AD90">
            <w:pPr>
              <w:snapToGrid w:val="0"/>
              <w:spacing w:line="360" w:lineRule="auto"/>
              <w:jc w:val="left"/>
              <w:rPr>
                <w:rFonts w:ascii="宋体" w:hAnsi="宋体" w:cs="宋体"/>
                <w:szCs w:val="21"/>
              </w:rPr>
            </w:pPr>
            <w:r>
              <w:rPr>
                <w:rFonts w:hint="eastAsia" w:ascii="宋体" w:hAnsi="宋体" w:cs="宋体"/>
                <w:szCs w:val="21"/>
              </w:rPr>
              <w:t>项目需求分析</w:t>
            </w:r>
          </w:p>
        </w:tc>
        <w:tc>
          <w:tcPr>
            <w:tcW w:w="5088" w:type="dxa"/>
            <w:tcBorders>
              <w:tl2br w:val="nil"/>
              <w:tr2bl w:val="nil"/>
            </w:tcBorders>
            <w:vAlign w:val="center"/>
          </w:tcPr>
          <w:p w14:paraId="1FE42F4D">
            <w:pPr>
              <w:snapToGrid w:val="0"/>
              <w:spacing w:line="360" w:lineRule="auto"/>
              <w:rPr>
                <w:rFonts w:ascii="宋体" w:hAnsi="宋体" w:cs="宋体"/>
                <w:szCs w:val="21"/>
              </w:rPr>
            </w:pPr>
            <w:r>
              <w:rPr>
                <w:rFonts w:hint="eastAsia" w:ascii="宋体" w:hAnsi="宋体" w:cs="宋体"/>
                <w:szCs w:val="21"/>
              </w:rPr>
              <w:t>项目需求分析</w:t>
            </w:r>
          </w:p>
          <w:p w14:paraId="15575102">
            <w:pPr>
              <w:snapToGrid w:val="0"/>
              <w:spacing w:line="360" w:lineRule="auto"/>
              <w:rPr>
                <w:rFonts w:ascii="宋体" w:hAnsi="宋体" w:cs="宋体"/>
                <w:szCs w:val="21"/>
              </w:rPr>
            </w:pPr>
            <w:r>
              <w:rPr>
                <w:rFonts w:hint="eastAsia" w:ascii="宋体" w:hAnsi="宋体" w:cs="宋体"/>
                <w:szCs w:val="21"/>
              </w:rPr>
              <w:t>针对本项目的需求分析是否明确、合理、有针对性以及业务熟悉程度，分析详尽、业务熟悉、针对性强且合理的，得3分；基本合理的，得2分；分析不全面或合理性有欠缺的，得1分；未提供或完全不符的，不得分。</w:t>
            </w:r>
          </w:p>
        </w:tc>
        <w:tc>
          <w:tcPr>
            <w:tcW w:w="730" w:type="dxa"/>
            <w:tcBorders>
              <w:tl2br w:val="nil"/>
              <w:tr2bl w:val="nil"/>
            </w:tcBorders>
            <w:vAlign w:val="center"/>
          </w:tcPr>
          <w:p w14:paraId="316B060C">
            <w:pPr>
              <w:pStyle w:val="784"/>
              <w:widowControl w:val="0"/>
              <w:spacing w:line="360" w:lineRule="auto"/>
              <w:jc w:val="center"/>
              <w:rPr>
                <w:rFonts w:ascii="宋体" w:hAnsi="宋体" w:cs="宋体"/>
                <w:b/>
                <w:bCs/>
                <w:kern w:val="2"/>
              </w:rPr>
            </w:pPr>
            <w:r>
              <w:rPr>
                <w:rFonts w:hint="eastAsia" w:ascii="宋体" w:hAnsi="宋体" w:cs="宋体"/>
                <w:b/>
                <w:bCs/>
                <w:kern w:val="2"/>
              </w:rPr>
              <w:t>3</w:t>
            </w:r>
          </w:p>
        </w:tc>
        <w:tc>
          <w:tcPr>
            <w:tcW w:w="1126" w:type="dxa"/>
            <w:tcBorders>
              <w:tl2br w:val="nil"/>
              <w:tr2bl w:val="nil"/>
            </w:tcBorders>
            <w:vAlign w:val="center"/>
          </w:tcPr>
          <w:p w14:paraId="11AC9A74">
            <w:pPr>
              <w:pStyle w:val="784"/>
              <w:widowControl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tcBorders>
              <w:tl2br w:val="nil"/>
              <w:tr2bl w:val="nil"/>
            </w:tcBorders>
            <w:vAlign w:val="center"/>
          </w:tcPr>
          <w:p w14:paraId="0C0B46D5">
            <w:pPr>
              <w:pStyle w:val="784"/>
              <w:widowControl w:val="0"/>
              <w:spacing w:line="360" w:lineRule="auto"/>
              <w:rPr>
                <w:rFonts w:ascii="宋体" w:hAnsi="宋体" w:cs="宋体"/>
                <w:kern w:val="2"/>
                <w:lang w:val="zh-TW" w:eastAsia="zh-TW"/>
              </w:rPr>
            </w:pPr>
          </w:p>
        </w:tc>
      </w:tr>
      <w:tr w14:paraId="679FC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6742E83F">
            <w:pPr>
              <w:pStyle w:val="784"/>
              <w:widowControl w:val="0"/>
              <w:spacing w:line="360" w:lineRule="auto"/>
              <w:jc w:val="center"/>
              <w:rPr>
                <w:rFonts w:ascii="宋体" w:hAnsi="宋体" w:cs="宋体"/>
                <w:kern w:val="2"/>
              </w:rPr>
            </w:pPr>
            <w:r>
              <w:rPr>
                <w:rFonts w:hint="eastAsia" w:ascii="宋体" w:hAnsi="宋体" w:cs="宋体"/>
              </w:rPr>
              <w:t>重难点分析</w:t>
            </w:r>
          </w:p>
        </w:tc>
        <w:tc>
          <w:tcPr>
            <w:tcW w:w="5088" w:type="dxa"/>
            <w:tcBorders>
              <w:tl2br w:val="nil"/>
              <w:tr2bl w:val="nil"/>
            </w:tcBorders>
            <w:vAlign w:val="center"/>
          </w:tcPr>
          <w:p w14:paraId="4FE10C60">
            <w:pPr>
              <w:pStyle w:val="784"/>
              <w:widowControl w:val="0"/>
              <w:spacing w:line="360" w:lineRule="auto"/>
              <w:rPr>
                <w:rFonts w:ascii="宋体" w:hAnsi="宋体" w:cs="宋体"/>
              </w:rPr>
            </w:pPr>
            <w:r>
              <w:rPr>
                <w:rFonts w:hint="eastAsia" w:ascii="宋体" w:hAnsi="宋体" w:cs="宋体"/>
              </w:rPr>
              <w:t>重难点分析</w:t>
            </w:r>
          </w:p>
          <w:p w14:paraId="78186FC7">
            <w:pPr>
              <w:pStyle w:val="784"/>
              <w:widowControl w:val="0"/>
              <w:spacing w:line="360" w:lineRule="auto"/>
              <w:rPr>
                <w:rFonts w:ascii="宋体" w:hAnsi="宋体" w:cs="宋体"/>
              </w:rPr>
            </w:pPr>
            <w:r>
              <w:rPr>
                <w:rFonts w:hint="eastAsia" w:ascii="宋体" w:hAnsi="宋体" w:cs="宋体"/>
                <w:lang w:val="zh-TW"/>
              </w:rPr>
              <w:t>（</w:t>
            </w:r>
            <w:r>
              <w:rPr>
                <w:rFonts w:hint="eastAsia" w:ascii="宋体" w:hAnsi="宋体" w:cs="宋体"/>
              </w:rPr>
              <w:t>1</w:t>
            </w:r>
            <w:r>
              <w:rPr>
                <w:rFonts w:hint="eastAsia" w:ascii="宋体" w:hAnsi="宋体" w:cs="宋体"/>
                <w:lang w:val="zh-TW"/>
              </w:rPr>
              <w:t>）投标人结合项目需求情况及</w:t>
            </w:r>
            <w:r>
              <w:rPr>
                <w:rFonts w:hint="eastAsia" w:ascii="宋体" w:hAnsi="宋体" w:cs="宋体"/>
              </w:rPr>
              <w:t>服务内容</w:t>
            </w:r>
            <w:r>
              <w:rPr>
                <w:rFonts w:hint="eastAsia" w:ascii="宋体" w:hAnsi="宋体" w:cs="宋体"/>
                <w:lang w:val="zh-TW"/>
              </w:rPr>
              <w:t>等</w:t>
            </w:r>
            <w:r>
              <w:rPr>
                <w:rFonts w:hint="eastAsia" w:ascii="宋体" w:hAnsi="宋体" w:cs="宋体"/>
              </w:rPr>
              <w:t>进行分析</w:t>
            </w:r>
            <w:r>
              <w:rPr>
                <w:rFonts w:hint="eastAsia" w:ascii="宋体" w:hAnsi="宋体" w:cs="宋体"/>
                <w:lang w:val="zh-TW"/>
              </w:rPr>
              <w:t>，提出针对本项目的理解描述及难点分析，</w:t>
            </w:r>
            <w:r>
              <w:rPr>
                <w:rFonts w:hint="eastAsia" w:ascii="宋体" w:hAnsi="宋体" w:cs="宋体"/>
                <w:bCs/>
              </w:rPr>
              <w:t>具有针对性、符合本项目实际需求得3分，针对性一般、基本符合项目实际得2分，</w:t>
            </w:r>
            <w:r>
              <w:rPr>
                <w:rFonts w:hint="eastAsia" w:ascii="宋体" w:hAnsi="宋体" w:cs="宋体"/>
              </w:rPr>
              <w:t>内容缺失、无针对性的得1分，不提供不得分。</w:t>
            </w:r>
          </w:p>
          <w:p w14:paraId="4E82BBD9">
            <w:pPr>
              <w:pStyle w:val="784"/>
              <w:widowControl w:val="0"/>
              <w:spacing w:line="360" w:lineRule="auto"/>
              <w:rPr>
                <w:rFonts w:ascii="宋体" w:hAnsi="宋体" w:cs="宋体"/>
              </w:rPr>
            </w:pPr>
            <w:r>
              <w:rPr>
                <w:rFonts w:hint="eastAsia" w:ascii="宋体" w:hAnsi="宋体" w:cs="宋体"/>
              </w:rPr>
              <w:t>（2）针对重难点</w:t>
            </w:r>
            <w:r>
              <w:rPr>
                <w:rFonts w:hint="eastAsia" w:ascii="宋体" w:hAnsi="宋体" w:cs="宋体"/>
                <w:lang w:val="zh-TW"/>
              </w:rPr>
              <w:t>提供了对应完善解决方案的得</w:t>
            </w:r>
            <w:r>
              <w:rPr>
                <w:rFonts w:hint="eastAsia" w:ascii="宋体" w:hAnsi="宋体" w:cs="宋体"/>
              </w:rPr>
              <w:t>2</w:t>
            </w:r>
            <w:r>
              <w:rPr>
                <w:rFonts w:hint="eastAsia" w:ascii="宋体" w:hAnsi="宋体" w:cs="宋体"/>
                <w:lang w:val="zh-TW"/>
              </w:rPr>
              <w:t>分；解决方案</w:t>
            </w:r>
            <w:r>
              <w:rPr>
                <w:rFonts w:hint="eastAsia" w:ascii="宋体" w:hAnsi="宋体" w:cs="宋体"/>
              </w:rPr>
              <w:t>基本合理可行</w:t>
            </w:r>
            <w:r>
              <w:rPr>
                <w:rFonts w:hint="eastAsia" w:ascii="宋体" w:hAnsi="宋体" w:cs="宋体"/>
                <w:lang w:val="zh-TW"/>
              </w:rPr>
              <w:t>得</w:t>
            </w:r>
            <w:r>
              <w:rPr>
                <w:rFonts w:hint="eastAsia" w:ascii="宋体" w:hAnsi="宋体" w:cs="宋体"/>
              </w:rPr>
              <w:t>1</w:t>
            </w:r>
            <w:r>
              <w:rPr>
                <w:rFonts w:hint="eastAsia" w:ascii="宋体" w:hAnsi="宋体" w:cs="宋体"/>
                <w:lang w:val="zh-TW"/>
              </w:rPr>
              <w:t>分</w:t>
            </w:r>
            <w:r>
              <w:rPr>
                <w:rFonts w:hint="eastAsia" w:ascii="宋体" w:hAnsi="宋体" w:cs="宋体"/>
                <w:bCs/>
              </w:rPr>
              <w:t>，其余不得分。</w:t>
            </w:r>
          </w:p>
        </w:tc>
        <w:tc>
          <w:tcPr>
            <w:tcW w:w="730" w:type="dxa"/>
            <w:tcBorders>
              <w:tl2br w:val="nil"/>
              <w:tr2bl w:val="nil"/>
            </w:tcBorders>
            <w:vAlign w:val="center"/>
          </w:tcPr>
          <w:p w14:paraId="6935C1E8">
            <w:pPr>
              <w:pStyle w:val="784"/>
              <w:widowControl w:val="0"/>
              <w:spacing w:line="360" w:lineRule="auto"/>
              <w:jc w:val="center"/>
              <w:rPr>
                <w:rFonts w:ascii="宋体" w:hAnsi="宋体" w:cs="宋体"/>
                <w:b/>
                <w:bCs/>
                <w:kern w:val="2"/>
              </w:rPr>
            </w:pPr>
            <w:r>
              <w:rPr>
                <w:rFonts w:hint="eastAsia" w:ascii="宋体" w:hAnsi="宋体" w:cs="宋体"/>
                <w:b/>
                <w:bCs/>
                <w:kern w:val="2"/>
              </w:rPr>
              <w:t>5</w:t>
            </w:r>
          </w:p>
        </w:tc>
        <w:tc>
          <w:tcPr>
            <w:tcW w:w="1126" w:type="dxa"/>
            <w:tcBorders>
              <w:tl2br w:val="nil"/>
              <w:tr2bl w:val="nil"/>
            </w:tcBorders>
            <w:vAlign w:val="center"/>
          </w:tcPr>
          <w:p w14:paraId="6CD885EA">
            <w:pPr>
              <w:pStyle w:val="784"/>
              <w:widowControl w:val="0"/>
              <w:spacing w:line="360" w:lineRule="auto"/>
              <w:jc w:val="center"/>
              <w:rPr>
                <w:rFonts w:ascii="宋体" w:hAnsi="宋体" w:cs="宋体"/>
                <w:b/>
                <w:bCs/>
              </w:rPr>
            </w:pPr>
            <w:r>
              <w:rPr>
                <w:rFonts w:hint="eastAsia" w:ascii="宋体" w:hAnsi="宋体" w:cs="宋体"/>
                <w:b/>
                <w:bCs/>
                <w:kern w:val="2"/>
              </w:rPr>
              <w:t>主观分</w:t>
            </w:r>
          </w:p>
        </w:tc>
        <w:tc>
          <w:tcPr>
            <w:tcW w:w="1267" w:type="dxa"/>
            <w:tcBorders>
              <w:tl2br w:val="nil"/>
              <w:tr2bl w:val="nil"/>
            </w:tcBorders>
            <w:vAlign w:val="center"/>
          </w:tcPr>
          <w:p w14:paraId="0DC1BF22">
            <w:pPr>
              <w:pStyle w:val="784"/>
              <w:widowControl w:val="0"/>
              <w:spacing w:line="360" w:lineRule="auto"/>
              <w:rPr>
                <w:rFonts w:ascii="宋体" w:hAnsi="宋体" w:cs="宋体"/>
                <w:kern w:val="2"/>
                <w:lang w:val="zh-TW" w:eastAsia="zh-TW"/>
              </w:rPr>
            </w:pPr>
          </w:p>
        </w:tc>
      </w:tr>
      <w:tr w14:paraId="34F9A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487C749E">
            <w:pPr>
              <w:pStyle w:val="784"/>
              <w:widowControl w:val="0"/>
              <w:spacing w:line="360" w:lineRule="auto"/>
              <w:jc w:val="center"/>
              <w:rPr>
                <w:rFonts w:ascii="宋体" w:hAnsi="宋体" w:cs="宋体"/>
                <w:kern w:val="2"/>
              </w:rPr>
            </w:pPr>
            <w:r>
              <w:rPr>
                <w:rFonts w:hint="eastAsia" w:ascii="宋体" w:hAnsi="宋体" w:cs="宋体"/>
              </w:rPr>
              <w:t>政务云平台</w:t>
            </w:r>
          </w:p>
        </w:tc>
        <w:tc>
          <w:tcPr>
            <w:tcW w:w="5088" w:type="dxa"/>
            <w:tcBorders>
              <w:tl2br w:val="nil"/>
              <w:tr2bl w:val="nil"/>
            </w:tcBorders>
            <w:vAlign w:val="center"/>
          </w:tcPr>
          <w:p w14:paraId="7F2B2B40">
            <w:pPr>
              <w:widowControl/>
              <w:spacing w:line="360" w:lineRule="auto"/>
              <w:rPr>
                <w:rFonts w:ascii="宋体" w:hAnsi="宋体" w:cs="宋体"/>
                <w:kern w:val="0"/>
                <w:szCs w:val="21"/>
              </w:rPr>
            </w:pPr>
            <w:r>
              <w:rPr>
                <w:rFonts w:hint="eastAsia" w:ascii="宋体" w:hAnsi="宋体" w:cs="宋体"/>
                <w:kern w:val="0"/>
                <w:szCs w:val="21"/>
              </w:rPr>
              <w:t>政务云平台</w:t>
            </w:r>
          </w:p>
          <w:p w14:paraId="393DAB1F">
            <w:pPr>
              <w:widowControl/>
              <w:spacing w:line="360" w:lineRule="auto"/>
              <w:rPr>
                <w:rFonts w:ascii="宋体" w:hAnsi="宋体" w:cs="宋体"/>
                <w:szCs w:val="21"/>
              </w:rPr>
            </w:pPr>
            <w:r>
              <w:rPr>
                <w:rFonts w:hint="eastAsia" w:ascii="宋体" w:hAnsi="宋体" w:cs="宋体"/>
                <w:kern w:val="0"/>
                <w:szCs w:val="21"/>
              </w:rPr>
              <w:t>投标人所投的政务云平台，基础云资源具有以下能力：1）具有云计算服务器服务，可提供物理核不小于8000核，内存不小于90T的云计算服务器能力；2）具有云数据库（含MySQL、SQL Server等）服务，且内存不小于20T；3）具有非结构化云存储，且裸容量不小于7000T。每项符合得1分，不符合不得分，最高得3分。</w:t>
            </w:r>
            <w:r>
              <w:rPr>
                <w:rFonts w:hint="eastAsia" w:ascii="宋体" w:hAnsi="宋体" w:cs="宋体"/>
                <w:kern w:val="0"/>
                <w:szCs w:val="21"/>
                <w:lang w:val="en-US" w:eastAsia="zh-CN"/>
              </w:rPr>
              <w:t>注：</w:t>
            </w:r>
            <w:r>
              <w:rPr>
                <w:rFonts w:hint="eastAsia" w:ascii="宋体" w:hAnsi="宋体" w:cs="宋体"/>
                <w:kern w:val="0"/>
                <w:szCs w:val="21"/>
              </w:rPr>
              <w:t>需要提供证明材料，不提供不得分。</w:t>
            </w:r>
          </w:p>
        </w:tc>
        <w:tc>
          <w:tcPr>
            <w:tcW w:w="730" w:type="dxa"/>
            <w:tcBorders>
              <w:tl2br w:val="nil"/>
              <w:tr2bl w:val="nil"/>
            </w:tcBorders>
            <w:vAlign w:val="center"/>
          </w:tcPr>
          <w:p w14:paraId="0FBD3973">
            <w:pPr>
              <w:widowControl/>
              <w:spacing w:line="360" w:lineRule="auto"/>
              <w:jc w:val="center"/>
              <w:rPr>
                <w:rFonts w:ascii="宋体" w:hAnsi="宋体" w:cs="宋体"/>
                <w:b/>
                <w:bCs/>
                <w:szCs w:val="21"/>
              </w:rPr>
            </w:pPr>
            <w:r>
              <w:rPr>
                <w:rFonts w:hint="eastAsia" w:ascii="宋体" w:hAnsi="宋体" w:cs="宋体"/>
                <w:b/>
                <w:bCs/>
                <w:kern w:val="0"/>
                <w:szCs w:val="21"/>
              </w:rPr>
              <w:t>3</w:t>
            </w:r>
          </w:p>
        </w:tc>
        <w:tc>
          <w:tcPr>
            <w:tcW w:w="1126" w:type="dxa"/>
            <w:tcBorders>
              <w:tl2br w:val="nil"/>
              <w:tr2bl w:val="nil"/>
            </w:tcBorders>
            <w:vAlign w:val="center"/>
          </w:tcPr>
          <w:p w14:paraId="56D65E3E">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36470FF6">
            <w:pPr>
              <w:pStyle w:val="784"/>
              <w:widowControl w:val="0"/>
              <w:spacing w:line="360" w:lineRule="auto"/>
              <w:rPr>
                <w:rFonts w:ascii="宋体" w:hAnsi="宋体" w:cs="宋体"/>
                <w:kern w:val="2"/>
                <w:lang w:val="zh-TW" w:eastAsia="zh-TW"/>
              </w:rPr>
            </w:pPr>
          </w:p>
        </w:tc>
      </w:tr>
      <w:tr w14:paraId="1A30B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554A46D5">
            <w:pPr>
              <w:pStyle w:val="784"/>
              <w:widowControl w:val="0"/>
              <w:spacing w:line="360" w:lineRule="auto"/>
              <w:jc w:val="center"/>
              <w:rPr>
                <w:rFonts w:ascii="宋体" w:hAnsi="宋体" w:cs="宋体"/>
                <w:kern w:val="2"/>
              </w:rPr>
            </w:pPr>
            <w:r>
              <w:rPr>
                <w:rFonts w:hint="eastAsia" w:ascii="宋体" w:hAnsi="宋体" w:cs="宋体"/>
              </w:rPr>
              <w:t>迁移预案</w:t>
            </w:r>
          </w:p>
        </w:tc>
        <w:tc>
          <w:tcPr>
            <w:tcW w:w="5088" w:type="dxa"/>
            <w:tcBorders>
              <w:tl2br w:val="nil"/>
              <w:tr2bl w:val="nil"/>
            </w:tcBorders>
            <w:vAlign w:val="center"/>
          </w:tcPr>
          <w:p w14:paraId="4F8BCF84">
            <w:pPr>
              <w:widowControl/>
              <w:spacing w:line="360" w:lineRule="auto"/>
              <w:rPr>
                <w:rFonts w:ascii="宋体" w:hAnsi="宋体" w:cs="宋体"/>
                <w:kern w:val="0"/>
                <w:szCs w:val="21"/>
              </w:rPr>
            </w:pPr>
            <w:r>
              <w:rPr>
                <w:rFonts w:hint="eastAsia" w:ascii="宋体" w:hAnsi="宋体" w:cs="宋体"/>
                <w:kern w:val="0"/>
                <w:szCs w:val="21"/>
              </w:rPr>
              <w:t>迁移预案</w:t>
            </w:r>
          </w:p>
          <w:p w14:paraId="419619E0">
            <w:pPr>
              <w:widowControl/>
              <w:spacing w:line="360" w:lineRule="auto"/>
              <w:rPr>
                <w:rFonts w:ascii="宋体" w:hAnsi="宋体" w:cs="宋体"/>
                <w:szCs w:val="21"/>
              </w:rPr>
            </w:pPr>
            <w:r>
              <w:rPr>
                <w:rFonts w:hint="eastAsia" w:ascii="宋体" w:hAnsi="宋体" w:cs="宋体"/>
                <w:kern w:val="0"/>
                <w:szCs w:val="21"/>
              </w:rPr>
              <w:t>本项目政务云及信创云服务采用租用方式，各系统资源或数据属于采购人。上述系统资源或数据在现有平台运行，也可在转移到中标人提供的平台运行。运行在现有电子政务专用云平台的应用系统如需要转移的，投标人应可以提供完整的一键式迁移预案，保证现有系统可以无缝迁移到新平台上，且不会对应用产生影响。预案合理可行、有针对性、且不会对应用产生影响的得3分；预案基本合理可行、针对性一般、会对应用产生一定影响的得2分；预案无针对性、对应用有较大影响的得1分，不提供不得分。</w:t>
            </w:r>
          </w:p>
        </w:tc>
        <w:tc>
          <w:tcPr>
            <w:tcW w:w="730" w:type="dxa"/>
            <w:tcBorders>
              <w:tl2br w:val="nil"/>
              <w:tr2bl w:val="nil"/>
            </w:tcBorders>
            <w:vAlign w:val="center"/>
          </w:tcPr>
          <w:p w14:paraId="0AD01C93">
            <w:pPr>
              <w:widowControl/>
              <w:spacing w:line="360" w:lineRule="auto"/>
              <w:jc w:val="center"/>
              <w:rPr>
                <w:rFonts w:ascii="宋体" w:hAnsi="宋体" w:cs="宋体"/>
                <w:b/>
                <w:bCs/>
                <w:szCs w:val="21"/>
              </w:rPr>
            </w:pPr>
            <w:r>
              <w:rPr>
                <w:rFonts w:hint="eastAsia" w:ascii="宋体" w:hAnsi="宋体" w:cs="宋体"/>
                <w:b/>
                <w:bCs/>
                <w:kern w:val="0"/>
                <w:szCs w:val="21"/>
              </w:rPr>
              <w:t>3</w:t>
            </w:r>
          </w:p>
        </w:tc>
        <w:tc>
          <w:tcPr>
            <w:tcW w:w="1126" w:type="dxa"/>
            <w:tcBorders>
              <w:tl2br w:val="nil"/>
              <w:tr2bl w:val="nil"/>
            </w:tcBorders>
            <w:vAlign w:val="center"/>
          </w:tcPr>
          <w:p w14:paraId="048FB734">
            <w:pPr>
              <w:pStyle w:val="784"/>
              <w:widowControl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tcBorders>
              <w:tl2br w:val="nil"/>
              <w:tr2bl w:val="nil"/>
            </w:tcBorders>
            <w:vAlign w:val="center"/>
          </w:tcPr>
          <w:p w14:paraId="56C3C3C2">
            <w:pPr>
              <w:pStyle w:val="784"/>
              <w:widowControl w:val="0"/>
              <w:spacing w:line="360" w:lineRule="auto"/>
              <w:rPr>
                <w:rFonts w:ascii="宋体" w:hAnsi="宋体" w:cs="宋体"/>
                <w:kern w:val="2"/>
                <w:lang w:val="zh-TW" w:eastAsia="zh-TW"/>
              </w:rPr>
            </w:pPr>
          </w:p>
        </w:tc>
      </w:tr>
      <w:tr w14:paraId="001D3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363B78D2">
            <w:pPr>
              <w:pStyle w:val="784"/>
              <w:widowControl w:val="0"/>
              <w:spacing w:line="360" w:lineRule="auto"/>
              <w:jc w:val="center"/>
              <w:rPr>
                <w:rFonts w:ascii="宋体" w:hAnsi="宋体" w:cs="宋体"/>
                <w:kern w:val="2"/>
              </w:rPr>
            </w:pPr>
            <w:r>
              <w:rPr>
                <w:rFonts w:hint="eastAsia" w:ascii="宋体" w:hAnsi="宋体" w:cs="宋体"/>
              </w:rPr>
              <w:t>安全架构方案</w:t>
            </w:r>
          </w:p>
        </w:tc>
        <w:tc>
          <w:tcPr>
            <w:tcW w:w="5088" w:type="dxa"/>
            <w:tcBorders>
              <w:tl2br w:val="nil"/>
              <w:tr2bl w:val="nil"/>
            </w:tcBorders>
            <w:vAlign w:val="center"/>
          </w:tcPr>
          <w:p w14:paraId="49F50275">
            <w:pPr>
              <w:pStyle w:val="784"/>
              <w:widowControl w:val="0"/>
              <w:spacing w:line="360" w:lineRule="auto"/>
              <w:rPr>
                <w:rFonts w:ascii="宋体" w:hAnsi="宋体" w:cs="宋体"/>
              </w:rPr>
            </w:pPr>
            <w:r>
              <w:rPr>
                <w:rFonts w:hint="eastAsia" w:ascii="宋体" w:hAnsi="宋体" w:cs="宋体"/>
              </w:rPr>
              <w:t>安全架构方案</w:t>
            </w:r>
          </w:p>
          <w:p w14:paraId="23A5214B">
            <w:pPr>
              <w:pStyle w:val="784"/>
              <w:widowControl w:val="0"/>
              <w:spacing w:line="360" w:lineRule="auto"/>
              <w:rPr>
                <w:rFonts w:ascii="宋体" w:hAnsi="宋体" w:cs="宋体"/>
              </w:rPr>
            </w:pPr>
            <w:r>
              <w:rPr>
                <w:rFonts w:hint="eastAsia" w:ascii="宋体" w:hAnsi="宋体" w:cs="宋体"/>
              </w:rPr>
              <w:t>投标人对平台的安全架构有详细阐述，在平台级别有完善的安全机制。安全架构和安全机制有效、科学、全面、有针对性的得3分；基本全面、针对性一般的得2分；内容缺失、无针对性的得1分，不提供不得分。</w:t>
            </w:r>
          </w:p>
        </w:tc>
        <w:tc>
          <w:tcPr>
            <w:tcW w:w="730" w:type="dxa"/>
            <w:tcBorders>
              <w:tl2br w:val="nil"/>
              <w:tr2bl w:val="nil"/>
            </w:tcBorders>
            <w:vAlign w:val="center"/>
          </w:tcPr>
          <w:p w14:paraId="0B6E8515">
            <w:pPr>
              <w:pStyle w:val="784"/>
              <w:widowControl w:val="0"/>
              <w:spacing w:line="360" w:lineRule="auto"/>
              <w:jc w:val="center"/>
              <w:rPr>
                <w:rFonts w:ascii="宋体" w:hAnsi="宋体" w:cs="宋体"/>
                <w:b/>
                <w:bCs/>
                <w:kern w:val="2"/>
              </w:rPr>
            </w:pPr>
            <w:r>
              <w:rPr>
                <w:rFonts w:hint="eastAsia" w:ascii="宋体" w:hAnsi="宋体" w:cs="宋体"/>
                <w:b/>
                <w:bCs/>
                <w:kern w:val="2"/>
              </w:rPr>
              <w:t>3</w:t>
            </w:r>
          </w:p>
        </w:tc>
        <w:tc>
          <w:tcPr>
            <w:tcW w:w="1126" w:type="dxa"/>
            <w:tcBorders>
              <w:tl2br w:val="nil"/>
              <w:tr2bl w:val="nil"/>
            </w:tcBorders>
            <w:vAlign w:val="center"/>
          </w:tcPr>
          <w:p w14:paraId="41D15E9E">
            <w:pPr>
              <w:pStyle w:val="784"/>
              <w:widowControl w:val="0"/>
              <w:spacing w:line="360" w:lineRule="auto"/>
              <w:jc w:val="center"/>
              <w:rPr>
                <w:rFonts w:ascii="宋体" w:hAnsi="宋体" w:cs="宋体"/>
                <w:b/>
                <w:bCs/>
                <w:kern w:val="2"/>
              </w:rPr>
            </w:pPr>
            <w:r>
              <w:rPr>
                <w:rFonts w:hint="eastAsia" w:ascii="宋体" w:hAnsi="宋体" w:cs="宋体"/>
                <w:b/>
                <w:bCs/>
                <w:kern w:val="2"/>
              </w:rPr>
              <w:t>主观分</w:t>
            </w:r>
          </w:p>
        </w:tc>
        <w:tc>
          <w:tcPr>
            <w:tcW w:w="1267" w:type="dxa"/>
            <w:tcBorders>
              <w:tl2br w:val="nil"/>
              <w:tr2bl w:val="nil"/>
            </w:tcBorders>
            <w:vAlign w:val="center"/>
          </w:tcPr>
          <w:p w14:paraId="27034D29">
            <w:pPr>
              <w:pStyle w:val="784"/>
              <w:widowControl w:val="0"/>
              <w:spacing w:line="360" w:lineRule="auto"/>
              <w:rPr>
                <w:rFonts w:ascii="宋体" w:hAnsi="宋体" w:cs="宋体"/>
                <w:kern w:val="2"/>
                <w:lang w:val="zh-TW" w:eastAsia="zh-TW"/>
              </w:rPr>
            </w:pPr>
          </w:p>
        </w:tc>
      </w:tr>
      <w:tr w14:paraId="629E1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1F96EBA7">
            <w:pPr>
              <w:pStyle w:val="784"/>
              <w:widowControl w:val="0"/>
              <w:spacing w:line="360" w:lineRule="auto"/>
              <w:jc w:val="center"/>
              <w:rPr>
                <w:rFonts w:ascii="宋体" w:hAnsi="宋体" w:cs="宋体"/>
                <w:kern w:val="2"/>
              </w:rPr>
            </w:pPr>
            <w:r>
              <w:rPr>
                <w:rFonts w:hint="eastAsia" w:ascii="宋体" w:hAnsi="宋体" w:cs="宋体"/>
              </w:rPr>
              <w:t>网络安全防护能力</w:t>
            </w:r>
          </w:p>
        </w:tc>
        <w:tc>
          <w:tcPr>
            <w:tcW w:w="5088" w:type="dxa"/>
            <w:tcBorders>
              <w:tl2br w:val="nil"/>
              <w:tr2bl w:val="nil"/>
            </w:tcBorders>
            <w:vAlign w:val="center"/>
          </w:tcPr>
          <w:p w14:paraId="229A2066">
            <w:pPr>
              <w:pStyle w:val="784"/>
              <w:widowControl w:val="0"/>
              <w:spacing w:line="360" w:lineRule="auto"/>
              <w:rPr>
                <w:rFonts w:ascii="宋体" w:hAnsi="宋体" w:cs="宋体"/>
              </w:rPr>
            </w:pPr>
            <w:r>
              <w:rPr>
                <w:rFonts w:hint="eastAsia" w:ascii="宋体" w:hAnsi="宋体" w:cs="宋体"/>
              </w:rPr>
              <w:t>网络安全防护能力</w:t>
            </w:r>
          </w:p>
          <w:p w14:paraId="58591018">
            <w:pPr>
              <w:pStyle w:val="784"/>
              <w:widowControl w:val="0"/>
              <w:spacing w:line="360" w:lineRule="auto"/>
              <w:rPr>
                <w:rFonts w:ascii="宋体" w:hAnsi="宋体" w:cs="宋体"/>
              </w:rPr>
            </w:pPr>
            <w:r>
              <w:rPr>
                <w:rFonts w:hint="eastAsia" w:ascii="宋体" w:hAnsi="宋体" w:cs="宋体"/>
              </w:rPr>
              <w:t>投标人具有分布式的近源网络安全防护能力，其防护能力需要提供具有CMA或CNAS标识的检测报告复印件。该能力为投标人自有得3分，非自有得1分，不提供不得分。</w:t>
            </w:r>
          </w:p>
        </w:tc>
        <w:tc>
          <w:tcPr>
            <w:tcW w:w="730" w:type="dxa"/>
            <w:tcBorders>
              <w:tl2br w:val="nil"/>
              <w:tr2bl w:val="nil"/>
            </w:tcBorders>
            <w:vAlign w:val="center"/>
          </w:tcPr>
          <w:p w14:paraId="026EADB5">
            <w:pPr>
              <w:pStyle w:val="784"/>
              <w:widowControl w:val="0"/>
              <w:spacing w:line="360" w:lineRule="auto"/>
              <w:jc w:val="center"/>
              <w:rPr>
                <w:rFonts w:ascii="宋体" w:hAnsi="宋体" w:cs="宋体"/>
                <w:b/>
                <w:bCs/>
              </w:rPr>
            </w:pPr>
            <w:r>
              <w:rPr>
                <w:rFonts w:hint="eastAsia" w:ascii="宋体" w:hAnsi="宋体" w:cs="宋体"/>
                <w:b/>
                <w:bCs/>
              </w:rPr>
              <w:t>3</w:t>
            </w:r>
          </w:p>
        </w:tc>
        <w:tc>
          <w:tcPr>
            <w:tcW w:w="1126" w:type="dxa"/>
            <w:tcBorders>
              <w:tl2br w:val="nil"/>
              <w:tr2bl w:val="nil"/>
            </w:tcBorders>
            <w:vAlign w:val="center"/>
          </w:tcPr>
          <w:p w14:paraId="60BC0D9D">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75F84070">
            <w:pPr>
              <w:pStyle w:val="784"/>
              <w:widowControl w:val="0"/>
              <w:spacing w:line="360" w:lineRule="auto"/>
              <w:rPr>
                <w:rFonts w:ascii="宋体" w:hAnsi="宋体" w:cs="宋体"/>
              </w:rPr>
            </w:pPr>
          </w:p>
        </w:tc>
      </w:tr>
      <w:tr w14:paraId="11364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5C90C58A">
            <w:pPr>
              <w:pStyle w:val="784"/>
              <w:widowControl w:val="0"/>
              <w:spacing w:line="360" w:lineRule="auto"/>
              <w:jc w:val="center"/>
              <w:rPr>
                <w:rFonts w:ascii="宋体" w:hAnsi="宋体" w:cs="宋体"/>
                <w:kern w:val="2"/>
              </w:rPr>
            </w:pPr>
            <w:r>
              <w:rPr>
                <w:rFonts w:hint="eastAsia" w:ascii="宋体" w:hAnsi="宋体" w:cs="宋体"/>
              </w:rPr>
              <w:t>政务云云计算平台信息系统安全等级保护测评</w:t>
            </w:r>
          </w:p>
        </w:tc>
        <w:tc>
          <w:tcPr>
            <w:tcW w:w="5088" w:type="dxa"/>
            <w:tcBorders>
              <w:tl2br w:val="nil"/>
              <w:tr2bl w:val="nil"/>
            </w:tcBorders>
            <w:vAlign w:val="center"/>
          </w:tcPr>
          <w:p w14:paraId="7321732D">
            <w:pPr>
              <w:pStyle w:val="784"/>
              <w:widowControl w:val="0"/>
              <w:spacing w:line="360" w:lineRule="auto"/>
              <w:rPr>
                <w:rFonts w:ascii="宋体" w:hAnsi="宋体" w:cs="宋体"/>
              </w:rPr>
            </w:pPr>
            <w:r>
              <w:rPr>
                <w:rFonts w:hint="eastAsia" w:ascii="宋体" w:hAnsi="宋体" w:cs="宋体"/>
              </w:rPr>
              <w:t>政务云云计算平台信息系统安全等级保护测评</w:t>
            </w:r>
          </w:p>
          <w:p w14:paraId="07D028FC">
            <w:pPr>
              <w:pStyle w:val="784"/>
              <w:widowControl w:val="0"/>
              <w:spacing w:line="360" w:lineRule="auto"/>
              <w:rPr>
                <w:rFonts w:ascii="宋体" w:hAnsi="宋体" w:cs="宋体"/>
              </w:rPr>
            </w:pPr>
            <w:r>
              <w:rPr>
                <w:rFonts w:hint="eastAsia" w:ascii="宋体" w:hAnsi="宋体" w:cs="宋体"/>
              </w:rPr>
              <w:t>投标人所投政务云云计算平台，包括①基础网络系统、②云计算及存储系统、③数据库系统、④云安全服务系统⑤中间件及大数据系统，上述5个主要系统需通过信息系统安全等级保护2.0三级测评，可提供等保测评报告。</w:t>
            </w:r>
          </w:p>
          <w:p w14:paraId="4C131C90">
            <w:pPr>
              <w:pStyle w:val="784"/>
              <w:widowControl w:val="0"/>
              <w:spacing w:line="360" w:lineRule="auto"/>
              <w:rPr>
                <w:rFonts w:ascii="宋体" w:hAnsi="宋体" w:cs="宋体"/>
              </w:rPr>
            </w:pPr>
            <w:r>
              <w:rPr>
                <w:rFonts w:hint="eastAsia" w:ascii="宋体" w:hAnsi="宋体" w:cs="宋体"/>
              </w:rPr>
              <w:t>每项等保测评分数90分以上得1分；等保测评分数80-90分（不含90）得0.75分；等保测评分数70-80分（不含80）得0.5分；等保测评分数60-70分（不含70）得0.25分。本项最多得5分。</w:t>
            </w:r>
          </w:p>
        </w:tc>
        <w:tc>
          <w:tcPr>
            <w:tcW w:w="730" w:type="dxa"/>
            <w:tcBorders>
              <w:tl2br w:val="nil"/>
              <w:tr2bl w:val="nil"/>
            </w:tcBorders>
            <w:vAlign w:val="center"/>
          </w:tcPr>
          <w:p w14:paraId="25CA37E1">
            <w:pPr>
              <w:pStyle w:val="784"/>
              <w:widowControl w:val="0"/>
              <w:spacing w:line="360" w:lineRule="auto"/>
              <w:jc w:val="center"/>
              <w:rPr>
                <w:rFonts w:ascii="宋体" w:hAnsi="宋体" w:cs="宋体"/>
                <w:b/>
                <w:bCs/>
              </w:rPr>
            </w:pPr>
            <w:r>
              <w:rPr>
                <w:rFonts w:hint="eastAsia" w:ascii="宋体" w:hAnsi="宋体" w:cs="宋体"/>
                <w:b/>
                <w:bCs/>
              </w:rPr>
              <w:t>5</w:t>
            </w:r>
          </w:p>
        </w:tc>
        <w:tc>
          <w:tcPr>
            <w:tcW w:w="1126" w:type="dxa"/>
            <w:tcBorders>
              <w:tl2br w:val="nil"/>
              <w:tr2bl w:val="nil"/>
            </w:tcBorders>
            <w:vAlign w:val="center"/>
          </w:tcPr>
          <w:p w14:paraId="65109D4B">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6E682FC1">
            <w:pPr>
              <w:pStyle w:val="784"/>
              <w:widowControl w:val="0"/>
              <w:spacing w:line="360" w:lineRule="auto"/>
              <w:rPr>
                <w:rFonts w:ascii="宋体" w:hAnsi="宋体" w:cs="宋体"/>
              </w:rPr>
            </w:pPr>
          </w:p>
        </w:tc>
      </w:tr>
      <w:tr w14:paraId="49827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1944CCD7">
            <w:pPr>
              <w:pStyle w:val="784"/>
              <w:widowControl w:val="0"/>
              <w:spacing w:line="360" w:lineRule="auto"/>
              <w:jc w:val="center"/>
              <w:rPr>
                <w:rFonts w:ascii="宋体" w:hAnsi="宋体" w:cs="宋体"/>
                <w:kern w:val="2"/>
              </w:rPr>
            </w:pPr>
            <w:r>
              <w:rPr>
                <w:rFonts w:hint="eastAsia" w:ascii="宋体" w:hAnsi="宋体" w:cs="宋体"/>
                <w:kern w:val="2"/>
              </w:rPr>
              <w:t>信创云云计算平台</w:t>
            </w:r>
            <w:r>
              <w:rPr>
                <w:rFonts w:hint="eastAsia" w:ascii="宋体" w:hAnsi="宋体" w:cs="宋体"/>
              </w:rPr>
              <w:t>信息系统安全等级保护测评</w:t>
            </w:r>
          </w:p>
        </w:tc>
        <w:tc>
          <w:tcPr>
            <w:tcW w:w="5088" w:type="dxa"/>
            <w:tcBorders>
              <w:tl2br w:val="nil"/>
              <w:tr2bl w:val="nil"/>
            </w:tcBorders>
            <w:vAlign w:val="center"/>
          </w:tcPr>
          <w:p w14:paraId="5617A887">
            <w:pPr>
              <w:pStyle w:val="784"/>
              <w:widowControl w:val="0"/>
              <w:spacing w:line="360" w:lineRule="auto"/>
              <w:rPr>
                <w:rFonts w:ascii="宋体" w:hAnsi="宋体" w:cs="宋体"/>
                <w:kern w:val="2"/>
              </w:rPr>
            </w:pPr>
            <w:r>
              <w:rPr>
                <w:rFonts w:hint="eastAsia" w:ascii="宋体" w:hAnsi="宋体" w:cs="宋体"/>
                <w:kern w:val="2"/>
              </w:rPr>
              <w:t>信创云云计算平台</w:t>
            </w:r>
            <w:r>
              <w:rPr>
                <w:rFonts w:hint="eastAsia" w:ascii="宋体" w:hAnsi="宋体" w:cs="宋体"/>
              </w:rPr>
              <w:t>信息系统安全等级保护测评</w:t>
            </w:r>
          </w:p>
          <w:p w14:paraId="4BB4EFB4">
            <w:pPr>
              <w:pStyle w:val="784"/>
              <w:widowControl w:val="0"/>
              <w:spacing w:line="360" w:lineRule="auto"/>
              <w:rPr>
                <w:rFonts w:ascii="宋体" w:hAnsi="宋体" w:cs="宋体"/>
                <w:kern w:val="2"/>
              </w:rPr>
            </w:pPr>
            <w:r>
              <w:rPr>
                <w:rFonts w:hint="eastAsia" w:ascii="宋体" w:hAnsi="宋体" w:cs="宋体"/>
                <w:kern w:val="2"/>
              </w:rPr>
              <w:t>投标人所投信创云云计算平台，包括①基础网络系统、②云计算及存储系统、③数据库系统、④云安全服务系统⑤中间件及大数据系统，上述5个主要系统需通过信息系统安全等级保护2.0三级测评，可提供等保测评报告。</w:t>
            </w:r>
          </w:p>
          <w:p w14:paraId="09D99FD9">
            <w:pPr>
              <w:pStyle w:val="784"/>
              <w:widowControl w:val="0"/>
              <w:spacing w:line="360" w:lineRule="auto"/>
              <w:rPr>
                <w:rFonts w:ascii="宋体" w:hAnsi="宋体" w:cs="宋体"/>
                <w:kern w:val="2"/>
              </w:rPr>
            </w:pPr>
            <w:r>
              <w:rPr>
                <w:rFonts w:hint="eastAsia" w:ascii="宋体" w:hAnsi="宋体" w:cs="宋体"/>
                <w:kern w:val="2"/>
              </w:rPr>
              <w:t>每项等保测评分数90分以上得1分；等保测评分数80-90分（不含90）得0.75分；等保测评分数70-80分（不含80）得0.5分；等保测评分数60-70分（不含70）得0.25分。本项最多得5分。</w:t>
            </w:r>
          </w:p>
        </w:tc>
        <w:tc>
          <w:tcPr>
            <w:tcW w:w="730" w:type="dxa"/>
            <w:tcBorders>
              <w:tl2br w:val="nil"/>
              <w:tr2bl w:val="nil"/>
            </w:tcBorders>
            <w:vAlign w:val="center"/>
          </w:tcPr>
          <w:p w14:paraId="0817DEEC">
            <w:pPr>
              <w:pStyle w:val="784"/>
              <w:widowControl w:val="0"/>
              <w:spacing w:line="360" w:lineRule="auto"/>
              <w:jc w:val="center"/>
              <w:rPr>
                <w:rFonts w:ascii="宋体" w:hAnsi="宋体" w:cs="宋体"/>
                <w:b/>
                <w:bCs/>
                <w:kern w:val="2"/>
              </w:rPr>
            </w:pPr>
            <w:r>
              <w:rPr>
                <w:rFonts w:hint="eastAsia" w:ascii="宋体" w:hAnsi="宋体" w:cs="宋体"/>
                <w:b/>
                <w:bCs/>
              </w:rPr>
              <w:t>5</w:t>
            </w:r>
          </w:p>
        </w:tc>
        <w:tc>
          <w:tcPr>
            <w:tcW w:w="1126" w:type="dxa"/>
            <w:tcBorders>
              <w:tl2br w:val="nil"/>
              <w:tr2bl w:val="nil"/>
            </w:tcBorders>
            <w:vAlign w:val="center"/>
          </w:tcPr>
          <w:p w14:paraId="0F506984">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6523E08D">
            <w:pPr>
              <w:pStyle w:val="784"/>
              <w:widowControl w:val="0"/>
              <w:spacing w:line="360" w:lineRule="auto"/>
              <w:rPr>
                <w:rFonts w:ascii="宋体" w:hAnsi="宋体" w:cs="宋体"/>
              </w:rPr>
            </w:pPr>
          </w:p>
        </w:tc>
      </w:tr>
      <w:tr w14:paraId="0C679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04CABA0B">
            <w:pPr>
              <w:pStyle w:val="784"/>
              <w:widowControl w:val="0"/>
              <w:spacing w:line="360" w:lineRule="auto"/>
              <w:jc w:val="center"/>
              <w:rPr>
                <w:rFonts w:ascii="宋体" w:hAnsi="宋体" w:cs="宋体"/>
                <w:kern w:val="2"/>
              </w:rPr>
            </w:pPr>
            <w:r>
              <w:rPr>
                <w:rFonts w:hint="eastAsia" w:ascii="宋体" w:hAnsi="宋体" w:cs="宋体"/>
                <w:lang w:bidi="ar"/>
              </w:rPr>
              <w:t>政务云计算平台商用密码应用安全性评估</w:t>
            </w:r>
          </w:p>
        </w:tc>
        <w:tc>
          <w:tcPr>
            <w:tcW w:w="5088" w:type="dxa"/>
            <w:tcBorders>
              <w:tl2br w:val="nil"/>
              <w:tr2bl w:val="nil"/>
            </w:tcBorders>
            <w:vAlign w:val="center"/>
          </w:tcPr>
          <w:p w14:paraId="608E3725">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政务云计算平台商用密码应用安全性评估</w:t>
            </w:r>
          </w:p>
          <w:p w14:paraId="2A03EFA0">
            <w:pPr>
              <w:widowControl/>
              <w:spacing w:line="360" w:lineRule="auto"/>
              <w:textAlignment w:val="center"/>
              <w:rPr>
                <w:rFonts w:ascii="宋体" w:hAnsi="宋体" w:cs="宋体"/>
                <w:szCs w:val="21"/>
                <w:lang w:val="zh-TW"/>
              </w:rPr>
            </w:pPr>
            <w:r>
              <w:rPr>
                <w:rFonts w:hint="eastAsia" w:ascii="宋体" w:hAnsi="宋体" w:cs="宋体"/>
                <w:kern w:val="0"/>
                <w:szCs w:val="21"/>
                <w:lang w:bidi="ar"/>
              </w:rPr>
              <w:t>所投政务云计算平台需通过商用密码应用安全性评估，提供密评机构的测评报告。</w:t>
            </w:r>
            <w:r>
              <w:rPr>
                <w:rFonts w:hint="eastAsia" w:ascii="宋体" w:hAnsi="宋体" w:cs="宋体"/>
                <w:kern w:val="0"/>
                <w:szCs w:val="21"/>
                <w:lang w:bidi="ar"/>
              </w:rPr>
              <w:br w:type="textWrapping"/>
            </w:r>
            <w:r>
              <w:rPr>
                <w:rFonts w:hint="eastAsia" w:ascii="宋体" w:hAnsi="宋体" w:cs="宋体"/>
                <w:kern w:val="0"/>
                <w:szCs w:val="21"/>
                <w:lang w:bidi="ar"/>
              </w:rPr>
              <w:t>每项商用密码安全测评分数70-80分（不含80）得1分；商用密码安全测评分数60-70分（不含70）得0.5分。本项最多得2分。</w:t>
            </w:r>
          </w:p>
        </w:tc>
        <w:tc>
          <w:tcPr>
            <w:tcW w:w="730" w:type="dxa"/>
            <w:tcBorders>
              <w:tl2br w:val="nil"/>
              <w:tr2bl w:val="nil"/>
            </w:tcBorders>
            <w:vAlign w:val="center"/>
          </w:tcPr>
          <w:p w14:paraId="7389AD62">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2</w:t>
            </w:r>
          </w:p>
        </w:tc>
        <w:tc>
          <w:tcPr>
            <w:tcW w:w="1126" w:type="dxa"/>
            <w:tcBorders>
              <w:tl2br w:val="nil"/>
              <w:tr2bl w:val="nil"/>
            </w:tcBorders>
            <w:vAlign w:val="center"/>
          </w:tcPr>
          <w:p w14:paraId="677E4B0B">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06124792">
            <w:pPr>
              <w:pStyle w:val="784"/>
              <w:widowControl w:val="0"/>
              <w:spacing w:line="360" w:lineRule="auto"/>
              <w:rPr>
                <w:rFonts w:ascii="宋体" w:hAnsi="宋体" w:cs="宋体"/>
              </w:rPr>
            </w:pPr>
          </w:p>
        </w:tc>
      </w:tr>
      <w:tr w14:paraId="63032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19D928F7">
            <w:pPr>
              <w:pStyle w:val="784"/>
              <w:widowControl w:val="0"/>
              <w:spacing w:line="360" w:lineRule="auto"/>
              <w:jc w:val="center"/>
              <w:rPr>
                <w:rFonts w:ascii="宋体" w:hAnsi="宋体" w:cs="宋体"/>
                <w:kern w:val="2"/>
              </w:rPr>
            </w:pPr>
            <w:r>
              <w:rPr>
                <w:rFonts w:hint="eastAsia" w:ascii="宋体" w:hAnsi="宋体" w:cs="宋体"/>
                <w:lang w:bidi="ar"/>
              </w:rPr>
              <w:t>信创云计算平台商用密码应用安全性评估</w:t>
            </w:r>
          </w:p>
        </w:tc>
        <w:tc>
          <w:tcPr>
            <w:tcW w:w="5088" w:type="dxa"/>
            <w:tcBorders>
              <w:tl2br w:val="nil"/>
              <w:tr2bl w:val="nil"/>
            </w:tcBorders>
            <w:vAlign w:val="center"/>
          </w:tcPr>
          <w:p w14:paraId="2B8F1993">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信创云计算平台商用密码应用安全性评估</w:t>
            </w:r>
          </w:p>
          <w:p w14:paraId="1DEA4477">
            <w:pPr>
              <w:widowControl/>
              <w:spacing w:line="360" w:lineRule="auto"/>
              <w:textAlignment w:val="center"/>
              <w:rPr>
                <w:rFonts w:ascii="宋体" w:hAnsi="宋体" w:cs="宋体"/>
                <w:szCs w:val="21"/>
              </w:rPr>
            </w:pPr>
            <w:r>
              <w:rPr>
                <w:rFonts w:hint="eastAsia" w:ascii="宋体" w:hAnsi="宋体" w:cs="宋体"/>
                <w:kern w:val="0"/>
                <w:szCs w:val="21"/>
                <w:lang w:bidi="ar"/>
              </w:rPr>
              <w:t>所投信创云计算平台需通过商用密码应用安全性评估，提供密评机构的测评报告。</w:t>
            </w:r>
            <w:r>
              <w:rPr>
                <w:rFonts w:hint="eastAsia" w:ascii="宋体" w:hAnsi="宋体" w:cs="宋体"/>
                <w:kern w:val="0"/>
                <w:szCs w:val="21"/>
                <w:lang w:bidi="ar"/>
              </w:rPr>
              <w:br w:type="textWrapping"/>
            </w:r>
            <w:r>
              <w:rPr>
                <w:rFonts w:hint="eastAsia" w:ascii="宋体" w:hAnsi="宋体" w:cs="宋体"/>
                <w:kern w:val="0"/>
                <w:szCs w:val="21"/>
                <w:lang w:bidi="ar"/>
              </w:rPr>
              <w:t>每项商用密码安全测评分数70-80分（不含80）得1分；商用密码安全测评分数60-70分（不含70）得0.5分。本项最多得2分。</w:t>
            </w:r>
          </w:p>
        </w:tc>
        <w:tc>
          <w:tcPr>
            <w:tcW w:w="730" w:type="dxa"/>
            <w:tcBorders>
              <w:tl2br w:val="nil"/>
              <w:tr2bl w:val="nil"/>
            </w:tcBorders>
            <w:vAlign w:val="center"/>
          </w:tcPr>
          <w:p w14:paraId="480BF23C">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2</w:t>
            </w:r>
          </w:p>
        </w:tc>
        <w:tc>
          <w:tcPr>
            <w:tcW w:w="1126" w:type="dxa"/>
            <w:tcBorders>
              <w:tl2br w:val="nil"/>
              <w:tr2bl w:val="nil"/>
            </w:tcBorders>
            <w:vAlign w:val="center"/>
          </w:tcPr>
          <w:p w14:paraId="01302AB8">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468A793A">
            <w:pPr>
              <w:pStyle w:val="784"/>
              <w:widowControl w:val="0"/>
              <w:spacing w:line="360" w:lineRule="auto"/>
              <w:rPr>
                <w:rFonts w:ascii="宋体" w:hAnsi="宋体" w:cs="宋体"/>
              </w:rPr>
            </w:pPr>
          </w:p>
        </w:tc>
      </w:tr>
      <w:tr w14:paraId="10ED5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0EBEBA4A">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技术要求符合性</w:t>
            </w:r>
          </w:p>
        </w:tc>
        <w:tc>
          <w:tcPr>
            <w:tcW w:w="5088" w:type="dxa"/>
            <w:tcBorders>
              <w:tl2br w:val="nil"/>
              <w:tr2bl w:val="nil"/>
            </w:tcBorders>
            <w:vAlign w:val="center"/>
          </w:tcPr>
          <w:p w14:paraId="56FEF709">
            <w:pPr>
              <w:widowControl/>
              <w:spacing w:line="360" w:lineRule="auto"/>
              <w:textAlignment w:val="center"/>
              <w:rPr>
                <w:rFonts w:hint="eastAsia" w:ascii="宋体" w:hAnsi="宋体" w:cs="宋体"/>
                <w:kern w:val="0"/>
                <w:szCs w:val="21"/>
                <w:lang w:bidi="ar"/>
              </w:rPr>
            </w:pPr>
            <w:r>
              <w:rPr>
                <w:rFonts w:hint="eastAsia" w:ascii="宋体" w:hAnsi="宋体" w:cs="宋体"/>
                <w:kern w:val="0"/>
                <w:szCs w:val="21"/>
                <w:lang w:bidi="ar"/>
              </w:rPr>
              <w:t>技术要求符合性</w:t>
            </w:r>
          </w:p>
          <w:p w14:paraId="22041AAF">
            <w:pPr>
              <w:widowControl/>
              <w:spacing w:line="360" w:lineRule="auto"/>
              <w:textAlignment w:val="center"/>
              <w:rPr>
                <w:rFonts w:ascii="宋体" w:hAnsi="宋体" w:cs="宋体"/>
                <w:kern w:val="0"/>
                <w:szCs w:val="21"/>
                <w:lang w:val="zh-TW" w:bidi="ar"/>
              </w:rPr>
            </w:pPr>
            <w:r>
              <w:rPr>
                <w:rFonts w:hint="eastAsia" w:ascii="宋体" w:hAnsi="宋体" w:cs="宋体"/>
                <w:kern w:val="0"/>
                <w:szCs w:val="21"/>
                <w:lang w:val="en-US" w:eastAsia="zh-CN" w:bidi="ar"/>
              </w:rPr>
              <w:t>根据投标文件对</w:t>
            </w:r>
            <w:r>
              <w:rPr>
                <w:rFonts w:hint="eastAsia" w:ascii="宋体" w:hAnsi="宋体" w:cs="宋体"/>
                <w:kern w:val="0"/>
                <w:szCs w:val="21"/>
                <w:lang w:bidi="ar"/>
              </w:rPr>
              <w:t>招标文件第三部分第七条“技术要求”的</w:t>
            </w:r>
            <w:r>
              <w:rPr>
                <w:rFonts w:hint="eastAsia" w:ascii="宋体" w:hAnsi="宋体" w:cs="宋体"/>
                <w:kern w:val="0"/>
                <w:szCs w:val="21"/>
                <w:lang w:val="en-US" w:eastAsia="zh-CN" w:bidi="ar"/>
              </w:rPr>
              <w:t>符合性</w:t>
            </w:r>
            <w:r>
              <w:rPr>
                <w:rFonts w:hint="eastAsia" w:ascii="宋体" w:hAnsi="宋体" w:cs="宋体"/>
                <w:kern w:val="0"/>
                <w:szCs w:val="21"/>
                <w:lang w:bidi="ar"/>
              </w:rPr>
              <w:t>情况</w:t>
            </w:r>
            <w:r>
              <w:rPr>
                <w:rFonts w:hint="eastAsia" w:ascii="宋体" w:hAnsi="宋体" w:cs="宋体"/>
                <w:kern w:val="0"/>
                <w:szCs w:val="21"/>
                <w:lang w:val="en-US" w:eastAsia="zh-CN" w:bidi="ar"/>
              </w:rPr>
              <w:t>评分</w:t>
            </w:r>
            <w:r>
              <w:rPr>
                <w:rFonts w:hint="eastAsia" w:ascii="宋体" w:hAnsi="宋体" w:cs="宋体"/>
                <w:kern w:val="0"/>
                <w:szCs w:val="21"/>
                <w:lang w:bidi="ar"/>
              </w:rPr>
              <w:t>。</w:t>
            </w:r>
            <w:r>
              <w:rPr>
                <w:rFonts w:hint="eastAsia" w:ascii="宋体" w:hAnsi="宋体" w:cs="宋体"/>
                <w:szCs w:val="21"/>
              </w:rPr>
              <w:t>全部满足得</w:t>
            </w:r>
            <w:r>
              <w:rPr>
                <w:rFonts w:hint="eastAsia" w:ascii="宋体" w:hAnsi="宋体" w:cs="宋体"/>
                <w:szCs w:val="21"/>
                <w:lang w:val="en-US" w:eastAsia="zh-CN"/>
              </w:rPr>
              <w:t>18</w:t>
            </w:r>
            <w:r>
              <w:rPr>
                <w:rFonts w:hint="eastAsia" w:ascii="宋体" w:hAnsi="宋体" w:cs="宋体"/>
                <w:szCs w:val="21"/>
              </w:rPr>
              <w:t>分；一般技术指标负偏离每一项扣减1分；标注★的关键条款需要提供截图或者证明材料的未提供佐证材料视为负偏离，如有负偏离，每项扣</w:t>
            </w:r>
            <w:r>
              <w:rPr>
                <w:rFonts w:hint="eastAsia" w:ascii="宋体" w:hAnsi="宋体" w:cs="宋体"/>
                <w:szCs w:val="21"/>
                <w:lang w:val="en-US" w:eastAsia="zh-CN"/>
              </w:rPr>
              <w:t>2</w:t>
            </w:r>
            <w:r>
              <w:rPr>
                <w:rFonts w:hint="eastAsia" w:ascii="宋体" w:hAnsi="宋体" w:cs="宋体"/>
                <w:szCs w:val="21"/>
              </w:rPr>
              <w:t>分，扣完为止。</w:t>
            </w:r>
          </w:p>
        </w:tc>
        <w:tc>
          <w:tcPr>
            <w:tcW w:w="730" w:type="dxa"/>
            <w:tcBorders>
              <w:tl2br w:val="nil"/>
              <w:tr2bl w:val="nil"/>
            </w:tcBorders>
            <w:vAlign w:val="center"/>
          </w:tcPr>
          <w:p w14:paraId="632A0DF1">
            <w:pPr>
              <w:pStyle w:val="784"/>
              <w:widowControl w:val="0"/>
              <w:spacing w:line="360" w:lineRule="auto"/>
              <w:jc w:val="center"/>
              <w:rPr>
                <w:rFonts w:ascii="宋体" w:hAnsi="宋体" w:cs="宋体"/>
                <w:b/>
                <w:bCs/>
              </w:rPr>
            </w:pPr>
            <w:r>
              <w:rPr>
                <w:rFonts w:hint="eastAsia" w:ascii="宋体" w:hAnsi="宋体" w:cs="宋体"/>
                <w:b/>
                <w:bCs/>
              </w:rPr>
              <w:t>18</w:t>
            </w:r>
          </w:p>
        </w:tc>
        <w:tc>
          <w:tcPr>
            <w:tcW w:w="1126" w:type="dxa"/>
            <w:tcBorders>
              <w:tl2br w:val="nil"/>
              <w:tr2bl w:val="nil"/>
            </w:tcBorders>
            <w:vAlign w:val="center"/>
          </w:tcPr>
          <w:p w14:paraId="374C1380">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17ABD1C0">
            <w:pPr>
              <w:pStyle w:val="784"/>
              <w:widowControl w:val="0"/>
              <w:spacing w:line="360" w:lineRule="auto"/>
              <w:rPr>
                <w:rFonts w:ascii="宋体" w:hAnsi="宋体" w:cs="宋体"/>
              </w:rPr>
            </w:pPr>
          </w:p>
        </w:tc>
      </w:tr>
      <w:tr w14:paraId="71A18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789D7FD8">
            <w:pPr>
              <w:pStyle w:val="784"/>
              <w:widowControl w:val="0"/>
              <w:spacing w:line="360" w:lineRule="auto"/>
              <w:jc w:val="center"/>
              <w:rPr>
                <w:rFonts w:ascii="宋体" w:hAnsi="宋体" w:cs="宋体"/>
                <w:kern w:val="2"/>
              </w:rPr>
            </w:pPr>
            <w:r>
              <w:rPr>
                <w:rFonts w:hint="eastAsia" w:ascii="宋体" w:hAnsi="宋体" w:cs="宋体"/>
                <w:lang w:bidi="ar"/>
              </w:rPr>
              <w:t>项目组织实施方案</w:t>
            </w:r>
          </w:p>
        </w:tc>
        <w:tc>
          <w:tcPr>
            <w:tcW w:w="5088" w:type="dxa"/>
            <w:tcBorders>
              <w:tl2br w:val="nil"/>
              <w:tr2bl w:val="nil"/>
            </w:tcBorders>
            <w:vAlign w:val="center"/>
          </w:tcPr>
          <w:p w14:paraId="79468A8F">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项目组织实施方案</w:t>
            </w:r>
          </w:p>
          <w:p w14:paraId="48E6A6DE">
            <w:pPr>
              <w:widowControl/>
              <w:spacing w:line="360" w:lineRule="auto"/>
              <w:textAlignment w:val="center"/>
              <w:rPr>
                <w:rFonts w:ascii="宋体" w:hAnsi="宋体" w:cs="宋体"/>
                <w:szCs w:val="21"/>
              </w:rPr>
            </w:pPr>
            <w:r>
              <w:rPr>
                <w:rFonts w:hint="eastAsia" w:ascii="宋体" w:hAnsi="宋体" w:cs="宋体"/>
                <w:kern w:val="0"/>
                <w:szCs w:val="21"/>
                <w:lang w:bidi="ar"/>
              </w:rPr>
              <w:t>根据投标文件中的项目组织实施方案情况进行评价。包括组织机构、项目实施规范和管理制度、项目时间进度表、工作程序和步骤、管理和协调方法、关键步骤的思路和要点。组织实施方案详细、科学、规范、可操作性强的得3分；方案基本完整、可行的得2分；内容缺失、无针对性的得1分，不提供不得分。</w:t>
            </w:r>
          </w:p>
        </w:tc>
        <w:tc>
          <w:tcPr>
            <w:tcW w:w="730" w:type="dxa"/>
            <w:tcBorders>
              <w:tl2br w:val="nil"/>
              <w:tr2bl w:val="nil"/>
            </w:tcBorders>
            <w:vAlign w:val="center"/>
          </w:tcPr>
          <w:p w14:paraId="74986B03">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3</w:t>
            </w:r>
          </w:p>
        </w:tc>
        <w:tc>
          <w:tcPr>
            <w:tcW w:w="1126" w:type="dxa"/>
            <w:tcBorders>
              <w:tl2br w:val="nil"/>
              <w:tr2bl w:val="nil"/>
            </w:tcBorders>
            <w:vAlign w:val="center"/>
          </w:tcPr>
          <w:p w14:paraId="525CE060">
            <w:pPr>
              <w:pStyle w:val="784"/>
              <w:widowControl w:val="0"/>
              <w:spacing w:line="360" w:lineRule="auto"/>
              <w:jc w:val="center"/>
              <w:rPr>
                <w:rFonts w:ascii="宋体" w:hAnsi="宋体" w:cs="宋体"/>
                <w:b/>
                <w:bCs/>
              </w:rPr>
            </w:pPr>
            <w:r>
              <w:rPr>
                <w:rFonts w:hint="eastAsia" w:ascii="宋体" w:hAnsi="宋体" w:cs="宋体"/>
                <w:b/>
                <w:bCs/>
              </w:rPr>
              <w:t>主观分</w:t>
            </w:r>
          </w:p>
        </w:tc>
        <w:tc>
          <w:tcPr>
            <w:tcW w:w="1267" w:type="dxa"/>
            <w:tcBorders>
              <w:tl2br w:val="nil"/>
              <w:tr2bl w:val="nil"/>
            </w:tcBorders>
            <w:vAlign w:val="center"/>
          </w:tcPr>
          <w:p w14:paraId="6A7277DC">
            <w:pPr>
              <w:pStyle w:val="784"/>
              <w:widowControl w:val="0"/>
              <w:spacing w:line="360" w:lineRule="auto"/>
              <w:rPr>
                <w:rFonts w:ascii="宋体" w:hAnsi="宋体" w:cs="宋体"/>
              </w:rPr>
            </w:pPr>
          </w:p>
        </w:tc>
      </w:tr>
      <w:tr w14:paraId="6C2AF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76B3B454">
            <w:pPr>
              <w:pStyle w:val="784"/>
              <w:widowControl w:val="0"/>
              <w:spacing w:line="360" w:lineRule="auto"/>
              <w:jc w:val="center"/>
              <w:rPr>
                <w:rFonts w:ascii="宋体" w:hAnsi="宋体" w:cs="宋体"/>
                <w:kern w:val="2"/>
              </w:rPr>
            </w:pPr>
            <w:r>
              <w:rPr>
                <w:rFonts w:hint="eastAsia" w:ascii="宋体" w:hAnsi="宋体" w:cs="宋体"/>
                <w:lang w:bidi="ar"/>
              </w:rPr>
              <w:t>质量和进度保障方案</w:t>
            </w:r>
          </w:p>
        </w:tc>
        <w:tc>
          <w:tcPr>
            <w:tcW w:w="5088" w:type="dxa"/>
            <w:tcBorders>
              <w:tl2br w:val="nil"/>
              <w:tr2bl w:val="nil"/>
            </w:tcBorders>
            <w:vAlign w:val="center"/>
          </w:tcPr>
          <w:p w14:paraId="3BF69E79">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质量和进度保障方案</w:t>
            </w:r>
          </w:p>
          <w:p w14:paraId="4EDF1862">
            <w:pPr>
              <w:widowControl/>
              <w:spacing w:line="360" w:lineRule="auto"/>
              <w:textAlignment w:val="center"/>
              <w:rPr>
                <w:rFonts w:ascii="宋体" w:hAnsi="宋体" w:cs="宋体"/>
                <w:szCs w:val="21"/>
              </w:rPr>
            </w:pPr>
            <w:r>
              <w:rPr>
                <w:rFonts w:hint="eastAsia" w:ascii="宋体" w:hAnsi="宋体" w:cs="宋体"/>
                <w:kern w:val="0"/>
                <w:szCs w:val="21"/>
                <w:lang w:bidi="ar"/>
              </w:rPr>
              <w:t>投标人按采购人要求有明确的服务质量目标、有服务质量保证措施、有软件质量保证措施、有完善的质量管理体系。方案科学、完整、详细、有针对性的得3分；方案科学性、有效性、针对性一般的得2分；内容缺失、无针对性的得1分，不提供不得分。</w:t>
            </w:r>
          </w:p>
        </w:tc>
        <w:tc>
          <w:tcPr>
            <w:tcW w:w="730" w:type="dxa"/>
            <w:tcBorders>
              <w:tl2br w:val="nil"/>
              <w:tr2bl w:val="nil"/>
            </w:tcBorders>
            <w:vAlign w:val="center"/>
          </w:tcPr>
          <w:p w14:paraId="6FE26228">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3</w:t>
            </w:r>
          </w:p>
        </w:tc>
        <w:tc>
          <w:tcPr>
            <w:tcW w:w="1126" w:type="dxa"/>
            <w:tcBorders>
              <w:tl2br w:val="nil"/>
              <w:tr2bl w:val="nil"/>
            </w:tcBorders>
            <w:vAlign w:val="center"/>
          </w:tcPr>
          <w:p w14:paraId="2C709067">
            <w:pPr>
              <w:pStyle w:val="784"/>
              <w:widowControl w:val="0"/>
              <w:spacing w:line="360" w:lineRule="auto"/>
              <w:jc w:val="center"/>
              <w:rPr>
                <w:rFonts w:ascii="宋体" w:hAnsi="宋体" w:cs="宋体"/>
                <w:b/>
                <w:bCs/>
              </w:rPr>
            </w:pPr>
            <w:r>
              <w:rPr>
                <w:rFonts w:hint="eastAsia" w:ascii="宋体" w:hAnsi="宋体" w:cs="宋体"/>
                <w:b/>
                <w:bCs/>
              </w:rPr>
              <w:t>主观分</w:t>
            </w:r>
          </w:p>
        </w:tc>
        <w:tc>
          <w:tcPr>
            <w:tcW w:w="1267" w:type="dxa"/>
            <w:tcBorders>
              <w:tl2br w:val="nil"/>
              <w:tr2bl w:val="nil"/>
            </w:tcBorders>
            <w:vAlign w:val="center"/>
          </w:tcPr>
          <w:p w14:paraId="306D65B8">
            <w:pPr>
              <w:pStyle w:val="784"/>
              <w:widowControl w:val="0"/>
              <w:spacing w:line="360" w:lineRule="auto"/>
              <w:rPr>
                <w:rFonts w:ascii="宋体" w:hAnsi="宋体" w:cs="宋体"/>
              </w:rPr>
            </w:pPr>
          </w:p>
        </w:tc>
      </w:tr>
      <w:tr w14:paraId="3ABF1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31E2B30C">
            <w:pPr>
              <w:pStyle w:val="784"/>
              <w:widowControl w:val="0"/>
              <w:spacing w:line="360" w:lineRule="auto"/>
              <w:jc w:val="center"/>
              <w:rPr>
                <w:rFonts w:ascii="宋体" w:hAnsi="宋体" w:cs="宋体"/>
                <w:kern w:val="2"/>
              </w:rPr>
            </w:pPr>
            <w:r>
              <w:rPr>
                <w:rFonts w:hint="eastAsia" w:ascii="宋体" w:hAnsi="宋体" w:cs="宋体"/>
                <w:lang w:bidi="ar"/>
              </w:rPr>
              <w:t>售后服务方案</w:t>
            </w:r>
          </w:p>
        </w:tc>
        <w:tc>
          <w:tcPr>
            <w:tcW w:w="5088" w:type="dxa"/>
            <w:tcBorders>
              <w:tl2br w:val="nil"/>
              <w:tr2bl w:val="nil"/>
            </w:tcBorders>
            <w:vAlign w:val="center"/>
          </w:tcPr>
          <w:p w14:paraId="75FDAE02">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售后服务方案</w:t>
            </w:r>
          </w:p>
          <w:p w14:paraId="06625FF1">
            <w:pPr>
              <w:widowControl/>
              <w:spacing w:line="360" w:lineRule="auto"/>
              <w:textAlignment w:val="center"/>
              <w:rPr>
                <w:rFonts w:ascii="宋体" w:hAnsi="宋体" w:cs="宋体"/>
                <w:szCs w:val="21"/>
              </w:rPr>
            </w:pPr>
            <w:r>
              <w:rPr>
                <w:rFonts w:hint="eastAsia" w:ascii="宋体" w:hAnsi="宋体" w:cs="宋体"/>
                <w:kern w:val="0"/>
                <w:szCs w:val="21"/>
                <w:lang w:bidi="ar"/>
              </w:rPr>
              <w:t>根据投标人提供的售后服务方案进行评价。包括：1、售后服务承诺科学全面；2、服务体系完整；3、服务响应及时；4、服务方式可靠；5、故障处理服务有针对性；方案科学、有效的得3分；方案科学性、有效性、针对性一般的得2分；内容缺失、无针对性的得1分，不提供不得分。</w:t>
            </w:r>
          </w:p>
        </w:tc>
        <w:tc>
          <w:tcPr>
            <w:tcW w:w="730" w:type="dxa"/>
            <w:tcBorders>
              <w:tl2br w:val="nil"/>
              <w:tr2bl w:val="nil"/>
            </w:tcBorders>
            <w:vAlign w:val="center"/>
          </w:tcPr>
          <w:p w14:paraId="7ED4D524">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3</w:t>
            </w:r>
          </w:p>
        </w:tc>
        <w:tc>
          <w:tcPr>
            <w:tcW w:w="1126" w:type="dxa"/>
            <w:tcBorders>
              <w:tl2br w:val="nil"/>
              <w:tr2bl w:val="nil"/>
            </w:tcBorders>
            <w:vAlign w:val="center"/>
          </w:tcPr>
          <w:p w14:paraId="35A2EF92">
            <w:pPr>
              <w:adjustRightInd/>
              <w:spacing w:line="360" w:lineRule="auto"/>
              <w:jc w:val="center"/>
              <w:rPr>
                <w:rFonts w:ascii="宋体" w:hAnsi="宋体" w:cs="宋体"/>
                <w:b/>
                <w:bCs/>
                <w:szCs w:val="21"/>
              </w:rPr>
            </w:pPr>
            <w:r>
              <w:rPr>
                <w:rFonts w:hint="eastAsia" w:ascii="宋体" w:hAnsi="宋体" w:cs="宋体"/>
                <w:b/>
                <w:bCs/>
                <w:szCs w:val="21"/>
              </w:rPr>
              <w:t>主观分</w:t>
            </w:r>
          </w:p>
        </w:tc>
        <w:tc>
          <w:tcPr>
            <w:tcW w:w="1267" w:type="dxa"/>
            <w:tcBorders>
              <w:tl2br w:val="nil"/>
              <w:tr2bl w:val="nil"/>
            </w:tcBorders>
            <w:vAlign w:val="center"/>
          </w:tcPr>
          <w:p w14:paraId="7F46B00E">
            <w:pPr>
              <w:pStyle w:val="784"/>
              <w:widowControl w:val="0"/>
              <w:spacing w:line="360" w:lineRule="auto"/>
              <w:rPr>
                <w:rFonts w:ascii="宋体" w:hAnsi="宋体" w:cs="宋体"/>
              </w:rPr>
            </w:pPr>
          </w:p>
        </w:tc>
      </w:tr>
      <w:tr w14:paraId="20B9B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24468934">
            <w:pPr>
              <w:pStyle w:val="784"/>
              <w:widowControl w:val="0"/>
              <w:spacing w:line="360" w:lineRule="auto"/>
              <w:jc w:val="center"/>
              <w:rPr>
                <w:rFonts w:ascii="宋体" w:hAnsi="宋体" w:cs="宋体"/>
                <w:kern w:val="2"/>
              </w:rPr>
            </w:pPr>
            <w:r>
              <w:rPr>
                <w:rFonts w:hint="eastAsia" w:ascii="宋体" w:hAnsi="宋体" w:cs="宋体"/>
                <w:lang w:bidi="ar"/>
              </w:rPr>
              <w:t>维护机构</w:t>
            </w:r>
          </w:p>
        </w:tc>
        <w:tc>
          <w:tcPr>
            <w:tcW w:w="5088" w:type="dxa"/>
            <w:tcBorders>
              <w:tl2br w:val="nil"/>
              <w:tr2bl w:val="nil"/>
            </w:tcBorders>
            <w:vAlign w:val="center"/>
          </w:tcPr>
          <w:p w14:paraId="5D8A9198">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维护机构</w:t>
            </w:r>
          </w:p>
          <w:p w14:paraId="5CD2E5BF">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根据投标人的维护机构情况，是否具有较强的服务能力，是否拥有常驻服务和技术支持机构，是否配有较强的专业技术队伍。全部满足、符合项目实际需求得3分，部分满足、基本符合项目实际的得2分，内容缺失、和项目实际存在偏差的得1分，不提供不得分。</w:t>
            </w:r>
          </w:p>
        </w:tc>
        <w:tc>
          <w:tcPr>
            <w:tcW w:w="730" w:type="dxa"/>
            <w:tcBorders>
              <w:tl2br w:val="nil"/>
              <w:tr2bl w:val="nil"/>
            </w:tcBorders>
            <w:vAlign w:val="center"/>
          </w:tcPr>
          <w:p w14:paraId="53A124E2">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3</w:t>
            </w:r>
          </w:p>
        </w:tc>
        <w:tc>
          <w:tcPr>
            <w:tcW w:w="1126" w:type="dxa"/>
            <w:tcBorders>
              <w:tl2br w:val="nil"/>
              <w:tr2bl w:val="nil"/>
            </w:tcBorders>
            <w:vAlign w:val="center"/>
          </w:tcPr>
          <w:p w14:paraId="1739CEE4">
            <w:pPr>
              <w:adjustRightInd/>
              <w:spacing w:line="360" w:lineRule="auto"/>
              <w:jc w:val="center"/>
              <w:rPr>
                <w:rFonts w:ascii="宋体" w:hAnsi="宋体" w:cs="宋体"/>
                <w:b/>
                <w:bCs/>
                <w:szCs w:val="21"/>
              </w:rPr>
            </w:pPr>
            <w:r>
              <w:rPr>
                <w:rFonts w:hint="eastAsia" w:ascii="宋体" w:hAnsi="宋体" w:cs="宋体"/>
                <w:b/>
                <w:bCs/>
                <w:szCs w:val="21"/>
              </w:rPr>
              <w:t>主观分</w:t>
            </w:r>
          </w:p>
        </w:tc>
        <w:tc>
          <w:tcPr>
            <w:tcW w:w="1267" w:type="dxa"/>
            <w:tcBorders>
              <w:tl2br w:val="nil"/>
              <w:tr2bl w:val="nil"/>
            </w:tcBorders>
            <w:vAlign w:val="center"/>
          </w:tcPr>
          <w:p w14:paraId="07850914">
            <w:pPr>
              <w:pStyle w:val="784"/>
              <w:widowControl w:val="0"/>
              <w:spacing w:line="360" w:lineRule="auto"/>
              <w:rPr>
                <w:rFonts w:ascii="宋体" w:hAnsi="宋体" w:cs="宋体"/>
              </w:rPr>
            </w:pPr>
          </w:p>
        </w:tc>
      </w:tr>
      <w:tr w14:paraId="45367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4B59568E">
            <w:pPr>
              <w:pStyle w:val="784"/>
              <w:widowControl w:val="0"/>
              <w:spacing w:line="360" w:lineRule="auto"/>
              <w:jc w:val="center"/>
              <w:rPr>
                <w:rFonts w:ascii="宋体" w:hAnsi="宋体" w:cs="宋体"/>
                <w:lang w:bidi="ar"/>
              </w:rPr>
            </w:pPr>
            <w:r>
              <w:rPr>
                <w:rFonts w:hint="eastAsia" w:ascii="宋体" w:hAnsi="宋体" w:cs="宋体"/>
                <w:lang w:bidi="ar"/>
              </w:rPr>
              <w:t>培训方案</w:t>
            </w:r>
          </w:p>
        </w:tc>
        <w:tc>
          <w:tcPr>
            <w:tcW w:w="5088" w:type="dxa"/>
            <w:tcBorders>
              <w:tl2br w:val="nil"/>
              <w:tr2bl w:val="nil"/>
            </w:tcBorders>
            <w:vAlign w:val="center"/>
          </w:tcPr>
          <w:p w14:paraId="55C61256">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培训方案</w:t>
            </w:r>
          </w:p>
          <w:p w14:paraId="458DC036">
            <w:pPr>
              <w:widowControl/>
              <w:spacing w:line="360" w:lineRule="auto"/>
              <w:textAlignment w:val="center"/>
              <w:rPr>
                <w:rFonts w:ascii="宋体" w:hAnsi="宋体" w:cs="宋体"/>
                <w:kern w:val="0"/>
                <w:szCs w:val="21"/>
                <w:lang w:bidi="ar"/>
              </w:rPr>
            </w:pPr>
            <w:r>
              <w:rPr>
                <w:rFonts w:hint="eastAsia" w:ascii="宋体" w:hAnsi="宋体" w:cs="宋体"/>
                <w:kern w:val="0"/>
                <w:szCs w:val="21"/>
                <w:lang w:bidi="ar"/>
              </w:rPr>
              <w:t>培训方案包括培训内容培训师资力量、培训教材等；根据投标方案内容进行评分，方案详实、有针对性、切实可行的得3分；方案基本完整，针对性一般的得2分；内容缺失、无针对性的得1分，不提供不得分。</w:t>
            </w:r>
          </w:p>
        </w:tc>
        <w:tc>
          <w:tcPr>
            <w:tcW w:w="730" w:type="dxa"/>
            <w:tcBorders>
              <w:tl2br w:val="nil"/>
              <w:tr2bl w:val="nil"/>
            </w:tcBorders>
            <w:vAlign w:val="center"/>
          </w:tcPr>
          <w:p w14:paraId="0051AE6F">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3</w:t>
            </w:r>
          </w:p>
        </w:tc>
        <w:tc>
          <w:tcPr>
            <w:tcW w:w="1126" w:type="dxa"/>
            <w:tcBorders>
              <w:tl2br w:val="nil"/>
              <w:tr2bl w:val="nil"/>
            </w:tcBorders>
            <w:vAlign w:val="center"/>
          </w:tcPr>
          <w:p w14:paraId="7D5D3F86">
            <w:pPr>
              <w:adjustRightInd/>
              <w:spacing w:line="360" w:lineRule="auto"/>
              <w:jc w:val="center"/>
              <w:rPr>
                <w:rFonts w:ascii="宋体" w:hAnsi="宋体" w:cs="宋体"/>
                <w:b/>
                <w:bCs/>
                <w:szCs w:val="21"/>
              </w:rPr>
            </w:pPr>
            <w:r>
              <w:rPr>
                <w:rFonts w:hint="eastAsia" w:ascii="宋体" w:hAnsi="宋体" w:cs="宋体"/>
                <w:b/>
                <w:bCs/>
                <w:szCs w:val="21"/>
              </w:rPr>
              <w:t>主观分</w:t>
            </w:r>
          </w:p>
        </w:tc>
        <w:tc>
          <w:tcPr>
            <w:tcW w:w="1267" w:type="dxa"/>
            <w:tcBorders>
              <w:tl2br w:val="nil"/>
              <w:tr2bl w:val="nil"/>
            </w:tcBorders>
            <w:vAlign w:val="center"/>
          </w:tcPr>
          <w:p w14:paraId="1F992ED8">
            <w:pPr>
              <w:pStyle w:val="784"/>
              <w:widowControl w:val="0"/>
              <w:spacing w:line="360" w:lineRule="auto"/>
              <w:rPr>
                <w:rFonts w:ascii="宋体" w:hAnsi="宋体" w:cs="宋体"/>
              </w:rPr>
            </w:pPr>
          </w:p>
        </w:tc>
      </w:tr>
      <w:tr w14:paraId="12969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3CFBAA90">
            <w:pPr>
              <w:pStyle w:val="784"/>
              <w:widowControl w:val="0"/>
              <w:spacing w:line="360" w:lineRule="auto"/>
              <w:jc w:val="center"/>
              <w:rPr>
                <w:rFonts w:ascii="宋体" w:hAnsi="宋体" w:cs="宋体"/>
                <w:kern w:val="2"/>
              </w:rPr>
            </w:pPr>
            <w:r>
              <w:rPr>
                <w:rFonts w:hint="eastAsia" w:ascii="宋体" w:hAnsi="宋体" w:cs="宋体"/>
                <w:kern w:val="2"/>
              </w:rPr>
              <w:t>项目团队</w:t>
            </w:r>
          </w:p>
        </w:tc>
        <w:tc>
          <w:tcPr>
            <w:tcW w:w="5088" w:type="dxa"/>
            <w:tcBorders>
              <w:tl2br w:val="nil"/>
              <w:tr2bl w:val="nil"/>
            </w:tcBorders>
            <w:vAlign w:val="center"/>
          </w:tcPr>
          <w:p w14:paraId="7C953906">
            <w:pPr>
              <w:pStyle w:val="784"/>
              <w:widowControl w:val="0"/>
              <w:spacing w:line="360" w:lineRule="auto"/>
              <w:jc w:val="left"/>
              <w:rPr>
                <w:rFonts w:ascii="宋体" w:hAnsi="宋体" w:cs="宋体"/>
                <w:kern w:val="2"/>
              </w:rPr>
            </w:pPr>
            <w:r>
              <w:rPr>
                <w:rFonts w:hint="eastAsia" w:ascii="宋体" w:hAnsi="宋体" w:cs="宋体"/>
                <w:kern w:val="2"/>
              </w:rPr>
              <w:t>项目团队</w:t>
            </w:r>
          </w:p>
          <w:p w14:paraId="1C448190">
            <w:pPr>
              <w:pStyle w:val="784"/>
              <w:widowControl w:val="0"/>
              <w:spacing w:line="360" w:lineRule="auto"/>
              <w:jc w:val="left"/>
              <w:rPr>
                <w:rFonts w:ascii="宋体" w:hAnsi="宋体" w:cs="宋体"/>
                <w:kern w:val="2"/>
                <w:lang w:val="zh-TW"/>
              </w:rPr>
            </w:pPr>
            <w:r>
              <w:rPr>
                <w:rFonts w:hint="eastAsia" w:ascii="宋体" w:hAnsi="宋体" w:cs="宋体"/>
                <w:kern w:val="2"/>
                <w:lang w:val="zh-TW"/>
              </w:rPr>
              <w:t>1、项目经理具有信息系统项目管理师证书、高级工程师，中级通信工程师，每提供一项得1分，最高得3分；</w:t>
            </w:r>
          </w:p>
          <w:p w14:paraId="2F481DA9">
            <w:pPr>
              <w:pStyle w:val="784"/>
              <w:widowControl w:val="0"/>
              <w:spacing w:line="360" w:lineRule="auto"/>
              <w:jc w:val="left"/>
              <w:rPr>
                <w:rFonts w:ascii="宋体" w:hAnsi="宋体" w:cs="宋体"/>
                <w:kern w:val="2"/>
                <w:lang w:val="zh-TW"/>
              </w:rPr>
            </w:pPr>
            <w:r>
              <w:rPr>
                <w:rFonts w:hint="eastAsia" w:ascii="宋体" w:hAnsi="宋体" w:cs="宋体"/>
                <w:kern w:val="2"/>
                <w:lang w:val="zh-TW"/>
              </w:rPr>
              <w:t>2、技术负责人具备，系统分析师，信息系统项目管理师，软件设计师的；每提供一项得0.5分，不提供不得分，最高得1.5分；</w:t>
            </w:r>
          </w:p>
          <w:p w14:paraId="4F737B7F">
            <w:pPr>
              <w:pStyle w:val="784"/>
              <w:widowControl w:val="0"/>
              <w:spacing w:line="360" w:lineRule="auto"/>
              <w:jc w:val="left"/>
              <w:rPr>
                <w:rFonts w:ascii="宋体" w:hAnsi="宋体" w:cs="宋体"/>
                <w:kern w:val="2"/>
                <w:lang w:val="zh-TW"/>
              </w:rPr>
            </w:pPr>
            <w:r>
              <w:rPr>
                <w:rFonts w:hint="eastAsia" w:ascii="宋体" w:hAnsi="宋体" w:cs="宋体"/>
                <w:kern w:val="2"/>
                <w:lang w:val="zh-TW"/>
              </w:rPr>
              <w:t>3、团队成员具备数据库系统工程师、系统规划与管理师、信息系统项目管理师资格证书；每提供1个得0.5分，最高得1.5分。</w:t>
            </w:r>
          </w:p>
          <w:p w14:paraId="06B05F7E">
            <w:pPr>
              <w:pStyle w:val="784"/>
              <w:widowControl w:val="0"/>
              <w:spacing w:line="360" w:lineRule="auto"/>
              <w:jc w:val="left"/>
              <w:rPr>
                <w:rFonts w:ascii="宋体" w:hAnsi="宋体" w:cs="宋体"/>
                <w:kern w:val="2"/>
                <w:lang w:val="zh-TW"/>
              </w:rPr>
            </w:pPr>
            <w:r>
              <w:rPr>
                <w:rFonts w:hint="eastAsia" w:ascii="宋体" w:hAnsi="宋体" w:cs="宋体"/>
                <w:kern w:val="2"/>
                <w:lang w:val="zh-TW"/>
              </w:rPr>
              <w:t>注：需提供相关人员资质证书复印件和社保证明，不提供不得分。</w:t>
            </w:r>
          </w:p>
        </w:tc>
        <w:tc>
          <w:tcPr>
            <w:tcW w:w="730" w:type="dxa"/>
            <w:tcBorders>
              <w:tl2br w:val="nil"/>
              <w:tr2bl w:val="nil"/>
            </w:tcBorders>
            <w:vAlign w:val="center"/>
          </w:tcPr>
          <w:p w14:paraId="68D57CFC">
            <w:pPr>
              <w:pStyle w:val="784"/>
              <w:widowControl w:val="0"/>
              <w:spacing w:line="360" w:lineRule="auto"/>
              <w:jc w:val="center"/>
              <w:rPr>
                <w:rFonts w:ascii="宋体" w:hAnsi="宋体" w:cs="宋体"/>
                <w:b/>
                <w:bCs/>
              </w:rPr>
            </w:pPr>
            <w:r>
              <w:rPr>
                <w:rFonts w:hint="eastAsia" w:ascii="宋体" w:hAnsi="宋体" w:cs="宋体"/>
                <w:b/>
                <w:bCs/>
              </w:rPr>
              <w:t>6</w:t>
            </w:r>
          </w:p>
        </w:tc>
        <w:tc>
          <w:tcPr>
            <w:tcW w:w="1126" w:type="dxa"/>
            <w:tcBorders>
              <w:tl2br w:val="nil"/>
              <w:tr2bl w:val="nil"/>
            </w:tcBorders>
            <w:vAlign w:val="center"/>
          </w:tcPr>
          <w:p w14:paraId="6076CCD3">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31133EE5">
            <w:pPr>
              <w:pStyle w:val="784"/>
              <w:widowControl w:val="0"/>
              <w:spacing w:line="360" w:lineRule="auto"/>
              <w:rPr>
                <w:rFonts w:ascii="宋体" w:hAnsi="宋体" w:cs="宋体"/>
              </w:rPr>
            </w:pPr>
          </w:p>
        </w:tc>
      </w:tr>
      <w:tr w14:paraId="5C8DC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199031EC">
            <w:pPr>
              <w:pStyle w:val="784"/>
              <w:widowControl w:val="0"/>
              <w:spacing w:line="360" w:lineRule="auto"/>
              <w:jc w:val="center"/>
              <w:rPr>
                <w:rFonts w:ascii="宋体" w:hAnsi="宋体" w:cs="宋体"/>
                <w:kern w:val="2"/>
              </w:rPr>
            </w:pPr>
            <w:r>
              <w:rPr>
                <w:rFonts w:hint="eastAsia" w:ascii="宋体" w:hAnsi="宋体" w:cs="宋体"/>
                <w:kern w:val="2"/>
              </w:rPr>
              <w:t>功能演示</w:t>
            </w:r>
          </w:p>
        </w:tc>
        <w:tc>
          <w:tcPr>
            <w:tcW w:w="5088" w:type="dxa"/>
            <w:tcBorders>
              <w:tl2br w:val="nil"/>
              <w:tr2bl w:val="nil"/>
            </w:tcBorders>
            <w:vAlign w:val="center"/>
          </w:tcPr>
          <w:p w14:paraId="31A71D2E">
            <w:pPr>
              <w:pStyle w:val="784"/>
              <w:widowControl w:val="0"/>
              <w:spacing w:line="360" w:lineRule="auto"/>
              <w:jc w:val="left"/>
              <w:rPr>
                <w:rFonts w:ascii="宋体" w:hAnsi="宋体" w:cs="宋体"/>
                <w:kern w:val="2"/>
              </w:rPr>
            </w:pPr>
            <w:r>
              <w:rPr>
                <w:rFonts w:hint="eastAsia" w:ascii="宋体" w:hAnsi="宋体" w:cs="宋体"/>
                <w:kern w:val="2"/>
              </w:rPr>
              <w:t>功能演示</w:t>
            </w:r>
          </w:p>
          <w:p w14:paraId="54B19228">
            <w:pPr>
              <w:pStyle w:val="784"/>
              <w:widowControl w:val="0"/>
              <w:numPr>
                <w:ilvl w:val="0"/>
                <w:numId w:val="4"/>
              </w:numPr>
              <w:spacing w:line="360" w:lineRule="auto"/>
              <w:jc w:val="left"/>
              <w:rPr>
                <w:rFonts w:ascii="宋体" w:hAnsi="宋体" w:cs="宋体"/>
                <w:kern w:val="2"/>
                <w:lang w:val="zh-TW"/>
              </w:rPr>
            </w:pPr>
            <w:r>
              <w:rPr>
                <w:rFonts w:hint="eastAsia" w:ascii="宋体" w:hAnsi="宋体" w:cs="宋体"/>
                <w:kern w:val="2"/>
                <w:lang w:val="zh-TW"/>
              </w:rPr>
              <w:t>投标平台资源能力演示，投标人通过管理平台，现场演示分析型数据库服务产品的管理操作：产品功能完善、</w:t>
            </w:r>
            <w:r>
              <w:rPr>
                <w:rFonts w:hint="eastAsia" w:ascii="宋体" w:hAnsi="宋体" w:cs="宋体"/>
                <w:kern w:val="2"/>
              </w:rPr>
              <w:t>可行、界面划分清晰</w:t>
            </w:r>
            <w:r>
              <w:rPr>
                <w:rFonts w:hint="eastAsia" w:ascii="宋体" w:hAnsi="宋体" w:cs="宋体"/>
                <w:kern w:val="2"/>
                <w:lang w:val="zh-TW"/>
              </w:rPr>
              <w:t>得</w:t>
            </w:r>
            <w:r>
              <w:rPr>
                <w:rFonts w:hint="eastAsia" w:ascii="宋体" w:hAnsi="宋体" w:cs="宋体"/>
                <w:kern w:val="2"/>
              </w:rPr>
              <w:t>3</w:t>
            </w:r>
            <w:r>
              <w:rPr>
                <w:rFonts w:hint="eastAsia" w:ascii="宋体" w:hAnsi="宋体" w:cs="宋体"/>
                <w:kern w:val="2"/>
                <w:lang w:val="zh-TW"/>
              </w:rPr>
              <w:t>分，产品功能基本</w:t>
            </w:r>
            <w:r>
              <w:rPr>
                <w:rFonts w:hint="eastAsia" w:ascii="宋体" w:hAnsi="宋体" w:cs="宋体"/>
                <w:kern w:val="2"/>
              </w:rPr>
              <w:t>完善可行、界面较为清晰明确的得2分</w:t>
            </w:r>
            <w:r>
              <w:rPr>
                <w:rFonts w:hint="eastAsia" w:ascii="宋体" w:hAnsi="宋体" w:cs="宋体"/>
                <w:kern w:val="2"/>
                <w:lang w:val="zh-TW"/>
              </w:rPr>
              <w:t>、产品功能</w:t>
            </w:r>
            <w:r>
              <w:rPr>
                <w:rFonts w:hint="eastAsia" w:ascii="宋体" w:hAnsi="宋体" w:cs="宋体"/>
                <w:kern w:val="2"/>
              </w:rPr>
              <w:t>缺失、功能界面划分不清晰的得1分</w:t>
            </w:r>
            <w:r>
              <w:rPr>
                <w:rFonts w:hint="eastAsia" w:ascii="宋体" w:hAnsi="宋体" w:cs="宋体"/>
                <w:kern w:val="2"/>
                <w:lang w:val="zh-TW"/>
              </w:rPr>
              <w:t>，未演示或演示不成功不得分。</w:t>
            </w:r>
          </w:p>
          <w:p w14:paraId="01706F4E">
            <w:pPr>
              <w:pStyle w:val="784"/>
              <w:widowControl w:val="0"/>
              <w:numPr>
                <w:ilvl w:val="0"/>
                <w:numId w:val="4"/>
              </w:numPr>
              <w:spacing w:line="360" w:lineRule="auto"/>
              <w:jc w:val="left"/>
              <w:rPr>
                <w:rFonts w:ascii="宋体" w:hAnsi="宋体" w:cs="宋体"/>
                <w:kern w:val="2"/>
                <w:lang w:val="zh-TW"/>
              </w:rPr>
            </w:pPr>
            <w:r>
              <w:rPr>
                <w:rFonts w:hint="eastAsia" w:ascii="宋体" w:hAnsi="宋体" w:cs="宋体"/>
                <w:kern w:val="2"/>
                <w:lang w:val="zh-TW"/>
              </w:rPr>
              <w:t>投标平台资源能力演示，投标人通过管理平台，现场演示实时数据分发平台产品的管理操作：产品功能完善、</w:t>
            </w:r>
            <w:r>
              <w:rPr>
                <w:rFonts w:hint="eastAsia" w:ascii="宋体" w:hAnsi="宋体" w:cs="宋体"/>
                <w:kern w:val="2"/>
              </w:rPr>
              <w:t>可行、界面划分清晰</w:t>
            </w:r>
            <w:r>
              <w:rPr>
                <w:rFonts w:hint="eastAsia" w:ascii="宋体" w:hAnsi="宋体" w:cs="宋体"/>
                <w:kern w:val="2"/>
                <w:lang w:val="zh-TW"/>
              </w:rPr>
              <w:t>得</w:t>
            </w:r>
            <w:r>
              <w:rPr>
                <w:rFonts w:hint="eastAsia" w:ascii="宋体" w:hAnsi="宋体" w:cs="宋体"/>
                <w:kern w:val="2"/>
              </w:rPr>
              <w:t>3</w:t>
            </w:r>
            <w:r>
              <w:rPr>
                <w:rFonts w:hint="eastAsia" w:ascii="宋体" w:hAnsi="宋体" w:cs="宋体"/>
                <w:kern w:val="2"/>
                <w:lang w:val="zh-TW"/>
              </w:rPr>
              <w:t>分，产品功能基本</w:t>
            </w:r>
            <w:r>
              <w:rPr>
                <w:rFonts w:hint="eastAsia" w:ascii="宋体" w:hAnsi="宋体" w:cs="宋体"/>
                <w:kern w:val="2"/>
              </w:rPr>
              <w:t>完善可行、界面较为清晰明确的得2分</w:t>
            </w:r>
            <w:r>
              <w:rPr>
                <w:rFonts w:hint="eastAsia" w:ascii="宋体" w:hAnsi="宋体" w:cs="宋体"/>
                <w:kern w:val="2"/>
                <w:lang w:val="zh-TW"/>
              </w:rPr>
              <w:t>、产品功能</w:t>
            </w:r>
            <w:r>
              <w:rPr>
                <w:rFonts w:hint="eastAsia" w:ascii="宋体" w:hAnsi="宋体" w:cs="宋体"/>
                <w:kern w:val="2"/>
              </w:rPr>
              <w:t>缺失、功能界面划分不清晰的得1分</w:t>
            </w:r>
            <w:r>
              <w:rPr>
                <w:rFonts w:hint="eastAsia" w:ascii="宋体" w:hAnsi="宋体" w:cs="宋体"/>
                <w:kern w:val="2"/>
                <w:lang w:val="zh-TW"/>
              </w:rPr>
              <w:t>，未演示或演示不成功不得分。</w:t>
            </w:r>
          </w:p>
          <w:p w14:paraId="6BEEABBF">
            <w:pPr>
              <w:pStyle w:val="784"/>
              <w:widowControl w:val="0"/>
              <w:numPr>
                <w:ilvl w:val="0"/>
                <w:numId w:val="4"/>
              </w:numPr>
              <w:spacing w:line="360" w:lineRule="auto"/>
              <w:jc w:val="left"/>
              <w:rPr>
                <w:rFonts w:ascii="宋体" w:hAnsi="宋体" w:cs="宋体"/>
                <w:kern w:val="2"/>
                <w:lang w:val="zh-TW"/>
              </w:rPr>
            </w:pPr>
            <w:r>
              <w:rPr>
                <w:rFonts w:hint="eastAsia" w:ascii="宋体" w:hAnsi="宋体" w:cs="宋体"/>
                <w:kern w:val="2"/>
                <w:lang w:val="zh-TW"/>
              </w:rPr>
              <w:t>投标平台资源能力演示，投标人通过管理平台，现场演示GPU服务器产品的管理操作：产品功能完善、</w:t>
            </w:r>
            <w:r>
              <w:rPr>
                <w:rFonts w:hint="eastAsia" w:ascii="宋体" w:hAnsi="宋体" w:cs="宋体"/>
                <w:kern w:val="2"/>
              </w:rPr>
              <w:t>可行、界面划分清晰</w:t>
            </w:r>
            <w:r>
              <w:rPr>
                <w:rFonts w:hint="eastAsia" w:ascii="宋体" w:hAnsi="宋体" w:cs="宋体"/>
                <w:kern w:val="2"/>
                <w:lang w:val="zh-TW"/>
              </w:rPr>
              <w:t>得</w:t>
            </w:r>
            <w:r>
              <w:rPr>
                <w:rFonts w:hint="eastAsia" w:ascii="宋体" w:hAnsi="宋体" w:cs="宋体"/>
                <w:kern w:val="2"/>
              </w:rPr>
              <w:t>3</w:t>
            </w:r>
            <w:r>
              <w:rPr>
                <w:rFonts w:hint="eastAsia" w:ascii="宋体" w:hAnsi="宋体" w:cs="宋体"/>
                <w:kern w:val="2"/>
                <w:lang w:val="zh-TW"/>
              </w:rPr>
              <w:t>分，产品功能基本</w:t>
            </w:r>
            <w:r>
              <w:rPr>
                <w:rFonts w:hint="eastAsia" w:ascii="宋体" w:hAnsi="宋体" w:cs="宋体"/>
                <w:kern w:val="2"/>
              </w:rPr>
              <w:t>完善可行、界面较为清晰明确的得2分</w:t>
            </w:r>
            <w:r>
              <w:rPr>
                <w:rFonts w:hint="eastAsia" w:ascii="宋体" w:hAnsi="宋体" w:cs="宋体"/>
                <w:kern w:val="2"/>
                <w:lang w:val="zh-TW"/>
              </w:rPr>
              <w:t>、产品功能</w:t>
            </w:r>
            <w:r>
              <w:rPr>
                <w:rFonts w:hint="eastAsia" w:ascii="宋体" w:hAnsi="宋体" w:cs="宋体"/>
                <w:kern w:val="2"/>
              </w:rPr>
              <w:t>缺失、功能界面划分不清晰的得1分</w:t>
            </w:r>
            <w:r>
              <w:rPr>
                <w:rFonts w:hint="eastAsia" w:ascii="宋体" w:hAnsi="宋体" w:cs="宋体"/>
                <w:kern w:val="2"/>
                <w:lang w:val="zh-TW"/>
              </w:rPr>
              <w:t>，未演示或演示不成功不得分。</w:t>
            </w:r>
          </w:p>
          <w:p w14:paraId="55480A5B">
            <w:pPr>
              <w:pStyle w:val="784"/>
              <w:widowControl w:val="0"/>
              <w:numPr>
                <w:ilvl w:val="0"/>
                <w:numId w:val="4"/>
              </w:numPr>
              <w:spacing w:line="360" w:lineRule="auto"/>
              <w:jc w:val="left"/>
              <w:rPr>
                <w:rFonts w:ascii="宋体" w:hAnsi="宋体" w:cs="宋体"/>
                <w:kern w:val="2"/>
                <w:lang w:val="zh-TW"/>
              </w:rPr>
            </w:pPr>
            <w:r>
              <w:rPr>
                <w:rFonts w:hint="eastAsia" w:ascii="宋体" w:hAnsi="宋体" w:cs="宋体"/>
                <w:kern w:val="2"/>
                <w:lang w:val="zh-TW"/>
              </w:rPr>
              <w:t>投标平台资源能力演示，投标人通过管理平台，现场演示云数据库OceanBase产品的管理操作：产品功能完善、</w:t>
            </w:r>
            <w:r>
              <w:rPr>
                <w:rFonts w:hint="eastAsia" w:ascii="宋体" w:hAnsi="宋体" w:cs="宋体"/>
                <w:kern w:val="2"/>
              </w:rPr>
              <w:t>可行、界面划分清晰</w:t>
            </w:r>
            <w:r>
              <w:rPr>
                <w:rFonts w:hint="eastAsia" w:ascii="宋体" w:hAnsi="宋体" w:cs="宋体"/>
                <w:kern w:val="2"/>
                <w:lang w:val="zh-TW"/>
              </w:rPr>
              <w:t>得</w:t>
            </w:r>
            <w:r>
              <w:rPr>
                <w:rFonts w:hint="eastAsia" w:ascii="宋体" w:hAnsi="宋体" w:cs="宋体"/>
                <w:kern w:val="2"/>
              </w:rPr>
              <w:t>3</w:t>
            </w:r>
            <w:r>
              <w:rPr>
                <w:rFonts w:hint="eastAsia" w:ascii="宋体" w:hAnsi="宋体" w:cs="宋体"/>
                <w:kern w:val="2"/>
                <w:lang w:val="zh-TW"/>
              </w:rPr>
              <w:t>分，产品功能基本</w:t>
            </w:r>
            <w:r>
              <w:rPr>
                <w:rFonts w:hint="eastAsia" w:ascii="宋体" w:hAnsi="宋体" w:cs="宋体"/>
                <w:kern w:val="2"/>
              </w:rPr>
              <w:t>完善可行、界面较为清晰明确的得2分</w:t>
            </w:r>
            <w:r>
              <w:rPr>
                <w:rFonts w:hint="eastAsia" w:ascii="宋体" w:hAnsi="宋体" w:cs="宋体"/>
                <w:kern w:val="2"/>
                <w:lang w:val="zh-TW"/>
              </w:rPr>
              <w:t>、产品功能</w:t>
            </w:r>
            <w:r>
              <w:rPr>
                <w:rFonts w:hint="eastAsia" w:ascii="宋体" w:hAnsi="宋体" w:cs="宋体"/>
                <w:kern w:val="2"/>
              </w:rPr>
              <w:t>缺失、功能界面划分不清晰的得1分</w:t>
            </w:r>
            <w:r>
              <w:rPr>
                <w:rFonts w:hint="eastAsia" w:ascii="宋体" w:hAnsi="宋体" w:cs="宋体"/>
                <w:kern w:val="2"/>
                <w:lang w:val="zh-TW"/>
              </w:rPr>
              <w:t>，未演示或演示不成功不得分。</w:t>
            </w:r>
          </w:p>
        </w:tc>
        <w:tc>
          <w:tcPr>
            <w:tcW w:w="730" w:type="dxa"/>
            <w:tcBorders>
              <w:tl2br w:val="nil"/>
              <w:tr2bl w:val="nil"/>
            </w:tcBorders>
            <w:vAlign w:val="center"/>
          </w:tcPr>
          <w:p w14:paraId="707500BB">
            <w:pPr>
              <w:pStyle w:val="784"/>
              <w:widowControl w:val="0"/>
              <w:spacing w:line="360" w:lineRule="auto"/>
              <w:jc w:val="center"/>
              <w:rPr>
                <w:rFonts w:ascii="宋体" w:hAnsi="宋体" w:cs="宋体"/>
                <w:b/>
                <w:bCs/>
              </w:rPr>
            </w:pPr>
            <w:r>
              <w:rPr>
                <w:rFonts w:hint="eastAsia" w:ascii="宋体" w:hAnsi="宋体" w:cs="宋体"/>
                <w:b/>
                <w:bCs/>
              </w:rPr>
              <w:t>12</w:t>
            </w:r>
          </w:p>
        </w:tc>
        <w:tc>
          <w:tcPr>
            <w:tcW w:w="1126" w:type="dxa"/>
            <w:tcBorders>
              <w:tl2br w:val="nil"/>
              <w:tr2bl w:val="nil"/>
            </w:tcBorders>
            <w:vAlign w:val="center"/>
          </w:tcPr>
          <w:p w14:paraId="2949E28F">
            <w:pPr>
              <w:pStyle w:val="784"/>
              <w:widowControl w:val="0"/>
              <w:spacing w:line="360" w:lineRule="auto"/>
              <w:jc w:val="center"/>
              <w:rPr>
                <w:rFonts w:ascii="宋体" w:hAnsi="宋体" w:cs="宋体"/>
                <w:b/>
                <w:bCs/>
              </w:rPr>
            </w:pPr>
            <w:r>
              <w:rPr>
                <w:rFonts w:hint="eastAsia" w:ascii="宋体" w:hAnsi="宋体" w:cs="宋体"/>
                <w:b/>
                <w:bCs/>
              </w:rPr>
              <w:t>主观分</w:t>
            </w:r>
          </w:p>
        </w:tc>
        <w:tc>
          <w:tcPr>
            <w:tcW w:w="1267" w:type="dxa"/>
            <w:tcBorders>
              <w:tl2br w:val="nil"/>
              <w:tr2bl w:val="nil"/>
            </w:tcBorders>
            <w:vAlign w:val="center"/>
          </w:tcPr>
          <w:p w14:paraId="3331CA81">
            <w:pPr>
              <w:pStyle w:val="784"/>
              <w:widowControl w:val="0"/>
              <w:spacing w:line="360" w:lineRule="auto"/>
              <w:rPr>
                <w:rFonts w:ascii="宋体" w:hAnsi="宋体" w:cs="宋体"/>
              </w:rPr>
            </w:pPr>
          </w:p>
        </w:tc>
      </w:tr>
      <w:tr w14:paraId="3A81F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tcBorders>
              <w:tl2br w:val="nil"/>
              <w:tr2bl w:val="nil"/>
            </w:tcBorders>
            <w:vAlign w:val="center"/>
          </w:tcPr>
          <w:p w14:paraId="73FCB357">
            <w:pPr>
              <w:pStyle w:val="784"/>
              <w:widowControl w:val="0"/>
              <w:spacing w:line="360" w:lineRule="auto"/>
              <w:jc w:val="center"/>
              <w:rPr>
                <w:rFonts w:ascii="宋体" w:hAnsi="宋体" w:cs="宋体"/>
                <w:kern w:val="2"/>
              </w:rPr>
            </w:pPr>
            <w:r>
              <w:rPr>
                <w:rFonts w:hint="eastAsia" w:ascii="宋体" w:hAnsi="宋体" w:cs="宋体"/>
                <w:kern w:val="2"/>
              </w:rPr>
              <w:t>价格分</w:t>
            </w:r>
          </w:p>
        </w:tc>
        <w:tc>
          <w:tcPr>
            <w:tcW w:w="5088" w:type="dxa"/>
            <w:tcBorders>
              <w:tl2br w:val="nil"/>
              <w:tr2bl w:val="nil"/>
            </w:tcBorders>
            <w:vAlign w:val="center"/>
          </w:tcPr>
          <w:p w14:paraId="6E5C487A">
            <w:pPr>
              <w:widowControl/>
              <w:spacing w:line="360" w:lineRule="auto"/>
              <w:jc w:val="left"/>
              <w:rPr>
                <w:rFonts w:ascii="宋体" w:hAnsi="宋体" w:cs="宋体"/>
                <w:kern w:val="0"/>
                <w:szCs w:val="21"/>
              </w:rPr>
            </w:pPr>
            <w:r>
              <w:rPr>
                <w:rFonts w:hint="eastAsia" w:ascii="宋体" w:hAnsi="宋体" w:cs="宋体"/>
                <w:kern w:val="0"/>
                <w:szCs w:val="21"/>
              </w:rPr>
              <w:t>有效投标报价的最低价作为评标基准价，其最低报价为满分；按［投标报价得分=（评标基准价/投标报价）*10］的计算公式计算。</w:t>
            </w:r>
          </w:p>
          <w:p w14:paraId="2B1863C3">
            <w:pPr>
              <w:widowControl/>
              <w:spacing w:line="360" w:lineRule="auto"/>
              <w:jc w:val="left"/>
              <w:rPr>
                <w:rFonts w:ascii="宋体" w:hAnsi="宋体" w:cs="宋体"/>
                <w:kern w:val="0"/>
                <w:szCs w:val="21"/>
              </w:rPr>
            </w:pPr>
            <w:r>
              <w:rPr>
                <w:rFonts w:hint="eastAsia" w:ascii="宋体" w:hAnsi="宋体" w:cs="宋体"/>
                <w:kern w:val="0"/>
                <w:szCs w:val="21"/>
              </w:rPr>
              <w:t>评标过程中，不得去掉报价中的最高报价和最低报价。</w:t>
            </w:r>
          </w:p>
          <w:p w14:paraId="3933F3D4">
            <w:pPr>
              <w:pStyle w:val="784"/>
              <w:widowControl w:val="0"/>
              <w:spacing w:line="360" w:lineRule="auto"/>
              <w:rPr>
                <w:rFonts w:ascii="宋体" w:hAnsi="宋体" w:cs="宋体"/>
                <w:lang w:val="zh-TW"/>
              </w:rPr>
            </w:pPr>
            <w:r>
              <w:rPr>
                <w:rFonts w:hint="eastAsia" w:ascii="宋体" w:hAnsi="宋体" w:cs="宋体"/>
              </w:rPr>
              <w:t>因落实政府采购政策需要进行价格调整的，以调整后的价格计算评标基准价和投标报价。</w:t>
            </w:r>
          </w:p>
        </w:tc>
        <w:tc>
          <w:tcPr>
            <w:tcW w:w="730" w:type="dxa"/>
            <w:tcBorders>
              <w:tl2br w:val="nil"/>
              <w:tr2bl w:val="nil"/>
            </w:tcBorders>
            <w:vAlign w:val="center"/>
          </w:tcPr>
          <w:p w14:paraId="4792F8D6">
            <w:pPr>
              <w:pStyle w:val="784"/>
              <w:widowControl w:val="0"/>
              <w:spacing w:line="360" w:lineRule="auto"/>
              <w:jc w:val="center"/>
              <w:rPr>
                <w:rFonts w:ascii="宋体" w:hAnsi="宋体" w:cs="宋体"/>
                <w:b/>
                <w:bCs/>
              </w:rPr>
            </w:pPr>
            <w:r>
              <w:rPr>
                <w:rFonts w:hint="eastAsia" w:ascii="宋体" w:hAnsi="宋体" w:cs="宋体"/>
                <w:b/>
                <w:bCs/>
              </w:rPr>
              <w:t>10</w:t>
            </w:r>
          </w:p>
        </w:tc>
        <w:tc>
          <w:tcPr>
            <w:tcW w:w="1126" w:type="dxa"/>
            <w:tcBorders>
              <w:tl2br w:val="nil"/>
              <w:tr2bl w:val="nil"/>
            </w:tcBorders>
            <w:vAlign w:val="center"/>
          </w:tcPr>
          <w:p w14:paraId="6EDFB42F">
            <w:pPr>
              <w:pStyle w:val="784"/>
              <w:widowControl w:val="0"/>
              <w:spacing w:line="360" w:lineRule="auto"/>
              <w:jc w:val="center"/>
              <w:rPr>
                <w:rFonts w:ascii="宋体" w:hAnsi="宋体" w:cs="宋体"/>
                <w:b/>
                <w:bCs/>
              </w:rPr>
            </w:pPr>
            <w:r>
              <w:rPr>
                <w:rFonts w:hint="eastAsia" w:ascii="宋体" w:hAnsi="宋体" w:cs="宋体"/>
                <w:b/>
                <w:bCs/>
              </w:rPr>
              <w:t>客观分</w:t>
            </w:r>
          </w:p>
        </w:tc>
        <w:tc>
          <w:tcPr>
            <w:tcW w:w="1267" w:type="dxa"/>
            <w:tcBorders>
              <w:tl2br w:val="nil"/>
              <w:tr2bl w:val="nil"/>
            </w:tcBorders>
            <w:vAlign w:val="center"/>
          </w:tcPr>
          <w:p w14:paraId="7F8DD8C0">
            <w:pPr>
              <w:pStyle w:val="784"/>
              <w:widowControl w:val="0"/>
              <w:spacing w:line="360" w:lineRule="auto"/>
              <w:jc w:val="center"/>
              <w:rPr>
                <w:rFonts w:ascii="宋体" w:hAnsi="宋体" w:cs="宋体"/>
              </w:rPr>
            </w:pPr>
            <w:r>
              <w:rPr>
                <w:rFonts w:hint="eastAsia" w:ascii="宋体" w:hAnsi="宋体" w:cs="宋体"/>
              </w:rPr>
              <w:t>/</w:t>
            </w:r>
          </w:p>
        </w:tc>
      </w:tr>
    </w:tbl>
    <w:p w14:paraId="5AA46899">
      <w:pPr>
        <w:spacing w:line="360" w:lineRule="auto"/>
        <w:rPr>
          <w:szCs w:val="21"/>
        </w:rPr>
      </w:pPr>
    </w:p>
    <w:p w14:paraId="77614CEF">
      <w:pPr>
        <w:rPr>
          <w:rFonts w:hint="eastAsia" w:ascii="宋体" w:hAnsi="宋体" w:cs="宋体"/>
          <w:b/>
          <w:szCs w:val="21"/>
        </w:rPr>
      </w:pPr>
      <w:r>
        <w:rPr>
          <w:rFonts w:hint="eastAsia" w:ascii="宋体" w:hAnsi="宋体" w:cs="宋体"/>
          <w:b/>
          <w:szCs w:val="21"/>
        </w:rPr>
        <w:br w:type="page"/>
      </w:r>
    </w:p>
    <w:p w14:paraId="09FE040E">
      <w:pPr>
        <w:snapToGrid w:val="0"/>
        <w:spacing w:line="360" w:lineRule="auto"/>
        <w:rPr>
          <w:rFonts w:ascii="宋体" w:hAnsi="宋体" w:cs="宋体"/>
          <w:b/>
          <w:szCs w:val="21"/>
        </w:rPr>
      </w:pPr>
      <w:r>
        <w:rPr>
          <w:rFonts w:hint="eastAsia" w:ascii="宋体" w:hAnsi="宋体" w:cs="宋体"/>
          <w:b/>
          <w:szCs w:val="21"/>
        </w:rPr>
        <w:t>备注：</w:t>
      </w:r>
    </w:p>
    <w:p w14:paraId="70EE4F65">
      <w:pPr>
        <w:snapToGrid w:val="0"/>
        <w:spacing w:line="360" w:lineRule="auto"/>
        <w:ind w:firstLine="420" w:firstLineChars="200"/>
        <w:rPr>
          <w:rFonts w:ascii="宋体" w:hAnsi="宋体" w:cs="宋体"/>
          <w:szCs w:val="21"/>
        </w:rPr>
      </w:pPr>
      <w:r>
        <w:rPr>
          <w:rFonts w:hint="eastAsia" w:ascii="宋体" w:hAnsi="宋体" w:cs="宋体"/>
          <w:szCs w:val="21"/>
        </w:rPr>
        <w:t>1.投标人编制投标文件（商务技术文件部分）时，建议按此目录（序号和内容）提供评标标准相应的商务技术资料。</w:t>
      </w:r>
    </w:p>
    <w:p w14:paraId="0168CC62">
      <w:pPr>
        <w:snapToGrid w:val="0"/>
        <w:spacing w:line="360" w:lineRule="auto"/>
        <w:ind w:firstLine="420" w:firstLineChars="200"/>
        <w:rPr>
          <w:rFonts w:ascii="宋体" w:hAnsi="宋体" w:cs="宋体"/>
          <w:b/>
          <w:szCs w:val="21"/>
        </w:rPr>
      </w:pPr>
      <w:r>
        <w:rPr>
          <w:rFonts w:hint="eastAsia" w:ascii="宋体" w:hAnsi="宋体" w:cs="宋体"/>
          <w:szCs w:val="21"/>
        </w:rPr>
        <w:t>2.对于未预留份额专门面向中小企业的政府采购服务项目，以及预留份额政府采购服务项目中的非预留部分标项，对小型和微型企业的投标报价给予</w:t>
      </w:r>
      <w:r>
        <w:rPr>
          <w:rFonts w:hint="eastAsia" w:ascii="宋体" w:hAnsi="宋体" w:cs="宋体"/>
          <w:b/>
          <w:bCs/>
          <w:szCs w:val="21"/>
        </w:rPr>
        <w:t>10%</w:t>
      </w:r>
      <w:r>
        <w:rPr>
          <w:rFonts w:hint="eastAsia" w:ascii="宋体" w:hAnsi="宋体" w:cs="宋体"/>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Cs w:val="21"/>
        </w:rPr>
        <w:t>4%</w:t>
      </w:r>
      <w:r>
        <w:rPr>
          <w:rFonts w:hint="eastAsia" w:ascii="宋体" w:hAnsi="宋体" w:cs="宋体"/>
          <w:szCs w:val="21"/>
        </w:rPr>
        <w:t>的扣除，用扣除后的价格参加评审。</w:t>
      </w:r>
      <w:r>
        <w:rPr>
          <w:rFonts w:hint="eastAsia" w:ascii="宋体" w:hAnsi="宋体" w:cs="宋体"/>
          <w:b/>
          <w:szCs w:val="21"/>
        </w:rPr>
        <w:br w:type="page"/>
      </w:r>
    </w:p>
    <w:p w14:paraId="2C75744A">
      <w:pPr>
        <w:pStyle w:val="3"/>
        <w:rPr>
          <w:szCs w:val="21"/>
        </w:rPr>
      </w:pPr>
      <w:r>
        <w:rPr>
          <w:rFonts w:hint="eastAsia"/>
          <w:szCs w:val="21"/>
        </w:rPr>
        <w:t>一、评标方法</w:t>
      </w:r>
    </w:p>
    <w:p w14:paraId="30FB0690">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293792D3">
      <w:pPr>
        <w:pStyle w:val="3"/>
        <w:rPr>
          <w:szCs w:val="21"/>
        </w:rPr>
      </w:pPr>
      <w:r>
        <w:rPr>
          <w:rFonts w:hint="eastAsia"/>
          <w:szCs w:val="21"/>
        </w:rPr>
        <w:t>二、评标标准</w:t>
      </w:r>
    </w:p>
    <w:p w14:paraId="540875F1">
      <w:pPr>
        <w:spacing w:line="360" w:lineRule="auto"/>
        <w:ind w:firstLine="413" w:firstLineChars="196"/>
        <w:rPr>
          <w:rFonts w:ascii="宋体" w:hAnsi="宋体" w:cs="宋体"/>
          <w:b/>
          <w:szCs w:val="21"/>
        </w:rPr>
      </w:pPr>
      <w:r>
        <w:rPr>
          <w:rFonts w:hint="eastAsia" w:ascii="宋体" w:hAnsi="宋体" w:cs="宋体"/>
          <w:b/>
          <w:szCs w:val="21"/>
        </w:rPr>
        <w:t>2.评标标准：</w:t>
      </w:r>
      <w:r>
        <w:rPr>
          <w:rFonts w:hint="eastAsia" w:ascii="宋体" w:hAnsi="宋体" w:cs="宋体"/>
          <w:kern w:val="0"/>
          <w:szCs w:val="21"/>
        </w:rPr>
        <w:t>见评标办法前附表。</w:t>
      </w:r>
    </w:p>
    <w:p w14:paraId="63A1731B">
      <w:pPr>
        <w:pStyle w:val="3"/>
        <w:rPr>
          <w:szCs w:val="21"/>
        </w:rPr>
      </w:pPr>
      <w:r>
        <w:rPr>
          <w:rFonts w:hint="eastAsia"/>
          <w:szCs w:val="21"/>
        </w:rPr>
        <w:t>三、评标程序</w:t>
      </w:r>
    </w:p>
    <w:p w14:paraId="43C9BF28">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3.1符合性审查。评标委员会应当对符合资格的投标人的投标文件进行符合性审查，以确定其是否满足招标文件的实质性要求。不满足招标文件的实质性要求的，投标无效。</w:t>
      </w:r>
    </w:p>
    <w:p w14:paraId="2DB72E09">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3.2 比较与评价。评标委员会应当按照招标文件中规定的评标方法和标准，对符合性审查合格的投标文件进行商务和技术评估，综合比较与评价。</w:t>
      </w:r>
    </w:p>
    <w:p w14:paraId="676DD43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3.3汇总商务技术得分。评标委员会各成员应当独立对每个投标人的商务和技术文件进行评价，并汇总商务技术得分情况。</w:t>
      </w:r>
    </w:p>
    <w:p w14:paraId="7B72ACEC">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3.4报价评审。</w:t>
      </w:r>
    </w:p>
    <w:p w14:paraId="7960D85C">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3.4.1投标文件报价出现前后不一致的，按照下列规定修正：</w:t>
      </w:r>
    </w:p>
    <w:p w14:paraId="135940B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3.4.1.1投标文件中开标一览表(报价表)内容与投标文件中相应内容不一致的，以开标一览表(报价表)为准;</w:t>
      </w:r>
    </w:p>
    <w:p w14:paraId="6214EA6C">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3.4.1.2大写金额和小写金额不一致的，以大写金额为准;</w:t>
      </w:r>
    </w:p>
    <w:p w14:paraId="57721CA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3.4.1.3单价金额小数点或者百分比有明显错位的，以开标一览表的总价为准，并修改单价;</w:t>
      </w:r>
    </w:p>
    <w:p w14:paraId="4FC32B2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3.4.1.4总价金额与按单价汇总金额不一致的，以单价金额计算结果为准。</w:t>
      </w:r>
    </w:p>
    <w:p w14:paraId="0D5C7A1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3.4.1.5同时出现两种以上不一致的，按照3.4.1规定的顺序修正。修正后的报价按照财政部第87号令 《政府采购货物和服务招标投标管理办法》第五十一条第二款的规定经投标人确认后产生约束力。</w:t>
      </w:r>
    </w:p>
    <w:p w14:paraId="2FC4EA9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3.4.2投标文件出现不是唯一的、有选择性投标报价的，投标无效。</w:t>
      </w:r>
    </w:p>
    <w:p w14:paraId="3069B1ED">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3.4.3投标报价超过招标文件中规定的预算金额或者最高限价的，投标无效。</w:t>
      </w:r>
    </w:p>
    <w:p w14:paraId="61DB949B">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E0F16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99AFE5">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FDB5DD">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36B8A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579313">
      <w:pPr>
        <w:pStyle w:val="3"/>
        <w:rPr>
          <w:szCs w:val="21"/>
        </w:rPr>
      </w:pPr>
      <w:r>
        <w:rPr>
          <w:rFonts w:hint="eastAsia"/>
          <w:szCs w:val="21"/>
        </w:rPr>
        <w:t>四、评标中的其他事项</w:t>
      </w:r>
    </w:p>
    <w:p w14:paraId="7DB20BA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75F802">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4.2投标无效。有下列情形之一的，投标无效：</w:t>
      </w:r>
    </w:p>
    <w:p w14:paraId="72B845C2">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4.2.1投标人不具备招标文件中规定的资格要求的（投标人未提供有效的资格文件的，视为投标人不具备招标文件中规定的资格要求）；</w:t>
      </w:r>
    </w:p>
    <w:p w14:paraId="225905E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4.2.2投标文件未按照招标文件要求签署、盖章的；</w:t>
      </w:r>
    </w:p>
    <w:p w14:paraId="4C456F60">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4.2.3采购人拟采购的产品属于政府强制采购的节能产品品目清单范围的，投标人相应的投标产品未获得国家确定的认证机构出具的、处于有效期之内的节能产品认证证书的；</w:t>
      </w:r>
    </w:p>
    <w:p w14:paraId="1ECE8FA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4.2.4投标文件含有采购人不能接受的附加条件的；</w:t>
      </w:r>
    </w:p>
    <w:p w14:paraId="7569514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4.2.5投标文件中承诺的投标有效期少于招标文件中载明的投标有效期的；</w:t>
      </w:r>
    </w:p>
    <w:p w14:paraId="646014A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 xml:space="preserve">   4.2.6投标文件出现不是唯一的、有选择性投标报价的;</w:t>
      </w:r>
    </w:p>
    <w:p w14:paraId="5505B1F8">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4.2.7投标报价超过招标文件中规定的预算金额或者最高限价的;</w:t>
      </w:r>
    </w:p>
    <w:p w14:paraId="56896CBB">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4.2.8报价明显低于其他通过符合性审查投标人的报价，有可能影响产品质量或者不能诚信履约的，未能按要求提供书面说明或者提交相关证明材料，不能证明其报价合理性的;</w:t>
      </w:r>
    </w:p>
    <w:p w14:paraId="711D2283">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4.2.9投标人对根据修正原则修正后的报价不确认的；</w:t>
      </w:r>
    </w:p>
    <w:p w14:paraId="05C200F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4.2.10投标人提供虚假材料投标的；</w:t>
      </w:r>
    </w:p>
    <w:p w14:paraId="7EABC37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4.2.11投标人有恶意串通、妨碍其他投标人的竞争行为、损害采购人或者其他投标人的合法权益情形的；</w:t>
      </w:r>
    </w:p>
    <w:p w14:paraId="1E77A8B8">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4.2.12投标人仅提交备份投标文件，未在电子交易平台传输递交投标文件的，投标无效；</w:t>
      </w:r>
    </w:p>
    <w:p w14:paraId="6F905CB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4.2.13 投标文件不满足招标文件的其它实质性要求的；</w:t>
      </w:r>
    </w:p>
    <w:p w14:paraId="104158A2">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4.2.14法律、法规、规章（适用本市的）及省级以上规范性文件（适用本市的）规定的其他无效情形。</w:t>
      </w:r>
    </w:p>
    <w:p w14:paraId="35F2006A">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5.废标。根据《中华人民共和国政府采购法》第三十六条之规定，在采购中，出现下列情形之一的，应予废标：</w:t>
      </w:r>
    </w:p>
    <w:p w14:paraId="2006B9E0">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5.1符合专业条件的供应商或者对招标文件作实质响应的供应商不足3家的；</w:t>
      </w:r>
    </w:p>
    <w:p w14:paraId="3D15984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5.2出现影响采购公正的违法、违规行为的；</w:t>
      </w:r>
    </w:p>
    <w:p w14:paraId="007F7D5D">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5.3投标人的报价均超过了采购预算，采购人不能支付的；</w:t>
      </w:r>
    </w:p>
    <w:p w14:paraId="35F91AA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5.4因重大变故，采购任务取消的。</w:t>
      </w:r>
    </w:p>
    <w:p w14:paraId="30801F2F">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废标后，采购代理机构应当将废标理由通知所有投标人。</w:t>
      </w:r>
    </w:p>
    <w:p w14:paraId="3E391AF3">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FCBC40E">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7.重新开展采购。有政府采购法第七十一条、第七十二条规定的违法行为之一，影响或者可能影响中标、成交结果的，依照下列规定处理：</w:t>
      </w:r>
    </w:p>
    <w:p w14:paraId="372D168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7.1未确定中标或者中标人的，终止本次政府采购活动，重新开展政府采购活动。</w:t>
      </w:r>
    </w:p>
    <w:p w14:paraId="57C5A017">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539B7FE6">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7.3政府采购合同已签订但尚未履行的，撤销合同，从合格的中标或者成交候选人中另行确定中标或者中标人；没有合格的中标或者成交候选人的，重新开展政府采购活动。</w:t>
      </w:r>
    </w:p>
    <w:p w14:paraId="0F8689D4">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7.4政府采购合同已经履行，给采购人、供应商造成损失的，由责任人承担赔偿责任。</w:t>
      </w:r>
    </w:p>
    <w:p w14:paraId="37623360">
      <w:pPr>
        <w:adjustRightInd/>
        <w:spacing w:line="360" w:lineRule="auto"/>
        <w:ind w:firstLine="411" w:firstLineChars="196"/>
        <w:rPr>
          <w:rFonts w:ascii="宋体" w:hAnsi="宋体" w:cs="宋体"/>
          <w:bCs/>
          <w:kern w:val="0"/>
          <w:szCs w:val="21"/>
        </w:rPr>
      </w:pPr>
      <w:r>
        <w:rPr>
          <w:rFonts w:hint="eastAsia" w:ascii="宋体" w:hAnsi="宋体" w:cs="宋体"/>
          <w:bCs/>
          <w:kern w:val="0"/>
          <w:szCs w:val="21"/>
        </w:rPr>
        <w:t>7.5政府采购当事人有其他违反政府采购法或者政府采购法实施条例等法律法规规定的行为，经改正后仍然影响或者可能影响中标、成交结果或者依法被认定为中标、成交无效的，依照7.1-7.4规定处理。</w:t>
      </w:r>
    </w:p>
    <w:bookmarkEnd w:id="31"/>
    <w:p w14:paraId="4D59CDE7">
      <w:pPr>
        <w:spacing w:line="360" w:lineRule="auto"/>
        <w:rPr>
          <w:rFonts w:ascii="宋体" w:hAnsi="宋体" w:cs="宋体"/>
          <w:b/>
          <w:szCs w:val="21"/>
        </w:rPr>
      </w:pPr>
      <w:bookmarkStart w:id="441" w:name="第五部分"/>
      <w:bookmarkStart w:id="442" w:name="_Toc86217003"/>
      <w:r>
        <w:rPr>
          <w:rFonts w:hint="eastAsia" w:ascii="宋体" w:hAnsi="宋体" w:cs="宋体"/>
          <w:b/>
          <w:szCs w:val="21"/>
        </w:rPr>
        <w:br w:type="page"/>
      </w:r>
    </w:p>
    <w:p w14:paraId="093D0391">
      <w:pPr>
        <w:pStyle w:val="2"/>
      </w:pPr>
      <w:bookmarkStart w:id="443" w:name="_Toc14882"/>
      <w:r>
        <w:rPr>
          <w:rFonts w:hint="eastAsia"/>
        </w:rPr>
        <w:t>第五部分 拟签订的合同文本</w:t>
      </w:r>
      <w:bookmarkEnd w:id="443"/>
    </w:p>
    <w:p w14:paraId="04BE93B1">
      <w:pPr>
        <w:rPr>
          <w:rFonts w:ascii="宋体" w:hAnsi="宋体" w:cs="宋体"/>
          <w:sz w:val="24"/>
          <w:u w:val="single"/>
        </w:rPr>
      </w:pPr>
      <w:r>
        <w:rPr>
          <w:rFonts w:hint="eastAsia" w:ascii="宋体" w:hAnsi="宋体" w:cs="宋体"/>
          <w:sz w:val="24"/>
        </w:rPr>
        <w:t>合同编号：</w:t>
      </w:r>
    </w:p>
    <w:p w14:paraId="1E34A1C1">
      <w:pPr>
        <w:spacing w:line="480" w:lineRule="auto"/>
        <w:jc w:val="center"/>
        <w:rPr>
          <w:rFonts w:ascii="宋体" w:hAnsi="宋体" w:cs="宋体"/>
          <w:b/>
          <w:sz w:val="28"/>
          <w:szCs w:val="28"/>
        </w:rPr>
      </w:pPr>
    </w:p>
    <w:p w14:paraId="642E2248">
      <w:pPr>
        <w:spacing w:line="480" w:lineRule="auto"/>
        <w:jc w:val="center"/>
        <w:rPr>
          <w:rFonts w:ascii="宋体" w:hAnsi="宋体" w:cs="宋体"/>
          <w:b/>
          <w:sz w:val="24"/>
        </w:rPr>
      </w:pPr>
    </w:p>
    <w:p w14:paraId="58E614B3">
      <w:pPr>
        <w:spacing w:line="480" w:lineRule="auto"/>
        <w:jc w:val="center"/>
        <w:rPr>
          <w:rFonts w:ascii="宋体" w:hAnsi="宋体" w:cs="宋体"/>
          <w:b/>
          <w:sz w:val="24"/>
        </w:rPr>
      </w:pPr>
    </w:p>
    <w:p w14:paraId="0DB4EA2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08691F5">
      <w:pPr>
        <w:spacing w:line="480" w:lineRule="auto"/>
        <w:jc w:val="center"/>
        <w:rPr>
          <w:rFonts w:ascii="宋体" w:hAnsi="宋体" w:cs="宋体"/>
          <w:b/>
          <w:sz w:val="36"/>
          <w:szCs w:val="36"/>
        </w:rPr>
      </w:pPr>
      <w:r>
        <w:rPr>
          <w:rFonts w:hint="eastAsia" w:ascii="宋体" w:hAnsi="宋体" w:cs="宋体"/>
          <w:b/>
          <w:sz w:val="36"/>
          <w:szCs w:val="36"/>
        </w:rPr>
        <w:t>（服务类）</w:t>
      </w:r>
    </w:p>
    <w:p w14:paraId="759A5704">
      <w:pPr>
        <w:pStyle w:val="702"/>
        <w:rPr>
          <w:rFonts w:ascii="宋体" w:hAnsi="宋体" w:cs="宋体"/>
          <w:szCs w:val="24"/>
        </w:rPr>
      </w:pPr>
    </w:p>
    <w:p w14:paraId="3D092DC3">
      <w:pPr>
        <w:pStyle w:val="702"/>
        <w:rPr>
          <w:rFonts w:ascii="宋体" w:hAnsi="宋体" w:cs="宋体"/>
          <w:szCs w:val="24"/>
        </w:rPr>
      </w:pPr>
    </w:p>
    <w:p w14:paraId="242D6EAE">
      <w:pPr>
        <w:pStyle w:val="702"/>
        <w:jc w:val="center"/>
        <w:rPr>
          <w:rFonts w:ascii="宋体" w:hAnsi="宋体" w:cs="宋体"/>
          <w:szCs w:val="24"/>
        </w:rPr>
      </w:pPr>
    </w:p>
    <w:p w14:paraId="7DFBBEB5">
      <w:pPr>
        <w:pStyle w:val="702"/>
        <w:ind w:firstLine="2843" w:firstLineChars="1180"/>
        <w:rPr>
          <w:rFonts w:ascii="宋体" w:hAnsi="宋体" w:cs="宋体"/>
          <w:b/>
          <w:szCs w:val="24"/>
        </w:rPr>
      </w:pPr>
      <w:r>
        <w:rPr>
          <w:rFonts w:hint="eastAsia" w:ascii="宋体" w:hAnsi="宋体" w:cs="宋体"/>
          <w:b/>
          <w:szCs w:val="24"/>
        </w:rPr>
        <w:t>第一部分 合同书</w:t>
      </w:r>
    </w:p>
    <w:p w14:paraId="3DD01A1E">
      <w:pPr>
        <w:pStyle w:val="702"/>
        <w:rPr>
          <w:rFonts w:ascii="宋体" w:hAnsi="宋体" w:cs="宋体"/>
          <w:szCs w:val="24"/>
        </w:rPr>
      </w:pPr>
    </w:p>
    <w:p w14:paraId="7386CE2E">
      <w:pPr>
        <w:spacing w:before="120" w:line="22" w:lineRule="atLeast"/>
        <w:rPr>
          <w:rFonts w:ascii="宋体" w:hAnsi="宋体" w:cs="宋体"/>
          <w:sz w:val="24"/>
        </w:rPr>
      </w:pPr>
    </w:p>
    <w:p w14:paraId="15A0C063">
      <w:pPr>
        <w:spacing w:before="120" w:line="22" w:lineRule="atLeast"/>
        <w:ind w:left="960"/>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p>
    <w:p w14:paraId="53014B3D">
      <w:pPr>
        <w:pStyle w:val="599"/>
        <w:spacing w:before="120" w:line="22" w:lineRule="atLeast"/>
        <w:rPr>
          <w:rFonts w:ascii="宋体" w:hAnsi="宋体" w:eastAsia="宋体" w:cs="宋体"/>
          <w:sz w:val="21"/>
          <w:szCs w:val="21"/>
        </w:rPr>
      </w:pPr>
    </w:p>
    <w:p w14:paraId="73B0429E">
      <w:pPr>
        <w:pStyle w:val="599"/>
        <w:spacing w:before="120" w:line="22" w:lineRule="atLeast"/>
        <w:rPr>
          <w:rFonts w:ascii="宋体" w:hAnsi="宋体" w:eastAsia="宋体" w:cs="宋体"/>
          <w:sz w:val="21"/>
          <w:szCs w:val="21"/>
        </w:rPr>
      </w:pPr>
    </w:p>
    <w:p w14:paraId="4BF890F9">
      <w:pPr>
        <w:rPr>
          <w:rFonts w:ascii="宋体" w:hAnsi="宋体" w:cs="宋体"/>
          <w:szCs w:val="21"/>
        </w:rPr>
      </w:pPr>
    </w:p>
    <w:p w14:paraId="19DE77C0">
      <w:pPr>
        <w:spacing w:before="120" w:line="22" w:lineRule="atLeast"/>
        <w:ind w:left="960"/>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p>
    <w:p w14:paraId="06A4CBAF">
      <w:pPr>
        <w:spacing w:before="120" w:line="22" w:lineRule="atLeast"/>
        <w:rPr>
          <w:rFonts w:ascii="宋体" w:hAnsi="宋体" w:cs="宋体"/>
          <w:szCs w:val="21"/>
        </w:rPr>
      </w:pPr>
    </w:p>
    <w:p w14:paraId="7B269E43">
      <w:pPr>
        <w:spacing w:before="120" w:line="22" w:lineRule="atLeast"/>
        <w:ind w:left="960"/>
        <w:rPr>
          <w:rFonts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14:paraId="13925832">
      <w:pPr>
        <w:spacing w:before="120" w:line="22" w:lineRule="atLeast"/>
        <w:rPr>
          <w:rFonts w:ascii="宋体" w:hAnsi="宋体" w:cs="宋体"/>
          <w:szCs w:val="21"/>
        </w:rPr>
      </w:pPr>
    </w:p>
    <w:p w14:paraId="704E2059">
      <w:pPr>
        <w:spacing w:before="120" w:line="22" w:lineRule="atLeast"/>
        <w:ind w:firstLine="840" w:firstLineChars="400"/>
        <w:rPr>
          <w:rFonts w:ascii="宋体" w:hAnsi="宋体" w:cs="宋体"/>
          <w:szCs w:val="21"/>
          <w:u w:val="single"/>
        </w:rPr>
      </w:pPr>
      <w:r>
        <w:rPr>
          <w:rFonts w:hint="eastAsia" w:ascii="宋体" w:hAnsi="宋体" w:cs="宋体"/>
          <w:szCs w:val="21"/>
        </w:rPr>
        <w:t>签订地：</w:t>
      </w:r>
      <w:r>
        <w:rPr>
          <w:rFonts w:hint="eastAsia" w:ascii="宋体" w:hAnsi="宋体" w:cs="宋体"/>
          <w:szCs w:val="21"/>
          <w:u w:val="single"/>
        </w:rPr>
        <w:t xml:space="preserve">                                     </w:t>
      </w:r>
    </w:p>
    <w:p w14:paraId="003BDA4A">
      <w:pPr>
        <w:spacing w:before="120" w:line="22" w:lineRule="atLeast"/>
        <w:rPr>
          <w:rFonts w:ascii="宋体" w:hAnsi="宋体" w:cs="宋体"/>
          <w:szCs w:val="21"/>
        </w:rPr>
      </w:pPr>
    </w:p>
    <w:p w14:paraId="1332085A">
      <w:pPr>
        <w:spacing w:before="120" w:line="22" w:lineRule="atLeast"/>
        <w:ind w:firstLine="840" w:firstLineChars="400"/>
        <w:rPr>
          <w:rFonts w:ascii="宋体" w:hAnsi="宋体" w:cs="宋体"/>
          <w:szCs w:val="21"/>
          <w:u w:val="single"/>
        </w:rPr>
      </w:pPr>
      <w:r>
        <w:rPr>
          <w:rFonts w:hint="eastAsia" w:ascii="宋体" w:hAnsi="宋体" w:cs="宋体"/>
          <w:szCs w:val="21"/>
        </w:rPr>
        <w:t>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FEE8FEA">
      <w:pPr>
        <w:widowControl/>
        <w:jc w:val="left"/>
        <w:rPr>
          <w:rFonts w:ascii="宋体" w:hAnsi="宋体" w:cs="宋体"/>
          <w:kern w:val="0"/>
          <w:sz w:val="24"/>
        </w:rPr>
        <w:sectPr>
          <w:pgSz w:w="11907" w:h="16840"/>
          <w:pgMar w:top="680" w:right="1417" w:bottom="471" w:left="1417" w:header="851" w:footer="851" w:gutter="0"/>
          <w:cols w:space="720" w:num="1"/>
        </w:sectPr>
      </w:pPr>
    </w:p>
    <w:p w14:paraId="5009D9FB">
      <w:pPr>
        <w:spacing w:line="360" w:lineRule="auto"/>
        <w:ind w:firstLine="420" w:firstLineChars="200"/>
        <w:rPr>
          <w:rFonts w:ascii="宋体" w:hAnsi="宋体" w:cs="宋体"/>
          <w:szCs w:val="21"/>
        </w:rPr>
      </w:pPr>
      <w:r>
        <w:rPr>
          <w:rFonts w:hint="eastAsia" w:ascii="宋体" w:hAnsi="宋体" w:cs="宋体"/>
          <w:szCs w:val="21"/>
          <w:u w:val="single"/>
          <w:lang w:val="zh-CN"/>
        </w:rPr>
        <w:t xml:space="preserve">        </w:t>
      </w:r>
      <w:r>
        <w:rPr>
          <w:rFonts w:hint="eastAsia" w:ascii="宋体" w:hAnsi="宋体" w:cs="宋体"/>
          <w:szCs w:val="21"/>
          <w:lang w:val="zh-CN"/>
        </w:rPr>
        <w:t>年</w:t>
      </w:r>
      <w:r>
        <w:rPr>
          <w:rFonts w:hint="eastAsia" w:ascii="宋体" w:hAnsi="宋体" w:cs="宋体"/>
          <w:szCs w:val="21"/>
          <w:u w:val="single"/>
          <w:lang w:val="zh-CN"/>
        </w:rPr>
        <w:t xml:space="preserve">    </w:t>
      </w:r>
      <w:r>
        <w:rPr>
          <w:rFonts w:hint="eastAsia" w:ascii="宋体" w:hAnsi="宋体" w:cs="宋体"/>
          <w:szCs w:val="21"/>
          <w:lang w:val="zh-CN"/>
        </w:rPr>
        <w:t>月</w:t>
      </w:r>
      <w:r>
        <w:rPr>
          <w:rFonts w:hint="eastAsia" w:ascii="宋体" w:hAnsi="宋体" w:cs="宋体"/>
          <w:szCs w:val="21"/>
          <w:u w:val="single"/>
          <w:lang w:val="zh-CN"/>
        </w:rPr>
        <w:t xml:space="preserve">    </w:t>
      </w:r>
      <w:r>
        <w:rPr>
          <w:rFonts w:hint="eastAsia" w:ascii="宋体" w:hAnsi="宋体" w:cs="宋体"/>
          <w:szCs w:val="21"/>
          <w:lang w:val="zh-CN"/>
        </w:rPr>
        <w:t>日</w:t>
      </w:r>
      <w:r>
        <w:rPr>
          <w:rFonts w:hint="eastAsia" w:ascii="宋体" w:hAnsi="宋体" w:cs="宋体"/>
          <w:szCs w:val="21"/>
        </w:rPr>
        <w:t>，</w:t>
      </w:r>
      <w:r>
        <w:rPr>
          <w:rFonts w:hint="eastAsia" w:ascii="宋体" w:hAnsi="宋体" w:cs="宋体"/>
          <w:szCs w:val="21"/>
          <w:u w:val="single"/>
        </w:rPr>
        <w:t xml:space="preserve"> 杭州市钱塘区人民政府办公室</w:t>
      </w:r>
      <w:r>
        <w:rPr>
          <w:rFonts w:hint="eastAsia" w:ascii="宋体" w:hAnsi="宋体" w:cs="宋体"/>
          <w:szCs w:val="21"/>
        </w:rPr>
        <w:t>以</w:t>
      </w:r>
      <w:r>
        <w:rPr>
          <w:rFonts w:hint="eastAsia" w:ascii="宋体" w:hAnsi="宋体" w:cs="宋体"/>
          <w:szCs w:val="21"/>
          <w:u w:val="single"/>
        </w:rPr>
        <w:t>公开招标</w:t>
      </w:r>
      <w:r>
        <w:rPr>
          <w:rFonts w:hint="eastAsia" w:ascii="宋体" w:hAnsi="宋体" w:cs="宋体"/>
          <w:szCs w:val="21"/>
        </w:rPr>
        <w:t>对</w:t>
      </w:r>
      <w:r>
        <w:rPr>
          <w:rFonts w:hint="eastAsia" w:ascii="宋体" w:hAnsi="宋体" w:cs="宋体"/>
          <w:szCs w:val="21"/>
          <w:u w:val="single"/>
          <w:lang w:eastAsia="zh-CN"/>
        </w:rPr>
        <w:t>钱塘区政务云资源及云安全租赁服务项目（2024）</w:t>
      </w:r>
      <w:r>
        <w:rPr>
          <w:rFonts w:hint="eastAsia" w:ascii="宋体" w:hAnsi="宋体" w:cs="宋体"/>
          <w:szCs w:val="21"/>
        </w:rPr>
        <w:t>进行了采购。经</w:t>
      </w:r>
      <w:r>
        <w:rPr>
          <w:rFonts w:hint="eastAsia" w:ascii="宋体" w:hAnsi="宋体" w:cs="宋体"/>
          <w:szCs w:val="21"/>
          <w:u w:val="single"/>
          <w:lang w:eastAsia="zh-CN"/>
        </w:rPr>
        <w:t>钱塘区政务云资源及云安全租赁服务项目（2024）</w:t>
      </w:r>
      <w:r>
        <w:rPr>
          <w:rFonts w:hint="eastAsia" w:ascii="宋体" w:hAnsi="宋体" w:cs="宋体"/>
          <w:szCs w:val="21"/>
          <w:u w:val="single"/>
        </w:rPr>
        <w:t>评审小组</w:t>
      </w:r>
      <w:r>
        <w:rPr>
          <w:rFonts w:hint="eastAsia" w:ascii="宋体" w:hAnsi="宋体" w:cs="宋体"/>
          <w:szCs w:val="21"/>
        </w:rPr>
        <w:t>评定，</w:t>
      </w:r>
      <w:r>
        <w:rPr>
          <w:rFonts w:hint="eastAsia" w:ascii="宋体" w:hAnsi="宋体" w:cs="宋体"/>
          <w:szCs w:val="21"/>
          <w:u w:val="single"/>
        </w:rPr>
        <w:t>（中标供应商名称）</w:t>
      </w:r>
      <w:r>
        <w:rPr>
          <w:rFonts w:hint="eastAsia" w:ascii="宋体" w:hAnsi="宋体" w:cs="宋体"/>
          <w:szCs w:val="21"/>
        </w:rPr>
        <w:t>为该项目中标供应商。现于中标通知书发出之日起三十日内，按照招标文件确定的事项签订本合同。</w:t>
      </w:r>
    </w:p>
    <w:p w14:paraId="24FC590B">
      <w:pPr>
        <w:spacing w:line="360" w:lineRule="auto"/>
        <w:ind w:firstLine="420" w:firstLineChars="200"/>
        <w:rPr>
          <w:rFonts w:ascii="宋体" w:hAnsi="宋体" w:cs="宋体"/>
          <w:szCs w:val="21"/>
        </w:rPr>
      </w:pPr>
      <w:r>
        <w:rPr>
          <w:rFonts w:hint="eastAsia" w:ascii="宋体" w:hAnsi="宋体" w:cs="宋体"/>
          <w:szCs w:val="21"/>
          <w:lang w:val="zh-CN"/>
        </w:rPr>
        <w:t>根据《中华人民共和国民法典》、《中华人民共和国政府采购法》等相关法律法规之规定，按照平等、自愿、公平</w:t>
      </w:r>
      <w:r>
        <w:rPr>
          <w:rFonts w:hint="eastAsia" w:ascii="宋体" w:hAnsi="宋体" w:cs="宋体"/>
          <w:szCs w:val="21"/>
        </w:rPr>
        <w:t>和</w:t>
      </w:r>
      <w:r>
        <w:rPr>
          <w:rFonts w:hint="eastAsia" w:ascii="宋体" w:hAnsi="宋体" w:cs="宋体"/>
          <w:szCs w:val="21"/>
          <w:lang w:val="zh-CN"/>
        </w:rPr>
        <w:t>诚实信用的原则，经</w:t>
      </w:r>
      <w:r>
        <w:rPr>
          <w:rFonts w:hint="eastAsia" w:ascii="宋体" w:hAnsi="宋体" w:cs="宋体"/>
          <w:szCs w:val="21"/>
          <w:u w:val="single"/>
        </w:rPr>
        <w:t>杭州市钱塘区人民政府办公室</w:t>
      </w:r>
      <w:r>
        <w:rPr>
          <w:rFonts w:hint="eastAsia" w:ascii="宋体" w:hAnsi="宋体" w:cs="宋体"/>
          <w:szCs w:val="21"/>
          <w:lang w:val="zh-CN"/>
        </w:rPr>
        <w:t>(以下简称：甲方)和</w:t>
      </w:r>
      <w:r>
        <w:rPr>
          <w:rFonts w:hint="eastAsia" w:ascii="宋体" w:hAnsi="宋体" w:cs="宋体"/>
          <w:szCs w:val="21"/>
          <w:u w:val="single"/>
        </w:rPr>
        <w:t>（中标供应商名称）</w:t>
      </w:r>
      <w:r>
        <w:rPr>
          <w:rFonts w:hint="eastAsia" w:ascii="宋体" w:hAnsi="宋体" w:cs="宋体"/>
          <w:szCs w:val="21"/>
          <w:lang w:val="zh-CN"/>
        </w:rPr>
        <w:t>(以下简称：乙方)协商一致，约定以下合同</w:t>
      </w:r>
      <w:r>
        <w:rPr>
          <w:rFonts w:hint="eastAsia" w:ascii="宋体" w:hAnsi="宋体" w:cs="宋体"/>
          <w:szCs w:val="21"/>
        </w:rPr>
        <w:t>条款，以兹共同遵守、全面履行。</w:t>
      </w:r>
    </w:p>
    <w:p w14:paraId="7FF0D0DC">
      <w:pPr>
        <w:pStyle w:val="4"/>
        <w:rPr>
          <w:szCs w:val="21"/>
        </w:rPr>
      </w:pPr>
      <w:r>
        <w:rPr>
          <w:rFonts w:hint="eastAsia"/>
          <w:szCs w:val="21"/>
        </w:rPr>
        <w:t>1.1合同组成部分</w:t>
      </w:r>
    </w:p>
    <w:p w14:paraId="54898E44">
      <w:pPr>
        <w:spacing w:line="360" w:lineRule="auto"/>
        <w:ind w:firstLine="420" w:firstLineChars="200"/>
        <w:rPr>
          <w:rFonts w:ascii="宋体" w:hAnsi="宋体" w:cs="宋体"/>
          <w:szCs w:val="21"/>
        </w:rPr>
      </w:pPr>
      <w:r>
        <w:rPr>
          <w:rFonts w:hint="eastAsia" w:ascii="宋体" w:hAnsi="宋体" w:cs="宋体"/>
          <w:szCs w:val="21"/>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C23BAC5">
      <w:pPr>
        <w:spacing w:line="360" w:lineRule="auto"/>
        <w:ind w:firstLine="420" w:firstLineChars="200"/>
        <w:rPr>
          <w:rFonts w:ascii="宋体" w:hAnsi="宋体" w:cs="宋体"/>
          <w:szCs w:val="21"/>
        </w:rPr>
      </w:pPr>
      <w:r>
        <w:rPr>
          <w:rFonts w:hint="eastAsia" w:ascii="宋体" w:hAnsi="宋体" w:cs="宋体"/>
          <w:szCs w:val="21"/>
        </w:rPr>
        <w:t>1.1.1本合同及其补充合同、变更协议；</w:t>
      </w:r>
    </w:p>
    <w:p w14:paraId="41C0D8E7">
      <w:pPr>
        <w:spacing w:line="360" w:lineRule="auto"/>
        <w:ind w:firstLine="420" w:firstLineChars="200"/>
        <w:rPr>
          <w:rFonts w:ascii="宋体" w:hAnsi="宋体" w:cs="宋体"/>
          <w:szCs w:val="21"/>
        </w:rPr>
      </w:pPr>
      <w:r>
        <w:rPr>
          <w:rFonts w:hint="eastAsia" w:ascii="宋体" w:hAnsi="宋体" w:cs="宋体"/>
          <w:szCs w:val="21"/>
        </w:rPr>
        <w:t>1.1.2中标通知书；</w:t>
      </w:r>
    </w:p>
    <w:p w14:paraId="1E4DFEBF">
      <w:pPr>
        <w:spacing w:line="360" w:lineRule="auto"/>
        <w:ind w:firstLine="420" w:firstLineChars="200"/>
        <w:rPr>
          <w:rFonts w:ascii="宋体" w:hAnsi="宋体" w:cs="宋体"/>
          <w:szCs w:val="21"/>
        </w:rPr>
      </w:pPr>
      <w:r>
        <w:rPr>
          <w:rFonts w:hint="eastAsia" w:ascii="宋体" w:hAnsi="宋体" w:cs="宋体"/>
          <w:szCs w:val="21"/>
        </w:rPr>
        <w:t>1.1.3投标文件（含澄清或者说明文件）；</w:t>
      </w:r>
    </w:p>
    <w:p w14:paraId="31329D49">
      <w:pPr>
        <w:spacing w:line="360" w:lineRule="auto"/>
        <w:ind w:firstLine="420" w:firstLineChars="200"/>
        <w:rPr>
          <w:rFonts w:ascii="宋体" w:hAnsi="宋体" w:cs="宋体"/>
          <w:szCs w:val="21"/>
        </w:rPr>
      </w:pPr>
      <w:r>
        <w:rPr>
          <w:rFonts w:hint="eastAsia" w:ascii="宋体" w:hAnsi="宋体" w:cs="宋体"/>
          <w:szCs w:val="21"/>
        </w:rPr>
        <w:t>1.1.4招标文件（含澄清或者修改文件）；</w:t>
      </w:r>
    </w:p>
    <w:p w14:paraId="7DC8C053">
      <w:pPr>
        <w:spacing w:line="360" w:lineRule="auto"/>
        <w:ind w:firstLine="420" w:firstLineChars="200"/>
        <w:rPr>
          <w:rFonts w:ascii="宋体" w:hAnsi="宋体" w:cs="宋体"/>
          <w:szCs w:val="21"/>
        </w:rPr>
      </w:pPr>
      <w:r>
        <w:rPr>
          <w:rFonts w:hint="eastAsia" w:ascii="宋体" w:hAnsi="宋体" w:cs="宋体"/>
          <w:szCs w:val="21"/>
        </w:rPr>
        <w:t>1.1.5其他相关招标文件。</w:t>
      </w:r>
    </w:p>
    <w:p w14:paraId="198722F2">
      <w:pPr>
        <w:pStyle w:val="4"/>
        <w:rPr>
          <w:szCs w:val="21"/>
        </w:rPr>
      </w:pPr>
      <w:bookmarkStart w:id="444" w:name="_Toc21295"/>
      <w:bookmarkStart w:id="445" w:name="_Toc27126"/>
      <w:bookmarkStart w:id="446" w:name="_Toc24300"/>
      <w:r>
        <w:rPr>
          <w:rFonts w:hint="eastAsia"/>
          <w:szCs w:val="21"/>
        </w:rPr>
        <w:t>1.2</w:t>
      </w:r>
      <w:bookmarkEnd w:id="444"/>
      <w:bookmarkEnd w:id="445"/>
      <w:bookmarkEnd w:id="446"/>
      <w:r>
        <w:rPr>
          <w:rFonts w:hint="eastAsia"/>
          <w:szCs w:val="21"/>
        </w:rPr>
        <w:t>标的</w:t>
      </w:r>
    </w:p>
    <w:p w14:paraId="70545BE1">
      <w:pPr>
        <w:spacing w:line="360" w:lineRule="auto"/>
        <w:ind w:firstLine="420" w:firstLineChars="200"/>
        <w:rPr>
          <w:rFonts w:ascii="宋体" w:hAnsi="宋体" w:cs="宋体"/>
          <w:szCs w:val="21"/>
        </w:rPr>
      </w:pPr>
      <w:r>
        <w:rPr>
          <w:rFonts w:hint="eastAsia" w:ascii="宋体" w:hAnsi="宋体" w:cs="宋体"/>
          <w:szCs w:val="21"/>
        </w:rPr>
        <w:t>1.2.1服务内容：</w:t>
      </w:r>
      <w:r>
        <w:rPr>
          <w:rFonts w:hint="eastAsia" w:ascii="宋体" w:hAnsi="宋体" w:cs="宋体"/>
          <w:szCs w:val="21"/>
          <w:u w:val="single"/>
        </w:rPr>
        <w:t xml:space="preserve">                                                </w:t>
      </w:r>
      <w:r>
        <w:rPr>
          <w:rFonts w:hint="eastAsia" w:ascii="宋体" w:hAnsi="宋体" w:cs="宋体"/>
          <w:szCs w:val="21"/>
        </w:rPr>
        <w:t>；</w:t>
      </w:r>
    </w:p>
    <w:p w14:paraId="6F55A8E4">
      <w:pPr>
        <w:spacing w:line="360" w:lineRule="auto"/>
        <w:ind w:firstLine="420" w:firstLineChars="200"/>
        <w:rPr>
          <w:rFonts w:ascii="宋体" w:hAnsi="宋体" w:cs="宋体"/>
          <w:szCs w:val="21"/>
        </w:rPr>
      </w:pPr>
      <w:r>
        <w:rPr>
          <w:rFonts w:hint="eastAsia" w:ascii="宋体" w:hAnsi="宋体" w:cs="宋体"/>
          <w:szCs w:val="21"/>
        </w:rPr>
        <w:t>1.2.2服务标准：</w:t>
      </w:r>
      <w:r>
        <w:rPr>
          <w:rFonts w:hint="eastAsia" w:ascii="宋体" w:hAnsi="宋体" w:cs="宋体"/>
          <w:szCs w:val="21"/>
          <w:u w:val="single"/>
        </w:rPr>
        <w:t xml:space="preserve">                                                </w:t>
      </w:r>
      <w:r>
        <w:rPr>
          <w:rFonts w:hint="eastAsia" w:ascii="宋体" w:hAnsi="宋体" w:cs="宋体"/>
          <w:szCs w:val="21"/>
        </w:rPr>
        <w:t>；</w:t>
      </w:r>
    </w:p>
    <w:p w14:paraId="443D313B">
      <w:pPr>
        <w:spacing w:line="360" w:lineRule="auto"/>
        <w:ind w:firstLine="420" w:firstLineChars="200"/>
        <w:rPr>
          <w:rFonts w:ascii="宋体" w:hAnsi="宋体" w:cs="宋体"/>
          <w:szCs w:val="21"/>
        </w:rPr>
      </w:pPr>
      <w:r>
        <w:rPr>
          <w:rFonts w:hint="eastAsia" w:ascii="宋体" w:hAnsi="宋体" w:cs="宋体"/>
          <w:szCs w:val="21"/>
        </w:rPr>
        <w:t>1.2.3技术保障：</w:t>
      </w:r>
      <w:r>
        <w:rPr>
          <w:rFonts w:hint="eastAsia" w:ascii="宋体" w:hAnsi="宋体" w:cs="宋体"/>
          <w:szCs w:val="21"/>
          <w:u w:val="single"/>
        </w:rPr>
        <w:t xml:space="preserve">　　　　　　　　　                      　      </w:t>
      </w:r>
      <w:r>
        <w:rPr>
          <w:rFonts w:hint="eastAsia" w:ascii="宋体" w:hAnsi="宋体" w:cs="宋体"/>
          <w:szCs w:val="21"/>
        </w:rPr>
        <w:t>；</w:t>
      </w:r>
    </w:p>
    <w:p w14:paraId="7A968EC1">
      <w:pPr>
        <w:spacing w:line="360" w:lineRule="auto"/>
        <w:ind w:firstLine="420" w:firstLineChars="200"/>
        <w:jc w:val="left"/>
        <w:rPr>
          <w:rFonts w:ascii="宋体" w:hAnsi="宋体" w:cs="宋体"/>
          <w:szCs w:val="21"/>
        </w:rPr>
      </w:pPr>
      <w:r>
        <w:rPr>
          <w:rFonts w:hint="eastAsia" w:ascii="宋体" w:hAnsi="宋体" w:cs="宋体"/>
          <w:szCs w:val="21"/>
        </w:rPr>
        <w:t>1.2.4服务人员组成：</w:t>
      </w:r>
      <w:r>
        <w:rPr>
          <w:rFonts w:hint="eastAsia" w:ascii="宋体" w:hAnsi="宋体" w:cs="宋体"/>
          <w:szCs w:val="21"/>
          <w:u w:val="single"/>
        </w:rPr>
        <w:t xml:space="preserve">　　                                　      </w:t>
      </w:r>
      <w:r>
        <w:rPr>
          <w:rFonts w:hint="eastAsia" w:ascii="宋体" w:hAnsi="宋体" w:cs="宋体"/>
          <w:szCs w:val="21"/>
        </w:rPr>
        <w:t>；</w:t>
      </w:r>
    </w:p>
    <w:p w14:paraId="7CEF78A5">
      <w:pPr>
        <w:spacing w:line="360" w:lineRule="auto"/>
        <w:ind w:firstLine="420" w:firstLineChars="200"/>
        <w:rPr>
          <w:rFonts w:ascii="宋体" w:hAnsi="宋体" w:cs="宋体"/>
          <w:szCs w:val="21"/>
        </w:rPr>
      </w:pPr>
      <w:r>
        <w:rPr>
          <w:rFonts w:hint="eastAsia" w:ascii="宋体" w:hAnsi="宋体" w:cs="宋体"/>
          <w:szCs w:val="21"/>
        </w:rPr>
        <w:t>1.2.5合同</w:t>
      </w:r>
      <w:r>
        <w:rPr>
          <w:rFonts w:hint="eastAsia" w:ascii="宋体" w:hAnsi="宋体" w:cs="宋体"/>
          <w:szCs w:val="21"/>
          <w:u w:val="single"/>
        </w:rPr>
        <w:t>否</w:t>
      </w:r>
      <w:r>
        <w:rPr>
          <w:rFonts w:hint="eastAsia" w:ascii="宋体" w:hAnsi="宋体" w:cs="宋体"/>
          <w:szCs w:val="21"/>
        </w:rPr>
        <w:t>（是/否）涉及货物。若涉及货物的的，则：</w:t>
      </w:r>
    </w:p>
    <w:p w14:paraId="09F45FEF">
      <w:pPr>
        <w:spacing w:line="360" w:lineRule="auto"/>
        <w:ind w:firstLine="420" w:firstLineChars="200"/>
        <w:rPr>
          <w:rFonts w:ascii="宋体" w:hAnsi="宋体" w:cs="宋体"/>
          <w:szCs w:val="21"/>
        </w:rPr>
      </w:pPr>
      <w:r>
        <w:rPr>
          <w:rFonts w:hint="eastAsia" w:ascii="宋体" w:hAnsi="宋体" w:cs="宋体"/>
          <w:szCs w:val="21"/>
        </w:rPr>
        <w:t>1.2.5.1货物名称、品牌、规格型号、花色：</w:t>
      </w:r>
      <w:r>
        <w:rPr>
          <w:rFonts w:hint="eastAsia" w:ascii="宋体" w:hAnsi="宋体" w:cs="宋体"/>
          <w:szCs w:val="21"/>
          <w:u w:val="single"/>
        </w:rPr>
        <w:t xml:space="preserve">                       </w:t>
      </w:r>
      <w:r>
        <w:rPr>
          <w:rFonts w:hint="eastAsia" w:ascii="宋体" w:hAnsi="宋体" w:cs="宋体"/>
          <w:szCs w:val="21"/>
        </w:rPr>
        <w:t>；</w:t>
      </w:r>
    </w:p>
    <w:p w14:paraId="7F110F64">
      <w:pPr>
        <w:spacing w:line="360" w:lineRule="auto"/>
        <w:ind w:firstLine="420" w:firstLineChars="200"/>
        <w:rPr>
          <w:rFonts w:ascii="宋体" w:hAnsi="宋体" w:cs="宋体"/>
          <w:szCs w:val="21"/>
        </w:rPr>
      </w:pPr>
      <w:r>
        <w:rPr>
          <w:rFonts w:hint="eastAsia" w:ascii="宋体" w:hAnsi="宋体" w:cs="宋体"/>
          <w:szCs w:val="21"/>
        </w:rPr>
        <w:t>1.2.5.2货物数量：</w:t>
      </w:r>
      <w:r>
        <w:rPr>
          <w:rFonts w:hint="eastAsia" w:ascii="宋体" w:hAnsi="宋体" w:cs="宋体"/>
          <w:szCs w:val="21"/>
          <w:u w:val="single"/>
        </w:rPr>
        <w:t xml:space="preserve">                                             </w:t>
      </w:r>
      <w:r>
        <w:rPr>
          <w:rFonts w:hint="eastAsia" w:ascii="宋体" w:hAnsi="宋体" w:cs="宋体"/>
          <w:szCs w:val="21"/>
        </w:rPr>
        <w:t>；</w:t>
      </w:r>
    </w:p>
    <w:p w14:paraId="4C8858AD">
      <w:pPr>
        <w:spacing w:line="360" w:lineRule="auto"/>
        <w:ind w:firstLine="420" w:firstLineChars="200"/>
        <w:rPr>
          <w:rFonts w:ascii="宋体" w:hAnsi="宋体" w:cs="宋体"/>
          <w:szCs w:val="21"/>
        </w:rPr>
      </w:pPr>
      <w:r>
        <w:rPr>
          <w:rFonts w:hint="eastAsia" w:ascii="宋体" w:hAnsi="宋体" w:cs="宋体"/>
          <w:szCs w:val="21"/>
        </w:rPr>
        <w:t>1.2.5.3货物质量：</w:t>
      </w:r>
      <w:r>
        <w:rPr>
          <w:rFonts w:hint="eastAsia" w:ascii="宋体" w:hAnsi="宋体" w:cs="宋体"/>
          <w:szCs w:val="21"/>
          <w:u w:val="single"/>
        </w:rPr>
        <w:t xml:space="preserve">　　　　　　　　　                        　 </w:t>
      </w:r>
      <w:r>
        <w:rPr>
          <w:rFonts w:hint="eastAsia" w:ascii="宋体" w:hAnsi="宋体" w:cs="宋体"/>
          <w:szCs w:val="21"/>
        </w:rPr>
        <w:t>；</w:t>
      </w:r>
    </w:p>
    <w:p w14:paraId="25BECDAD">
      <w:pPr>
        <w:pStyle w:val="4"/>
        <w:rPr>
          <w:szCs w:val="21"/>
        </w:rPr>
      </w:pPr>
      <w:r>
        <w:rPr>
          <w:rFonts w:hint="eastAsia"/>
          <w:szCs w:val="21"/>
        </w:rPr>
        <w:t>1.3 价款</w:t>
      </w:r>
    </w:p>
    <w:p w14:paraId="23E51DBF">
      <w:pPr>
        <w:spacing w:line="360" w:lineRule="auto"/>
        <w:ind w:firstLine="420" w:firstLineChars="200"/>
        <w:rPr>
          <w:rFonts w:ascii="宋体" w:hAnsi="宋体" w:cs="宋体"/>
          <w:szCs w:val="21"/>
        </w:rPr>
      </w:pPr>
      <w:r>
        <w:rPr>
          <w:rFonts w:hint="eastAsia" w:ascii="宋体" w:hAnsi="宋体" w:cs="宋体"/>
          <w:szCs w:val="21"/>
        </w:rPr>
        <w:t>本合同总价（含税）为：￥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元人民币）。</w:t>
      </w:r>
    </w:p>
    <w:p w14:paraId="27B2EF32">
      <w:pPr>
        <w:spacing w:line="360" w:lineRule="auto"/>
        <w:ind w:firstLine="422" w:firstLineChars="200"/>
        <w:rPr>
          <w:rFonts w:ascii="宋体" w:hAnsi="宋体" w:cs="宋体"/>
          <w:b/>
          <w:bCs/>
          <w:szCs w:val="21"/>
          <w:u w:val="single"/>
        </w:rPr>
      </w:pPr>
      <w:r>
        <w:rPr>
          <w:rFonts w:hint="eastAsia" w:ascii="宋体" w:hAnsi="宋体" w:cs="宋体"/>
          <w:b/>
          <w:bCs/>
          <w:szCs w:val="21"/>
        </w:rPr>
        <w:t>明细附后：</w:t>
      </w:r>
    </w:p>
    <w:p w14:paraId="168F1D98">
      <w:pPr>
        <w:spacing w:line="360" w:lineRule="auto"/>
        <w:ind w:firstLine="422" w:firstLineChars="200"/>
        <w:outlineLvl w:val="0"/>
        <w:rPr>
          <w:rFonts w:ascii="宋体" w:hAnsi="宋体" w:cs="宋体"/>
          <w:b/>
          <w:szCs w:val="21"/>
        </w:rPr>
      </w:pPr>
      <w:r>
        <w:rPr>
          <w:rFonts w:hint="eastAsia" w:ascii="宋体" w:hAnsi="宋体" w:cs="宋体"/>
          <w:b/>
          <w:szCs w:val="21"/>
        </w:rPr>
        <w:t>1.4履约保证金</w:t>
      </w:r>
    </w:p>
    <w:p w14:paraId="0B6F0E30">
      <w:pPr>
        <w:pStyle w:val="958"/>
        <w:spacing w:before="0" w:beforeAutospacing="0" w:after="0" w:afterAutospacing="0" w:line="360" w:lineRule="auto"/>
        <w:ind w:firstLine="480"/>
        <w:rPr>
          <w:sz w:val="21"/>
          <w:szCs w:val="21"/>
        </w:rPr>
      </w:pPr>
      <w:r>
        <w:rPr>
          <w:rFonts w:hint="eastAsia"/>
          <w:sz w:val="21"/>
          <w:szCs w:val="21"/>
        </w:rPr>
        <w:t>乙方</w:t>
      </w:r>
      <w:r>
        <w:rPr>
          <w:rFonts w:hint="eastAsia"/>
          <w:sz w:val="21"/>
          <w:szCs w:val="21"/>
          <w:u w:val="single"/>
        </w:rPr>
        <w:t xml:space="preserve">  否  </w:t>
      </w:r>
      <w:r>
        <w:rPr>
          <w:rFonts w:hint="eastAsia"/>
          <w:sz w:val="21"/>
          <w:szCs w:val="21"/>
        </w:rPr>
        <w:t>（是/否）需要支付履约保证金。若需要支付履约保证金的，则：</w:t>
      </w:r>
    </w:p>
    <w:p w14:paraId="3E80033B">
      <w:pPr>
        <w:spacing w:line="360" w:lineRule="auto"/>
        <w:ind w:firstLine="420" w:firstLineChars="200"/>
        <w:outlineLvl w:val="0"/>
        <w:rPr>
          <w:rFonts w:ascii="宋体" w:hAnsi="宋体" w:cs="宋体"/>
          <w:kern w:val="0"/>
          <w:szCs w:val="21"/>
        </w:rPr>
      </w:pPr>
      <w:r>
        <w:rPr>
          <w:rFonts w:hint="eastAsia" w:ascii="宋体" w:hAnsi="宋体" w:cs="宋体"/>
          <w:kern w:val="0"/>
          <w:szCs w:val="21"/>
        </w:rPr>
        <w:t>1.4.1履约保证金的比例为合同金额的</w:t>
      </w:r>
      <w:r>
        <w:rPr>
          <w:rFonts w:hint="eastAsia" w:ascii="宋体" w:hAnsi="宋体" w:cs="宋体"/>
          <w:kern w:val="0"/>
          <w:szCs w:val="21"/>
          <w:u w:val="single"/>
        </w:rPr>
        <w:t xml:space="preserve">     </w:t>
      </w:r>
      <w:r>
        <w:rPr>
          <w:rFonts w:hint="eastAsia" w:ascii="宋体" w:hAnsi="宋体" w:cs="宋体"/>
          <w:kern w:val="0"/>
          <w:szCs w:val="21"/>
        </w:rPr>
        <w:t>%；</w:t>
      </w:r>
    </w:p>
    <w:p w14:paraId="5008C653">
      <w:pPr>
        <w:spacing w:line="360" w:lineRule="auto"/>
        <w:ind w:firstLine="420" w:firstLineChars="200"/>
        <w:outlineLvl w:val="0"/>
        <w:rPr>
          <w:rFonts w:ascii="宋体" w:hAnsi="宋体" w:cs="宋体"/>
          <w:kern w:val="0"/>
          <w:szCs w:val="21"/>
        </w:rPr>
      </w:pPr>
      <w:r>
        <w:rPr>
          <w:rFonts w:hint="eastAsia" w:ascii="宋体" w:hAnsi="宋体" w:cs="宋体"/>
          <w:kern w:val="0"/>
          <w:szCs w:val="21"/>
        </w:rPr>
        <w:t>1.4.2履约保证金支付方式详见</w:t>
      </w:r>
      <w:r>
        <w:rPr>
          <w:rFonts w:hint="eastAsia" w:ascii="宋体" w:hAnsi="宋体" w:cs="宋体"/>
          <w:kern w:val="0"/>
          <w:szCs w:val="21"/>
          <w:u w:val="single"/>
        </w:rPr>
        <w:t xml:space="preserve">    </w:t>
      </w:r>
      <w:r>
        <w:rPr>
          <w:rFonts w:hint="eastAsia" w:ascii="宋体" w:hAnsi="宋体" w:cs="宋体"/>
          <w:b/>
          <w:i/>
          <w:szCs w:val="21"/>
          <w:u w:val="single"/>
        </w:rPr>
        <w:t>合同专用条款</w:t>
      </w:r>
      <w:r>
        <w:rPr>
          <w:rFonts w:hint="eastAsia" w:ascii="宋体" w:hAnsi="宋体" w:cs="宋体"/>
          <w:kern w:val="0"/>
          <w:szCs w:val="21"/>
          <w:u w:val="single"/>
        </w:rPr>
        <w:t xml:space="preserve">           </w:t>
      </w:r>
      <w:r>
        <w:rPr>
          <w:rFonts w:hint="eastAsia" w:ascii="宋体" w:hAnsi="宋体" w:cs="宋体"/>
          <w:kern w:val="0"/>
          <w:szCs w:val="21"/>
        </w:rPr>
        <w:t>；</w:t>
      </w:r>
    </w:p>
    <w:p w14:paraId="7BAD3A76">
      <w:pPr>
        <w:spacing w:line="360" w:lineRule="auto"/>
        <w:ind w:firstLine="420" w:firstLineChars="200"/>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A8B8AE">
      <w:pPr>
        <w:spacing w:line="360" w:lineRule="auto"/>
        <w:ind w:firstLine="420" w:firstLineChars="200"/>
      </w:pPr>
      <w:r>
        <w:rPr>
          <w:rFonts w:hint="eastAsia"/>
        </w:rPr>
        <w:t>1.4.4甲方在项目验收结束后及时退还履约保证金。甲方在项目通过验收之日起    /   个工作日内将履约保证金无息退还乙方，逾期退还的，乙方可要求甲方支付违约金，违约金按每迟延退还一日的应退还而未退还金额的  0.05（可根据情况修改）  %计算，最高限额为本合同履约保证金的  20   %。</w:t>
      </w:r>
    </w:p>
    <w:p w14:paraId="46C1AFC5">
      <w:pPr>
        <w:spacing w:line="360" w:lineRule="auto"/>
        <w:ind w:firstLine="422" w:firstLineChars="200"/>
        <w:outlineLvl w:val="0"/>
        <w:rPr>
          <w:rFonts w:ascii="宋体" w:hAnsi="宋体" w:cs="宋体"/>
          <w:b/>
          <w:szCs w:val="21"/>
        </w:rPr>
      </w:pPr>
      <w:r>
        <w:rPr>
          <w:rFonts w:hint="eastAsia" w:ascii="宋体" w:hAnsi="宋体" w:cs="宋体"/>
          <w:b/>
          <w:szCs w:val="21"/>
        </w:rPr>
        <w:t>1.5预付款</w:t>
      </w:r>
    </w:p>
    <w:p w14:paraId="0F80FA20">
      <w:pPr>
        <w:pStyle w:val="958"/>
        <w:spacing w:before="0" w:beforeAutospacing="0" w:after="0" w:afterAutospacing="0" w:line="360" w:lineRule="auto"/>
        <w:ind w:firstLine="480"/>
        <w:rPr>
          <w:sz w:val="21"/>
          <w:szCs w:val="21"/>
        </w:rPr>
      </w:pPr>
      <w:r>
        <w:rPr>
          <w:rFonts w:hint="eastAsia"/>
          <w:sz w:val="21"/>
          <w:szCs w:val="21"/>
        </w:rPr>
        <w:t>甲方</w:t>
      </w:r>
      <w:r>
        <w:rPr>
          <w:rFonts w:hint="eastAsia"/>
          <w:sz w:val="21"/>
          <w:szCs w:val="21"/>
          <w:u w:val="single"/>
        </w:rPr>
        <w:t>是</w:t>
      </w:r>
      <w:r>
        <w:rPr>
          <w:rFonts w:hint="eastAsia"/>
          <w:sz w:val="21"/>
          <w:szCs w:val="21"/>
        </w:rPr>
        <w:t>（是/否）需要支付预付款。若需要支付预付款的，则：</w:t>
      </w:r>
    </w:p>
    <w:p w14:paraId="62086421">
      <w:pPr>
        <w:spacing w:line="360" w:lineRule="auto"/>
        <w:ind w:firstLine="420" w:firstLineChars="200"/>
        <w:rPr>
          <w:rFonts w:ascii="宋体" w:hAnsi="宋体" w:cs="宋体"/>
          <w:kern w:val="0"/>
          <w:szCs w:val="21"/>
        </w:rPr>
      </w:pPr>
      <w:r>
        <w:rPr>
          <w:rFonts w:hint="eastAsia" w:ascii="宋体" w:hAnsi="宋体" w:cs="宋体"/>
          <w:kern w:val="0"/>
          <w:szCs w:val="21"/>
        </w:rPr>
        <w:t>1.5.1预付款比例、支付方式、时间详见</w:t>
      </w:r>
      <w:r>
        <w:rPr>
          <w:rFonts w:hint="eastAsia" w:ascii="宋体" w:hAnsi="宋体" w:cs="宋体"/>
          <w:b/>
          <w:i/>
          <w:szCs w:val="21"/>
          <w:u w:val="single"/>
        </w:rPr>
        <w:t>合同专用条款</w:t>
      </w:r>
      <w:r>
        <w:rPr>
          <w:rFonts w:hint="eastAsia" w:ascii="宋体" w:hAnsi="宋体" w:cs="宋体"/>
          <w:kern w:val="0"/>
          <w:szCs w:val="21"/>
        </w:rPr>
        <w:t>；</w:t>
      </w:r>
    </w:p>
    <w:p w14:paraId="76F64344">
      <w:pPr>
        <w:pStyle w:val="958"/>
        <w:spacing w:before="0" w:beforeAutospacing="0" w:after="0" w:afterAutospacing="0" w:line="360" w:lineRule="auto"/>
        <w:ind w:firstLine="480"/>
        <w:rPr>
          <w:sz w:val="21"/>
          <w:szCs w:val="21"/>
        </w:rPr>
      </w:pPr>
      <w:r>
        <w:rPr>
          <w:rFonts w:hint="eastAsia"/>
          <w:sz w:val="21"/>
          <w:szCs w:val="21"/>
        </w:rPr>
        <w:t>1.5.2预付款的扣回方式详见</w:t>
      </w:r>
      <w:r>
        <w:rPr>
          <w:rFonts w:hint="eastAsia"/>
          <w:b/>
          <w:i/>
          <w:sz w:val="21"/>
          <w:szCs w:val="21"/>
          <w:u w:val="single"/>
        </w:rPr>
        <w:t>合同专用条款</w:t>
      </w:r>
      <w:r>
        <w:rPr>
          <w:rFonts w:hint="eastAsia"/>
          <w:sz w:val="21"/>
          <w:szCs w:val="21"/>
        </w:rPr>
        <w:t>；</w:t>
      </w:r>
    </w:p>
    <w:p w14:paraId="607F7C84">
      <w:pPr>
        <w:pStyle w:val="958"/>
        <w:spacing w:before="0" w:beforeAutospacing="0" w:after="0" w:afterAutospacing="0" w:line="360" w:lineRule="auto"/>
        <w:ind w:firstLine="480"/>
        <w:rPr>
          <w:sz w:val="21"/>
          <w:szCs w:val="21"/>
          <w:u w:val="single"/>
        </w:rPr>
      </w:pPr>
      <w:r>
        <w:rPr>
          <w:rFonts w:hint="eastAsia"/>
          <w:sz w:val="21"/>
          <w:szCs w:val="21"/>
        </w:rPr>
        <w:t>1.5.3预付款的担保措施详见</w:t>
      </w:r>
      <w:r>
        <w:rPr>
          <w:rFonts w:hint="eastAsia"/>
          <w:b/>
          <w:i/>
          <w:sz w:val="21"/>
          <w:szCs w:val="21"/>
          <w:u w:val="single"/>
        </w:rPr>
        <w:t>合同专用条款</w:t>
      </w:r>
      <w:r>
        <w:rPr>
          <w:rFonts w:hint="eastAsia"/>
          <w:sz w:val="21"/>
          <w:szCs w:val="21"/>
        </w:rPr>
        <w:t>。</w:t>
      </w:r>
    </w:p>
    <w:p w14:paraId="15D8B4B0">
      <w:pPr>
        <w:pStyle w:val="958"/>
        <w:spacing w:before="0" w:beforeAutospacing="0" w:after="0" w:afterAutospacing="0" w:line="360" w:lineRule="auto"/>
        <w:ind w:firstLine="480"/>
        <w:rPr>
          <w:b/>
          <w:bCs/>
          <w:sz w:val="21"/>
          <w:szCs w:val="21"/>
        </w:rPr>
      </w:pPr>
      <w:r>
        <w:rPr>
          <w:rFonts w:hint="eastAsia"/>
          <w:b/>
          <w:bCs/>
          <w:sz w:val="21"/>
          <w:szCs w:val="21"/>
        </w:rPr>
        <w:t>1.6资金支付</w:t>
      </w:r>
    </w:p>
    <w:p w14:paraId="35988A85">
      <w:pPr>
        <w:pStyle w:val="958"/>
        <w:spacing w:before="0" w:beforeAutospacing="0" w:after="0" w:afterAutospacing="0" w:line="360" w:lineRule="auto"/>
        <w:ind w:firstLine="480"/>
        <w:rPr>
          <w:sz w:val="21"/>
          <w:szCs w:val="21"/>
        </w:rPr>
      </w:pPr>
      <w:r>
        <w:rPr>
          <w:rFonts w:hint="eastAsia"/>
          <w:sz w:val="21"/>
          <w:szCs w:val="2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806EE34">
      <w:pPr>
        <w:spacing w:line="360" w:lineRule="auto"/>
        <w:ind w:firstLine="420" w:firstLineChars="200"/>
        <w:outlineLvl w:val="0"/>
        <w:rPr>
          <w:rFonts w:ascii="宋体" w:hAnsi="宋体" w:cs="宋体"/>
          <w:szCs w:val="21"/>
        </w:rPr>
      </w:pPr>
      <w:r>
        <w:rPr>
          <w:rFonts w:hint="eastAsia" w:ascii="宋体" w:hAnsi="宋体" w:cs="宋体"/>
          <w:szCs w:val="21"/>
        </w:rPr>
        <w:t>1.6.2资金支付的方式、时间和条件详见</w:t>
      </w:r>
      <w:r>
        <w:rPr>
          <w:rFonts w:hint="eastAsia" w:ascii="宋体" w:hAnsi="宋体" w:cs="宋体"/>
          <w:b/>
          <w:i/>
          <w:szCs w:val="21"/>
          <w:u w:val="single"/>
        </w:rPr>
        <w:t>合同专用条款</w:t>
      </w:r>
      <w:r>
        <w:rPr>
          <w:rFonts w:hint="eastAsia" w:ascii="宋体" w:hAnsi="宋体" w:cs="宋体"/>
          <w:szCs w:val="21"/>
        </w:rPr>
        <w:t>。</w:t>
      </w:r>
    </w:p>
    <w:p w14:paraId="7CED0B37">
      <w:pPr>
        <w:spacing w:line="360" w:lineRule="auto"/>
        <w:ind w:firstLine="422" w:firstLineChars="200"/>
        <w:outlineLvl w:val="0"/>
        <w:rPr>
          <w:rFonts w:ascii="宋体" w:hAnsi="宋体" w:cs="宋体"/>
          <w:b/>
          <w:szCs w:val="21"/>
        </w:rPr>
      </w:pPr>
      <w:r>
        <w:rPr>
          <w:rFonts w:hint="eastAsia" w:ascii="宋体" w:hAnsi="宋体" w:cs="宋体"/>
          <w:b/>
          <w:szCs w:val="21"/>
        </w:rPr>
        <w:t>1.7履行期限、地点和方式</w:t>
      </w:r>
    </w:p>
    <w:p w14:paraId="2CD44461">
      <w:pPr>
        <w:spacing w:line="360" w:lineRule="auto"/>
        <w:ind w:firstLine="420" w:firstLineChars="200"/>
        <w:rPr>
          <w:rFonts w:ascii="宋体" w:hAnsi="宋体" w:cs="宋体"/>
          <w:szCs w:val="21"/>
        </w:rPr>
      </w:pPr>
      <w:r>
        <w:rPr>
          <w:rFonts w:hint="eastAsia" w:ascii="宋体" w:hAnsi="宋体" w:cs="宋体"/>
          <w:szCs w:val="21"/>
        </w:rPr>
        <w:t>1.7.1服务交付（实施）的时间（期限）：</w:t>
      </w:r>
      <w:r>
        <w:rPr>
          <w:rFonts w:hint="eastAsia" w:ascii="宋体" w:hAnsi="宋体" w:cs="宋体"/>
          <w:b/>
          <w:i/>
          <w:szCs w:val="21"/>
          <w:u w:val="single"/>
        </w:rPr>
        <w:t>合同专用条款</w:t>
      </w:r>
      <w:r>
        <w:rPr>
          <w:rFonts w:hint="eastAsia" w:ascii="宋体" w:hAnsi="宋体" w:cs="宋体"/>
          <w:szCs w:val="21"/>
        </w:rPr>
        <w:t>；</w:t>
      </w:r>
    </w:p>
    <w:p w14:paraId="664FF967">
      <w:pPr>
        <w:spacing w:line="360" w:lineRule="auto"/>
        <w:ind w:firstLine="420" w:firstLineChars="200"/>
        <w:rPr>
          <w:rFonts w:ascii="宋体" w:hAnsi="宋体" w:cs="宋体"/>
          <w:szCs w:val="21"/>
        </w:rPr>
      </w:pPr>
      <w:r>
        <w:rPr>
          <w:rFonts w:hint="eastAsia" w:ascii="宋体" w:hAnsi="宋体" w:cs="宋体"/>
          <w:szCs w:val="21"/>
        </w:rPr>
        <w:t>1.7.2服务交付（实施）的地点（地域范围）：</w:t>
      </w:r>
      <w:r>
        <w:rPr>
          <w:rFonts w:hint="eastAsia" w:ascii="宋体" w:hAnsi="宋体" w:cs="宋体"/>
          <w:b/>
          <w:i/>
          <w:szCs w:val="21"/>
          <w:u w:val="single"/>
        </w:rPr>
        <w:t>合同专用条款；</w:t>
      </w:r>
    </w:p>
    <w:p w14:paraId="251FDF27">
      <w:pPr>
        <w:spacing w:line="360" w:lineRule="auto"/>
        <w:ind w:firstLine="420" w:firstLineChars="200"/>
        <w:outlineLvl w:val="0"/>
        <w:rPr>
          <w:rFonts w:ascii="宋体" w:hAnsi="宋体" w:cs="宋体"/>
          <w:szCs w:val="21"/>
        </w:rPr>
      </w:pPr>
      <w:r>
        <w:rPr>
          <w:rFonts w:hint="eastAsia" w:ascii="宋体" w:hAnsi="宋体" w:cs="宋体"/>
          <w:szCs w:val="21"/>
        </w:rPr>
        <w:t>1.7.3服务交付（实施）的方式：</w:t>
      </w:r>
      <w:r>
        <w:rPr>
          <w:rFonts w:hint="eastAsia" w:ascii="宋体" w:hAnsi="宋体" w:cs="宋体"/>
          <w:b/>
          <w:i/>
          <w:szCs w:val="21"/>
          <w:u w:val="single"/>
        </w:rPr>
        <w:t>合同专用条款</w:t>
      </w:r>
      <w:r>
        <w:rPr>
          <w:rFonts w:hint="eastAsia" w:ascii="宋体" w:hAnsi="宋体" w:cs="宋体"/>
          <w:szCs w:val="21"/>
        </w:rPr>
        <w:t>。</w:t>
      </w:r>
    </w:p>
    <w:p w14:paraId="52C0A2E0">
      <w:pPr>
        <w:spacing w:line="360" w:lineRule="auto"/>
        <w:ind w:firstLine="420" w:firstLineChars="200"/>
        <w:outlineLvl w:val="0"/>
        <w:rPr>
          <w:rFonts w:ascii="宋体" w:hAnsi="宋体" w:cs="宋体"/>
          <w:szCs w:val="21"/>
        </w:rPr>
      </w:pPr>
      <w:r>
        <w:rPr>
          <w:rFonts w:hint="eastAsia" w:ascii="宋体" w:hAnsi="宋体" w:cs="宋体"/>
          <w:szCs w:val="21"/>
        </w:rPr>
        <w:t>1.</w:t>
      </w:r>
      <w:r>
        <w:rPr>
          <w:rFonts w:hint="eastAsia" w:ascii="宋体" w:hAnsi="宋体" w:cs="宋体"/>
          <w:bCs/>
          <w:szCs w:val="21"/>
        </w:rPr>
        <w:t>7.4若服务涉及货物的，则货物的：</w:t>
      </w:r>
    </w:p>
    <w:p w14:paraId="43353EB2">
      <w:pPr>
        <w:spacing w:line="360" w:lineRule="auto"/>
        <w:ind w:firstLine="420" w:firstLineChars="200"/>
        <w:rPr>
          <w:rFonts w:ascii="宋体" w:hAnsi="宋体" w:cs="宋体"/>
          <w:szCs w:val="21"/>
          <w:u w:val="single"/>
        </w:rPr>
      </w:pPr>
      <w:bookmarkStart w:id="447" w:name="_Toc3625"/>
      <w:bookmarkStart w:id="448" w:name="_Toc11108"/>
      <w:bookmarkStart w:id="449" w:name="_Toc4760"/>
      <w:bookmarkStart w:id="450" w:name="_Toc31421"/>
      <w:bookmarkStart w:id="451" w:name="_Toc8772"/>
      <w:r>
        <w:rPr>
          <w:rFonts w:hint="eastAsia" w:ascii="宋体" w:hAnsi="宋体" w:cs="宋体"/>
          <w:bCs/>
          <w:szCs w:val="21"/>
        </w:rPr>
        <w:t>1.</w:t>
      </w:r>
      <w:bookmarkEnd w:id="447"/>
      <w:bookmarkEnd w:id="448"/>
      <w:bookmarkEnd w:id="449"/>
      <w:bookmarkEnd w:id="450"/>
      <w:bookmarkEnd w:id="451"/>
      <w:r>
        <w:rPr>
          <w:rFonts w:hint="eastAsia" w:ascii="宋体" w:hAnsi="宋体" w:cs="宋体"/>
          <w:bCs/>
          <w:szCs w:val="21"/>
        </w:rPr>
        <w:t>7.4.</w:t>
      </w:r>
      <w:r>
        <w:rPr>
          <w:rFonts w:hint="eastAsia" w:ascii="宋体" w:hAnsi="宋体" w:cs="宋体"/>
          <w:szCs w:val="21"/>
        </w:rPr>
        <w:t>1交付期限：详见</w:t>
      </w:r>
      <w:r>
        <w:rPr>
          <w:rFonts w:hint="eastAsia" w:ascii="宋体" w:hAnsi="宋体" w:cs="宋体"/>
          <w:b/>
          <w:i/>
          <w:szCs w:val="21"/>
          <w:u w:val="single"/>
        </w:rPr>
        <w:t>合同专用条款</w:t>
      </w:r>
      <w:r>
        <w:rPr>
          <w:rFonts w:hint="eastAsia" w:ascii="宋体" w:hAnsi="宋体" w:cs="宋体"/>
          <w:szCs w:val="21"/>
        </w:rPr>
        <w:t>；</w:t>
      </w:r>
    </w:p>
    <w:p w14:paraId="6CB30BE7">
      <w:pPr>
        <w:spacing w:line="360" w:lineRule="auto"/>
        <w:ind w:firstLine="420" w:firstLineChars="200"/>
        <w:rPr>
          <w:rFonts w:ascii="宋体" w:hAnsi="宋体" w:cs="宋体"/>
          <w:szCs w:val="21"/>
        </w:rPr>
      </w:pPr>
      <w:r>
        <w:rPr>
          <w:rFonts w:hint="eastAsia" w:ascii="宋体" w:hAnsi="宋体" w:cs="宋体"/>
          <w:szCs w:val="21"/>
        </w:rPr>
        <w:t>1.7.4.2交付地点：</w:t>
      </w:r>
      <w:r>
        <w:rPr>
          <w:rFonts w:hint="eastAsia" w:ascii="宋体" w:hAnsi="宋体" w:cs="宋体"/>
          <w:b/>
          <w:i/>
          <w:szCs w:val="21"/>
          <w:u w:val="single"/>
        </w:rPr>
        <w:t>合同专用条款</w:t>
      </w:r>
      <w:r>
        <w:rPr>
          <w:rFonts w:hint="eastAsia" w:ascii="宋体" w:hAnsi="宋体" w:cs="宋体"/>
          <w:szCs w:val="21"/>
        </w:rPr>
        <w:t>；</w:t>
      </w:r>
    </w:p>
    <w:p w14:paraId="2BDC8392">
      <w:pPr>
        <w:spacing w:line="360" w:lineRule="auto"/>
        <w:ind w:firstLine="420" w:firstLineChars="200"/>
        <w:rPr>
          <w:rFonts w:ascii="宋体" w:hAnsi="宋体" w:cs="宋体"/>
          <w:szCs w:val="21"/>
        </w:rPr>
      </w:pPr>
      <w:r>
        <w:rPr>
          <w:rFonts w:hint="eastAsia" w:ascii="宋体" w:hAnsi="宋体" w:cs="宋体"/>
          <w:szCs w:val="21"/>
        </w:rPr>
        <w:t>1.7.4.3交付方式：</w:t>
      </w:r>
      <w:r>
        <w:rPr>
          <w:rFonts w:hint="eastAsia" w:ascii="宋体" w:hAnsi="宋体" w:cs="宋体"/>
          <w:b/>
          <w:i/>
          <w:szCs w:val="21"/>
          <w:u w:val="single"/>
        </w:rPr>
        <w:t>合同专用条款</w:t>
      </w:r>
      <w:r>
        <w:rPr>
          <w:rFonts w:hint="eastAsia" w:ascii="宋体" w:hAnsi="宋体" w:cs="宋体"/>
          <w:szCs w:val="21"/>
        </w:rPr>
        <w:t>。</w:t>
      </w:r>
    </w:p>
    <w:p w14:paraId="45B04C2F">
      <w:pPr>
        <w:spacing w:line="360" w:lineRule="auto"/>
        <w:ind w:firstLine="422" w:firstLineChars="200"/>
        <w:outlineLvl w:val="0"/>
        <w:rPr>
          <w:rFonts w:ascii="宋体" w:hAnsi="宋体" w:cs="宋体"/>
          <w:szCs w:val="21"/>
          <w:u w:val="single"/>
        </w:rPr>
      </w:pPr>
      <w:bookmarkStart w:id="452" w:name="_Toc8586"/>
      <w:bookmarkStart w:id="453" w:name="_Toc5698"/>
      <w:bookmarkStart w:id="454" w:name="_Toc2375"/>
      <w:bookmarkStart w:id="455" w:name="_Toc24662"/>
      <w:bookmarkStart w:id="456" w:name="_Toc3079"/>
      <w:r>
        <w:rPr>
          <w:rFonts w:hint="eastAsia" w:ascii="宋体" w:hAnsi="宋体" w:cs="宋体"/>
          <w:b/>
          <w:szCs w:val="21"/>
        </w:rPr>
        <w:t>1.8违约责任</w:t>
      </w:r>
      <w:bookmarkEnd w:id="452"/>
      <w:bookmarkEnd w:id="453"/>
      <w:bookmarkEnd w:id="454"/>
      <w:bookmarkEnd w:id="455"/>
      <w:bookmarkEnd w:id="456"/>
    </w:p>
    <w:p w14:paraId="1767803E">
      <w:pPr>
        <w:spacing w:line="360" w:lineRule="auto"/>
        <w:ind w:firstLine="420" w:firstLineChars="200"/>
        <w:rPr>
          <w:rFonts w:ascii="宋体" w:hAnsi="宋体" w:cs="宋体"/>
          <w:szCs w:val="21"/>
        </w:rPr>
      </w:pPr>
      <w:r>
        <w:rPr>
          <w:rFonts w:hint="eastAsia" w:ascii="宋体" w:hAnsi="宋体" w:cs="宋体"/>
          <w:szCs w:val="21"/>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Cs w:val="21"/>
          <w:u w:val="single"/>
        </w:rPr>
        <w:t>0.05</w:t>
      </w:r>
      <w:r>
        <w:rPr>
          <w:rFonts w:hint="eastAsia" w:ascii="宋体" w:hAnsi="宋体" w:cs="宋体"/>
          <w:szCs w:val="21"/>
        </w:rPr>
        <w:t>%计算，最高限额为本合同总价的</w:t>
      </w:r>
      <w:r>
        <w:rPr>
          <w:rFonts w:hint="eastAsia" w:ascii="宋体" w:hAnsi="宋体" w:cs="宋体"/>
          <w:szCs w:val="21"/>
          <w:u w:val="single"/>
        </w:rPr>
        <w:t>20</w:t>
      </w:r>
      <w:r>
        <w:rPr>
          <w:rFonts w:hint="eastAsia" w:ascii="宋体" w:hAnsi="宋体" w:cs="宋体"/>
          <w:szCs w:val="21"/>
        </w:rPr>
        <w:t>%；迟延履行的违约金计算数额达到前述最高限额之日起，甲方有权在要求乙方支付违约金的同时，书面通知乙方解除本合同；</w:t>
      </w:r>
    </w:p>
    <w:p w14:paraId="78AF83D7">
      <w:pPr>
        <w:spacing w:line="360" w:lineRule="auto"/>
        <w:ind w:firstLine="420" w:firstLineChars="200"/>
        <w:rPr>
          <w:rFonts w:ascii="宋体" w:hAnsi="宋体" w:cs="宋体"/>
          <w:szCs w:val="21"/>
        </w:rPr>
      </w:pPr>
      <w:r>
        <w:rPr>
          <w:rFonts w:hint="eastAsia" w:ascii="宋体" w:hAnsi="宋体" w:cs="宋体"/>
          <w:szCs w:val="2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Cs w:val="21"/>
          <w:u w:val="single"/>
        </w:rPr>
        <w:t>0.05</w:t>
      </w:r>
      <w:r>
        <w:rPr>
          <w:rFonts w:hint="eastAsia" w:ascii="宋体" w:hAnsi="宋体" w:cs="宋体"/>
          <w:szCs w:val="21"/>
        </w:rPr>
        <w:t>（可根据情况修改）%计算，最高限额为本合同总价的</w:t>
      </w:r>
      <w:r>
        <w:rPr>
          <w:rFonts w:hint="eastAsia" w:ascii="宋体" w:hAnsi="宋体" w:cs="宋体"/>
          <w:szCs w:val="21"/>
          <w:u w:val="single"/>
        </w:rPr>
        <w:t>20</w:t>
      </w:r>
      <w:r>
        <w:rPr>
          <w:rFonts w:hint="eastAsia" w:ascii="宋体" w:hAnsi="宋体" w:cs="宋体"/>
          <w:szCs w:val="21"/>
        </w:rPr>
        <w:t>%；迟延交付货物的违约金计算数额达到前述最高限额之日起，甲方有权在要求乙方支付违约金的同时，书面通知乙方解除本合同；</w:t>
      </w:r>
    </w:p>
    <w:p w14:paraId="0061CD97">
      <w:pPr>
        <w:spacing w:line="360" w:lineRule="auto"/>
        <w:ind w:firstLine="420" w:firstLineChars="200"/>
        <w:rPr>
          <w:rFonts w:ascii="宋体" w:hAnsi="宋体" w:cs="宋体"/>
          <w:szCs w:val="21"/>
        </w:rPr>
      </w:pPr>
      <w:r>
        <w:rPr>
          <w:rFonts w:hint="eastAsia" w:ascii="宋体" w:hAnsi="宋体" w:cs="宋体"/>
          <w:szCs w:val="21"/>
        </w:rPr>
        <w:t>1.8.3除不可抗力外，如果甲方没有按照本合同约定的付款方式付款，那么乙方可要求甲方支付违约金，违约金按每迟延付款一日的应付而未付款的</w:t>
      </w:r>
      <w:r>
        <w:rPr>
          <w:rFonts w:hint="eastAsia" w:ascii="宋体" w:hAnsi="宋体" w:cs="宋体"/>
          <w:szCs w:val="21"/>
          <w:u w:val="single"/>
        </w:rPr>
        <w:t>0.05</w:t>
      </w:r>
      <w:r>
        <w:rPr>
          <w:rFonts w:hint="eastAsia" w:ascii="宋体" w:hAnsi="宋体" w:cs="宋体"/>
          <w:szCs w:val="21"/>
        </w:rPr>
        <w:t>%计算，最高限额为本合同总价的</w:t>
      </w:r>
      <w:r>
        <w:rPr>
          <w:rFonts w:hint="eastAsia" w:ascii="宋体" w:hAnsi="宋体" w:cs="宋体"/>
          <w:szCs w:val="21"/>
          <w:u w:val="single"/>
        </w:rPr>
        <w:t>20</w:t>
      </w:r>
      <w:r>
        <w:rPr>
          <w:rFonts w:hint="eastAsia" w:ascii="宋体" w:hAnsi="宋体" w:cs="宋体"/>
          <w:kern w:val="0"/>
          <w:szCs w:val="21"/>
          <w:u w:val="single"/>
        </w:rPr>
        <w:t>（可根据情况修改）</w:t>
      </w:r>
      <w:r>
        <w:rPr>
          <w:rFonts w:hint="eastAsia" w:ascii="宋体" w:hAnsi="宋体" w:cs="宋体"/>
          <w:szCs w:val="21"/>
        </w:rPr>
        <w:t>%；迟延付款的违约金计算数额达到前述最高限额之日起，乙方有权在要求甲方支付违约金的同时，书面通知甲方解除本合同；</w:t>
      </w:r>
    </w:p>
    <w:p w14:paraId="4318BE58">
      <w:pPr>
        <w:spacing w:line="360" w:lineRule="auto"/>
        <w:ind w:firstLine="420" w:firstLineChars="200"/>
        <w:rPr>
          <w:rFonts w:ascii="宋体" w:hAnsi="宋体" w:cs="宋体"/>
          <w:szCs w:val="21"/>
        </w:rPr>
      </w:pPr>
      <w:r>
        <w:rPr>
          <w:rFonts w:hint="eastAsia" w:ascii="宋体" w:hAnsi="宋体" w:cs="宋体"/>
          <w:szCs w:val="21"/>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4B216B">
      <w:pPr>
        <w:spacing w:line="360" w:lineRule="auto"/>
        <w:ind w:firstLine="420" w:firstLineChars="200"/>
        <w:rPr>
          <w:rFonts w:ascii="宋体" w:hAnsi="宋体" w:cs="宋体"/>
          <w:szCs w:val="21"/>
        </w:rPr>
      </w:pPr>
      <w:r>
        <w:rPr>
          <w:rFonts w:hint="eastAsia" w:ascii="宋体" w:hAnsi="宋体" w:cs="宋体"/>
          <w:szCs w:val="21"/>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84DD9DF">
      <w:pPr>
        <w:spacing w:line="360" w:lineRule="auto"/>
        <w:ind w:firstLine="420" w:firstLineChars="200"/>
        <w:rPr>
          <w:rFonts w:ascii="宋体" w:hAnsi="宋体" w:cs="宋体"/>
          <w:szCs w:val="21"/>
        </w:rPr>
      </w:pPr>
      <w:r>
        <w:rPr>
          <w:rFonts w:hint="eastAsia" w:ascii="宋体" w:hAnsi="宋体" w:cs="宋体"/>
          <w:szCs w:val="21"/>
        </w:rPr>
        <w:t>1.8.6如果出现政府采购监督管理部门在处理投诉事项期间，书面通知甲方暂停采购活动的情形，或者询问或质疑事项可能影响中标或者成交结果的，导致甲方中止履行合同的情形，均不视为甲方违约。</w:t>
      </w:r>
    </w:p>
    <w:p w14:paraId="2DABE4E1">
      <w:pPr>
        <w:spacing w:line="360" w:lineRule="auto"/>
        <w:ind w:left="-420" w:leftChars="-200" w:right="-420" w:rightChars="-200" w:firstLine="630" w:firstLineChars="300"/>
        <w:rPr>
          <w:rFonts w:ascii="宋体" w:hAnsi="宋体" w:cs="宋体"/>
          <w:szCs w:val="21"/>
        </w:rPr>
      </w:pPr>
      <w:r>
        <w:rPr>
          <w:rFonts w:hint="eastAsia" w:ascii="宋体" w:hAnsi="宋体" w:cs="宋体"/>
          <w:szCs w:val="21"/>
        </w:rPr>
        <w:t>1.8.7违约责任</w:t>
      </w:r>
      <w:r>
        <w:rPr>
          <w:rFonts w:hint="eastAsia" w:ascii="宋体" w:hAnsi="宋体" w:cs="宋体"/>
          <w:b/>
          <w:i/>
          <w:szCs w:val="21"/>
          <w:u w:val="single"/>
        </w:rPr>
        <w:t>合同专用条款</w:t>
      </w:r>
      <w:r>
        <w:rPr>
          <w:rFonts w:hint="eastAsia" w:ascii="宋体" w:hAnsi="宋体" w:cs="宋体"/>
          <w:szCs w:val="21"/>
        </w:rPr>
        <w:t>另有约定的，从其约定。</w:t>
      </w:r>
      <w:bookmarkStart w:id="457" w:name="_Toc18683"/>
      <w:bookmarkStart w:id="458" w:name="_Toc32454"/>
      <w:bookmarkStart w:id="459" w:name="_Toc30329"/>
      <w:bookmarkStart w:id="460" w:name="_Toc26807"/>
      <w:bookmarkStart w:id="461" w:name="_Toc9497"/>
    </w:p>
    <w:p w14:paraId="36784D4D">
      <w:pPr>
        <w:spacing w:line="360" w:lineRule="auto"/>
        <w:ind w:left="-420" w:leftChars="-200" w:right="-420" w:rightChars="-200" w:firstLine="632" w:firstLineChars="300"/>
        <w:rPr>
          <w:rFonts w:ascii="宋体" w:hAnsi="宋体" w:cs="宋体"/>
          <w:b/>
          <w:szCs w:val="21"/>
        </w:rPr>
      </w:pPr>
      <w:r>
        <w:rPr>
          <w:rFonts w:hint="eastAsia" w:ascii="宋体" w:hAnsi="宋体" w:cs="宋体"/>
          <w:b/>
          <w:szCs w:val="21"/>
        </w:rPr>
        <w:t>1.9合同争议的解决</w:t>
      </w:r>
      <w:bookmarkEnd w:id="457"/>
      <w:bookmarkEnd w:id="458"/>
      <w:bookmarkEnd w:id="459"/>
      <w:bookmarkEnd w:id="460"/>
      <w:bookmarkEnd w:id="461"/>
    </w:p>
    <w:p w14:paraId="403A5A57">
      <w:pPr>
        <w:spacing w:line="360" w:lineRule="auto"/>
        <w:ind w:left="-61" w:leftChars="-29" w:right="-420" w:rightChars="-200" w:firstLine="210" w:firstLineChars="100"/>
        <w:rPr>
          <w:rFonts w:ascii="宋体" w:hAnsi="宋体" w:cs="宋体"/>
          <w:szCs w:val="21"/>
        </w:rPr>
      </w:pPr>
      <w:r>
        <w:rPr>
          <w:rFonts w:hint="eastAsia" w:ascii="宋体" w:hAnsi="宋体" w:cs="宋体"/>
          <w:szCs w:val="21"/>
        </w:rPr>
        <w:t>本合同履行过程中发生的任何争议，双方当事人均可通过和解或者调解解决；不愿和解、调解或者和解、调解不成的，可以选择以下第</w:t>
      </w:r>
      <w:r>
        <w:rPr>
          <w:rFonts w:hint="eastAsia" w:ascii="宋体" w:hAnsi="宋体" w:cs="宋体"/>
          <w:b/>
          <w:bCs/>
          <w:szCs w:val="21"/>
          <w:u w:val="single"/>
        </w:rPr>
        <w:t>1.9.2条款</w:t>
      </w:r>
      <w:r>
        <w:rPr>
          <w:rFonts w:hint="eastAsia" w:ascii="宋体" w:hAnsi="宋体" w:cs="宋体"/>
          <w:szCs w:val="21"/>
        </w:rPr>
        <w:t>规定的方式解决：</w:t>
      </w:r>
    </w:p>
    <w:p w14:paraId="19A88D81">
      <w:pPr>
        <w:spacing w:line="360" w:lineRule="auto"/>
        <w:ind w:left="-420" w:leftChars="-200" w:right="-420" w:rightChars="-200" w:firstLine="525" w:firstLineChars="250"/>
        <w:rPr>
          <w:rFonts w:ascii="宋体" w:hAnsi="宋体" w:cs="宋体"/>
          <w:szCs w:val="21"/>
        </w:rPr>
      </w:pPr>
      <w:r>
        <w:rPr>
          <w:rFonts w:hint="eastAsia" w:ascii="宋体" w:hAnsi="宋体" w:cs="宋体"/>
          <w:szCs w:val="21"/>
        </w:rPr>
        <w:t>1.9.1将争议提交</w:t>
      </w:r>
      <w:r>
        <w:rPr>
          <w:rFonts w:hint="eastAsia" w:ascii="宋体" w:hAnsi="宋体" w:cs="宋体"/>
          <w:b/>
          <w:i/>
          <w:szCs w:val="21"/>
          <w:u w:val="single"/>
        </w:rPr>
        <w:t>合同专用条款</w:t>
      </w:r>
      <w:r>
        <w:rPr>
          <w:rFonts w:hint="eastAsia" w:ascii="宋体" w:hAnsi="宋体" w:cs="宋体"/>
          <w:szCs w:val="21"/>
        </w:rPr>
        <w:t>仲裁委员会依申请仲裁时其现行有效的仲裁规则裁决；</w:t>
      </w:r>
    </w:p>
    <w:p w14:paraId="724955CB">
      <w:pPr>
        <w:spacing w:line="360" w:lineRule="auto"/>
        <w:ind w:left="-420" w:leftChars="-200" w:right="-420" w:rightChars="-200" w:firstLine="525" w:firstLineChars="250"/>
        <w:rPr>
          <w:rFonts w:ascii="宋体" w:hAnsi="宋体" w:cs="宋体"/>
          <w:szCs w:val="21"/>
        </w:rPr>
      </w:pPr>
      <w:r>
        <w:rPr>
          <w:rFonts w:hint="eastAsia" w:ascii="宋体" w:hAnsi="宋体" w:cs="宋体"/>
          <w:szCs w:val="21"/>
        </w:rPr>
        <w:t>1.9.2向</w:t>
      </w:r>
      <w:r>
        <w:rPr>
          <w:rFonts w:hint="eastAsia" w:ascii="宋体" w:hAnsi="宋体" w:cs="宋体"/>
          <w:b/>
          <w:i/>
          <w:szCs w:val="21"/>
          <w:u w:val="single"/>
        </w:rPr>
        <w:t>合同专用条款</w:t>
      </w:r>
      <w:r>
        <w:rPr>
          <w:rFonts w:hint="eastAsia" w:ascii="宋体" w:hAnsi="宋体" w:cs="宋体"/>
          <w:szCs w:val="21"/>
        </w:rPr>
        <w:t>人民法院起诉。</w:t>
      </w:r>
    </w:p>
    <w:p w14:paraId="026D34FA">
      <w:pPr>
        <w:spacing w:line="360" w:lineRule="auto"/>
        <w:ind w:firstLine="211" w:firstLineChars="100"/>
        <w:outlineLvl w:val="0"/>
        <w:rPr>
          <w:rFonts w:ascii="宋体" w:hAnsi="宋体" w:cs="宋体"/>
          <w:b/>
          <w:szCs w:val="21"/>
        </w:rPr>
      </w:pPr>
      <w:bookmarkStart w:id="462" w:name="_Toc26227"/>
      <w:bookmarkStart w:id="463" w:name="_Toc15827"/>
      <w:bookmarkStart w:id="464" w:name="_Toc16417"/>
      <w:bookmarkStart w:id="465" w:name="_Toc23784"/>
      <w:bookmarkStart w:id="466" w:name="_Toc12273"/>
      <w:r>
        <w:rPr>
          <w:rFonts w:hint="eastAsia" w:ascii="宋体" w:hAnsi="宋体" w:cs="宋体"/>
          <w:b/>
          <w:szCs w:val="21"/>
        </w:rPr>
        <w:t>2.0 合同生效</w:t>
      </w:r>
      <w:bookmarkEnd w:id="462"/>
      <w:bookmarkEnd w:id="463"/>
      <w:bookmarkEnd w:id="464"/>
      <w:bookmarkEnd w:id="465"/>
      <w:bookmarkEnd w:id="466"/>
    </w:p>
    <w:p w14:paraId="32960169">
      <w:pPr>
        <w:spacing w:line="360" w:lineRule="auto"/>
        <w:ind w:firstLine="420" w:firstLineChars="200"/>
        <w:rPr>
          <w:lang w:val="zh-CN"/>
        </w:rPr>
      </w:pPr>
      <w:r>
        <w:rPr>
          <w:rFonts w:hint="eastAsia" w:ascii="宋体" w:hAnsi="宋体" w:cs="宋体"/>
          <w:szCs w:val="21"/>
        </w:rPr>
        <w:t>本合同自双方当事人盖章签字时生效。</w:t>
      </w:r>
    </w:p>
    <w:p w14:paraId="3FC0E187">
      <w:pPr>
        <w:autoSpaceDE w:val="0"/>
        <w:autoSpaceDN w:val="0"/>
        <w:spacing w:line="360" w:lineRule="auto"/>
        <w:rPr>
          <w:rFonts w:ascii="宋体" w:hAnsi="宋体" w:cs="宋体"/>
          <w:szCs w:val="21"/>
          <w:lang w:val="zh-CN"/>
        </w:rPr>
      </w:pPr>
      <w:r>
        <w:rPr>
          <w:rFonts w:hint="eastAsia" w:ascii="宋体" w:hAnsi="宋体" w:cs="宋体"/>
          <w:b/>
          <w:szCs w:val="21"/>
          <w:lang w:val="zh-CN"/>
        </w:rPr>
        <w:t>甲方</w:t>
      </w:r>
      <w:r>
        <w:rPr>
          <w:rFonts w:hint="eastAsia" w:ascii="宋体" w:hAnsi="宋体" w:cs="宋体"/>
          <w:szCs w:val="21"/>
          <w:lang w:val="zh-CN"/>
        </w:rPr>
        <w:t xml:space="preserve">：                             </w:t>
      </w:r>
      <w:r>
        <w:rPr>
          <w:rFonts w:hint="eastAsia" w:ascii="宋体" w:hAnsi="宋体" w:cs="宋体"/>
          <w:b/>
          <w:szCs w:val="21"/>
          <w:lang w:val="zh-CN"/>
        </w:rPr>
        <w:t xml:space="preserve">      乙方</w:t>
      </w:r>
      <w:r>
        <w:rPr>
          <w:rFonts w:hint="eastAsia" w:ascii="宋体" w:hAnsi="宋体" w:cs="宋体"/>
          <w:szCs w:val="21"/>
          <w:lang w:val="zh-CN"/>
        </w:rPr>
        <w:t>：</w:t>
      </w:r>
    </w:p>
    <w:p w14:paraId="6598D45A">
      <w:pPr>
        <w:autoSpaceDE w:val="0"/>
        <w:autoSpaceDN w:val="0"/>
        <w:spacing w:line="360" w:lineRule="auto"/>
        <w:rPr>
          <w:rFonts w:ascii="宋体" w:hAnsi="宋体" w:cs="宋体"/>
          <w:szCs w:val="21"/>
          <w:lang w:val="zh-CN"/>
        </w:rPr>
      </w:pPr>
      <w:r>
        <w:rPr>
          <w:rFonts w:hint="eastAsia" w:ascii="宋体" w:hAnsi="宋体" w:cs="宋体"/>
          <w:szCs w:val="21"/>
          <w:lang w:val="zh-CN"/>
        </w:rPr>
        <w:t>统一社会信用代码：                        统一社会信用代码或身份证号码：</w:t>
      </w:r>
    </w:p>
    <w:p w14:paraId="33177882">
      <w:pPr>
        <w:autoSpaceDE w:val="0"/>
        <w:autoSpaceDN w:val="0"/>
        <w:spacing w:line="360" w:lineRule="auto"/>
        <w:rPr>
          <w:rFonts w:ascii="宋体" w:hAnsi="宋体" w:cs="宋体"/>
          <w:szCs w:val="21"/>
          <w:lang w:val="zh-CN"/>
        </w:rPr>
      </w:pPr>
      <w:r>
        <w:rPr>
          <w:rFonts w:hint="eastAsia" w:ascii="宋体" w:hAnsi="宋体" w:cs="宋体"/>
          <w:szCs w:val="21"/>
          <w:lang w:val="zh-CN"/>
        </w:rPr>
        <w:t>住所：                                   住所：</w:t>
      </w:r>
    </w:p>
    <w:p w14:paraId="2676D7B7">
      <w:pPr>
        <w:autoSpaceDE w:val="0"/>
        <w:autoSpaceDN w:val="0"/>
        <w:spacing w:line="360" w:lineRule="auto"/>
        <w:rPr>
          <w:rFonts w:ascii="宋体" w:hAnsi="宋体" w:cs="宋体"/>
          <w:szCs w:val="21"/>
          <w:lang w:val="zh-CN"/>
        </w:rPr>
      </w:pPr>
      <w:r>
        <w:rPr>
          <w:rFonts w:hint="eastAsia" w:ascii="宋体" w:hAnsi="宋体" w:cs="宋体"/>
          <w:szCs w:val="21"/>
          <w:lang w:val="zh-CN"/>
        </w:rPr>
        <w:t>法定代表人或                             法定代表人</w:t>
      </w:r>
    </w:p>
    <w:p w14:paraId="383E3BB5">
      <w:pPr>
        <w:autoSpaceDE w:val="0"/>
        <w:autoSpaceDN w:val="0"/>
        <w:spacing w:line="360" w:lineRule="auto"/>
        <w:rPr>
          <w:rFonts w:ascii="宋体" w:hAnsi="宋体" w:cs="宋体"/>
          <w:szCs w:val="21"/>
          <w:lang w:val="zh-CN"/>
        </w:rPr>
      </w:pPr>
      <w:r>
        <w:rPr>
          <w:rFonts w:hint="eastAsia" w:ascii="宋体" w:hAnsi="宋体" w:cs="宋体"/>
          <w:szCs w:val="21"/>
          <w:lang w:val="zh-CN"/>
        </w:rPr>
        <w:t xml:space="preserve">授权代表（签字）：                        或授权代表（签字）: </w:t>
      </w:r>
    </w:p>
    <w:p w14:paraId="46855962">
      <w:pPr>
        <w:autoSpaceDE w:val="0"/>
        <w:autoSpaceDN w:val="0"/>
        <w:spacing w:line="360" w:lineRule="auto"/>
        <w:rPr>
          <w:rFonts w:ascii="宋体" w:hAnsi="宋体" w:cs="宋体"/>
          <w:szCs w:val="21"/>
          <w:lang w:val="zh-CN"/>
        </w:rPr>
      </w:pPr>
      <w:r>
        <w:rPr>
          <w:rFonts w:hint="eastAsia" w:ascii="宋体" w:hAnsi="宋体" w:cs="宋体"/>
          <w:szCs w:val="21"/>
          <w:lang w:val="zh-CN"/>
        </w:rPr>
        <w:t>联系人：                                 联系人：</w:t>
      </w:r>
    </w:p>
    <w:p w14:paraId="04C2DB26">
      <w:pPr>
        <w:autoSpaceDE w:val="0"/>
        <w:autoSpaceDN w:val="0"/>
        <w:spacing w:line="360" w:lineRule="auto"/>
        <w:rPr>
          <w:rFonts w:ascii="宋体" w:hAnsi="宋体" w:cs="宋体"/>
          <w:szCs w:val="21"/>
          <w:lang w:val="zh-CN"/>
        </w:rPr>
      </w:pPr>
      <w:r>
        <w:rPr>
          <w:rFonts w:hint="eastAsia" w:ascii="宋体" w:hAnsi="宋体" w:cs="宋体"/>
          <w:szCs w:val="21"/>
          <w:lang w:val="zh-CN"/>
        </w:rPr>
        <w:t>约定送达地址：                           约定送达地址：</w:t>
      </w:r>
    </w:p>
    <w:p w14:paraId="425DEC6A">
      <w:pPr>
        <w:autoSpaceDE w:val="0"/>
        <w:autoSpaceDN w:val="0"/>
        <w:spacing w:line="360" w:lineRule="auto"/>
        <w:rPr>
          <w:rFonts w:ascii="宋体" w:hAnsi="宋体" w:cs="宋体"/>
          <w:szCs w:val="21"/>
          <w:lang w:val="zh-CN"/>
        </w:rPr>
      </w:pPr>
      <w:r>
        <w:rPr>
          <w:rFonts w:hint="eastAsia" w:ascii="宋体" w:hAnsi="宋体" w:cs="宋体"/>
          <w:szCs w:val="21"/>
          <w:lang w:val="zh-CN"/>
        </w:rPr>
        <w:t>邮政编码：                               邮政编码：</w:t>
      </w:r>
    </w:p>
    <w:p w14:paraId="28436D69">
      <w:pPr>
        <w:autoSpaceDE w:val="0"/>
        <w:autoSpaceDN w:val="0"/>
        <w:spacing w:line="360" w:lineRule="auto"/>
        <w:rPr>
          <w:rFonts w:ascii="宋体" w:hAnsi="宋体" w:cs="宋体"/>
          <w:szCs w:val="21"/>
          <w:lang w:val="zh-CN"/>
        </w:rPr>
      </w:pPr>
      <w:r>
        <w:rPr>
          <w:rFonts w:hint="eastAsia" w:ascii="宋体" w:hAnsi="宋体" w:cs="宋体"/>
          <w:szCs w:val="21"/>
          <w:lang w:val="zh-CN"/>
        </w:rPr>
        <w:t xml:space="preserve">电话:                                    电话: </w:t>
      </w:r>
    </w:p>
    <w:p w14:paraId="3DC912E3">
      <w:pPr>
        <w:autoSpaceDE w:val="0"/>
        <w:autoSpaceDN w:val="0"/>
        <w:spacing w:line="360" w:lineRule="auto"/>
        <w:rPr>
          <w:rFonts w:ascii="宋体" w:hAnsi="宋体" w:cs="宋体"/>
          <w:szCs w:val="21"/>
          <w:lang w:val="zh-CN"/>
        </w:rPr>
      </w:pPr>
      <w:r>
        <w:rPr>
          <w:rFonts w:hint="eastAsia" w:ascii="宋体" w:hAnsi="宋体" w:cs="宋体"/>
          <w:szCs w:val="21"/>
          <w:lang w:val="zh-CN"/>
        </w:rPr>
        <w:t>传真:                                    传真:</w:t>
      </w:r>
    </w:p>
    <w:p w14:paraId="65E65BB7">
      <w:pPr>
        <w:autoSpaceDE w:val="0"/>
        <w:autoSpaceDN w:val="0"/>
        <w:spacing w:line="360" w:lineRule="auto"/>
        <w:rPr>
          <w:rFonts w:ascii="宋体" w:hAnsi="宋体" w:cs="宋体"/>
          <w:szCs w:val="21"/>
        </w:rPr>
      </w:pPr>
      <w:r>
        <w:rPr>
          <w:rFonts w:hint="eastAsia" w:ascii="宋体" w:hAnsi="宋体" w:cs="宋体"/>
          <w:szCs w:val="21"/>
          <w:lang w:val="zh-CN"/>
        </w:rPr>
        <w:t>电子邮箱：                               电子邮箱：</w:t>
      </w:r>
    </w:p>
    <w:p w14:paraId="51595FBC">
      <w:pPr>
        <w:autoSpaceDE w:val="0"/>
        <w:autoSpaceDN w:val="0"/>
        <w:spacing w:line="360" w:lineRule="auto"/>
        <w:rPr>
          <w:rFonts w:ascii="宋体" w:hAnsi="宋体" w:cs="宋体"/>
          <w:szCs w:val="21"/>
        </w:rPr>
      </w:pPr>
      <w:r>
        <w:rPr>
          <w:rFonts w:hint="eastAsia" w:ascii="宋体" w:hAnsi="宋体" w:cs="宋体"/>
          <w:szCs w:val="21"/>
        </w:rPr>
        <w:t xml:space="preserve">开户银行：                               开户银行： </w:t>
      </w:r>
    </w:p>
    <w:p w14:paraId="6CBA8A7B">
      <w:pPr>
        <w:autoSpaceDE w:val="0"/>
        <w:autoSpaceDN w:val="0"/>
        <w:spacing w:line="360" w:lineRule="auto"/>
        <w:rPr>
          <w:rFonts w:ascii="宋体" w:hAnsi="宋体" w:cs="宋体"/>
          <w:szCs w:val="21"/>
        </w:rPr>
      </w:pPr>
      <w:r>
        <w:rPr>
          <w:rFonts w:hint="eastAsia" w:ascii="宋体" w:hAnsi="宋体" w:cs="宋体"/>
          <w:szCs w:val="21"/>
        </w:rPr>
        <w:t xml:space="preserve">开户名称：                               开户名称： </w:t>
      </w:r>
    </w:p>
    <w:p w14:paraId="4B5F930F">
      <w:pPr>
        <w:autoSpaceDE w:val="0"/>
        <w:autoSpaceDN w:val="0"/>
        <w:spacing w:line="360" w:lineRule="auto"/>
        <w:rPr>
          <w:rFonts w:ascii="宋体" w:hAnsi="宋体" w:cs="宋体"/>
          <w:b/>
          <w:sz w:val="24"/>
        </w:rPr>
      </w:pPr>
      <w:r>
        <w:rPr>
          <w:rFonts w:hint="eastAsia" w:ascii="宋体" w:hAnsi="宋体" w:cs="宋体"/>
          <w:szCs w:val="21"/>
        </w:rPr>
        <w:t>开户账号：</w:t>
      </w:r>
      <w:r>
        <w:rPr>
          <w:rFonts w:hint="eastAsia" w:ascii="宋体" w:hAnsi="宋体" w:cs="宋体"/>
          <w:szCs w:val="21"/>
          <w:lang w:val="zh-CN"/>
        </w:rPr>
        <w:t xml:space="preserve">                               </w:t>
      </w:r>
      <w:r>
        <w:rPr>
          <w:rFonts w:hint="eastAsia" w:ascii="宋体" w:hAnsi="宋体" w:cs="宋体"/>
          <w:szCs w:val="21"/>
        </w:rPr>
        <w:t>开户账号：</w:t>
      </w:r>
      <w:bookmarkStart w:id="467" w:name="_Toc331685783"/>
      <w:r>
        <w:rPr>
          <w:rFonts w:hint="eastAsia" w:ascii="宋体" w:hAnsi="宋体" w:cs="宋体"/>
          <w:b/>
        </w:rPr>
        <w:br w:type="page"/>
      </w:r>
    </w:p>
    <w:p w14:paraId="2C998263">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67"/>
    </w:p>
    <w:p w14:paraId="182BE4F0">
      <w:pPr>
        <w:pStyle w:val="4"/>
      </w:pPr>
      <w:r>
        <w:rPr>
          <w:rFonts w:hint="eastAsia"/>
        </w:rPr>
        <w:t>2.1定义</w:t>
      </w:r>
    </w:p>
    <w:p w14:paraId="66FA7DE9">
      <w:pPr>
        <w:spacing w:line="360" w:lineRule="auto"/>
        <w:ind w:firstLine="420" w:firstLineChars="200"/>
        <w:rPr>
          <w:rFonts w:ascii="宋体" w:hAnsi="宋体" w:cs="宋体"/>
          <w:szCs w:val="21"/>
        </w:rPr>
      </w:pPr>
      <w:r>
        <w:rPr>
          <w:rFonts w:hint="eastAsia" w:ascii="宋体" w:hAnsi="宋体" w:cs="宋体"/>
          <w:szCs w:val="21"/>
        </w:rPr>
        <w:t>本合同中的下列词语应按以下内容进行解释：</w:t>
      </w:r>
    </w:p>
    <w:p w14:paraId="32BD52B9">
      <w:pPr>
        <w:spacing w:line="360" w:lineRule="auto"/>
        <w:ind w:firstLine="420" w:firstLineChars="200"/>
        <w:rPr>
          <w:rFonts w:ascii="宋体" w:hAnsi="宋体" w:cs="宋体"/>
          <w:szCs w:val="21"/>
        </w:rPr>
      </w:pPr>
      <w:r>
        <w:rPr>
          <w:rFonts w:hint="eastAsia" w:ascii="宋体" w:hAnsi="宋体" w:cs="宋体"/>
          <w:szCs w:val="21"/>
        </w:rPr>
        <w:t>2.1.1“合同”系指采购人和中标或成交供应商签订的载明双方当事人所达成的协议，并包括所有的附件、附录和构成合同的其他文件。</w:t>
      </w:r>
    </w:p>
    <w:p w14:paraId="241B5F72">
      <w:pPr>
        <w:spacing w:line="360" w:lineRule="auto"/>
        <w:ind w:firstLine="420" w:firstLineChars="200"/>
        <w:rPr>
          <w:rFonts w:ascii="宋体" w:hAnsi="宋体" w:cs="宋体"/>
          <w:szCs w:val="21"/>
        </w:rPr>
      </w:pPr>
      <w:r>
        <w:rPr>
          <w:rFonts w:hint="eastAsia" w:ascii="宋体" w:hAnsi="宋体" w:cs="宋体"/>
          <w:szCs w:val="21"/>
        </w:rPr>
        <w:t>2.1.2“合同价”系指根据合同约定，中标或成交供应商在完全履行合同义务后，采购人应支付给中标或成交供应商的价格。</w:t>
      </w:r>
    </w:p>
    <w:p w14:paraId="492962E4">
      <w:pPr>
        <w:spacing w:line="360" w:lineRule="auto"/>
        <w:ind w:firstLine="420" w:firstLineChars="200"/>
        <w:rPr>
          <w:rFonts w:ascii="宋体" w:hAnsi="宋体" w:cs="宋体"/>
          <w:szCs w:val="21"/>
        </w:rPr>
      </w:pPr>
      <w:r>
        <w:rPr>
          <w:rFonts w:hint="eastAsia" w:ascii="宋体" w:hAnsi="宋体" w:cs="宋体"/>
          <w:szCs w:val="21"/>
        </w:rPr>
        <w:t>2.1.3“服务”系指中标或成交供应商根据合同约定应向采购人履行的除货物和工程以外的其他政府采购对象，包括采购人自身需要的服务和向社会公众提供的公共服务。</w:t>
      </w:r>
    </w:p>
    <w:p w14:paraId="53C3B3CC">
      <w:pPr>
        <w:spacing w:line="360" w:lineRule="auto"/>
        <w:ind w:firstLine="420" w:firstLineChars="200"/>
        <w:rPr>
          <w:rFonts w:ascii="宋体" w:hAnsi="宋体" w:cs="宋体"/>
          <w:szCs w:val="21"/>
        </w:rPr>
      </w:pPr>
      <w:bookmarkStart w:id="468" w:name="_Ref467378840"/>
      <w:r>
        <w:rPr>
          <w:rFonts w:hint="eastAsia" w:ascii="宋体" w:hAnsi="宋体" w:cs="宋体"/>
          <w:szCs w:val="21"/>
        </w:rPr>
        <w:t>2.1.4“甲方”系指与中标或成交供应商签署合同的采购人</w:t>
      </w:r>
      <w:bookmarkEnd w:id="468"/>
      <w:r>
        <w:rPr>
          <w:rFonts w:hint="eastAsia" w:ascii="宋体" w:hAnsi="宋体" w:cs="宋体"/>
          <w:szCs w:val="21"/>
        </w:rPr>
        <w:t>；采购人委托采购代理机构代表其与乙方签订合同的，采购人的授权委托书作为合同附件。</w:t>
      </w:r>
    </w:p>
    <w:p w14:paraId="15D57353">
      <w:pPr>
        <w:spacing w:line="360" w:lineRule="auto"/>
        <w:ind w:firstLine="420" w:firstLineChars="200"/>
        <w:rPr>
          <w:rFonts w:ascii="宋体" w:hAnsi="宋体" w:cs="宋体"/>
          <w:szCs w:val="21"/>
        </w:rPr>
      </w:pPr>
      <w:bookmarkStart w:id="469" w:name="_Ref467379400"/>
      <w:r>
        <w:rPr>
          <w:rFonts w:hint="eastAsia" w:ascii="宋体" w:hAnsi="宋体" w:cs="宋体"/>
          <w:szCs w:val="21"/>
        </w:rPr>
        <w:t>2.1.5“乙方”系指根据合同约定提供服务的中标或成交供应商</w:t>
      </w:r>
      <w:bookmarkEnd w:id="469"/>
      <w:r>
        <w:rPr>
          <w:rFonts w:hint="eastAsia" w:ascii="宋体" w:hAnsi="宋体" w:cs="宋体"/>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B6054E">
      <w:pPr>
        <w:spacing w:line="360" w:lineRule="auto"/>
        <w:ind w:firstLine="420" w:firstLineChars="200"/>
        <w:rPr>
          <w:rFonts w:ascii="宋体" w:hAnsi="宋体" w:cs="宋体"/>
          <w:szCs w:val="21"/>
        </w:rPr>
      </w:pPr>
      <w:bookmarkStart w:id="470" w:name="_Ref467379436"/>
      <w:r>
        <w:rPr>
          <w:rFonts w:hint="eastAsia" w:ascii="宋体" w:hAnsi="宋体" w:cs="宋体"/>
          <w:szCs w:val="21"/>
        </w:rPr>
        <w:t>2.1.6“现场”系指合同约定提供服务的地点。</w:t>
      </w:r>
      <w:bookmarkEnd w:id="470"/>
    </w:p>
    <w:p w14:paraId="39F6461F">
      <w:pPr>
        <w:pStyle w:val="4"/>
      </w:pPr>
      <w:bookmarkStart w:id="471" w:name="_Toc27635"/>
      <w:bookmarkStart w:id="472" w:name="_Toc259093670"/>
      <w:bookmarkStart w:id="473" w:name="_Toc487900350"/>
      <w:bookmarkStart w:id="474" w:name="_Toc279701241"/>
      <w:bookmarkStart w:id="475" w:name="_Toc13336"/>
      <w:bookmarkStart w:id="476" w:name="_Toc32504"/>
      <w:r>
        <w:rPr>
          <w:rFonts w:hint="eastAsia"/>
        </w:rPr>
        <w:t>2.2技术规范</w:t>
      </w:r>
      <w:bookmarkEnd w:id="471"/>
      <w:bookmarkEnd w:id="472"/>
      <w:bookmarkEnd w:id="473"/>
      <w:bookmarkEnd w:id="474"/>
      <w:bookmarkEnd w:id="475"/>
      <w:bookmarkEnd w:id="476"/>
    </w:p>
    <w:p w14:paraId="37ECE35C">
      <w:pPr>
        <w:spacing w:line="360" w:lineRule="auto"/>
        <w:ind w:firstLine="420" w:firstLineChars="200"/>
        <w:rPr>
          <w:rFonts w:ascii="宋体" w:hAnsi="宋体" w:cs="宋体"/>
          <w:szCs w:val="21"/>
        </w:rPr>
      </w:pPr>
      <w:r>
        <w:rPr>
          <w:rFonts w:hint="eastAsia" w:ascii="宋体" w:hAnsi="宋体" w:cs="宋体"/>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5DB20EF">
      <w:pPr>
        <w:pStyle w:val="4"/>
      </w:pPr>
      <w:bookmarkStart w:id="477" w:name="_Toc259093671"/>
      <w:bookmarkStart w:id="478" w:name="_Toc9829"/>
      <w:bookmarkStart w:id="479" w:name="_Toc279701242"/>
      <w:bookmarkStart w:id="480" w:name="_Toc31634"/>
      <w:bookmarkStart w:id="481" w:name="_Toc27853"/>
      <w:bookmarkStart w:id="482" w:name="_Toc487900351"/>
      <w:r>
        <w:rPr>
          <w:rFonts w:hint="eastAsia"/>
        </w:rPr>
        <w:t>2.3知识产权</w:t>
      </w:r>
      <w:bookmarkEnd w:id="477"/>
      <w:bookmarkEnd w:id="478"/>
      <w:bookmarkEnd w:id="479"/>
      <w:bookmarkEnd w:id="480"/>
      <w:bookmarkEnd w:id="481"/>
      <w:bookmarkEnd w:id="482"/>
    </w:p>
    <w:p w14:paraId="128B2281">
      <w:pPr>
        <w:spacing w:line="360" w:lineRule="auto"/>
        <w:ind w:firstLine="420" w:firstLineChars="200"/>
        <w:rPr>
          <w:rFonts w:ascii="宋体" w:hAnsi="宋体" w:cs="宋体"/>
          <w:szCs w:val="21"/>
        </w:rPr>
      </w:pPr>
      <w:r>
        <w:rPr>
          <w:rFonts w:hint="eastAsia" w:ascii="宋体" w:hAnsi="宋体" w:cs="宋体"/>
          <w:szCs w:val="21"/>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EB772BF">
      <w:pPr>
        <w:spacing w:line="360" w:lineRule="auto"/>
        <w:ind w:firstLine="420" w:firstLineChars="200"/>
        <w:rPr>
          <w:rFonts w:ascii="宋体" w:hAnsi="宋体" w:cs="宋体"/>
          <w:szCs w:val="21"/>
        </w:rPr>
      </w:pPr>
      <w:r>
        <w:rPr>
          <w:rFonts w:hint="eastAsia" w:ascii="宋体" w:hAnsi="宋体" w:cs="宋体"/>
          <w:szCs w:val="21"/>
        </w:rPr>
        <w:t>2.3.2合同涉及技术成果的归属和收益的分成办法的，详见</w:t>
      </w:r>
      <w:r>
        <w:rPr>
          <w:rFonts w:hint="eastAsia" w:ascii="宋体" w:hAnsi="宋体" w:cs="宋体"/>
          <w:b/>
          <w:i/>
          <w:szCs w:val="21"/>
          <w:u w:val="single"/>
        </w:rPr>
        <w:t>合同专用条款</w:t>
      </w:r>
      <w:r>
        <w:rPr>
          <w:rFonts w:hint="eastAsia" w:ascii="宋体" w:hAnsi="宋体" w:cs="宋体"/>
          <w:szCs w:val="21"/>
        </w:rPr>
        <w:t>。</w:t>
      </w:r>
    </w:p>
    <w:p w14:paraId="5EB9F8F4">
      <w:pPr>
        <w:pStyle w:val="4"/>
      </w:pPr>
      <w:bookmarkStart w:id="483" w:name="_Ref467379542"/>
      <w:bookmarkStart w:id="484" w:name="_Ref467379527"/>
      <w:bookmarkStart w:id="485" w:name="_Ref467378541"/>
      <w:bookmarkStart w:id="486" w:name="_Toc487900354"/>
      <w:bookmarkStart w:id="487" w:name="_Ref467378591"/>
      <w:bookmarkStart w:id="488" w:name="_Ref467379536"/>
      <w:bookmarkStart w:id="489" w:name="_Toc279701245"/>
      <w:bookmarkStart w:id="490" w:name="_Toc259093674"/>
      <w:bookmarkStart w:id="491" w:name="_Toc26182"/>
      <w:bookmarkStart w:id="492" w:name="_Toc19074"/>
      <w:bookmarkStart w:id="493" w:name="_Toc30272"/>
      <w:r>
        <w:rPr>
          <w:rFonts w:hint="eastAsia"/>
        </w:rPr>
        <w:t>2.</w:t>
      </w:r>
      <w:bookmarkEnd w:id="483"/>
      <w:bookmarkEnd w:id="484"/>
      <w:bookmarkEnd w:id="485"/>
      <w:bookmarkEnd w:id="486"/>
      <w:bookmarkEnd w:id="487"/>
      <w:bookmarkEnd w:id="488"/>
      <w:bookmarkEnd w:id="489"/>
      <w:bookmarkEnd w:id="490"/>
      <w:r>
        <w:rPr>
          <w:rFonts w:hint="eastAsia"/>
        </w:rPr>
        <w:t>4履约检查和问题反馈</w:t>
      </w:r>
      <w:bookmarkEnd w:id="491"/>
      <w:bookmarkEnd w:id="492"/>
      <w:bookmarkEnd w:id="493"/>
    </w:p>
    <w:p w14:paraId="1F909451">
      <w:pPr>
        <w:spacing w:line="360" w:lineRule="auto"/>
        <w:ind w:firstLine="420" w:firstLineChars="200"/>
        <w:rPr>
          <w:rFonts w:ascii="宋体" w:hAnsi="宋体" w:cs="宋体"/>
          <w:szCs w:val="21"/>
        </w:rPr>
      </w:pPr>
      <w:bookmarkStart w:id="494" w:name="_Ref467379657"/>
      <w:r>
        <w:rPr>
          <w:rFonts w:hint="eastAsia" w:ascii="宋体" w:hAnsi="宋体" w:cs="宋体"/>
          <w:szCs w:val="21"/>
        </w:rPr>
        <w:t>2.</w:t>
      </w:r>
      <w:bookmarkEnd w:id="494"/>
      <w:bookmarkStart w:id="495" w:name="_Toc186431854"/>
      <w:bookmarkStart w:id="496" w:name="_Toc259093676"/>
      <w:bookmarkStart w:id="497" w:name="_Ref467379793"/>
      <w:bookmarkStart w:id="498" w:name="_Toc279701247"/>
      <w:bookmarkStart w:id="499" w:name="_Toc487900357"/>
      <w:bookmarkStart w:id="500" w:name="_Ref467379807"/>
      <w:r>
        <w:rPr>
          <w:rFonts w:hint="eastAsia" w:ascii="宋体" w:hAnsi="宋体" w:cs="宋体"/>
          <w:szCs w:val="21"/>
        </w:rPr>
        <w:t>4.1甲方有权在其认为必要时，对乙方是否能够按照合同约定提供服务进行履约检查，以确保乙方所提供的服务能够依约满足甲方之项目需求，但不得因履约检查妨碍乙方的正常工作，乙方应予积极配合；</w:t>
      </w:r>
    </w:p>
    <w:p w14:paraId="08969B94">
      <w:pPr>
        <w:spacing w:line="360" w:lineRule="auto"/>
        <w:ind w:firstLine="420" w:firstLineChars="200"/>
        <w:rPr>
          <w:rFonts w:ascii="宋体" w:hAnsi="宋体" w:cs="宋体"/>
          <w:szCs w:val="21"/>
        </w:rPr>
      </w:pPr>
      <w:r>
        <w:rPr>
          <w:rFonts w:hint="eastAsia" w:ascii="宋体" w:hAnsi="宋体" w:cs="宋体"/>
          <w:szCs w:val="21"/>
        </w:rPr>
        <w:t>2.4.2合同履行期间，甲方有权将履行过程中出现的问题反馈给乙方，双方当事人应以书面形式约定需要完善和改进的内容</w:t>
      </w:r>
      <w:bookmarkEnd w:id="495"/>
      <w:bookmarkStart w:id="501" w:name="_Toc186431855"/>
      <w:r>
        <w:rPr>
          <w:rFonts w:hint="eastAsia" w:ascii="宋体" w:hAnsi="宋体" w:cs="宋体"/>
          <w:szCs w:val="21"/>
        </w:rPr>
        <w:t>。</w:t>
      </w:r>
    </w:p>
    <w:p w14:paraId="14DB406E">
      <w:pPr>
        <w:pStyle w:val="4"/>
      </w:pPr>
      <w:bookmarkStart w:id="502" w:name="_Toc32670"/>
      <w:bookmarkStart w:id="503" w:name="_Toc22011"/>
      <w:bookmarkStart w:id="504" w:name="_Toc31233"/>
      <w:bookmarkStart w:id="505" w:name="_Toc26555"/>
      <w:bookmarkStart w:id="506" w:name="_Toc15447"/>
      <w:r>
        <w:rPr>
          <w:rFonts w:hint="eastAsia"/>
        </w:rPr>
        <w:t>2.5结算方式和付款条件</w:t>
      </w:r>
      <w:bookmarkEnd w:id="502"/>
      <w:bookmarkEnd w:id="503"/>
      <w:bookmarkEnd w:id="504"/>
      <w:bookmarkEnd w:id="505"/>
      <w:bookmarkEnd w:id="506"/>
    </w:p>
    <w:p w14:paraId="3A437043">
      <w:pPr>
        <w:spacing w:line="360" w:lineRule="auto"/>
        <w:ind w:firstLine="420" w:firstLineChars="200"/>
        <w:rPr>
          <w:rFonts w:ascii="宋体" w:hAnsi="宋体" w:cs="宋体"/>
          <w:szCs w:val="21"/>
        </w:rPr>
      </w:pPr>
      <w:r>
        <w:rPr>
          <w:rFonts w:hint="eastAsia" w:ascii="宋体" w:hAnsi="宋体" w:cs="宋体"/>
          <w:szCs w:val="21"/>
        </w:rPr>
        <w:t>详见</w:t>
      </w:r>
      <w:r>
        <w:rPr>
          <w:rFonts w:hint="eastAsia" w:ascii="宋体" w:hAnsi="宋体" w:cs="宋体"/>
          <w:b/>
          <w:i/>
          <w:szCs w:val="21"/>
          <w:u w:val="single"/>
        </w:rPr>
        <w:t>合同专用条款</w:t>
      </w:r>
      <w:r>
        <w:rPr>
          <w:rFonts w:hint="eastAsia" w:ascii="宋体" w:hAnsi="宋体" w:cs="宋体"/>
          <w:szCs w:val="21"/>
        </w:rPr>
        <w:t>。</w:t>
      </w:r>
    </w:p>
    <w:bookmarkEnd w:id="496"/>
    <w:bookmarkEnd w:id="497"/>
    <w:bookmarkEnd w:id="498"/>
    <w:bookmarkEnd w:id="499"/>
    <w:bookmarkEnd w:id="500"/>
    <w:bookmarkEnd w:id="501"/>
    <w:p w14:paraId="48368BF0">
      <w:pPr>
        <w:pStyle w:val="4"/>
      </w:pPr>
      <w:bookmarkStart w:id="507" w:name="_Ref467379923"/>
      <w:bookmarkStart w:id="508" w:name="_Toc279701248"/>
      <w:bookmarkStart w:id="509" w:name="_Toc487900358"/>
      <w:bookmarkStart w:id="510" w:name="_Ref467379863"/>
      <w:bookmarkStart w:id="511" w:name="_Toc259093677"/>
      <w:bookmarkStart w:id="512" w:name="_Ref467379852"/>
      <w:bookmarkStart w:id="513" w:name="_Toc3225"/>
      <w:bookmarkStart w:id="514" w:name="_Toc16110"/>
      <w:bookmarkStart w:id="515" w:name="_Toc774"/>
      <w:r>
        <w:rPr>
          <w:rFonts w:hint="eastAsia"/>
        </w:rPr>
        <w:t>2.6技术资料</w:t>
      </w:r>
      <w:bookmarkEnd w:id="507"/>
      <w:bookmarkEnd w:id="508"/>
      <w:bookmarkEnd w:id="509"/>
      <w:bookmarkEnd w:id="510"/>
      <w:bookmarkEnd w:id="511"/>
      <w:bookmarkEnd w:id="512"/>
      <w:r>
        <w:rPr>
          <w:rFonts w:hint="eastAsia"/>
        </w:rPr>
        <w:t>和保密义务</w:t>
      </w:r>
      <w:bookmarkEnd w:id="513"/>
      <w:bookmarkEnd w:id="514"/>
      <w:bookmarkEnd w:id="515"/>
    </w:p>
    <w:p w14:paraId="6FA3489B">
      <w:pPr>
        <w:spacing w:line="360" w:lineRule="auto"/>
        <w:ind w:firstLine="420" w:firstLineChars="200"/>
        <w:rPr>
          <w:rFonts w:ascii="宋体" w:hAnsi="宋体" w:cs="宋体"/>
          <w:szCs w:val="21"/>
        </w:rPr>
      </w:pPr>
      <w:r>
        <w:rPr>
          <w:rFonts w:hint="eastAsia" w:ascii="宋体" w:hAnsi="宋体" w:cs="宋体"/>
          <w:szCs w:val="21"/>
        </w:rPr>
        <w:t>2.6.1乙方有权依据合同约定和项目需要，向甲方了解有关情况，调阅有关资料等，甲方应予积极配合；</w:t>
      </w:r>
    </w:p>
    <w:p w14:paraId="66255B04">
      <w:pPr>
        <w:spacing w:line="360" w:lineRule="auto"/>
        <w:ind w:firstLine="420" w:firstLineChars="200"/>
        <w:rPr>
          <w:rFonts w:ascii="宋体" w:hAnsi="宋体" w:cs="宋体"/>
          <w:szCs w:val="21"/>
        </w:rPr>
      </w:pPr>
      <w:r>
        <w:rPr>
          <w:rFonts w:hint="eastAsia" w:ascii="宋体" w:hAnsi="宋体" w:cs="宋体"/>
          <w:szCs w:val="21"/>
        </w:rPr>
        <w:t>2.6.2乙方有义务妥善保管和保护由甲方提供的前款信息和资料等；</w:t>
      </w:r>
    </w:p>
    <w:p w14:paraId="42219A45">
      <w:pPr>
        <w:spacing w:line="360" w:lineRule="auto"/>
        <w:ind w:firstLine="420" w:firstLineChars="200"/>
        <w:rPr>
          <w:rFonts w:ascii="宋体" w:hAnsi="宋体" w:cs="宋体"/>
          <w:szCs w:val="21"/>
        </w:rPr>
      </w:pPr>
      <w:r>
        <w:rPr>
          <w:rFonts w:hint="eastAsia" w:ascii="宋体" w:hAnsi="宋体" w:cs="宋体"/>
          <w:szCs w:val="21"/>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281F89">
      <w:pPr>
        <w:pStyle w:val="4"/>
      </w:pPr>
      <w:bookmarkStart w:id="516" w:name="_Toc7860"/>
      <w:r>
        <w:rPr>
          <w:rFonts w:hint="eastAsia"/>
        </w:rPr>
        <w:t>2.7质量保证</w:t>
      </w:r>
      <w:bookmarkEnd w:id="516"/>
    </w:p>
    <w:p w14:paraId="044E95C7">
      <w:pPr>
        <w:spacing w:line="360" w:lineRule="auto"/>
        <w:ind w:firstLine="420" w:firstLineChars="200"/>
        <w:rPr>
          <w:rFonts w:ascii="宋体" w:hAnsi="宋体" w:cs="宋体"/>
          <w:szCs w:val="21"/>
        </w:rPr>
      </w:pPr>
      <w:r>
        <w:rPr>
          <w:rFonts w:hint="eastAsia" w:ascii="宋体" w:hAnsi="宋体" w:cs="宋体"/>
          <w:szCs w:val="21"/>
        </w:rPr>
        <w:t>2.7.1乙方应建立和完善履行合同的内部质量保证体系，并提供相关内部规章制度给甲方，以便甲方进行监督检查；</w:t>
      </w:r>
    </w:p>
    <w:p w14:paraId="55D49FF3">
      <w:pPr>
        <w:spacing w:line="360" w:lineRule="auto"/>
        <w:ind w:firstLine="420" w:firstLineChars="200"/>
        <w:rPr>
          <w:rFonts w:ascii="宋体" w:hAnsi="宋体" w:cs="宋体"/>
          <w:szCs w:val="21"/>
        </w:rPr>
      </w:pPr>
      <w:r>
        <w:rPr>
          <w:rFonts w:hint="eastAsia" w:ascii="宋体" w:hAnsi="宋体" w:cs="宋体"/>
          <w:szCs w:val="21"/>
        </w:rPr>
        <w:t>2.7.2乙方应保证履行合同的人员数量和素质、软件和硬件设备的配置、场地、环境和设施等满足全面履行合同的要求，并应接受甲方的监督检查。</w:t>
      </w:r>
    </w:p>
    <w:p w14:paraId="59091101">
      <w:pPr>
        <w:pStyle w:val="4"/>
      </w:pPr>
      <w:bookmarkStart w:id="517" w:name="_Toc17244"/>
      <w:bookmarkStart w:id="518" w:name="_Toc279701252"/>
      <w:bookmarkStart w:id="519" w:name="_Toc487900362"/>
      <w:bookmarkStart w:id="520" w:name="_Toc259093681"/>
      <w:r>
        <w:rPr>
          <w:rFonts w:hint="eastAsia"/>
        </w:rPr>
        <w:t>2.8</w:t>
      </w:r>
      <w:bookmarkEnd w:id="517"/>
      <w:bookmarkStart w:id="521" w:name="_Toc14055"/>
      <w:r>
        <w:rPr>
          <w:rFonts w:hint="eastAsia"/>
        </w:rPr>
        <w:t>延迟</w:t>
      </w:r>
      <w:bookmarkEnd w:id="518"/>
      <w:bookmarkEnd w:id="519"/>
      <w:bookmarkEnd w:id="520"/>
      <w:bookmarkEnd w:id="521"/>
      <w:r>
        <w:rPr>
          <w:rFonts w:hint="eastAsia"/>
        </w:rPr>
        <w:t>履行</w:t>
      </w:r>
    </w:p>
    <w:p w14:paraId="4BDE4A80">
      <w:pPr>
        <w:spacing w:line="360" w:lineRule="auto"/>
        <w:ind w:firstLine="420" w:firstLineChars="200"/>
        <w:rPr>
          <w:rFonts w:ascii="宋体" w:hAnsi="宋体" w:cs="宋体"/>
          <w:szCs w:val="21"/>
        </w:rPr>
      </w:pPr>
      <w:r>
        <w:rPr>
          <w:rFonts w:hint="eastAsia" w:ascii="宋体" w:hAnsi="宋体" w:cs="宋体"/>
          <w:szCs w:val="21"/>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9DCE2FF">
      <w:pPr>
        <w:pStyle w:val="4"/>
      </w:pPr>
      <w:bookmarkStart w:id="522" w:name="_Toc7502"/>
      <w:bookmarkStart w:id="523" w:name="_Toc259093683"/>
      <w:bookmarkStart w:id="524" w:name="_Toc279701254"/>
      <w:bookmarkStart w:id="525" w:name="_Toc487900364"/>
      <w:bookmarkStart w:id="526" w:name="_Ref467378121"/>
      <w:r>
        <w:rPr>
          <w:rFonts w:hint="eastAsia"/>
        </w:rPr>
        <w:t>2.9合同变更</w:t>
      </w:r>
      <w:bookmarkEnd w:id="522"/>
    </w:p>
    <w:p w14:paraId="19FD29F4">
      <w:pPr>
        <w:spacing w:line="360" w:lineRule="auto"/>
        <w:ind w:firstLine="420" w:firstLineChars="200"/>
        <w:rPr>
          <w:rFonts w:ascii="宋体" w:hAnsi="宋体" w:cs="宋体"/>
          <w:szCs w:val="21"/>
        </w:rPr>
      </w:pPr>
      <w:r>
        <w:rPr>
          <w:rFonts w:hint="eastAsia" w:ascii="宋体" w:hAnsi="宋体" w:cs="宋体"/>
          <w:szCs w:val="21"/>
        </w:rPr>
        <w:t>合同继续履行将损害国家利益和社会公共利益的，双方当事人应当以书面形式变更合同。有过错的一方应当承担赔偿责任，双方当事人都有过错的，各自承担相应的责任。</w:t>
      </w:r>
      <w:bookmarkStart w:id="527" w:name="_Toc279701259"/>
      <w:bookmarkStart w:id="528" w:name="_Toc259093688"/>
      <w:bookmarkStart w:id="529" w:name="_Toc487900369"/>
    </w:p>
    <w:p w14:paraId="203F3CE6">
      <w:pPr>
        <w:pStyle w:val="4"/>
      </w:pPr>
      <w:bookmarkStart w:id="530" w:name="_Toc10366"/>
      <w:bookmarkStart w:id="531" w:name="_Toc22955"/>
      <w:bookmarkStart w:id="532" w:name="_Toc15237"/>
      <w:r>
        <w:rPr>
          <w:rFonts w:hint="eastAsia"/>
        </w:rPr>
        <w:t>2.10合同转让</w:t>
      </w:r>
      <w:bookmarkEnd w:id="527"/>
      <w:bookmarkEnd w:id="528"/>
      <w:bookmarkEnd w:id="529"/>
      <w:r>
        <w:rPr>
          <w:rFonts w:hint="eastAsia"/>
        </w:rPr>
        <w:t>和分包</w:t>
      </w:r>
      <w:bookmarkEnd w:id="530"/>
      <w:bookmarkEnd w:id="531"/>
      <w:bookmarkEnd w:id="532"/>
    </w:p>
    <w:p w14:paraId="3510136E">
      <w:pPr>
        <w:spacing w:line="360" w:lineRule="auto"/>
        <w:ind w:firstLine="420" w:firstLineChars="200"/>
        <w:rPr>
          <w:rFonts w:ascii="宋体" w:hAnsi="宋体" w:cs="宋体"/>
          <w:szCs w:val="21"/>
        </w:rPr>
      </w:pPr>
      <w:r>
        <w:rPr>
          <w:rFonts w:hint="eastAsia" w:ascii="宋体" w:hAnsi="宋体" w:cs="宋体"/>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C62E90">
      <w:pPr>
        <w:pStyle w:val="4"/>
        <w:rPr>
          <w:rFonts w:ascii="宋体" w:hAnsi="宋体" w:cs="宋体"/>
          <w:szCs w:val="21"/>
        </w:rPr>
      </w:pPr>
      <w:r>
        <w:rPr>
          <w:rFonts w:hint="eastAsia" w:ascii="宋体" w:hAnsi="宋体" w:cs="宋体"/>
          <w:szCs w:val="21"/>
        </w:rPr>
        <w:t>2.</w:t>
      </w:r>
      <w:bookmarkStart w:id="533" w:name="_Toc13566"/>
      <w:bookmarkStart w:id="534" w:name="_Toc16508"/>
      <w:bookmarkStart w:id="535" w:name="_Toc14066"/>
      <w:r>
        <w:rPr>
          <w:rFonts w:hint="eastAsia" w:ascii="宋体" w:hAnsi="宋体" w:cs="宋体"/>
          <w:szCs w:val="21"/>
        </w:rPr>
        <w:t>11不可抗力</w:t>
      </w:r>
      <w:bookmarkEnd w:id="533"/>
      <w:bookmarkEnd w:id="534"/>
      <w:bookmarkEnd w:id="535"/>
    </w:p>
    <w:p w14:paraId="01F52EB8">
      <w:pPr>
        <w:spacing w:line="360" w:lineRule="auto"/>
        <w:ind w:firstLine="420" w:firstLineChars="200"/>
        <w:rPr>
          <w:rFonts w:ascii="宋体" w:hAnsi="宋体" w:cs="宋体"/>
          <w:szCs w:val="21"/>
        </w:rPr>
      </w:pPr>
      <w:r>
        <w:rPr>
          <w:rFonts w:hint="eastAsia" w:ascii="宋体" w:hAnsi="宋体" w:cs="宋体"/>
          <w:szCs w:val="21"/>
        </w:rPr>
        <w:t>2.11.1如果任何一方遭遇法律规定的不可抗力，致使合同履行受阻时，履行合同的期限应予延长，延长的期限应相当于不可抗力所影响的时间；</w:t>
      </w:r>
    </w:p>
    <w:p w14:paraId="360E0B9B">
      <w:pPr>
        <w:spacing w:line="360" w:lineRule="auto"/>
        <w:ind w:firstLine="420" w:firstLineChars="200"/>
        <w:rPr>
          <w:rFonts w:ascii="宋体" w:hAnsi="宋体" w:cs="宋体"/>
          <w:szCs w:val="21"/>
        </w:rPr>
      </w:pPr>
      <w:r>
        <w:rPr>
          <w:rFonts w:hint="eastAsia" w:ascii="宋体" w:hAnsi="宋体" w:cs="宋体"/>
          <w:szCs w:val="21"/>
        </w:rPr>
        <w:t>2.11.2因不可抗力致使不能实现合同目的的，当事人可以解除合同；</w:t>
      </w:r>
    </w:p>
    <w:p w14:paraId="53E00D14">
      <w:pPr>
        <w:spacing w:line="360" w:lineRule="auto"/>
        <w:ind w:firstLine="420" w:firstLineChars="200"/>
        <w:rPr>
          <w:rFonts w:ascii="宋体" w:hAnsi="宋体" w:cs="宋体"/>
          <w:szCs w:val="21"/>
        </w:rPr>
      </w:pPr>
      <w:r>
        <w:rPr>
          <w:rFonts w:hint="eastAsia" w:ascii="宋体" w:hAnsi="宋体" w:cs="宋体"/>
          <w:szCs w:val="21"/>
        </w:rPr>
        <w:t>2.11.3因不可抗力致使合同有变更必要的，双方当事人应在</w:t>
      </w:r>
      <w:r>
        <w:rPr>
          <w:rFonts w:hint="eastAsia" w:ascii="宋体" w:hAnsi="宋体" w:cs="宋体"/>
          <w:b/>
          <w:i/>
          <w:szCs w:val="21"/>
          <w:u w:val="single"/>
        </w:rPr>
        <w:t>合同专用条款</w:t>
      </w:r>
      <w:r>
        <w:rPr>
          <w:rFonts w:hint="eastAsia" w:ascii="宋体" w:hAnsi="宋体" w:cs="宋体"/>
          <w:szCs w:val="21"/>
        </w:rPr>
        <w:t>约定时间内以书面形式变更合同；</w:t>
      </w:r>
    </w:p>
    <w:p w14:paraId="5562ABF4">
      <w:pPr>
        <w:spacing w:line="360" w:lineRule="auto"/>
        <w:ind w:firstLine="420" w:firstLineChars="200"/>
        <w:rPr>
          <w:rFonts w:ascii="宋体" w:hAnsi="宋体" w:cs="宋体"/>
          <w:szCs w:val="21"/>
        </w:rPr>
      </w:pPr>
      <w:r>
        <w:rPr>
          <w:rFonts w:hint="eastAsia" w:ascii="宋体" w:hAnsi="宋体" w:cs="宋体"/>
          <w:szCs w:val="21"/>
        </w:rPr>
        <w:t>2.11.4受不可抗力影响的一方在不可抗力发生后，应在</w:t>
      </w:r>
      <w:r>
        <w:rPr>
          <w:rFonts w:hint="eastAsia" w:ascii="宋体" w:hAnsi="宋体" w:cs="宋体"/>
          <w:b/>
          <w:i/>
          <w:szCs w:val="21"/>
          <w:u w:val="single"/>
        </w:rPr>
        <w:t>合同专用条款</w:t>
      </w:r>
      <w:r>
        <w:rPr>
          <w:rFonts w:hint="eastAsia" w:ascii="宋体" w:hAnsi="宋体" w:cs="宋体"/>
          <w:szCs w:val="21"/>
        </w:rPr>
        <w:t>约定时间内以书面形式通知对方当事人，并在</w:t>
      </w:r>
      <w:r>
        <w:rPr>
          <w:rFonts w:hint="eastAsia" w:ascii="宋体" w:hAnsi="宋体" w:cs="宋体"/>
          <w:b/>
          <w:i/>
          <w:szCs w:val="21"/>
          <w:u w:val="single"/>
        </w:rPr>
        <w:t>合同专用条款</w:t>
      </w:r>
      <w:r>
        <w:rPr>
          <w:rFonts w:hint="eastAsia" w:ascii="宋体" w:hAnsi="宋体" w:cs="宋体"/>
          <w:szCs w:val="21"/>
        </w:rPr>
        <w:t>约定时间内，将有关部门出具的证明文件送达对方当事人。</w:t>
      </w:r>
    </w:p>
    <w:p w14:paraId="456B9ADD">
      <w:pPr>
        <w:pStyle w:val="4"/>
      </w:pPr>
      <w:bookmarkStart w:id="536" w:name="_Toc6969"/>
      <w:bookmarkStart w:id="537" w:name="_Toc279701255"/>
      <w:bookmarkStart w:id="538" w:name="_Toc30676"/>
      <w:bookmarkStart w:id="539" w:name="_Toc487900365"/>
      <w:bookmarkStart w:id="540" w:name="_Toc259093684"/>
      <w:bookmarkStart w:id="541" w:name="_Toc689"/>
      <w:r>
        <w:rPr>
          <w:rFonts w:hint="eastAsia"/>
        </w:rPr>
        <w:t>2.12 税费</w:t>
      </w:r>
      <w:bookmarkEnd w:id="536"/>
      <w:bookmarkEnd w:id="537"/>
      <w:bookmarkEnd w:id="538"/>
      <w:bookmarkEnd w:id="539"/>
      <w:bookmarkEnd w:id="540"/>
      <w:bookmarkEnd w:id="541"/>
    </w:p>
    <w:p w14:paraId="4C20E75A">
      <w:pPr>
        <w:spacing w:line="360" w:lineRule="auto"/>
        <w:ind w:firstLine="420" w:firstLineChars="200"/>
        <w:rPr>
          <w:rFonts w:ascii="宋体" w:hAnsi="宋体" w:cs="宋体"/>
          <w:szCs w:val="21"/>
        </w:rPr>
      </w:pPr>
      <w:r>
        <w:rPr>
          <w:rFonts w:hint="eastAsia" w:ascii="宋体" w:hAnsi="宋体" w:cs="宋体"/>
          <w:szCs w:val="21"/>
        </w:rPr>
        <w:t>与合同有关的一切税费，均按照中华人民共和国法律的相关规定缴纳。</w:t>
      </w:r>
    </w:p>
    <w:p w14:paraId="25584415">
      <w:pPr>
        <w:pStyle w:val="4"/>
      </w:pPr>
      <w:bookmarkStart w:id="542" w:name="_Toc16959"/>
      <w:bookmarkStart w:id="543" w:name="_Toc279701258"/>
      <w:bookmarkStart w:id="544" w:name="_Toc259093687"/>
      <w:bookmarkStart w:id="545" w:name="_Toc8298"/>
      <w:bookmarkStart w:id="546" w:name="_Toc7102"/>
      <w:bookmarkStart w:id="547" w:name="_Toc487900368"/>
      <w:r>
        <w:rPr>
          <w:rFonts w:hint="eastAsia"/>
        </w:rPr>
        <w:t>2.13乙方破产</w:t>
      </w:r>
      <w:bookmarkEnd w:id="542"/>
      <w:bookmarkEnd w:id="543"/>
      <w:bookmarkEnd w:id="544"/>
      <w:bookmarkEnd w:id="545"/>
      <w:bookmarkEnd w:id="546"/>
      <w:bookmarkEnd w:id="547"/>
    </w:p>
    <w:p w14:paraId="4638B20B">
      <w:pPr>
        <w:spacing w:line="360" w:lineRule="auto"/>
        <w:ind w:firstLine="420" w:firstLineChars="200"/>
        <w:rPr>
          <w:rFonts w:ascii="宋体" w:hAnsi="宋体" w:cs="宋体"/>
          <w:szCs w:val="21"/>
        </w:rPr>
      </w:pPr>
      <w:r>
        <w:rPr>
          <w:rFonts w:hint="eastAsia" w:ascii="宋体" w:hAnsi="宋体" w:cs="宋体"/>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1336BA">
      <w:pPr>
        <w:pStyle w:val="4"/>
      </w:pPr>
      <w:bookmarkStart w:id="548" w:name="_Toc15387"/>
      <w:bookmarkStart w:id="549" w:name="_Toc6134"/>
      <w:bookmarkStart w:id="550" w:name="_Toc29333"/>
      <w:r>
        <w:rPr>
          <w:rFonts w:hint="eastAsia"/>
        </w:rPr>
        <w:t>2.14合同中止、终止</w:t>
      </w:r>
      <w:bookmarkEnd w:id="548"/>
      <w:bookmarkEnd w:id="549"/>
      <w:bookmarkEnd w:id="550"/>
    </w:p>
    <w:p w14:paraId="6427322B">
      <w:pPr>
        <w:spacing w:line="360" w:lineRule="auto"/>
        <w:ind w:firstLine="420" w:firstLineChars="200"/>
        <w:rPr>
          <w:rFonts w:ascii="宋体" w:hAnsi="宋体" w:cs="宋体"/>
          <w:szCs w:val="21"/>
        </w:rPr>
      </w:pPr>
      <w:r>
        <w:rPr>
          <w:rFonts w:hint="eastAsia" w:ascii="宋体" w:hAnsi="宋体" w:cs="宋体"/>
          <w:szCs w:val="21"/>
        </w:rPr>
        <w:t>2.14.1双方当事人不得擅自中止或者终止合同；</w:t>
      </w:r>
    </w:p>
    <w:p w14:paraId="4EBC8917">
      <w:pPr>
        <w:spacing w:line="360" w:lineRule="auto"/>
        <w:ind w:firstLine="420" w:firstLineChars="200"/>
        <w:rPr>
          <w:rFonts w:ascii="宋体" w:hAnsi="宋体" w:cs="宋体"/>
          <w:szCs w:val="21"/>
        </w:rPr>
      </w:pPr>
      <w:r>
        <w:rPr>
          <w:rFonts w:hint="eastAsia" w:ascii="宋体" w:hAnsi="宋体" w:cs="宋体"/>
          <w:szCs w:val="21"/>
        </w:rPr>
        <w:t>2.14.2合同继续履行将损害国家利益和社会公共利益的，双方当事人应当中止或者终止合同。有过错的一方应当承担赔偿责任，双方当事人都有过错的，各自承担相应的责任。</w:t>
      </w:r>
    </w:p>
    <w:p w14:paraId="31E41FA8">
      <w:pPr>
        <w:pStyle w:val="4"/>
      </w:pPr>
      <w:bookmarkStart w:id="551" w:name="_Toc6596"/>
      <w:bookmarkStart w:id="552" w:name="_Toc14563"/>
      <w:bookmarkStart w:id="553" w:name="_Toc1125"/>
      <w:r>
        <w:rPr>
          <w:rFonts w:hint="eastAsia"/>
        </w:rPr>
        <w:t>2.15检验和验收</w:t>
      </w:r>
      <w:bookmarkEnd w:id="551"/>
      <w:bookmarkEnd w:id="552"/>
      <w:bookmarkEnd w:id="553"/>
    </w:p>
    <w:p w14:paraId="179F43E1">
      <w:pPr>
        <w:tabs>
          <w:tab w:val="left" w:pos="360"/>
          <w:tab w:val="left" w:pos="540"/>
          <w:tab w:val="left" w:pos="1080"/>
        </w:tabs>
        <w:spacing w:line="360" w:lineRule="auto"/>
        <w:ind w:firstLine="420" w:firstLineChars="200"/>
        <w:rPr>
          <w:rFonts w:ascii="宋体" w:hAnsi="宋体" w:cs="宋体"/>
          <w:szCs w:val="21"/>
        </w:rPr>
      </w:pPr>
      <w:r>
        <w:rPr>
          <w:rFonts w:hint="eastAsia" w:ascii="宋体" w:hAnsi="宋体" w:cs="宋体"/>
          <w:szCs w:val="21"/>
        </w:rPr>
        <w:t>2.15.1乙方按照合同</w:t>
      </w:r>
      <w:r>
        <w:rPr>
          <w:rFonts w:hint="eastAsia" w:ascii="宋体" w:hAnsi="宋体" w:cs="宋体"/>
          <w:b/>
          <w:i/>
          <w:szCs w:val="21"/>
          <w:u w:val="single"/>
        </w:rPr>
        <w:t>专用条款</w:t>
      </w:r>
      <w:r>
        <w:rPr>
          <w:rFonts w:hint="eastAsia" w:ascii="宋体" w:hAnsi="宋体" w:cs="宋体"/>
          <w:szCs w:val="21"/>
        </w:rPr>
        <w:t>的约定，定期提交服务报告，甲方按照</w:t>
      </w:r>
      <w:r>
        <w:rPr>
          <w:rFonts w:hint="eastAsia" w:ascii="宋体" w:hAnsi="宋体" w:cs="宋体"/>
          <w:b/>
          <w:i/>
          <w:szCs w:val="21"/>
          <w:u w:val="single"/>
        </w:rPr>
        <w:t>合同专用条款</w:t>
      </w:r>
      <w:r>
        <w:rPr>
          <w:rFonts w:hint="eastAsia" w:ascii="宋体" w:hAnsi="宋体" w:cs="宋体"/>
          <w:szCs w:val="21"/>
        </w:rPr>
        <w:t>的约定进行定期验收；</w:t>
      </w:r>
    </w:p>
    <w:p w14:paraId="53FBCC07">
      <w:pPr>
        <w:tabs>
          <w:tab w:val="left" w:pos="360"/>
          <w:tab w:val="left" w:pos="540"/>
          <w:tab w:val="left" w:pos="1080"/>
        </w:tabs>
        <w:spacing w:line="360" w:lineRule="auto"/>
        <w:ind w:firstLine="420" w:firstLineChars="200"/>
        <w:rPr>
          <w:rFonts w:ascii="宋体" w:hAnsi="宋体" w:cs="宋体"/>
          <w:szCs w:val="21"/>
        </w:rPr>
      </w:pPr>
      <w:r>
        <w:rPr>
          <w:rFonts w:hint="eastAsia" w:ascii="宋体" w:hAnsi="宋体" w:cs="宋体"/>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CF18B5">
      <w:pPr>
        <w:tabs>
          <w:tab w:val="left" w:pos="360"/>
          <w:tab w:val="left" w:pos="540"/>
          <w:tab w:val="left" w:pos="1080"/>
        </w:tabs>
        <w:spacing w:line="360" w:lineRule="auto"/>
        <w:ind w:firstLine="420" w:firstLineChars="200"/>
        <w:rPr>
          <w:rFonts w:ascii="宋体" w:hAnsi="宋体" w:cs="宋体"/>
          <w:szCs w:val="21"/>
        </w:rPr>
      </w:pPr>
      <w:r>
        <w:rPr>
          <w:rFonts w:hint="eastAsia" w:ascii="宋体" w:hAnsi="宋体" w:cs="宋体"/>
          <w:szCs w:val="21"/>
        </w:rPr>
        <w:t>2.15.3检验和验收标准、程序等具体内容以及前述验收书的效力详见</w:t>
      </w:r>
      <w:r>
        <w:rPr>
          <w:rFonts w:hint="eastAsia" w:ascii="宋体" w:hAnsi="宋体" w:cs="宋体"/>
          <w:b/>
          <w:i/>
          <w:szCs w:val="21"/>
          <w:u w:val="single"/>
        </w:rPr>
        <w:t>合同专用条款</w:t>
      </w:r>
      <w:r>
        <w:rPr>
          <w:rFonts w:hint="eastAsia" w:ascii="宋体" w:hAnsi="宋体" w:cs="宋体"/>
          <w:i/>
          <w:szCs w:val="21"/>
        </w:rPr>
        <w:t>。</w:t>
      </w:r>
    </w:p>
    <w:bookmarkEnd w:id="523"/>
    <w:bookmarkEnd w:id="524"/>
    <w:bookmarkEnd w:id="525"/>
    <w:bookmarkEnd w:id="526"/>
    <w:p w14:paraId="0CF3D4BD">
      <w:pPr>
        <w:pStyle w:val="4"/>
      </w:pPr>
      <w:bookmarkStart w:id="554" w:name="_Toc279701261"/>
      <w:bookmarkStart w:id="555" w:name="_Toc259093690"/>
      <w:bookmarkStart w:id="556" w:name="_Toc487900371"/>
      <w:bookmarkStart w:id="557" w:name="_Toc19604"/>
      <w:bookmarkStart w:id="558" w:name="_Toc11284"/>
      <w:bookmarkStart w:id="559" w:name="_Toc25182"/>
      <w:r>
        <w:rPr>
          <w:rFonts w:hint="eastAsia"/>
        </w:rPr>
        <w:t>2.16通知</w:t>
      </w:r>
      <w:bookmarkEnd w:id="554"/>
      <w:bookmarkEnd w:id="555"/>
      <w:bookmarkEnd w:id="556"/>
      <w:r>
        <w:rPr>
          <w:rFonts w:hint="eastAsia"/>
        </w:rPr>
        <w:t>和送达</w:t>
      </w:r>
      <w:bookmarkEnd w:id="557"/>
      <w:bookmarkEnd w:id="558"/>
      <w:bookmarkEnd w:id="559"/>
    </w:p>
    <w:p w14:paraId="0135093E">
      <w:pPr>
        <w:spacing w:line="360" w:lineRule="auto"/>
        <w:ind w:firstLine="420" w:firstLineChars="200"/>
        <w:rPr>
          <w:rFonts w:ascii="宋体" w:hAnsi="宋体" w:cs="宋体"/>
          <w:szCs w:val="21"/>
        </w:rPr>
      </w:pPr>
      <w:bookmarkStart w:id="560" w:name="_Toc3135"/>
      <w:bookmarkStart w:id="561" w:name="_Toc6698"/>
      <w:bookmarkStart w:id="562" w:name="_Toc279701262"/>
      <w:bookmarkStart w:id="563" w:name="_Toc487900372"/>
      <w:bookmarkStart w:id="564" w:name="_Toc259093691"/>
      <w:r>
        <w:rPr>
          <w:rFonts w:hint="eastAsia" w:ascii="宋体" w:hAnsi="宋体" w:cs="宋体"/>
          <w:szCs w:val="21"/>
        </w:rPr>
        <w:t xml:space="preserve">2.17.1任何一方因履行合同而以合同第一部分尾部所列明的传真或电子邮件 </w:t>
      </w:r>
      <w:r>
        <w:rPr>
          <w:rFonts w:hint="eastAsia" w:ascii="宋体" w:hAnsi="宋体" w:cs="宋体"/>
          <w:szCs w:val="21"/>
          <w:u w:val="single"/>
        </w:rPr>
        <w:t xml:space="preserve">       </w:t>
      </w:r>
      <w:r>
        <w:rPr>
          <w:rFonts w:hint="eastAsia" w:ascii="宋体" w:hAnsi="宋体" w:cs="宋体"/>
          <w:szCs w:val="21"/>
        </w:rPr>
        <w:t>发出的所有通知、文件、材料，均视为已向对方当事人送达；任何一方变更上述送达方式或者地址的，应于</w:t>
      </w:r>
      <w:r>
        <w:rPr>
          <w:rFonts w:hint="eastAsia" w:ascii="宋体" w:hAnsi="宋体" w:cs="宋体"/>
          <w:szCs w:val="21"/>
          <w:u w:val="single"/>
        </w:rPr>
        <w:t>3</w:t>
      </w:r>
      <w:r>
        <w:rPr>
          <w:rFonts w:hint="eastAsia" w:ascii="宋体" w:hAnsi="宋体" w:cs="宋体"/>
          <w:szCs w:val="21"/>
        </w:rPr>
        <w:t>个工作日内书面通知对方当事人，在对方当事人收到有关变更通知之前，变更前的约定送达方式或者地址仍视为有效。</w:t>
      </w:r>
      <w:bookmarkEnd w:id="560"/>
      <w:bookmarkEnd w:id="561"/>
    </w:p>
    <w:p w14:paraId="6AB033F0">
      <w:pPr>
        <w:spacing w:line="360" w:lineRule="auto"/>
        <w:ind w:firstLine="420" w:firstLineChars="200"/>
        <w:rPr>
          <w:rFonts w:ascii="宋体" w:hAnsi="宋体" w:cs="宋体"/>
          <w:szCs w:val="21"/>
        </w:rPr>
      </w:pPr>
      <w:bookmarkStart w:id="565" w:name="_Toc23294"/>
      <w:bookmarkStart w:id="566" w:name="_Toc23128"/>
      <w:r>
        <w:rPr>
          <w:rFonts w:hint="eastAsia" w:ascii="宋体" w:hAnsi="宋体" w:cs="宋体"/>
          <w:szCs w:val="21"/>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5"/>
      <w:bookmarkEnd w:id="566"/>
    </w:p>
    <w:p w14:paraId="04C562AC">
      <w:pPr>
        <w:pStyle w:val="4"/>
        <w:rPr>
          <w:rFonts w:ascii="宋体" w:hAnsi="宋体" w:cs="宋体"/>
          <w:szCs w:val="21"/>
        </w:rPr>
      </w:pPr>
      <w:bookmarkStart w:id="567" w:name="_Toc4355"/>
      <w:bookmarkStart w:id="568" w:name="_Toc18540"/>
      <w:bookmarkStart w:id="569" w:name="_Toc30599"/>
      <w:r>
        <w:rPr>
          <w:rFonts w:hint="eastAsia" w:ascii="宋体" w:hAnsi="宋体" w:cs="宋体"/>
          <w:szCs w:val="21"/>
        </w:rPr>
        <w:t>2.</w:t>
      </w:r>
      <w:bookmarkEnd w:id="562"/>
      <w:bookmarkEnd w:id="563"/>
      <w:bookmarkEnd w:id="564"/>
      <w:bookmarkEnd w:id="567"/>
      <w:bookmarkEnd w:id="568"/>
      <w:bookmarkEnd w:id="569"/>
      <w:r>
        <w:rPr>
          <w:rFonts w:hint="eastAsia" w:ascii="宋体" w:hAnsi="宋体" w:cs="宋体"/>
          <w:szCs w:val="21"/>
        </w:rPr>
        <w:t>17合同使用</w:t>
      </w:r>
      <w:bookmarkStart w:id="570" w:name="_Toc487900373"/>
      <w:bookmarkStart w:id="571" w:name="_Toc12773"/>
      <w:bookmarkStart w:id="572" w:name="_Toc10330"/>
      <w:bookmarkStart w:id="573" w:name="_Toc259093692"/>
      <w:bookmarkStart w:id="574" w:name="_Toc18567"/>
      <w:bookmarkStart w:id="575" w:name="_Toc279701263"/>
      <w:r>
        <w:rPr>
          <w:rFonts w:hint="eastAsia" w:ascii="宋体" w:hAnsi="宋体" w:cs="宋体"/>
          <w:szCs w:val="21"/>
        </w:rPr>
        <w:t>的文字和适用的法律</w:t>
      </w:r>
      <w:bookmarkEnd w:id="570"/>
      <w:bookmarkEnd w:id="571"/>
      <w:bookmarkEnd w:id="572"/>
      <w:bookmarkEnd w:id="573"/>
      <w:bookmarkEnd w:id="574"/>
      <w:bookmarkEnd w:id="575"/>
    </w:p>
    <w:p w14:paraId="23670F51">
      <w:pPr>
        <w:spacing w:line="360" w:lineRule="auto"/>
        <w:ind w:firstLine="420" w:firstLineChars="200"/>
        <w:rPr>
          <w:rFonts w:ascii="宋体" w:hAnsi="宋体" w:cs="宋体"/>
          <w:szCs w:val="21"/>
        </w:rPr>
      </w:pPr>
      <w:r>
        <w:rPr>
          <w:rFonts w:hint="eastAsia" w:ascii="宋体" w:hAnsi="宋体" w:cs="宋体"/>
          <w:szCs w:val="21"/>
        </w:rPr>
        <w:t>2.17.1合同使用汉语书写、变更和解释；</w:t>
      </w:r>
    </w:p>
    <w:p w14:paraId="43C35E0F">
      <w:pPr>
        <w:spacing w:line="360" w:lineRule="auto"/>
        <w:ind w:firstLine="420" w:firstLineChars="200"/>
        <w:rPr>
          <w:rFonts w:ascii="宋体" w:hAnsi="宋体" w:cs="宋体"/>
          <w:szCs w:val="21"/>
        </w:rPr>
      </w:pPr>
      <w:r>
        <w:rPr>
          <w:rFonts w:hint="eastAsia" w:ascii="宋体" w:hAnsi="宋体" w:cs="宋体"/>
          <w:szCs w:val="21"/>
        </w:rPr>
        <w:t>2.17.2合同适用中华人民共和国法律。</w:t>
      </w:r>
    </w:p>
    <w:p w14:paraId="38FC31CD">
      <w:pPr>
        <w:pStyle w:val="4"/>
        <w:rPr>
          <w:rFonts w:ascii="宋体" w:hAnsi="宋体" w:cs="宋体"/>
          <w:szCs w:val="21"/>
        </w:rPr>
      </w:pPr>
      <w:bookmarkStart w:id="576" w:name="_Toc30096"/>
      <w:bookmarkStart w:id="577" w:name="_Toc27403"/>
      <w:bookmarkStart w:id="578" w:name="_Toc1492"/>
      <w:bookmarkStart w:id="579" w:name="_Toc22266"/>
      <w:bookmarkStart w:id="580" w:name="_Toc27127"/>
      <w:bookmarkStart w:id="581" w:name="_Toc259093693"/>
      <w:bookmarkStart w:id="582" w:name="_Toc16673"/>
      <w:bookmarkStart w:id="583" w:name="_Toc279701264"/>
      <w:bookmarkStart w:id="584" w:name="_Toc12004"/>
      <w:bookmarkStart w:id="585" w:name="_Toc487900374"/>
      <w:bookmarkStart w:id="586" w:name="_Toc3148"/>
      <w:r>
        <w:rPr>
          <w:rFonts w:hint="eastAsia" w:ascii="宋体" w:hAnsi="宋体" w:cs="宋体"/>
          <w:szCs w:val="21"/>
        </w:rPr>
        <w:t xml:space="preserve">2.18 </w:t>
      </w:r>
      <w:bookmarkEnd w:id="576"/>
      <w:bookmarkEnd w:id="577"/>
      <w:bookmarkEnd w:id="578"/>
      <w:bookmarkEnd w:id="579"/>
      <w:bookmarkEnd w:id="580"/>
      <w:r>
        <w:rPr>
          <w:rFonts w:hint="eastAsia" w:ascii="宋体" w:hAnsi="宋体" w:cs="宋体"/>
          <w:szCs w:val="21"/>
        </w:rPr>
        <w:t>计量单位</w:t>
      </w:r>
    </w:p>
    <w:p w14:paraId="3E0F62D5">
      <w:pPr>
        <w:spacing w:line="360" w:lineRule="auto"/>
        <w:ind w:firstLine="420" w:firstLineChars="200"/>
        <w:rPr>
          <w:rFonts w:ascii="宋体" w:hAnsi="宋体" w:cs="宋体"/>
          <w:szCs w:val="21"/>
        </w:rPr>
      </w:pPr>
      <w:r>
        <w:rPr>
          <w:rFonts w:hint="eastAsia" w:ascii="宋体" w:hAnsi="宋体" w:cs="宋体"/>
          <w:szCs w:val="21"/>
        </w:rPr>
        <w:t>除技术规范中另有规定外,合同的计量单位均使用国家法定计量单位。</w:t>
      </w:r>
    </w:p>
    <w:p w14:paraId="6F4F6BA7">
      <w:pPr>
        <w:pStyle w:val="4"/>
        <w:rPr>
          <w:rFonts w:ascii="宋体" w:hAnsi="宋体" w:cs="宋体"/>
          <w:szCs w:val="21"/>
        </w:rPr>
      </w:pPr>
      <w:r>
        <w:rPr>
          <w:rFonts w:hint="eastAsia" w:ascii="宋体" w:hAnsi="宋体" w:cs="宋体"/>
          <w:szCs w:val="21"/>
        </w:rPr>
        <w:t>2.19合同份数</w:t>
      </w:r>
    </w:p>
    <w:p w14:paraId="54E1E38C">
      <w:pPr>
        <w:spacing w:line="360" w:lineRule="auto"/>
        <w:ind w:firstLine="420" w:firstLineChars="200"/>
        <w:rPr>
          <w:rFonts w:ascii="宋体" w:hAnsi="宋体" w:cs="宋体"/>
          <w:szCs w:val="21"/>
        </w:rPr>
      </w:pPr>
      <w:r>
        <w:rPr>
          <w:rFonts w:hint="eastAsia" w:ascii="宋体" w:hAnsi="宋体" w:cs="宋体"/>
          <w:szCs w:val="21"/>
        </w:rPr>
        <w:t>合同份数按</w:t>
      </w:r>
      <w:r>
        <w:rPr>
          <w:rFonts w:hint="eastAsia" w:ascii="宋体" w:hAnsi="宋体" w:cs="宋体"/>
          <w:b/>
          <w:i/>
          <w:szCs w:val="21"/>
          <w:u w:val="single"/>
        </w:rPr>
        <w:t>合同专用条款</w:t>
      </w:r>
      <w:r>
        <w:rPr>
          <w:rFonts w:hint="eastAsia" w:ascii="宋体" w:hAnsi="宋体" w:cs="宋体"/>
          <w:szCs w:val="21"/>
        </w:rPr>
        <w:t>规定，每份均具有同等法律效力。</w:t>
      </w:r>
    </w:p>
    <w:bookmarkEnd w:id="581"/>
    <w:bookmarkEnd w:id="582"/>
    <w:bookmarkEnd w:id="583"/>
    <w:bookmarkEnd w:id="584"/>
    <w:bookmarkEnd w:id="585"/>
    <w:bookmarkEnd w:id="586"/>
    <w:p w14:paraId="78E351B1">
      <w:pPr>
        <w:spacing w:line="360" w:lineRule="auto"/>
        <w:ind w:firstLine="420" w:firstLineChars="200"/>
        <w:rPr>
          <w:rFonts w:ascii="宋体" w:hAnsi="宋体" w:cs="宋体"/>
          <w:szCs w:val="21"/>
        </w:rPr>
      </w:pPr>
    </w:p>
    <w:p w14:paraId="43C1D95A">
      <w:pPr>
        <w:pStyle w:val="968"/>
      </w:pPr>
    </w:p>
    <w:p w14:paraId="7EBC3AD1">
      <w:pPr>
        <w:pStyle w:val="702"/>
        <w:spacing w:line="560" w:lineRule="exact"/>
        <w:ind w:left="0" w:leftChars="0" w:firstLine="0" w:firstLineChars="0"/>
        <w:jc w:val="center"/>
        <w:rPr>
          <w:rFonts w:ascii="宋体" w:hAnsi="宋体" w:cs="宋体"/>
          <w:b/>
          <w:szCs w:val="24"/>
        </w:rPr>
      </w:pPr>
      <w:r>
        <w:rPr>
          <w:rFonts w:hint="eastAsia" w:ascii="宋体" w:hAnsi="宋体" w:cs="宋体"/>
          <w:kern w:val="0"/>
          <w:szCs w:val="24"/>
        </w:rPr>
        <w:br w:type="page"/>
      </w:r>
      <w:r>
        <w:rPr>
          <w:rFonts w:hint="eastAsia" w:ascii="宋体" w:hAnsi="宋体" w:cs="宋体"/>
          <w:b/>
          <w:szCs w:val="24"/>
        </w:rPr>
        <w:t>第三部分 合同专用条款</w:t>
      </w:r>
    </w:p>
    <w:p w14:paraId="16295E10">
      <w:pPr>
        <w:spacing w:line="360" w:lineRule="auto"/>
        <w:ind w:firstLine="420" w:firstLineChars="200"/>
        <w:rPr>
          <w:rFonts w:ascii="宋体" w:hAnsi="宋体" w:cs="宋体"/>
          <w:szCs w:val="21"/>
        </w:rPr>
      </w:pPr>
      <w:r>
        <w:rPr>
          <w:rFonts w:hint="eastAsia" w:ascii="宋体" w:hAnsi="宋体" w:cs="宋体"/>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14:paraId="7FD06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989" w:type="dxa"/>
            <w:tcBorders>
              <w:tl2br w:val="nil"/>
              <w:tr2bl w:val="nil"/>
            </w:tcBorders>
            <w:vAlign w:val="center"/>
          </w:tcPr>
          <w:p w14:paraId="4C0A4249">
            <w:pPr>
              <w:spacing w:line="360" w:lineRule="auto"/>
              <w:jc w:val="center"/>
              <w:rPr>
                <w:rFonts w:ascii="宋体" w:hAnsi="宋体" w:cs="宋体"/>
                <w:b/>
                <w:szCs w:val="21"/>
              </w:rPr>
            </w:pPr>
            <w:r>
              <w:rPr>
                <w:rFonts w:hint="eastAsia" w:ascii="宋体" w:hAnsi="宋体" w:cs="宋体"/>
                <w:b/>
                <w:szCs w:val="21"/>
              </w:rPr>
              <w:t>条款号</w:t>
            </w:r>
          </w:p>
        </w:tc>
        <w:tc>
          <w:tcPr>
            <w:tcW w:w="8137" w:type="dxa"/>
            <w:tcBorders>
              <w:tl2br w:val="nil"/>
              <w:tr2bl w:val="nil"/>
            </w:tcBorders>
            <w:vAlign w:val="center"/>
          </w:tcPr>
          <w:p w14:paraId="409DC662">
            <w:pPr>
              <w:spacing w:line="360" w:lineRule="auto"/>
              <w:jc w:val="center"/>
              <w:rPr>
                <w:rFonts w:ascii="宋体" w:hAnsi="宋体" w:cs="宋体"/>
                <w:b/>
                <w:szCs w:val="21"/>
              </w:rPr>
            </w:pPr>
            <w:r>
              <w:rPr>
                <w:rFonts w:hint="eastAsia" w:ascii="宋体" w:hAnsi="宋体" w:cs="宋体"/>
                <w:b/>
                <w:szCs w:val="21"/>
              </w:rPr>
              <w:t>约定内容</w:t>
            </w:r>
          </w:p>
        </w:tc>
      </w:tr>
      <w:tr w14:paraId="67995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9BCD027">
            <w:pPr>
              <w:spacing w:line="360" w:lineRule="auto"/>
              <w:jc w:val="center"/>
              <w:rPr>
                <w:rFonts w:ascii="宋体" w:hAnsi="宋体" w:cs="宋体"/>
                <w:szCs w:val="21"/>
              </w:rPr>
            </w:pPr>
            <w:r>
              <w:rPr>
                <w:rFonts w:hint="eastAsia" w:ascii="宋体" w:hAnsi="宋体" w:cs="宋体"/>
                <w:szCs w:val="21"/>
              </w:rPr>
              <w:t>1.4.2</w:t>
            </w:r>
          </w:p>
        </w:tc>
        <w:tc>
          <w:tcPr>
            <w:tcW w:w="8137" w:type="dxa"/>
            <w:tcBorders>
              <w:tl2br w:val="nil"/>
              <w:tr2bl w:val="nil"/>
            </w:tcBorders>
            <w:vAlign w:val="center"/>
          </w:tcPr>
          <w:p w14:paraId="5B8A66DF">
            <w:pPr>
              <w:spacing w:line="360" w:lineRule="auto"/>
              <w:rPr>
                <w:szCs w:val="21"/>
              </w:rPr>
            </w:pPr>
            <w:r>
              <w:rPr>
                <w:rFonts w:hint="eastAsia" w:ascii="宋体" w:hAnsi="宋体" w:cs="宋体"/>
                <w:b/>
                <w:szCs w:val="21"/>
              </w:rPr>
              <w:t>履约保证金:</w:t>
            </w:r>
            <w:r>
              <w:rPr>
                <w:rFonts w:hint="eastAsia" w:ascii="宋体" w:hAnsi="宋体" w:cs="宋体"/>
                <w:szCs w:val="21"/>
              </w:rPr>
              <w:t>本项目无履约保证金。</w:t>
            </w:r>
          </w:p>
        </w:tc>
      </w:tr>
      <w:tr w14:paraId="2E6D3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0F23C86">
            <w:pPr>
              <w:spacing w:line="360" w:lineRule="auto"/>
              <w:jc w:val="center"/>
              <w:rPr>
                <w:rFonts w:ascii="宋体" w:hAnsi="宋体" w:cs="宋体"/>
                <w:szCs w:val="21"/>
              </w:rPr>
            </w:pPr>
            <w:r>
              <w:rPr>
                <w:rFonts w:hint="eastAsia" w:ascii="宋体" w:hAnsi="宋体" w:cs="宋体"/>
                <w:szCs w:val="21"/>
              </w:rPr>
              <w:t>1.5.1</w:t>
            </w:r>
          </w:p>
        </w:tc>
        <w:tc>
          <w:tcPr>
            <w:tcW w:w="8137" w:type="dxa"/>
            <w:tcBorders>
              <w:tl2br w:val="nil"/>
              <w:tr2bl w:val="nil"/>
            </w:tcBorders>
            <w:vAlign w:val="center"/>
          </w:tcPr>
          <w:p w14:paraId="25E09BD7">
            <w:pPr>
              <w:spacing w:line="360" w:lineRule="auto"/>
              <w:rPr>
                <w:rFonts w:hint="eastAsia" w:ascii="宋体" w:hAnsi="宋体" w:cs="宋体"/>
                <w:szCs w:val="21"/>
              </w:rPr>
            </w:pPr>
            <w:r>
              <w:rPr>
                <w:rFonts w:hint="eastAsia" w:ascii="宋体" w:hAnsi="宋体" w:cs="宋体"/>
                <w:b/>
                <w:szCs w:val="21"/>
              </w:rPr>
              <w:t>预付款比例、支付方式、时间:</w:t>
            </w:r>
            <w:r>
              <w:rPr>
                <w:rFonts w:hint="eastAsia" w:ascii="宋体" w:hAnsi="宋体" w:cs="宋体"/>
                <w:szCs w:val="21"/>
              </w:rPr>
              <w:t>合同生效并具备实施条件后5个工作日内，采购人向中标人支付合同金额（即项目预算）的40%作为预付款，在签订合同时，中标人明确表示无需预付款或者主动要求降低预付款比例的，采购人可不适用前述规定。</w:t>
            </w:r>
          </w:p>
          <w:p w14:paraId="0DA1BC9B">
            <w:pPr>
              <w:spacing w:line="360" w:lineRule="auto"/>
              <w:rPr>
                <w:szCs w:val="21"/>
              </w:rPr>
            </w:pPr>
            <w:r>
              <w:rPr>
                <w:rFonts w:hint="eastAsia" w:ascii="宋体" w:hAnsi="宋体" w:cs="宋体"/>
                <w:szCs w:val="21"/>
              </w:rPr>
              <w:t>（中标人为大型企业的，预付款相关要求同上）</w:t>
            </w:r>
          </w:p>
        </w:tc>
      </w:tr>
      <w:tr w14:paraId="7EF09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F5A01A9">
            <w:pPr>
              <w:spacing w:line="360" w:lineRule="auto"/>
              <w:jc w:val="center"/>
              <w:rPr>
                <w:rFonts w:ascii="宋体" w:hAnsi="宋体" w:cs="宋体"/>
                <w:szCs w:val="21"/>
              </w:rPr>
            </w:pPr>
            <w:r>
              <w:rPr>
                <w:rFonts w:hint="eastAsia" w:ascii="宋体" w:hAnsi="宋体" w:cs="宋体"/>
                <w:szCs w:val="21"/>
              </w:rPr>
              <w:t>1.5.2</w:t>
            </w:r>
          </w:p>
        </w:tc>
        <w:tc>
          <w:tcPr>
            <w:tcW w:w="8137" w:type="dxa"/>
            <w:tcBorders>
              <w:tl2br w:val="nil"/>
              <w:tr2bl w:val="nil"/>
            </w:tcBorders>
            <w:vAlign w:val="center"/>
          </w:tcPr>
          <w:p w14:paraId="2AFE758E">
            <w:pPr>
              <w:spacing w:line="360" w:lineRule="auto"/>
              <w:rPr>
                <w:szCs w:val="21"/>
              </w:rPr>
            </w:pPr>
            <w:r>
              <w:rPr>
                <w:rFonts w:hint="eastAsia"/>
                <w:b/>
                <w:bCs/>
                <w:szCs w:val="21"/>
              </w:rPr>
              <w:t>预付款的扣回方式：</w:t>
            </w:r>
            <w:r>
              <w:rPr>
                <w:rFonts w:hint="eastAsia"/>
                <w:szCs w:val="21"/>
              </w:rPr>
              <w:t>/</w:t>
            </w:r>
          </w:p>
        </w:tc>
      </w:tr>
      <w:tr w14:paraId="03DBF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E973828">
            <w:pPr>
              <w:spacing w:line="360" w:lineRule="auto"/>
              <w:jc w:val="center"/>
              <w:rPr>
                <w:rFonts w:ascii="宋体" w:hAnsi="宋体" w:cs="宋体"/>
                <w:szCs w:val="21"/>
              </w:rPr>
            </w:pPr>
            <w:r>
              <w:rPr>
                <w:rFonts w:hint="eastAsia" w:ascii="宋体" w:hAnsi="宋体" w:cs="宋体"/>
                <w:szCs w:val="21"/>
              </w:rPr>
              <w:t>1.5.3</w:t>
            </w:r>
          </w:p>
        </w:tc>
        <w:tc>
          <w:tcPr>
            <w:tcW w:w="8137" w:type="dxa"/>
            <w:tcBorders>
              <w:tl2br w:val="nil"/>
              <w:tr2bl w:val="nil"/>
            </w:tcBorders>
            <w:vAlign w:val="center"/>
          </w:tcPr>
          <w:p w14:paraId="3A5256E2">
            <w:pPr>
              <w:spacing w:line="360" w:lineRule="auto"/>
              <w:rPr>
                <w:szCs w:val="21"/>
              </w:rPr>
            </w:pPr>
            <w:r>
              <w:rPr>
                <w:rFonts w:hint="eastAsia"/>
                <w:b/>
                <w:bCs/>
                <w:szCs w:val="21"/>
              </w:rPr>
              <w:t>预付款的担保措施：</w:t>
            </w:r>
            <w:r>
              <w:rPr>
                <w:rFonts w:hint="eastAsia"/>
                <w:szCs w:val="21"/>
              </w:rPr>
              <w:t>/</w:t>
            </w:r>
          </w:p>
        </w:tc>
      </w:tr>
      <w:tr w14:paraId="469FD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9572623">
            <w:pPr>
              <w:spacing w:line="360" w:lineRule="auto"/>
              <w:jc w:val="center"/>
              <w:rPr>
                <w:rFonts w:ascii="宋体" w:hAnsi="宋体" w:cs="宋体"/>
                <w:szCs w:val="21"/>
              </w:rPr>
            </w:pPr>
            <w:r>
              <w:rPr>
                <w:rFonts w:hint="eastAsia" w:ascii="宋体" w:hAnsi="宋体" w:cs="宋体"/>
                <w:szCs w:val="21"/>
              </w:rPr>
              <w:t>1.6.2</w:t>
            </w:r>
          </w:p>
        </w:tc>
        <w:tc>
          <w:tcPr>
            <w:tcW w:w="8137" w:type="dxa"/>
            <w:tcBorders>
              <w:tl2br w:val="nil"/>
              <w:tr2bl w:val="nil"/>
            </w:tcBorders>
            <w:vAlign w:val="center"/>
          </w:tcPr>
          <w:p w14:paraId="0F5ED792">
            <w:pPr>
              <w:spacing w:line="360" w:lineRule="auto"/>
              <w:rPr>
                <w:rFonts w:hint="eastAsia"/>
                <w:b/>
                <w:bCs/>
                <w:szCs w:val="21"/>
              </w:rPr>
            </w:pPr>
            <w:r>
              <w:rPr>
                <w:rFonts w:hint="eastAsia"/>
                <w:b/>
                <w:bCs/>
                <w:szCs w:val="21"/>
              </w:rPr>
              <w:t>资金支付的方式、时间和条件：</w:t>
            </w:r>
          </w:p>
          <w:p w14:paraId="20A4A403">
            <w:pPr>
              <w:spacing w:line="360" w:lineRule="auto"/>
              <w:rPr>
                <w:rFonts w:hint="default" w:ascii="宋体" w:hAnsi="宋体" w:eastAsia="宋体" w:cs="宋体"/>
                <w:b/>
                <w:bCs/>
                <w:szCs w:val="21"/>
                <w:lang w:val="en-US" w:eastAsia="zh-CN"/>
              </w:rPr>
            </w:pPr>
            <w:r>
              <w:rPr>
                <w:rFonts w:hint="eastAsia" w:ascii="宋体" w:hAnsi="宋体" w:cs="宋体"/>
                <w:szCs w:val="21"/>
                <w:lang w:val="en-US" w:eastAsia="zh-CN"/>
              </w:rPr>
              <w:t>第一次：</w:t>
            </w:r>
            <w:r>
              <w:rPr>
                <w:rFonts w:hint="eastAsia" w:ascii="宋体" w:hAnsi="宋体" w:cs="宋体"/>
                <w:szCs w:val="21"/>
              </w:rPr>
              <w:t>合同生效并具备实施条件后5个工作日内，采购人向中标人支付合同金额（即项目预算）的40%作为预付款，在签订合同时，中标人明确表示无需预付款或者主动要求降低预付款比例的，采购人可不适用前述规定。</w:t>
            </w:r>
          </w:p>
          <w:p w14:paraId="7A69858C">
            <w:pPr>
              <w:spacing w:line="360" w:lineRule="auto"/>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二</w:t>
            </w:r>
            <w:r>
              <w:rPr>
                <w:rFonts w:hint="eastAsia" w:ascii="宋体" w:hAnsi="宋体" w:cs="宋体"/>
                <w:szCs w:val="21"/>
              </w:rPr>
              <w:t>次付款:在合同签订后稳定运行6个月后，</w:t>
            </w:r>
            <w:r>
              <w:rPr>
                <w:rFonts w:hint="eastAsia" w:ascii="宋体" w:hAnsi="宋体" w:cs="宋体"/>
                <w:szCs w:val="21"/>
                <w:lang w:eastAsia="zh-CN"/>
              </w:rPr>
              <w:t>乙方</w:t>
            </w:r>
            <w:r>
              <w:rPr>
                <w:rFonts w:hint="eastAsia" w:ascii="宋体" w:hAnsi="宋体" w:cs="宋体"/>
                <w:szCs w:val="21"/>
              </w:rPr>
              <w:t>向</w:t>
            </w:r>
            <w:r>
              <w:rPr>
                <w:rFonts w:hint="eastAsia" w:ascii="宋体" w:hAnsi="宋体" w:cs="宋体"/>
                <w:szCs w:val="21"/>
                <w:lang w:eastAsia="zh-CN"/>
              </w:rPr>
              <w:t>甲方</w:t>
            </w:r>
            <w:r>
              <w:rPr>
                <w:rFonts w:hint="eastAsia" w:ascii="宋体" w:hAnsi="宋体" w:cs="宋体"/>
                <w:szCs w:val="21"/>
              </w:rPr>
              <w:t>提出付款申请，</w:t>
            </w:r>
            <w:r>
              <w:rPr>
                <w:rFonts w:hint="eastAsia" w:ascii="宋体" w:hAnsi="宋体" w:cs="宋体"/>
                <w:szCs w:val="21"/>
                <w:lang w:eastAsia="zh-CN"/>
              </w:rPr>
              <w:t>甲方</w:t>
            </w:r>
            <w:r>
              <w:rPr>
                <w:rFonts w:hint="eastAsia" w:ascii="宋体" w:hAnsi="宋体" w:cs="宋体"/>
                <w:szCs w:val="21"/>
              </w:rPr>
              <w:t>在收到</w:t>
            </w:r>
            <w:r>
              <w:rPr>
                <w:rFonts w:hint="eastAsia" w:ascii="宋体" w:hAnsi="宋体" w:cs="宋体"/>
                <w:szCs w:val="21"/>
                <w:lang w:eastAsia="zh-CN"/>
              </w:rPr>
              <w:t>乙方</w:t>
            </w:r>
            <w:r>
              <w:rPr>
                <w:rFonts w:hint="eastAsia" w:ascii="宋体" w:hAnsi="宋体" w:cs="宋体"/>
                <w:szCs w:val="21"/>
              </w:rPr>
              <w:t>提供的付款申请材料后5个工作日内支付</w:t>
            </w:r>
            <w:r>
              <w:rPr>
                <w:rFonts w:hint="eastAsia" w:ascii="宋体" w:hAnsi="宋体" w:cs="宋体"/>
                <w:szCs w:val="21"/>
                <w:lang w:val="en-US" w:eastAsia="zh-CN"/>
              </w:rPr>
              <w:t>该笔</w:t>
            </w:r>
            <w:r>
              <w:rPr>
                <w:rFonts w:hint="eastAsia" w:ascii="宋体" w:hAnsi="宋体" w:cs="宋体"/>
                <w:szCs w:val="21"/>
              </w:rPr>
              <w:t>款项。</w:t>
            </w:r>
          </w:p>
          <w:p w14:paraId="7F0455DA">
            <w:pPr>
              <w:spacing w:line="360" w:lineRule="auto"/>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三</w:t>
            </w:r>
            <w:r>
              <w:rPr>
                <w:rFonts w:hint="eastAsia" w:ascii="宋体" w:hAnsi="宋体" w:cs="宋体"/>
                <w:szCs w:val="21"/>
              </w:rPr>
              <w:t>次付款:项目期结束后一个月内，</w:t>
            </w:r>
            <w:r>
              <w:rPr>
                <w:rFonts w:hint="eastAsia" w:ascii="宋体" w:hAnsi="宋体" w:cs="宋体"/>
                <w:szCs w:val="21"/>
                <w:lang w:eastAsia="zh-CN"/>
              </w:rPr>
              <w:t>甲方</w:t>
            </w:r>
            <w:r>
              <w:rPr>
                <w:rFonts w:hint="eastAsia" w:ascii="宋体" w:hAnsi="宋体" w:cs="宋体"/>
                <w:szCs w:val="21"/>
              </w:rPr>
              <w:t>对本项目组织履约验收，验收通过后</w:t>
            </w:r>
            <w:r>
              <w:rPr>
                <w:rFonts w:hint="eastAsia" w:ascii="宋体" w:hAnsi="宋体" w:cs="宋体"/>
                <w:szCs w:val="21"/>
                <w:lang w:eastAsia="zh-CN"/>
              </w:rPr>
              <w:t>乙方</w:t>
            </w:r>
            <w:r>
              <w:rPr>
                <w:rFonts w:hint="eastAsia" w:ascii="宋体" w:hAnsi="宋体" w:cs="宋体"/>
                <w:szCs w:val="21"/>
              </w:rPr>
              <w:t>向</w:t>
            </w:r>
            <w:r>
              <w:rPr>
                <w:rFonts w:hint="eastAsia" w:ascii="宋体" w:hAnsi="宋体" w:cs="宋体"/>
                <w:szCs w:val="21"/>
                <w:lang w:eastAsia="zh-CN"/>
              </w:rPr>
              <w:t>甲方</w:t>
            </w:r>
            <w:r>
              <w:rPr>
                <w:rFonts w:hint="eastAsia" w:ascii="宋体" w:hAnsi="宋体" w:cs="宋体"/>
                <w:szCs w:val="21"/>
              </w:rPr>
              <w:t>提出付款申请，</w:t>
            </w:r>
            <w:r>
              <w:rPr>
                <w:rFonts w:hint="eastAsia" w:ascii="宋体" w:hAnsi="宋体" w:cs="宋体"/>
                <w:szCs w:val="21"/>
                <w:lang w:eastAsia="zh-CN"/>
              </w:rPr>
              <w:t>甲方</w:t>
            </w:r>
            <w:r>
              <w:rPr>
                <w:rFonts w:hint="eastAsia" w:ascii="宋体" w:hAnsi="宋体" w:cs="宋体"/>
                <w:szCs w:val="21"/>
              </w:rPr>
              <w:t>在收到</w:t>
            </w:r>
            <w:r>
              <w:rPr>
                <w:rFonts w:hint="eastAsia" w:ascii="宋体" w:hAnsi="宋体" w:cs="宋体"/>
                <w:szCs w:val="21"/>
                <w:lang w:eastAsia="zh-CN"/>
              </w:rPr>
              <w:t>乙方</w:t>
            </w:r>
            <w:r>
              <w:rPr>
                <w:rFonts w:hint="eastAsia" w:ascii="宋体" w:hAnsi="宋体" w:cs="宋体"/>
                <w:szCs w:val="21"/>
              </w:rPr>
              <w:t>提供的付款申请材料后5个工作日内支付</w:t>
            </w:r>
            <w:r>
              <w:rPr>
                <w:rFonts w:hint="eastAsia" w:ascii="宋体" w:hAnsi="宋体" w:cs="宋体"/>
                <w:szCs w:val="21"/>
                <w:lang w:val="en-US" w:eastAsia="zh-CN"/>
              </w:rPr>
              <w:t>该笔</w:t>
            </w:r>
            <w:r>
              <w:rPr>
                <w:rFonts w:hint="eastAsia" w:ascii="宋体" w:hAnsi="宋体" w:cs="宋体"/>
                <w:szCs w:val="21"/>
              </w:rPr>
              <w:t>款项。</w:t>
            </w:r>
          </w:p>
          <w:p w14:paraId="00BEBD6C">
            <w:pPr>
              <w:spacing w:line="360" w:lineRule="auto"/>
              <w:rPr>
                <w:rFonts w:hint="eastAsia" w:ascii="宋体" w:hAnsi="宋体" w:cs="宋体"/>
                <w:szCs w:val="21"/>
              </w:rPr>
            </w:pPr>
            <w:r>
              <w:rPr>
                <w:rFonts w:hint="eastAsia" w:ascii="宋体" w:hAnsi="宋体" w:cs="宋体"/>
                <w:szCs w:val="21"/>
                <w:lang w:val="en-US" w:eastAsia="zh-CN"/>
              </w:rPr>
              <w:t>注：1.</w:t>
            </w:r>
            <w:r>
              <w:rPr>
                <w:rFonts w:hint="eastAsia" w:ascii="宋体" w:hAnsi="宋体" w:cs="宋体"/>
                <w:szCs w:val="21"/>
                <w:lang w:eastAsia="zh-CN"/>
              </w:rPr>
              <w:t>乙方</w:t>
            </w:r>
            <w:r>
              <w:rPr>
                <w:rFonts w:hint="eastAsia" w:ascii="宋体" w:hAnsi="宋体" w:cs="宋体"/>
                <w:szCs w:val="21"/>
              </w:rPr>
              <w:t>在每次申请付款时，需提供双方确认的每个付费周期工作量清单、结算费用以及等额合法正规发票。</w:t>
            </w:r>
            <w:r>
              <w:rPr>
                <w:rFonts w:hint="eastAsia" w:ascii="宋体" w:hAnsi="宋体" w:cs="宋体"/>
                <w:szCs w:val="21"/>
                <w:lang w:eastAsia="zh-CN"/>
              </w:rPr>
              <w:t>甲方</w:t>
            </w:r>
            <w:r>
              <w:rPr>
                <w:rFonts w:hint="eastAsia" w:ascii="宋体" w:hAnsi="宋体" w:cs="宋体"/>
                <w:szCs w:val="21"/>
              </w:rPr>
              <w:t>在收到前述材料并确认后才正式支付相应款项。</w:t>
            </w:r>
          </w:p>
          <w:p w14:paraId="7EC081DC">
            <w:pPr>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甲方</w:t>
            </w:r>
            <w:r>
              <w:rPr>
                <w:rFonts w:hint="eastAsia" w:ascii="宋体" w:hAnsi="宋体" w:cs="宋体"/>
                <w:szCs w:val="21"/>
              </w:rPr>
              <w:t>支付了预付款的，合同款项扣除相应预付款金额后支付。</w:t>
            </w:r>
          </w:p>
          <w:p w14:paraId="1BC1347F">
            <w:pPr>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甲方</w:t>
            </w:r>
            <w:r>
              <w:rPr>
                <w:rFonts w:hint="eastAsia" w:ascii="宋体" w:hAnsi="宋体" w:cs="宋体"/>
                <w:szCs w:val="21"/>
              </w:rPr>
              <w:t>支付的总服务费用不超过采购预算。</w:t>
            </w:r>
            <w:r>
              <w:rPr>
                <w:rFonts w:hint="eastAsia" w:ascii="宋体" w:hAnsi="宋体" w:cs="宋体"/>
                <w:szCs w:val="21"/>
                <w:lang w:eastAsia="zh-CN"/>
              </w:rPr>
              <w:t>乙方</w:t>
            </w:r>
            <w:r>
              <w:rPr>
                <w:rFonts w:hint="eastAsia" w:ascii="宋体" w:hAnsi="宋体" w:cs="宋体"/>
                <w:szCs w:val="21"/>
              </w:rPr>
              <w:t>应及时统计费用，如费用超出预算的，</w:t>
            </w:r>
            <w:r>
              <w:rPr>
                <w:rFonts w:hint="eastAsia" w:ascii="宋体" w:hAnsi="宋体" w:cs="宋体"/>
                <w:szCs w:val="21"/>
                <w:lang w:eastAsia="zh-CN"/>
              </w:rPr>
              <w:t>甲方</w:t>
            </w:r>
            <w:r>
              <w:rPr>
                <w:rFonts w:hint="eastAsia" w:ascii="宋体" w:hAnsi="宋体" w:cs="宋体"/>
                <w:szCs w:val="21"/>
              </w:rPr>
              <w:t>实际最多支付至预算金额。如未超过预算金额的，按实际进行结算后支付。</w:t>
            </w:r>
          </w:p>
          <w:p w14:paraId="7D159515">
            <w:pPr>
              <w:spacing w:line="360" w:lineRule="auto"/>
              <w:rPr>
                <w:szCs w:val="21"/>
              </w:rPr>
            </w:pPr>
            <w:r>
              <w:rPr>
                <w:rFonts w:hint="eastAsia" w:ascii="宋体" w:hAnsi="宋体" w:cs="宋体"/>
                <w:szCs w:val="21"/>
                <w:lang w:val="en-US" w:eastAsia="zh-CN"/>
              </w:rPr>
              <w:t>4.</w:t>
            </w:r>
            <w:r>
              <w:rPr>
                <w:rFonts w:hint="eastAsia" w:ascii="宋体" w:hAnsi="宋体" w:cs="宋体"/>
                <w:szCs w:val="21"/>
              </w:rPr>
              <w:t>付款前，</w:t>
            </w:r>
            <w:r>
              <w:rPr>
                <w:rFonts w:hint="eastAsia" w:ascii="宋体" w:hAnsi="宋体" w:cs="宋体"/>
                <w:szCs w:val="21"/>
                <w:lang w:eastAsia="zh-CN"/>
              </w:rPr>
              <w:t>乙方</w:t>
            </w:r>
            <w:r>
              <w:rPr>
                <w:rFonts w:hint="eastAsia" w:ascii="宋体" w:hAnsi="宋体" w:cs="宋体"/>
                <w:szCs w:val="21"/>
              </w:rPr>
              <w:t>须向</w:t>
            </w:r>
            <w:r>
              <w:rPr>
                <w:rFonts w:hint="eastAsia" w:ascii="宋体" w:hAnsi="宋体" w:cs="宋体"/>
                <w:szCs w:val="21"/>
                <w:lang w:eastAsia="zh-CN"/>
              </w:rPr>
              <w:t>甲方</w:t>
            </w:r>
            <w:r>
              <w:rPr>
                <w:rFonts w:hint="eastAsia" w:ascii="宋体" w:hAnsi="宋体" w:cs="宋体"/>
                <w:szCs w:val="21"/>
              </w:rPr>
              <w:t>提供正规、等额、合法、有效的发票，以及服务台账清单。实际结算金额=应付金额-罚款金额。根据资金支付情况及财政支付制度，最终付款方式以双方确认，合同明确为准。</w:t>
            </w:r>
          </w:p>
        </w:tc>
      </w:tr>
      <w:tr w14:paraId="08E76C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C0EEC08">
            <w:pPr>
              <w:spacing w:line="360" w:lineRule="auto"/>
              <w:jc w:val="center"/>
              <w:rPr>
                <w:rFonts w:ascii="宋体" w:hAnsi="宋体" w:cs="宋体"/>
                <w:szCs w:val="21"/>
              </w:rPr>
            </w:pPr>
            <w:r>
              <w:rPr>
                <w:rFonts w:hint="eastAsia" w:ascii="宋体" w:hAnsi="宋体" w:cs="宋体"/>
                <w:szCs w:val="21"/>
              </w:rPr>
              <w:t>1.7.1</w:t>
            </w:r>
          </w:p>
        </w:tc>
        <w:tc>
          <w:tcPr>
            <w:tcW w:w="8137" w:type="dxa"/>
            <w:tcBorders>
              <w:tl2br w:val="nil"/>
              <w:tr2bl w:val="nil"/>
            </w:tcBorders>
            <w:vAlign w:val="center"/>
          </w:tcPr>
          <w:p w14:paraId="6381E2D2">
            <w:pPr>
              <w:pStyle w:val="713"/>
              <w:numPr>
                <w:ilvl w:val="255"/>
                <w:numId w:val="0"/>
              </w:numPr>
              <w:rPr>
                <w:b/>
                <w:bCs/>
                <w:sz w:val="21"/>
              </w:rPr>
            </w:pPr>
            <w:r>
              <w:rPr>
                <w:rFonts w:hint="eastAsia" w:eastAsia="宋体"/>
                <w:b/>
                <w:bCs/>
                <w:sz w:val="21"/>
              </w:rPr>
              <w:t>服务交付（实施）的时间（期限）：</w:t>
            </w:r>
            <w:r>
              <w:rPr>
                <w:rFonts w:hint="eastAsia" w:ascii="宋体" w:hAnsi="宋体" w:eastAsia="宋体" w:cs="宋体"/>
                <w:kern w:val="2"/>
                <w:sz w:val="21"/>
                <w:szCs w:val="21"/>
                <w:lang w:val="en-US" w:eastAsia="zh-CN" w:bidi="ar-SA"/>
              </w:rPr>
              <w:t>合同签订之日起一年。</w:t>
            </w:r>
          </w:p>
        </w:tc>
      </w:tr>
      <w:tr w14:paraId="7A5F2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12BFFA9">
            <w:pPr>
              <w:spacing w:line="360" w:lineRule="auto"/>
              <w:jc w:val="center"/>
              <w:rPr>
                <w:rFonts w:ascii="宋体" w:hAnsi="宋体" w:cs="宋体"/>
                <w:szCs w:val="21"/>
              </w:rPr>
            </w:pPr>
            <w:r>
              <w:rPr>
                <w:rFonts w:hint="eastAsia" w:ascii="宋体" w:hAnsi="宋体" w:cs="宋体"/>
                <w:szCs w:val="21"/>
              </w:rPr>
              <w:t>1.7.2</w:t>
            </w:r>
          </w:p>
        </w:tc>
        <w:tc>
          <w:tcPr>
            <w:tcW w:w="8137" w:type="dxa"/>
            <w:tcBorders>
              <w:tl2br w:val="nil"/>
              <w:tr2bl w:val="nil"/>
            </w:tcBorders>
            <w:vAlign w:val="center"/>
          </w:tcPr>
          <w:p w14:paraId="7FFBCFC8">
            <w:pPr>
              <w:spacing w:line="360" w:lineRule="auto"/>
              <w:rPr>
                <w:szCs w:val="21"/>
              </w:rPr>
            </w:pPr>
            <w:r>
              <w:rPr>
                <w:rFonts w:hint="eastAsia"/>
                <w:b/>
                <w:bCs/>
                <w:szCs w:val="21"/>
              </w:rPr>
              <w:t>服务交付（实施）的地点（地域范围）：</w:t>
            </w:r>
            <w:r>
              <w:rPr>
                <w:rFonts w:hint="eastAsia"/>
                <w:szCs w:val="21"/>
              </w:rPr>
              <w:t>杭州市钱塘区人民政府办公室及其指定地点。</w:t>
            </w:r>
          </w:p>
        </w:tc>
      </w:tr>
      <w:tr w14:paraId="0B6F4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E64DCA4">
            <w:pPr>
              <w:spacing w:line="360" w:lineRule="auto"/>
              <w:jc w:val="center"/>
              <w:rPr>
                <w:rFonts w:ascii="宋体" w:hAnsi="宋体" w:cs="宋体"/>
                <w:szCs w:val="21"/>
              </w:rPr>
            </w:pPr>
            <w:r>
              <w:rPr>
                <w:rFonts w:hint="eastAsia" w:ascii="宋体" w:hAnsi="宋体" w:cs="宋体"/>
                <w:szCs w:val="21"/>
              </w:rPr>
              <w:t>1.7.3</w:t>
            </w:r>
          </w:p>
        </w:tc>
        <w:tc>
          <w:tcPr>
            <w:tcW w:w="8137" w:type="dxa"/>
            <w:tcBorders>
              <w:tl2br w:val="nil"/>
              <w:tr2bl w:val="nil"/>
            </w:tcBorders>
            <w:vAlign w:val="center"/>
          </w:tcPr>
          <w:p w14:paraId="6E714BA1">
            <w:pPr>
              <w:spacing w:line="360" w:lineRule="auto"/>
              <w:rPr>
                <w:szCs w:val="21"/>
              </w:rPr>
            </w:pPr>
            <w:r>
              <w:rPr>
                <w:rFonts w:hint="eastAsia"/>
                <w:b/>
                <w:bCs/>
                <w:szCs w:val="21"/>
              </w:rPr>
              <w:t>服务交付（实施）的方式：</w:t>
            </w:r>
            <w:r>
              <w:rPr>
                <w:rFonts w:hint="eastAsia"/>
                <w:szCs w:val="21"/>
              </w:rPr>
              <w:t>按照招标文件及合同要求进行交付。</w:t>
            </w:r>
          </w:p>
        </w:tc>
      </w:tr>
      <w:tr w14:paraId="69AA6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710A527">
            <w:pPr>
              <w:spacing w:line="360" w:lineRule="auto"/>
              <w:jc w:val="center"/>
              <w:rPr>
                <w:rFonts w:ascii="宋体" w:hAnsi="宋体" w:cs="宋体"/>
                <w:szCs w:val="21"/>
              </w:rPr>
            </w:pPr>
            <w:r>
              <w:rPr>
                <w:rFonts w:hint="eastAsia" w:ascii="宋体" w:hAnsi="宋体" w:cs="宋体"/>
                <w:szCs w:val="21"/>
              </w:rPr>
              <w:t>1.7.4.1</w:t>
            </w:r>
          </w:p>
        </w:tc>
        <w:tc>
          <w:tcPr>
            <w:tcW w:w="8137" w:type="dxa"/>
            <w:tcBorders>
              <w:tl2br w:val="nil"/>
              <w:tr2bl w:val="nil"/>
            </w:tcBorders>
            <w:vAlign w:val="center"/>
          </w:tcPr>
          <w:p w14:paraId="649CAD1F">
            <w:pPr>
              <w:spacing w:line="360" w:lineRule="auto"/>
              <w:rPr>
                <w:szCs w:val="21"/>
              </w:rPr>
            </w:pPr>
            <w:r>
              <w:rPr>
                <w:rFonts w:hint="eastAsia"/>
                <w:b/>
                <w:bCs/>
                <w:szCs w:val="21"/>
              </w:rPr>
              <w:t>服务配套货物的交付期限：</w:t>
            </w:r>
            <w:r>
              <w:rPr>
                <w:rFonts w:hint="eastAsia"/>
                <w:szCs w:val="21"/>
              </w:rPr>
              <w:t>/</w:t>
            </w:r>
          </w:p>
        </w:tc>
      </w:tr>
      <w:tr w14:paraId="59DCC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48C8DAAF">
            <w:pPr>
              <w:spacing w:line="360" w:lineRule="auto"/>
              <w:jc w:val="center"/>
              <w:rPr>
                <w:rFonts w:ascii="宋体" w:hAnsi="宋体" w:cs="宋体"/>
                <w:szCs w:val="21"/>
              </w:rPr>
            </w:pPr>
            <w:r>
              <w:rPr>
                <w:rFonts w:hint="eastAsia" w:ascii="宋体" w:hAnsi="宋体" w:cs="宋体"/>
                <w:szCs w:val="21"/>
              </w:rPr>
              <w:t>1.7.4.2</w:t>
            </w:r>
          </w:p>
        </w:tc>
        <w:tc>
          <w:tcPr>
            <w:tcW w:w="8137" w:type="dxa"/>
            <w:tcBorders>
              <w:tl2br w:val="nil"/>
              <w:tr2bl w:val="nil"/>
            </w:tcBorders>
            <w:vAlign w:val="center"/>
          </w:tcPr>
          <w:p w14:paraId="5C7A4603">
            <w:pPr>
              <w:spacing w:line="360" w:lineRule="auto"/>
              <w:rPr>
                <w:szCs w:val="21"/>
              </w:rPr>
            </w:pPr>
            <w:r>
              <w:rPr>
                <w:rFonts w:hint="eastAsia"/>
                <w:b/>
                <w:bCs/>
                <w:szCs w:val="21"/>
              </w:rPr>
              <w:t>服务配套货物的交付地点</w:t>
            </w:r>
            <w:r>
              <w:rPr>
                <w:rFonts w:hint="eastAsia"/>
                <w:szCs w:val="21"/>
              </w:rPr>
              <w:t>：/</w:t>
            </w:r>
          </w:p>
        </w:tc>
      </w:tr>
      <w:tr w14:paraId="595B5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55D9E3B">
            <w:pPr>
              <w:spacing w:line="360" w:lineRule="auto"/>
              <w:jc w:val="center"/>
              <w:rPr>
                <w:rFonts w:ascii="宋体" w:hAnsi="宋体" w:cs="宋体"/>
                <w:szCs w:val="21"/>
              </w:rPr>
            </w:pPr>
            <w:r>
              <w:rPr>
                <w:rFonts w:hint="eastAsia" w:ascii="宋体" w:hAnsi="宋体" w:cs="宋体"/>
                <w:szCs w:val="21"/>
              </w:rPr>
              <w:t>1.7.4.3</w:t>
            </w:r>
          </w:p>
        </w:tc>
        <w:tc>
          <w:tcPr>
            <w:tcW w:w="8137" w:type="dxa"/>
            <w:tcBorders>
              <w:tl2br w:val="nil"/>
              <w:tr2bl w:val="nil"/>
            </w:tcBorders>
            <w:vAlign w:val="center"/>
          </w:tcPr>
          <w:p w14:paraId="738BE84A">
            <w:pPr>
              <w:spacing w:line="360" w:lineRule="auto"/>
              <w:rPr>
                <w:szCs w:val="21"/>
              </w:rPr>
            </w:pPr>
            <w:r>
              <w:rPr>
                <w:rFonts w:hint="eastAsia"/>
                <w:b/>
                <w:bCs/>
                <w:szCs w:val="21"/>
              </w:rPr>
              <w:t>服务配套货物的交付方式：</w:t>
            </w:r>
            <w:r>
              <w:rPr>
                <w:rFonts w:hint="eastAsia"/>
                <w:szCs w:val="21"/>
              </w:rPr>
              <w:t>/</w:t>
            </w:r>
          </w:p>
        </w:tc>
      </w:tr>
      <w:tr w14:paraId="35758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0C62777">
            <w:pPr>
              <w:spacing w:line="360" w:lineRule="auto"/>
              <w:jc w:val="center"/>
              <w:rPr>
                <w:rFonts w:ascii="宋体" w:hAnsi="宋体" w:cs="宋体"/>
                <w:szCs w:val="21"/>
              </w:rPr>
            </w:pPr>
            <w:r>
              <w:rPr>
                <w:rFonts w:hint="eastAsia" w:ascii="宋体" w:hAnsi="宋体" w:cs="宋体"/>
                <w:szCs w:val="21"/>
              </w:rPr>
              <w:t>1.8.7</w:t>
            </w:r>
          </w:p>
        </w:tc>
        <w:tc>
          <w:tcPr>
            <w:tcW w:w="8137" w:type="dxa"/>
            <w:tcBorders>
              <w:tl2br w:val="nil"/>
              <w:tr2bl w:val="nil"/>
            </w:tcBorders>
            <w:vAlign w:val="center"/>
          </w:tcPr>
          <w:p w14:paraId="6CE4D0B3">
            <w:pPr>
              <w:spacing w:line="360" w:lineRule="auto"/>
              <w:rPr>
                <w:b/>
                <w:bCs/>
                <w:szCs w:val="21"/>
              </w:rPr>
            </w:pPr>
            <w:r>
              <w:rPr>
                <w:rFonts w:hint="eastAsia"/>
                <w:b/>
                <w:bCs/>
                <w:szCs w:val="21"/>
              </w:rPr>
              <w:t>违约责任：</w:t>
            </w:r>
          </w:p>
          <w:p w14:paraId="5653D822">
            <w:pPr>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一</w:t>
            </w:r>
            <w:r>
              <w:rPr>
                <w:rFonts w:hint="eastAsia" w:ascii="宋体" w:hAnsi="宋体" w:cs="宋体"/>
                <w:szCs w:val="21"/>
              </w:rPr>
              <w:t>）</w:t>
            </w:r>
            <w:r>
              <w:rPr>
                <w:rFonts w:hint="eastAsia" w:ascii="宋体" w:hAnsi="宋体" w:cs="宋体"/>
                <w:szCs w:val="21"/>
                <w:lang w:val="en-US" w:eastAsia="zh-CN"/>
              </w:rPr>
              <w:t>安全</w:t>
            </w:r>
            <w:r>
              <w:rPr>
                <w:rFonts w:hint="eastAsia" w:ascii="宋体" w:hAnsi="宋体" w:cs="宋体"/>
                <w:szCs w:val="21"/>
              </w:rPr>
              <w:t>部分违约责任</w:t>
            </w:r>
          </w:p>
          <w:p w14:paraId="4D49CEB1">
            <w:pPr>
              <w:spacing w:line="360" w:lineRule="auto"/>
              <w:rPr>
                <w:rFonts w:hint="eastAsia" w:ascii="宋体" w:hAnsi="宋体" w:cs="宋体"/>
                <w:szCs w:val="21"/>
              </w:rPr>
            </w:pPr>
            <w:r>
              <w:rPr>
                <w:rFonts w:hint="eastAsia" w:ascii="宋体" w:hAnsi="宋体" w:cs="宋体"/>
                <w:szCs w:val="21"/>
              </w:rPr>
              <w:t>1.由于中标人原因，受到国家级安全问题通报的、或造成特别重大事故的，每通报一个问题或发生一次事故，从合同金额内扣除10万元。</w:t>
            </w:r>
          </w:p>
          <w:p w14:paraId="4302E031">
            <w:pPr>
              <w:spacing w:line="360" w:lineRule="auto"/>
              <w:rPr>
                <w:rFonts w:hint="eastAsia" w:ascii="宋体" w:hAnsi="宋体" w:cs="宋体"/>
                <w:szCs w:val="21"/>
              </w:rPr>
            </w:pPr>
            <w:r>
              <w:rPr>
                <w:rFonts w:hint="eastAsia" w:ascii="宋体" w:hAnsi="宋体" w:cs="宋体"/>
                <w:szCs w:val="21"/>
              </w:rPr>
              <w:t>2.由于中标人原因，受到省级安全问题通报的、或造成重大事故的，每通报一个问题或发生一次事故，从合同金额扣除5万元。</w:t>
            </w:r>
          </w:p>
          <w:p w14:paraId="48B9AA2D">
            <w:pPr>
              <w:spacing w:line="360" w:lineRule="auto"/>
              <w:rPr>
                <w:rFonts w:hint="eastAsia" w:ascii="宋体" w:hAnsi="宋体" w:cs="宋体"/>
                <w:szCs w:val="21"/>
              </w:rPr>
            </w:pPr>
            <w:r>
              <w:rPr>
                <w:rFonts w:hint="eastAsia" w:ascii="宋体" w:hAnsi="宋体" w:cs="宋体"/>
                <w:szCs w:val="21"/>
              </w:rPr>
              <w:t>3.由于中标人原因，受到市级安全问题通报的、或造成较大事故（一般事故）的，每通报一个问题或发生一次事故，从合同金额扣除1万元。</w:t>
            </w:r>
          </w:p>
          <w:p w14:paraId="421724F8">
            <w:pPr>
              <w:spacing w:line="360" w:lineRule="auto"/>
              <w:rPr>
                <w:rFonts w:hint="eastAsia" w:ascii="宋体" w:hAnsi="宋体" w:cs="宋体"/>
                <w:szCs w:val="21"/>
              </w:rPr>
            </w:pPr>
            <w:r>
              <w:rPr>
                <w:rFonts w:hint="eastAsia" w:ascii="宋体" w:hAnsi="宋体" w:cs="宋体"/>
                <w:szCs w:val="21"/>
              </w:rPr>
              <w:t>4.中标人未按照采购人要求及时处置所属安全事件、隐患的，每通报一个问题或发生一次事故，每次扣除合同总价的0.125%。</w:t>
            </w:r>
          </w:p>
          <w:p w14:paraId="24EEC7B1">
            <w:pPr>
              <w:spacing w:line="360" w:lineRule="auto"/>
              <w:rPr>
                <w:rFonts w:hint="eastAsia" w:ascii="宋体" w:hAnsi="宋体" w:cs="宋体"/>
                <w:szCs w:val="21"/>
              </w:rPr>
            </w:pPr>
            <w:r>
              <w:rPr>
                <w:rFonts w:hint="eastAsia" w:ascii="宋体" w:hAnsi="宋体" w:cs="宋体"/>
                <w:szCs w:val="21"/>
              </w:rPr>
              <w:t>5.中标人存在多名（2人及以上）工作人员共用一个操作账户的，或所主管的系统、云资源等账号出现弱口令的（强口令需至少包含数字、大小写字母、特殊字符等，且无明显规律），每出现1次，每次扣除合同总价的0.05%。</w:t>
            </w:r>
          </w:p>
          <w:p w14:paraId="489A31BE">
            <w:pPr>
              <w:spacing w:line="360" w:lineRule="auto"/>
              <w:rPr>
                <w:rFonts w:hint="eastAsia" w:ascii="宋体" w:hAnsi="宋体" w:cs="宋体"/>
                <w:szCs w:val="21"/>
              </w:rPr>
            </w:pPr>
            <w:r>
              <w:rPr>
                <w:rFonts w:hint="eastAsia" w:ascii="宋体" w:hAnsi="宋体" w:cs="宋体"/>
                <w:szCs w:val="21"/>
              </w:rPr>
              <w:t>6.未经采购人审批允许，中标人不得私开账号、擅自更改权限，不得对项目云资源私开端口，不得利用项目资源进行与该项目无关的工作，不得将政务网和互联网私自打通的。每出现一次，扣除合同总价的0.125%。</w:t>
            </w:r>
          </w:p>
          <w:p w14:paraId="4066B522">
            <w:pPr>
              <w:spacing w:line="360" w:lineRule="auto"/>
              <w:rPr>
                <w:rFonts w:hint="eastAsia" w:ascii="宋体" w:hAnsi="宋体" w:cs="宋体"/>
                <w:szCs w:val="21"/>
              </w:rPr>
            </w:pPr>
            <w:r>
              <w:rPr>
                <w:rFonts w:hint="eastAsia" w:ascii="宋体" w:hAnsi="宋体" w:cs="宋体"/>
                <w:szCs w:val="21"/>
              </w:rPr>
              <w:t>7.中标人发现数据安全缺陷、漏洞等风险时，未立即采取补救措施的；或发生数字安全事件时，未立即采取处置措施的；相关情况未第一时间向采购人报告的；每出现一次，每次扣除合同总价的0.125%。</w:t>
            </w:r>
          </w:p>
          <w:p w14:paraId="3889C986">
            <w:pPr>
              <w:spacing w:line="360" w:lineRule="auto"/>
              <w:rPr>
                <w:rFonts w:hint="eastAsia" w:ascii="宋体" w:hAnsi="宋体" w:cs="宋体"/>
                <w:szCs w:val="21"/>
              </w:rPr>
            </w:pPr>
            <w:r>
              <w:rPr>
                <w:rFonts w:hint="eastAsia" w:ascii="宋体" w:hAnsi="宋体" w:cs="宋体"/>
                <w:szCs w:val="21"/>
              </w:rPr>
              <w:t>8.若中标人未按需提供日志，或提供的操作记录、安全日志等不完整、存在缺失的，每发现一次，每次从合同金额扣除10000元。</w:t>
            </w:r>
          </w:p>
          <w:p w14:paraId="582EFA09">
            <w:pPr>
              <w:spacing w:line="360" w:lineRule="auto"/>
              <w:rPr>
                <w:rFonts w:hint="eastAsia" w:ascii="宋体" w:hAnsi="宋体" w:cs="宋体"/>
                <w:szCs w:val="21"/>
              </w:rPr>
            </w:pPr>
            <w:r>
              <w:rPr>
                <w:rFonts w:hint="eastAsia" w:ascii="宋体" w:hAnsi="宋体" w:cs="宋体"/>
                <w:szCs w:val="21"/>
              </w:rPr>
              <w:t>9. 中标人拒不配合网络数据安全检查或经检查后拒不进行整改的，每出现一次，扣除合同总价的0.125%。</w:t>
            </w:r>
          </w:p>
          <w:p w14:paraId="497AFA77">
            <w:pPr>
              <w:spacing w:line="360" w:lineRule="auto"/>
              <w:rPr>
                <w:rFonts w:hint="eastAsia" w:ascii="宋体" w:hAnsi="宋体" w:cs="宋体"/>
                <w:szCs w:val="21"/>
              </w:rPr>
            </w:pPr>
            <w:r>
              <w:rPr>
                <w:rFonts w:hint="eastAsia" w:ascii="宋体" w:hAnsi="宋体" w:cs="宋体"/>
                <w:szCs w:val="21"/>
              </w:rPr>
              <w:t>10.项目结束后，中标人未按约删除其在项目过程中获取的数据资料并擅自使用或许可他人使用的，须承担项目合同总金额10%的违约金处罚，若给甲方造成损失的，还须承担赔偿责任。</w:t>
            </w:r>
          </w:p>
          <w:p w14:paraId="029599A1">
            <w:pPr>
              <w:spacing w:line="360" w:lineRule="auto"/>
              <w:rPr>
                <w:rFonts w:hint="eastAsia" w:ascii="宋体" w:hAnsi="宋体" w:cs="宋体"/>
                <w:szCs w:val="21"/>
              </w:rPr>
            </w:pPr>
            <w:r>
              <w:rPr>
                <w:rFonts w:hint="eastAsia" w:ascii="宋体" w:hAnsi="宋体" w:cs="宋体"/>
                <w:szCs w:val="21"/>
              </w:rPr>
              <w:t>11.中标人未配合采购人对项目涉及的资源、系统等常态化安全漏洞扫描，或未及时修复漏洞的，每出现一次，扣除合同总价的0.125%。</w:t>
            </w:r>
          </w:p>
          <w:p w14:paraId="662EFEDE">
            <w:pPr>
              <w:spacing w:line="360" w:lineRule="auto"/>
              <w:rPr>
                <w:rFonts w:hint="eastAsia" w:ascii="宋体" w:hAnsi="宋体" w:cs="宋体"/>
                <w:szCs w:val="21"/>
              </w:rPr>
            </w:pPr>
            <w:r>
              <w:rPr>
                <w:rFonts w:hint="eastAsia" w:ascii="宋体" w:hAnsi="宋体" w:cs="宋体"/>
                <w:szCs w:val="21"/>
              </w:rPr>
              <w:t>12. 中标人未配合采购人完成项目中所建设、运营的应用系统、服务等的网络数据安全检查，并且按要求及时完成检查中发现问题的整改,每出现一次，扣除合同总价的0.125%。</w:t>
            </w:r>
          </w:p>
          <w:p w14:paraId="05D21580">
            <w:pPr>
              <w:spacing w:line="360" w:lineRule="auto"/>
              <w:rPr>
                <w:rFonts w:hint="eastAsia" w:ascii="宋体" w:hAnsi="宋体" w:cs="宋体"/>
                <w:szCs w:val="21"/>
              </w:rPr>
            </w:pPr>
            <w:r>
              <w:rPr>
                <w:rFonts w:hint="eastAsia" w:ascii="宋体" w:hAnsi="宋体" w:cs="宋体"/>
                <w:szCs w:val="21"/>
              </w:rPr>
              <w:t xml:space="preserve">13. </w:t>
            </w:r>
            <w:r>
              <w:rPr>
                <w:rFonts w:hint="eastAsia" w:ascii="宋体" w:hAnsi="宋体" w:cs="宋体"/>
                <w:szCs w:val="21"/>
                <w:lang w:val="en-US" w:eastAsia="zh-CN"/>
              </w:rPr>
              <w:t>中标人</w:t>
            </w:r>
            <w:r>
              <w:rPr>
                <w:rFonts w:hint="eastAsia" w:ascii="宋体" w:hAnsi="宋体" w:cs="宋体"/>
                <w:szCs w:val="21"/>
              </w:rPr>
              <w:t>未按照甲方相关要求，签订《保密承诺书》，办理入场、离场手续的、未入驻全省ISV系统，出现一人次，每人次从合同金额扣除1万元。</w:t>
            </w:r>
          </w:p>
          <w:p w14:paraId="658917D9">
            <w:pPr>
              <w:spacing w:line="360" w:lineRule="auto"/>
              <w:rPr>
                <w:rFonts w:hint="eastAsia" w:ascii="宋体" w:hAnsi="宋体" w:cs="宋体"/>
                <w:szCs w:val="21"/>
              </w:rPr>
            </w:pPr>
            <w:r>
              <w:rPr>
                <w:rFonts w:hint="eastAsia" w:ascii="宋体" w:hAnsi="宋体" w:cs="宋体"/>
                <w:szCs w:val="21"/>
              </w:rPr>
              <w:t>14．中标人派驻的驻场人员未按照采购人工作要求进行出勤的，每出现1人次从合同金额扣除500元。</w:t>
            </w:r>
          </w:p>
          <w:p w14:paraId="7277EEB7">
            <w:pPr>
              <w:spacing w:line="360" w:lineRule="auto"/>
              <w:rPr>
                <w:rFonts w:hint="eastAsia" w:ascii="宋体" w:hAnsi="宋体" w:cs="宋体"/>
                <w:szCs w:val="21"/>
              </w:rPr>
            </w:pPr>
            <w:r>
              <w:rPr>
                <w:rFonts w:hint="eastAsia" w:ascii="宋体" w:hAnsi="宋体" w:cs="宋体"/>
                <w:szCs w:val="21"/>
              </w:rPr>
              <w:t>15. 中标人不得擅自将项目中涉及的数据拷贝、转移出指定数据区域外进行开发、调试等，包括不限于中标人公司、第三方公司的服务器等，每出现一次，扣除合同总价的0.125%。</w:t>
            </w:r>
          </w:p>
          <w:p w14:paraId="1F69A051">
            <w:pPr>
              <w:spacing w:line="360" w:lineRule="auto"/>
              <w:rPr>
                <w:rFonts w:hint="eastAsia" w:ascii="宋体" w:hAnsi="宋体" w:cs="宋体"/>
                <w:szCs w:val="21"/>
              </w:rPr>
            </w:pPr>
            <w:r>
              <w:rPr>
                <w:rFonts w:hint="eastAsia" w:ascii="宋体" w:hAnsi="宋体" w:cs="宋体"/>
                <w:szCs w:val="21"/>
              </w:rPr>
              <w:t>16. 每次通报后，若中标人未及时提供整改报告的；或未根据通报内容及时进行整改的，每出现一次，扣除合同总价的0.125%。</w:t>
            </w:r>
          </w:p>
          <w:p w14:paraId="5486B724">
            <w:pPr>
              <w:spacing w:line="360" w:lineRule="auto"/>
              <w:rPr>
                <w:rFonts w:hint="eastAsia" w:ascii="宋体" w:hAnsi="宋体" w:cs="宋体"/>
                <w:szCs w:val="21"/>
              </w:rPr>
            </w:pPr>
            <w:r>
              <w:rPr>
                <w:rFonts w:hint="eastAsia" w:ascii="宋体" w:hAnsi="宋体" w:cs="宋体"/>
                <w:szCs w:val="21"/>
              </w:rPr>
              <w:t>17. 中标人在项目中所承建信息系统的开发、测试环境，出现采购人及项目相关的标识名称，或在项目建成后未及时下架测试环境，每出现一次，扣除合同总价的0.125%。</w:t>
            </w:r>
          </w:p>
          <w:p w14:paraId="74A4E6E4">
            <w:pPr>
              <w:spacing w:line="360" w:lineRule="auto"/>
              <w:rPr>
                <w:rFonts w:hint="eastAsia" w:ascii="宋体" w:hAnsi="宋体" w:cs="宋体"/>
                <w:szCs w:val="21"/>
              </w:rPr>
            </w:pPr>
            <w:r>
              <w:rPr>
                <w:rFonts w:hint="eastAsia" w:ascii="宋体" w:hAnsi="宋体" w:cs="宋体"/>
                <w:szCs w:val="21"/>
              </w:rPr>
              <w:t>18. 在重要活动、会议期间，中标人未按照采购人安全保障要求，安排保障人员参与重保值班值守工作，每出现一人次天，从合同金额扣除10000元。</w:t>
            </w:r>
          </w:p>
          <w:p w14:paraId="3489A8CA">
            <w:pPr>
              <w:spacing w:line="360" w:lineRule="auto"/>
              <w:rPr>
                <w:rFonts w:hint="eastAsia" w:ascii="宋体" w:hAnsi="宋体" w:cs="宋体"/>
                <w:szCs w:val="21"/>
              </w:rPr>
            </w:pPr>
            <w:r>
              <w:rPr>
                <w:rFonts w:hint="eastAsia" w:ascii="宋体" w:hAnsi="宋体" w:cs="宋体"/>
                <w:szCs w:val="21"/>
              </w:rPr>
              <w:t>19. 中标人未按照采购人业务要求，围绕项目内容，未及时提供采购人所需要的业务相关进展及数据，每出现一次，从合同金额扣除1000元。</w:t>
            </w:r>
          </w:p>
          <w:p w14:paraId="68C7DFC3">
            <w:pPr>
              <w:spacing w:line="360" w:lineRule="auto"/>
              <w:rPr>
                <w:rFonts w:hint="eastAsia" w:ascii="宋体" w:hAnsi="宋体" w:cs="宋体"/>
                <w:szCs w:val="21"/>
              </w:rPr>
            </w:pPr>
            <w:r>
              <w:rPr>
                <w:rFonts w:hint="eastAsia" w:ascii="宋体" w:hAnsi="宋体" w:cs="宋体"/>
                <w:szCs w:val="21"/>
              </w:rPr>
              <w:t>20. 中标人在项目中所建设、运营的应用系统、应用服务等涉及鉴权登录的，未使用浙政钉/浙里办扫码方式、二次验证的方式的，每发现一次，从合同金额扣除10000元。</w:t>
            </w:r>
          </w:p>
          <w:p w14:paraId="2800F2F2">
            <w:pPr>
              <w:spacing w:line="360" w:lineRule="auto"/>
              <w:rPr>
                <w:rFonts w:hint="eastAsia" w:ascii="宋体" w:hAnsi="宋体" w:cs="宋体"/>
                <w:szCs w:val="21"/>
              </w:rPr>
            </w:pPr>
            <w:r>
              <w:rPr>
                <w:rFonts w:hint="eastAsia" w:ascii="宋体" w:hAnsi="宋体" w:cs="宋体"/>
                <w:szCs w:val="21"/>
              </w:rPr>
              <w:t xml:space="preserve">21. </w:t>
            </w:r>
            <w:r>
              <w:rPr>
                <w:rFonts w:hint="eastAsia" w:ascii="宋体" w:hAnsi="宋体" w:cs="宋体"/>
                <w:szCs w:val="21"/>
                <w:lang w:eastAsia="zh-CN"/>
              </w:rPr>
              <w:t>中标人</w:t>
            </w:r>
            <w:r>
              <w:rPr>
                <w:rFonts w:hint="eastAsia" w:ascii="宋体" w:hAnsi="宋体" w:cs="宋体"/>
                <w:szCs w:val="21"/>
              </w:rPr>
              <w:t>驻场人员未按照甲方约定允许，从事其他项目内容、本项目中已额外单独支付服务费的相关工作，甲方有权扣除涉及的驻场人员服务费。</w:t>
            </w:r>
          </w:p>
          <w:p w14:paraId="6FB68264">
            <w:pPr>
              <w:spacing w:line="360" w:lineRule="auto"/>
              <w:rPr>
                <w:rFonts w:hint="eastAsia" w:ascii="宋体" w:hAnsi="宋体" w:cs="宋体"/>
                <w:szCs w:val="21"/>
              </w:rPr>
            </w:pPr>
            <w:r>
              <w:rPr>
                <w:rFonts w:hint="eastAsia" w:ascii="宋体" w:hAnsi="宋体" w:cs="宋体"/>
                <w:szCs w:val="21"/>
              </w:rPr>
              <w:t>22．</w:t>
            </w:r>
            <w:r>
              <w:rPr>
                <w:rFonts w:hint="eastAsia" w:ascii="宋体" w:hAnsi="宋体" w:cs="宋体"/>
                <w:szCs w:val="21"/>
                <w:lang w:eastAsia="zh-CN"/>
              </w:rPr>
              <w:t>中标人</w:t>
            </w:r>
            <w:r>
              <w:rPr>
                <w:rFonts w:hint="eastAsia" w:ascii="宋体" w:hAnsi="宋体" w:cs="宋体"/>
                <w:szCs w:val="21"/>
              </w:rPr>
              <w:t>应当按照《中华人民共和国网络安全法》《中华人民共和国数据安全法》《中华人民共和国个人信息保护法》等法律法规及规章制度要求开展工作，</w:t>
            </w:r>
            <w:r>
              <w:rPr>
                <w:rFonts w:hint="eastAsia" w:ascii="宋体" w:hAnsi="宋体" w:cs="宋体"/>
                <w:szCs w:val="21"/>
                <w:lang w:eastAsia="zh-CN"/>
              </w:rPr>
              <w:t>中标人</w:t>
            </w:r>
            <w:r>
              <w:rPr>
                <w:rFonts w:hint="eastAsia" w:ascii="宋体" w:hAnsi="宋体" w:cs="宋体"/>
                <w:szCs w:val="21"/>
              </w:rPr>
              <w:t>不履行合同义务或者履行合同义务不符合约定的，应当依照法律及合同约定承担相应责任。</w:t>
            </w:r>
          </w:p>
          <w:p w14:paraId="5ADEC1D0">
            <w:pPr>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二</w:t>
            </w:r>
            <w:r>
              <w:rPr>
                <w:rFonts w:hint="eastAsia" w:ascii="宋体" w:hAnsi="宋体" w:cs="宋体"/>
                <w:szCs w:val="21"/>
              </w:rPr>
              <w:t>）服务部分违约责任</w:t>
            </w:r>
          </w:p>
          <w:p w14:paraId="04A250E6">
            <w:pPr>
              <w:spacing w:line="360" w:lineRule="auto"/>
              <w:rPr>
                <w:rFonts w:hint="eastAsia" w:ascii="宋体" w:hAnsi="宋体" w:cs="宋体"/>
                <w:szCs w:val="21"/>
              </w:rPr>
            </w:pPr>
            <w:r>
              <w:rPr>
                <w:rFonts w:hint="eastAsia" w:ascii="宋体" w:hAnsi="宋体" w:cs="宋体"/>
                <w:szCs w:val="21"/>
              </w:rPr>
              <w:t xml:space="preserve">1.由于中标人原因，涉及服务被社会媒体曝光、收到多方投诉情况，出现1次，每次扣除合同总价的0.5%。 </w:t>
            </w:r>
          </w:p>
          <w:p w14:paraId="43814CBA">
            <w:pPr>
              <w:spacing w:line="360" w:lineRule="auto"/>
              <w:rPr>
                <w:rFonts w:hint="eastAsia" w:ascii="宋体" w:hAnsi="宋体" w:cs="宋体"/>
                <w:szCs w:val="21"/>
              </w:rPr>
            </w:pPr>
            <w:r>
              <w:rPr>
                <w:rFonts w:hint="eastAsia" w:ascii="宋体" w:hAnsi="宋体" w:cs="宋体"/>
                <w:szCs w:val="21"/>
              </w:rPr>
              <w:t>2.未经采购人授权，中标人擅自将服务系统的操作管理权限、账号、视频影像资料、数据及分析应用成果、电脑截图或照片等泄露外传。出现1次，每次扣除不超合同总价的0.5%。</w:t>
            </w:r>
          </w:p>
          <w:p w14:paraId="157E2BB1">
            <w:pPr>
              <w:spacing w:line="360" w:lineRule="auto"/>
              <w:rPr>
                <w:rFonts w:hint="eastAsia" w:ascii="宋体" w:hAnsi="宋体" w:cs="宋体"/>
                <w:szCs w:val="21"/>
              </w:rPr>
            </w:pPr>
            <w:r>
              <w:rPr>
                <w:rFonts w:hint="eastAsia" w:ascii="宋体" w:hAnsi="宋体" w:cs="宋体"/>
                <w:szCs w:val="21"/>
              </w:rPr>
              <w:t>3.根据一体化智能化公共数据平台考核指标的要求，中标人需配合采购人进行服务的完善。未按一体化智能化公共数据平台考核指标进行或完成服务完善的，出现一次，每次扣除合同总价的0.125%。</w:t>
            </w:r>
          </w:p>
          <w:p w14:paraId="229B2ED1">
            <w:pPr>
              <w:spacing w:line="360" w:lineRule="auto"/>
              <w:rPr>
                <w:rFonts w:hint="eastAsia" w:ascii="宋体" w:hAnsi="宋体" w:cs="宋体"/>
                <w:szCs w:val="21"/>
              </w:rPr>
            </w:pPr>
            <w:r>
              <w:rPr>
                <w:rFonts w:hint="eastAsia" w:ascii="宋体" w:hAnsi="宋体" w:cs="宋体"/>
                <w:szCs w:val="21"/>
              </w:rPr>
              <w:t>4.中标人所提供的云服务器资源利用率低于采购人标准的(CPU平均利用率≥15%,内存平均利用率≥35%,磁盘平均利用率≥40%),每降低1个百分点（存在多项利用率未达标的，以最大差值单项进行计算），该云服务器当月费用扣除1%。中标人未能提供云资源某项利用率数据的，该项数据按利用率为0%进行计算。</w:t>
            </w:r>
          </w:p>
          <w:p w14:paraId="729A4AB0">
            <w:pPr>
              <w:spacing w:line="360" w:lineRule="auto"/>
              <w:rPr>
                <w:rFonts w:hint="eastAsia" w:ascii="宋体" w:hAnsi="宋体" w:cs="宋体"/>
                <w:szCs w:val="21"/>
              </w:rPr>
            </w:pPr>
            <w:r>
              <w:rPr>
                <w:rFonts w:hint="eastAsia" w:ascii="宋体" w:hAnsi="宋体" w:cs="宋体"/>
                <w:szCs w:val="21"/>
              </w:rPr>
              <w:t>5.中标人未按照采购人相关要求及时梳理更新资产信息，各类服务的IP、账号等资产信息欠缺、归属不清晰，每发生一次，扣1000元。</w:t>
            </w:r>
          </w:p>
          <w:p w14:paraId="2C04A756">
            <w:pPr>
              <w:spacing w:line="360" w:lineRule="auto"/>
              <w:rPr>
                <w:rFonts w:hint="eastAsia" w:ascii="宋体" w:hAnsi="宋体" w:cs="宋体"/>
                <w:szCs w:val="21"/>
              </w:rPr>
            </w:pPr>
            <w:r>
              <w:rPr>
                <w:rFonts w:hint="eastAsia" w:ascii="宋体" w:hAnsi="宋体" w:cs="宋体"/>
                <w:szCs w:val="21"/>
              </w:rPr>
              <w:t>6.在2024年12月31日前，中标人未通过云计算服务安全评估，或未向中央网信办认证审查中心提交申报材料并由中央网信办指定的云计算服务安全评估专业技术机构出具本云平台符合云计算安全评估要求的证明材料的，一个月扣除合同总价的0.1%（扣款金额每月不得低于50000元），延期不足一月的按实际天数折算。</w:t>
            </w:r>
          </w:p>
          <w:p w14:paraId="47FE4322">
            <w:pPr>
              <w:spacing w:line="360" w:lineRule="auto"/>
              <w:rPr>
                <w:rFonts w:hint="eastAsia" w:ascii="宋体" w:hAnsi="宋体" w:cs="宋体"/>
                <w:szCs w:val="21"/>
              </w:rPr>
            </w:pPr>
            <w:r>
              <w:rPr>
                <w:rFonts w:hint="eastAsia" w:ascii="宋体" w:hAnsi="宋体" w:cs="宋体"/>
                <w:szCs w:val="21"/>
              </w:rPr>
              <w:t>7.中标人需定期排查并汇报安全监控、使用率插件的使用情况，如未完成的，出现一次，每次扣除1000元。</w:t>
            </w:r>
          </w:p>
          <w:p w14:paraId="0085A4C8">
            <w:pPr>
              <w:spacing w:line="360" w:lineRule="auto"/>
              <w:rPr>
                <w:rFonts w:hint="eastAsia" w:ascii="宋体" w:hAnsi="宋体" w:cs="宋体"/>
                <w:szCs w:val="21"/>
              </w:rPr>
            </w:pPr>
            <w:r>
              <w:rPr>
                <w:rFonts w:hint="eastAsia" w:ascii="宋体" w:hAnsi="宋体" w:cs="宋体"/>
                <w:szCs w:val="21"/>
              </w:rPr>
              <w:t>8.由于中标人原因，造成云服务无法正常提供的，第一次发生，扣除合同总价的0.5%，云服务无法恢复超过1小时未解决的，每超过1小时扣除合同总价的0.5%，直至云服务正常恢复(不足一小时的按实际时间折算)。之后再发生，每次扣除比例为前一次扣除比例的2倍。</w:t>
            </w:r>
          </w:p>
          <w:p w14:paraId="296EFA81">
            <w:pPr>
              <w:spacing w:line="360" w:lineRule="auto"/>
              <w:rPr>
                <w:rFonts w:hint="eastAsia" w:ascii="宋体" w:hAnsi="宋体" w:cs="宋体"/>
                <w:szCs w:val="21"/>
              </w:rPr>
            </w:pPr>
            <w:r>
              <w:rPr>
                <w:rFonts w:hint="eastAsia" w:ascii="宋体" w:hAnsi="宋体" w:cs="宋体"/>
                <w:szCs w:val="21"/>
              </w:rPr>
              <w:t>9.中标人应根据招标文件或合同在规定时间内提交的文档资料、工作台账、领导交办的文档资料等，应按时完成。如未完成的，出现1次，每次扣除合同总价的0.125%。</w:t>
            </w:r>
          </w:p>
          <w:p w14:paraId="4E5F5338">
            <w:pPr>
              <w:spacing w:line="360" w:lineRule="auto"/>
              <w:rPr>
                <w:rFonts w:hint="eastAsia" w:ascii="宋体" w:hAnsi="宋体" w:cs="宋体"/>
                <w:szCs w:val="21"/>
              </w:rPr>
            </w:pPr>
            <w:r>
              <w:rPr>
                <w:rFonts w:hint="eastAsia" w:ascii="宋体" w:hAnsi="宋体" w:cs="宋体"/>
                <w:szCs w:val="21"/>
              </w:rPr>
              <w:t>10.中标人派驻的驻场人员未按照采购人工作要求进行出勤的，每出现1人次从合同金额扣除500元。中标人驻场人员服务响应未满足要求的，每发生1人次，扣款500元。</w:t>
            </w:r>
          </w:p>
          <w:p w14:paraId="51B0E172">
            <w:pPr>
              <w:spacing w:line="360" w:lineRule="auto"/>
              <w:rPr>
                <w:rFonts w:hint="eastAsia" w:ascii="宋体" w:hAnsi="宋体" w:cs="宋体"/>
                <w:szCs w:val="21"/>
              </w:rPr>
            </w:pPr>
            <w:r>
              <w:rPr>
                <w:rFonts w:hint="eastAsia" w:ascii="宋体" w:hAnsi="宋体" w:cs="宋体"/>
                <w:szCs w:val="21"/>
              </w:rPr>
              <w:t>11.中标人应根据采购人要求，在指定时限内，将云资源信息及对应计费信息同步至统一的云管平台，逾期未同步或同步信息错误的，采购人有权扣除该部分资源在信息未同步或同步信息错误期间产生的费用。</w:t>
            </w:r>
          </w:p>
          <w:p w14:paraId="081E74DF">
            <w:pPr>
              <w:spacing w:line="360" w:lineRule="auto"/>
              <w:rPr>
                <w:rFonts w:hint="eastAsia" w:ascii="宋体" w:hAnsi="宋体" w:cs="宋体"/>
                <w:szCs w:val="21"/>
              </w:rPr>
            </w:pPr>
            <w:r>
              <w:rPr>
                <w:rFonts w:hint="eastAsia" w:ascii="宋体" w:hAnsi="宋体" w:cs="宋体"/>
                <w:szCs w:val="21"/>
              </w:rPr>
              <w:t>12.中标人应该对所提供的云平台及时进行版本升级保障，在云平台原厂已发布新版本且浙江省内政务云平台中已有对应版本实装先例的条件下，若采购人提出要求后3个月内无法完成升级，采购人有权扣除该平台上所有云资源在采购人提出要求超过3个月之日起至平台最终完成升级期间所产生的费用。期间若由于版本未升级给采购人造成损失的，还须承担赔偿责任。</w:t>
            </w:r>
          </w:p>
          <w:p w14:paraId="39D52C81">
            <w:pPr>
              <w:spacing w:line="360" w:lineRule="auto"/>
              <w:rPr>
                <w:rFonts w:hint="eastAsia" w:ascii="宋体" w:hAnsi="宋体" w:cs="宋体"/>
                <w:szCs w:val="21"/>
              </w:rPr>
            </w:pPr>
            <w:r>
              <w:rPr>
                <w:rFonts w:hint="eastAsia" w:ascii="宋体" w:hAnsi="宋体" w:cs="宋体"/>
                <w:szCs w:val="21"/>
              </w:rPr>
              <w:t>13.若发生扣款事由，采购人在通知中标人后可直接进行扣款，最终解释权归采购人所有。除因第11、12条发生的扣款外，服务部分当年累计扣款不超过合同总价的20%。</w:t>
            </w:r>
          </w:p>
          <w:p w14:paraId="19ADE842">
            <w:pPr>
              <w:spacing w:line="360" w:lineRule="auto"/>
              <w:rPr>
                <w:rFonts w:hint="eastAsia" w:ascii="宋体" w:hAnsi="宋体" w:cs="宋体"/>
                <w:szCs w:val="21"/>
              </w:rPr>
            </w:pPr>
            <w:r>
              <w:rPr>
                <w:rFonts w:hint="eastAsia" w:ascii="宋体" w:hAnsi="宋体" w:cs="宋体"/>
                <w:szCs w:val="21"/>
              </w:rPr>
              <w:t>14.中标人驻场人员或专人专职人员未按照合同约定或未经采购人允许，同时参与其他项目工作或本项目中已单独支付服务费的相关工作，出现第一次，扣除10000元，并要求中标人恢复专人专职服务；之后再出现，每次扣除金额为上一次扣除金额的2倍，并要求中标人恢复专人专职服务。</w:t>
            </w:r>
          </w:p>
          <w:p w14:paraId="385B48C8">
            <w:pPr>
              <w:snapToGrid w:val="0"/>
              <w:spacing w:line="360" w:lineRule="auto"/>
              <w:rPr>
                <w:szCs w:val="21"/>
              </w:rPr>
            </w:pPr>
            <w:r>
              <w:rPr>
                <w:rFonts w:hint="eastAsia" w:ascii="宋体" w:hAnsi="宋体" w:cs="宋体"/>
                <w:szCs w:val="21"/>
              </w:rPr>
              <w:t>说明：若发生扣款事由，采购人在通知中标人后可直接在应付合同费用中进行扣款，最终解释权归采购人所有。当年累计扣款不超过预算金额的20%。</w:t>
            </w:r>
            <w:r>
              <w:rPr>
                <w:rFonts w:hint="eastAsia" w:ascii="宋体" w:hAnsi="宋体" w:cs="宋体"/>
                <w:kern w:val="0"/>
                <w:szCs w:val="21"/>
              </w:rPr>
              <w:t>因安全及服务原因进行扣款的，扣款金额在云资源实际发生费用（不超过项目合同金额）的基础上扣除。即：合同实际支付金额=云资源实际发生费用（不超过项目合同金额）-安全及服务扣款。</w:t>
            </w:r>
          </w:p>
        </w:tc>
      </w:tr>
      <w:tr w14:paraId="6EC86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88001D2">
            <w:pPr>
              <w:spacing w:line="360" w:lineRule="auto"/>
              <w:jc w:val="center"/>
              <w:rPr>
                <w:rFonts w:ascii="宋体" w:hAnsi="宋体" w:cs="宋体"/>
                <w:szCs w:val="21"/>
              </w:rPr>
            </w:pPr>
            <w:r>
              <w:rPr>
                <w:rFonts w:hint="eastAsia" w:ascii="宋体" w:hAnsi="宋体" w:cs="宋体"/>
                <w:szCs w:val="21"/>
              </w:rPr>
              <w:t>1.9.1</w:t>
            </w:r>
          </w:p>
        </w:tc>
        <w:tc>
          <w:tcPr>
            <w:tcW w:w="8137" w:type="dxa"/>
            <w:tcBorders>
              <w:tl2br w:val="nil"/>
              <w:tr2bl w:val="nil"/>
            </w:tcBorders>
            <w:vAlign w:val="center"/>
          </w:tcPr>
          <w:p w14:paraId="61D2CB26">
            <w:pPr>
              <w:spacing w:line="360" w:lineRule="auto"/>
              <w:rPr>
                <w:szCs w:val="21"/>
              </w:rPr>
            </w:pPr>
            <w:r>
              <w:rPr>
                <w:rFonts w:hint="eastAsia" w:ascii="宋体" w:hAnsi="宋体" w:cs="宋体"/>
                <w:b/>
                <w:szCs w:val="21"/>
              </w:rPr>
              <w:t>合同争议提交：</w:t>
            </w:r>
            <w:r>
              <w:rPr>
                <w:rFonts w:hint="eastAsia" w:ascii="宋体" w:hAnsi="宋体" w:cs="宋体"/>
                <w:bCs/>
                <w:szCs w:val="21"/>
              </w:rPr>
              <w:t>/</w:t>
            </w:r>
          </w:p>
        </w:tc>
      </w:tr>
      <w:tr w14:paraId="00B28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90BFDC4">
            <w:pPr>
              <w:spacing w:line="360" w:lineRule="auto"/>
              <w:jc w:val="center"/>
              <w:rPr>
                <w:rFonts w:ascii="宋体" w:hAnsi="宋体" w:cs="宋体"/>
                <w:szCs w:val="21"/>
              </w:rPr>
            </w:pPr>
            <w:r>
              <w:rPr>
                <w:rFonts w:hint="eastAsia" w:ascii="宋体" w:hAnsi="宋体" w:cs="宋体"/>
                <w:szCs w:val="21"/>
              </w:rPr>
              <w:t>1.9.2</w:t>
            </w:r>
          </w:p>
        </w:tc>
        <w:tc>
          <w:tcPr>
            <w:tcW w:w="8137" w:type="dxa"/>
            <w:tcBorders>
              <w:tl2br w:val="nil"/>
              <w:tr2bl w:val="nil"/>
            </w:tcBorders>
            <w:vAlign w:val="center"/>
          </w:tcPr>
          <w:p w14:paraId="7C1304F7">
            <w:pPr>
              <w:spacing w:line="360" w:lineRule="auto"/>
              <w:rPr>
                <w:szCs w:val="21"/>
              </w:rPr>
            </w:pPr>
            <w:r>
              <w:rPr>
                <w:rFonts w:hint="eastAsia" w:ascii="宋体" w:hAnsi="宋体" w:cs="宋体"/>
                <w:b/>
                <w:szCs w:val="21"/>
              </w:rPr>
              <w:t>合同争议:</w:t>
            </w:r>
            <w:r>
              <w:rPr>
                <w:rFonts w:hint="eastAsia" w:ascii="宋体" w:hAnsi="宋体" w:cs="宋体"/>
                <w:bCs/>
                <w:szCs w:val="21"/>
              </w:rPr>
              <w:t>向杭州市人民法院起诉。</w:t>
            </w:r>
          </w:p>
        </w:tc>
      </w:tr>
      <w:tr w14:paraId="3E4B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B78E915">
            <w:pPr>
              <w:spacing w:line="360" w:lineRule="auto"/>
              <w:jc w:val="center"/>
              <w:rPr>
                <w:rFonts w:ascii="宋体" w:hAnsi="宋体" w:cs="宋体"/>
                <w:szCs w:val="21"/>
              </w:rPr>
            </w:pPr>
            <w:r>
              <w:rPr>
                <w:rFonts w:hint="eastAsia" w:ascii="宋体" w:hAnsi="宋体" w:cs="宋体"/>
                <w:szCs w:val="21"/>
              </w:rPr>
              <w:t>2.3.2</w:t>
            </w:r>
          </w:p>
        </w:tc>
        <w:tc>
          <w:tcPr>
            <w:tcW w:w="8137" w:type="dxa"/>
            <w:tcBorders>
              <w:tl2br w:val="nil"/>
              <w:tr2bl w:val="nil"/>
            </w:tcBorders>
            <w:vAlign w:val="center"/>
          </w:tcPr>
          <w:p w14:paraId="4892AEE2">
            <w:pPr>
              <w:spacing w:line="360" w:lineRule="auto"/>
              <w:rPr>
                <w:szCs w:val="21"/>
              </w:rPr>
            </w:pPr>
            <w:r>
              <w:rPr>
                <w:rFonts w:hint="eastAsia"/>
                <w:b/>
                <w:bCs/>
                <w:szCs w:val="21"/>
              </w:rPr>
              <w:t>知识产权：</w:t>
            </w:r>
            <w:r>
              <w:rPr>
                <w:rFonts w:hint="eastAsia"/>
                <w:szCs w:val="21"/>
              </w:rPr>
              <w:t>乙方应保证提供的服务不侵犯第三方的专利权、商标权或者其他知识产权。如乙方行为侵犯第三方知识产权并造成第三方追究甲方责任的，甲方因此受到的损失由乙方承担。</w:t>
            </w:r>
          </w:p>
        </w:tc>
      </w:tr>
      <w:tr w14:paraId="06A6D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03DF921D">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5</w:t>
            </w:r>
          </w:p>
        </w:tc>
        <w:tc>
          <w:tcPr>
            <w:tcW w:w="8137" w:type="dxa"/>
            <w:tcBorders>
              <w:tl2br w:val="nil"/>
              <w:tr2bl w:val="nil"/>
            </w:tcBorders>
            <w:vAlign w:val="center"/>
          </w:tcPr>
          <w:p w14:paraId="32F50767">
            <w:pPr>
              <w:spacing w:line="360" w:lineRule="auto"/>
              <w:rPr>
                <w:b/>
                <w:bCs/>
                <w:szCs w:val="21"/>
              </w:rPr>
            </w:pPr>
            <w:r>
              <w:rPr>
                <w:rFonts w:hint="eastAsia"/>
                <w:b/>
                <w:bCs/>
                <w:szCs w:val="21"/>
              </w:rPr>
              <w:t>结算方式和付款条件：</w:t>
            </w:r>
          </w:p>
          <w:p w14:paraId="49A396FD">
            <w:pPr>
              <w:spacing w:line="360" w:lineRule="auto"/>
              <w:rPr>
                <w:rFonts w:hint="default" w:ascii="宋体" w:hAnsi="宋体" w:eastAsia="宋体" w:cs="宋体"/>
                <w:b/>
                <w:bCs/>
                <w:szCs w:val="21"/>
                <w:lang w:val="en-US" w:eastAsia="zh-CN"/>
              </w:rPr>
            </w:pPr>
            <w:r>
              <w:rPr>
                <w:rFonts w:hint="eastAsia" w:ascii="宋体" w:hAnsi="宋体" w:cs="宋体"/>
                <w:szCs w:val="21"/>
                <w:lang w:val="en-US" w:eastAsia="zh-CN"/>
              </w:rPr>
              <w:t>第一次：</w:t>
            </w:r>
            <w:r>
              <w:rPr>
                <w:rFonts w:hint="eastAsia" w:ascii="宋体" w:hAnsi="宋体" w:cs="宋体"/>
                <w:szCs w:val="21"/>
              </w:rPr>
              <w:t>合同生效并具备实施条件后5个工作日内，采购人向中标人支付合同金额（即项目预算）的40%作为预付款，在签订合同时，中标人明确表示无需预付款或者主动要求降低预付款比例的，采购人可不适用前述规定。</w:t>
            </w:r>
          </w:p>
          <w:p w14:paraId="2DAF57D2">
            <w:pPr>
              <w:spacing w:line="360" w:lineRule="auto"/>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二</w:t>
            </w:r>
            <w:r>
              <w:rPr>
                <w:rFonts w:hint="eastAsia" w:ascii="宋体" w:hAnsi="宋体" w:cs="宋体"/>
                <w:szCs w:val="21"/>
              </w:rPr>
              <w:t>次付款:在合同签订后稳定运行6个月后，</w:t>
            </w:r>
            <w:r>
              <w:rPr>
                <w:rFonts w:hint="eastAsia" w:ascii="宋体" w:hAnsi="宋体" w:cs="宋体"/>
                <w:szCs w:val="21"/>
                <w:lang w:eastAsia="zh-CN"/>
              </w:rPr>
              <w:t>乙方</w:t>
            </w:r>
            <w:r>
              <w:rPr>
                <w:rFonts w:hint="eastAsia" w:ascii="宋体" w:hAnsi="宋体" w:cs="宋体"/>
                <w:szCs w:val="21"/>
              </w:rPr>
              <w:t>向</w:t>
            </w:r>
            <w:r>
              <w:rPr>
                <w:rFonts w:hint="eastAsia" w:ascii="宋体" w:hAnsi="宋体" w:cs="宋体"/>
                <w:szCs w:val="21"/>
                <w:lang w:eastAsia="zh-CN"/>
              </w:rPr>
              <w:t>甲方</w:t>
            </w:r>
            <w:r>
              <w:rPr>
                <w:rFonts w:hint="eastAsia" w:ascii="宋体" w:hAnsi="宋体" w:cs="宋体"/>
                <w:szCs w:val="21"/>
              </w:rPr>
              <w:t>提出付款申请，</w:t>
            </w:r>
            <w:r>
              <w:rPr>
                <w:rFonts w:hint="eastAsia" w:ascii="宋体" w:hAnsi="宋体" w:cs="宋体"/>
                <w:szCs w:val="21"/>
                <w:lang w:eastAsia="zh-CN"/>
              </w:rPr>
              <w:t>甲方</w:t>
            </w:r>
            <w:r>
              <w:rPr>
                <w:rFonts w:hint="eastAsia" w:ascii="宋体" w:hAnsi="宋体" w:cs="宋体"/>
                <w:szCs w:val="21"/>
              </w:rPr>
              <w:t>在收到</w:t>
            </w:r>
            <w:r>
              <w:rPr>
                <w:rFonts w:hint="eastAsia" w:ascii="宋体" w:hAnsi="宋体" w:cs="宋体"/>
                <w:szCs w:val="21"/>
                <w:lang w:eastAsia="zh-CN"/>
              </w:rPr>
              <w:t>乙方</w:t>
            </w:r>
            <w:r>
              <w:rPr>
                <w:rFonts w:hint="eastAsia" w:ascii="宋体" w:hAnsi="宋体" w:cs="宋体"/>
                <w:szCs w:val="21"/>
              </w:rPr>
              <w:t>提供的付款申请材料后5个工作日内支付</w:t>
            </w:r>
            <w:r>
              <w:rPr>
                <w:rFonts w:hint="eastAsia" w:ascii="宋体" w:hAnsi="宋体" w:cs="宋体"/>
                <w:szCs w:val="21"/>
                <w:lang w:val="en-US" w:eastAsia="zh-CN"/>
              </w:rPr>
              <w:t>该笔</w:t>
            </w:r>
            <w:r>
              <w:rPr>
                <w:rFonts w:hint="eastAsia" w:ascii="宋体" w:hAnsi="宋体" w:cs="宋体"/>
                <w:szCs w:val="21"/>
              </w:rPr>
              <w:t>款项。</w:t>
            </w:r>
          </w:p>
          <w:p w14:paraId="756BBCC7">
            <w:pPr>
              <w:spacing w:line="360" w:lineRule="auto"/>
              <w:rPr>
                <w:rFonts w:hint="eastAsia" w:ascii="宋体" w:hAnsi="宋体" w:cs="宋体"/>
                <w:szCs w:val="21"/>
              </w:rPr>
            </w:pPr>
            <w:r>
              <w:rPr>
                <w:rFonts w:hint="eastAsia" w:ascii="宋体" w:hAnsi="宋体" w:cs="宋体"/>
                <w:szCs w:val="21"/>
              </w:rPr>
              <w:t>第</w:t>
            </w:r>
            <w:r>
              <w:rPr>
                <w:rFonts w:hint="eastAsia" w:ascii="宋体" w:hAnsi="宋体" w:cs="宋体"/>
                <w:szCs w:val="21"/>
                <w:lang w:val="en-US" w:eastAsia="zh-CN"/>
              </w:rPr>
              <w:t>三</w:t>
            </w:r>
            <w:r>
              <w:rPr>
                <w:rFonts w:hint="eastAsia" w:ascii="宋体" w:hAnsi="宋体" w:cs="宋体"/>
                <w:szCs w:val="21"/>
              </w:rPr>
              <w:t>次付款:项目期结束后一个月内，</w:t>
            </w:r>
            <w:r>
              <w:rPr>
                <w:rFonts w:hint="eastAsia" w:ascii="宋体" w:hAnsi="宋体" w:cs="宋体"/>
                <w:szCs w:val="21"/>
                <w:lang w:eastAsia="zh-CN"/>
              </w:rPr>
              <w:t>甲方</w:t>
            </w:r>
            <w:r>
              <w:rPr>
                <w:rFonts w:hint="eastAsia" w:ascii="宋体" w:hAnsi="宋体" w:cs="宋体"/>
                <w:szCs w:val="21"/>
              </w:rPr>
              <w:t>对本项目组织履约验收，验收通过后</w:t>
            </w:r>
            <w:r>
              <w:rPr>
                <w:rFonts w:hint="eastAsia" w:ascii="宋体" w:hAnsi="宋体" w:cs="宋体"/>
                <w:szCs w:val="21"/>
                <w:lang w:eastAsia="zh-CN"/>
              </w:rPr>
              <w:t>乙方</w:t>
            </w:r>
            <w:r>
              <w:rPr>
                <w:rFonts w:hint="eastAsia" w:ascii="宋体" w:hAnsi="宋体" w:cs="宋体"/>
                <w:szCs w:val="21"/>
              </w:rPr>
              <w:t>向</w:t>
            </w:r>
            <w:r>
              <w:rPr>
                <w:rFonts w:hint="eastAsia" w:ascii="宋体" w:hAnsi="宋体" w:cs="宋体"/>
                <w:szCs w:val="21"/>
                <w:lang w:eastAsia="zh-CN"/>
              </w:rPr>
              <w:t>甲方</w:t>
            </w:r>
            <w:r>
              <w:rPr>
                <w:rFonts w:hint="eastAsia" w:ascii="宋体" w:hAnsi="宋体" w:cs="宋体"/>
                <w:szCs w:val="21"/>
              </w:rPr>
              <w:t>提出付款申请，</w:t>
            </w:r>
            <w:r>
              <w:rPr>
                <w:rFonts w:hint="eastAsia" w:ascii="宋体" w:hAnsi="宋体" w:cs="宋体"/>
                <w:szCs w:val="21"/>
                <w:lang w:eastAsia="zh-CN"/>
              </w:rPr>
              <w:t>甲方</w:t>
            </w:r>
            <w:r>
              <w:rPr>
                <w:rFonts w:hint="eastAsia" w:ascii="宋体" w:hAnsi="宋体" w:cs="宋体"/>
                <w:szCs w:val="21"/>
              </w:rPr>
              <w:t>在收到</w:t>
            </w:r>
            <w:r>
              <w:rPr>
                <w:rFonts w:hint="eastAsia" w:ascii="宋体" w:hAnsi="宋体" w:cs="宋体"/>
                <w:szCs w:val="21"/>
                <w:lang w:eastAsia="zh-CN"/>
              </w:rPr>
              <w:t>乙方</w:t>
            </w:r>
            <w:r>
              <w:rPr>
                <w:rFonts w:hint="eastAsia" w:ascii="宋体" w:hAnsi="宋体" w:cs="宋体"/>
                <w:szCs w:val="21"/>
              </w:rPr>
              <w:t>提供的付款申请材料后5个工作日内支付</w:t>
            </w:r>
            <w:r>
              <w:rPr>
                <w:rFonts w:hint="eastAsia" w:ascii="宋体" w:hAnsi="宋体" w:cs="宋体"/>
                <w:szCs w:val="21"/>
                <w:lang w:val="en-US" w:eastAsia="zh-CN"/>
              </w:rPr>
              <w:t>该笔</w:t>
            </w:r>
            <w:r>
              <w:rPr>
                <w:rFonts w:hint="eastAsia" w:ascii="宋体" w:hAnsi="宋体" w:cs="宋体"/>
                <w:szCs w:val="21"/>
              </w:rPr>
              <w:t>款项。</w:t>
            </w:r>
          </w:p>
          <w:p w14:paraId="5CBD433B">
            <w:pPr>
              <w:spacing w:line="360" w:lineRule="auto"/>
              <w:rPr>
                <w:rFonts w:hint="eastAsia" w:ascii="宋体" w:hAnsi="宋体" w:cs="宋体"/>
                <w:szCs w:val="21"/>
              </w:rPr>
            </w:pPr>
            <w:r>
              <w:rPr>
                <w:rFonts w:hint="eastAsia" w:ascii="宋体" w:hAnsi="宋体" w:cs="宋体"/>
                <w:szCs w:val="21"/>
                <w:lang w:val="en-US" w:eastAsia="zh-CN"/>
              </w:rPr>
              <w:t>注：1.</w:t>
            </w:r>
            <w:r>
              <w:rPr>
                <w:rFonts w:hint="eastAsia" w:ascii="宋体" w:hAnsi="宋体" w:cs="宋体"/>
                <w:szCs w:val="21"/>
                <w:lang w:eastAsia="zh-CN"/>
              </w:rPr>
              <w:t>乙方</w:t>
            </w:r>
            <w:r>
              <w:rPr>
                <w:rFonts w:hint="eastAsia" w:ascii="宋体" w:hAnsi="宋体" w:cs="宋体"/>
                <w:szCs w:val="21"/>
              </w:rPr>
              <w:t>在每次申请付款时，需提供双方确认的每个付费周期工作量清单、结算费用以及等额合法正规发票。</w:t>
            </w:r>
            <w:r>
              <w:rPr>
                <w:rFonts w:hint="eastAsia" w:ascii="宋体" w:hAnsi="宋体" w:cs="宋体"/>
                <w:szCs w:val="21"/>
                <w:lang w:eastAsia="zh-CN"/>
              </w:rPr>
              <w:t>甲方</w:t>
            </w:r>
            <w:r>
              <w:rPr>
                <w:rFonts w:hint="eastAsia" w:ascii="宋体" w:hAnsi="宋体" w:cs="宋体"/>
                <w:szCs w:val="21"/>
              </w:rPr>
              <w:t>在收到前述材料并确认后才正式支付相应款项。</w:t>
            </w:r>
          </w:p>
          <w:p w14:paraId="381883E2">
            <w:pPr>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甲方</w:t>
            </w:r>
            <w:r>
              <w:rPr>
                <w:rFonts w:hint="eastAsia" w:ascii="宋体" w:hAnsi="宋体" w:cs="宋体"/>
                <w:szCs w:val="21"/>
              </w:rPr>
              <w:t>支付了预付款的，合同款项扣除相应预付款金额后支付。</w:t>
            </w:r>
          </w:p>
          <w:p w14:paraId="2B4D643A">
            <w:pPr>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甲方</w:t>
            </w:r>
            <w:r>
              <w:rPr>
                <w:rFonts w:hint="eastAsia" w:ascii="宋体" w:hAnsi="宋体" w:cs="宋体"/>
                <w:szCs w:val="21"/>
              </w:rPr>
              <w:t>支付的总服务费用不超过采购预算。</w:t>
            </w:r>
            <w:r>
              <w:rPr>
                <w:rFonts w:hint="eastAsia" w:ascii="宋体" w:hAnsi="宋体" w:cs="宋体"/>
                <w:szCs w:val="21"/>
                <w:lang w:eastAsia="zh-CN"/>
              </w:rPr>
              <w:t>乙方</w:t>
            </w:r>
            <w:r>
              <w:rPr>
                <w:rFonts w:hint="eastAsia" w:ascii="宋体" w:hAnsi="宋体" w:cs="宋体"/>
                <w:szCs w:val="21"/>
              </w:rPr>
              <w:t>应及时统计费用，如费用超出预算的，</w:t>
            </w:r>
            <w:r>
              <w:rPr>
                <w:rFonts w:hint="eastAsia" w:ascii="宋体" w:hAnsi="宋体" w:cs="宋体"/>
                <w:szCs w:val="21"/>
                <w:lang w:eastAsia="zh-CN"/>
              </w:rPr>
              <w:t>甲方</w:t>
            </w:r>
            <w:r>
              <w:rPr>
                <w:rFonts w:hint="eastAsia" w:ascii="宋体" w:hAnsi="宋体" w:cs="宋体"/>
                <w:szCs w:val="21"/>
              </w:rPr>
              <w:t>实际最多支付至预算金额。如未超过预算金额的，按实际进行结算后支付。</w:t>
            </w:r>
          </w:p>
          <w:p w14:paraId="42410A3A">
            <w:pPr>
              <w:spacing w:line="360" w:lineRule="auto"/>
              <w:rPr>
                <w:szCs w:val="21"/>
              </w:rPr>
            </w:pPr>
            <w:r>
              <w:rPr>
                <w:rFonts w:hint="eastAsia" w:ascii="宋体" w:hAnsi="宋体" w:cs="宋体"/>
                <w:szCs w:val="21"/>
                <w:lang w:val="en-US" w:eastAsia="zh-CN"/>
              </w:rPr>
              <w:t>4.</w:t>
            </w:r>
            <w:r>
              <w:rPr>
                <w:rFonts w:hint="eastAsia" w:ascii="宋体" w:hAnsi="宋体" w:cs="宋体"/>
                <w:szCs w:val="21"/>
              </w:rPr>
              <w:t>付款前，</w:t>
            </w:r>
            <w:r>
              <w:rPr>
                <w:rFonts w:hint="eastAsia" w:ascii="宋体" w:hAnsi="宋体" w:cs="宋体"/>
                <w:szCs w:val="21"/>
                <w:lang w:eastAsia="zh-CN"/>
              </w:rPr>
              <w:t>乙方</w:t>
            </w:r>
            <w:r>
              <w:rPr>
                <w:rFonts w:hint="eastAsia" w:ascii="宋体" w:hAnsi="宋体" w:cs="宋体"/>
                <w:szCs w:val="21"/>
              </w:rPr>
              <w:t>须向</w:t>
            </w:r>
            <w:r>
              <w:rPr>
                <w:rFonts w:hint="eastAsia" w:ascii="宋体" w:hAnsi="宋体" w:cs="宋体"/>
                <w:szCs w:val="21"/>
                <w:lang w:eastAsia="zh-CN"/>
              </w:rPr>
              <w:t>甲方</w:t>
            </w:r>
            <w:r>
              <w:rPr>
                <w:rFonts w:hint="eastAsia" w:ascii="宋体" w:hAnsi="宋体" w:cs="宋体"/>
                <w:szCs w:val="21"/>
              </w:rPr>
              <w:t>提供正规、等额、合法、有效的发票，以及服务台账清单。实际结算金额=应付金额-罚款金额。根据资金支付情况及财政支付制度，最终付款方式以双方确认，合同明确为准。</w:t>
            </w:r>
          </w:p>
        </w:tc>
      </w:tr>
      <w:tr w14:paraId="57D8B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AD49F8C">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w:t>
            </w:r>
            <w:r>
              <w:rPr>
                <w:rFonts w:ascii="宋体" w:hAnsi="宋体" w:cs="宋体"/>
                <w:szCs w:val="21"/>
              </w:rPr>
              <w:t>3</w:t>
            </w:r>
          </w:p>
        </w:tc>
        <w:tc>
          <w:tcPr>
            <w:tcW w:w="8137" w:type="dxa"/>
            <w:tcBorders>
              <w:tl2br w:val="nil"/>
              <w:tr2bl w:val="nil"/>
            </w:tcBorders>
            <w:vAlign w:val="center"/>
          </w:tcPr>
          <w:p w14:paraId="59F99BBE">
            <w:pPr>
              <w:spacing w:line="360" w:lineRule="auto"/>
              <w:rPr>
                <w:szCs w:val="21"/>
              </w:rPr>
            </w:pPr>
            <w:r>
              <w:rPr>
                <w:rFonts w:hint="eastAsia"/>
                <w:szCs w:val="21"/>
              </w:rPr>
              <w:t>因不可抗力致使合同有变更必要的，双方当事人应在7个工作日内以书面形式变更合同；</w:t>
            </w:r>
          </w:p>
        </w:tc>
      </w:tr>
      <w:tr w14:paraId="7EEF9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tcPr>
          <w:p w14:paraId="30332584">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11.4</w:t>
            </w:r>
          </w:p>
        </w:tc>
        <w:tc>
          <w:tcPr>
            <w:tcW w:w="8137" w:type="dxa"/>
            <w:tcBorders>
              <w:tl2br w:val="nil"/>
              <w:tr2bl w:val="nil"/>
            </w:tcBorders>
          </w:tcPr>
          <w:p w14:paraId="3532F50C">
            <w:pPr>
              <w:spacing w:line="360" w:lineRule="auto"/>
              <w:rPr>
                <w:szCs w:val="21"/>
              </w:rPr>
            </w:pPr>
            <w:r>
              <w:rPr>
                <w:rFonts w:hint="eastAsia"/>
                <w:szCs w:val="21"/>
              </w:rPr>
              <w:t>受不可抗力影响的一方在不可抗力发生后，应在3个工作日内以书面形式通知对方当事人，并在3个工作日内将有关部门出具的证明文件送达对方当事人。</w:t>
            </w:r>
          </w:p>
        </w:tc>
      </w:tr>
      <w:tr w14:paraId="1B085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4910F6AB">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15</w:t>
            </w:r>
            <w:r>
              <w:rPr>
                <w:rFonts w:hint="eastAsia" w:ascii="宋体" w:hAnsi="宋体" w:cs="宋体"/>
                <w:szCs w:val="21"/>
              </w:rPr>
              <w:t>.</w:t>
            </w:r>
            <w:r>
              <w:rPr>
                <w:rFonts w:ascii="宋体" w:hAnsi="宋体" w:cs="宋体"/>
                <w:szCs w:val="21"/>
              </w:rPr>
              <w:t>1</w:t>
            </w:r>
          </w:p>
        </w:tc>
        <w:tc>
          <w:tcPr>
            <w:tcW w:w="8137" w:type="dxa"/>
            <w:tcBorders>
              <w:tl2br w:val="nil"/>
              <w:tr2bl w:val="nil"/>
            </w:tcBorders>
            <w:vAlign w:val="center"/>
          </w:tcPr>
          <w:p w14:paraId="2AD3D111">
            <w:pPr>
              <w:spacing w:line="360" w:lineRule="auto"/>
              <w:rPr>
                <w:szCs w:val="21"/>
              </w:rPr>
            </w:pPr>
            <w:r>
              <w:rPr>
                <w:rFonts w:hint="eastAsia"/>
                <w:b/>
                <w:bCs/>
                <w:szCs w:val="21"/>
              </w:rPr>
              <w:t>检验和验收：</w:t>
            </w:r>
            <w:r>
              <w:rPr>
                <w:rFonts w:hint="eastAsia"/>
                <w:szCs w:val="21"/>
              </w:rPr>
              <w:t>按照招标文件和合同进行验收。</w:t>
            </w:r>
          </w:p>
        </w:tc>
      </w:tr>
      <w:tr w14:paraId="7B1E3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9D5AD15">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15</w:t>
            </w:r>
            <w:r>
              <w:rPr>
                <w:rFonts w:hint="eastAsia" w:ascii="宋体" w:hAnsi="宋体" w:cs="宋体"/>
                <w:szCs w:val="21"/>
              </w:rPr>
              <w:t>.</w:t>
            </w:r>
            <w:r>
              <w:rPr>
                <w:rFonts w:ascii="宋体" w:hAnsi="宋体" w:cs="宋体"/>
                <w:szCs w:val="21"/>
              </w:rPr>
              <w:t>3</w:t>
            </w:r>
          </w:p>
        </w:tc>
        <w:tc>
          <w:tcPr>
            <w:tcW w:w="8137" w:type="dxa"/>
            <w:tcBorders>
              <w:tl2br w:val="nil"/>
              <w:tr2bl w:val="nil"/>
            </w:tcBorders>
            <w:vAlign w:val="center"/>
          </w:tcPr>
          <w:p w14:paraId="055DD0C1">
            <w:pPr>
              <w:spacing w:line="360" w:lineRule="auto"/>
              <w:rPr>
                <w:szCs w:val="21"/>
              </w:rPr>
            </w:pPr>
            <w:r>
              <w:rPr>
                <w:rFonts w:hint="eastAsia"/>
                <w:b/>
                <w:bCs/>
                <w:szCs w:val="21"/>
              </w:rPr>
              <w:t>检验和验收：</w:t>
            </w:r>
            <w:r>
              <w:rPr>
                <w:rFonts w:hint="eastAsia"/>
                <w:szCs w:val="21"/>
              </w:rPr>
              <w:t>根据合同规定范围提供服务并通过甲方验收后，甲方凭乙方开具的正规发票和甲方认可的各项记录复印件，办理服务费用的支付手续。</w:t>
            </w:r>
          </w:p>
        </w:tc>
      </w:tr>
      <w:tr w14:paraId="24596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989" w:type="dxa"/>
            <w:tcBorders>
              <w:tl2br w:val="nil"/>
              <w:tr2bl w:val="nil"/>
            </w:tcBorders>
          </w:tcPr>
          <w:p w14:paraId="5087805B">
            <w:pPr>
              <w:spacing w:line="360" w:lineRule="auto"/>
              <w:jc w:val="center"/>
              <w:rPr>
                <w:rFonts w:ascii="宋体" w:hAnsi="宋体" w:cs="宋体"/>
                <w:szCs w:val="21"/>
              </w:rPr>
            </w:pPr>
            <w:r>
              <w:rPr>
                <w:rFonts w:hint="eastAsia" w:ascii="宋体" w:hAnsi="宋体" w:cs="宋体"/>
                <w:szCs w:val="21"/>
              </w:rPr>
              <w:t>2.19</w:t>
            </w:r>
          </w:p>
        </w:tc>
        <w:tc>
          <w:tcPr>
            <w:tcW w:w="8137" w:type="dxa"/>
            <w:tcBorders>
              <w:tl2br w:val="nil"/>
              <w:tr2bl w:val="nil"/>
            </w:tcBorders>
          </w:tcPr>
          <w:p w14:paraId="7953F135">
            <w:pPr>
              <w:spacing w:line="360" w:lineRule="auto"/>
              <w:rPr>
                <w:szCs w:val="21"/>
              </w:rPr>
            </w:pPr>
            <w:r>
              <w:rPr>
                <w:rFonts w:hint="eastAsia" w:ascii="宋体" w:hAnsi="宋体" w:cs="宋体"/>
                <w:b/>
                <w:szCs w:val="21"/>
              </w:rPr>
              <w:t>合同份数：</w:t>
            </w:r>
            <w:r>
              <w:rPr>
                <w:rFonts w:hint="eastAsia"/>
                <w:szCs w:val="21"/>
              </w:rPr>
              <w:t>本合同一式陆份，甲方执叁份、乙方执叁份，每份均具有同等法律效力。</w:t>
            </w:r>
          </w:p>
        </w:tc>
      </w:tr>
    </w:tbl>
    <w:p w14:paraId="152D64AB"/>
    <w:p w14:paraId="097BBC35">
      <w:r>
        <w:rPr>
          <w:rFonts w:hint="eastAsia"/>
        </w:rPr>
        <w:br w:type="page"/>
      </w:r>
    </w:p>
    <w:p w14:paraId="6AEFE6B0">
      <w:pPr>
        <w:pStyle w:val="2"/>
      </w:pPr>
      <w:bookmarkStart w:id="587" w:name="_Toc31714"/>
      <w:r>
        <w:rPr>
          <w:rFonts w:hint="eastAsia"/>
        </w:rPr>
        <w:t>第六部分</w:t>
      </w:r>
      <w:bookmarkEnd w:id="441"/>
      <w:r>
        <w:rPr>
          <w:rFonts w:hint="eastAsia"/>
        </w:rPr>
        <w:t xml:space="preserve"> </w:t>
      </w:r>
      <w:bookmarkEnd w:id="442"/>
      <w:r>
        <w:rPr>
          <w:rFonts w:hint="eastAsia"/>
        </w:rPr>
        <w:t>应提交的有关格式范例</w:t>
      </w:r>
      <w:bookmarkEnd w:id="587"/>
    </w:p>
    <w:p w14:paraId="1071D8F0">
      <w:pPr>
        <w:spacing w:line="360" w:lineRule="auto"/>
        <w:jc w:val="center"/>
        <w:rPr>
          <w:rFonts w:ascii="宋体" w:hAnsi="宋体" w:cs="宋体"/>
          <w:b/>
          <w:kern w:val="0"/>
          <w:szCs w:val="21"/>
        </w:rPr>
      </w:pPr>
    </w:p>
    <w:p w14:paraId="7A9C3159">
      <w:pPr>
        <w:pStyle w:val="3"/>
        <w:ind w:firstLine="0" w:firstLineChars="0"/>
        <w:jc w:val="center"/>
        <w:rPr>
          <w:szCs w:val="21"/>
        </w:rPr>
      </w:pPr>
      <w:r>
        <w:rPr>
          <w:rFonts w:hint="eastAsia"/>
          <w:szCs w:val="21"/>
        </w:rPr>
        <w:t>资格文件部分</w:t>
      </w:r>
    </w:p>
    <w:p w14:paraId="551E0C15">
      <w:pPr>
        <w:spacing w:line="360" w:lineRule="auto"/>
        <w:jc w:val="center"/>
        <w:outlineLvl w:val="2"/>
        <w:rPr>
          <w:rFonts w:ascii="宋体" w:hAnsi="宋体" w:cs="宋体"/>
          <w:b/>
          <w:kern w:val="0"/>
          <w:szCs w:val="21"/>
        </w:rPr>
      </w:pPr>
      <w:r>
        <w:rPr>
          <w:rFonts w:hint="eastAsia" w:ascii="宋体" w:hAnsi="宋体" w:cs="宋体"/>
          <w:b/>
          <w:kern w:val="0"/>
          <w:szCs w:val="21"/>
        </w:rPr>
        <w:t>目录</w:t>
      </w:r>
    </w:p>
    <w:p w14:paraId="7CC25911">
      <w:pPr>
        <w:spacing w:line="360" w:lineRule="auto"/>
        <w:jc w:val="center"/>
        <w:rPr>
          <w:rFonts w:ascii="宋体" w:hAnsi="宋体" w:cs="宋体"/>
          <w:b/>
          <w:kern w:val="0"/>
          <w:szCs w:val="21"/>
        </w:rPr>
      </w:pPr>
    </w:p>
    <w:p w14:paraId="46DFE067">
      <w:pPr>
        <w:numPr>
          <w:ilvl w:val="0"/>
          <w:numId w:val="5"/>
        </w:numPr>
        <w:snapToGrid w:val="0"/>
        <w:spacing w:line="360" w:lineRule="auto"/>
        <w:jc w:val="center"/>
        <w:rPr>
          <w:rFonts w:ascii="宋体" w:hAnsi="宋体" w:cs="宋体"/>
          <w:szCs w:val="21"/>
        </w:rPr>
      </w:pPr>
      <w:r>
        <w:rPr>
          <w:rFonts w:hint="eastAsia" w:ascii="宋体" w:hAnsi="宋体" w:cs="宋体"/>
          <w:szCs w:val="21"/>
        </w:rPr>
        <w:t>符合参加政府采购活动应当具备的一般条件的承诺函……………（页码）</w:t>
      </w:r>
    </w:p>
    <w:p w14:paraId="15B0B9BE">
      <w:pPr>
        <w:numPr>
          <w:ilvl w:val="0"/>
          <w:numId w:val="5"/>
        </w:numPr>
        <w:snapToGrid w:val="0"/>
        <w:spacing w:line="360" w:lineRule="auto"/>
        <w:jc w:val="center"/>
        <w:rPr>
          <w:rFonts w:ascii="宋体" w:hAnsi="宋体" w:cs="宋体"/>
          <w:szCs w:val="21"/>
        </w:rPr>
      </w:pPr>
      <w:r>
        <w:rPr>
          <w:rFonts w:hint="eastAsia" w:ascii="宋体" w:hAnsi="宋体" w:cs="宋体"/>
          <w:szCs w:val="21"/>
        </w:rPr>
        <w:t>联合体协议……………………………………………………………（页码）</w:t>
      </w:r>
    </w:p>
    <w:p w14:paraId="37D27E33">
      <w:pPr>
        <w:numPr>
          <w:ilvl w:val="0"/>
          <w:numId w:val="5"/>
        </w:numPr>
        <w:snapToGrid w:val="0"/>
        <w:spacing w:line="360" w:lineRule="auto"/>
        <w:jc w:val="center"/>
        <w:rPr>
          <w:rFonts w:ascii="宋体" w:hAnsi="宋体" w:cs="宋体"/>
          <w:szCs w:val="21"/>
        </w:rPr>
      </w:pPr>
      <w:r>
        <w:rPr>
          <w:rFonts w:hint="eastAsia" w:ascii="宋体" w:hAnsi="宋体" w:cs="宋体"/>
          <w:szCs w:val="21"/>
        </w:rPr>
        <w:t>落实政府采购政策需满足的资格要求………………………………（页码）</w:t>
      </w:r>
    </w:p>
    <w:p w14:paraId="21402BA4">
      <w:pPr>
        <w:numPr>
          <w:ilvl w:val="0"/>
          <w:numId w:val="5"/>
        </w:numPr>
        <w:snapToGrid w:val="0"/>
        <w:spacing w:line="360" w:lineRule="auto"/>
        <w:jc w:val="center"/>
        <w:rPr>
          <w:rFonts w:ascii="宋体" w:hAnsi="宋体" w:cs="宋体"/>
          <w:szCs w:val="21"/>
        </w:rPr>
      </w:pPr>
      <w:r>
        <w:rPr>
          <w:rFonts w:hint="eastAsia" w:ascii="宋体" w:hAnsi="宋体" w:cs="宋体"/>
          <w:szCs w:val="21"/>
        </w:rPr>
        <w:t>本项目的特定资格要求………………………………………………（页码）</w:t>
      </w:r>
    </w:p>
    <w:p w14:paraId="35D70680">
      <w:pPr>
        <w:snapToGrid w:val="0"/>
        <w:spacing w:line="360" w:lineRule="auto"/>
        <w:ind w:firstLine="420" w:firstLineChars="200"/>
        <w:rPr>
          <w:rFonts w:ascii="宋体" w:hAnsi="宋体" w:cs="宋体"/>
          <w:szCs w:val="21"/>
        </w:rPr>
      </w:pPr>
    </w:p>
    <w:p w14:paraId="152120C3">
      <w:pPr>
        <w:spacing w:line="360" w:lineRule="auto"/>
        <w:ind w:firstLine="420" w:firstLineChars="200"/>
        <w:rPr>
          <w:rFonts w:ascii="宋体" w:hAnsi="宋体" w:cs="宋体"/>
          <w:szCs w:val="21"/>
        </w:rPr>
      </w:pPr>
    </w:p>
    <w:p w14:paraId="32F29E86">
      <w:pPr>
        <w:pStyle w:val="4"/>
        <w:numPr>
          <w:ilvl w:val="0"/>
          <w:numId w:val="6"/>
        </w:numPr>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符合参加政府采购活动应当具备的一般条件的承诺函</w:t>
      </w:r>
    </w:p>
    <w:p w14:paraId="20B851AC">
      <w:pPr>
        <w:pStyle w:val="15"/>
        <w:spacing w:line="360" w:lineRule="auto"/>
        <w:rPr>
          <w:color w:val="auto"/>
          <w:sz w:val="21"/>
          <w:szCs w:val="21"/>
        </w:rPr>
      </w:pPr>
    </w:p>
    <w:p w14:paraId="5A2208E7">
      <w:pPr>
        <w:spacing w:line="360" w:lineRule="auto"/>
        <w:jc w:val="center"/>
        <w:rPr>
          <w:rFonts w:ascii="宋体" w:hAnsi="宋体" w:cs="宋体"/>
          <w:b/>
          <w:kern w:val="0"/>
          <w:szCs w:val="21"/>
        </w:rPr>
      </w:pPr>
      <w:r>
        <w:rPr>
          <w:rFonts w:hint="eastAsia" w:ascii="宋体" w:hAnsi="宋体" w:cs="宋体"/>
          <w:b/>
          <w:kern w:val="0"/>
          <w:szCs w:val="21"/>
        </w:rPr>
        <w:t>符合参加政府采购活动应当具备的一般条件的承诺函</w:t>
      </w:r>
    </w:p>
    <w:p w14:paraId="66BC6274">
      <w:pPr>
        <w:spacing w:line="360" w:lineRule="auto"/>
        <w:rPr>
          <w:szCs w:val="21"/>
        </w:rPr>
      </w:pPr>
    </w:p>
    <w:p w14:paraId="6419E27E">
      <w:pPr>
        <w:snapToGrid w:val="0"/>
        <w:spacing w:line="360" w:lineRule="auto"/>
        <w:rPr>
          <w:rFonts w:ascii="宋体" w:hAnsi="宋体" w:cs="宋体"/>
          <w:szCs w:val="21"/>
        </w:rPr>
      </w:pPr>
      <w:r>
        <w:rPr>
          <w:rFonts w:hint="eastAsia" w:ascii="宋体" w:hAnsi="宋体" w:cs="宋体"/>
          <w:szCs w:val="21"/>
        </w:rPr>
        <w:t>杭州市钱塘区人民政府办公室、浙江省成套招标代理有限公司：</w:t>
      </w:r>
    </w:p>
    <w:p w14:paraId="5012DA42">
      <w:pPr>
        <w:snapToGrid w:val="0"/>
        <w:spacing w:line="360" w:lineRule="auto"/>
        <w:ind w:firstLine="420" w:firstLineChars="200"/>
        <w:rPr>
          <w:rFonts w:ascii="宋体" w:hAnsi="宋体" w:cs="宋体"/>
          <w:szCs w:val="21"/>
        </w:rPr>
      </w:pPr>
      <w:r>
        <w:rPr>
          <w:rFonts w:hint="eastAsia" w:ascii="宋体" w:hAnsi="宋体" w:cs="宋体"/>
          <w:szCs w:val="21"/>
        </w:rPr>
        <w:t>我方参与</w:t>
      </w:r>
      <w:r>
        <w:rPr>
          <w:rFonts w:hint="eastAsia" w:ascii="宋体" w:hAnsi="宋体" w:cs="宋体"/>
          <w:szCs w:val="21"/>
          <w:lang w:eastAsia="zh-CN"/>
        </w:rPr>
        <w:t>钱塘区政务云资源及云安全租赁服务项目（2024）</w:t>
      </w:r>
      <w:r>
        <w:rPr>
          <w:rFonts w:hint="eastAsia" w:ascii="宋体" w:hAnsi="宋体" w:cs="宋体"/>
          <w:szCs w:val="21"/>
        </w:rPr>
        <w:t>【招标编号：</w:t>
      </w:r>
      <w:r>
        <w:rPr>
          <w:rFonts w:hint="eastAsia" w:ascii="宋体" w:hAnsi="宋体" w:cs="宋体"/>
          <w:szCs w:val="21"/>
          <w:lang w:eastAsia="zh-CN"/>
        </w:rPr>
        <w:t>QTCG-GK-2024-220</w:t>
      </w:r>
      <w:r>
        <w:rPr>
          <w:rFonts w:hint="eastAsia" w:ascii="宋体" w:hAnsi="宋体" w:cs="宋体"/>
          <w:szCs w:val="21"/>
        </w:rPr>
        <w:t>】政府采购活动，郑重承诺：</w:t>
      </w:r>
    </w:p>
    <w:p w14:paraId="7E4BF1AF">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4283D35D">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56507C50">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68BDE79F">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586BA171">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341D4E5C">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6353DEE2">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239A7E89">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8F51FF6">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6ED82A88">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75E4A182">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5F14ED0A">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14:paraId="40D6795E">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7EFAD1BA">
      <w:pPr>
        <w:snapToGrid w:val="0"/>
        <w:spacing w:line="360" w:lineRule="auto"/>
        <w:ind w:firstLine="420" w:firstLineChars="200"/>
        <w:rPr>
          <w:rFonts w:ascii="宋体" w:hAnsi="宋体" w:cs="宋体"/>
          <w:szCs w:val="21"/>
        </w:rPr>
      </w:pPr>
    </w:p>
    <w:p w14:paraId="774CD0D1">
      <w:pPr>
        <w:snapToGrid w:val="0"/>
        <w:spacing w:line="360" w:lineRule="auto"/>
        <w:ind w:firstLine="420" w:firstLineChars="200"/>
        <w:rPr>
          <w:rFonts w:ascii="宋体" w:hAnsi="宋体" w:cs="宋体"/>
          <w:b/>
          <w:bCs/>
          <w:szCs w:val="21"/>
        </w:rPr>
      </w:pPr>
      <w:r>
        <w:rPr>
          <w:rFonts w:hint="eastAsia" w:ascii="宋体" w:hAnsi="宋体" w:cs="宋体"/>
          <w:szCs w:val="21"/>
        </w:rPr>
        <w:t>注：金融、保险、通讯等特定行业的全国性企业所设立的区域性分支机构，以及个体工商户、个人独资企业、合伙企业，如果已经依法办理了工商、税务和社保登记手续，须提供总机构授权书或房产权证或其他有效财产证明材料，证明其具备实际承担责任的能力和法定的缔结合同能力，可以允许其独立参加政府采购活动。</w:t>
      </w:r>
      <w:r>
        <w:rPr>
          <w:rFonts w:hint="eastAsia" w:ascii="宋体" w:hAnsi="宋体" w:cs="宋体"/>
          <w:b/>
          <w:bCs/>
          <w:szCs w:val="21"/>
        </w:rPr>
        <w:t>相关证明材料附后。</w:t>
      </w:r>
    </w:p>
    <w:p w14:paraId="58F3D2B1">
      <w:pPr>
        <w:snapToGrid w:val="0"/>
        <w:spacing w:line="360" w:lineRule="auto"/>
        <w:ind w:firstLine="420" w:firstLineChars="200"/>
        <w:rPr>
          <w:rFonts w:ascii="宋体" w:hAnsi="宋体" w:cs="宋体"/>
          <w:szCs w:val="21"/>
        </w:rPr>
      </w:pPr>
    </w:p>
    <w:p w14:paraId="1CE6B861">
      <w:pPr>
        <w:snapToGrid w:val="0"/>
        <w:spacing w:line="360" w:lineRule="auto"/>
        <w:ind w:firstLine="420" w:firstLineChars="200"/>
        <w:rPr>
          <w:rFonts w:ascii="宋体" w:hAnsi="宋体" w:cs="宋体"/>
          <w:szCs w:val="21"/>
        </w:rPr>
      </w:pPr>
    </w:p>
    <w:p w14:paraId="5A3C202D">
      <w:pPr>
        <w:pStyle w:val="4"/>
        <w:rPr>
          <w:szCs w:val="21"/>
        </w:rPr>
      </w:pPr>
      <w:r>
        <w:rPr>
          <w:rFonts w:hint="eastAsia"/>
          <w:szCs w:val="21"/>
        </w:rPr>
        <w:t>二、联合协议（如果有）</w:t>
      </w:r>
    </w:p>
    <w:p w14:paraId="4FAB4E5D">
      <w:pPr>
        <w:snapToGrid w:val="0"/>
        <w:spacing w:line="360" w:lineRule="auto"/>
        <w:ind w:firstLine="420" w:firstLineChars="200"/>
        <w:rPr>
          <w:rFonts w:ascii="宋体" w:hAnsi="宋体" w:cs="宋体"/>
          <w:szCs w:val="21"/>
        </w:rPr>
      </w:pPr>
      <w:r>
        <w:rPr>
          <w:rFonts w:hint="eastAsia" w:ascii="宋体" w:hAnsi="宋体" w:cs="宋体"/>
          <w:szCs w:val="21"/>
        </w:rPr>
        <w:t>[以联合体形式投标的，提供联合协议（附件5）；本项目不接受联合体投标或者投标人不以联合体形式投标的，则不需要提供）]</w:t>
      </w:r>
    </w:p>
    <w:p w14:paraId="79EA34D3">
      <w:pPr>
        <w:snapToGrid w:val="0"/>
        <w:spacing w:line="360" w:lineRule="auto"/>
        <w:ind w:firstLine="420" w:firstLineChars="200"/>
        <w:rPr>
          <w:rFonts w:ascii="宋体" w:hAnsi="宋体" w:cs="宋体"/>
          <w:szCs w:val="21"/>
        </w:rPr>
      </w:pPr>
    </w:p>
    <w:p w14:paraId="28F98A33">
      <w:pPr>
        <w:snapToGrid w:val="0"/>
        <w:spacing w:line="360" w:lineRule="auto"/>
        <w:ind w:firstLine="420" w:firstLineChars="200"/>
        <w:rPr>
          <w:rFonts w:ascii="宋体" w:hAnsi="宋体" w:cs="宋体"/>
          <w:szCs w:val="21"/>
        </w:rPr>
      </w:pPr>
    </w:p>
    <w:p w14:paraId="083790A3">
      <w:pPr>
        <w:pStyle w:val="4"/>
        <w:rPr>
          <w:szCs w:val="21"/>
        </w:rPr>
      </w:pPr>
      <w:r>
        <w:rPr>
          <w:rFonts w:hint="eastAsia"/>
          <w:szCs w:val="21"/>
        </w:rPr>
        <w:t>三、落实政府采购政策需满足的资格要求</w:t>
      </w:r>
    </w:p>
    <w:p w14:paraId="56B462FA">
      <w:pPr>
        <w:snapToGrid w:val="0"/>
        <w:spacing w:line="360" w:lineRule="auto"/>
        <w:ind w:firstLine="420" w:firstLineChars="200"/>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6145FFA3">
      <w:pPr>
        <w:snapToGrid w:val="0"/>
        <w:spacing w:line="360" w:lineRule="auto"/>
        <w:ind w:firstLine="420" w:firstLineChars="200"/>
        <w:rPr>
          <w:rFonts w:ascii="宋体" w:hAnsi="宋体" w:cs="宋体"/>
          <w:szCs w:val="21"/>
        </w:rPr>
      </w:pPr>
      <w:r>
        <w:rPr>
          <w:rFonts w:hint="eastAsia" w:ascii="宋体" w:hAnsi="宋体" w:cs="宋体"/>
          <w:szCs w:val="21"/>
        </w:rPr>
        <w:t xml:space="preserve">A.专门面向中小企业，服务全部由符合政策要求的中小企业（或小微企业）承接的，提供相应的中小企业声明函（附件7）。 </w:t>
      </w:r>
    </w:p>
    <w:p w14:paraId="556D02DB">
      <w:pPr>
        <w:snapToGrid w:val="0"/>
        <w:spacing w:line="360" w:lineRule="auto"/>
        <w:ind w:firstLine="420" w:firstLineChars="200"/>
        <w:rPr>
          <w:rFonts w:ascii="宋体" w:hAnsi="宋体" w:cs="宋体"/>
          <w:szCs w:val="21"/>
        </w:rPr>
      </w:pPr>
      <w:r>
        <w:rPr>
          <w:rFonts w:hint="eastAsia" w:ascii="宋体" w:hAnsi="宋体" w:cs="宋体"/>
          <w:szCs w:val="21"/>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521361F3">
      <w:pPr>
        <w:snapToGrid w:val="0"/>
        <w:spacing w:line="360" w:lineRule="auto"/>
        <w:ind w:firstLine="420" w:firstLineChars="200"/>
        <w:rPr>
          <w:rFonts w:ascii="宋体" w:hAnsi="宋体" w:cs="宋体"/>
          <w:szCs w:val="21"/>
        </w:rPr>
      </w:pPr>
      <w:r>
        <w:rPr>
          <w:rFonts w:hint="eastAsia" w:ascii="宋体" w:hAnsi="宋体" w:cs="宋体"/>
          <w:szCs w:val="21"/>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CA191AD">
      <w:pPr>
        <w:snapToGrid w:val="0"/>
        <w:spacing w:line="360" w:lineRule="auto"/>
        <w:ind w:firstLine="420" w:firstLineChars="200"/>
        <w:rPr>
          <w:rFonts w:ascii="宋体" w:hAnsi="宋体" w:cs="宋体"/>
          <w:szCs w:val="21"/>
        </w:rPr>
      </w:pPr>
    </w:p>
    <w:p w14:paraId="6D5E70FD">
      <w:pPr>
        <w:pStyle w:val="4"/>
        <w:rPr>
          <w:szCs w:val="21"/>
        </w:rPr>
      </w:pPr>
      <w:r>
        <w:rPr>
          <w:rFonts w:hint="eastAsia"/>
          <w:szCs w:val="21"/>
        </w:rPr>
        <w:t>四、本项目的特定资格要求</w:t>
      </w:r>
    </w:p>
    <w:p w14:paraId="5B217D44">
      <w:pPr>
        <w:snapToGrid w:val="0"/>
        <w:spacing w:line="360" w:lineRule="auto"/>
        <w:ind w:firstLine="420" w:firstLineChars="200"/>
        <w:rPr>
          <w:rFonts w:ascii="宋体" w:hAnsi="宋体" w:cs="宋体"/>
          <w:szCs w:val="21"/>
        </w:rPr>
      </w:pPr>
      <w:r>
        <w:rPr>
          <w:rFonts w:hint="eastAsia" w:ascii="宋体" w:hAnsi="宋体" w:cs="宋体"/>
          <w:szCs w:val="21"/>
        </w:rPr>
        <w:t>（根据招标公告本项目的特定资格要求提供相应的材料；未要求的，无需提供）</w:t>
      </w:r>
    </w:p>
    <w:p w14:paraId="2ECF6E26">
      <w:pPr>
        <w:snapToGrid w:val="0"/>
        <w:spacing w:line="360" w:lineRule="auto"/>
        <w:ind w:right="480"/>
        <w:jc w:val="center"/>
        <w:rPr>
          <w:rFonts w:ascii="宋体" w:hAnsi="宋体" w:cs="宋体"/>
          <w:b/>
          <w:kern w:val="0"/>
          <w:szCs w:val="21"/>
        </w:rPr>
      </w:pPr>
    </w:p>
    <w:p w14:paraId="66C1767A">
      <w:pPr>
        <w:spacing w:line="360" w:lineRule="auto"/>
        <w:rPr>
          <w:rFonts w:ascii="宋体" w:hAnsi="宋体" w:cs="宋体"/>
          <w:szCs w:val="21"/>
        </w:rPr>
      </w:pPr>
    </w:p>
    <w:p w14:paraId="26EB1BE2">
      <w:pPr>
        <w:snapToGrid w:val="0"/>
        <w:spacing w:line="360" w:lineRule="auto"/>
        <w:ind w:right="480"/>
        <w:jc w:val="center"/>
        <w:rPr>
          <w:rFonts w:ascii="宋体" w:hAnsi="宋体" w:cs="宋体"/>
          <w:b/>
          <w:kern w:val="0"/>
          <w:szCs w:val="21"/>
        </w:rPr>
      </w:pPr>
    </w:p>
    <w:p w14:paraId="249986B8">
      <w:pPr>
        <w:snapToGrid w:val="0"/>
        <w:spacing w:line="360" w:lineRule="auto"/>
        <w:ind w:right="480"/>
        <w:jc w:val="center"/>
        <w:rPr>
          <w:rFonts w:ascii="宋体" w:hAnsi="宋体" w:cs="宋体"/>
          <w:b/>
          <w:kern w:val="0"/>
          <w:szCs w:val="21"/>
        </w:rPr>
      </w:pPr>
    </w:p>
    <w:p w14:paraId="30D1FD9D">
      <w:pPr>
        <w:snapToGrid w:val="0"/>
        <w:spacing w:line="360" w:lineRule="auto"/>
        <w:ind w:right="480"/>
        <w:jc w:val="center"/>
        <w:rPr>
          <w:rFonts w:ascii="宋体" w:hAnsi="宋体" w:cs="宋体"/>
          <w:b/>
          <w:kern w:val="0"/>
          <w:szCs w:val="21"/>
        </w:rPr>
      </w:pPr>
    </w:p>
    <w:p w14:paraId="02FB2F6E">
      <w:pPr>
        <w:spacing w:line="360" w:lineRule="auto"/>
        <w:rPr>
          <w:rFonts w:ascii="宋体" w:hAnsi="宋体" w:cs="宋体"/>
          <w:b/>
          <w:kern w:val="0"/>
          <w:szCs w:val="21"/>
        </w:rPr>
      </w:pPr>
      <w:r>
        <w:rPr>
          <w:rFonts w:hint="eastAsia" w:ascii="宋体" w:hAnsi="宋体" w:cs="宋体"/>
          <w:b/>
          <w:kern w:val="0"/>
          <w:szCs w:val="21"/>
        </w:rPr>
        <w:br w:type="page"/>
      </w:r>
    </w:p>
    <w:p w14:paraId="795735B2">
      <w:pPr>
        <w:spacing w:line="360" w:lineRule="auto"/>
        <w:rPr>
          <w:rFonts w:ascii="宋体" w:hAnsi="宋体" w:cs="宋体"/>
          <w:b/>
          <w:kern w:val="0"/>
          <w:szCs w:val="21"/>
        </w:rPr>
      </w:pPr>
    </w:p>
    <w:p w14:paraId="21B3EA59">
      <w:pPr>
        <w:pStyle w:val="3"/>
        <w:jc w:val="center"/>
        <w:rPr>
          <w:szCs w:val="21"/>
        </w:rPr>
      </w:pPr>
      <w:r>
        <w:rPr>
          <w:rFonts w:hint="eastAsia"/>
          <w:szCs w:val="21"/>
        </w:rPr>
        <w:t>商务技术文件部分</w:t>
      </w:r>
    </w:p>
    <w:p w14:paraId="0E322C7B">
      <w:pPr>
        <w:spacing w:line="360" w:lineRule="auto"/>
        <w:jc w:val="center"/>
        <w:rPr>
          <w:rFonts w:ascii="宋体" w:hAnsi="宋体" w:cs="宋体"/>
          <w:b/>
          <w:kern w:val="0"/>
          <w:szCs w:val="21"/>
        </w:rPr>
      </w:pPr>
    </w:p>
    <w:p w14:paraId="35E11D7C">
      <w:pPr>
        <w:spacing w:line="360" w:lineRule="auto"/>
        <w:jc w:val="center"/>
        <w:outlineLvl w:val="2"/>
        <w:rPr>
          <w:rFonts w:ascii="宋体" w:hAnsi="宋体" w:cs="宋体"/>
          <w:b/>
          <w:kern w:val="0"/>
          <w:szCs w:val="21"/>
        </w:rPr>
      </w:pPr>
      <w:r>
        <w:rPr>
          <w:rFonts w:hint="eastAsia" w:ascii="宋体" w:hAnsi="宋体" w:cs="宋体"/>
          <w:b/>
          <w:kern w:val="0"/>
          <w:szCs w:val="21"/>
        </w:rPr>
        <w:t>目录</w:t>
      </w:r>
    </w:p>
    <w:p w14:paraId="1834FDBC">
      <w:pPr>
        <w:snapToGrid w:val="0"/>
        <w:spacing w:line="360" w:lineRule="auto"/>
        <w:ind w:left="479" w:leftChars="228"/>
        <w:rPr>
          <w:rFonts w:ascii="宋体" w:hAnsi="宋体" w:cs="宋体"/>
          <w:szCs w:val="21"/>
        </w:rPr>
      </w:pPr>
      <w:r>
        <w:rPr>
          <w:rFonts w:hint="eastAsia" w:ascii="宋体" w:hAnsi="宋体" w:cs="宋体"/>
          <w:szCs w:val="21"/>
        </w:rPr>
        <w:t>（1）投标函…………………………………………………………………………………（页码）（2）授权委托书或法定代表人（单位负责人、自然人本人）身份证明………………（页码）</w:t>
      </w:r>
    </w:p>
    <w:p w14:paraId="43F6C70D">
      <w:pPr>
        <w:snapToGrid w:val="0"/>
        <w:spacing w:line="360" w:lineRule="auto"/>
        <w:ind w:left="479" w:leftChars="228"/>
        <w:rPr>
          <w:rFonts w:ascii="宋体" w:hAnsi="宋体" w:cs="宋体"/>
          <w:szCs w:val="21"/>
        </w:rPr>
      </w:pPr>
      <w:r>
        <w:rPr>
          <w:rFonts w:hint="eastAsia" w:ascii="宋体" w:hAnsi="宋体" w:cs="宋体"/>
          <w:szCs w:val="21"/>
        </w:rPr>
        <w:t>（3）分包意向协议…………………………………………………………………………（页码）</w:t>
      </w:r>
    </w:p>
    <w:p w14:paraId="6D3F0893">
      <w:pPr>
        <w:snapToGrid w:val="0"/>
        <w:spacing w:line="360" w:lineRule="auto"/>
        <w:ind w:left="479" w:leftChars="228"/>
        <w:rPr>
          <w:rFonts w:ascii="宋体" w:hAnsi="宋体" w:cs="宋体"/>
          <w:szCs w:val="21"/>
        </w:rPr>
      </w:pPr>
      <w:r>
        <w:rPr>
          <w:rFonts w:hint="eastAsia" w:ascii="宋体" w:hAnsi="宋体" w:cs="宋体"/>
          <w:szCs w:val="21"/>
        </w:rPr>
        <w:t>（4）符合性审查资料………………………………………………………………………（页码）</w:t>
      </w:r>
    </w:p>
    <w:p w14:paraId="2638DADA">
      <w:pPr>
        <w:snapToGrid w:val="0"/>
        <w:spacing w:line="360" w:lineRule="auto"/>
        <w:ind w:left="479" w:leftChars="228"/>
        <w:rPr>
          <w:rFonts w:ascii="宋体" w:hAnsi="宋体" w:cs="宋体"/>
          <w:szCs w:val="21"/>
        </w:rPr>
      </w:pPr>
      <w:r>
        <w:rPr>
          <w:rFonts w:hint="eastAsia" w:ascii="宋体" w:hAnsi="宋体" w:cs="宋体"/>
          <w:szCs w:val="21"/>
        </w:rPr>
        <w:t>（5）评标标准相应的商务技术资料………………………………………………………（页码）</w:t>
      </w:r>
    </w:p>
    <w:p w14:paraId="6E30A2F3">
      <w:pPr>
        <w:snapToGrid w:val="0"/>
        <w:spacing w:line="360" w:lineRule="auto"/>
        <w:ind w:left="479" w:leftChars="228"/>
        <w:rPr>
          <w:rFonts w:ascii="宋体" w:hAnsi="宋体" w:cs="宋体"/>
          <w:szCs w:val="21"/>
        </w:rPr>
      </w:pPr>
      <w:r>
        <w:rPr>
          <w:rFonts w:hint="eastAsia" w:ascii="宋体" w:hAnsi="宋体" w:cs="宋体"/>
          <w:szCs w:val="21"/>
        </w:rPr>
        <w:t>（6）投标标的清单…………………………………………………………………………（页码）</w:t>
      </w:r>
    </w:p>
    <w:p w14:paraId="5AE84899">
      <w:pPr>
        <w:snapToGrid w:val="0"/>
        <w:spacing w:line="360" w:lineRule="auto"/>
        <w:ind w:left="479" w:leftChars="228"/>
        <w:rPr>
          <w:rFonts w:ascii="宋体" w:hAnsi="宋体" w:cs="宋体"/>
          <w:szCs w:val="21"/>
        </w:rPr>
      </w:pPr>
      <w:r>
        <w:rPr>
          <w:rFonts w:hint="eastAsia" w:ascii="宋体" w:hAnsi="宋体" w:cs="宋体"/>
          <w:szCs w:val="21"/>
        </w:rPr>
        <w:t>（7）商务技术偏离表………………………………………………………………………（页码）</w:t>
      </w:r>
    </w:p>
    <w:p w14:paraId="1C360D65">
      <w:pPr>
        <w:snapToGrid w:val="0"/>
        <w:spacing w:line="360" w:lineRule="auto"/>
        <w:ind w:left="479" w:leftChars="228"/>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14:paraId="60ACA02D">
      <w:pPr>
        <w:spacing w:line="360" w:lineRule="auto"/>
        <w:rPr>
          <w:szCs w:val="21"/>
        </w:rPr>
      </w:pPr>
      <w:r>
        <w:rPr>
          <w:rFonts w:hint="eastAsia"/>
          <w:szCs w:val="21"/>
        </w:rPr>
        <w:br w:type="page"/>
      </w:r>
    </w:p>
    <w:p w14:paraId="5989B8EF">
      <w:pPr>
        <w:pStyle w:val="4"/>
        <w:numPr>
          <w:ilvl w:val="0"/>
          <w:numId w:val="7"/>
        </w:numPr>
        <w:rPr>
          <w:szCs w:val="21"/>
        </w:rPr>
      </w:pPr>
      <w:r>
        <w:rPr>
          <w:rFonts w:hint="eastAsia"/>
          <w:szCs w:val="21"/>
        </w:rPr>
        <w:t>投标函</w:t>
      </w:r>
    </w:p>
    <w:p w14:paraId="138899D2">
      <w:pPr>
        <w:spacing w:line="360" w:lineRule="auto"/>
        <w:jc w:val="center"/>
        <w:rPr>
          <w:b/>
          <w:bCs/>
          <w:szCs w:val="21"/>
        </w:rPr>
      </w:pPr>
      <w:r>
        <w:rPr>
          <w:rFonts w:hint="eastAsia"/>
          <w:b/>
          <w:bCs/>
          <w:szCs w:val="21"/>
        </w:rPr>
        <w:t>投标函</w:t>
      </w:r>
    </w:p>
    <w:p w14:paraId="7A81BD77">
      <w:pPr>
        <w:snapToGrid w:val="0"/>
        <w:spacing w:line="360" w:lineRule="auto"/>
        <w:rPr>
          <w:rFonts w:ascii="宋体" w:hAnsi="宋体" w:cs="宋体"/>
          <w:szCs w:val="21"/>
        </w:rPr>
      </w:pPr>
    </w:p>
    <w:p w14:paraId="5E4E7690">
      <w:pPr>
        <w:snapToGrid w:val="0"/>
        <w:spacing w:line="360" w:lineRule="auto"/>
        <w:rPr>
          <w:rFonts w:ascii="宋体" w:hAnsi="宋体" w:cs="宋体"/>
          <w:szCs w:val="21"/>
        </w:rPr>
      </w:pPr>
      <w:r>
        <w:rPr>
          <w:rFonts w:hint="eastAsia" w:ascii="宋体" w:hAnsi="宋体" w:cs="宋体"/>
          <w:szCs w:val="21"/>
        </w:rPr>
        <w:t>杭州市钱塘区人民政府办公室、浙江省成套招标代理有限公司：</w:t>
      </w:r>
    </w:p>
    <w:p w14:paraId="032767BB">
      <w:pPr>
        <w:snapToGrid w:val="0"/>
        <w:spacing w:line="360"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lang w:eastAsia="zh-CN"/>
        </w:rPr>
        <w:t>钱塘区政务云资源及云安全租赁服务项目（2024）</w:t>
      </w:r>
      <w:r>
        <w:rPr>
          <w:rFonts w:hint="eastAsia" w:ascii="宋体" w:hAnsi="宋体" w:cs="宋体"/>
          <w:szCs w:val="21"/>
        </w:rPr>
        <w:t>【招标编号：</w:t>
      </w:r>
      <w:r>
        <w:rPr>
          <w:rFonts w:hint="eastAsia" w:ascii="宋体" w:hAnsi="宋体" w:cs="宋体"/>
          <w:szCs w:val="21"/>
          <w:lang w:eastAsia="zh-CN"/>
        </w:rPr>
        <w:t>QTCG-GK-2024-220</w:t>
      </w:r>
      <w:r>
        <w:rPr>
          <w:rFonts w:hint="eastAsia" w:ascii="宋体" w:hAnsi="宋体" w:cs="宋体"/>
          <w:szCs w:val="21"/>
        </w:rPr>
        <w:t>】招标的有关活动，并对此项目进行投标。为此：</w:t>
      </w:r>
    </w:p>
    <w:p w14:paraId="19C31640">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6C395A42">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14:paraId="6F4891FB">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14:paraId="4E153BB3">
      <w:pPr>
        <w:snapToGrid w:val="0"/>
        <w:spacing w:line="360" w:lineRule="auto"/>
        <w:ind w:left="420" w:leftChars="200" w:firstLine="420" w:firstLineChars="200"/>
        <w:rPr>
          <w:rFonts w:ascii="宋体" w:hAnsi="宋体" w:cs="宋体"/>
          <w:szCs w:val="21"/>
        </w:rPr>
      </w:pPr>
      <w:r>
        <w:rPr>
          <w:rFonts w:hint="eastAsia" w:ascii="宋体" w:hAnsi="宋体" w:cs="宋体"/>
          <w:szCs w:val="21"/>
        </w:rPr>
        <w:t>2.1.1承诺函；</w:t>
      </w:r>
    </w:p>
    <w:p w14:paraId="1FA02310">
      <w:pPr>
        <w:snapToGrid w:val="0"/>
        <w:spacing w:line="360" w:lineRule="auto"/>
        <w:ind w:left="420" w:leftChars="200" w:firstLine="420" w:firstLineChars="200"/>
        <w:rPr>
          <w:rFonts w:ascii="宋体" w:hAnsi="宋体" w:cs="宋体"/>
          <w:szCs w:val="21"/>
        </w:rPr>
      </w:pPr>
      <w:r>
        <w:rPr>
          <w:rFonts w:hint="eastAsia" w:ascii="宋体" w:hAnsi="宋体" w:cs="宋体"/>
          <w:szCs w:val="21"/>
        </w:rPr>
        <w:t>2.1.2联合协议</w:t>
      </w:r>
      <w:bookmarkStart w:id="588" w:name="_Hlk101257010"/>
      <w:r>
        <w:rPr>
          <w:rFonts w:hint="eastAsia" w:ascii="宋体" w:hAnsi="宋体" w:cs="宋体"/>
          <w:szCs w:val="21"/>
        </w:rPr>
        <w:t>（如果有)</w:t>
      </w:r>
      <w:bookmarkEnd w:id="588"/>
      <w:r>
        <w:rPr>
          <w:rFonts w:hint="eastAsia" w:ascii="宋体" w:hAnsi="宋体" w:cs="宋体"/>
          <w:szCs w:val="21"/>
        </w:rPr>
        <w:t>；</w:t>
      </w:r>
    </w:p>
    <w:p w14:paraId="5D6DD8E7">
      <w:pPr>
        <w:snapToGrid w:val="0"/>
        <w:spacing w:line="360" w:lineRule="auto"/>
        <w:ind w:left="420" w:leftChars="200" w:firstLine="420" w:firstLineChars="200"/>
        <w:rPr>
          <w:rFonts w:ascii="宋体" w:hAnsi="宋体" w:cs="宋体"/>
          <w:szCs w:val="21"/>
        </w:rPr>
      </w:pPr>
      <w:r>
        <w:rPr>
          <w:rFonts w:hint="eastAsia" w:ascii="宋体" w:hAnsi="宋体" w:cs="宋体"/>
          <w:szCs w:val="21"/>
        </w:rPr>
        <w:t>2.1.3落实政府采购政策需满足的资格要求；</w:t>
      </w:r>
    </w:p>
    <w:p w14:paraId="5A2709AE">
      <w:pPr>
        <w:snapToGrid w:val="0"/>
        <w:spacing w:line="360" w:lineRule="auto"/>
        <w:ind w:left="420" w:leftChars="200" w:firstLine="420" w:firstLineChars="200"/>
        <w:rPr>
          <w:rFonts w:ascii="宋体" w:hAnsi="宋体" w:cs="宋体"/>
          <w:szCs w:val="21"/>
        </w:rPr>
      </w:pPr>
      <w:r>
        <w:rPr>
          <w:rFonts w:hint="eastAsia" w:ascii="宋体" w:hAnsi="宋体" w:cs="宋体"/>
          <w:szCs w:val="21"/>
        </w:rPr>
        <w:t>2.1.4本项目的特定资格要求（如果有)。</w:t>
      </w:r>
    </w:p>
    <w:p w14:paraId="26AB4A67">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1452245E">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14:paraId="2E49E08C">
      <w:pPr>
        <w:snapToGrid w:val="0"/>
        <w:spacing w:line="360"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63382FC0">
      <w:pPr>
        <w:snapToGrid w:val="0"/>
        <w:spacing w:line="360" w:lineRule="auto"/>
        <w:ind w:left="420" w:leftChars="200" w:firstLine="420" w:firstLineChars="200"/>
        <w:rPr>
          <w:rFonts w:ascii="宋体" w:hAnsi="宋体" w:cs="宋体"/>
          <w:szCs w:val="21"/>
        </w:rPr>
      </w:pPr>
      <w:r>
        <w:rPr>
          <w:rFonts w:hint="eastAsia" w:ascii="宋体" w:hAnsi="宋体" w:cs="宋体"/>
          <w:szCs w:val="21"/>
        </w:rPr>
        <w:t>2.2.3分包意向协议（如果有)；</w:t>
      </w:r>
    </w:p>
    <w:p w14:paraId="7D8CD13B">
      <w:pPr>
        <w:snapToGrid w:val="0"/>
        <w:spacing w:line="360" w:lineRule="auto"/>
        <w:ind w:left="420" w:leftChars="200" w:firstLine="420" w:firstLineChars="200"/>
        <w:rPr>
          <w:rFonts w:ascii="宋体" w:hAnsi="宋体" w:cs="宋体"/>
          <w:szCs w:val="21"/>
        </w:rPr>
      </w:pPr>
      <w:r>
        <w:rPr>
          <w:rFonts w:hint="eastAsia" w:ascii="宋体" w:hAnsi="宋体" w:cs="宋体"/>
          <w:szCs w:val="21"/>
        </w:rPr>
        <w:t>2.2.4符合性审查资料；</w:t>
      </w:r>
    </w:p>
    <w:p w14:paraId="1E43C7A3">
      <w:pPr>
        <w:snapToGrid w:val="0"/>
        <w:spacing w:line="360" w:lineRule="auto"/>
        <w:ind w:left="420" w:leftChars="200" w:firstLine="420" w:firstLineChars="200"/>
        <w:rPr>
          <w:rFonts w:ascii="宋体" w:hAnsi="宋体" w:cs="宋体"/>
          <w:szCs w:val="21"/>
        </w:rPr>
      </w:pPr>
      <w:r>
        <w:rPr>
          <w:rFonts w:hint="eastAsia" w:ascii="宋体" w:hAnsi="宋体" w:cs="宋体"/>
          <w:szCs w:val="21"/>
        </w:rPr>
        <w:t>2.2.5评标标准相应的商务技术资料；</w:t>
      </w:r>
    </w:p>
    <w:p w14:paraId="294E6DCA">
      <w:pPr>
        <w:snapToGrid w:val="0"/>
        <w:spacing w:line="360" w:lineRule="auto"/>
        <w:ind w:left="420" w:leftChars="200" w:firstLine="420" w:firstLineChars="200"/>
        <w:rPr>
          <w:rFonts w:ascii="宋体" w:hAnsi="宋体" w:cs="宋体"/>
          <w:szCs w:val="21"/>
        </w:rPr>
      </w:pPr>
      <w:r>
        <w:rPr>
          <w:rFonts w:hint="eastAsia" w:ascii="宋体" w:hAnsi="宋体" w:cs="宋体"/>
          <w:szCs w:val="21"/>
        </w:rPr>
        <w:t>2.2.6投标标的清单；</w:t>
      </w:r>
    </w:p>
    <w:p w14:paraId="40D6B35A">
      <w:pPr>
        <w:snapToGrid w:val="0"/>
        <w:spacing w:line="360" w:lineRule="auto"/>
        <w:ind w:left="420" w:leftChars="200" w:firstLine="420" w:firstLineChars="200"/>
        <w:rPr>
          <w:rFonts w:ascii="宋体" w:hAnsi="宋体" w:cs="宋体"/>
          <w:szCs w:val="21"/>
        </w:rPr>
      </w:pPr>
      <w:r>
        <w:rPr>
          <w:rFonts w:hint="eastAsia" w:ascii="宋体" w:hAnsi="宋体" w:cs="宋体"/>
          <w:szCs w:val="21"/>
        </w:rPr>
        <w:t>2.2.7商务技术偏离表；</w:t>
      </w:r>
    </w:p>
    <w:p w14:paraId="07AB5CCA">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14:paraId="541363BC">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06E5FF8A">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14:paraId="4088F540">
      <w:pPr>
        <w:snapToGrid w:val="0"/>
        <w:spacing w:line="360" w:lineRule="auto"/>
        <w:ind w:left="420" w:leftChars="200" w:firstLine="420" w:firstLineChars="200"/>
        <w:rPr>
          <w:rFonts w:ascii="宋体" w:hAnsi="宋体" w:cs="宋体"/>
          <w:szCs w:val="21"/>
        </w:rPr>
      </w:pPr>
      <w:r>
        <w:rPr>
          <w:rFonts w:hint="eastAsia" w:ascii="宋体" w:hAnsi="宋体" w:cs="宋体"/>
          <w:szCs w:val="21"/>
        </w:rPr>
        <w:t>2.3.2中小企业声明函（若有）；</w:t>
      </w:r>
    </w:p>
    <w:p w14:paraId="613560DB">
      <w:pPr>
        <w:numPr>
          <w:ilvl w:val="255"/>
          <w:numId w:val="0"/>
        </w:numPr>
        <w:snapToGrid w:val="0"/>
        <w:spacing w:line="360" w:lineRule="auto"/>
        <w:ind w:left="420" w:leftChars="200" w:firstLine="420" w:firstLineChars="200"/>
        <w:rPr>
          <w:rFonts w:ascii="宋体" w:hAnsi="宋体" w:cs="宋体"/>
          <w:szCs w:val="21"/>
        </w:rPr>
      </w:pPr>
      <w:r>
        <w:rPr>
          <w:rFonts w:hint="eastAsia" w:ascii="宋体" w:hAnsi="宋体" w:cs="宋体"/>
          <w:szCs w:val="21"/>
        </w:rPr>
        <w:t>2.3.3报价情况说明（如供应商报价低于项目预算50%的，应当提交本文档，详细阐述不影响产品质量或者诚信履约的具体原因）。</w:t>
      </w:r>
    </w:p>
    <w:p w14:paraId="57D18BC5">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w:t>
      </w:r>
    </w:p>
    <w:p w14:paraId="1CEBF915">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14:paraId="23BF5F6A">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14:paraId="7FBC359A">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72615BD0">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14:paraId="1C0C38F8">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1BF2460E">
      <w:pPr>
        <w:snapToGrid w:val="0"/>
        <w:spacing w:line="360"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38765743">
      <w:pPr>
        <w:spacing w:line="360" w:lineRule="auto"/>
        <w:ind w:firstLine="420" w:firstLineChars="200"/>
        <w:rPr>
          <w:rFonts w:ascii="宋体" w:hAnsi="宋体" w:cs="宋体"/>
          <w:b/>
          <w:kern w:val="0"/>
          <w:szCs w:val="21"/>
          <w:lang w:val="zh-CN"/>
        </w:rPr>
      </w:pPr>
      <w:r>
        <w:rPr>
          <w:rFonts w:hint="eastAsia" w:ascii="宋体" w:hAnsi="宋体" w:cs="宋体"/>
          <w:szCs w:val="21"/>
        </w:rPr>
        <w:t>投标人名称（电子签名）：                        日期：  年   月   日</w:t>
      </w:r>
      <w:r>
        <w:rPr>
          <w:rFonts w:hint="eastAsia" w:ascii="宋体" w:hAnsi="宋体" w:cs="宋体"/>
          <w:b/>
          <w:kern w:val="0"/>
          <w:szCs w:val="21"/>
          <w:lang w:val="zh-CN"/>
        </w:rPr>
        <w:br w:type="page"/>
      </w:r>
    </w:p>
    <w:p w14:paraId="2EFE6674">
      <w:pPr>
        <w:pStyle w:val="4"/>
        <w:rPr>
          <w:szCs w:val="21"/>
          <w:lang w:val="zh-CN"/>
        </w:rPr>
      </w:pPr>
      <w:r>
        <w:rPr>
          <w:rFonts w:hint="eastAsia"/>
          <w:szCs w:val="21"/>
          <w:lang w:val="zh-CN"/>
        </w:rPr>
        <w:t>二、授权委托书或法定代表人（单位负责人、自然人本人）身份证明</w:t>
      </w:r>
    </w:p>
    <w:p w14:paraId="70AD440F">
      <w:pPr>
        <w:snapToGrid w:val="0"/>
        <w:spacing w:line="360" w:lineRule="auto"/>
        <w:jc w:val="center"/>
        <w:rPr>
          <w:rFonts w:ascii="宋体" w:hAnsi="宋体" w:cs="宋体"/>
          <w:b/>
          <w:kern w:val="0"/>
          <w:szCs w:val="21"/>
          <w:lang w:val="zh-CN"/>
        </w:rPr>
      </w:pPr>
    </w:p>
    <w:p w14:paraId="4218DE13">
      <w:pPr>
        <w:snapToGrid w:val="0"/>
        <w:spacing w:line="360" w:lineRule="auto"/>
        <w:jc w:val="center"/>
        <w:rPr>
          <w:rFonts w:ascii="宋体" w:hAnsi="宋体" w:cs="宋体"/>
          <w:szCs w:val="21"/>
        </w:rPr>
      </w:pPr>
      <w:r>
        <w:rPr>
          <w:rFonts w:hint="eastAsia" w:ascii="宋体" w:hAnsi="宋体" w:cs="宋体"/>
          <w:b/>
          <w:kern w:val="0"/>
          <w:szCs w:val="21"/>
          <w:lang w:val="zh-CN"/>
        </w:rPr>
        <w:t>授权委托书（适用于非联合体投标）</w:t>
      </w:r>
    </w:p>
    <w:p w14:paraId="4F0C44A9">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24B2E55B">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lang w:eastAsia="zh-CN"/>
        </w:rPr>
        <w:t>钱塘区政务云资源及云安全租赁服务项目（2024）</w:t>
      </w:r>
      <w:r>
        <w:rPr>
          <w:rFonts w:hint="eastAsia" w:ascii="宋体" w:hAnsi="宋体" w:cs="宋体"/>
          <w:szCs w:val="21"/>
        </w:rPr>
        <w:t>【招标编号：</w:t>
      </w:r>
      <w:r>
        <w:rPr>
          <w:rFonts w:hint="eastAsia" w:ascii="宋体" w:hAnsi="宋体" w:cs="宋体"/>
          <w:szCs w:val="21"/>
          <w:lang w:eastAsia="zh-CN"/>
        </w:rPr>
        <w:t>QTCG-GK-2024-220</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14:paraId="7E15A55A">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1F7570F9">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777BBCEC">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14:paraId="610B99FA">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151EE98F">
      <w:pPr>
        <w:snapToGrid w:val="0"/>
        <w:spacing w:line="360" w:lineRule="auto"/>
        <w:rPr>
          <w:rFonts w:ascii="宋体" w:hAnsi="宋体" w:cs="宋体"/>
          <w:szCs w:val="21"/>
        </w:rPr>
      </w:pPr>
    </w:p>
    <w:p w14:paraId="5DF2CF57">
      <w:pPr>
        <w:snapToGrid w:val="0"/>
        <w:spacing w:line="360" w:lineRule="auto"/>
        <w:rPr>
          <w:rFonts w:ascii="宋体" w:hAnsi="宋体" w:cs="宋体"/>
          <w:szCs w:val="21"/>
        </w:rPr>
      </w:pPr>
    </w:p>
    <w:p w14:paraId="470925E1">
      <w:pPr>
        <w:snapToGrid w:val="0"/>
        <w:spacing w:line="360" w:lineRule="auto"/>
        <w:jc w:val="center"/>
        <w:rPr>
          <w:rFonts w:ascii="宋体" w:hAnsi="宋体" w:cs="宋体"/>
          <w:b/>
          <w:kern w:val="0"/>
          <w:szCs w:val="21"/>
          <w:lang w:val="zh-CN"/>
        </w:rPr>
      </w:pPr>
      <w:r>
        <w:rPr>
          <w:rFonts w:hint="eastAsia" w:ascii="宋体" w:hAnsi="宋体" w:cs="宋体"/>
          <w:b/>
          <w:kern w:val="0"/>
          <w:szCs w:val="21"/>
          <w:lang w:val="zh-CN"/>
        </w:rPr>
        <w:t>授权委托书（适用于联合体投标）</w:t>
      </w:r>
    </w:p>
    <w:p w14:paraId="44FF0A72">
      <w:pPr>
        <w:spacing w:line="360" w:lineRule="auto"/>
        <w:rPr>
          <w:szCs w:val="21"/>
          <w:lang w:val="zh-CN"/>
        </w:rPr>
      </w:pPr>
    </w:p>
    <w:p w14:paraId="07408BDD">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52424599">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szCs w:val="21"/>
          <w:lang w:eastAsia="zh-CN"/>
        </w:rPr>
        <w:t>钱塘区政务云资源及云安全租赁服务项目（2024）</w:t>
      </w:r>
      <w:r>
        <w:rPr>
          <w:rFonts w:hint="eastAsia" w:ascii="宋体" w:hAnsi="宋体" w:cs="宋体"/>
          <w:szCs w:val="21"/>
        </w:rPr>
        <w:t>【招标编号：</w:t>
      </w:r>
      <w:r>
        <w:rPr>
          <w:rFonts w:hint="eastAsia" w:ascii="宋体" w:hAnsi="宋体" w:cs="宋体"/>
          <w:szCs w:val="21"/>
          <w:lang w:eastAsia="zh-CN"/>
        </w:rPr>
        <w:t>QTCG-GK-2024-220</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14:paraId="5374CDC8">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43074B45">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9DF7933">
      <w:pPr>
        <w:spacing w:line="360" w:lineRule="auto"/>
        <w:rPr>
          <w:rFonts w:ascii="宋体" w:hAnsi="宋体" w:cs="宋体"/>
          <w:b/>
          <w:kern w:val="0"/>
          <w:szCs w:val="21"/>
        </w:rPr>
      </w:pPr>
    </w:p>
    <w:p w14:paraId="5D3958EA">
      <w:pPr>
        <w:spacing w:line="360" w:lineRule="auto"/>
        <w:rPr>
          <w:rFonts w:ascii="宋体" w:hAnsi="宋体" w:cs="宋体"/>
          <w:szCs w:val="21"/>
        </w:rPr>
      </w:pPr>
    </w:p>
    <w:p w14:paraId="7C14FC78">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C268446">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CAD54DB">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209D5730">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4F268934">
      <w:pPr>
        <w:spacing w:line="360" w:lineRule="auto"/>
        <w:rPr>
          <w:rFonts w:ascii="宋体" w:hAnsi="宋体" w:cs="宋体"/>
          <w:b/>
          <w:kern w:val="0"/>
          <w:szCs w:val="21"/>
          <w:lang w:val="zh-CN"/>
        </w:rPr>
      </w:pPr>
      <w:r>
        <w:rPr>
          <w:rFonts w:hint="eastAsia" w:ascii="宋体" w:hAnsi="宋体" w:cs="宋体"/>
          <w:b/>
          <w:kern w:val="0"/>
          <w:szCs w:val="21"/>
          <w:lang w:val="zh-CN"/>
        </w:rPr>
        <w:br w:type="page"/>
      </w:r>
    </w:p>
    <w:p w14:paraId="146A75A5">
      <w:pPr>
        <w:snapToGrid w:val="0"/>
        <w:spacing w:line="360" w:lineRule="auto"/>
        <w:jc w:val="center"/>
        <w:rPr>
          <w:rFonts w:ascii="宋体" w:hAnsi="宋体" w:cs="宋体"/>
          <w:b/>
          <w:kern w:val="0"/>
          <w:szCs w:val="21"/>
          <w:lang w:val="zh-CN"/>
        </w:rPr>
      </w:pPr>
      <w:r>
        <w:rPr>
          <w:rFonts w:hint="eastAsia" w:ascii="宋体" w:hAnsi="宋体" w:cs="宋体"/>
          <w:b/>
          <w:kern w:val="0"/>
          <w:szCs w:val="21"/>
          <w:lang w:val="zh-CN"/>
        </w:rPr>
        <w:t>法定代表人、单位负责人或自然人本人的身份证明（适用于法定代表人、单位负责人或者自然人本人代表投标人参加投标）</w:t>
      </w:r>
    </w:p>
    <w:p w14:paraId="5330080B">
      <w:pPr>
        <w:pStyle w:val="153"/>
        <w:spacing w:line="360" w:lineRule="auto"/>
        <w:rPr>
          <w:rFonts w:hAnsi="宋体" w:cs="宋体"/>
          <w:bCs/>
        </w:rPr>
      </w:pPr>
    </w:p>
    <w:p w14:paraId="74B16450">
      <w:pPr>
        <w:pStyle w:val="153"/>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25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62347E">
            <w:pPr>
              <w:pStyle w:val="153"/>
              <w:adjustRightInd w:val="0"/>
              <w:spacing w:line="360" w:lineRule="auto"/>
              <w:rPr>
                <w:rFonts w:hAnsi="宋体" w:cs="宋体"/>
                <w:bCs/>
              </w:rPr>
            </w:pPr>
            <w:r>
              <w:rPr>
                <w:rFonts w:hint="eastAsia" w:hAnsi="宋体" w:cs="宋体"/>
                <w:bCs/>
              </w:rPr>
              <w:t>正面：                                 反面：</w:t>
            </w:r>
          </w:p>
          <w:p w14:paraId="5684A11C">
            <w:pPr>
              <w:pStyle w:val="153"/>
              <w:adjustRightInd w:val="0"/>
              <w:spacing w:line="360" w:lineRule="auto"/>
              <w:rPr>
                <w:rFonts w:hAnsi="宋体" w:cs="宋体"/>
                <w:bCs/>
              </w:rPr>
            </w:pPr>
          </w:p>
        </w:tc>
      </w:tr>
    </w:tbl>
    <w:p w14:paraId="72700DF4">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w:t>
      </w:r>
    </w:p>
    <w:p w14:paraId="4FD445B9">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投标人名称(电子签名)：</w:t>
      </w:r>
    </w:p>
    <w:p w14:paraId="1D839C42">
      <w:pPr>
        <w:spacing w:line="360" w:lineRule="auto"/>
        <w:jc w:val="center"/>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日期：  年  月  日</w:t>
      </w:r>
    </w:p>
    <w:p w14:paraId="5D0E3F7B">
      <w:pPr>
        <w:spacing w:line="360" w:lineRule="auto"/>
        <w:rPr>
          <w:rFonts w:ascii="宋体" w:hAnsi="宋体" w:cs="宋体"/>
          <w:b/>
          <w:kern w:val="0"/>
          <w:szCs w:val="21"/>
        </w:rPr>
      </w:pPr>
    </w:p>
    <w:p w14:paraId="06A631AC">
      <w:pPr>
        <w:spacing w:line="360" w:lineRule="auto"/>
        <w:jc w:val="center"/>
        <w:rPr>
          <w:rFonts w:ascii="宋体" w:hAnsi="宋体" w:cs="宋体"/>
          <w:b/>
          <w:kern w:val="0"/>
          <w:szCs w:val="21"/>
        </w:rPr>
      </w:pPr>
    </w:p>
    <w:p w14:paraId="30CC3AC0">
      <w:pPr>
        <w:spacing w:line="360" w:lineRule="auto"/>
        <w:jc w:val="center"/>
        <w:rPr>
          <w:rFonts w:ascii="宋体" w:hAnsi="宋体" w:cs="宋体"/>
          <w:b/>
          <w:kern w:val="0"/>
          <w:szCs w:val="21"/>
        </w:rPr>
      </w:pPr>
    </w:p>
    <w:p w14:paraId="25F6921F">
      <w:pPr>
        <w:spacing w:line="360" w:lineRule="auto"/>
        <w:jc w:val="center"/>
        <w:rPr>
          <w:rFonts w:ascii="宋体" w:hAnsi="宋体" w:cs="宋体"/>
          <w:b/>
          <w:kern w:val="0"/>
          <w:szCs w:val="21"/>
        </w:rPr>
      </w:pPr>
    </w:p>
    <w:p w14:paraId="7F5075D7">
      <w:pPr>
        <w:pStyle w:val="61"/>
        <w:spacing w:line="360" w:lineRule="auto"/>
        <w:ind w:firstLine="422"/>
        <w:rPr>
          <w:rFonts w:cs="宋体"/>
          <w:b/>
          <w:kern w:val="0"/>
          <w:szCs w:val="21"/>
        </w:rPr>
      </w:pPr>
    </w:p>
    <w:p w14:paraId="4CC5BD5A">
      <w:pPr>
        <w:pStyle w:val="61"/>
        <w:spacing w:line="360" w:lineRule="auto"/>
        <w:ind w:firstLine="422"/>
        <w:rPr>
          <w:rFonts w:cs="宋体"/>
          <w:b/>
          <w:kern w:val="0"/>
          <w:szCs w:val="21"/>
        </w:rPr>
      </w:pPr>
    </w:p>
    <w:p w14:paraId="58FE1676">
      <w:pPr>
        <w:pStyle w:val="61"/>
        <w:spacing w:line="360" w:lineRule="auto"/>
        <w:ind w:firstLine="422"/>
        <w:rPr>
          <w:rFonts w:cs="宋体"/>
          <w:b/>
          <w:kern w:val="0"/>
          <w:szCs w:val="21"/>
        </w:rPr>
      </w:pPr>
    </w:p>
    <w:p w14:paraId="26B094DF">
      <w:pPr>
        <w:pStyle w:val="61"/>
        <w:spacing w:line="360" w:lineRule="auto"/>
        <w:ind w:firstLine="422"/>
        <w:rPr>
          <w:rFonts w:cs="宋体"/>
          <w:b/>
          <w:kern w:val="0"/>
          <w:szCs w:val="21"/>
        </w:rPr>
      </w:pPr>
    </w:p>
    <w:p w14:paraId="5F4BE6FB">
      <w:pPr>
        <w:pStyle w:val="61"/>
        <w:spacing w:line="360" w:lineRule="auto"/>
        <w:ind w:firstLine="422"/>
        <w:rPr>
          <w:rFonts w:cs="宋体"/>
          <w:b/>
          <w:kern w:val="0"/>
          <w:szCs w:val="21"/>
        </w:rPr>
      </w:pPr>
    </w:p>
    <w:p w14:paraId="7DE91F52">
      <w:pPr>
        <w:pStyle w:val="61"/>
        <w:spacing w:line="360" w:lineRule="auto"/>
        <w:ind w:firstLine="422"/>
        <w:rPr>
          <w:rFonts w:cs="宋体"/>
          <w:b/>
          <w:kern w:val="0"/>
          <w:szCs w:val="21"/>
        </w:rPr>
      </w:pPr>
    </w:p>
    <w:p w14:paraId="73637B75">
      <w:pPr>
        <w:pStyle w:val="61"/>
        <w:spacing w:line="360" w:lineRule="auto"/>
        <w:ind w:firstLine="422"/>
        <w:rPr>
          <w:rFonts w:cs="宋体"/>
          <w:b/>
          <w:kern w:val="0"/>
          <w:szCs w:val="21"/>
        </w:rPr>
      </w:pPr>
    </w:p>
    <w:p w14:paraId="4A841C48">
      <w:pPr>
        <w:spacing w:line="360" w:lineRule="auto"/>
        <w:jc w:val="center"/>
        <w:rPr>
          <w:rFonts w:ascii="宋体" w:hAnsi="宋体" w:cs="宋体"/>
          <w:b/>
          <w:kern w:val="0"/>
          <w:szCs w:val="21"/>
        </w:rPr>
      </w:pPr>
    </w:p>
    <w:p w14:paraId="493DDBD5">
      <w:pPr>
        <w:spacing w:line="360" w:lineRule="auto"/>
        <w:rPr>
          <w:rFonts w:ascii="宋体" w:hAnsi="宋体" w:cs="宋体"/>
          <w:b/>
          <w:kern w:val="0"/>
          <w:szCs w:val="21"/>
        </w:rPr>
      </w:pPr>
      <w:r>
        <w:rPr>
          <w:rFonts w:hint="eastAsia" w:ascii="宋体" w:hAnsi="宋体" w:cs="宋体"/>
          <w:b/>
          <w:kern w:val="0"/>
          <w:szCs w:val="21"/>
        </w:rPr>
        <w:br w:type="page"/>
      </w:r>
    </w:p>
    <w:p w14:paraId="652766E0">
      <w:pPr>
        <w:pStyle w:val="4"/>
        <w:rPr>
          <w:szCs w:val="21"/>
        </w:rPr>
      </w:pPr>
      <w:r>
        <w:rPr>
          <w:rFonts w:hint="eastAsia"/>
          <w:szCs w:val="21"/>
        </w:rPr>
        <w:t>三、分包意向协议（如果有）</w:t>
      </w:r>
    </w:p>
    <w:p w14:paraId="33A279D1">
      <w:pPr>
        <w:widowControl/>
        <w:spacing w:line="360" w:lineRule="auto"/>
        <w:ind w:firstLine="105" w:firstLineChars="50"/>
        <w:jc w:val="left"/>
        <w:rPr>
          <w:rFonts w:ascii="宋体" w:hAnsi="宋体" w:cs="宋体"/>
          <w:szCs w:val="21"/>
        </w:rPr>
      </w:pPr>
      <w:r>
        <w:rPr>
          <w:rFonts w:hint="eastAsia" w:ascii="宋体" w:hAnsi="宋体" w:cs="宋体"/>
          <w:szCs w:val="21"/>
        </w:rPr>
        <w:t>[中标后以分包方式履行合同的，提供分包意向协议(附件6)；采购人不同意分包或者投标人中标后不以分包方式履行合同的，则不需要提供。]</w:t>
      </w:r>
    </w:p>
    <w:p w14:paraId="7B28039D">
      <w:pPr>
        <w:snapToGrid w:val="0"/>
        <w:spacing w:line="360" w:lineRule="auto"/>
        <w:ind w:firstLine="576"/>
        <w:rPr>
          <w:rFonts w:ascii="宋体" w:hAnsi="宋体" w:cs="宋体"/>
          <w:kern w:val="0"/>
          <w:szCs w:val="21"/>
          <w:lang w:val="zh-CN"/>
        </w:rPr>
      </w:pPr>
    </w:p>
    <w:p w14:paraId="491FA32F">
      <w:pPr>
        <w:pStyle w:val="4"/>
        <w:rPr>
          <w:szCs w:val="21"/>
        </w:rPr>
      </w:pPr>
      <w:r>
        <w:rPr>
          <w:rFonts w:hint="eastAsia"/>
          <w:szCs w:val="21"/>
        </w:rPr>
        <w:t>四、符合性审查资料</w:t>
      </w:r>
    </w:p>
    <w:p w14:paraId="5DC4135F">
      <w:pPr>
        <w:spacing w:line="360" w:lineRule="auto"/>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14:paraId="53FC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28006C">
            <w:pPr>
              <w:snapToGrid w:val="0"/>
              <w:spacing w:line="360" w:lineRule="auto"/>
              <w:jc w:val="center"/>
              <w:rPr>
                <w:rFonts w:ascii="宋体" w:hAnsi="宋体" w:cs="宋体"/>
                <w:b/>
                <w:szCs w:val="21"/>
              </w:rPr>
            </w:pPr>
            <w:r>
              <w:rPr>
                <w:rFonts w:hint="eastAsia" w:ascii="宋体" w:hAnsi="宋体" w:cs="宋体"/>
                <w:b/>
                <w:szCs w:val="21"/>
              </w:rPr>
              <w:t>序号</w:t>
            </w:r>
          </w:p>
        </w:tc>
        <w:tc>
          <w:tcPr>
            <w:tcW w:w="3614" w:type="dxa"/>
            <w:vAlign w:val="center"/>
          </w:tcPr>
          <w:p w14:paraId="07A51212">
            <w:pPr>
              <w:snapToGrid w:val="0"/>
              <w:spacing w:line="360" w:lineRule="auto"/>
              <w:jc w:val="center"/>
              <w:rPr>
                <w:rFonts w:ascii="宋体" w:hAnsi="宋体" w:cs="宋体"/>
                <w:b/>
                <w:szCs w:val="21"/>
              </w:rPr>
            </w:pPr>
            <w:r>
              <w:rPr>
                <w:rFonts w:hint="eastAsia" w:ascii="宋体" w:hAnsi="宋体" w:cs="宋体"/>
                <w:b/>
                <w:szCs w:val="21"/>
              </w:rPr>
              <w:t>实质性要求</w:t>
            </w:r>
          </w:p>
        </w:tc>
        <w:tc>
          <w:tcPr>
            <w:tcW w:w="3383" w:type="dxa"/>
            <w:vAlign w:val="center"/>
          </w:tcPr>
          <w:p w14:paraId="62B2E00E">
            <w:pPr>
              <w:snapToGrid w:val="0"/>
              <w:spacing w:line="360" w:lineRule="auto"/>
              <w:jc w:val="center"/>
              <w:rPr>
                <w:rFonts w:ascii="宋体" w:hAnsi="宋体" w:cs="宋体"/>
                <w:b/>
                <w:szCs w:val="21"/>
              </w:rPr>
            </w:pPr>
            <w:r>
              <w:rPr>
                <w:rFonts w:hint="eastAsia" w:ascii="宋体" w:hAnsi="宋体" w:cs="宋体"/>
                <w:b/>
                <w:szCs w:val="21"/>
              </w:rPr>
              <w:t>需要提供的符合性审查资料</w:t>
            </w:r>
          </w:p>
        </w:tc>
        <w:tc>
          <w:tcPr>
            <w:tcW w:w="1963" w:type="dxa"/>
            <w:vAlign w:val="center"/>
          </w:tcPr>
          <w:p w14:paraId="034A56AD">
            <w:pPr>
              <w:snapToGrid w:val="0"/>
              <w:spacing w:line="360" w:lineRule="auto"/>
              <w:jc w:val="center"/>
              <w:rPr>
                <w:rFonts w:ascii="宋体" w:hAnsi="宋体" w:cs="宋体"/>
                <w:b/>
                <w:szCs w:val="21"/>
              </w:rPr>
            </w:pPr>
            <w:r>
              <w:rPr>
                <w:rFonts w:hint="eastAsia" w:ascii="宋体" w:hAnsi="宋体" w:cs="宋体"/>
                <w:b/>
                <w:szCs w:val="21"/>
              </w:rPr>
              <w:t>投标文件中的</w:t>
            </w:r>
          </w:p>
          <w:p w14:paraId="55EBD94D">
            <w:pPr>
              <w:snapToGrid w:val="0"/>
              <w:spacing w:line="360" w:lineRule="auto"/>
              <w:jc w:val="center"/>
              <w:rPr>
                <w:rFonts w:ascii="宋体" w:hAnsi="宋体" w:cs="宋体"/>
                <w:b/>
                <w:szCs w:val="21"/>
              </w:rPr>
            </w:pPr>
            <w:r>
              <w:rPr>
                <w:rFonts w:hint="eastAsia" w:ascii="宋体" w:hAnsi="宋体" w:cs="宋体"/>
                <w:b/>
                <w:szCs w:val="21"/>
              </w:rPr>
              <w:t>页码位置</w:t>
            </w:r>
          </w:p>
        </w:tc>
      </w:tr>
      <w:tr w14:paraId="51ED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A8C360">
            <w:pPr>
              <w:spacing w:line="360" w:lineRule="auto"/>
              <w:jc w:val="center"/>
              <w:rPr>
                <w:rFonts w:ascii="宋体" w:hAnsi="宋体" w:cs="宋体"/>
                <w:szCs w:val="21"/>
              </w:rPr>
            </w:pPr>
            <w:r>
              <w:rPr>
                <w:rFonts w:hint="eastAsia" w:ascii="宋体" w:hAnsi="宋体" w:cs="宋体"/>
                <w:szCs w:val="21"/>
              </w:rPr>
              <w:t>1</w:t>
            </w:r>
          </w:p>
        </w:tc>
        <w:tc>
          <w:tcPr>
            <w:tcW w:w="3614" w:type="dxa"/>
            <w:vAlign w:val="center"/>
          </w:tcPr>
          <w:p w14:paraId="125BE5F0">
            <w:pPr>
              <w:spacing w:line="360" w:lineRule="auto"/>
              <w:jc w:val="center"/>
              <w:rPr>
                <w:rFonts w:ascii="宋体" w:hAnsi="宋体" w:cs="宋体"/>
                <w:szCs w:val="21"/>
              </w:rPr>
            </w:pPr>
            <w:r>
              <w:rPr>
                <w:rFonts w:hint="eastAsia" w:ascii="宋体" w:hAnsi="宋体" w:cs="宋体"/>
                <w:szCs w:val="21"/>
              </w:rPr>
              <w:t>投标文件按照招标文件要求签署、盖章。</w:t>
            </w:r>
          </w:p>
        </w:tc>
        <w:tc>
          <w:tcPr>
            <w:tcW w:w="3383" w:type="dxa"/>
            <w:vAlign w:val="center"/>
          </w:tcPr>
          <w:p w14:paraId="6A90D42B">
            <w:pPr>
              <w:spacing w:line="360" w:lineRule="auto"/>
              <w:rPr>
                <w:rFonts w:ascii="宋体" w:hAnsi="宋体" w:cs="宋体"/>
                <w:szCs w:val="21"/>
              </w:rPr>
            </w:pPr>
            <w:r>
              <w:rPr>
                <w:rFonts w:hint="eastAsia" w:ascii="宋体" w:hAnsi="宋体" w:cs="宋体"/>
                <w:szCs w:val="21"/>
              </w:rPr>
              <w:t>需要使用电子签名或者签字盖章的投标文件的组成部分</w:t>
            </w:r>
          </w:p>
        </w:tc>
        <w:tc>
          <w:tcPr>
            <w:tcW w:w="1963" w:type="dxa"/>
            <w:vAlign w:val="center"/>
          </w:tcPr>
          <w:p w14:paraId="5128675D">
            <w:pPr>
              <w:spacing w:line="360" w:lineRule="auto"/>
              <w:jc w:val="center"/>
              <w:rPr>
                <w:rFonts w:ascii="宋体" w:hAnsi="宋体" w:cs="宋体"/>
                <w:szCs w:val="21"/>
              </w:rPr>
            </w:pPr>
            <w:r>
              <w:rPr>
                <w:rFonts w:hint="eastAsia" w:ascii="宋体" w:hAnsi="宋体" w:cs="宋体"/>
                <w:szCs w:val="21"/>
              </w:rPr>
              <w:t>见投标文件</w:t>
            </w:r>
          </w:p>
          <w:p w14:paraId="16122A49">
            <w:pPr>
              <w:spacing w:line="360" w:lineRule="auto"/>
              <w:jc w:val="cente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1C4C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64E997">
            <w:pPr>
              <w:spacing w:line="360" w:lineRule="auto"/>
              <w:jc w:val="center"/>
              <w:rPr>
                <w:rFonts w:ascii="宋体" w:hAnsi="宋体" w:cs="宋体"/>
                <w:szCs w:val="21"/>
              </w:rPr>
            </w:pPr>
            <w:r>
              <w:rPr>
                <w:rFonts w:hint="eastAsia" w:ascii="宋体" w:hAnsi="宋体" w:cs="宋体"/>
                <w:szCs w:val="21"/>
              </w:rPr>
              <w:t>2</w:t>
            </w:r>
          </w:p>
        </w:tc>
        <w:tc>
          <w:tcPr>
            <w:tcW w:w="3614" w:type="dxa"/>
            <w:vAlign w:val="center"/>
          </w:tcPr>
          <w:p w14:paraId="166206BF">
            <w:pPr>
              <w:spacing w:line="360" w:lineRule="auto"/>
              <w:jc w:val="center"/>
              <w:rPr>
                <w:rFonts w:ascii="宋体" w:hAnsi="宋体" w:cs="宋体"/>
                <w:szCs w:val="21"/>
              </w:rPr>
            </w:pPr>
            <w:r>
              <w:rPr>
                <w:rFonts w:hint="eastAsia" w:ascii="宋体" w:hAnsi="宋体" w:cs="宋体"/>
                <w:szCs w:val="21"/>
              </w:rPr>
              <w:t>投标文件中承诺的投标有效期不少于招标文件中载明的投标有效期。</w:t>
            </w:r>
          </w:p>
        </w:tc>
        <w:tc>
          <w:tcPr>
            <w:tcW w:w="3383" w:type="dxa"/>
            <w:vAlign w:val="center"/>
          </w:tcPr>
          <w:p w14:paraId="49A98C67">
            <w:pPr>
              <w:spacing w:line="360" w:lineRule="auto"/>
              <w:rPr>
                <w:rFonts w:ascii="宋体" w:hAnsi="宋体" w:cs="宋体"/>
                <w:szCs w:val="21"/>
              </w:rPr>
            </w:pPr>
            <w:r>
              <w:rPr>
                <w:rFonts w:hint="eastAsia" w:ascii="宋体" w:hAnsi="宋体" w:cs="宋体"/>
                <w:szCs w:val="21"/>
              </w:rPr>
              <w:t>投标函</w:t>
            </w:r>
          </w:p>
        </w:tc>
        <w:tc>
          <w:tcPr>
            <w:tcW w:w="1963" w:type="dxa"/>
            <w:vAlign w:val="center"/>
          </w:tcPr>
          <w:p w14:paraId="087C1C0B">
            <w:pPr>
              <w:pStyle w:val="3"/>
              <w:jc w:val="center"/>
              <w:rPr>
                <w:rFonts w:ascii="宋体" w:hAnsi="宋体" w:cs="宋体"/>
                <w:szCs w:val="21"/>
                <w:lang w:val="en-US"/>
              </w:rPr>
            </w:pPr>
            <w:r>
              <w:rPr>
                <w:rFonts w:hint="eastAsia" w:ascii="宋体" w:hAnsi="宋体" w:cs="宋体"/>
                <w:szCs w:val="21"/>
              </w:rPr>
              <w:t>见投标文件</w:t>
            </w:r>
            <w:r>
              <w:rPr>
                <w:rFonts w:hint="eastAsia" w:ascii="宋体" w:hAnsi="宋体" w:cs="宋体"/>
                <w:b w:val="0"/>
                <w:bCs w:val="0"/>
                <w:szCs w:val="21"/>
                <w:lang w:val="en-US"/>
              </w:rPr>
              <w:t>第</w:t>
            </w:r>
            <w:r>
              <w:rPr>
                <w:rFonts w:hint="eastAsia" w:ascii="宋体" w:hAnsi="宋体" w:cs="宋体"/>
                <w:b w:val="0"/>
                <w:bCs w:val="0"/>
                <w:szCs w:val="21"/>
                <w:u w:val="single"/>
                <w:lang w:val="en-US"/>
              </w:rPr>
              <w:t xml:space="preserve">  </w:t>
            </w:r>
            <w:r>
              <w:rPr>
                <w:rFonts w:hint="eastAsia" w:ascii="宋体" w:hAnsi="宋体" w:cs="宋体"/>
                <w:b w:val="0"/>
                <w:bCs w:val="0"/>
                <w:szCs w:val="21"/>
                <w:lang w:val="en-US"/>
              </w:rPr>
              <w:t>页</w:t>
            </w:r>
          </w:p>
        </w:tc>
      </w:tr>
      <w:tr w14:paraId="2E89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38A725">
            <w:pPr>
              <w:spacing w:line="360" w:lineRule="auto"/>
              <w:jc w:val="center"/>
              <w:rPr>
                <w:rFonts w:ascii="宋体" w:hAnsi="宋体" w:cs="宋体"/>
                <w:szCs w:val="21"/>
              </w:rPr>
            </w:pPr>
            <w:r>
              <w:rPr>
                <w:rFonts w:hint="eastAsia" w:ascii="宋体" w:hAnsi="宋体" w:cs="宋体"/>
                <w:szCs w:val="21"/>
              </w:rPr>
              <w:t>3</w:t>
            </w:r>
          </w:p>
        </w:tc>
        <w:tc>
          <w:tcPr>
            <w:tcW w:w="3614" w:type="dxa"/>
            <w:vAlign w:val="center"/>
          </w:tcPr>
          <w:p w14:paraId="3570FCF3">
            <w:pPr>
              <w:spacing w:line="360" w:lineRule="auto"/>
              <w:jc w:val="center"/>
              <w:rPr>
                <w:rFonts w:ascii="宋体" w:hAnsi="宋体" w:cs="宋体"/>
                <w:szCs w:val="21"/>
              </w:rPr>
            </w:pPr>
            <w:r>
              <w:rPr>
                <w:rFonts w:hint="eastAsia" w:ascii="宋体" w:hAnsi="宋体" w:cs="宋体"/>
                <w:szCs w:val="21"/>
              </w:rPr>
              <w:t>投标文件满足招标文件的其它实质性要求。</w:t>
            </w:r>
          </w:p>
        </w:tc>
        <w:tc>
          <w:tcPr>
            <w:tcW w:w="3383" w:type="dxa"/>
            <w:vAlign w:val="center"/>
          </w:tcPr>
          <w:p w14:paraId="4AA4CD32">
            <w:pPr>
              <w:spacing w:line="360" w:lineRule="auto"/>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963" w:type="dxa"/>
            <w:vAlign w:val="center"/>
          </w:tcPr>
          <w:p w14:paraId="2F60C59E">
            <w:pPr>
              <w:spacing w:line="360" w:lineRule="auto"/>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14:paraId="7E168446">
      <w:pPr>
        <w:spacing w:line="360" w:lineRule="auto"/>
        <w:ind w:right="420"/>
        <w:rPr>
          <w:rFonts w:ascii="宋体" w:hAnsi="宋体" w:cs="宋体"/>
          <w:szCs w:val="21"/>
        </w:rPr>
      </w:pPr>
      <w:r>
        <w:rPr>
          <w:rFonts w:hint="eastAsia" w:ascii="宋体" w:hAnsi="宋体" w:cs="宋体"/>
          <w:szCs w:val="21"/>
        </w:rPr>
        <w:t>注：按本格式和要求提供。</w:t>
      </w:r>
    </w:p>
    <w:p w14:paraId="40DD79CD">
      <w:pPr>
        <w:spacing w:line="360" w:lineRule="auto"/>
        <w:jc w:val="center"/>
        <w:rPr>
          <w:rFonts w:ascii="宋体" w:hAnsi="宋体" w:cs="宋体"/>
          <w:b/>
          <w:kern w:val="0"/>
          <w:szCs w:val="21"/>
        </w:rPr>
      </w:pPr>
    </w:p>
    <w:p w14:paraId="0B96776E">
      <w:pPr>
        <w:spacing w:line="360" w:lineRule="auto"/>
        <w:jc w:val="center"/>
        <w:rPr>
          <w:rFonts w:ascii="宋体" w:hAnsi="宋体" w:cs="宋体"/>
          <w:b/>
          <w:kern w:val="0"/>
          <w:szCs w:val="21"/>
        </w:rPr>
      </w:pPr>
    </w:p>
    <w:p w14:paraId="26707527">
      <w:pPr>
        <w:spacing w:line="360" w:lineRule="auto"/>
        <w:jc w:val="center"/>
        <w:rPr>
          <w:rFonts w:ascii="宋体" w:hAnsi="宋体" w:cs="宋体"/>
          <w:b/>
          <w:kern w:val="0"/>
          <w:szCs w:val="21"/>
        </w:rPr>
      </w:pPr>
    </w:p>
    <w:p w14:paraId="434B29DE">
      <w:pPr>
        <w:spacing w:line="360" w:lineRule="auto"/>
        <w:jc w:val="center"/>
        <w:rPr>
          <w:rFonts w:ascii="宋体" w:hAnsi="宋体" w:cs="宋体"/>
          <w:b/>
          <w:kern w:val="0"/>
          <w:szCs w:val="21"/>
        </w:rPr>
      </w:pPr>
    </w:p>
    <w:p w14:paraId="3591F52D">
      <w:pPr>
        <w:spacing w:line="360" w:lineRule="auto"/>
        <w:jc w:val="center"/>
        <w:rPr>
          <w:rFonts w:ascii="宋体" w:hAnsi="宋体" w:cs="宋体"/>
          <w:b/>
          <w:kern w:val="0"/>
          <w:szCs w:val="21"/>
        </w:rPr>
      </w:pPr>
    </w:p>
    <w:p w14:paraId="3B779CC9">
      <w:pPr>
        <w:spacing w:line="360" w:lineRule="auto"/>
        <w:jc w:val="center"/>
        <w:rPr>
          <w:rFonts w:ascii="宋体" w:hAnsi="宋体" w:cs="宋体"/>
          <w:b/>
          <w:kern w:val="0"/>
          <w:szCs w:val="21"/>
        </w:rPr>
      </w:pPr>
    </w:p>
    <w:p w14:paraId="76C691E6">
      <w:pPr>
        <w:spacing w:line="360" w:lineRule="auto"/>
        <w:jc w:val="center"/>
        <w:rPr>
          <w:rFonts w:ascii="宋体" w:hAnsi="宋体" w:cs="宋体"/>
          <w:b/>
          <w:kern w:val="0"/>
          <w:szCs w:val="21"/>
        </w:rPr>
      </w:pPr>
    </w:p>
    <w:p w14:paraId="3AD81E50">
      <w:pPr>
        <w:spacing w:line="360" w:lineRule="auto"/>
        <w:jc w:val="center"/>
        <w:rPr>
          <w:rFonts w:ascii="宋体" w:hAnsi="宋体" w:cs="宋体"/>
          <w:b/>
          <w:kern w:val="0"/>
          <w:szCs w:val="21"/>
        </w:rPr>
      </w:pPr>
    </w:p>
    <w:p w14:paraId="100FC359">
      <w:pPr>
        <w:spacing w:line="360" w:lineRule="auto"/>
        <w:jc w:val="center"/>
        <w:rPr>
          <w:rFonts w:ascii="宋体" w:hAnsi="宋体" w:cs="宋体"/>
          <w:b/>
          <w:kern w:val="0"/>
          <w:szCs w:val="21"/>
        </w:rPr>
      </w:pPr>
    </w:p>
    <w:p w14:paraId="47C5F078">
      <w:pPr>
        <w:spacing w:line="360" w:lineRule="auto"/>
        <w:jc w:val="center"/>
        <w:rPr>
          <w:rFonts w:ascii="宋体" w:hAnsi="宋体" w:cs="宋体"/>
          <w:b/>
          <w:kern w:val="0"/>
          <w:szCs w:val="21"/>
        </w:rPr>
      </w:pPr>
    </w:p>
    <w:p w14:paraId="0FA6FBD8">
      <w:pPr>
        <w:spacing w:line="360" w:lineRule="auto"/>
        <w:jc w:val="center"/>
        <w:rPr>
          <w:rFonts w:ascii="宋体" w:hAnsi="宋体" w:cs="宋体"/>
          <w:b/>
          <w:kern w:val="0"/>
          <w:szCs w:val="21"/>
        </w:rPr>
      </w:pPr>
    </w:p>
    <w:p w14:paraId="1418558E">
      <w:pPr>
        <w:spacing w:line="360" w:lineRule="auto"/>
        <w:jc w:val="center"/>
        <w:rPr>
          <w:rFonts w:ascii="宋体" w:hAnsi="宋体" w:cs="宋体"/>
          <w:b/>
          <w:kern w:val="0"/>
          <w:szCs w:val="21"/>
        </w:rPr>
      </w:pPr>
    </w:p>
    <w:p w14:paraId="0496D206">
      <w:pPr>
        <w:spacing w:line="360" w:lineRule="auto"/>
        <w:jc w:val="center"/>
        <w:rPr>
          <w:rFonts w:ascii="宋体" w:hAnsi="宋体" w:cs="宋体"/>
          <w:b/>
          <w:kern w:val="0"/>
          <w:szCs w:val="21"/>
        </w:rPr>
      </w:pPr>
    </w:p>
    <w:p w14:paraId="2903F4D1">
      <w:pPr>
        <w:spacing w:line="360" w:lineRule="auto"/>
        <w:rPr>
          <w:rFonts w:ascii="宋体" w:hAnsi="宋体" w:cs="宋体"/>
          <w:b/>
          <w:kern w:val="0"/>
          <w:szCs w:val="21"/>
        </w:rPr>
      </w:pPr>
      <w:r>
        <w:rPr>
          <w:rFonts w:hint="eastAsia" w:ascii="宋体" w:hAnsi="宋体" w:cs="宋体"/>
          <w:b/>
          <w:kern w:val="0"/>
          <w:szCs w:val="21"/>
        </w:rPr>
        <w:br w:type="page"/>
      </w:r>
    </w:p>
    <w:p w14:paraId="17D3B817">
      <w:pPr>
        <w:pStyle w:val="4"/>
        <w:rPr>
          <w:szCs w:val="21"/>
        </w:rPr>
      </w:pPr>
      <w:r>
        <w:rPr>
          <w:rFonts w:hint="eastAsia"/>
          <w:szCs w:val="21"/>
        </w:rPr>
        <w:t>五、评标标准相应的商务技术资料</w:t>
      </w:r>
    </w:p>
    <w:p w14:paraId="304A0CBE">
      <w:pPr>
        <w:snapToGrid w:val="0"/>
        <w:spacing w:line="360"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14:paraId="23D7AC51">
      <w:pPr>
        <w:spacing w:line="360" w:lineRule="auto"/>
        <w:jc w:val="center"/>
        <w:rPr>
          <w:rFonts w:ascii="仿宋_GB2312" w:hAnsi="仿宋" w:eastAsia="仿宋_GB2312" w:cs="仿宋_GB2312"/>
          <w:b/>
          <w:kern w:val="0"/>
          <w:szCs w:val="21"/>
        </w:rPr>
      </w:pPr>
    </w:p>
    <w:p w14:paraId="23FA6A5B">
      <w:pPr>
        <w:spacing w:line="360" w:lineRule="auto"/>
        <w:jc w:val="center"/>
        <w:rPr>
          <w:rFonts w:ascii="仿宋_GB2312" w:hAnsi="仿宋" w:eastAsia="仿宋_GB2312" w:cs="仿宋_GB2312"/>
          <w:b/>
          <w:kern w:val="0"/>
          <w:szCs w:val="21"/>
        </w:rPr>
      </w:pPr>
    </w:p>
    <w:p w14:paraId="58CEF11C">
      <w:pPr>
        <w:pStyle w:val="4"/>
        <w:rPr>
          <w:szCs w:val="21"/>
        </w:rPr>
      </w:pPr>
      <w:r>
        <w:rPr>
          <w:rFonts w:hint="eastAsia"/>
          <w:szCs w:val="21"/>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30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04A706">
            <w:pPr>
              <w:spacing w:line="360" w:lineRule="auto"/>
              <w:jc w:val="center"/>
              <w:rPr>
                <w:rFonts w:ascii="宋体" w:hAnsi="宋体" w:cs="宋体"/>
                <w:b/>
                <w:szCs w:val="21"/>
              </w:rPr>
            </w:pPr>
            <w:r>
              <w:rPr>
                <w:rFonts w:hint="eastAsia" w:ascii="宋体" w:hAnsi="宋体" w:cs="宋体"/>
                <w:b/>
                <w:szCs w:val="21"/>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B886194">
            <w:pPr>
              <w:spacing w:line="360" w:lineRule="auto"/>
              <w:jc w:val="center"/>
              <w:rPr>
                <w:rFonts w:ascii="宋体" w:hAnsi="宋体" w:cs="宋体"/>
                <w:b/>
                <w:szCs w:val="21"/>
              </w:rPr>
            </w:pPr>
            <w:r>
              <w:rPr>
                <w:rFonts w:hint="eastAsia" w:ascii="宋体" w:hAnsi="宋体" w:cs="宋体"/>
                <w:b/>
                <w:szCs w:val="21"/>
              </w:rPr>
              <w:t>名称</w:t>
            </w:r>
          </w:p>
        </w:tc>
        <w:tc>
          <w:tcPr>
            <w:tcW w:w="1114" w:type="dxa"/>
            <w:tcBorders>
              <w:top w:val="single" w:color="auto" w:sz="4" w:space="0"/>
              <w:left w:val="single" w:color="auto" w:sz="4" w:space="0"/>
              <w:bottom w:val="single" w:color="auto" w:sz="4" w:space="0"/>
              <w:right w:val="single" w:color="auto" w:sz="4" w:space="0"/>
            </w:tcBorders>
          </w:tcPr>
          <w:p w14:paraId="4A1440C8">
            <w:pPr>
              <w:spacing w:line="360" w:lineRule="auto"/>
              <w:jc w:val="center"/>
              <w:rPr>
                <w:rFonts w:ascii="宋体" w:hAnsi="宋体" w:cs="宋体"/>
                <w:b/>
                <w:szCs w:val="21"/>
              </w:rPr>
            </w:pPr>
          </w:p>
          <w:p w14:paraId="06062694">
            <w:pPr>
              <w:spacing w:line="360" w:lineRule="auto"/>
              <w:jc w:val="center"/>
              <w:rPr>
                <w:rFonts w:ascii="宋体" w:hAnsi="宋体" w:cs="宋体"/>
                <w:b/>
                <w:szCs w:val="21"/>
              </w:rPr>
            </w:pPr>
            <w:r>
              <w:rPr>
                <w:rFonts w:hint="eastAsia" w:ascii="宋体" w:hAnsi="宋体" w:cs="宋体"/>
                <w:b/>
                <w:szCs w:val="21"/>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02C126">
            <w:pPr>
              <w:spacing w:line="360" w:lineRule="auto"/>
              <w:jc w:val="center"/>
              <w:rPr>
                <w:rFonts w:ascii="宋体" w:hAnsi="宋体" w:cs="宋体"/>
                <w:b/>
                <w:szCs w:val="21"/>
              </w:rPr>
            </w:pPr>
            <w:r>
              <w:rPr>
                <w:rFonts w:hint="eastAsia" w:ascii="宋体" w:hAnsi="宋体" w:cs="宋体"/>
                <w:b/>
                <w:szCs w:val="21"/>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5B8B049">
            <w:pPr>
              <w:spacing w:line="360" w:lineRule="auto"/>
              <w:jc w:val="center"/>
              <w:rPr>
                <w:rFonts w:ascii="宋体" w:hAnsi="宋体" w:cs="宋体"/>
                <w:b/>
                <w:szCs w:val="21"/>
              </w:rPr>
            </w:pPr>
            <w:r>
              <w:rPr>
                <w:rFonts w:hint="eastAsia" w:ascii="宋体" w:hAnsi="宋体" w:cs="宋体"/>
                <w:b/>
                <w:szCs w:val="21"/>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94FC66C">
            <w:pPr>
              <w:spacing w:line="360" w:lineRule="auto"/>
              <w:jc w:val="center"/>
              <w:rPr>
                <w:rFonts w:ascii="宋体" w:hAnsi="宋体" w:cs="宋体"/>
                <w:b/>
                <w:szCs w:val="21"/>
              </w:rPr>
            </w:pPr>
            <w:r>
              <w:rPr>
                <w:rFonts w:hint="eastAsia" w:ascii="宋体" w:hAnsi="宋体" w:cs="宋体"/>
                <w:b/>
                <w:szCs w:val="21"/>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7BF845">
            <w:pPr>
              <w:spacing w:line="360" w:lineRule="auto"/>
              <w:jc w:val="center"/>
              <w:rPr>
                <w:rFonts w:ascii="宋体" w:hAnsi="宋体" w:cs="宋体"/>
                <w:b/>
                <w:szCs w:val="21"/>
              </w:rPr>
            </w:pPr>
          </w:p>
          <w:p w14:paraId="02F06382">
            <w:pPr>
              <w:spacing w:line="360" w:lineRule="auto"/>
              <w:jc w:val="center"/>
              <w:rPr>
                <w:rFonts w:ascii="宋体" w:hAnsi="宋体" w:cs="宋体"/>
                <w:b/>
                <w:szCs w:val="21"/>
              </w:rPr>
            </w:pPr>
            <w:r>
              <w:rPr>
                <w:rFonts w:hint="eastAsia" w:ascii="宋体" w:hAnsi="宋体" w:cs="宋体"/>
                <w:b/>
                <w:szCs w:val="21"/>
              </w:rPr>
              <w:t>备注（如果有）</w:t>
            </w:r>
          </w:p>
          <w:p w14:paraId="5B26300B">
            <w:pPr>
              <w:spacing w:line="360" w:lineRule="auto"/>
              <w:jc w:val="center"/>
              <w:rPr>
                <w:rFonts w:ascii="宋体" w:hAnsi="宋体" w:cs="宋体"/>
                <w:b/>
                <w:szCs w:val="21"/>
              </w:rPr>
            </w:pPr>
          </w:p>
        </w:tc>
      </w:tr>
      <w:tr w14:paraId="2826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DF371E">
            <w:pPr>
              <w:spacing w:line="360" w:lineRule="auto"/>
              <w:jc w:val="center"/>
              <w:rPr>
                <w:rFonts w:ascii="宋体" w:hAnsi="宋体" w:cs="宋体"/>
                <w:szCs w:val="21"/>
              </w:rPr>
            </w:pPr>
            <w:r>
              <w:rPr>
                <w:rFonts w:hint="eastAsia" w:ascii="宋体" w:hAnsi="宋体" w:cs="宋体"/>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524C65">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5499802">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3594BFD">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63C4D26B">
            <w:pPr>
              <w:spacing w:line="360" w:lineRule="auto"/>
              <w:jc w:val="center"/>
              <w:rPr>
                <w:rFonts w:ascii="宋体" w:hAnsi="宋体" w:cs="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14:paraId="10C944D7">
            <w:pPr>
              <w:spacing w:line="360" w:lineRule="auto"/>
              <w:jc w:val="center"/>
              <w:rPr>
                <w:rFonts w:ascii="宋体" w:hAnsi="宋体" w:cs="宋体"/>
                <w:szCs w:val="21"/>
              </w:rPr>
            </w:pPr>
          </w:p>
        </w:tc>
        <w:tc>
          <w:tcPr>
            <w:tcW w:w="1526" w:type="dxa"/>
            <w:tcBorders>
              <w:top w:val="single" w:color="auto" w:sz="4" w:space="0"/>
              <w:left w:val="single" w:color="auto" w:sz="4" w:space="0"/>
              <w:bottom w:val="single" w:color="auto" w:sz="4" w:space="0"/>
              <w:right w:val="single" w:color="auto" w:sz="4" w:space="0"/>
            </w:tcBorders>
            <w:vAlign w:val="center"/>
          </w:tcPr>
          <w:p w14:paraId="1462AA26">
            <w:pPr>
              <w:spacing w:line="360" w:lineRule="auto"/>
              <w:jc w:val="center"/>
              <w:rPr>
                <w:rFonts w:ascii="宋体" w:hAnsi="宋体" w:cs="宋体"/>
                <w:szCs w:val="21"/>
              </w:rPr>
            </w:pPr>
          </w:p>
        </w:tc>
      </w:tr>
      <w:tr w14:paraId="293D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082C72">
            <w:pPr>
              <w:spacing w:line="360" w:lineRule="auto"/>
              <w:jc w:val="center"/>
              <w:rPr>
                <w:rFonts w:ascii="宋体" w:hAnsi="宋体" w:cs="宋体"/>
                <w:szCs w:val="21"/>
              </w:rPr>
            </w:pPr>
            <w:r>
              <w:rPr>
                <w:rFonts w:hint="eastAsia" w:ascii="宋体" w:hAnsi="宋体" w:cs="宋体"/>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9DEE1A">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EC4295F">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673F7C1">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39F48393">
            <w:pPr>
              <w:spacing w:line="360" w:lineRule="auto"/>
              <w:jc w:val="center"/>
              <w:rPr>
                <w:rFonts w:ascii="宋体" w:hAnsi="宋体" w:cs="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14:paraId="74687DC8">
            <w:pPr>
              <w:spacing w:line="360" w:lineRule="auto"/>
              <w:jc w:val="center"/>
              <w:rPr>
                <w:rFonts w:ascii="宋体" w:hAnsi="宋体" w:cs="宋体"/>
                <w:szCs w:val="21"/>
              </w:rPr>
            </w:pPr>
          </w:p>
        </w:tc>
        <w:tc>
          <w:tcPr>
            <w:tcW w:w="1526" w:type="dxa"/>
            <w:tcBorders>
              <w:top w:val="single" w:color="auto" w:sz="4" w:space="0"/>
              <w:left w:val="single" w:color="auto" w:sz="4" w:space="0"/>
              <w:bottom w:val="single" w:color="auto" w:sz="4" w:space="0"/>
              <w:right w:val="single" w:color="auto" w:sz="4" w:space="0"/>
            </w:tcBorders>
            <w:vAlign w:val="center"/>
          </w:tcPr>
          <w:p w14:paraId="67AE6AA0">
            <w:pPr>
              <w:spacing w:line="360" w:lineRule="auto"/>
              <w:jc w:val="center"/>
              <w:rPr>
                <w:rFonts w:ascii="宋体" w:hAnsi="宋体" w:cs="宋体"/>
                <w:szCs w:val="21"/>
              </w:rPr>
            </w:pPr>
          </w:p>
        </w:tc>
      </w:tr>
      <w:tr w14:paraId="5147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133D1">
            <w:pPr>
              <w:spacing w:line="360" w:lineRule="auto"/>
              <w:jc w:val="center"/>
              <w:rPr>
                <w:rFonts w:ascii="宋体" w:hAnsi="宋体" w:cs="宋体"/>
                <w:szCs w:val="21"/>
              </w:rPr>
            </w:pPr>
            <w:r>
              <w:rPr>
                <w:rFonts w:hint="eastAsia" w:ascii="宋体" w:hAnsi="宋体" w:cs="宋体"/>
                <w:szCs w:val="21"/>
              </w:rPr>
              <w:t>……</w:t>
            </w:r>
          </w:p>
        </w:tc>
        <w:tc>
          <w:tcPr>
            <w:tcW w:w="1369" w:type="dxa"/>
            <w:tcBorders>
              <w:top w:val="single" w:color="auto" w:sz="4" w:space="0"/>
              <w:left w:val="single" w:color="auto" w:sz="4" w:space="0"/>
              <w:bottom w:val="single" w:color="auto" w:sz="4" w:space="0"/>
              <w:right w:val="single" w:color="auto" w:sz="4" w:space="0"/>
            </w:tcBorders>
            <w:vAlign w:val="center"/>
          </w:tcPr>
          <w:p w14:paraId="133DACA0">
            <w:pPr>
              <w:snapToGrid w:val="0"/>
              <w:spacing w:line="360" w:lineRule="auto"/>
              <w:jc w:val="center"/>
              <w:rPr>
                <w:rFonts w:ascii="宋体" w:hAns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4014257B">
            <w:pPr>
              <w:snapToGrid w:val="0"/>
              <w:spacing w:line="360" w:lineRule="auto"/>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FEEB1BA">
            <w:pPr>
              <w:snapToGrid w:val="0"/>
              <w:spacing w:line="360" w:lineRule="auto"/>
              <w:jc w:val="center"/>
              <w:rPr>
                <w:rFonts w:ascii="宋体" w:hAnsi="宋体" w:cs="宋体"/>
                <w:szCs w:val="21"/>
              </w:rPr>
            </w:pPr>
          </w:p>
        </w:tc>
        <w:tc>
          <w:tcPr>
            <w:tcW w:w="2775" w:type="dxa"/>
            <w:tcBorders>
              <w:top w:val="single" w:color="auto" w:sz="4" w:space="0"/>
              <w:left w:val="single" w:color="auto" w:sz="4" w:space="0"/>
              <w:bottom w:val="single" w:color="auto" w:sz="4" w:space="0"/>
              <w:right w:val="single" w:color="auto" w:sz="4" w:space="0"/>
            </w:tcBorders>
            <w:vAlign w:val="center"/>
          </w:tcPr>
          <w:p w14:paraId="632528CD">
            <w:pPr>
              <w:spacing w:line="360" w:lineRule="auto"/>
              <w:jc w:val="center"/>
              <w:rPr>
                <w:rFonts w:ascii="宋体" w:hAnsi="宋体" w:cs="宋体"/>
                <w:szCs w:val="21"/>
              </w:rPr>
            </w:pPr>
          </w:p>
        </w:tc>
        <w:tc>
          <w:tcPr>
            <w:tcW w:w="930" w:type="dxa"/>
            <w:tcBorders>
              <w:top w:val="single" w:color="auto" w:sz="4" w:space="0"/>
              <w:left w:val="single" w:color="auto" w:sz="4" w:space="0"/>
              <w:bottom w:val="single" w:color="auto" w:sz="4" w:space="0"/>
              <w:right w:val="single" w:color="auto" w:sz="4" w:space="0"/>
            </w:tcBorders>
            <w:vAlign w:val="center"/>
          </w:tcPr>
          <w:p w14:paraId="239B2075">
            <w:pPr>
              <w:spacing w:line="360" w:lineRule="auto"/>
              <w:jc w:val="center"/>
              <w:rPr>
                <w:rFonts w:ascii="宋体" w:hAnsi="宋体" w:cs="宋体"/>
                <w:szCs w:val="21"/>
              </w:rPr>
            </w:pPr>
          </w:p>
        </w:tc>
        <w:tc>
          <w:tcPr>
            <w:tcW w:w="1526" w:type="dxa"/>
            <w:tcBorders>
              <w:top w:val="single" w:color="auto" w:sz="4" w:space="0"/>
              <w:left w:val="single" w:color="auto" w:sz="4" w:space="0"/>
              <w:bottom w:val="single" w:color="auto" w:sz="4" w:space="0"/>
              <w:right w:val="single" w:color="auto" w:sz="4" w:space="0"/>
            </w:tcBorders>
            <w:vAlign w:val="center"/>
          </w:tcPr>
          <w:p w14:paraId="1138F622">
            <w:pPr>
              <w:spacing w:line="360" w:lineRule="auto"/>
              <w:jc w:val="center"/>
              <w:rPr>
                <w:rFonts w:ascii="宋体" w:hAnsi="宋体" w:cs="宋体"/>
                <w:szCs w:val="21"/>
              </w:rPr>
            </w:pPr>
          </w:p>
        </w:tc>
      </w:tr>
    </w:tbl>
    <w:p w14:paraId="3324EFCA">
      <w:pPr>
        <w:spacing w:line="360" w:lineRule="auto"/>
        <w:ind w:right="420"/>
        <w:rPr>
          <w:rFonts w:ascii="宋体" w:hAnsi="宋体" w:cs="宋体"/>
          <w:szCs w:val="21"/>
        </w:rPr>
      </w:pPr>
      <w:r>
        <w:rPr>
          <w:rFonts w:hint="eastAsia" w:ascii="宋体" w:hAnsi="宋体" w:cs="宋体"/>
          <w:szCs w:val="21"/>
        </w:rPr>
        <w:t>注：按本格式和要求提供。</w:t>
      </w:r>
    </w:p>
    <w:p w14:paraId="2B0FF645">
      <w:pPr>
        <w:spacing w:line="360" w:lineRule="auto"/>
        <w:jc w:val="center"/>
        <w:rPr>
          <w:rFonts w:ascii="宋体" w:hAnsi="宋体" w:cs="宋体"/>
          <w:b/>
          <w:kern w:val="0"/>
          <w:szCs w:val="21"/>
        </w:rPr>
      </w:pPr>
    </w:p>
    <w:p w14:paraId="1E677F66">
      <w:pPr>
        <w:pStyle w:val="4"/>
        <w:numPr>
          <w:ilvl w:val="0"/>
          <w:numId w:val="8"/>
        </w:numPr>
        <w:rPr>
          <w:szCs w:val="21"/>
        </w:rPr>
      </w:pPr>
      <w:r>
        <w:rPr>
          <w:rFonts w:hint="eastAsia"/>
          <w:szCs w:val="21"/>
        </w:rPr>
        <w:t>商务技术偏离表</w:t>
      </w:r>
    </w:p>
    <w:p w14:paraId="038F26BA">
      <w:pPr>
        <w:spacing w:line="360" w:lineRule="auto"/>
        <w:rPr>
          <w:szCs w:val="21"/>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60CD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25CD69AA">
            <w:pPr>
              <w:spacing w:line="360" w:lineRule="auto"/>
              <w:jc w:val="center"/>
              <w:rPr>
                <w:rFonts w:ascii="宋体" w:hAnsi="宋体" w:cs="宋体"/>
                <w:b/>
                <w:bCs/>
                <w:szCs w:val="21"/>
              </w:rPr>
            </w:pPr>
            <w:r>
              <w:rPr>
                <w:rFonts w:hint="eastAsia" w:ascii="宋体" w:hAnsi="宋体" w:cs="宋体"/>
                <w:b/>
                <w:bCs/>
                <w:szCs w:val="21"/>
              </w:rPr>
              <w:t>序号</w:t>
            </w:r>
          </w:p>
        </w:tc>
        <w:tc>
          <w:tcPr>
            <w:tcW w:w="3689" w:type="dxa"/>
          </w:tcPr>
          <w:p w14:paraId="545B6C28">
            <w:pPr>
              <w:spacing w:line="360" w:lineRule="auto"/>
              <w:jc w:val="center"/>
              <w:rPr>
                <w:rFonts w:ascii="宋体" w:hAnsi="宋体" w:cs="宋体"/>
                <w:b/>
                <w:bCs/>
                <w:szCs w:val="21"/>
              </w:rPr>
            </w:pPr>
            <w:r>
              <w:rPr>
                <w:rFonts w:hint="eastAsia" w:ascii="宋体" w:hAnsi="宋体" w:cs="宋体"/>
                <w:b/>
                <w:bCs/>
                <w:szCs w:val="21"/>
              </w:rPr>
              <w:t>招标文件章节及具体内容</w:t>
            </w:r>
          </w:p>
        </w:tc>
        <w:tc>
          <w:tcPr>
            <w:tcW w:w="3551" w:type="dxa"/>
          </w:tcPr>
          <w:p w14:paraId="52512CB9">
            <w:pPr>
              <w:spacing w:line="360" w:lineRule="auto"/>
              <w:jc w:val="center"/>
              <w:rPr>
                <w:rFonts w:ascii="宋体" w:hAnsi="宋体" w:cs="宋体"/>
                <w:b/>
                <w:bCs/>
                <w:szCs w:val="21"/>
              </w:rPr>
            </w:pPr>
            <w:r>
              <w:rPr>
                <w:rFonts w:hint="eastAsia" w:ascii="宋体" w:hAnsi="宋体" w:cs="宋体"/>
                <w:b/>
                <w:bCs/>
                <w:szCs w:val="21"/>
              </w:rPr>
              <w:t>投标文件章节及具体内容</w:t>
            </w:r>
          </w:p>
        </w:tc>
        <w:tc>
          <w:tcPr>
            <w:tcW w:w="1278" w:type="dxa"/>
          </w:tcPr>
          <w:p w14:paraId="0F2D8828">
            <w:pPr>
              <w:spacing w:line="360" w:lineRule="auto"/>
              <w:jc w:val="center"/>
              <w:rPr>
                <w:rFonts w:ascii="宋体" w:hAnsi="宋体" w:cs="宋体"/>
                <w:b/>
                <w:bCs/>
                <w:szCs w:val="21"/>
              </w:rPr>
            </w:pPr>
            <w:r>
              <w:rPr>
                <w:rFonts w:hint="eastAsia" w:ascii="宋体" w:hAnsi="宋体" w:cs="宋体"/>
                <w:b/>
                <w:bCs/>
                <w:szCs w:val="21"/>
              </w:rPr>
              <w:t>偏离说明</w:t>
            </w:r>
          </w:p>
        </w:tc>
      </w:tr>
      <w:tr w14:paraId="5146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7DBAB5B">
            <w:pPr>
              <w:spacing w:line="360" w:lineRule="auto"/>
              <w:jc w:val="center"/>
              <w:rPr>
                <w:rFonts w:ascii="宋体" w:hAnsi="宋体" w:cs="宋体"/>
                <w:kern w:val="0"/>
                <w:szCs w:val="21"/>
              </w:rPr>
            </w:pPr>
            <w:r>
              <w:rPr>
                <w:rFonts w:hint="eastAsia" w:ascii="宋体" w:hAnsi="宋体" w:cs="宋体"/>
                <w:kern w:val="0"/>
                <w:szCs w:val="21"/>
              </w:rPr>
              <w:t>1</w:t>
            </w:r>
          </w:p>
        </w:tc>
        <w:tc>
          <w:tcPr>
            <w:tcW w:w="3689" w:type="dxa"/>
          </w:tcPr>
          <w:p w14:paraId="0149942F">
            <w:pPr>
              <w:spacing w:line="360" w:lineRule="auto"/>
              <w:jc w:val="center"/>
              <w:rPr>
                <w:rFonts w:ascii="宋体" w:hAnsi="宋体" w:cs="宋体"/>
                <w:bCs/>
                <w:kern w:val="0"/>
                <w:szCs w:val="21"/>
              </w:rPr>
            </w:pPr>
          </w:p>
        </w:tc>
        <w:tc>
          <w:tcPr>
            <w:tcW w:w="3551" w:type="dxa"/>
          </w:tcPr>
          <w:p w14:paraId="7EC6858B">
            <w:pPr>
              <w:spacing w:line="360" w:lineRule="auto"/>
              <w:jc w:val="center"/>
              <w:rPr>
                <w:rFonts w:hint="eastAsia" w:ascii="宋体" w:hAnsi="宋体" w:eastAsia="宋体" w:cs="宋体"/>
                <w:bCs/>
                <w:kern w:val="0"/>
                <w:szCs w:val="21"/>
                <w:lang w:eastAsia="zh-CN"/>
              </w:rPr>
            </w:pPr>
            <w:r>
              <w:rPr>
                <w:rFonts w:hint="eastAsia" w:ascii="宋体" w:hAnsi="宋体" w:cs="宋体"/>
                <w:bCs/>
                <w:kern w:val="0"/>
                <w:szCs w:val="21"/>
              </w:rPr>
              <w:t>对</w:t>
            </w:r>
            <w:r>
              <w:rPr>
                <w:rFonts w:ascii="宋体" w:hAnsi="宋体" w:cs="宋体"/>
                <w:bCs/>
                <w:kern w:val="0"/>
                <w:szCs w:val="21"/>
              </w:rPr>
              <w:t>带★</w:t>
            </w:r>
            <w:r>
              <w:rPr>
                <w:rFonts w:hint="eastAsia" w:ascii="宋体" w:hAnsi="宋体" w:cs="宋体"/>
                <w:bCs/>
                <w:kern w:val="0"/>
                <w:szCs w:val="21"/>
              </w:rPr>
              <w:t>的关键条款，</w:t>
            </w:r>
            <w:r>
              <w:rPr>
                <w:rFonts w:hint="eastAsia" w:ascii="宋体" w:hAnsi="宋体" w:cs="宋体"/>
                <w:bCs/>
                <w:szCs w:val="21"/>
              </w:rPr>
              <w:t>投标文件应按照招标文件要求</w:t>
            </w:r>
            <w:r>
              <w:rPr>
                <w:rFonts w:hint="eastAsia" w:ascii="宋体" w:hAnsi="宋体" w:cs="宋体"/>
                <w:bCs/>
                <w:szCs w:val="21"/>
                <w:lang w:val="en-US" w:eastAsia="zh-CN"/>
              </w:rPr>
              <w:t>说明</w:t>
            </w:r>
          </w:p>
        </w:tc>
        <w:tc>
          <w:tcPr>
            <w:tcW w:w="1278" w:type="dxa"/>
          </w:tcPr>
          <w:p w14:paraId="20FE27BA">
            <w:pPr>
              <w:spacing w:line="360" w:lineRule="auto"/>
              <w:jc w:val="center"/>
              <w:rPr>
                <w:rFonts w:ascii="宋体" w:hAnsi="宋体" w:cs="宋体"/>
                <w:b/>
                <w:kern w:val="0"/>
                <w:szCs w:val="21"/>
              </w:rPr>
            </w:pPr>
          </w:p>
        </w:tc>
      </w:tr>
      <w:tr w14:paraId="25F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21EA248D">
            <w:pPr>
              <w:spacing w:line="360" w:lineRule="auto"/>
              <w:jc w:val="center"/>
              <w:rPr>
                <w:rFonts w:ascii="宋体" w:hAnsi="宋体" w:cs="宋体"/>
                <w:kern w:val="0"/>
                <w:szCs w:val="21"/>
              </w:rPr>
            </w:pPr>
            <w:r>
              <w:rPr>
                <w:rFonts w:hint="eastAsia" w:ascii="宋体" w:hAnsi="宋体" w:cs="宋体"/>
                <w:kern w:val="0"/>
                <w:szCs w:val="21"/>
              </w:rPr>
              <w:t>2</w:t>
            </w:r>
          </w:p>
        </w:tc>
        <w:tc>
          <w:tcPr>
            <w:tcW w:w="3689" w:type="dxa"/>
          </w:tcPr>
          <w:p w14:paraId="2E88F8BC">
            <w:pPr>
              <w:spacing w:line="360" w:lineRule="auto"/>
              <w:jc w:val="center"/>
              <w:rPr>
                <w:rFonts w:ascii="宋体" w:hAnsi="宋体" w:cs="宋体"/>
                <w:bCs/>
                <w:kern w:val="0"/>
                <w:szCs w:val="21"/>
              </w:rPr>
            </w:pPr>
          </w:p>
        </w:tc>
        <w:tc>
          <w:tcPr>
            <w:tcW w:w="3551" w:type="dxa"/>
          </w:tcPr>
          <w:p w14:paraId="57BB1106">
            <w:pPr>
              <w:spacing w:line="360" w:lineRule="auto"/>
              <w:jc w:val="center"/>
              <w:rPr>
                <w:rFonts w:ascii="宋体" w:hAnsi="宋体" w:cs="宋体"/>
                <w:bCs/>
                <w:kern w:val="0"/>
                <w:szCs w:val="21"/>
              </w:rPr>
            </w:pPr>
          </w:p>
        </w:tc>
        <w:tc>
          <w:tcPr>
            <w:tcW w:w="1278" w:type="dxa"/>
          </w:tcPr>
          <w:p w14:paraId="3E88ED05">
            <w:pPr>
              <w:spacing w:line="360" w:lineRule="auto"/>
              <w:jc w:val="center"/>
              <w:rPr>
                <w:rFonts w:ascii="宋体" w:hAnsi="宋体" w:cs="宋体"/>
                <w:b/>
                <w:kern w:val="0"/>
                <w:szCs w:val="21"/>
              </w:rPr>
            </w:pPr>
          </w:p>
        </w:tc>
      </w:tr>
      <w:tr w14:paraId="275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 w:type="dxa"/>
          </w:tcPr>
          <w:p w14:paraId="760E56CC">
            <w:pPr>
              <w:spacing w:line="360" w:lineRule="auto"/>
              <w:jc w:val="center"/>
              <w:rPr>
                <w:rFonts w:ascii="宋体" w:hAnsi="宋体" w:cs="宋体"/>
                <w:kern w:val="0"/>
                <w:szCs w:val="21"/>
              </w:rPr>
            </w:pPr>
            <w:r>
              <w:rPr>
                <w:rFonts w:hint="eastAsia" w:ascii="宋体" w:hAnsi="宋体" w:cs="宋体"/>
                <w:kern w:val="0"/>
                <w:szCs w:val="21"/>
              </w:rPr>
              <w:t>……</w:t>
            </w:r>
          </w:p>
        </w:tc>
        <w:tc>
          <w:tcPr>
            <w:tcW w:w="3689" w:type="dxa"/>
          </w:tcPr>
          <w:p w14:paraId="1F24C4B3">
            <w:pPr>
              <w:spacing w:line="360" w:lineRule="auto"/>
              <w:jc w:val="center"/>
              <w:rPr>
                <w:rFonts w:ascii="宋体" w:hAnsi="宋体" w:cs="宋体"/>
                <w:b/>
                <w:kern w:val="0"/>
                <w:szCs w:val="21"/>
              </w:rPr>
            </w:pPr>
          </w:p>
        </w:tc>
        <w:tc>
          <w:tcPr>
            <w:tcW w:w="3551" w:type="dxa"/>
          </w:tcPr>
          <w:p w14:paraId="609AD2C7">
            <w:pPr>
              <w:spacing w:line="360" w:lineRule="auto"/>
              <w:jc w:val="center"/>
              <w:rPr>
                <w:rFonts w:ascii="宋体" w:hAnsi="宋体" w:cs="宋体"/>
                <w:b/>
                <w:kern w:val="0"/>
                <w:szCs w:val="21"/>
              </w:rPr>
            </w:pPr>
          </w:p>
        </w:tc>
        <w:tc>
          <w:tcPr>
            <w:tcW w:w="1278" w:type="dxa"/>
          </w:tcPr>
          <w:p w14:paraId="2E950EA3">
            <w:pPr>
              <w:spacing w:line="360" w:lineRule="auto"/>
              <w:jc w:val="center"/>
              <w:rPr>
                <w:rFonts w:ascii="宋体" w:hAnsi="宋体" w:cs="宋体"/>
                <w:b/>
                <w:kern w:val="0"/>
                <w:szCs w:val="21"/>
              </w:rPr>
            </w:pPr>
          </w:p>
        </w:tc>
      </w:tr>
    </w:tbl>
    <w:p w14:paraId="0BD029D2">
      <w:pPr>
        <w:spacing w:line="360" w:lineRule="auto"/>
        <w:jc w:val="left"/>
        <w:rPr>
          <w:rFonts w:ascii="宋体" w:hAnsi="宋体" w:cs="宋体"/>
          <w:kern w:val="0"/>
          <w:szCs w:val="21"/>
        </w:rPr>
      </w:pPr>
    </w:p>
    <w:p w14:paraId="4BE10C92">
      <w:pPr>
        <w:spacing w:line="360" w:lineRule="auto"/>
        <w:jc w:val="left"/>
        <w:rPr>
          <w:rFonts w:ascii="宋体" w:hAnsi="宋体" w:cs="宋体"/>
          <w:kern w:val="0"/>
          <w:szCs w:val="21"/>
        </w:rPr>
      </w:pPr>
      <w:r>
        <w:rPr>
          <w:rFonts w:ascii="宋体" w:hAnsi="宋体" w:cs="宋体"/>
          <w:kern w:val="0"/>
          <w:szCs w:val="21"/>
        </w:rPr>
        <w:t>投标人保证：除商务技术偏离表列出的偏离外，投标人响应招标文件的全部要求。</w:t>
      </w:r>
    </w:p>
    <w:p w14:paraId="13AC081F">
      <w:pPr>
        <w:spacing w:line="360" w:lineRule="auto"/>
        <w:jc w:val="left"/>
        <w:rPr>
          <w:rFonts w:ascii="宋体" w:hAnsi="宋体" w:cs="宋体"/>
          <w:kern w:val="0"/>
          <w:szCs w:val="21"/>
        </w:rPr>
      </w:pPr>
      <w:r>
        <w:rPr>
          <w:rFonts w:hint="eastAsia" w:ascii="宋体" w:hAnsi="宋体" w:cs="宋体"/>
          <w:kern w:val="0"/>
          <w:szCs w:val="21"/>
        </w:rPr>
        <w:t>注：</w:t>
      </w:r>
    </w:p>
    <w:p w14:paraId="49C040E3">
      <w:pPr>
        <w:spacing w:line="360" w:lineRule="auto"/>
        <w:ind w:firstLine="420" w:firstLineChars="20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按本格式和要求提供。</w:t>
      </w:r>
    </w:p>
    <w:p w14:paraId="6F862412">
      <w:pPr>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0822BE0E">
      <w:pPr>
        <w:spacing w:line="360" w:lineRule="auto"/>
        <w:rPr>
          <w:rFonts w:ascii="宋体" w:hAnsi="宋体" w:cs="宋体"/>
          <w:b/>
          <w:kern w:val="0"/>
          <w:szCs w:val="21"/>
        </w:rPr>
      </w:pPr>
    </w:p>
    <w:p w14:paraId="37E1C7C6">
      <w:pPr>
        <w:spacing w:line="360" w:lineRule="auto"/>
        <w:ind w:firstLine="2178" w:firstLineChars="1033"/>
        <w:rPr>
          <w:rFonts w:ascii="宋体" w:hAnsi="宋体" w:cs="宋体"/>
          <w:b/>
          <w:kern w:val="0"/>
          <w:szCs w:val="21"/>
        </w:rPr>
      </w:pPr>
    </w:p>
    <w:p w14:paraId="6BB9C29B">
      <w:pPr>
        <w:spacing w:line="360" w:lineRule="auto"/>
        <w:rPr>
          <w:szCs w:val="21"/>
        </w:rPr>
      </w:pPr>
      <w:r>
        <w:rPr>
          <w:rFonts w:hint="eastAsia"/>
          <w:szCs w:val="21"/>
        </w:rPr>
        <w:br w:type="page"/>
      </w:r>
    </w:p>
    <w:p w14:paraId="506B9FAE">
      <w:pPr>
        <w:pStyle w:val="4"/>
        <w:rPr>
          <w:szCs w:val="21"/>
        </w:rPr>
      </w:pPr>
      <w:r>
        <w:rPr>
          <w:rFonts w:hint="eastAsia"/>
          <w:szCs w:val="21"/>
        </w:rPr>
        <w:t>八、</w:t>
      </w:r>
      <w:r>
        <w:rPr>
          <w:rFonts w:hint="eastAsia"/>
          <w:szCs w:val="21"/>
          <w:lang w:val="zh-CN"/>
        </w:rPr>
        <w:t>政府采购供应商廉洁自律承诺书</w:t>
      </w:r>
    </w:p>
    <w:p w14:paraId="4BD9BB4A">
      <w:pPr>
        <w:snapToGrid w:val="0"/>
        <w:spacing w:line="360" w:lineRule="auto"/>
        <w:jc w:val="center"/>
        <w:rPr>
          <w:b/>
          <w:bCs/>
          <w:szCs w:val="21"/>
          <w:lang w:val="zh-CN"/>
        </w:rPr>
      </w:pPr>
    </w:p>
    <w:p w14:paraId="7AF2E0FE">
      <w:pPr>
        <w:snapToGrid w:val="0"/>
        <w:spacing w:line="360" w:lineRule="auto"/>
        <w:jc w:val="center"/>
        <w:rPr>
          <w:b/>
          <w:bCs/>
          <w:szCs w:val="21"/>
          <w:lang w:val="zh-CN"/>
        </w:rPr>
      </w:pPr>
      <w:r>
        <w:rPr>
          <w:rFonts w:hint="eastAsia"/>
          <w:b/>
          <w:bCs/>
          <w:szCs w:val="21"/>
          <w:lang w:val="zh-CN"/>
        </w:rPr>
        <w:t>政府采购供应商廉洁自律承诺书</w:t>
      </w:r>
    </w:p>
    <w:p w14:paraId="52AE6BAE">
      <w:pPr>
        <w:spacing w:line="360" w:lineRule="auto"/>
        <w:rPr>
          <w:szCs w:val="21"/>
        </w:rPr>
      </w:pPr>
    </w:p>
    <w:p w14:paraId="0865D259">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4543558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43351AE6">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6755B0E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5D6FCB4E">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24D75D2F">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51E927D">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30E6AB04">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14:paraId="1C3B779F">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3068C6F6">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w:t>
      </w:r>
      <w:r>
        <w:rPr>
          <w:rFonts w:hint="eastAsia" w:ascii="宋体" w:hAnsi="宋体" w:cs="宋体"/>
          <w:kern w:val="0"/>
          <w:szCs w:val="21"/>
        </w:rPr>
        <w:t>省财政厅</w:t>
      </w:r>
      <w:r>
        <w:rPr>
          <w:rFonts w:hint="eastAsia" w:ascii="宋体" w:hAnsi="宋体" w:cs="宋体"/>
          <w:kern w:val="0"/>
          <w:szCs w:val="21"/>
          <w:lang w:val="zh-CN"/>
        </w:rPr>
        <w:t>。由此引起的相应损失均由我单位承担。</w:t>
      </w:r>
    </w:p>
    <w:p w14:paraId="3EA587AF">
      <w:pPr>
        <w:autoSpaceDE w:val="0"/>
        <w:autoSpaceDN w:val="0"/>
        <w:spacing w:line="360" w:lineRule="auto"/>
        <w:ind w:left="2" w:leftChars="1" w:right="1120" w:firstLine="4620" w:firstLineChars="2200"/>
        <w:jc w:val="left"/>
        <w:rPr>
          <w:rFonts w:ascii="宋体" w:hAnsi="宋体" w:cs="宋体"/>
          <w:kern w:val="0"/>
          <w:szCs w:val="21"/>
          <w:lang w:val="zh-CN"/>
        </w:rPr>
      </w:pPr>
    </w:p>
    <w:p w14:paraId="6F5326E1">
      <w:pPr>
        <w:autoSpaceDE w:val="0"/>
        <w:autoSpaceDN w:val="0"/>
        <w:spacing w:line="360" w:lineRule="auto"/>
        <w:ind w:left="2" w:leftChars="1" w:right="1120" w:firstLine="4620" w:firstLineChars="22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14:paraId="64076B90">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0BB66DD3">
      <w:pPr>
        <w:spacing w:line="360" w:lineRule="auto"/>
        <w:jc w:val="center"/>
        <w:rPr>
          <w:rFonts w:ascii="宋体" w:hAnsi="宋体" w:cs="宋体"/>
          <w:b/>
          <w:bCs/>
          <w:szCs w:val="21"/>
        </w:rPr>
      </w:pPr>
    </w:p>
    <w:p w14:paraId="43A9ACC8">
      <w:pPr>
        <w:spacing w:line="360" w:lineRule="auto"/>
        <w:jc w:val="center"/>
        <w:rPr>
          <w:rFonts w:ascii="宋体" w:hAnsi="宋体" w:cs="宋体"/>
          <w:b/>
          <w:bCs/>
          <w:szCs w:val="21"/>
        </w:rPr>
        <w:sectPr>
          <w:footerReference r:id="rId10" w:type="first"/>
          <w:footerReference r:id="rId9" w:type="default"/>
          <w:pgSz w:w="11906" w:h="16838"/>
          <w:pgMar w:top="680" w:right="1418" w:bottom="471" w:left="1418" w:header="851" w:footer="992" w:gutter="0"/>
          <w:cols w:space="720" w:num="1"/>
          <w:titlePg/>
          <w:docGrid w:linePitch="312" w:charSpace="0"/>
        </w:sectPr>
      </w:pPr>
    </w:p>
    <w:p w14:paraId="17A34CC9">
      <w:pPr>
        <w:pStyle w:val="3"/>
        <w:jc w:val="center"/>
        <w:rPr>
          <w:szCs w:val="21"/>
        </w:rPr>
      </w:pPr>
      <w:r>
        <w:rPr>
          <w:rFonts w:hint="eastAsia"/>
          <w:szCs w:val="21"/>
        </w:rPr>
        <w:t>报价文件部分</w:t>
      </w:r>
    </w:p>
    <w:p w14:paraId="6EC56953">
      <w:pPr>
        <w:spacing w:line="360" w:lineRule="auto"/>
        <w:rPr>
          <w:szCs w:val="21"/>
        </w:rPr>
      </w:pPr>
    </w:p>
    <w:p w14:paraId="266678BC">
      <w:pPr>
        <w:spacing w:line="360" w:lineRule="auto"/>
        <w:jc w:val="center"/>
        <w:outlineLvl w:val="2"/>
        <w:rPr>
          <w:rFonts w:ascii="宋体" w:hAnsi="宋体" w:cs="宋体"/>
          <w:b/>
          <w:kern w:val="0"/>
          <w:szCs w:val="21"/>
        </w:rPr>
      </w:pPr>
      <w:r>
        <w:rPr>
          <w:rFonts w:hint="eastAsia" w:ascii="宋体" w:hAnsi="宋体" w:cs="宋体"/>
          <w:b/>
          <w:kern w:val="0"/>
          <w:szCs w:val="21"/>
        </w:rPr>
        <w:t>目录</w:t>
      </w:r>
    </w:p>
    <w:p w14:paraId="44328735">
      <w:pPr>
        <w:spacing w:line="360" w:lineRule="auto"/>
        <w:jc w:val="center"/>
        <w:rPr>
          <w:rFonts w:ascii="宋体" w:hAnsi="宋体" w:cs="宋体"/>
          <w:b/>
          <w:kern w:val="0"/>
          <w:szCs w:val="21"/>
        </w:rPr>
      </w:pPr>
    </w:p>
    <w:p w14:paraId="6179DDF5">
      <w:pPr>
        <w:numPr>
          <w:ilvl w:val="0"/>
          <w:numId w:val="9"/>
        </w:numPr>
        <w:snapToGrid w:val="0"/>
        <w:spacing w:line="360" w:lineRule="auto"/>
        <w:rPr>
          <w:rFonts w:ascii="宋体" w:hAnsi="宋体" w:cs="宋体"/>
          <w:szCs w:val="21"/>
        </w:rPr>
      </w:pPr>
      <w:r>
        <w:rPr>
          <w:rFonts w:hint="eastAsia" w:ascii="宋体" w:hAnsi="宋体" w:cs="宋体"/>
          <w:szCs w:val="21"/>
        </w:rPr>
        <w:t>开标一览表（报价表）…………………………………………………………（页码）</w:t>
      </w:r>
    </w:p>
    <w:p w14:paraId="1B44FAD0">
      <w:pPr>
        <w:numPr>
          <w:ilvl w:val="0"/>
          <w:numId w:val="9"/>
        </w:numPr>
        <w:snapToGrid w:val="0"/>
        <w:spacing w:line="360" w:lineRule="auto"/>
        <w:rPr>
          <w:rFonts w:ascii="宋体" w:hAnsi="宋体" w:cs="宋体"/>
          <w:szCs w:val="21"/>
        </w:rPr>
      </w:pPr>
      <w:r>
        <w:rPr>
          <w:rFonts w:hint="eastAsia" w:ascii="宋体" w:hAnsi="宋体" w:cs="宋体"/>
          <w:szCs w:val="21"/>
        </w:rPr>
        <w:t>中小企业声明函（若有）………………………………………………………（页码）</w:t>
      </w:r>
    </w:p>
    <w:p w14:paraId="4056CC3D">
      <w:pPr>
        <w:numPr>
          <w:ilvl w:val="0"/>
          <w:numId w:val="9"/>
        </w:numPr>
        <w:snapToGrid w:val="0"/>
        <w:spacing w:line="360" w:lineRule="auto"/>
        <w:rPr>
          <w:rFonts w:ascii="宋体" w:hAnsi="宋体" w:cs="宋体"/>
          <w:szCs w:val="21"/>
        </w:rPr>
      </w:pPr>
      <w:r>
        <w:rPr>
          <w:rFonts w:hint="eastAsia" w:ascii="宋体" w:hAnsi="宋体" w:cs="宋体"/>
          <w:szCs w:val="21"/>
        </w:rPr>
        <w:t>报价情况说明（若有）………………………………………………………（页码）</w:t>
      </w:r>
    </w:p>
    <w:p w14:paraId="5CE60F5C">
      <w:pPr>
        <w:numPr>
          <w:ilvl w:val="255"/>
          <w:numId w:val="0"/>
        </w:numPr>
        <w:snapToGrid w:val="0"/>
        <w:spacing w:line="360" w:lineRule="auto"/>
        <w:rPr>
          <w:rFonts w:ascii="宋体" w:hAnsi="宋体" w:cs="宋体"/>
          <w:szCs w:val="21"/>
        </w:rPr>
      </w:pPr>
    </w:p>
    <w:p w14:paraId="00E8160A">
      <w:pPr>
        <w:spacing w:line="360" w:lineRule="auto"/>
        <w:rPr>
          <w:szCs w:val="21"/>
        </w:rPr>
      </w:pPr>
    </w:p>
    <w:p w14:paraId="62A23A66">
      <w:pPr>
        <w:snapToGrid w:val="0"/>
        <w:spacing w:line="360" w:lineRule="auto"/>
        <w:ind w:right="480"/>
        <w:jc w:val="center"/>
        <w:rPr>
          <w:rFonts w:ascii="宋体" w:hAnsi="宋体" w:cs="宋体"/>
          <w:b/>
          <w:kern w:val="0"/>
          <w:szCs w:val="21"/>
        </w:rPr>
      </w:pPr>
    </w:p>
    <w:p w14:paraId="04A740D0">
      <w:pPr>
        <w:snapToGrid w:val="0"/>
        <w:spacing w:line="360" w:lineRule="auto"/>
        <w:ind w:right="480"/>
        <w:jc w:val="center"/>
        <w:rPr>
          <w:rFonts w:ascii="宋体" w:hAnsi="宋体" w:cs="宋体"/>
          <w:b/>
          <w:kern w:val="0"/>
          <w:szCs w:val="21"/>
        </w:rPr>
      </w:pPr>
    </w:p>
    <w:p w14:paraId="1F6E1DC4">
      <w:pPr>
        <w:snapToGrid w:val="0"/>
        <w:spacing w:line="360" w:lineRule="auto"/>
        <w:ind w:right="480"/>
        <w:jc w:val="center"/>
        <w:rPr>
          <w:rFonts w:ascii="宋体" w:hAnsi="宋体" w:cs="宋体"/>
          <w:b/>
          <w:kern w:val="0"/>
          <w:szCs w:val="21"/>
        </w:rPr>
      </w:pPr>
    </w:p>
    <w:p w14:paraId="5E78B680">
      <w:pPr>
        <w:snapToGrid w:val="0"/>
        <w:spacing w:line="360" w:lineRule="auto"/>
        <w:ind w:right="480"/>
        <w:jc w:val="center"/>
        <w:rPr>
          <w:rFonts w:ascii="宋体" w:hAnsi="宋体" w:cs="宋体"/>
          <w:b/>
          <w:kern w:val="0"/>
          <w:szCs w:val="21"/>
        </w:rPr>
      </w:pPr>
    </w:p>
    <w:p w14:paraId="57FE4595">
      <w:pPr>
        <w:snapToGrid w:val="0"/>
        <w:spacing w:line="360" w:lineRule="auto"/>
        <w:ind w:right="480"/>
        <w:jc w:val="center"/>
        <w:rPr>
          <w:rFonts w:ascii="宋体" w:hAnsi="宋体" w:cs="宋体"/>
          <w:b/>
          <w:kern w:val="0"/>
          <w:szCs w:val="21"/>
        </w:rPr>
      </w:pPr>
    </w:p>
    <w:p w14:paraId="50C05359">
      <w:pPr>
        <w:snapToGrid w:val="0"/>
        <w:spacing w:line="360" w:lineRule="auto"/>
        <w:ind w:right="480"/>
        <w:jc w:val="center"/>
        <w:rPr>
          <w:rFonts w:ascii="宋体" w:hAnsi="宋体" w:cs="宋体"/>
          <w:b/>
          <w:kern w:val="0"/>
          <w:szCs w:val="21"/>
        </w:rPr>
      </w:pPr>
    </w:p>
    <w:p w14:paraId="7D4A5E96">
      <w:pPr>
        <w:snapToGrid w:val="0"/>
        <w:spacing w:line="360" w:lineRule="auto"/>
        <w:ind w:right="480"/>
        <w:jc w:val="center"/>
        <w:rPr>
          <w:rFonts w:ascii="宋体" w:hAnsi="宋体" w:cs="宋体"/>
          <w:b/>
          <w:kern w:val="0"/>
          <w:szCs w:val="21"/>
        </w:rPr>
      </w:pPr>
    </w:p>
    <w:p w14:paraId="291B97DB">
      <w:pPr>
        <w:snapToGrid w:val="0"/>
        <w:spacing w:line="360" w:lineRule="auto"/>
        <w:ind w:right="480"/>
        <w:jc w:val="center"/>
        <w:rPr>
          <w:rFonts w:ascii="宋体" w:hAnsi="宋体" w:cs="宋体"/>
          <w:b/>
          <w:kern w:val="0"/>
          <w:szCs w:val="21"/>
        </w:rPr>
      </w:pPr>
    </w:p>
    <w:p w14:paraId="229D6DAC">
      <w:pPr>
        <w:snapToGrid w:val="0"/>
        <w:spacing w:line="360" w:lineRule="auto"/>
        <w:ind w:right="480"/>
        <w:jc w:val="center"/>
        <w:rPr>
          <w:rFonts w:ascii="宋体" w:hAnsi="宋体" w:cs="宋体"/>
          <w:b/>
          <w:kern w:val="0"/>
          <w:szCs w:val="21"/>
        </w:rPr>
      </w:pPr>
    </w:p>
    <w:p w14:paraId="0C853368">
      <w:pPr>
        <w:snapToGrid w:val="0"/>
        <w:spacing w:line="360" w:lineRule="auto"/>
        <w:ind w:right="480"/>
        <w:jc w:val="center"/>
        <w:rPr>
          <w:rFonts w:ascii="宋体" w:hAnsi="宋体" w:cs="宋体"/>
          <w:b/>
          <w:kern w:val="0"/>
          <w:szCs w:val="21"/>
        </w:rPr>
      </w:pPr>
    </w:p>
    <w:p w14:paraId="6D11E10A">
      <w:pPr>
        <w:snapToGrid w:val="0"/>
        <w:spacing w:line="360" w:lineRule="auto"/>
        <w:ind w:right="480"/>
        <w:jc w:val="center"/>
        <w:rPr>
          <w:rFonts w:ascii="宋体" w:hAnsi="宋体" w:cs="宋体"/>
          <w:b/>
          <w:kern w:val="0"/>
          <w:szCs w:val="21"/>
        </w:rPr>
      </w:pPr>
    </w:p>
    <w:p w14:paraId="61F328AD">
      <w:pPr>
        <w:snapToGrid w:val="0"/>
        <w:spacing w:line="360" w:lineRule="auto"/>
        <w:ind w:right="480"/>
        <w:jc w:val="center"/>
        <w:rPr>
          <w:rFonts w:ascii="宋体" w:hAnsi="宋体" w:cs="宋体"/>
          <w:b/>
          <w:kern w:val="0"/>
          <w:szCs w:val="21"/>
        </w:rPr>
      </w:pPr>
    </w:p>
    <w:p w14:paraId="486C725A">
      <w:pPr>
        <w:snapToGrid w:val="0"/>
        <w:spacing w:line="360" w:lineRule="auto"/>
        <w:ind w:right="480"/>
        <w:jc w:val="center"/>
        <w:rPr>
          <w:rFonts w:ascii="宋体" w:hAnsi="宋体" w:cs="宋体"/>
          <w:b/>
          <w:kern w:val="0"/>
          <w:szCs w:val="21"/>
        </w:rPr>
      </w:pPr>
    </w:p>
    <w:p w14:paraId="036BCA0E">
      <w:pPr>
        <w:snapToGrid w:val="0"/>
        <w:spacing w:line="360" w:lineRule="auto"/>
        <w:ind w:right="480"/>
        <w:jc w:val="center"/>
        <w:rPr>
          <w:rFonts w:ascii="宋体" w:hAnsi="宋体" w:cs="宋体"/>
          <w:b/>
          <w:kern w:val="0"/>
          <w:szCs w:val="21"/>
        </w:rPr>
      </w:pPr>
    </w:p>
    <w:p w14:paraId="047802E0">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sectPr>
          <w:footerReference r:id="rId13" w:type="first"/>
          <w:headerReference r:id="rId11" w:type="default"/>
          <w:footerReference r:id="rId12" w:type="default"/>
          <w:pgSz w:w="11906" w:h="16838"/>
          <w:pgMar w:top="1276" w:right="1418" w:bottom="1247" w:left="1418" w:header="851" w:footer="992" w:gutter="0"/>
          <w:cols w:space="720" w:num="1"/>
          <w:titlePg/>
          <w:docGrid w:linePitch="312" w:charSpace="0"/>
        </w:sectPr>
      </w:pPr>
    </w:p>
    <w:p w14:paraId="0778B465">
      <w:pPr>
        <w:pStyle w:val="4"/>
        <w:rPr>
          <w:szCs w:val="21"/>
        </w:rPr>
      </w:pPr>
      <w:r>
        <w:rPr>
          <w:rFonts w:hint="eastAsia"/>
          <w:szCs w:val="21"/>
        </w:rPr>
        <w:t>一、开标一览表（报价表）</w:t>
      </w:r>
    </w:p>
    <w:p w14:paraId="3CAD367F">
      <w:pPr>
        <w:snapToGrid w:val="0"/>
        <w:spacing w:line="360" w:lineRule="auto"/>
        <w:rPr>
          <w:rFonts w:ascii="宋体" w:hAnsi="宋体" w:cs="宋体"/>
          <w:kern w:val="0"/>
          <w:szCs w:val="21"/>
        </w:rPr>
      </w:pPr>
      <w:r>
        <w:rPr>
          <w:rFonts w:hint="eastAsia" w:ascii="宋体" w:hAnsi="宋体" w:cs="宋体"/>
          <w:szCs w:val="21"/>
        </w:rPr>
        <w:t>杭州市钱塘区人民政府办公室、浙江省成套招标代理有限公司</w:t>
      </w:r>
      <w:r>
        <w:rPr>
          <w:rFonts w:hint="eastAsia" w:ascii="宋体" w:hAnsi="宋体" w:cs="宋体"/>
          <w:kern w:val="0"/>
          <w:szCs w:val="21"/>
          <w:lang w:val="zh-CN"/>
        </w:rPr>
        <w:t>：</w:t>
      </w:r>
    </w:p>
    <w:p w14:paraId="5C107BA1">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lang w:eastAsia="zh-CN"/>
        </w:rPr>
        <w:t>钱塘区政务云资源及云安全租赁服务项目（2024）</w:t>
      </w:r>
      <w:r>
        <w:rPr>
          <w:rFonts w:hint="eastAsia" w:ascii="宋体" w:hAnsi="宋体" w:cs="宋体"/>
          <w:kern w:val="0"/>
          <w:szCs w:val="21"/>
          <w:lang w:val="zh-CN"/>
        </w:rPr>
        <w:t>【招标编号：</w:t>
      </w:r>
      <w:r>
        <w:rPr>
          <w:rFonts w:hint="eastAsia" w:ascii="宋体" w:hAnsi="宋体" w:cs="宋体"/>
          <w:szCs w:val="21"/>
          <w:lang w:eastAsia="zh-CN"/>
        </w:rPr>
        <w:t>QTCG-GK-2024-220</w:t>
      </w:r>
      <w:r>
        <w:rPr>
          <w:rFonts w:hint="eastAsia" w:ascii="宋体" w:hAnsi="宋体" w:cs="宋体"/>
          <w:szCs w:val="21"/>
        </w:rPr>
        <w:t>】的实施</w:t>
      </w:r>
      <w:r>
        <w:rPr>
          <w:rFonts w:hint="eastAsia" w:ascii="宋体" w:hAnsi="宋体" w:cs="宋体"/>
          <w:kern w:val="0"/>
          <w:szCs w:val="21"/>
          <w:lang w:val="zh-CN"/>
        </w:rPr>
        <w:t>。</w:t>
      </w:r>
    </w:p>
    <w:p w14:paraId="7F63B2FD">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14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581"/>
        <w:gridCol w:w="4714"/>
        <w:gridCol w:w="3576"/>
        <w:gridCol w:w="1400"/>
      </w:tblGrid>
      <w:tr w14:paraId="6769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243" w:type="dxa"/>
            <w:vAlign w:val="center"/>
          </w:tcPr>
          <w:p w14:paraId="2ED69C81">
            <w:pPr>
              <w:spacing w:line="360" w:lineRule="auto"/>
              <w:jc w:val="center"/>
              <w:rPr>
                <w:rFonts w:ascii="宋体" w:hAnsi="宋体" w:cs="宋体"/>
                <w:szCs w:val="21"/>
              </w:rPr>
            </w:pPr>
            <w:bookmarkStart w:id="589" w:name="_Toc6523"/>
            <w:r>
              <w:rPr>
                <w:rFonts w:hint="eastAsia" w:ascii="宋体" w:hAnsi="宋体" w:cs="宋体"/>
                <w:szCs w:val="21"/>
              </w:rPr>
              <w:t>序号</w:t>
            </w:r>
            <w:bookmarkEnd w:id="589"/>
          </w:p>
        </w:tc>
        <w:tc>
          <w:tcPr>
            <w:tcW w:w="3581" w:type="dxa"/>
            <w:vAlign w:val="center"/>
          </w:tcPr>
          <w:p w14:paraId="7A3EDFCB">
            <w:pPr>
              <w:spacing w:line="360" w:lineRule="auto"/>
              <w:jc w:val="center"/>
              <w:rPr>
                <w:rFonts w:ascii="宋体" w:hAnsi="宋体" w:cs="宋体"/>
                <w:szCs w:val="21"/>
              </w:rPr>
            </w:pPr>
            <w:bookmarkStart w:id="590" w:name="_Toc15796"/>
            <w:r>
              <w:rPr>
                <w:rFonts w:hint="eastAsia" w:ascii="宋体" w:hAnsi="宋体" w:cs="宋体"/>
                <w:szCs w:val="21"/>
              </w:rPr>
              <w:t>项目名称</w:t>
            </w:r>
            <w:bookmarkEnd w:id="590"/>
          </w:p>
        </w:tc>
        <w:tc>
          <w:tcPr>
            <w:tcW w:w="4714" w:type="dxa"/>
            <w:vAlign w:val="center"/>
          </w:tcPr>
          <w:p w14:paraId="591C7444">
            <w:pPr>
              <w:spacing w:line="360" w:lineRule="auto"/>
              <w:jc w:val="center"/>
              <w:rPr>
                <w:rFonts w:ascii="宋体" w:hAnsi="宋体" w:cs="宋体"/>
                <w:szCs w:val="21"/>
              </w:rPr>
            </w:pPr>
            <w:bookmarkStart w:id="591" w:name="_Toc13614"/>
            <w:r>
              <w:rPr>
                <w:rFonts w:hint="eastAsia" w:ascii="宋体" w:hAnsi="宋体" w:cs="宋体"/>
                <w:szCs w:val="21"/>
              </w:rPr>
              <w:t>投标报价（费率）</w:t>
            </w:r>
            <w:bookmarkEnd w:id="591"/>
          </w:p>
        </w:tc>
        <w:tc>
          <w:tcPr>
            <w:tcW w:w="3576" w:type="dxa"/>
            <w:vAlign w:val="center"/>
          </w:tcPr>
          <w:p w14:paraId="33A548EB">
            <w:pPr>
              <w:spacing w:line="360" w:lineRule="auto"/>
              <w:jc w:val="center"/>
              <w:rPr>
                <w:rFonts w:ascii="宋体" w:hAnsi="宋体" w:cs="宋体"/>
                <w:szCs w:val="21"/>
              </w:rPr>
            </w:pPr>
            <w:r>
              <w:rPr>
                <w:rFonts w:hint="eastAsia" w:ascii="宋体" w:hAnsi="宋体" w:cs="宋体"/>
                <w:szCs w:val="21"/>
              </w:rPr>
              <w:t>合同有效期</w:t>
            </w:r>
          </w:p>
        </w:tc>
        <w:tc>
          <w:tcPr>
            <w:tcW w:w="1400" w:type="dxa"/>
            <w:vAlign w:val="center"/>
          </w:tcPr>
          <w:p w14:paraId="66EB2EA5">
            <w:pPr>
              <w:spacing w:line="360" w:lineRule="auto"/>
              <w:jc w:val="center"/>
              <w:rPr>
                <w:rFonts w:ascii="宋体" w:hAnsi="宋体" w:cs="宋体"/>
                <w:szCs w:val="21"/>
              </w:rPr>
            </w:pPr>
            <w:bookmarkStart w:id="592" w:name="_Toc1225"/>
            <w:r>
              <w:rPr>
                <w:rFonts w:hint="eastAsia" w:ascii="宋体" w:hAnsi="宋体" w:cs="宋体"/>
                <w:szCs w:val="21"/>
              </w:rPr>
              <w:t>备注</w:t>
            </w:r>
            <w:bookmarkEnd w:id="592"/>
          </w:p>
        </w:tc>
      </w:tr>
      <w:tr w14:paraId="17B9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243" w:type="dxa"/>
            <w:vAlign w:val="center"/>
          </w:tcPr>
          <w:p w14:paraId="4E4303B0">
            <w:pPr>
              <w:tabs>
                <w:tab w:val="left" w:pos="360"/>
                <w:tab w:val="left" w:pos="540"/>
                <w:tab w:val="left" w:pos="840"/>
                <w:tab w:val="left" w:pos="892"/>
              </w:tabs>
              <w:spacing w:line="360" w:lineRule="auto"/>
              <w:jc w:val="center"/>
              <w:rPr>
                <w:rFonts w:ascii="宋体" w:hAnsi="宋体" w:cs="宋体"/>
                <w:szCs w:val="21"/>
              </w:rPr>
            </w:pPr>
            <w:r>
              <w:rPr>
                <w:rFonts w:hint="eastAsia" w:ascii="宋体" w:hAnsi="宋体" w:cs="宋体"/>
                <w:szCs w:val="21"/>
              </w:rPr>
              <w:t>1</w:t>
            </w:r>
          </w:p>
        </w:tc>
        <w:tc>
          <w:tcPr>
            <w:tcW w:w="3581" w:type="dxa"/>
            <w:vAlign w:val="center"/>
          </w:tcPr>
          <w:p w14:paraId="7BF15D10">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钱塘区政务云资源及云安全租赁服务项目（2024）</w:t>
            </w:r>
          </w:p>
        </w:tc>
        <w:tc>
          <w:tcPr>
            <w:tcW w:w="4714" w:type="dxa"/>
            <w:vAlign w:val="center"/>
          </w:tcPr>
          <w:p w14:paraId="758C1EC1">
            <w:pPr>
              <w:spacing w:line="360" w:lineRule="auto"/>
              <w:ind w:firstLine="630" w:firstLineChars="300"/>
              <w:jc w:val="center"/>
              <w:rPr>
                <w:rFonts w:ascii="宋体" w:hAnsi="宋体" w:cs="宋体"/>
                <w:szCs w:val="21"/>
              </w:rPr>
            </w:pPr>
            <w:bookmarkStart w:id="593" w:name="_Toc2245"/>
            <w:r>
              <w:rPr>
                <w:rFonts w:hint="eastAsia" w:ascii="宋体" w:hAnsi="宋体" w:cs="宋体"/>
                <w:szCs w:val="21"/>
                <w:u w:val="single"/>
              </w:rPr>
              <w:t xml:space="preserve">     </w:t>
            </w:r>
            <w:r>
              <w:rPr>
                <w:rFonts w:hint="eastAsia" w:ascii="宋体" w:hAnsi="宋体" w:cs="宋体"/>
                <w:szCs w:val="21"/>
              </w:rPr>
              <w:t>%</w:t>
            </w:r>
          </w:p>
          <w:p w14:paraId="1B84BA57">
            <w:pPr>
              <w:spacing w:line="360" w:lineRule="auto"/>
              <w:ind w:firstLine="630" w:firstLineChars="300"/>
              <w:jc w:val="center"/>
              <w:rPr>
                <w:rFonts w:ascii="宋体" w:hAnsi="宋体" w:cs="宋体"/>
                <w:szCs w:val="21"/>
              </w:rPr>
            </w:pPr>
            <w:r>
              <w:rPr>
                <w:rFonts w:hint="eastAsia" w:ascii="宋体" w:hAnsi="宋体" w:cs="宋体"/>
                <w:kern w:val="0"/>
                <w:szCs w:val="21"/>
              </w:rPr>
              <w:t>（最多保留两位小数）</w:t>
            </w:r>
            <w:bookmarkEnd w:id="593"/>
          </w:p>
        </w:tc>
        <w:tc>
          <w:tcPr>
            <w:tcW w:w="3576" w:type="dxa"/>
            <w:vAlign w:val="center"/>
          </w:tcPr>
          <w:p w14:paraId="4DED688E">
            <w:pPr>
              <w:tabs>
                <w:tab w:val="left" w:pos="360"/>
                <w:tab w:val="left" w:pos="540"/>
                <w:tab w:val="left" w:pos="840"/>
                <w:tab w:val="left" w:pos="892"/>
              </w:tabs>
              <w:spacing w:line="360" w:lineRule="auto"/>
              <w:jc w:val="center"/>
              <w:rPr>
                <w:rFonts w:ascii="宋体" w:hAnsi="宋体" w:cs="宋体"/>
                <w:szCs w:val="21"/>
              </w:rPr>
            </w:pPr>
            <w:r>
              <w:rPr>
                <w:rFonts w:hint="eastAsia" w:ascii="宋体" w:hAnsi="宋体" w:cs="宋体"/>
                <w:bCs/>
                <w:szCs w:val="21"/>
              </w:rPr>
              <w:t>符合采购文件要求</w:t>
            </w:r>
          </w:p>
        </w:tc>
        <w:tc>
          <w:tcPr>
            <w:tcW w:w="1400" w:type="dxa"/>
            <w:vAlign w:val="center"/>
          </w:tcPr>
          <w:p w14:paraId="27D0FE55">
            <w:pPr>
              <w:tabs>
                <w:tab w:val="left" w:pos="360"/>
                <w:tab w:val="left" w:pos="540"/>
                <w:tab w:val="left" w:pos="840"/>
                <w:tab w:val="left" w:pos="892"/>
              </w:tabs>
              <w:spacing w:line="360" w:lineRule="auto"/>
              <w:jc w:val="center"/>
              <w:rPr>
                <w:rFonts w:ascii="宋体" w:hAnsi="宋体" w:cs="宋体"/>
                <w:szCs w:val="21"/>
              </w:rPr>
            </w:pPr>
          </w:p>
        </w:tc>
      </w:tr>
    </w:tbl>
    <w:p w14:paraId="4D41B3F3">
      <w:pPr>
        <w:spacing w:line="360" w:lineRule="auto"/>
        <w:ind w:firstLine="420" w:firstLineChars="200"/>
        <w:rPr>
          <w:rFonts w:ascii="宋体" w:hAnsi="宋体" w:cs="宋体"/>
          <w:bCs/>
          <w:kern w:val="0"/>
          <w:szCs w:val="21"/>
          <w:lang w:val="zh-CN"/>
        </w:rPr>
      </w:pPr>
    </w:p>
    <w:p w14:paraId="6CA15B4C">
      <w:pPr>
        <w:spacing w:line="360" w:lineRule="auto"/>
        <w:ind w:firstLine="420" w:firstLineChars="200"/>
        <w:rPr>
          <w:rFonts w:ascii="宋体" w:hAnsi="宋体" w:cs="宋体"/>
          <w:bCs/>
          <w:kern w:val="0"/>
          <w:szCs w:val="21"/>
          <w:lang w:val="zh-CN"/>
        </w:rPr>
      </w:pPr>
      <w:r>
        <w:rPr>
          <w:rFonts w:hint="eastAsia" w:ascii="宋体" w:hAnsi="宋体" w:cs="宋体"/>
          <w:bCs/>
          <w:kern w:val="0"/>
          <w:szCs w:val="21"/>
          <w:lang w:val="zh-CN"/>
        </w:rPr>
        <w:t>注：</w:t>
      </w:r>
    </w:p>
    <w:p w14:paraId="053873A4">
      <w:pPr>
        <w:spacing w:line="360" w:lineRule="auto"/>
        <w:ind w:firstLine="420" w:firstLineChars="200"/>
        <w:rPr>
          <w:rFonts w:ascii="宋体" w:hAnsi="宋体" w:cs="宋体"/>
          <w:bCs/>
          <w:kern w:val="0"/>
          <w:szCs w:val="21"/>
          <w:lang w:val="zh-CN"/>
        </w:rPr>
      </w:pPr>
      <w:r>
        <w:rPr>
          <w:rFonts w:ascii="宋体" w:hAnsi="宋体" w:cs="宋体"/>
          <w:bCs/>
          <w:kern w:val="0"/>
          <w:szCs w:val="21"/>
          <w:lang w:val="zh-CN"/>
        </w:rPr>
        <w:t>1、投标人需按本表格式填写，</w:t>
      </w:r>
      <w:r>
        <w:rPr>
          <w:rFonts w:hint="eastAsia" w:ascii="宋体" w:hAnsi="宋体" w:cs="宋体"/>
          <w:bCs/>
          <w:kern w:val="0"/>
          <w:szCs w:val="21"/>
        </w:rPr>
        <w:t>否则视为投标文件含有采购人不能接受的附加条件，投标无效。</w:t>
      </w:r>
    </w:p>
    <w:p w14:paraId="61B905F6">
      <w:pPr>
        <w:spacing w:line="360" w:lineRule="auto"/>
        <w:ind w:firstLine="420" w:firstLineChars="200"/>
        <w:rPr>
          <w:rFonts w:ascii="宋体" w:hAnsi="宋体" w:cs="宋体"/>
          <w:bCs/>
          <w:kern w:val="0"/>
          <w:szCs w:val="21"/>
          <w:lang w:val="zh-CN"/>
        </w:rPr>
      </w:pPr>
      <w:r>
        <w:rPr>
          <w:rFonts w:hint="eastAsia" w:ascii="宋体" w:hAnsi="宋体" w:cs="宋体"/>
          <w:bCs/>
          <w:kern w:val="0"/>
          <w:szCs w:val="21"/>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12268EBA">
      <w:pPr>
        <w:spacing w:line="360" w:lineRule="auto"/>
        <w:ind w:firstLine="420" w:firstLineChars="200"/>
        <w:rPr>
          <w:rFonts w:ascii="宋体" w:hAnsi="宋体" w:cs="宋体"/>
          <w:bCs/>
          <w:kern w:val="0"/>
          <w:szCs w:val="21"/>
          <w:lang w:val="zh-CN"/>
        </w:rPr>
      </w:pPr>
      <w:r>
        <w:rPr>
          <w:rFonts w:hint="eastAsia" w:ascii="宋体" w:hAnsi="宋体" w:cs="宋体"/>
          <w:bCs/>
          <w:kern w:val="0"/>
          <w:szCs w:val="21"/>
          <w:lang w:val="zh-CN"/>
        </w:rPr>
        <w:t>3</w:t>
      </w:r>
      <w:r>
        <w:rPr>
          <w:rFonts w:ascii="宋体" w:hAnsi="宋体" w:cs="宋体"/>
          <w:bCs/>
          <w:kern w:val="0"/>
          <w:szCs w:val="21"/>
          <w:lang w:val="zh-CN"/>
        </w:rPr>
        <w:t>、特别提示：</w:t>
      </w:r>
      <w:r>
        <w:rPr>
          <w:rFonts w:hint="eastAsia" w:ascii="宋体" w:hAnsi="宋体" w:cs="宋体"/>
          <w:bCs/>
          <w:kern w:val="0"/>
          <w:szCs w:val="21"/>
          <w:lang w:val="zh-CN"/>
        </w:rPr>
        <w:t>采购代理机构</w:t>
      </w:r>
      <w:r>
        <w:rPr>
          <w:rFonts w:ascii="宋体" w:hAnsi="宋体" w:cs="宋体"/>
          <w:bCs/>
          <w:kern w:val="0"/>
          <w:szCs w:val="21"/>
          <w:lang w:val="zh-CN"/>
        </w:rPr>
        <w:t>将对项目名称和项目编号，中标供应商名称、地址和中标金额，主要中标标的</w:t>
      </w:r>
      <w:r>
        <w:rPr>
          <w:rFonts w:hint="eastAsia" w:ascii="宋体" w:hAnsi="宋体" w:cs="宋体"/>
          <w:bCs/>
          <w:kern w:val="0"/>
          <w:szCs w:val="21"/>
          <w:lang w:val="zh-CN"/>
        </w:rPr>
        <w:t>名称、服务范围、服务要求、服务时间、服务标准等予以公示。</w:t>
      </w:r>
    </w:p>
    <w:p w14:paraId="6C3E3FAC">
      <w:pPr>
        <w:spacing w:line="360" w:lineRule="auto"/>
        <w:ind w:firstLine="420" w:firstLineChars="200"/>
        <w:rPr>
          <w:rFonts w:ascii="宋体" w:hAnsi="宋体" w:cs="宋体"/>
          <w:b/>
          <w:kern w:val="0"/>
          <w:szCs w:val="21"/>
        </w:rPr>
      </w:pPr>
      <w:r>
        <w:rPr>
          <w:rFonts w:ascii="宋体" w:hAnsi="宋体" w:cs="宋体"/>
          <w:bCs/>
          <w:kern w:val="0"/>
          <w:szCs w:val="21"/>
          <w:lang w:val="zh-CN"/>
        </w:rPr>
        <w:t>4、</w:t>
      </w:r>
      <w:r>
        <w:rPr>
          <w:rFonts w:hint="eastAsia" w:ascii="宋体" w:hAnsi="宋体" w:cs="宋体"/>
          <w:bCs/>
          <w:kern w:val="0"/>
          <w:szCs w:val="21"/>
          <w:lang w:val="zh-CN"/>
        </w:rPr>
        <w:t>符合招标文件中列明的可享受中小企业扶持政策的投标人，请填写中小企业声明函。注：投标人</w:t>
      </w:r>
      <w:r>
        <w:rPr>
          <w:rFonts w:ascii="宋体" w:hAnsi="宋体" w:cs="宋体"/>
          <w:bCs/>
          <w:kern w:val="0"/>
          <w:szCs w:val="21"/>
          <w:lang w:val="zh-CN"/>
        </w:rPr>
        <w:t>提供</w:t>
      </w:r>
      <w:r>
        <w:rPr>
          <w:rFonts w:hint="eastAsia" w:ascii="宋体" w:hAnsi="宋体" w:cs="宋体"/>
          <w:bCs/>
          <w:kern w:val="0"/>
          <w:szCs w:val="21"/>
          <w:lang w:val="zh-CN"/>
        </w:rPr>
        <w:t>的中小企业</w:t>
      </w:r>
      <w:r>
        <w:rPr>
          <w:rFonts w:ascii="宋体" w:hAnsi="宋体" w:cs="宋体"/>
          <w:bCs/>
          <w:kern w:val="0"/>
          <w:szCs w:val="21"/>
          <w:lang w:val="zh-CN"/>
        </w:rPr>
        <w:t>声明函内容不实的，属于提供虚假材料谋取中标、成交，依照《中华人民共和国政府采购法》等国家有关规定追究相应责任。</w:t>
      </w:r>
    </w:p>
    <w:p w14:paraId="077E7661">
      <w:pPr>
        <w:pStyle w:val="693"/>
        <w:keepNext w:val="0"/>
        <w:pageBreakBefore w:val="0"/>
        <w:tabs>
          <w:tab w:val="clear" w:pos="720"/>
        </w:tabs>
        <w:snapToGrid w:val="0"/>
        <w:spacing w:before="120" w:after="120"/>
        <w:ind w:firstLine="643"/>
        <w:outlineLvl w:val="9"/>
        <w:rPr>
          <w:rFonts w:ascii="宋体" w:hAnsi="宋体" w:eastAsia="宋体" w:cs="宋体"/>
          <w:kern w:val="2"/>
          <w:sz w:val="21"/>
          <w:szCs w:val="21"/>
        </w:rPr>
        <w:sectPr>
          <w:pgSz w:w="16838" w:h="11906" w:orient="landscape"/>
          <w:pgMar w:top="1418" w:right="1247" w:bottom="1418" w:left="1276" w:header="851" w:footer="992" w:gutter="0"/>
          <w:cols w:space="720" w:num="1"/>
          <w:titlePg/>
          <w:docGrid w:linePitch="312" w:charSpace="0"/>
        </w:sectPr>
      </w:pPr>
    </w:p>
    <w:p w14:paraId="29F58E47">
      <w:pPr>
        <w:spacing w:line="360" w:lineRule="auto"/>
        <w:rPr>
          <w:b/>
          <w:bCs/>
          <w:szCs w:val="21"/>
        </w:rPr>
      </w:pPr>
      <w:bookmarkStart w:id="594" w:name="_Toc465665161"/>
    </w:p>
    <w:bookmarkEnd w:id="594"/>
    <w:p w14:paraId="4C600612">
      <w:pPr>
        <w:pStyle w:val="4"/>
        <w:rPr>
          <w:rFonts w:ascii="宋体" w:hAnsi="宋体" w:cs="宋体"/>
          <w:szCs w:val="21"/>
        </w:rPr>
      </w:pPr>
      <w:r>
        <w:rPr>
          <w:rFonts w:hint="eastAsia" w:ascii="宋体" w:hAnsi="宋体" w:cs="宋体"/>
          <w:szCs w:val="21"/>
        </w:rPr>
        <w:t>附件</w:t>
      </w:r>
    </w:p>
    <w:p w14:paraId="1AD5B6EF">
      <w:pPr>
        <w:pStyle w:val="4"/>
        <w:rPr>
          <w:rFonts w:ascii="宋体" w:hAnsi="宋体" w:cs="宋体"/>
          <w:szCs w:val="21"/>
        </w:rPr>
      </w:pPr>
      <w:r>
        <w:rPr>
          <w:rFonts w:hint="eastAsia" w:ascii="宋体" w:hAnsi="宋体" w:cs="宋体"/>
          <w:szCs w:val="21"/>
        </w:rPr>
        <w:t>附件1：</w:t>
      </w:r>
    </w:p>
    <w:p w14:paraId="13D7B2DD">
      <w:pPr>
        <w:spacing w:line="360" w:lineRule="auto"/>
        <w:jc w:val="center"/>
        <w:rPr>
          <w:rFonts w:ascii="宋体" w:hAnsi="宋体" w:cs="宋体"/>
          <w:b/>
          <w:spacing w:val="6"/>
          <w:szCs w:val="21"/>
        </w:rPr>
      </w:pPr>
      <w:bookmarkStart w:id="595" w:name="OLE_LINK13"/>
      <w:bookmarkStart w:id="596" w:name="OLE_LINK14"/>
      <w:r>
        <w:rPr>
          <w:rFonts w:hint="eastAsia" w:ascii="宋体" w:hAnsi="宋体" w:cs="宋体"/>
          <w:b/>
          <w:spacing w:val="6"/>
          <w:szCs w:val="21"/>
        </w:rPr>
        <w:t>残疾人福利性单位声明函</w:t>
      </w:r>
    </w:p>
    <w:bookmarkEnd w:id="595"/>
    <w:bookmarkEnd w:id="596"/>
    <w:p w14:paraId="54F57910">
      <w:pPr>
        <w:spacing w:line="360" w:lineRule="auto"/>
        <w:rPr>
          <w:rFonts w:ascii="宋体" w:hAnsi="宋体" w:cs="宋体"/>
          <w:b/>
          <w:spacing w:val="6"/>
          <w:szCs w:val="21"/>
        </w:rPr>
      </w:pPr>
    </w:p>
    <w:p w14:paraId="68323E2A">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1"/>
          <w:u w:val="single"/>
        </w:rPr>
        <w:t>(采购人)</w:t>
      </w:r>
      <w:r>
        <w:rPr>
          <w:rFonts w:hint="eastAsia" w:ascii="宋体" w:hAnsi="宋体" w:cs="宋体"/>
          <w:szCs w:val="21"/>
        </w:rPr>
        <w:t>单位的</w:t>
      </w:r>
      <w:r>
        <w:rPr>
          <w:rFonts w:hint="eastAsia" w:ascii="宋体" w:hAnsi="宋体" w:cs="宋体"/>
          <w:szCs w:val="21"/>
          <w:u w:val="single"/>
        </w:rPr>
        <w:t>（项目名称）</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6A87CBEA">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76A6B71B">
      <w:pPr>
        <w:spacing w:line="360" w:lineRule="auto"/>
        <w:ind w:firstLine="420" w:firstLineChars="200"/>
        <w:rPr>
          <w:rFonts w:ascii="宋体" w:hAnsi="宋体" w:cs="宋体"/>
          <w:szCs w:val="21"/>
        </w:rPr>
      </w:pPr>
    </w:p>
    <w:p w14:paraId="74CB849C">
      <w:pPr>
        <w:spacing w:line="360" w:lineRule="auto"/>
        <w:ind w:firstLine="420" w:firstLineChars="200"/>
        <w:rPr>
          <w:rFonts w:ascii="宋体" w:hAnsi="宋体" w:cs="宋体"/>
          <w:szCs w:val="21"/>
        </w:rPr>
      </w:pPr>
    </w:p>
    <w:p w14:paraId="3EAB53FA">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4DC168AC">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0FD979EF">
      <w:pPr>
        <w:spacing w:line="360" w:lineRule="auto"/>
        <w:ind w:firstLine="420" w:firstLineChars="200"/>
        <w:rPr>
          <w:rFonts w:ascii="宋体" w:hAnsi="宋体" w:cs="宋体"/>
          <w:szCs w:val="21"/>
        </w:rPr>
      </w:pPr>
    </w:p>
    <w:p w14:paraId="25278B6F">
      <w:pPr>
        <w:spacing w:line="360" w:lineRule="auto"/>
        <w:ind w:firstLine="420" w:firstLineChars="200"/>
        <w:rPr>
          <w:rFonts w:ascii="宋体" w:hAnsi="宋体" w:cs="宋体"/>
          <w:szCs w:val="21"/>
        </w:rPr>
      </w:pPr>
    </w:p>
    <w:p w14:paraId="791CF158">
      <w:pPr>
        <w:spacing w:line="360" w:lineRule="auto"/>
        <w:ind w:firstLine="420" w:firstLineChars="200"/>
        <w:rPr>
          <w:rFonts w:ascii="宋体" w:hAnsi="宋体" w:cs="宋体"/>
          <w:szCs w:val="21"/>
        </w:rPr>
      </w:pPr>
    </w:p>
    <w:p w14:paraId="6663BCDF">
      <w:pPr>
        <w:spacing w:line="360" w:lineRule="auto"/>
        <w:ind w:firstLine="420" w:firstLineChars="200"/>
        <w:rPr>
          <w:rFonts w:ascii="宋体" w:hAnsi="宋体" w:cs="宋体"/>
          <w:szCs w:val="21"/>
        </w:rPr>
      </w:pPr>
    </w:p>
    <w:p w14:paraId="1B519340">
      <w:pPr>
        <w:spacing w:line="360" w:lineRule="auto"/>
        <w:ind w:firstLine="420" w:firstLineChars="200"/>
        <w:rPr>
          <w:rFonts w:ascii="宋体" w:hAnsi="宋体" w:cs="宋体"/>
          <w:szCs w:val="21"/>
        </w:rPr>
      </w:pPr>
    </w:p>
    <w:p w14:paraId="238AC8BB">
      <w:pPr>
        <w:spacing w:line="360" w:lineRule="auto"/>
        <w:rPr>
          <w:rFonts w:ascii="宋体" w:hAnsi="宋体" w:cs="宋体"/>
          <w:b/>
          <w:szCs w:val="21"/>
        </w:rPr>
      </w:pPr>
    </w:p>
    <w:p w14:paraId="1E43768B">
      <w:pPr>
        <w:spacing w:line="360" w:lineRule="auto"/>
        <w:rPr>
          <w:rFonts w:ascii="宋体" w:hAnsi="宋体" w:cs="宋体"/>
          <w:b/>
          <w:szCs w:val="21"/>
        </w:rPr>
      </w:pPr>
    </w:p>
    <w:p w14:paraId="1D276659">
      <w:pPr>
        <w:spacing w:line="360" w:lineRule="auto"/>
        <w:rPr>
          <w:rFonts w:ascii="宋体" w:hAnsi="宋体" w:cs="宋体"/>
          <w:b/>
          <w:szCs w:val="21"/>
        </w:rPr>
      </w:pPr>
    </w:p>
    <w:p w14:paraId="0B8E327C">
      <w:pPr>
        <w:spacing w:line="360" w:lineRule="auto"/>
        <w:rPr>
          <w:rFonts w:ascii="宋体" w:hAnsi="宋体" w:cs="宋体"/>
          <w:b/>
          <w:szCs w:val="21"/>
        </w:rPr>
      </w:pPr>
    </w:p>
    <w:p w14:paraId="693383D4">
      <w:pPr>
        <w:spacing w:line="360" w:lineRule="auto"/>
        <w:rPr>
          <w:rFonts w:ascii="宋体" w:hAnsi="宋体" w:cs="宋体"/>
          <w:b/>
          <w:szCs w:val="21"/>
        </w:rPr>
      </w:pPr>
    </w:p>
    <w:p w14:paraId="78555279">
      <w:pPr>
        <w:spacing w:line="360" w:lineRule="auto"/>
        <w:rPr>
          <w:rFonts w:ascii="宋体" w:hAnsi="宋体" w:cs="宋体"/>
          <w:b/>
          <w:szCs w:val="21"/>
        </w:rPr>
      </w:pPr>
    </w:p>
    <w:p w14:paraId="7C49F2D3">
      <w:pPr>
        <w:spacing w:line="360" w:lineRule="auto"/>
        <w:rPr>
          <w:rFonts w:ascii="宋体" w:hAnsi="宋体" w:cs="宋体"/>
          <w:b/>
          <w:szCs w:val="21"/>
        </w:rPr>
      </w:pPr>
    </w:p>
    <w:p w14:paraId="3BF5870F">
      <w:pPr>
        <w:spacing w:line="360" w:lineRule="auto"/>
        <w:rPr>
          <w:rFonts w:ascii="宋体" w:hAnsi="宋体" w:cs="宋体"/>
          <w:b/>
          <w:szCs w:val="21"/>
        </w:rPr>
      </w:pPr>
    </w:p>
    <w:p w14:paraId="554B0E69">
      <w:pPr>
        <w:spacing w:line="360" w:lineRule="auto"/>
        <w:rPr>
          <w:rFonts w:ascii="宋体" w:hAnsi="宋体" w:cs="宋体"/>
          <w:b/>
          <w:szCs w:val="21"/>
        </w:rPr>
      </w:pPr>
    </w:p>
    <w:p w14:paraId="3B74A252">
      <w:pPr>
        <w:spacing w:line="360" w:lineRule="auto"/>
        <w:rPr>
          <w:rFonts w:ascii="宋体" w:hAnsi="宋体" w:cs="宋体"/>
          <w:b/>
          <w:spacing w:val="6"/>
          <w:szCs w:val="21"/>
        </w:rPr>
      </w:pPr>
      <w:r>
        <w:rPr>
          <w:rFonts w:hint="eastAsia" w:ascii="宋体" w:hAnsi="宋体" w:cs="宋体"/>
          <w:b/>
          <w:spacing w:val="6"/>
          <w:szCs w:val="21"/>
        </w:rPr>
        <w:br w:type="page"/>
      </w:r>
    </w:p>
    <w:p w14:paraId="0483E4E8">
      <w:pPr>
        <w:pStyle w:val="4"/>
        <w:rPr>
          <w:szCs w:val="21"/>
        </w:rPr>
      </w:pPr>
      <w:r>
        <w:rPr>
          <w:rFonts w:hint="eastAsia"/>
          <w:szCs w:val="21"/>
        </w:rPr>
        <w:t>附件2：质疑函范本及制作说明</w:t>
      </w:r>
    </w:p>
    <w:p w14:paraId="52F145D6">
      <w:pPr>
        <w:spacing w:line="360" w:lineRule="auto"/>
        <w:jc w:val="center"/>
        <w:rPr>
          <w:rFonts w:ascii="宋体" w:hAnsi="宋体" w:cs="宋体"/>
          <w:b/>
          <w:spacing w:val="6"/>
          <w:szCs w:val="21"/>
        </w:rPr>
      </w:pPr>
      <w:r>
        <w:rPr>
          <w:rFonts w:hint="eastAsia" w:ascii="宋体" w:hAnsi="宋体" w:cs="宋体"/>
          <w:b/>
          <w:spacing w:val="6"/>
          <w:szCs w:val="21"/>
        </w:rPr>
        <w:t>质疑函范本</w:t>
      </w:r>
    </w:p>
    <w:p w14:paraId="0D110D5E">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14:paraId="623A94D4">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7C6C865E">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A6BBFED">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2AEE9FF">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4B53C1FD">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6745E565">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7F7E2F66">
      <w:pPr>
        <w:snapToGrid w:val="0"/>
        <w:spacing w:line="360" w:lineRule="auto"/>
        <w:rPr>
          <w:rFonts w:ascii="宋体" w:hAnsi="宋体" w:cs="宋体"/>
          <w:bCs/>
          <w:szCs w:val="21"/>
        </w:rPr>
      </w:pPr>
      <w:r>
        <w:rPr>
          <w:rFonts w:hint="eastAsia" w:ascii="宋体" w:hAnsi="宋体" w:cs="宋体"/>
          <w:bCs/>
          <w:szCs w:val="21"/>
        </w:rPr>
        <w:t>二、质疑项目基本情况</w:t>
      </w:r>
    </w:p>
    <w:p w14:paraId="26ED68D9">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7CDC0BFE">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20C51433">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3A4A4FF">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1E5A9485">
      <w:pPr>
        <w:snapToGrid w:val="0"/>
        <w:spacing w:line="360" w:lineRule="auto"/>
        <w:rPr>
          <w:rFonts w:ascii="宋体" w:hAnsi="宋体" w:cs="宋体"/>
          <w:bCs/>
          <w:szCs w:val="21"/>
        </w:rPr>
      </w:pPr>
      <w:r>
        <w:rPr>
          <w:rFonts w:hint="eastAsia" w:ascii="宋体" w:hAnsi="宋体" w:cs="宋体"/>
          <w:bCs/>
          <w:szCs w:val="21"/>
        </w:rPr>
        <w:t>三、质疑事项具体内容</w:t>
      </w:r>
    </w:p>
    <w:p w14:paraId="1400698B">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6EDDA7F3">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88106CB">
      <w:pPr>
        <w:snapToGrid w:val="0"/>
        <w:spacing w:line="360" w:lineRule="auto"/>
        <w:rPr>
          <w:rFonts w:ascii="宋体" w:hAnsi="宋体" w:cs="宋体"/>
          <w:szCs w:val="21"/>
        </w:rPr>
      </w:pPr>
      <w:r>
        <w:rPr>
          <w:rFonts w:hint="eastAsia" w:ascii="宋体" w:hAnsi="宋体" w:cs="宋体"/>
          <w:szCs w:val="21"/>
          <w:u w:val="dotted"/>
        </w:rPr>
        <w:t xml:space="preserve">                                                       </w:t>
      </w:r>
    </w:p>
    <w:p w14:paraId="18EE7AC8">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FE906C1">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79B4C126">
      <w:pPr>
        <w:snapToGrid w:val="0"/>
        <w:spacing w:line="360" w:lineRule="auto"/>
        <w:rPr>
          <w:rFonts w:ascii="宋体" w:hAnsi="宋体" w:cs="宋体"/>
          <w:szCs w:val="21"/>
          <w:u w:val="dotted"/>
        </w:rPr>
      </w:pPr>
      <w:r>
        <w:rPr>
          <w:rFonts w:hint="eastAsia" w:ascii="宋体" w:hAnsi="宋体" w:cs="宋体"/>
          <w:szCs w:val="21"/>
        </w:rPr>
        <w:t>质疑事项2</w:t>
      </w:r>
    </w:p>
    <w:p w14:paraId="2662C0FF">
      <w:pPr>
        <w:snapToGrid w:val="0"/>
        <w:spacing w:line="360" w:lineRule="auto"/>
        <w:rPr>
          <w:rFonts w:ascii="宋体" w:hAnsi="宋体" w:cs="宋体"/>
          <w:szCs w:val="21"/>
        </w:rPr>
      </w:pPr>
      <w:r>
        <w:rPr>
          <w:rFonts w:hint="eastAsia" w:ascii="宋体" w:hAnsi="宋体" w:cs="宋体"/>
          <w:szCs w:val="21"/>
        </w:rPr>
        <w:t>……</w:t>
      </w:r>
    </w:p>
    <w:p w14:paraId="3592C995">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B4C35E4">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15BC40BA">
      <w:pPr>
        <w:spacing w:line="360" w:lineRule="auto"/>
        <w:rPr>
          <w:rFonts w:ascii="宋体" w:hAnsi="宋体" w:cs="宋体"/>
          <w:szCs w:val="21"/>
        </w:rPr>
      </w:pPr>
      <w:r>
        <w:rPr>
          <w:rFonts w:hint="eastAsia" w:ascii="宋体" w:hAnsi="宋体" w:cs="宋体"/>
          <w:szCs w:val="21"/>
        </w:rPr>
        <w:t xml:space="preserve">签字(签章)：                   公章：                      </w:t>
      </w:r>
    </w:p>
    <w:p w14:paraId="720BCB53">
      <w:pPr>
        <w:spacing w:line="360" w:lineRule="auto"/>
        <w:rPr>
          <w:rFonts w:ascii="宋体" w:hAnsi="宋体" w:cs="宋体"/>
          <w:szCs w:val="21"/>
        </w:rPr>
      </w:pPr>
      <w:r>
        <w:rPr>
          <w:rFonts w:hint="eastAsia" w:ascii="宋体" w:hAnsi="宋体" w:cs="宋体"/>
          <w:szCs w:val="21"/>
        </w:rPr>
        <w:t xml:space="preserve">日期：    </w:t>
      </w:r>
    </w:p>
    <w:p w14:paraId="4984325A">
      <w:pPr>
        <w:spacing w:line="360" w:lineRule="auto"/>
        <w:rPr>
          <w:rFonts w:ascii="宋体" w:hAnsi="宋体" w:cs="宋体"/>
          <w:b/>
          <w:szCs w:val="21"/>
        </w:rPr>
      </w:pPr>
    </w:p>
    <w:p w14:paraId="6F8C82A1">
      <w:pPr>
        <w:spacing w:line="360" w:lineRule="auto"/>
        <w:rPr>
          <w:rFonts w:ascii="宋体" w:hAnsi="宋体" w:cs="宋体"/>
          <w:b/>
          <w:szCs w:val="21"/>
        </w:rPr>
      </w:pPr>
    </w:p>
    <w:p w14:paraId="7C7C55D1">
      <w:pPr>
        <w:spacing w:line="360" w:lineRule="auto"/>
        <w:rPr>
          <w:rFonts w:ascii="宋体" w:hAnsi="宋体" w:cs="宋体"/>
          <w:b/>
          <w:szCs w:val="21"/>
        </w:rPr>
      </w:pPr>
      <w:r>
        <w:rPr>
          <w:rFonts w:hint="eastAsia" w:ascii="宋体" w:hAnsi="宋体" w:cs="宋体"/>
          <w:b/>
          <w:szCs w:val="21"/>
        </w:rPr>
        <w:t>质疑函制作说明：</w:t>
      </w:r>
    </w:p>
    <w:p w14:paraId="48F53287">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01A04BC6">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7D879F87">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56FFEB83">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32FAF481">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6082D2A0">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15D73532">
      <w:pPr>
        <w:widowControl/>
        <w:spacing w:line="360" w:lineRule="auto"/>
        <w:ind w:firstLine="420" w:firstLineChars="200"/>
        <w:jc w:val="left"/>
        <w:rPr>
          <w:rFonts w:ascii="宋体" w:hAnsi="宋体" w:cs="宋体"/>
          <w:szCs w:val="21"/>
        </w:rPr>
      </w:pPr>
    </w:p>
    <w:p w14:paraId="7C20764F">
      <w:pPr>
        <w:spacing w:line="360" w:lineRule="auto"/>
        <w:jc w:val="left"/>
        <w:rPr>
          <w:rFonts w:ascii="宋体" w:hAnsi="宋体" w:cs="宋体"/>
          <w:b/>
          <w:spacing w:val="6"/>
          <w:szCs w:val="21"/>
        </w:rPr>
      </w:pPr>
    </w:p>
    <w:p w14:paraId="0467A8EB">
      <w:pPr>
        <w:pStyle w:val="4"/>
        <w:rPr>
          <w:szCs w:val="21"/>
        </w:rPr>
      </w:pPr>
      <w:r>
        <w:rPr>
          <w:rFonts w:hint="eastAsia"/>
          <w:szCs w:val="21"/>
        </w:rPr>
        <w:t>附件3：投诉书范本及制作说明</w:t>
      </w:r>
    </w:p>
    <w:p w14:paraId="17C7E85C">
      <w:pPr>
        <w:spacing w:line="360" w:lineRule="auto"/>
        <w:jc w:val="center"/>
        <w:rPr>
          <w:rFonts w:ascii="宋体" w:hAnsi="宋体" w:cs="宋体"/>
          <w:b/>
          <w:szCs w:val="21"/>
        </w:rPr>
      </w:pPr>
    </w:p>
    <w:p w14:paraId="6B29D29B">
      <w:pPr>
        <w:spacing w:line="360" w:lineRule="auto"/>
        <w:jc w:val="center"/>
        <w:rPr>
          <w:rFonts w:ascii="宋体" w:hAnsi="宋体" w:cs="宋体"/>
          <w:b/>
          <w:spacing w:val="6"/>
          <w:szCs w:val="21"/>
        </w:rPr>
      </w:pPr>
      <w:r>
        <w:rPr>
          <w:rFonts w:hint="eastAsia" w:ascii="宋体" w:hAnsi="宋体" w:cs="宋体"/>
          <w:b/>
          <w:spacing w:val="6"/>
          <w:szCs w:val="21"/>
        </w:rPr>
        <w:t>投诉书范本</w:t>
      </w:r>
    </w:p>
    <w:p w14:paraId="3E81858F">
      <w:pPr>
        <w:spacing w:line="360" w:lineRule="auto"/>
        <w:rPr>
          <w:rFonts w:ascii="宋体" w:hAnsi="宋体" w:cs="宋体"/>
          <w:szCs w:val="21"/>
        </w:rPr>
      </w:pPr>
      <w:r>
        <w:rPr>
          <w:rFonts w:hint="eastAsia" w:ascii="宋体" w:hAnsi="宋体" w:cs="宋体"/>
          <w:szCs w:val="21"/>
        </w:rPr>
        <w:t>一、投诉相关主体基本情况</w:t>
      </w:r>
    </w:p>
    <w:p w14:paraId="09EDA588">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7CF3F911">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6A6F6E4">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3E5A4A17">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28D93637">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30019800">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4830FE6F">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1A9DB846">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FB32801">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7126849">
      <w:pPr>
        <w:spacing w:line="360" w:lineRule="auto"/>
        <w:rPr>
          <w:rFonts w:ascii="宋体" w:hAnsi="宋体" w:cs="宋体"/>
          <w:szCs w:val="21"/>
        </w:rPr>
      </w:pPr>
      <w:r>
        <w:rPr>
          <w:rFonts w:hint="eastAsia" w:ascii="宋体" w:hAnsi="宋体" w:cs="宋体"/>
          <w:szCs w:val="21"/>
        </w:rPr>
        <w:t>被投诉人2</w:t>
      </w:r>
    </w:p>
    <w:p w14:paraId="68377BA7">
      <w:pPr>
        <w:spacing w:line="360" w:lineRule="auto"/>
        <w:rPr>
          <w:rFonts w:ascii="宋体" w:hAnsi="宋体" w:cs="宋体"/>
          <w:szCs w:val="21"/>
          <w:u w:val="dotted"/>
        </w:rPr>
      </w:pPr>
      <w:r>
        <w:rPr>
          <w:rFonts w:hint="eastAsia" w:ascii="宋体" w:hAnsi="宋体" w:cs="宋体"/>
          <w:szCs w:val="21"/>
        </w:rPr>
        <w:t>……</w:t>
      </w:r>
    </w:p>
    <w:p w14:paraId="338FAC48">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29D10E3D">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41C09F5">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52B6E700">
      <w:pPr>
        <w:spacing w:line="360" w:lineRule="auto"/>
        <w:rPr>
          <w:rFonts w:ascii="宋体" w:hAnsi="宋体" w:cs="宋体"/>
          <w:szCs w:val="21"/>
        </w:rPr>
      </w:pPr>
      <w:r>
        <w:rPr>
          <w:rFonts w:hint="eastAsia" w:ascii="宋体" w:hAnsi="宋体" w:cs="宋体"/>
          <w:szCs w:val="21"/>
        </w:rPr>
        <w:t>二、投诉项目基本情况</w:t>
      </w:r>
    </w:p>
    <w:p w14:paraId="4DC8D386">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2C67A46E">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F1BE741">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0C83738C">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29F4678D">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20354DB6">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37F30F84">
      <w:pPr>
        <w:spacing w:line="360" w:lineRule="auto"/>
        <w:rPr>
          <w:rFonts w:ascii="宋体" w:hAnsi="宋体" w:cs="宋体"/>
          <w:szCs w:val="21"/>
        </w:rPr>
      </w:pPr>
      <w:r>
        <w:rPr>
          <w:rFonts w:hint="eastAsia" w:ascii="宋体" w:hAnsi="宋体" w:cs="宋体"/>
          <w:szCs w:val="21"/>
        </w:rPr>
        <w:t>三、质疑基本情况</w:t>
      </w:r>
    </w:p>
    <w:p w14:paraId="02A710FA">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E42E803">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47CBA6D7">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6ACC5839">
      <w:pPr>
        <w:spacing w:line="360" w:lineRule="auto"/>
        <w:rPr>
          <w:rFonts w:ascii="宋体" w:hAnsi="宋体" w:cs="宋体"/>
          <w:szCs w:val="21"/>
        </w:rPr>
      </w:pPr>
      <w:r>
        <w:rPr>
          <w:rFonts w:hint="eastAsia" w:ascii="宋体" w:hAnsi="宋体" w:cs="宋体"/>
          <w:szCs w:val="21"/>
        </w:rPr>
        <w:t>四、投诉事项具体内容</w:t>
      </w:r>
    </w:p>
    <w:p w14:paraId="3C6185E8">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045AF139">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2FE4C650">
      <w:pPr>
        <w:spacing w:line="360" w:lineRule="auto"/>
        <w:rPr>
          <w:rFonts w:ascii="宋体" w:hAnsi="宋体" w:cs="宋体"/>
          <w:szCs w:val="21"/>
          <w:u w:val="dotted"/>
        </w:rPr>
      </w:pPr>
      <w:r>
        <w:rPr>
          <w:rFonts w:hint="eastAsia" w:ascii="宋体" w:hAnsi="宋体" w:cs="宋体"/>
          <w:szCs w:val="21"/>
          <w:u w:val="dotted"/>
        </w:rPr>
        <w:t xml:space="preserve">                                                      </w:t>
      </w:r>
    </w:p>
    <w:p w14:paraId="7698C426">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5DA9E4E2">
      <w:pPr>
        <w:spacing w:line="360" w:lineRule="auto"/>
        <w:rPr>
          <w:rFonts w:ascii="宋体" w:hAnsi="宋体" w:cs="宋体"/>
          <w:szCs w:val="21"/>
          <w:u w:val="dotted"/>
        </w:rPr>
      </w:pPr>
      <w:r>
        <w:rPr>
          <w:rFonts w:hint="eastAsia" w:ascii="宋体" w:hAnsi="宋体" w:cs="宋体"/>
          <w:szCs w:val="21"/>
          <w:u w:val="dotted"/>
        </w:rPr>
        <w:t xml:space="preserve">                                                      </w:t>
      </w:r>
    </w:p>
    <w:p w14:paraId="59BE8E56">
      <w:pPr>
        <w:spacing w:line="360" w:lineRule="auto"/>
        <w:rPr>
          <w:rFonts w:ascii="宋体" w:hAnsi="宋体" w:cs="宋体"/>
          <w:szCs w:val="21"/>
        </w:rPr>
      </w:pPr>
      <w:r>
        <w:rPr>
          <w:rFonts w:hint="eastAsia" w:ascii="宋体" w:hAnsi="宋体" w:cs="宋体"/>
          <w:szCs w:val="21"/>
        </w:rPr>
        <w:t>投诉事项2</w:t>
      </w:r>
    </w:p>
    <w:p w14:paraId="7E676A15">
      <w:pPr>
        <w:spacing w:line="360" w:lineRule="auto"/>
        <w:rPr>
          <w:rFonts w:ascii="宋体" w:hAnsi="宋体" w:cs="宋体"/>
          <w:szCs w:val="21"/>
          <w:u w:val="dotted"/>
        </w:rPr>
      </w:pPr>
      <w:r>
        <w:rPr>
          <w:rFonts w:hint="eastAsia" w:ascii="宋体" w:hAnsi="宋体" w:cs="宋体"/>
          <w:szCs w:val="21"/>
        </w:rPr>
        <w:t>……</w:t>
      </w:r>
    </w:p>
    <w:p w14:paraId="605D9699">
      <w:pPr>
        <w:spacing w:line="360" w:lineRule="auto"/>
        <w:rPr>
          <w:rFonts w:ascii="宋体" w:hAnsi="宋体" w:cs="宋体"/>
          <w:szCs w:val="21"/>
        </w:rPr>
      </w:pPr>
      <w:r>
        <w:rPr>
          <w:rFonts w:hint="eastAsia" w:ascii="宋体" w:hAnsi="宋体" w:cs="宋体"/>
          <w:szCs w:val="21"/>
        </w:rPr>
        <w:t>五、与投诉事项相关的投诉请求</w:t>
      </w:r>
    </w:p>
    <w:p w14:paraId="016745E0">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71F05121">
      <w:pPr>
        <w:spacing w:line="360" w:lineRule="auto"/>
        <w:rPr>
          <w:rFonts w:ascii="宋体" w:hAnsi="宋体" w:cs="宋体"/>
          <w:szCs w:val="21"/>
          <w:u w:val="single"/>
        </w:rPr>
      </w:pPr>
      <w:r>
        <w:rPr>
          <w:rFonts w:hint="eastAsia" w:ascii="宋体" w:hAnsi="宋体" w:cs="宋体"/>
          <w:szCs w:val="21"/>
        </w:rPr>
        <w:t xml:space="preserve">                                                                                                    </w:t>
      </w:r>
    </w:p>
    <w:p w14:paraId="2B654604">
      <w:pPr>
        <w:spacing w:line="360" w:lineRule="auto"/>
        <w:rPr>
          <w:rFonts w:ascii="宋体" w:hAnsi="宋体" w:cs="宋体"/>
          <w:szCs w:val="21"/>
        </w:rPr>
      </w:pPr>
      <w:r>
        <w:rPr>
          <w:rFonts w:hint="eastAsia" w:ascii="宋体" w:hAnsi="宋体" w:cs="宋体"/>
          <w:szCs w:val="21"/>
        </w:rPr>
        <w:t xml:space="preserve">签字(签章)：                   公章：                      </w:t>
      </w:r>
    </w:p>
    <w:p w14:paraId="673BE38A">
      <w:pPr>
        <w:spacing w:line="360" w:lineRule="auto"/>
        <w:rPr>
          <w:rFonts w:ascii="宋体" w:hAnsi="宋体" w:cs="宋体"/>
          <w:szCs w:val="21"/>
        </w:rPr>
      </w:pPr>
      <w:r>
        <w:rPr>
          <w:rFonts w:hint="eastAsia" w:ascii="宋体" w:hAnsi="宋体" w:cs="宋体"/>
          <w:szCs w:val="21"/>
        </w:rPr>
        <w:t xml:space="preserve">日期：    </w:t>
      </w:r>
    </w:p>
    <w:p w14:paraId="7F950809">
      <w:pPr>
        <w:spacing w:line="360" w:lineRule="auto"/>
        <w:rPr>
          <w:rFonts w:ascii="宋体" w:hAnsi="宋体" w:cs="宋体"/>
          <w:b/>
          <w:szCs w:val="21"/>
        </w:rPr>
      </w:pPr>
    </w:p>
    <w:p w14:paraId="1362387C">
      <w:pPr>
        <w:spacing w:line="360" w:lineRule="auto"/>
        <w:rPr>
          <w:rFonts w:ascii="宋体" w:hAnsi="宋体" w:cs="宋体"/>
          <w:b/>
          <w:szCs w:val="21"/>
        </w:rPr>
      </w:pPr>
    </w:p>
    <w:p w14:paraId="3A1DA039">
      <w:pPr>
        <w:spacing w:line="360" w:lineRule="auto"/>
        <w:rPr>
          <w:rFonts w:ascii="宋体" w:hAnsi="宋体" w:cs="宋体"/>
          <w:b/>
          <w:szCs w:val="21"/>
        </w:rPr>
      </w:pPr>
      <w:r>
        <w:rPr>
          <w:rFonts w:hint="eastAsia" w:ascii="宋体" w:hAnsi="宋体" w:cs="宋体"/>
          <w:b/>
          <w:szCs w:val="21"/>
        </w:rPr>
        <w:t>投诉书制作说明：</w:t>
      </w:r>
    </w:p>
    <w:p w14:paraId="1D9886DF">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7F7ADC85">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276ACD68">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4756E89F">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6C26ED6E">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2C6F94B7">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4FA8FEC8">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1431161">
      <w:pPr>
        <w:spacing w:line="360" w:lineRule="auto"/>
        <w:rPr>
          <w:rFonts w:ascii="宋体" w:hAnsi="宋体" w:cs="宋体"/>
          <w:b/>
          <w:szCs w:val="21"/>
        </w:rPr>
      </w:pPr>
    </w:p>
    <w:p w14:paraId="24FE7E19">
      <w:pPr>
        <w:autoSpaceDE w:val="0"/>
        <w:autoSpaceDN w:val="0"/>
        <w:spacing w:line="360" w:lineRule="auto"/>
        <w:jc w:val="center"/>
        <w:rPr>
          <w:rFonts w:ascii="宋体" w:hAnsi="宋体" w:cs="宋体"/>
          <w:b/>
          <w:spacing w:val="6"/>
          <w:szCs w:val="21"/>
        </w:rPr>
      </w:pPr>
    </w:p>
    <w:p w14:paraId="52383FFA">
      <w:pPr>
        <w:autoSpaceDE w:val="0"/>
        <w:autoSpaceDN w:val="0"/>
        <w:spacing w:line="360" w:lineRule="auto"/>
        <w:jc w:val="center"/>
        <w:rPr>
          <w:rFonts w:ascii="宋体" w:hAnsi="宋体" w:cs="宋体"/>
          <w:b/>
          <w:spacing w:val="6"/>
          <w:szCs w:val="21"/>
        </w:rPr>
      </w:pPr>
    </w:p>
    <w:p w14:paraId="52FB2AD1">
      <w:pPr>
        <w:spacing w:line="360" w:lineRule="auto"/>
        <w:rPr>
          <w:rFonts w:ascii="宋体" w:hAnsi="宋体" w:cs="宋体"/>
          <w:b/>
          <w:spacing w:val="6"/>
          <w:szCs w:val="21"/>
        </w:rPr>
      </w:pPr>
      <w:r>
        <w:rPr>
          <w:rFonts w:hint="eastAsia" w:ascii="宋体" w:hAnsi="宋体" w:cs="宋体"/>
          <w:b/>
          <w:spacing w:val="6"/>
          <w:szCs w:val="21"/>
        </w:rPr>
        <w:br w:type="page"/>
      </w:r>
    </w:p>
    <w:p w14:paraId="08A67B55">
      <w:pPr>
        <w:pStyle w:val="4"/>
        <w:rPr>
          <w:szCs w:val="21"/>
        </w:rPr>
      </w:pPr>
      <w:r>
        <w:rPr>
          <w:rFonts w:hint="eastAsia"/>
          <w:szCs w:val="21"/>
        </w:rPr>
        <w:t>附件4：业务专用章使用说明函</w:t>
      </w:r>
    </w:p>
    <w:p w14:paraId="75D61277">
      <w:pPr>
        <w:spacing w:line="360" w:lineRule="auto"/>
        <w:rPr>
          <w:rFonts w:ascii="宋体" w:hAnsi="宋体" w:cs="宋体"/>
          <w:szCs w:val="21"/>
          <w:u w:val="single"/>
        </w:rPr>
      </w:pPr>
    </w:p>
    <w:p w14:paraId="308F4DFA">
      <w:pPr>
        <w:spacing w:line="360" w:lineRule="auto"/>
        <w:rPr>
          <w:rFonts w:ascii="宋体" w:hAnsi="宋体" w:cs="宋体"/>
          <w:szCs w:val="21"/>
        </w:rPr>
      </w:pPr>
      <w:r>
        <w:rPr>
          <w:rFonts w:hint="eastAsia" w:ascii="宋体" w:hAnsi="宋体" w:cs="宋体"/>
          <w:szCs w:val="21"/>
          <w:u w:val="single"/>
        </w:rPr>
        <w:t>（采购人）、（采购代理机构）：</w:t>
      </w:r>
    </w:p>
    <w:p w14:paraId="04AF3548">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你方组织的（项目名称）【招标编号：（采购编号）】</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509BCD3E">
      <w:pPr>
        <w:spacing w:line="360" w:lineRule="auto"/>
        <w:ind w:firstLine="420" w:firstLineChars="200"/>
        <w:rPr>
          <w:rFonts w:ascii="宋体" w:hAnsi="宋体" w:cs="宋体"/>
          <w:szCs w:val="21"/>
        </w:rPr>
      </w:pPr>
      <w:r>
        <w:rPr>
          <w:rFonts w:hint="eastAsia" w:ascii="宋体" w:hAnsi="宋体" w:cs="宋体"/>
          <w:szCs w:val="21"/>
        </w:rPr>
        <w:t>特此说明。</w:t>
      </w:r>
    </w:p>
    <w:p w14:paraId="041DA54F">
      <w:pPr>
        <w:spacing w:line="360" w:lineRule="auto"/>
        <w:ind w:firstLine="494"/>
        <w:rPr>
          <w:rFonts w:ascii="宋体" w:hAnsi="宋体" w:cs="宋体"/>
          <w:szCs w:val="21"/>
        </w:rPr>
      </w:pPr>
    </w:p>
    <w:p w14:paraId="005B7CC1">
      <w:pPr>
        <w:spacing w:line="360" w:lineRule="auto"/>
        <w:ind w:firstLine="494"/>
        <w:rPr>
          <w:rFonts w:ascii="宋体" w:hAnsi="宋体" w:cs="宋体"/>
          <w:szCs w:val="21"/>
        </w:rPr>
      </w:pPr>
    </w:p>
    <w:p w14:paraId="50CD9C4E">
      <w:pPr>
        <w:spacing w:line="360" w:lineRule="auto"/>
        <w:ind w:firstLine="494"/>
        <w:rPr>
          <w:rFonts w:ascii="宋体" w:hAnsi="宋体" w:cs="宋体"/>
          <w:szCs w:val="21"/>
        </w:rPr>
      </w:pPr>
    </w:p>
    <w:p w14:paraId="7AF22BE8">
      <w:pPr>
        <w:spacing w:line="360" w:lineRule="auto"/>
        <w:ind w:firstLine="494"/>
        <w:rPr>
          <w:rFonts w:ascii="宋体" w:hAnsi="宋体" w:cs="宋体"/>
          <w:szCs w:val="21"/>
        </w:rPr>
      </w:pPr>
    </w:p>
    <w:p w14:paraId="378B6E20">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14:paraId="7B0C8B6D">
      <w:pPr>
        <w:spacing w:line="360" w:lineRule="auto"/>
        <w:ind w:right="1440" w:firstLine="494"/>
        <w:jc w:val="center"/>
        <w:rPr>
          <w:rFonts w:ascii="宋体" w:hAnsi="宋体" w:cs="宋体"/>
          <w:szCs w:val="21"/>
        </w:rPr>
      </w:pPr>
      <w:r>
        <w:rPr>
          <w:rFonts w:hint="eastAsia" w:ascii="宋体" w:hAnsi="宋体" w:cs="宋体"/>
          <w:szCs w:val="21"/>
        </w:rPr>
        <w:t xml:space="preserve">                              日期：       年     月     日</w:t>
      </w:r>
    </w:p>
    <w:p w14:paraId="2B4DD194">
      <w:pPr>
        <w:spacing w:line="360" w:lineRule="auto"/>
        <w:rPr>
          <w:rFonts w:ascii="宋体" w:hAnsi="宋体" w:cs="宋体"/>
          <w:szCs w:val="21"/>
        </w:rPr>
      </w:pPr>
      <w:r>
        <w:rPr>
          <w:rFonts w:hint="eastAsia" w:ascii="宋体" w:hAnsi="宋体" w:cs="宋体"/>
          <w:b/>
          <w:bCs/>
          <w:szCs w:val="21"/>
        </w:rPr>
        <w:t>附：</w:t>
      </w:r>
    </w:p>
    <w:p w14:paraId="636DF3B4">
      <w:pPr>
        <w:spacing w:line="360" w:lineRule="auto"/>
        <w:rPr>
          <w:rFonts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14:paraId="0C2B3189">
      <w:pPr>
        <w:autoSpaceDE w:val="0"/>
        <w:autoSpaceDN w:val="0"/>
        <w:spacing w:line="360" w:lineRule="auto"/>
        <w:jc w:val="center"/>
        <w:rPr>
          <w:rFonts w:ascii="宋体" w:hAnsi="宋体" w:cs="宋体"/>
          <w:b/>
          <w:spacing w:val="6"/>
          <w:szCs w:val="21"/>
        </w:rPr>
      </w:pPr>
    </w:p>
    <w:p w14:paraId="701812E2">
      <w:pPr>
        <w:autoSpaceDE w:val="0"/>
        <w:autoSpaceDN w:val="0"/>
        <w:spacing w:line="360" w:lineRule="auto"/>
        <w:jc w:val="center"/>
        <w:rPr>
          <w:rFonts w:ascii="宋体" w:hAnsi="宋体" w:cs="宋体"/>
          <w:b/>
          <w:spacing w:val="6"/>
          <w:szCs w:val="21"/>
        </w:rPr>
      </w:pPr>
    </w:p>
    <w:p w14:paraId="66995831">
      <w:pPr>
        <w:autoSpaceDE w:val="0"/>
        <w:autoSpaceDN w:val="0"/>
        <w:spacing w:line="360" w:lineRule="auto"/>
        <w:jc w:val="center"/>
        <w:rPr>
          <w:rFonts w:ascii="宋体" w:hAnsi="宋体" w:cs="宋体"/>
          <w:b/>
          <w:spacing w:val="6"/>
          <w:szCs w:val="21"/>
        </w:rPr>
      </w:pPr>
    </w:p>
    <w:p w14:paraId="23D945D1">
      <w:pPr>
        <w:autoSpaceDE w:val="0"/>
        <w:autoSpaceDN w:val="0"/>
        <w:spacing w:line="360" w:lineRule="auto"/>
        <w:jc w:val="center"/>
        <w:rPr>
          <w:rFonts w:ascii="宋体" w:hAnsi="宋体" w:cs="宋体"/>
          <w:b/>
          <w:spacing w:val="6"/>
          <w:szCs w:val="21"/>
        </w:rPr>
      </w:pPr>
    </w:p>
    <w:p w14:paraId="6158199F">
      <w:pPr>
        <w:autoSpaceDE w:val="0"/>
        <w:autoSpaceDN w:val="0"/>
        <w:spacing w:line="360" w:lineRule="auto"/>
        <w:jc w:val="center"/>
        <w:rPr>
          <w:rFonts w:ascii="宋体" w:hAnsi="宋体" w:cs="宋体"/>
          <w:b/>
          <w:spacing w:val="6"/>
          <w:szCs w:val="21"/>
        </w:rPr>
      </w:pPr>
    </w:p>
    <w:p w14:paraId="0BDBD988">
      <w:pPr>
        <w:autoSpaceDE w:val="0"/>
        <w:autoSpaceDN w:val="0"/>
        <w:spacing w:line="360" w:lineRule="auto"/>
        <w:jc w:val="center"/>
        <w:rPr>
          <w:rFonts w:ascii="宋体" w:hAnsi="宋体" w:cs="宋体"/>
          <w:b/>
          <w:spacing w:val="6"/>
          <w:szCs w:val="21"/>
        </w:rPr>
      </w:pPr>
    </w:p>
    <w:p w14:paraId="0C34F80C">
      <w:pPr>
        <w:autoSpaceDE w:val="0"/>
        <w:autoSpaceDN w:val="0"/>
        <w:spacing w:line="360" w:lineRule="auto"/>
        <w:jc w:val="center"/>
        <w:rPr>
          <w:rFonts w:ascii="宋体" w:hAnsi="宋体" w:cs="宋体"/>
          <w:b/>
          <w:spacing w:val="6"/>
          <w:szCs w:val="21"/>
        </w:rPr>
      </w:pPr>
    </w:p>
    <w:p w14:paraId="671C9C54">
      <w:pPr>
        <w:autoSpaceDE w:val="0"/>
        <w:autoSpaceDN w:val="0"/>
        <w:spacing w:line="360" w:lineRule="auto"/>
        <w:jc w:val="center"/>
        <w:rPr>
          <w:rFonts w:ascii="宋体" w:hAnsi="宋体" w:cs="宋体"/>
          <w:b/>
          <w:spacing w:val="6"/>
          <w:szCs w:val="21"/>
        </w:rPr>
      </w:pPr>
    </w:p>
    <w:p w14:paraId="4FA636A7">
      <w:pPr>
        <w:autoSpaceDE w:val="0"/>
        <w:autoSpaceDN w:val="0"/>
        <w:spacing w:line="360" w:lineRule="auto"/>
        <w:jc w:val="center"/>
        <w:rPr>
          <w:rFonts w:ascii="宋体" w:hAnsi="宋体" w:cs="宋体"/>
          <w:b/>
          <w:spacing w:val="6"/>
          <w:szCs w:val="21"/>
        </w:rPr>
      </w:pPr>
    </w:p>
    <w:p w14:paraId="368B9357">
      <w:pPr>
        <w:autoSpaceDE w:val="0"/>
        <w:autoSpaceDN w:val="0"/>
        <w:spacing w:line="360" w:lineRule="auto"/>
        <w:jc w:val="center"/>
        <w:rPr>
          <w:rFonts w:ascii="宋体" w:hAnsi="宋体" w:cs="宋体"/>
          <w:b/>
          <w:spacing w:val="6"/>
          <w:szCs w:val="21"/>
        </w:rPr>
      </w:pPr>
    </w:p>
    <w:p w14:paraId="23A02EF3">
      <w:pPr>
        <w:autoSpaceDE w:val="0"/>
        <w:autoSpaceDN w:val="0"/>
        <w:spacing w:line="360" w:lineRule="auto"/>
        <w:jc w:val="center"/>
        <w:rPr>
          <w:rFonts w:ascii="宋体" w:hAnsi="宋体" w:cs="宋体"/>
          <w:b/>
          <w:spacing w:val="6"/>
          <w:szCs w:val="21"/>
        </w:rPr>
      </w:pPr>
    </w:p>
    <w:p w14:paraId="5335D88C">
      <w:pPr>
        <w:autoSpaceDE w:val="0"/>
        <w:autoSpaceDN w:val="0"/>
        <w:spacing w:line="360" w:lineRule="auto"/>
        <w:jc w:val="center"/>
        <w:rPr>
          <w:rFonts w:ascii="宋体" w:hAnsi="宋体" w:cs="宋体"/>
          <w:b/>
          <w:spacing w:val="6"/>
          <w:szCs w:val="21"/>
        </w:rPr>
      </w:pPr>
    </w:p>
    <w:p w14:paraId="53C15C82">
      <w:pPr>
        <w:autoSpaceDE w:val="0"/>
        <w:autoSpaceDN w:val="0"/>
        <w:spacing w:line="360" w:lineRule="auto"/>
        <w:jc w:val="center"/>
        <w:rPr>
          <w:rFonts w:ascii="宋体" w:hAnsi="宋体" w:cs="宋体"/>
          <w:b/>
          <w:spacing w:val="6"/>
          <w:szCs w:val="21"/>
        </w:rPr>
      </w:pPr>
    </w:p>
    <w:p w14:paraId="3C06C569">
      <w:pPr>
        <w:autoSpaceDE w:val="0"/>
        <w:autoSpaceDN w:val="0"/>
        <w:spacing w:line="360" w:lineRule="auto"/>
        <w:jc w:val="center"/>
        <w:rPr>
          <w:rFonts w:ascii="宋体" w:hAnsi="宋体" w:cs="宋体"/>
          <w:b/>
          <w:spacing w:val="6"/>
          <w:szCs w:val="21"/>
        </w:rPr>
      </w:pPr>
    </w:p>
    <w:p w14:paraId="6AD03358">
      <w:pPr>
        <w:autoSpaceDE w:val="0"/>
        <w:autoSpaceDN w:val="0"/>
        <w:spacing w:line="360" w:lineRule="auto"/>
        <w:jc w:val="center"/>
        <w:rPr>
          <w:rFonts w:ascii="宋体" w:hAnsi="宋体" w:cs="宋体"/>
          <w:b/>
          <w:spacing w:val="6"/>
          <w:szCs w:val="21"/>
        </w:rPr>
      </w:pPr>
    </w:p>
    <w:p w14:paraId="504EADE1">
      <w:pPr>
        <w:autoSpaceDE w:val="0"/>
        <w:autoSpaceDN w:val="0"/>
        <w:spacing w:line="360" w:lineRule="auto"/>
        <w:jc w:val="center"/>
        <w:rPr>
          <w:rFonts w:ascii="宋体" w:hAnsi="宋体" w:cs="宋体"/>
          <w:b/>
          <w:spacing w:val="6"/>
          <w:szCs w:val="21"/>
        </w:rPr>
      </w:pPr>
    </w:p>
    <w:p w14:paraId="757174C4">
      <w:pPr>
        <w:autoSpaceDE w:val="0"/>
        <w:autoSpaceDN w:val="0"/>
        <w:spacing w:line="360" w:lineRule="auto"/>
        <w:jc w:val="center"/>
        <w:rPr>
          <w:rFonts w:ascii="宋体" w:hAnsi="宋体" w:cs="宋体"/>
          <w:b/>
          <w:spacing w:val="6"/>
          <w:szCs w:val="21"/>
        </w:rPr>
      </w:pPr>
    </w:p>
    <w:p w14:paraId="1C996FDA">
      <w:pPr>
        <w:spacing w:line="360" w:lineRule="auto"/>
        <w:rPr>
          <w:rFonts w:ascii="宋体" w:hAnsi="宋体" w:cs="宋体"/>
          <w:b/>
          <w:spacing w:val="6"/>
          <w:szCs w:val="21"/>
        </w:rPr>
      </w:pPr>
      <w:r>
        <w:rPr>
          <w:rFonts w:hint="eastAsia" w:ascii="宋体" w:hAnsi="宋体" w:cs="宋体"/>
          <w:b/>
          <w:spacing w:val="6"/>
          <w:szCs w:val="21"/>
        </w:rPr>
        <w:br w:type="page"/>
      </w:r>
    </w:p>
    <w:p w14:paraId="4564C05B">
      <w:pPr>
        <w:pStyle w:val="4"/>
        <w:rPr>
          <w:szCs w:val="21"/>
          <w:lang w:val="zh-CN"/>
        </w:rPr>
      </w:pPr>
      <w:r>
        <w:rPr>
          <w:rFonts w:hint="eastAsia"/>
          <w:szCs w:val="21"/>
        </w:rPr>
        <w:t>附件5：</w:t>
      </w:r>
      <w:r>
        <w:rPr>
          <w:rFonts w:hint="eastAsia"/>
          <w:szCs w:val="21"/>
          <w:lang w:val="zh-CN"/>
        </w:rPr>
        <w:t>联合协议</w:t>
      </w:r>
    </w:p>
    <w:p w14:paraId="45344BCF">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024D1B7F">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（项目名称）【招标编号：（采购编号）】</w:t>
      </w:r>
      <w:r>
        <w:rPr>
          <w:rFonts w:hint="eastAsia" w:ascii="宋体" w:hAnsi="宋体" w:cs="宋体"/>
          <w:kern w:val="0"/>
          <w:szCs w:val="21"/>
          <w:lang w:val="zh-CN"/>
        </w:rPr>
        <w:t xml:space="preserve">投标。 </w:t>
      </w:r>
    </w:p>
    <w:p w14:paraId="63247BB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09AA747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6B4211E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p>
    <w:p w14:paraId="60B5B89C">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67835E1">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3CB7C03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p w14:paraId="7056091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2FA8CFDE">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597" w:name="_Hlk101131882"/>
      <w:r>
        <w:rPr>
          <w:rFonts w:hint="eastAsia" w:ascii="宋体" w:hAnsi="宋体" w:cs="宋体"/>
          <w:kern w:val="0"/>
          <w:szCs w:val="21"/>
          <w:u w:val="single"/>
        </w:rPr>
        <w:t>联合体成员X,……</w:t>
      </w:r>
      <w:bookmarkEnd w:id="597"/>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A3B36CF">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598"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bookmarkEnd w:id="598"/>
    </w:p>
    <w:p w14:paraId="4CB2A81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7CE8901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14:paraId="00ECB29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138C7552">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0E7D8730">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00B7E47E">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9C55967">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13039947">
      <w:pPr>
        <w:snapToGrid w:val="0"/>
        <w:spacing w:line="360" w:lineRule="auto"/>
        <w:ind w:right="960"/>
        <w:jc w:val="center"/>
        <w:rPr>
          <w:rFonts w:ascii="宋体" w:hAnsi="宋体" w:cs="宋体"/>
          <w:kern w:val="0"/>
          <w:szCs w:val="21"/>
          <w:lang w:val="zh-CN"/>
        </w:rPr>
      </w:pPr>
      <w:r>
        <w:rPr>
          <w:rFonts w:hint="eastAsia" w:ascii="宋体" w:hAnsi="宋体" w:cs="宋体"/>
          <w:kern w:val="0"/>
          <w:szCs w:val="21"/>
          <w:lang w:val="zh-CN"/>
        </w:rPr>
        <w:t xml:space="preserve">                   ……</w:t>
      </w:r>
    </w:p>
    <w:p w14:paraId="0C1BFFC1">
      <w:pPr>
        <w:snapToGrid w:val="0"/>
        <w:spacing w:line="360" w:lineRule="auto"/>
        <w:jc w:val="right"/>
        <w:rPr>
          <w:rFonts w:ascii="宋体" w:hAnsi="宋体" w:cs="宋体"/>
          <w:kern w:val="0"/>
          <w:szCs w:val="21"/>
          <w:lang w:val="zh-CN"/>
        </w:rPr>
      </w:pPr>
      <w:r>
        <w:rPr>
          <w:rFonts w:hint="eastAsia" w:ascii="宋体" w:hAnsi="宋体" w:cs="宋体"/>
          <w:kern w:val="0"/>
          <w:szCs w:val="21"/>
          <w:lang w:val="zh-CN"/>
        </w:rPr>
        <w:t>日期：  年  月   日</w:t>
      </w:r>
    </w:p>
    <w:p w14:paraId="292F431E">
      <w:pPr>
        <w:spacing w:line="360" w:lineRule="auto"/>
        <w:rPr>
          <w:rFonts w:ascii="宋体" w:hAnsi="宋体" w:cs="宋体"/>
          <w:b/>
          <w:spacing w:val="6"/>
          <w:szCs w:val="21"/>
        </w:rPr>
      </w:pPr>
      <w:r>
        <w:rPr>
          <w:rFonts w:hint="eastAsia" w:ascii="宋体" w:hAnsi="宋体" w:cs="宋体"/>
          <w:szCs w:val="21"/>
        </w:rPr>
        <w:t>注：按本格式和要求提供。</w:t>
      </w:r>
    </w:p>
    <w:p w14:paraId="152E8BA0">
      <w:pPr>
        <w:pStyle w:val="4"/>
        <w:rPr>
          <w:szCs w:val="21"/>
        </w:rPr>
      </w:pPr>
      <w:r>
        <w:rPr>
          <w:rFonts w:hint="eastAsia"/>
          <w:szCs w:val="21"/>
        </w:rPr>
        <w:t>附件6：分包意向协议</w:t>
      </w:r>
    </w:p>
    <w:p w14:paraId="35AF35AB">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w:t>
      </w:r>
      <w:r>
        <w:rPr>
          <w:rFonts w:hint="eastAsia" w:ascii="宋体" w:hAnsi="宋体" w:cs="宋体"/>
          <w:szCs w:val="21"/>
        </w:rPr>
        <w:t>采购</w:t>
      </w:r>
      <w:r>
        <w:rPr>
          <w:rFonts w:hint="eastAsia" w:ascii="宋体" w:hAnsi="宋体" w:cs="宋体"/>
          <w:b/>
          <w:szCs w:val="21"/>
        </w:rPr>
        <w:t>人不同意分包或者投标人中标后不以分包方式履行合同的，则不需要提供。</w:t>
      </w:r>
      <w:r>
        <w:rPr>
          <w:rFonts w:hint="eastAsia" w:ascii="宋体" w:hAnsi="宋体" w:cs="宋体"/>
          <w:szCs w:val="21"/>
        </w:rPr>
        <w:t>）</w:t>
      </w:r>
    </w:p>
    <w:p w14:paraId="1DAAB1F9">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w:t>
      </w:r>
      <w:r>
        <w:rPr>
          <w:rFonts w:hint="eastAsia" w:ascii="宋体" w:hAnsi="宋体" w:cs="宋体"/>
          <w:szCs w:val="21"/>
        </w:rPr>
        <w:t>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w:t>
      </w:r>
      <w:r>
        <w:rPr>
          <w:rFonts w:hint="eastAsia" w:ascii="宋体" w:hAnsi="宋体" w:cs="宋体"/>
          <w:szCs w:val="21"/>
        </w:rPr>
        <w:t>分包意向协议</w:t>
      </w:r>
      <w:r>
        <w:rPr>
          <w:rFonts w:hint="eastAsia" w:ascii="宋体" w:hAnsi="宋体" w:cs="宋体"/>
          <w:kern w:val="0"/>
          <w:szCs w:val="21"/>
          <w:lang w:val="zh-CN"/>
        </w:rPr>
        <w:t xml:space="preserve">。 </w:t>
      </w:r>
    </w:p>
    <w:p w14:paraId="387A508F">
      <w:pPr>
        <w:spacing w:line="360" w:lineRule="auto"/>
        <w:ind w:firstLine="420" w:firstLineChars="200"/>
        <w:rPr>
          <w:rFonts w:ascii="宋体" w:hAnsi="宋体" w:cs="宋体"/>
          <w:szCs w:val="21"/>
        </w:rPr>
      </w:pPr>
      <w:r>
        <w:rPr>
          <w:rFonts w:hint="eastAsia" w:ascii="宋体" w:hAnsi="宋体" w:cs="宋体"/>
          <w:kern w:val="0"/>
          <w:szCs w:val="21"/>
          <w:lang w:val="zh-CN"/>
        </w:rPr>
        <w:t>一、分包标的及数量</w:t>
      </w:r>
    </w:p>
    <w:p w14:paraId="47715324">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w:t>
      </w:r>
      <w:r>
        <w:rPr>
          <w:rFonts w:hint="eastAsia" w:ascii="宋体" w:hAnsi="宋体" w:cs="宋体"/>
          <w:szCs w:val="21"/>
          <w:u w:val="single"/>
        </w:rPr>
        <w:t>名称）</w:t>
      </w:r>
      <w:r>
        <w:rPr>
          <w:rFonts w:hint="eastAsia" w:ascii="宋体" w:hAnsi="宋体" w:cs="宋体"/>
          <w:kern w:val="0"/>
          <w:szCs w:val="21"/>
          <w:lang w:val="zh-CN"/>
        </w:rPr>
        <w:t>将</w:t>
      </w:r>
      <w:r>
        <w:rPr>
          <w:rFonts w:hint="eastAsia" w:ascii="宋体" w:hAnsi="宋体" w:cs="宋体"/>
          <w:szCs w:val="21"/>
          <w:u w:val="single"/>
        </w:rPr>
        <w:t xml:space="preserve">  </w:t>
      </w:r>
      <w:r>
        <w:rPr>
          <w:rFonts w:hint="eastAsia"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（分包供应商2名称），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618F7A12">
      <w:pPr>
        <w:spacing w:line="360" w:lineRule="auto"/>
        <w:rPr>
          <w:szCs w:val="21"/>
        </w:rPr>
      </w:pPr>
      <w:r>
        <w:rPr>
          <w:rFonts w:hint="eastAsia"/>
          <w:szCs w:val="21"/>
        </w:rPr>
        <w:t>……</w:t>
      </w:r>
    </w:p>
    <w:p w14:paraId="584AF741">
      <w:pPr>
        <w:spacing w:line="360" w:lineRule="auto"/>
        <w:rPr>
          <w:rFonts w:ascii="宋体" w:hAnsi="宋体" w:cs="宋体"/>
          <w:szCs w:val="21"/>
        </w:rPr>
      </w:pPr>
      <w:r>
        <w:rPr>
          <w:rFonts w:hint="eastAsia" w:ascii="宋体" w:hAnsi="宋体" w:cs="宋体"/>
          <w:szCs w:val="21"/>
          <w:lang w:val="zh-CN"/>
        </w:rPr>
        <w:t xml:space="preserve"> </w:t>
      </w:r>
    </w:p>
    <w:p w14:paraId="4EFC55F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417B17BC">
      <w:pPr>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（分包供应商X,……）提供的服务全部由小微</w:t>
      </w:r>
      <w:r>
        <w:rPr>
          <w:rFonts w:hint="eastAsia" w:ascii="宋体" w:hAnsi="宋体" w:cs="宋体"/>
          <w:szCs w:val="21"/>
          <w:u w:val="single"/>
        </w:rPr>
        <w:t>企业</w:t>
      </w:r>
      <w:r>
        <w:rPr>
          <w:rFonts w:hint="eastAsia" w:ascii="宋体" w:hAnsi="宋体" w:cs="宋体"/>
          <w:kern w:val="0"/>
          <w:szCs w:val="21"/>
          <w:u w:val="single"/>
        </w:rPr>
        <w:t>承接，</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（未预留份额专门面向中小企业采购的的采购项目，以及预留份额中的非预留部分采购包，允许分包的，分包意向协议约定小微</w:t>
      </w:r>
      <w:r>
        <w:rPr>
          <w:rFonts w:hint="eastAsia" w:ascii="宋体" w:hAnsi="宋体" w:cs="宋体"/>
          <w:szCs w:val="21"/>
          <w:u w:val="single"/>
        </w:rPr>
        <w:t>企业</w:t>
      </w:r>
      <w:r>
        <w:rPr>
          <w:rFonts w:hint="eastAsia" w:ascii="宋体" w:hAnsi="宋体" w:cs="宋体"/>
          <w:b/>
          <w:kern w:val="0"/>
          <w:szCs w:val="21"/>
          <w:lang w:val="zh-CN"/>
        </w:rPr>
        <w:t>的合同份额占到合同总金额30%以上的，对大中型</w:t>
      </w:r>
      <w:r>
        <w:rPr>
          <w:rFonts w:hint="eastAsia" w:ascii="宋体" w:hAnsi="宋体" w:cs="宋体"/>
          <w:szCs w:val="21"/>
          <w:u w:val="single"/>
        </w:rPr>
        <w:t>企业</w:t>
      </w:r>
      <w:r>
        <w:rPr>
          <w:rFonts w:hint="eastAsia" w:ascii="宋体" w:hAnsi="宋体" w:cs="宋体"/>
          <w:b/>
          <w:kern w:val="0"/>
          <w:szCs w:val="21"/>
          <w:lang w:val="zh-CN"/>
        </w:rPr>
        <w:t>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A4A5ED1">
      <w:pPr>
        <w:spacing w:line="360" w:lineRule="auto"/>
        <w:ind w:firstLine="420" w:firstLineChars="200"/>
        <w:rPr>
          <w:rFonts w:ascii="宋体" w:hAnsi="宋体" w:cs="宋体"/>
          <w:b/>
          <w:bCs/>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w:t>
      </w:r>
      <w:r>
        <w:rPr>
          <w:rFonts w:hint="eastAsia" w:ascii="宋体" w:hAnsi="宋体" w:cs="宋体"/>
          <w:szCs w:val="21"/>
          <w:u w:val="single"/>
        </w:rPr>
        <w:t>采购</w:t>
      </w:r>
      <w:r>
        <w:rPr>
          <w:rFonts w:hint="eastAsia" w:ascii="宋体" w:hAnsi="宋体" w:cs="宋体"/>
          <w:b/>
          <w:bCs/>
          <w:szCs w:val="21"/>
        </w:rPr>
        <w:t>包，供应商按招标</w:t>
      </w:r>
      <w:r>
        <w:rPr>
          <w:rFonts w:hint="eastAsia" w:ascii="宋体" w:hAnsi="宋体" w:cs="宋体"/>
          <w:szCs w:val="21"/>
          <w:u w:val="single"/>
        </w:rPr>
        <w:t>文件</w:t>
      </w:r>
      <w:r>
        <w:rPr>
          <w:rFonts w:hint="eastAsia" w:ascii="宋体" w:hAnsi="宋体" w:cs="宋体"/>
          <w:b/>
          <w:bCs/>
          <w:szCs w:val="21"/>
        </w:rPr>
        <w:t>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w:t>
      </w:r>
      <w:r>
        <w:rPr>
          <w:rFonts w:hint="eastAsia" w:ascii="宋体" w:hAnsi="宋体" w:cs="宋体"/>
          <w:szCs w:val="21"/>
          <w:u w:val="single"/>
        </w:rPr>
        <w:t>企业</w:t>
      </w:r>
      <w:r>
        <w:rPr>
          <w:rFonts w:hint="eastAsia" w:ascii="宋体" w:hAnsi="宋体" w:cs="宋体"/>
          <w:b/>
          <w:bCs/>
          <w:szCs w:val="21"/>
        </w:rPr>
        <w:t>合同金额应当达到的比例要求填写。</w:t>
      </w:r>
      <w:r>
        <w:rPr>
          <w:rFonts w:hint="eastAsia" w:ascii="宋体" w:hAnsi="宋体" w:cs="宋体"/>
          <w:b/>
          <w:bCs/>
          <w:kern w:val="0"/>
          <w:szCs w:val="21"/>
          <w:lang w:val="zh-CN"/>
        </w:rPr>
        <w:t>）</w:t>
      </w:r>
    </w:p>
    <w:p w14:paraId="0224316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4187D5BE">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131FC30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4488B3D6">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4B67F49B">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6E1FAC4E">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0222FE9">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4A94D5FC">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4AE2044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5BCC036B">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3CAC0CF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八、其他</w:t>
      </w:r>
    </w:p>
    <w:p w14:paraId="2F7A4B8E">
      <w:pPr>
        <w:snapToGrid w:val="0"/>
        <w:spacing w:line="360" w:lineRule="auto"/>
        <w:ind w:left="5128" w:leftChars="342" w:hanging="4410" w:hangingChars="2100"/>
        <w:jc w:val="left"/>
        <w:rPr>
          <w:rFonts w:ascii="宋体" w:hAnsi="宋体" w:cs="宋体"/>
          <w:kern w:val="0"/>
          <w:szCs w:val="21"/>
          <w:lang w:val="zh-CN"/>
        </w:rPr>
      </w:pP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 xml:space="preserve">。                                  </w:t>
      </w:r>
    </w:p>
    <w:p w14:paraId="01B148AD">
      <w:pPr>
        <w:snapToGrid w:val="0"/>
        <w:spacing w:line="360" w:lineRule="auto"/>
        <w:ind w:left="5128" w:leftChars="342" w:hanging="4410" w:hangingChars="2100"/>
        <w:jc w:val="left"/>
        <w:rPr>
          <w:rFonts w:ascii="宋体" w:hAnsi="宋体" w:cs="宋体"/>
          <w:szCs w:val="21"/>
        </w:rPr>
      </w:pPr>
      <w:r>
        <w:rPr>
          <w:rFonts w:hint="eastAsia" w:ascii="宋体" w:hAnsi="宋体" w:cs="宋体"/>
          <w:kern w:val="0"/>
          <w:szCs w:val="21"/>
          <w:lang w:val="zh-CN"/>
        </w:rPr>
        <w:t>投标人名称(电子签名)：</w:t>
      </w:r>
      <w:r>
        <w:rPr>
          <w:rFonts w:hint="eastAsia" w:ascii="宋体" w:hAnsi="宋体" w:cs="宋体"/>
          <w:kern w:val="0"/>
          <w:szCs w:val="21"/>
        </w:rPr>
        <w:t xml:space="preserve">                  </w:t>
      </w:r>
      <w:r>
        <w:rPr>
          <w:rFonts w:hint="eastAsia" w:ascii="宋体" w:hAnsi="宋体" w:cs="宋体"/>
          <w:kern w:val="0"/>
          <w:szCs w:val="21"/>
          <w:lang w:val="zh-CN"/>
        </w:rPr>
        <w:t>分包供应商名称(电子签名/公章)：</w:t>
      </w:r>
    </w:p>
    <w:p w14:paraId="093DD045">
      <w:pPr>
        <w:spacing w:line="360" w:lineRule="auto"/>
        <w:ind w:firstLine="420" w:firstLineChars="200"/>
        <w:rPr>
          <w:rFonts w:ascii="宋体" w:hAnsi="宋体" w:cs="宋体"/>
          <w:szCs w:val="21"/>
        </w:rPr>
      </w:pPr>
      <w:r>
        <w:rPr>
          <w:rFonts w:hint="eastAsia" w:ascii="宋体" w:hAnsi="宋体" w:cs="宋体"/>
          <w:szCs w:val="21"/>
        </w:rPr>
        <w:t>……</w:t>
      </w:r>
    </w:p>
    <w:p w14:paraId="236B9C1F">
      <w:pPr>
        <w:snapToGrid w:val="0"/>
        <w:spacing w:line="360" w:lineRule="auto"/>
        <w:jc w:val="righ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72510C71">
      <w:pPr>
        <w:spacing w:line="360" w:lineRule="auto"/>
        <w:ind w:right="420" w:firstLine="420" w:firstLineChars="200"/>
        <w:rPr>
          <w:rFonts w:ascii="宋体" w:hAnsi="宋体" w:cs="宋体"/>
          <w:szCs w:val="21"/>
        </w:rPr>
      </w:pPr>
      <w:r>
        <w:rPr>
          <w:rFonts w:hint="eastAsia" w:ascii="宋体" w:hAnsi="宋体" w:cs="宋体"/>
          <w:szCs w:val="21"/>
        </w:rPr>
        <w:t>注：按本格式和要求提供。</w:t>
      </w:r>
    </w:p>
    <w:p w14:paraId="2A574F0A">
      <w:pPr>
        <w:pStyle w:val="4"/>
        <w:rPr>
          <w:szCs w:val="21"/>
        </w:rPr>
      </w:pPr>
      <w:r>
        <w:rPr>
          <w:rFonts w:hint="eastAsia"/>
          <w:szCs w:val="21"/>
        </w:rPr>
        <w:t>附件7：中小企业声明函</w:t>
      </w:r>
    </w:p>
    <w:p w14:paraId="727FF7CA">
      <w:pPr>
        <w:spacing w:line="360" w:lineRule="auto"/>
        <w:jc w:val="center"/>
        <w:rPr>
          <w:rFonts w:ascii="宋体" w:hAnsi="宋体" w:cs="宋体"/>
          <w:b/>
          <w:szCs w:val="21"/>
        </w:rPr>
      </w:pPr>
      <w:r>
        <w:rPr>
          <w:rFonts w:hint="eastAsia" w:ascii="宋体" w:hAnsi="宋体" w:cs="宋体"/>
          <w:b/>
          <w:szCs w:val="21"/>
        </w:rPr>
        <w:t>中小企业声明函（服务）</w:t>
      </w:r>
    </w:p>
    <w:p w14:paraId="3251F353">
      <w:pPr>
        <w:spacing w:line="360" w:lineRule="auto"/>
        <w:ind w:firstLine="315" w:firstLineChars="15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杭州市钱塘区人民政府办公室 </w:t>
      </w:r>
      <w:r>
        <w:rPr>
          <w:rFonts w:hint="eastAsia" w:ascii="宋体" w:hAnsi="宋体" w:cs="宋体"/>
          <w:szCs w:val="21"/>
        </w:rPr>
        <w:t xml:space="preserve">的 </w:t>
      </w:r>
      <w:r>
        <w:rPr>
          <w:rFonts w:hint="eastAsia" w:ascii="宋体" w:hAnsi="宋体" w:cs="宋体"/>
          <w:szCs w:val="21"/>
          <w:u w:val="single"/>
          <w:lang w:eastAsia="zh-CN"/>
        </w:rPr>
        <w:t>钱塘区政务云资源及云安全租赁服务项目（2024）</w:t>
      </w:r>
      <w:r>
        <w:rPr>
          <w:rFonts w:hint="eastAsia" w:ascii="宋体" w:hAnsi="宋体" w:cs="宋体"/>
          <w:szCs w:val="21"/>
          <w:u w:val="single"/>
        </w:rPr>
        <w:t xml:space="preserve">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CF08335">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lang w:eastAsia="zh-CN"/>
        </w:rPr>
        <w:t>钱塘区政务云资源及云安全租赁服务项目（2024）</w:t>
      </w:r>
      <w:r>
        <w:rPr>
          <w:rFonts w:hint="eastAsia" w:ascii="宋体" w:hAnsi="宋体" w:cs="宋体"/>
          <w:szCs w:val="21"/>
        </w:rPr>
        <w:t xml:space="preserve">，属于 </w:t>
      </w:r>
      <w:r>
        <w:rPr>
          <w:rFonts w:hint="eastAsia" w:ascii="宋体" w:hAnsi="宋体" w:cs="宋体"/>
          <w:szCs w:val="21"/>
          <w:u w:val="single"/>
        </w:rPr>
        <w:t>软件和信息技术服务业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w:t>
      </w:r>
      <w:r>
        <w:rPr>
          <w:rFonts w:hint="eastAsia" w:ascii="宋体" w:hAnsi="宋体" w:cs="宋体"/>
          <w:szCs w:val="21"/>
          <w:u w:val="single"/>
        </w:rPr>
        <w:sym w:font="Wingdings" w:char="00A8"/>
      </w:r>
      <w:r>
        <w:rPr>
          <w:rFonts w:hint="eastAsia" w:ascii="宋体" w:hAnsi="宋体" w:cs="宋体"/>
          <w:szCs w:val="21"/>
          <w:u w:val="single"/>
        </w:rPr>
        <w:t>小型企业、</w:t>
      </w:r>
      <w:r>
        <w:rPr>
          <w:rFonts w:hint="eastAsia" w:ascii="宋体" w:hAnsi="宋体" w:cs="宋体"/>
          <w:szCs w:val="21"/>
          <w:u w:val="single"/>
        </w:rPr>
        <w:sym w:font="Wingdings" w:char="00A8"/>
      </w:r>
      <w:r>
        <w:rPr>
          <w:rFonts w:hint="eastAsia" w:ascii="宋体" w:hAnsi="宋体" w:cs="宋体"/>
          <w:szCs w:val="21"/>
          <w:u w:val="single"/>
        </w:rPr>
        <w:t xml:space="preserve">微型企业） </w:t>
      </w:r>
      <w:r>
        <w:rPr>
          <w:rFonts w:hint="eastAsia" w:ascii="宋体" w:hAnsi="宋体" w:cs="宋体"/>
          <w:szCs w:val="21"/>
        </w:rPr>
        <w:t>；</w:t>
      </w:r>
    </w:p>
    <w:p w14:paraId="01E649BF">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7AA7CE6B">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12A6DB42">
      <w:pPr>
        <w:spacing w:line="360" w:lineRule="auto"/>
        <w:ind w:right="1760" w:firstLine="420" w:firstLineChars="200"/>
        <w:rPr>
          <w:rFonts w:ascii="宋体" w:hAnsi="宋体" w:cs="宋体"/>
          <w:szCs w:val="21"/>
        </w:rPr>
      </w:pPr>
    </w:p>
    <w:p w14:paraId="26362B40">
      <w:pPr>
        <w:spacing w:line="360" w:lineRule="auto"/>
        <w:ind w:right="1760" w:firstLine="420" w:firstLineChars="200"/>
        <w:rPr>
          <w:rFonts w:ascii="宋体" w:hAnsi="宋体" w:cs="宋体"/>
          <w:szCs w:val="21"/>
        </w:rPr>
      </w:pPr>
      <w:r>
        <w:rPr>
          <w:rFonts w:hint="eastAsia" w:ascii="宋体" w:hAnsi="宋体" w:cs="宋体"/>
          <w:szCs w:val="21"/>
        </w:rPr>
        <w:t>投标人名称（电子签名）：</w:t>
      </w:r>
    </w:p>
    <w:p w14:paraId="0725F98A">
      <w:pPr>
        <w:spacing w:line="360" w:lineRule="auto"/>
        <w:ind w:right="1120" w:firstLine="420" w:firstLineChars="200"/>
        <w:rPr>
          <w:rFonts w:ascii="宋体" w:hAnsi="宋体" w:cs="宋体"/>
          <w:szCs w:val="21"/>
        </w:rPr>
      </w:pPr>
      <w:r>
        <w:rPr>
          <w:rFonts w:hint="eastAsia" w:ascii="宋体" w:hAnsi="宋体" w:cs="宋体"/>
          <w:szCs w:val="21"/>
        </w:rPr>
        <w:t>日 期：</w:t>
      </w:r>
    </w:p>
    <w:p w14:paraId="56E2DAF4">
      <w:pPr>
        <w:spacing w:line="360" w:lineRule="auto"/>
        <w:ind w:firstLine="310" w:firstLineChars="147"/>
        <w:jc w:val="left"/>
        <w:rPr>
          <w:rFonts w:ascii="宋体" w:hAnsi="宋体" w:cs="宋体"/>
          <w:b/>
          <w:szCs w:val="21"/>
        </w:rPr>
      </w:pPr>
    </w:p>
    <w:p w14:paraId="57F6A8D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CB83705">
      <w:pPr>
        <w:spacing w:line="360" w:lineRule="auto"/>
        <w:ind w:right="420"/>
        <w:rPr>
          <w:rFonts w:ascii="宋体" w:hAnsi="宋体" w:cs="宋体"/>
          <w:szCs w:val="21"/>
        </w:rPr>
      </w:pPr>
      <w:r>
        <w:rPr>
          <w:rFonts w:hint="eastAsia" w:ascii="宋体" w:hAnsi="宋体" w:cs="宋体"/>
          <w:szCs w:val="21"/>
        </w:rPr>
        <w:t xml:space="preserve">   注：</w:t>
      </w:r>
    </w:p>
    <w:p w14:paraId="32237869">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声明内容不实的，属于提供虚假材料谋取中标、成交的，依法承担法律责任。</w:t>
      </w:r>
    </w:p>
    <w:p w14:paraId="15CF1376">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42A5C00">
      <w:pPr>
        <w:spacing w:line="360" w:lineRule="auto"/>
        <w:ind w:right="420" w:firstLine="420" w:firstLineChars="200"/>
        <w:rPr>
          <w:rFonts w:ascii="宋体" w:hAnsi="宋体" w:cs="宋体"/>
          <w:szCs w:val="21"/>
        </w:rPr>
      </w:pPr>
      <w:r>
        <w:rPr>
          <w:rFonts w:hint="eastAsia" w:ascii="宋体" w:hAnsi="宋体" w:cs="宋体"/>
          <w:szCs w:val="21"/>
        </w:rPr>
        <w:br w:type="page"/>
      </w:r>
    </w:p>
    <w:p w14:paraId="28184671">
      <w:pPr>
        <w:pStyle w:val="4"/>
        <w:ind w:firstLine="446"/>
        <w:rPr>
          <w:rFonts w:ascii="宋体" w:hAnsi="宋体" w:cs="宋体"/>
          <w:spacing w:val="6"/>
          <w:szCs w:val="21"/>
        </w:rPr>
      </w:pPr>
      <w:r>
        <w:rPr>
          <w:rFonts w:hint="eastAsia" w:ascii="宋体" w:hAnsi="宋体" w:cs="宋体"/>
          <w:spacing w:val="6"/>
          <w:szCs w:val="21"/>
        </w:rPr>
        <w:t>附件8：政府采购活动现场确认声明书</w:t>
      </w:r>
    </w:p>
    <w:p w14:paraId="465319BE">
      <w:pPr>
        <w:spacing w:line="360" w:lineRule="auto"/>
        <w:jc w:val="center"/>
        <w:rPr>
          <w:rFonts w:ascii="宋体" w:hAnsi="宋体" w:cs="宋体"/>
          <w:b/>
          <w:bCs/>
          <w:szCs w:val="21"/>
        </w:rPr>
      </w:pPr>
    </w:p>
    <w:p w14:paraId="7D0F6CCE">
      <w:pPr>
        <w:spacing w:line="360" w:lineRule="auto"/>
        <w:jc w:val="center"/>
        <w:rPr>
          <w:rFonts w:ascii="宋体" w:hAnsi="宋体" w:cs="宋体"/>
          <w:b/>
          <w:bCs/>
          <w:szCs w:val="21"/>
        </w:rPr>
      </w:pPr>
      <w:r>
        <w:rPr>
          <w:rFonts w:hint="eastAsia" w:ascii="宋体" w:hAnsi="宋体" w:cs="宋体"/>
          <w:b/>
          <w:bCs/>
          <w:szCs w:val="21"/>
        </w:rPr>
        <w:t>政府采购活动现场确认声明书</w:t>
      </w:r>
    </w:p>
    <w:p w14:paraId="53CE126C">
      <w:pPr>
        <w:pStyle w:val="24"/>
        <w:spacing w:line="360" w:lineRule="auto"/>
        <w:ind w:firstLine="420"/>
        <w:rPr>
          <w:rFonts w:cs="宋体"/>
          <w:sz w:val="21"/>
          <w:szCs w:val="21"/>
        </w:rPr>
      </w:pPr>
    </w:p>
    <w:p w14:paraId="23A58F2E">
      <w:pPr>
        <w:pStyle w:val="320"/>
        <w:snapToGrid w:val="0"/>
        <w:spacing w:line="360" w:lineRule="auto"/>
        <w:ind w:firstLine="420"/>
        <w:rPr>
          <w:rFonts w:hAnsi="宋体" w:eastAsia="宋体" w:cs="宋体"/>
          <w:b/>
          <w:sz w:val="21"/>
          <w:szCs w:val="21"/>
        </w:rPr>
      </w:pPr>
      <w:r>
        <w:rPr>
          <w:rFonts w:hint="eastAsia" w:hAnsi="宋体" w:eastAsia="宋体" w:cs="宋体"/>
          <w:sz w:val="21"/>
          <w:szCs w:val="21"/>
        </w:rPr>
        <w:t>浙江省成套招标代理有限公司：</w:t>
      </w:r>
    </w:p>
    <w:p w14:paraId="2172984D">
      <w:pPr>
        <w:pStyle w:val="320"/>
        <w:adjustRightInd w:val="0"/>
        <w:snapToGrid w:val="0"/>
        <w:spacing w:line="360" w:lineRule="auto"/>
        <w:ind w:firstLine="444"/>
        <w:rPr>
          <w:rFonts w:hAnsi="宋体" w:eastAsia="宋体" w:cs="宋体"/>
          <w:sz w:val="21"/>
          <w:szCs w:val="21"/>
          <w:u w:val="single"/>
        </w:rPr>
      </w:pPr>
      <w:r>
        <w:rPr>
          <w:rFonts w:hint="eastAsia" w:hAnsi="宋体" w:eastAsia="宋体" w:cs="宋体"/>
          <w:spacing w:val="6"/>
          <w:sz w:val="21"/>
          <w:szCs w:val="21"/>
        </w:rPr>
        <w:t>本人经由单位法定代表人合法授权参加</w:t>
      </w:r>
      <w:r>
        <w:rPr>
          <w:rFonts w:hint="eastAsia" w:hAnsi="宋体" w:eastAsia="宋体" w:cs="宋体"/>
          <w:sz w:val="21"/>
          <w:szCs w:val="21"/>
          <w:u w:val="single"/>
        </w:rPr>
        <w:t>杭州市钱塘区人民政府办公室</w:t>
      </w:r>
      <w:r>
        <w:rPr>
          <w:rFonts w:hint="eastAsia" w:hAnsi="宋体" w:eastAsia="宋体" w:cs="宋体"/>
          <w:sz w:val="21"/>
          <w:szCs w:val="21"/>
        </w:rPr>
        <w:t>（采购人）</w:t>
      </w:r>
      <w:r>
        <w:rPr>
          <w:rFonts w:hint="eastAsia" w:hAnsi="宋体" w:eastAsia="宋体" w:cs="宋体"/>
          <w:sz w:val="21"/>
          <w:szCs w:val="21"/>
          <w:u w:val="single"/>
          <w:lang w:eastAsia="zh-CN"/>
        </w:rPr>
        <w:t>钱塘区政务云资源及云安全租赁服务项目（2024）</w:t>
      </w:r>
      <w:r>
        <w:rPr>
          <w:rFonts w:hint="eastAsia" w:hAnsi="宋体" w:eastAsia="宋体" w:cs="宋体"/>
          <w:sz w:val="21"/>
          <w:szCs w:val="21"/>
        </w:rPr>
        <w:t>（项目名称）</w:t>
      </w:r>
      <w:r>
        <w:rPr>
          <w:rFonts w:hint="eastAsia" w:hAnsi="宋体" w:eastAsia="宋体" w:cs="宋体"/>
          <w:sz w:val="21"/>
          <w:szCs w:val="21"/>
          <w:u w:val="single"/>
          <w:lang w:eastAsia="zh-CN"/>
        </w:rPr>
        <w:t>QTCG-GK-2024-220</w:t>
      </w:r>
      <w:r>
        <w:rPr>
          <w:rFonts w:hint="eastAsia" w:hAnsi="宋体" w:eastAsia="宋体" w:cs="宋体"/>
          <w:sz w:val="21"/>
          <w:szCs w:val="21"/>
        </w:rPr>
        <w:t>（项目编号）</w:t>
      </w:r>
      <w:r>
        <w:rPr>
          <w:rFonts w:hint="eastAsia" w:hAnsi="宋体" w:eastAsia="宋体" w:cs="宋体"/>
          <w:spacing w:val="6"/>
          <w:sz w:val="21"/>
          <w:szCs w:val="21"/>
        </w:rPr>
        <w:t>政府采购活动，经与本单位法人代表人联系确认，现就有关公平竞争事项郑重声明如下：</w:t>
      </w:r>
    </w:p>
    <w:p w14:paraId="44498B7A">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一、本单位与采购人之间 □不存在利害关系 □存在下列利害关系【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5478A86D">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A.投资关系    B.行政隶属关系    C.业务指导关系</w:t>
      </w:r>
    </w:p>
    <w:p w14:paraId="33E24706">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D.其他可能</w:t>
      </w:r>
      <w:r>
        <w:rPr>
          <w:rFonts w:hint="eastAsia" w:ascii="宋体" w:hAnsi="宋体" w:eastAsia="宋体" w:cs="宋体"/>
          <w:sz w:val="21"/>
          <w:szCs w:val="21"/>
        </w:rPr>
        <w:t>影响采购公正的</w:t>
      </w:r>
      <w:r>
        <w:rPr>
          <w:rFonts w:hint="eastAsia" w:ascii="宋体" w:hAnsi="宋体" w:eastAsia="宋体" w:cs="宋体"/>
          <w:kern w:val="0"/>
          <w:sz w:val="21"/>
          <w:szCs w:val="21"/>
        </w:rPr>
        <w:t>利害关系【</w:t>
      </w:r>
      <w:r>
        <w:rPr>
          <w:rFonts w:hint="eastAsia" w:ascii="宋体" w:hAnsi="宋体" w:eastAsia="宋体" w:cs="宋体"/>
          <w:kern w:val="0"/>
          <w:sz w:val="21"/>
          <w:szCs w:val="21"/>
          <w:u w:val="single"/>
        </w:rPr>
        <w:t xml:space="preserve">（如有，请如实说明）                 </w:t>
      </w:r>
      <w:r>
        <w:rPr>
          <w:rFonts w:hint="eastAsia" w:ascii="宋体" w:hAnsi="宋体" w:eastAsia="宋体" w:cs="宋体"/>
          <w:kern w:val="0"/>
          <w:sz w:val="21"/>
          <w:szCs w:val="21"/>
        </w:rPr>
        <w:t>】。</w:t>
      </w:r>
    </w:p>
    <w:p w14:paraId="0ACB7A77">
      <w:pPr>
        <w:pStyle w:val="321"/>
        <w:widowControl/>
        <w:snapToGrid w:val="0"/>
        <w:spacing w:line="360" w:lineRule="auto"/>
        <w:ind w:firstLine="444"/>
        <w:rPr>
          <w:rFonts w:ascii="宋体" w:hAnsi="宋体" w:eastAsia="宋体" w:cs="宋体"/>
          <w:kern w:val="0"/>
          <w:sz w:val="21"/>
          <w:szCs w:val="21"/>
        </w:rPr>
      </w:pPr>
      <w:r>
        <w:rPr>
          <w:rFonts w:hint="eastAsia" w:ascii="宋体" w:hAnsi="宋体" w:eastAsia="宋体" w:cs="宋体"/>
          <w:spacing w:val="6"/>
          <w:sz w:val="21"/>
          <w:szCs w:val="21"/>
        </w:rPr>
        <w:t>二、</w:t>
      </w:r>
      <w:r>
        <w:rPr>
          <w:rFonts w:hint="eastAsia" w:ascii="宋体" w:hAnsi="宋体" w:eastAsia="宋体" w:cs="宋体"/>
          <w:kern w:val="0"/>
          <w:sz w:val="21"/>
          <w:szCs w:val="21"/>
        </w:rPr>
        <w:t>现已清楚知道参加本项目采购活动的其他所有供应商名称，本单位 □与其他所有供应商之间均不存在利害关系 □与【</w:t>
      </w:r>
      <w:r>
        <w:rPr>
          <w:rFonts w:hint="eastAsia" w:ascii="宋体" w:hAnsi="宋体" w:eastAsia="宋体" w:cs="宋体"/>
          <w:kern w:val="0"/>
          <w:sz w:val="21"/>
          <w:szCs w:val="21"/>
          <w:u w:val="single"/>
        </w:rPr>
        <w:t xml:space="preserve">           （供应商名称）</w:t>
      </w:r>
      <w:r>
        <w:rPr>
          <w:rFonts w:hint="eastAsia" w:ascii="宋体" w:hAnsi="宋体" w:eastAsia="宋体" w:cs="宋体"/>
          <w:kern w:val="0"/>
          <w:sz w:val="21"/>
          <w:szCs w:val="21"/>
        </w:rPr>
        <w:t>】之间存在下列利害关系【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3B25CD12">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A.法定代表人或负责人或实际控制人是同一人</w:t>
      </w:r>
    </w:p>
    <w:p w14:paraId="3438FAF7">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B.法定代表人或负责人或实际控制人是夫妻关系</w:t>
      </w:r>
    </w:p>
    <w:p w14:paraId="09009DE4">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C.法定代表人或负责人或实际控制人是直系血亲关系</w:t>
      </w:r>
    </w:p>
    <w:p w14:paraId="77B5E43B">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D.法定代表人或负责人或实际控制人存在三代以内旁系血亲关系</w:t>
      </w:r>
    </w:p>
    <w:p w14:paraId="18019250">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E.法定代表人或负责人或实际控制人存在近姻亲关系</w:t>
      </w:r>
    </w:p>
    <w:p w14:paraId="0F56C9AD">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F.法定代表人或负责人或实际控制人存在股份控制或实际控制关系</w:t>
      </w:r>
    </w:p>
    <w:p w14:paraId="0F83B7AF">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G.存在共同直接或间接投资设立子公司、联营企业和合营企业情况</w:t>
      </w:r>
    </w:p>
    <w:p w14:paraId="4B2A7324">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H.存在分级代理或代销关系、同一生产制造商关系、管理关系、重要业务（占主营业务收入50%以上）或重要财务往来关系（如融资）等其他实质性控制关系</w:t>
      </w:r>
    </w:p>
    <w:p w14:paraId="368FF941">
      <w:pPr>
        <w:pStyle w:val="321"/>
        <w:widowControl/>
        <w:snapToGrid w:val="0"/>
        <w:spacing w:line="360" w:lineRule="auto"/>
        <w:ind w:firstLine="420"/>
        <w:rPr>
          <w:rFonts w:ascii="宋体" w:hAnsi="宋体" w:eastAsia="宋体" w:cs="宋体"/>
          <w:spacing w:val="6"/>
          <w:sz w:val="21"/>
          <w:szCs w:val="21"/>
        </w:rPr>
      </w:pPr>
      <w:r>
        <w:rPr>
          <w:rFonts w:hint="eastAsia" w:ascii="宋体" w:hAnsi="宋体" w:eastAsia="宋体" w:cs="宋体"/>
          <w:sz w:val="21"/>
          <w:szCs w:val="21"/>
        </w:rPr>
        <w:t>I</w:t>
      </w:r>
      <w:r>
        <w:rPr>
          <w:rFonts w:hint="eastAsia" w:ascii="宋体" w:hAnsi="宋体" w:eastAsia="宋体" w:cs="宋体"/>
          <w:kern w:val="0"/>
          <w:sz w:val="21"/>
          <w:szCs w:val="21"/>
        </w:rPr>
        <w:t>.</w:t>
      </w:r>
      <w:r>
        <w:rPr>
          <w:rFonts w:hint="eastAsia" w:ascii="宋体" w:hAnsi="宋体" w:eastAsia="宋体" w:cs="宋体"/>
          <w:sz w:val="21"/>
          <w:szCs w:val="21"/>
        </w:rPr>
        <w:t>其他利害关系情况</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4C5A0FE6">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sz w:val="21"/>
          <w:szCs w:val="21"/>
        </w:rPr>
        <w:t>三、现已清楚知道并</w:t>
      </w:r>
      <w:r>
        <w:rPr>
          <w:rFonts w:hint="eastAsia" w:ascii="宋体" w:hAnsi="宋体" w:eastAsia="宋体" w:cs="宋体"/>
          <w:kern w:val="0"/>
          <w:sz w:val="21"/>
          <w:szCs w:val="21"/>
        </w:rPr>
        <w:t>严格遵守政府采购法律法规和现场纪律。</w:t>
      </w:r>
    </w:p>
    <w:p w14:paraId="3620C9DD">
      <w:pPr>
        <w:pStyle w:val="321"/>
        <w:widowControl/>
        <w:snapToGrid w:val="0"/>
        <w:spacing w:line="360" w:lineRule="auto"/>
        <w:ind w:firstLine="420"/>
        <w:rPr>
          <w:rFonts w:ascii="宋体" w:hAnsi="宋体" w:eastAsia="宋体" w:cs="宋体"/>
          <w:kern w:val="0"/>
          <w:sz w:val="21"/>
          <w:szCs w:val="21"/>
        </w:rPr>
      </w:pPr>
      <w:r>
        <w:rPr>
          <w:rFonts w:hint="eastAsia" w:ascii="宋体" w:hAnsi="宋体" w:eastAsia="宋体" w:cs="宋体"/>
          <w:kern w:val="0"/>
          <w:sz w:val="21"/>
          <w:szCs w:val="21"/>
        </w:rPr>
        <w:t>四、我发现【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】供应商之间存在或可能存在上述第二条第【</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】项利害关系。</w:t>
      </w:r>
    </w:p>
    <w:p w14:paraId="22ECFEED">
      <w:pPr>
        <w:pStyle w:val="321"/>
        <w:widowControl/>
        <w:snapToGrid w:val="0"/>
        <w:spacing w:line="360" w:lineRule="auto"/>
        <w:ind w:firstLine="420"/>
        <w:rPr>
          <w:rFonts w:ascii="宋体" w:hAnsi="宋体" w:eastAsia="宋体" w:cs="宋体"/>
          <w:sz w:val="21"/>
          <w:szCs w:val="21"/>
        </w:rPr>
      </w:pPr>
    </w:p>
    <w:p w14:paraId="78FC8331">
      <w:pPr>
        <w:spacing w:line="360" w:lineRule="auto"/>
        <w:ind w:firstLine="420" w:firstLineChars="200"/>
        <w:rPr>
          <w:rFonts w:ascii="宋体" w:hAnsi="宋体" w:cs="宋体"/>
          <w:spacing w:val="20"/>
          <w:szCs w:val="21"/>
          <w:u w:val="single"/>
        </w:rPr>
      </w:pPr>
      <w:r>
        <w:rPr>
          <w:rFonts w:hint="eastAsia" w:ascii="宋体" w:hAnsi="宋体" w:cs="宋体"/>
          <w:szCs w:val="21"/>
        </w:rPr>
        <w:t>投标人全称：</w:t>
      </w:r>
      <w:r>
        <w:rPr>
          <w:rFonts w:hint="eastAsia" w:ascii="宋体" w:hAnsi="宋体" w:cs="宋体"/>
          <w:szCs w:val="21"/>
          <w:u w:val="single"/>
        </w:rPr>
        <w:t xml:space="preserve">                       </w:t>
      </w:r>
      <w:r>
        <w:rPr>
          <w:rFonts w:hint="eastAsia" w:ascii="宋体" w:hAnsi="宋体" w:cs="宋体"/>
          <w:szCs w:val="21"/>
        </w:rPr>
        <w:t>（盖单位公章）</w:t>
      </w:r>
    </w:p>
    <w:p w14:paraId="0A41D861">
      <w:pPr>
        <w:spacing w:line="360" w:lineRule="auto"/>
        <w:ind w:firstLine="420" w:firstLineChars="200"/>
        <w:rPr>
          <w:rFonts w:ascii="宋体" w:hAnsi="宋体" w:cs="宋体"/>
          <w:szCs w:val="21"/>
        </w:rPr>
      </w:pPr>
      <w:r>
        <w:rPr>
          <w:rFonts w:hint="eastAsia" w:ascii="宋体" w:hAnsi="宋体" w:cs="宋体"/>
          <w:szCs w:val="21"/>
        </w:rPr>
        <w:t>日期：   年  月  日</w:t>
      </w:r>
    </w:p>
    <w:p w14:paraId="1B16B22B">
      <w:pPr>
        <w:pStyle w:val="320"/>
        <w:snapToGrid w:val="0"/>
        <w:spacing w:line="360" w:lineRule="auto"/>
        <w:ind w:firstLine="420"/>
        <w:jc w:val="right"/>
        <w:rPr>
          <w:rFonts w:hAnsi="宋体" w:eastAsia="宋体" w:cs="宋体"/>
          <w:sz w:val="21"/>
          <w:szCs w:val="21"/>
        </w:rPr>
      </w:pPr>
    </w:p>
    <w:p w14:paraId="50BDE68C">
      <w:pPr>
        <w:spacing w:line="360" w:lineRule="auto"/>
        <w:ind w:firstLine="420" w:firstLineChars="200"/>
        <w:rPr>
          <w:rFonts w:ascii="宋体" w:hAnsi="宋体" w:cs="宋体"/>
          <w:szCs w:val="21"/>
        </w:rPr>
      </w:pPr>
      <w:r>
        <w:rPr>
          <w:rFonts w:hint="eastAsia" w:ascii="宋体" w:hAnsi="宋体" w:cs="宋体"/>
          <w:szCs w:val="21"/>
        </w:rPr>
        <w:t>说明：</w:t>
      </w:r>
    </w:p>
    <w:p w14:paraId="20427B47">
      <w:pPr>
        <w:spacing w:line="360" w:lineRule="auto"/>
        <w:ind w:firstLine="420" w:firstLineChars="200"/>
        <w:rPr>
          <w:rFonts w:ascii="宋体" w:hAnsi="宋体" w:cs="宋体"/>
          <w:szCs w:val="21"/>
        </w:rPr>
      </w:pPr>
      <w:r>
        <w:rPr>
          <w:rFonts w:hint="eastAsia" w:ascii="宋体" w:hAnsi="宋体" w:cs="宋体"/>
          <w:szCs w:val="21"/>
        </w:rPr>
        <w:t>（1）投标人解密投标文件及获知其他投标人信息进行如实声明并盖章，以扫描件形式提交给采购代理机构，邮箱：linyy@zjsct.cn。</w:t>
      </w:r>
    </w:p>
    <w:p w14:paraId="31801448">
      <w:pPr>
        <w:spacing w:line="360" w:lineRule="auto"/>
        <w:ind w:firstLine="420" w:firstLineChars="200"/>
        <w:rPr>
          <w:rFonts w:ascii="宋体" w:hAnsi="宋体" w:cs="宋体"/>
          <w:bCs/>
          <w:szCs w:val="21"/>
        </w:rPr>
      </w:pPr>
      <w:r>
        <w:rPr>
          <w:rFonts w:hint="eastAsia" w:ascii="宋体" w:hAnsi="宋体" w:cs="宋体"/>
          <w:szCs w:val="21"/>
        </w:rPr>
        <w:t>（2）此声明函不用编入投标文件。</w:t>
      </w:r>
    </w:p>
    <w:sectPr>
      <w:footerReference r:id="rId16" w:type="firs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B6A6">
    <w:pPr>
      <w:pStyle w:val="39"/>
      <w:framePr w:wrap="around" w:vAnchor="text" w:hAnchor="margin" w:xAlign="right" w:y="1"/>
      <w:rPr>
        <w:rStyle w:val="72"/>
      </w:rPr>
    </w:pPr>
    <w:r>
      <w:fldChar w:fldCharType="begin"/>
    </w:r>
    <w:r>
      <w:rPr>
        <w:rStyle w:val="72"/>
      </w:rPr>
      <w:instrText xml:space="preserve">PAGE  </w:instrText>
    </w:r>
    <w:r>
      <w:fldChar w:fldCharType="end"/>
    </w:r>
  </w:p>
  <w:p w14:paraId="3EFBBEE5">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C39A">
    <w:pPr>
      <w:pStyle w:val="39"/>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54E63">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0154E63">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DE83">
    <w:pPr>
      <w:pStyle w:val="39"/>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850F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8850F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E0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E473">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3881">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4503881">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43D3">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C6336">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BC6336">
                    <w:pPr>
                      <w:pStyle w:val="39"/>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75C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4F05A">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3A4F05A">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658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B00F5">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A5B00F5">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4CAF">
    <w:pPr>
      <w:pStyle w:val="39"/>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posOffset>2392680</wp:posOffset>
              </wp:positionH>
              <wp:positionV relativeFrom="paragraph">
                <wp:posOffset>0</wp:posOffset>
              </wp:positionV>
              <wp:extent cx="124587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45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92007">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4pt;margin-top:0pt;height:144pt;width:98.1pt;mso-position-horizontal-relative:margin;z-index:251664384;mso-width-relative:page;mso-height-relative:page;" filled="f" stroked="f" coordsize="21600,21600" o:gfxdata="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8Z4l1wAAAAgBAAAPAAAAAAAAAAEAIAAAACIAAABkcnMvZG93bnJldi54&#10;bWxQSwECFAAUAAAACACHTuJA7DQO1jQCAABXBAAADgAAAAAAAAABACAAAAAmAQAAZHJzL2Uyb0Rv&#10;Yy54bWxQSwUGAAAAAAYABgBZAQAAzAUAAAAA&#10;">
              <v:fill on="f" focussize="0,0"/>
              <v:stroke on="f" weight="0.5pt"/>
              <v:imagedata o:title=""/>
              <o:lock v:ext="edit" aspectratio="f"/>
              <v:textbox inset="0mm,0mm,0mm,0mm" style="mso-fit-shape-to-text:t;">
                <w:txbxContent>
                  <w:p w14:paraId="5E992007">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72A3">
    <w:pPr>
      <w:pStyle w:val="39"/>
      <w:framePr w:wrap="around" w:vAnchor="text" w:hAnchor="margin" w:xAlign="right" w:y="1"/>
      <w:rPr>
        <w:rStyle w:val="72"/>
      </w:rPr>
    </w:pPr>
    <w:r>
      <w:fldChar w:fldCharType="begin"/>
    </w:r>
    <w:r>
      <w:rPr>
        <w:rStyle w:val="72"/>
      </w:rPr>
      <w:instrText xml:space="preserve">PAGE  </w:instrText>
    </w:r>
    <w:r>
      <w:fldChar w:fldCharType="end"/>
    </w:r>
  </w:p>
  <w:p w14:paraId="4AC9A8A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C397">
    <w:pPr>
      <w:pStyle w:val="40"/>
      <w:pBdr>
        <w:bottom w:val="single" w:color="auto" w:sz="4" w:space="1"/>
      </w:pBdr>
    </w:pPr>
    <w:r>
      <w:rPr>
        <w:rFonts w:hint="eastAsia"/>
        <w:lang w:eastAsia="zh-CN"/>
      </w:rPr>
      <w:t>钱塘区政务云资源及云安全租赁服务项目（2024）</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E6EB">
    <w:pPr>
      <w:pStyle w:val="40"/>
      <w:pBdr>
        <w:bottom w:val="single" w:color="auto" w:sz="4" w:space="1"/>
      </w:pBdr>
    </w:pPr>
    <w:r>
      <w:rPr>
        <w:lang w:val="zh-CN"/>
      </w:rPr>
      <w:t></w:t>
    </w:r>
    <w:r>
      <w:rPr>
        <w:rFonts w:hint="eastAsia"/>
        <w:lang w:eastAsia="zh-CN"/>
      </w:rPr>
      <w:t>钱塘区政务云资源及云安全租赁服务项目（2024）</w:t>
    </w:r>
    <w:r>
      <w:rPr>
        <w:rFonts w:hint="eastAsia"/>
      </w:rPr>
      <w:t>招标文件</w:t>
    </w:r>
  </w:p>
  <w:p w14:paraId="158A909A">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BE1E">
    <w:pPr>
      <w:pStyle w:val="40"/>
      <w:pBdr>
        <w:bottom w:val="single" w:color="auto" w:sz="4" w:space="1"/>
      </w:pBdr>
    </w:pPr>
    <w:r>
      <w:rPr>
        <w:rFonts w:hint="eastAsia"/>
        <w:lang w:eastAsia="zh-CN"/>
      </w:rPr>
      <w:t>钱塘区政务云资源及云安全租赁服务项目（2024）</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08E1">
    <w:pPr>
      <w:pStyle w:val="40"/>
      <w:rPr>
        <w:rFonts w:ascii="仿宋_GB2312" w:eastAsia="仿宋_GB2312"/>
        <w:b/>
        <w:i/>
        <w:u w:val="single"/>
      </w:rPr>
    </w:pPr>
    <w:r>
      <w:rPr>
        <w:rFonts w:hint="eastAsia"/>
        <w:lang w:eastAsia="zh-CN"/>
      </w:rPr>
      <w:t>钱塘区政务云资源及云安全租赁服务项目（2024）</w:t>
    </w:r>
    <w:r>
      <w:rPr>
        <w:rFonts w:hint="eastAsia"/>
      </w:rPr>
      <w:t>招标文件</w:t>
    </w:r>
  </w:p>
  <w:p w14:paraId="1BF972E9">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27701"/>
    <w:multiLevelType w:val="singleLevel"/>
    <w:tmpl w:val="9E227701"/>
    <w:lvl w:ilvl="0" w:tentative="0">
      <w:start w:val="1"/>
      <w:numFmt w:val="decimal"/>
      <w:suff w:val="nothing"/>
      <w:lvlText w:val="（%1）"/>
      <w:lvlJc w:val="left"/>
    </w:lvl>
  </w:abstractNum>
  <w:abstractNum w:abstractNumId="1">
    <w:nsid w:val="C36B4AFD"/>
    <w:multiLevelType w:val="singleLevel"/>
    <w:tmpl w:val="C36B4AFD"/>
    <w:lvl w:ilvl="0" w:tentative="0">
      <w:start w:val="1"/>
      <w:numFmt w:val="chineseCounting"/>
      <w:suff w:val="space"/>
      <w:lvlText w:val="%1、"/>
      <w:lvlJc w:val="left"/>
      <w:rPr>
        <w:rFonts w:hint="eastAsia"/>
      </w:rPr>
    </w:lvl>
  </w:abstractNum>
  <w:abstractNum w:abstractNumId="2">
    <w:nsid w:val="C526A2DB"/>
    <w:multiLevelType w:val="singleLevel"/>
    <w:tmpl w:val="C526A2DB"/>
    <w:lvl w:ilvl="0" w:tentative="0">
      <w:start w:val="1"/>
      <w:numFmt w:val="decimal"/>
      <w:suff w:val="nothing"/>
      <w:lvlText w:val="%1、"/>
      <w:lvlJc w:val="left"/>
    </w:lvl>
  </w:abstractNum>
  <w:abstractNum w:abstractNumId="3">
    <w:nsid w:val="C941A460"/>
    <w:multiLevelType w:val="singleLevel"/>
    <w:tmpl w:val="C941A460"/>
    <w:lvl w:ilvl="0" w:tentative="0">
      <w:start w:val="1"/>
      <w:numFmt w:val="decimal"/>
      <w:suff w:val="nothing"/>
      <w:lvlText w:val="（%1）"/>
      <w:lvlJc w:val="left"/>
    </w:lvl>
  </w:abstractNum>
  <w:abstractNum w:abstractNumId="4">
    <w:nsid w:val="E9AEB471"/>
    <w:multiLevelType w:val="singleLevel"/>
    <w:tmpl w:val="E9AEB471"/>
    <w:lvl w:ilvl="0" w:tentative="0">
      <w:start w:val="1"/>
      <w:numFmt w:val="chineseCounting"/>
      <w:suff w:val="nothing"/>
      <w:lvlText w:val="%1、"/>
      <w:lvlJc w:val="left"/>
      <w:rPr>
        <w:rFonts w:hint="eastAsia"/>
      </w:rPr>
    </w:lvl>
  </w:abstractNum>
  <w:abstractNum w:abstractNumId="5">
    <w:nsid w:val="41EFBE14"/>
    <w:multiLevelType w:val="singleLevel"/>
    <w:tmpl w:val="41EFBE14"/>
    <w:lvl w:ilvl="0" w:tentative="0">
      <w:start w:val="7"/>
      <w:numFmt w:val="chineseCounting"/>
      <w:suff w:val="nothing"/>
      <w:lvlText w:val="%1、"/>
      <w:lvlJc w:val="left"/>
      <w:rPr>
        <w:rFonts w:hint="eastAsia"/>
      </w:rPr>
    </w:lvl>
  </w:abstractNum>
  <w:abstractNum w:abstractNumId="6">
    <w:nsid w:val="63A09DF8"/>
    <w:multiLevelType w:val="singleLevel"/>
    <w:tmpl w:val="63A09DF8"/>
    <w:lvl w:ilvl="0" w:tentative="0">
      <w:start w:val="2"/>
      <w:numFmt w:val="decimal"/>
      <w:suff w:val="nothing"/>
      <w:lvlText w:val="%1、"/>
      <w:lvlJc w:val="left"/>
    </w:lvl>
  </w:abstractNum>
  <w:abstractNum w:abstractNumId="7">
    <w:nsid w:val="66BF7DCF"/>
    <w:multiLevelType w:val="multilevel"/>
    <w:tmpl w:val="66BF7D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18716B"/>
    <w:multiLevelType w:val="singleLevel"/>
    <w:tmpl w:val="6F18716B"/>
    <w:lvl w:ilvl="0" w:tentative="0">
      <w:start w:val="1"/>
      <w:numFmt w:val="decimal"/>
      <w:suff w:val="nothing"/>
      <w:lvlText w:val="（%1）"/>
      <w:lvlJc w:val="left"/>
    </w:lvl>
  </w:abstractNum>
  <w:num w:numId="1">
    <w:abstractNumId w:val="6"/>
  </w:num>
  <w:num w:numId="2">
    <w:abstractNumId w:val="7"/>
  </w:num>
  <w:num w:numId="3">
    <w:abstractNumId w:val="0"/>
  </w:num>
  <w:num w:numId="4">
    <w:abstractNumId w:val="2"/>
  </w:num>
  <w:num w:numId="5">
    <w:abstractNumId w:val="8"/>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OGIxYzZjMTgyN2YzODY3MmEzZDcyZmU2Yjc1MmYifQ=="/>
    <w:docVar w:name="KSO_WPS_MARK_KEY" w:val="5d54322d-d206-4534-8ae0-bcc91e32c9ef"/>
  </w:docVars>
  <w:rsids>
    <w:rsidRoot w:val="00172A27"/>
    <w:rsid w:val="00000451"/>
    <w:rsid w:val="0000108B"/>
    <w:rsid w:val="0000133D"/>
    <w:rsid w:val="00001509"/>
    <w:rsid w:val="000018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32"/>
    <w:rsid w:val="001C6047"/>
    <w:rsid w:val="001C6698"/>
    <w:rsid w:val="001C67BA"/>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CDC"/>
    <w:rsid w:val="00331461"/>
    <w:rsid w:val="003315CC"/>
    <w:rsid w:val="003316A8"/>
    <w:rsid w:val="00331C80"/>
    <w:rsid w:val="00331CC9"/>
    <w:rsid w:val="003320D7"/>
    <w:rsid w:val="00332265"/>
    <w:rsid w:val="00332862"/>
    <w:rsid w:val="00332D52"/>
    <w:rsid w:val="00333337"/>
    <w:rsid w:val="0033380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8C"/>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C93"/>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3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36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953"/>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A86"/>
    <w:rsid w:val="00722BC6"/>
    <w:rsid w:val="00722C69"/>
    <w:rsid w:val="0072311F"/>
    <w:rsid w:val="0072388C"/>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3F"/>
    <w:rsid w:val="007660EC"/>
    <w:rsid w:val="007662C7"/>
    <w:rsid w:val="00766862"/>
    <w:rsid w:val="007675DD"/>
    <w:rsid w:val="00767608"/>
    <w:rsid w:val="007702BF"/>
    <w:rsid w:val="007705F0"/>
    <w:rsid w:val="00771CAC"/>
    <w:rsid w:val="00771FC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A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2EA"/>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1F2"/>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1807"/>
    <w:rsid w:val="00901F0E"/>
    <w:rsid w:val="00902A26"/>
    <w:rsid w:val="00902A57"/>
    <w:rsid w:val="00902B29"/>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112B"/>
    <w:rsid w:val="00911494"/>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11"/>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7D"/>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8E5"/>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9E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67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C69"/>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477"/>
    <w:rsid w:val="00CD1255"/>
    <w:rsid w:val="00CD1484"/>
    <w:rsid w:val="00CD1807"/>
    <w:rsid w:val="00CD1892"/>
    <w:rsid w:val="00CD1C01"/>
    <w:rsid w:val="00CD1D00"/>
    <w:rsid w:val="00CD2009"/>
    <w:rsid w:val="00CD27AC"/>
    <w:rsid w:val="00CD2A82"/>
    <w:rsid w:val="00CD2ED4"/>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14CB"/>
    <w:rsid w:val="00CE2AB2"/>
    <w:rsid w:val="00CE2E2E"/>
    <w:rsid w:val="00CE3A51"/>
    <w:rsid w:val="00CE41F9"/>
    <w:rsid w:val="00CE59F6"/>
    <w:rsid w:val="00CE66CD"/>
    <w:rsid w:val="00CE6BA9"/>
    <w:rsid w:val="00CE71C3"/>
    <w:rsid w:val="00CE727A"/>
    <w:rsid w:val="00CF029C"/>
    <w:rsid w:val="00CF0AF0"/>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26"/>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9A1"/>
    <w:rsid w:val="00D85FDE"/>
    <w:rsid w:val="00D8665E"/>
    <w:rsid w:val="00D869C1"/>
    <w:rsid w:val="00D86C1A"/>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7D"/>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B0831"/>
    <w:rsid w:val="00EB089C"/>
    <w:rsid w:val="00EB0AA8"/>
    <w:rsid w:val="00EB0B65"/>
    <w:rsid w:val="00EB0C65"/>
    <w:rsid w:val="00EB0EDD"/>
    <w:rsid w:val="00EB10D6"/>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93"/>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BC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558"/>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3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510"/>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87C6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67F"/>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5D"/>
    <w:rsid w:val="00FF5C6A"/>
    <w:rsid w:val="00FF651D"/>
    <w:rsid w:val="00FF6843"/>
    <w:rsid w:val="00FF6C25"/>
    <w:rsid w:val="010651D9"/>
    <w:rsid w:val="01077355"/>
    <w:rsid w:val="011F6449"/>
    <w:rsid w:val="01236AFB"/>
    <w:rsid w:val="013D7E38"/>
    <w:rsid w:val="01453BAE"/>
    <w:rsid w:val="015922A9"/>
    <w:rsid w:val="019F7441"/>
    <w:rsid w:val="01B37585"/>
    <w:rsid w:val="01D55165"/>
    <w:rsid w:val="01DC0F66"/>
    <w:rsid w:val="01DF6BF8"/>
    <w:rsid w:val="01E63A6A"/>
    <w:rsid w:val="01EC2C57"/>
    <w:rsid w:val="0235060F"/>
    <w:rsid w:val="024A7930"/>
    <w:rsid w:val="024D44B0"/>
    <w:rsid w:val="026A3B24"/>
    <w:rsid w:val="026B2E25"/>
    <w:rsid w:val="02705380"/>
    <w:rsid w:val="02777AAC"/>
    <w:rsid w:val="027D6372"/>
    <w:rsid w:val="02824D4D"/>
    <w:rsid w:val="028A181D"/>
    <w:rsid w:val="02AC3E44"/>
    <w:rsid w:val="02C75BF1"/>
    <w:rsid w:val="02C76624"/>
    <w:rsid w:val="02DC4B10"/>
    <w:rsid w:val="02DD76CE"/>
    <w:rsid w:val="02F36323"/>
    <w:rsid w:val="02F5619C"/>
    <w:rsid w:val="030742CA"/>
    <w:rsid w:val="031C338B"/>
    <w:rsid w:val="0326446A"/>
    <w:rsid w:val="032A5FC6"/>
    <w:rsid w:val="032D5555"/>
    <w:rsid w:val="03466239"/>
    <w:rsid w:val="036634D2"/>
    <w:rsid w:val="03664F47"/>
    <w:rsid w:val="037F7FE8"/>
    <w:rsid w:val="03BB6210"/>
    <w:rsid w:val="03BF6E60"/>
    <w:rsid w:val="03DD35E4"/>
    <w:rsid w:val="03EB5833"/>
    <w:rsid w:val="04076900"/>
    <w:rsid w:val="041A5A3B"/>
    <w:rsid w:val="042311BA"/>
    <w:rsid w:val="042A2A48"/>
    <w:rsid w:val="042A3031"/>
    <w:rsid w:val="042B157A"/>
    <w:rsid w:val="044D7B64"/>
    <w:rsid w:val="048F763B"/>
    <w:rsid w:val="049F330E"/>
    <w:rsid w:val="04AA775C"/>
    <w:rsid w:val="04AF1889"/>
    <w:rsid w:val="04B637AB"/>
    <w:rsid w:val="04D853AA"/>
    <w:rsid w:val="04EB46D9"/>
    <w:rsid w:val="04ED6A28"/>
    <w:rsid w:val="04F66F48"/>
    <w:rsid w:val="051A66B8"/>
    <w:rsid w:val="05251E14"/>
    <w:rsid w:val="05315997"/>
    <w:rsid w:val="053F4C56"/>
    <w:rsid w:val="05722F7E"/>
    <w:rsid w:val="05A0790D"/>
    <w:rsid w:val="05A16594"/>
    <w:rsid w:val="05A3537B"/>
    <w:rsid w:val="05A6052B"/>
    <w:rsid w:val="05A7762D"/>
    <w:rsid w:val="05B54B84"/>
    <w:rsid w:val="05C52807"/>
    <w:rsid w:val="05C82767"/>
    <w:rsid w:val="060E5941"/>
    <w:rsid w:val="06110FAF"/>
    <w:rsid w:val="061816F7"/>
    <w:rsid w:val="06493CA7"/>
    <w:rsid w:val="065A6178"/>
    <w:rsid w:val="066410BB"/>
    <w:rsid w:val="066466EB"/>
    <w:rsid w:val="06683583"/>
    <w:rsid w:val="066F1CF3"/>
    <w:rsid w:val="06812B17"/>
    <w:rsid w:val="06877D73"/>
    <w:rsid w:val="06930BB8"/>
    <w:rsid w:val="069D2831"/>
    <w:rsid w:val="06BD45FC"/>
    <w:rsid w:val="06F352D1"/>
    <w:rsid w:val="06F6108B"/>
    <w:rsid w:val="07175FD1"/>
    <w:rsid w:val="071E7B6B"/>
    <w:rsid w:val="07245D42"/>
    <w:rsid w:val="07264C62"/>
    <w:rsid w:val="072D0052"/>
    <w:rsid w:val="074E0A0F"/>
    <w:rsid w:val="07754067"/>
    <w:rsid w:val="0779354C"/>
    <w:rsid w:val="078E0316"/>
    <w:rsid w:val="079B55B6"/>
    <w:rsid w:val="08061376"/>
    <w:rsid w:val="080E37B4"/>
    <w:rsid w:val="081064AB"/>
    <w:rsid w:val="08172C49"/>
    <w:rsid w:val="081B727D"/>
    <w:rsid w:val="08244656"/>
    <w:rsid w:val="08323A52"/>
    <w:rsid w:val="08452D77"/>
    <w:rsid w:val="084B3759"/>
    <w:rsid w:val="085A435C"/>
    <w:rsid w:val="085D5AE7"/>
    <w:rsid w:val="08635072"/>
    <w:rsid w:val="08635E94"/>
    <w:rsid w:val="086401F8"/>
    <w:rsid w:val="08730E67"/>
    <w:rsid w:val="08751CAA"/>
    <w:rsid w:val="087E4C40"/>
    <w:rsid w:val="08835670"/>
    <w:rsid w:val="089465EE"/>
    <w:rsid w:val="08A00A2D"/>
    <w:rsid w:val="08C55CC2"/>
    <w:rsid w:val="08D66AD6"/>
    <w:rsid w:val="08DA33A3"/>
    <w:rsid w:val="08E80F13"/>
    <w:rsid w:val="08F057F5"/>
    <w:rsid w:val="08F506C0"/>
    <w:rsid w:val="08FF7FA1"/>
    <w:rsid w:val="092D1B2E"/>
    <w:rsid w:val="093078C9"/>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9519E5"/>
    <w:rsid w:val="09A92330"/>
    <w:rsid w:val="09B06B87"/>
    <w:rsid w:val="09C13146"/>
    <w:rsid w:val="09E04166"/>
    <w:rsid w:val="0A0452D8"/>
    <w:rsid w:val="0A1246B0"/>
    <w:rsid w:val="0A1C0718"/>
    <w:rsid w:val="0A3E7710"/>
    <w:rsid w:val="0A534240"/>
    <w:rsid w:val="0A5B7E63"/>
    <w:rsid w:val="0A7831A1"/>
    <w:rsid w:val="0AA374A5"/>
    <w:rsid w:val="0AAB7649"/>
    <w:rsid w:val="0AB064D1"/>
    <w:rsid w:val="0ABC5606"/>
    <w:rsid w:val="0AC51722"/>
    <w:rsid w:val="0AD24A0D"/>
    <w:rsid w:val="0ADD2F10"/>
    <w:rsid w:val="0B063393"/>
    <w:rsid w:val="0B0A131E"/>
    <w:rsid w:val="0B0C6DCA"/>
    <w:rsid w:val="0B171130"/>
    <w:rsid w:val="0B30404E"/>
    <w:rsid w:val="0B3E0022"/>
    <w:rsid w:val="0B404B94"/>
    <w:rsid w:val="0B4C6C14"/>
    <w:rsid w:val="0B4D7B50"/>
    <w:rsid w:val="0B566408"/>
    <w:rsid w:val="0B631A88"/>
    <w:rsid w:val="0B683D45"/>
    <w:rsid w:val="0B6C34ED"/>
    <w:rsid w:val="0B791725"/>
    <w:rsid w:val="0B7F3F11"/>
    <w:rsid w:val="0B884417"/>
    <w:rsid w:val="0BD14B2E"/>
    <w:rsid w:val="0BF6188C"/>
    <w:rsid w:val="0BF73C91"/>
    <w:rsid w:val="0C027A0D"/>
    <w:rsid w:val="0C170175"/>
    <w:rsid w:val="0C571A41"/>
    <w:rsid w:val="0C5C1171"/>
    <w:rsid w:val="0C5E1CBC"/>
    <w:rsid w:val="0C615B50"/>
    <w:rsid w:val="0C74620C"/>
    <w:rsid w:val="0C8445DA"/>
    <w:rsid w:val="0C87121B"/>
    <w:rsid w:val="0C8B1858"/>
    <w:rsid w:val="0C9E047D"/>
    <w:rsid w:val="0CC007F7"/>
    <w:rsid w:val="0CCF4ADA"/>
    <w:rsid w:val="0CCF6888"/>
    <w:rsid w:val="0CEF4331"/>
    <w:rsid w:val="0CFC4C75"/>
    <w:rsid w:val="0CFE707A"/>
    <w:rsid w:val="0D063BDA"/>
    <w:rsid w:val="0D08375F"/>
    <w:rsid w:val="0D184CFB"/>
    <w:rsid w:val="0D190C10"/>
    <w:rsid w:val="0D20210D"/>
    <w:rsid w:val="0D3F1126"/>
    <w:rsid w:val="0D4A5F0F"/>
    <w:rsid w:val="0D4A7419"/>
    <w:rsid w:val="0D540151"/>
    <w:rsid w:val="0D6E36EE"/>
    <w:rsid w:val="0D827401"/>
    <w:rsid w:val="0D84094E"/>
    <w:rsid w:val="0D8A00E9"/>
    <w:rsid w:val="0D8D589E"/>
    <w:rsid w:val="0DA01C73"/>
    <w:rsid w:val="0DC47E97"/>
    <w:rsid w:val="0DD63300"/>
    <w:rsid w:val="0DE16873"/>
    <w:rsid w:val="0DF50604"/>
    <w:rsid w:val="0DF702FE"/>
    <w:rsid w:val="0E060E51"/>
    <w:rsid w:val="0E0727FB"/>
    <w:rsid w:val="0E0937A3"/>
    <w:rsid w:val="0E27335E"/>
    <w:rsid w:val="0E3B6B0F"/>
    <w:rsid w:val="0E494A2D"/>
    <w:rsid w:val="0E5604B2"/>
    <w:rsid w:val="0E6269B6"/>
    <w:rsid w:val="0E6D5D79"/>
    <w:rsid w:val="0E9D0089"/>
    <w:rsid w:val="0EAB7F23"/>
    <w:rsid w:val="0EB03909"/>
    <w:rsid w:val="0EB803EE"/>
    <w:rsid w:val="0EF94D4B"/>
    <w:rsid w:val="0F2046F0"/>
    <w:rsid w:val="0F4958DC"/>
    <w:rsid w:val="0F4F321B"/>
    <w:rsid w:val="0F515DF7"/>
    <w:rsid w:val="0F596BA8"/>
    <w:rsid w:val="0F6248D2"/>
    <w:rsid w:val="0F693536"/>
    <w:rsid w:val="0F785E3D"/>
    <w:rsid w:val="0F7B0511"/>
    <w:rsid w:val="0F7B76D9"/>
    <w:rsid w:val="0F816ACD"/>
    <w:rsid w:val="0F9832DB"/>
    <w:rsid w:val="0FBF3FD2"/>
    <w:rsid w:val="0FBF7FF3"/>
    <w:rsid w:val="0FCC390B"/>
    <w:rsid w:val="0FCD43D2"/>
    <w:rsid w:val="0FCE2779"/>
    <w:rsid w:val="0FD549FC"/>
    <w:rsid w:val="0FD6666B"/>
    <w:rsid w:val="0FF541D7"/>
    <w:rsid w:val="10001DB3"/>
    <w:rsid w:val="100B18AE"/>
    <w:rsid w:val="100B407B"/>
    <w:rsid w:val="101D240B"/>
    <w:rsid w:val="104C70B0"/>
    <w:rsid w:val="10646583"/>
    <w:rsid w:val="107A39E7"/>
    <w:rsid w:val="107D4B15"/>
    <w:rsid w:val="108165D4"/>
    <w:rsid w:val="108A3C80"/>
    <w:rsid w:val="109B1D4B"/>
    <w:rsid w:val="109C1517"/>
    <w:rsid w:val="10B55A6A"/>
    <w:rsid w:val="10C26171"/>
    <w:rsid w:val="10CD2A3A"/>
    <w:rsid w:val="10D375F0"/>
    <w:rsid w:val="10F33360"/>
    <w:rsid w:val="10F924DB"/>
    <w:rsid w:val="10FC16EA"/>
    <w:rsid w:val="10FF0714"/>
    <w:rsid w:val="110435D3"/>
    <w:rsid w:val="110F1D40"/>
    <w:rsid w:val="111D5165"/>
    <w:rsid w:val="11266F33"/>
    <w:rsid w:val="115F268B"/>
    <w:rsid w:val="116A0AC4"/>
    <w:rsid w:val="11845E93"/>
    <w:rsid w:val="118963A1"/>
    <w:rsid w:val="119434EA"/>
    <w:rsid w:val="11C6522A"/>
    <w:rsid w:val="11DB48E7"/>
    <w:rsid w:val="11E104CC"/>
    <w:rsid w:val="11E20309"/>
    <w:rsid w:val="11EF62D5"/>
    <w:rsid w:val="11FA6155"/>
    <w:rsid w:val="12255233"/>
    <w:rsid w:val="1246139A"/>
    <w:rsid w:val="12461EBC"/>
    <w:rsid w:val="12530213"/>
    <w:rsid w:val="126D1E81"/>
    <w:rsid w:val="1274357A"/>
    <w:rsid w:val="127723A9"/>
    <w:rsid w:val="12862074"/>
    <w:rsid w:val="12883966"/>
    <w:rsid w:val="129E45B4"/>
    <w:rsid w:val="12AB56A1"/>
    <w:rsid w:val="12C214F9"/>
    <w:rsid w:val="12D237E3"/>
    <w:rsid w:val="12D364AD"/>
    <w:rsid w:val="12D57598"/>
    <w:rsid w:val="12D81596"/>
    <w:rsid w:val="12F85317"/>
    <w:rsid w:val="13072A44"/>
    <w:rsid w:val="130C1DE1"/>
    <w:rsid w:val="1326532E"/>
    <w:rsid w:val="13491DC8"/>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F3CE4"/>
    <w:rsid w:val="13E14DB8"/>
    <w:rsid w:val="13E81B95"/>
    <w:rsid w:val="13EB1306"/>
    <w:rsid w:val="13F9E811"/>
    <w:rsid w:val="141008D8"/>
    <w:rsid w:val="14125FE6"/>
    <w:rsid w:val="141D4A74"/>
    <w:rsid w:val="141E11F3"/>
    <w:rsid w:val="14321BD6"/>
    <w:rsid w:val="146D271E"/>
    <w:rsid w:val="147A5527"/>
    <w:rsid w:val="147F5D70"/>
    <w:rsid w:val="14982588"/>
    <w:rsid w:val="149A5AD9"/>
    <w:rsid w:val="14A7619D"/>
    <w:rsid w:val="14AF5803"/>
    <w:rsid w:val="14DF0614"/>
    <w:rsid w:val="14F7743B"/>
    <w:rsid w:val="150536C3"/>
    <w:rsid w:val="15082937"/>
    <w:rsid w:val="150C1963"/>
    <w:rsid w:val="15140B6D"/>
    <w:rsid w:val="151447A0"/>
    <w:rsid w:val="15306CE7"/>
    <w:rsid w:val="154A6454"/>
    <w:rsid w:val="156C1118"/>
    <w:rsid w:val="15761F97"/>
    <w:rsid w:val="15762120"/>
    <w:rsid w:val="157704CB"/>
    <w:rsid w:val="15AB4F5C"/>
    <w:rsid w:val="15B72002"/>
    <w:rsid w:val="15D35917"/>
    <w:rsid w:val="15FD3544"/>
    <w:rsid w:val="160A40D0"/>
    <w:rsid w:val="160F0770"/>
    <w:rsid w:val="161377E5"/>
    <w:rsid w:val="16203CC6"/>
    <w:rsid w:val="162E461F"/>
    <w:rsid w:val="164F6FA2"/>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431364"/>
    <w:rsid w:val="174D5E14"/>
    <w:rsid w:val="17557BEF"/>
    <w:rsid w:val="175F1B8D"/>
    <w:rsid w:val="1766769E"/>
    <w:rsid w:val="1767603B"/>
    <w:rsid w:val="17732C32"/>
    <w:rsid w:val="177C435A"/>
    <w:rsid w:val="17817F62"/>
    <w:rsid w:val="17824D0F"/>
    <w:rsid w:val="1788153B"/>
    <w:rsid w:val="179C0159"/>
    <w:rsid w:val="179F3E4F"/>
    <w:rsid w:val="17BB6211"/>
    <w:rsid w:val="17BB77F7"/>
    <w:rsid w:val="17D349C1"/>
    <w:rsid w:val="1830729E"/>
    <w:rsid w:val="185B5242"/>
    <w:rsid w:val="185C618E"/>
    <w:rsid w:val="18641A25"/>
    <w:rsid w:val="1870062C"/>
    <w:rsid w:val="18735596"/>
    <w:rsid w:val="18817102"/>
    <w:rsid w:val="18830A15"/>
    <w:rsid w:val="18852B28"/>
    <w:rsid w:val="188B5321"/>
    <w:rsid w:val="18972D9D"/>
    <w:rsid w:val="18B83479"/>
    <w:rsid w:val="190672CB"/>
    <w:rsid w:val="194941B9"/>
    <w:rsid w:val="195C71A1"/>
    <w:rsid w:val="196C1B1A"/>
    <w:rsid w:val="19930A9B"/>
    <w:rsid w:val="19932372"/>
    <w:rsid w:val="19933997"/>
    <w:rsid w:val="19A20DD5"/>
    <w:rsid w:val="19A215AC"/>
    <w:rsid w:val="19AE03F1"/>
    <w:rsid w:val="19C42578"/>
    <w:rsid w:val="19C92FDD"/>
    <w:rsid w:val="19DE4DF4"/>
    <w:rsid w:val="19DF6338"/>
    <w:rsid w:val="19E226FA"/>
    <w:rsid w:val="19E76FD8"/>
    <w:rsid w:val="19F27194"/>
    <w:rsid w:val="19FE70FC"/>
    <w:rsid w:val="1A071A03"/>
    <w:rsid w:val="1A0E04B5"/>
    <w:rsid w:val="1A135CE4"/>
    <w:rsid w:val="1A1F16AE"/>
    <w:rsid w:val="1A2A15A2"/>
    <w:rsid w:val="1A3B5C77"/>
    <w:rsid w:val="1A4D7795"/>
    <w:rsid w:val="1A984BAD"/>
    <w:rsid w:val="1AB8220E"/>
    <w:rsid w:val="1AC63AEF"/>
    <w:rsid w:val="1AE4166C"/>
    <w:rsid w:val="1AF06CFB"/>
    <w:rsid w:val="1AF11B8D"/>
    <w:rsid w:val="1B11359C"/>
    <w:rsid w:val="1B222279"/>
    <w:rsid w:val="1B231539"/>
    <w:rsid w:val="1B2A271F"/>
    <w:rsid w:val="1B530544"/>
    <w:rsid w:val="1B682141"/>
    <w:rsid w:val="1B713184"/>
    <w:rsid w:val="1BA209CF"/>
    <w:rsid w:val="1BB4777D"/>
    <w:rsid w:val="1BC02D10"/>
    <w:rsid w:val="1BD345CB"/>
    <w:rsid w:val="1BD75AB8"/>
    <w:rsid w:val="1BE35896"/>
    <w:rsid w:val="1BEF62D2"/>
    <w:rsid w:val="1BF37507"/>
    <w:rsid w:val="1C0459C2"/>
    <w:rsid w:val="1C116C14"/>
    <w:rsid w:val="1C1B3B4A"/>
    <w:rsid w:val="1C2250B2"/>
    <w:rsid w:val="1C2972B2"/>
    <w:rsid w:val="1C2B3CB7"/>
    <w:rsid w:val="1C514F68"/>
    <w:rsid w:val="1C7D334A"/>
    <w:rsid w:val="1C88086E"/>
    <w:rsid w:val="1C905DFD"/>
    <w:rsid w:val="1C947262"/>
    <w:rsid w:val="1C9A044A"/>
    <w:rsid w:val="1CA51364"/>
    <w:rsid w:val="1CAC44F0"/>
    <w:rsid w:val="1CB15A9B"/>
    <w:rsid w:val="1CB35C45"/>
    <w:rsid w:val="1CDA1C51"/>
    <w:rsid w:val="1CE61290"/>
    <w:rsid w:val="1CF85987"/>
    <w:rsid w:val="1D02521F"/>
    <w:rsid w:val="1D266CE1"/>
    <w:rsid w:val="1D285FD7"/>
    <w:rsid w:val="1D2B3AA0"/>
    <w:rsid w:val="1D3963AF"/>
    <w:rsid w:val="1D486572"/>
    <w:rsid w:val="1D5C7CC4"/>
    <w:rsid w:val="1D6962DA"/>
    <w:rsid w:val="1D6A673C"/>
    <w:rsid w:val="1D85128A"/>
    <w:rsid w:val="1D9247AE"/>
    <w:rsid w:val="1DB41589"/>
    <w:rsid w:val="1DB567EC"/>
    <w:rsid w:val="1DB64F64"/>
    <w:rsid w:val="1DBC69B5"/>
    <w:rsid w:val="1DCB3C3C"/>
    <w:rsid w:val="1DEE9672"/>
    <w:rsid w:val="1DF51A98"/>
    <w:rsid w:val="1E2A6829"/>
    <w:rsid w:val="1E3D060F"/>
    <w:rsid w:val="1E3E561C"/>
    <w:rsid w:val="1E3F7D2E"/>
    <w:rsid w:val="1E4134E4"/>
    <w:rsid w:val="1E433FA3"/>
    <w:rsid w:val="1E48553D"/>
    <w:rsid w:val="1E4C378C"/>
    <w:rsid w:val="1E5062B3"/>
    <w:rsid w:val="1E512E75"/>
    <w:rsid w:val="1E523514"/>
    <w:rsid w:val="1E6A6411"/>
    <w:rsid w:val="1E714A66"/>
    <w:rsid w:val="1E773D87"/>
    <w:rsid w:val="1E7C5B9B"/>
    <w:rsid w:val="1E802593"/>
    <w:rsid w:val="1E937715"/>
    <w:rsid w:val="1EA24FEE"/>
    <w:rsid w:val="1EA550CA"/>
    <w:rsid w:val="1EA703CC"/>
    <w:rsid w:val="1EB7330C"/>
    <w:rsid w:val="1EBA2EF4"/>
    <w:rsid w:val="1EBC5ACA"/>
    <w:rsid w:val="1EC76F3D"/>
    <w:rsid w:val="1EF021FC"/>
    <w:rsid w:val="1EFF61A2"/>
    <w:rsid w:val="1F0A0FF3"/>
    <w:rsid w:val="1F196EDC"/>
    <w:rsid w:val="1F471963"/>
    <w:rsid w:val="1F5771FF"/>
    <w:rsid w:val="1FA13231"/>
    <w:rsid w:val="1FA70B19"/>
    <w:rsid w:val="1FB20B2E"/>
    <w:rsid w:val="1FCC17F1"/>
    <w:rsid w:val="1FCC2803"/>
    <w:rsid w:val="1FD104CD"/>
    <w:rsid w:val="1FDB274B"/>
    <w:rsid w:val="1FE868A9"/>
    <w:rsid w:val="1FF54201"/>
    <w:rsid w:val="1FF82AFE"/>
    <w:rsid w:val="20034907"/>
    <w:rsid w:val="20173E4B"/>
    <w:rsid w:val="20350B0C"/>
    <w:rsid w:val="20362554"/>
    <w:rsid w:val="203C1BC7"/>
    <w:rsid w:val="204E48BC"/>
    <w:rsid w:val="206C35F3"/>
    <w:rsid w:val="20752C51"/>
    <w:rsid w:val="208921B3"/>
    <w:rsid w:val="20945364"/>
    <w:rsid w:val="20947DAF"/>
    <w:rsid w:val="20973DEB"/>
    <w:rsid w:val="20A87AFC"/>
    <w:rsid w:val="20B26522"/>
    <w:rsid w:val="20B44310"/>
    <w:rsid w:val="20C3410E"/>
    <w:rsid w:val="20CB09D1"/>
    <w:rsid w:val="20D815FF"/>
    <w:rsid w:val="20E86B09"/>
    <w:rsid w:val="20EA582A"/>
    <w:rsid w:val="210437B9"/>
    <w:rsid w:val="210F606E"/>
    <w:rsid w:val="211116EB"/>
    <w:rsid w:val="2111414A"/>
    <w:rsid w:val="21196D50"/>
    <w:rsid w:val="215E30CF"/>
    <w:rsid w:val="216133FC"/>
    <w:rsid w:val="217A696B"/>
    <w:rsid w:val="218274E0"/>
    <w:rsid w:val="21B63416"/>
    <w:rsid w:val="21C265F4"/>
    <w:rsid w:val="21D56769"/>
    <w:rsid w:val="21E52EF3"/>
    <w:rsid w:val="21ED551B"/>
    <w:rsid w:val="21FB5D7B"/>
    <w:rsid w:val="21FC7CC7"/>
    <w:rsid w:val="220B1C3D"/>
    <w:rsid w:val="221D1D20"/>
    <w:rsid w:val="221E6AC9"/>
    <w:rsid w:val="22334A87"/>
    <w:rsid w:val="22457D92"/>
    <w:rsid w:val="2280626F"/>
    <w:rsid w:val="22BE6801"/>
    <w:rsid w:val="22CC64E9"/>
    <w:rsid w:val="22D36C7A"/>
    <w:rsid w:val="22DB1F7E"/>
    <w:rsid w:val="22E603D9"/>
    <w:rsid w:val="23014C05"/>
    <w:rsid w:val="230E5425"/>
    <w:rsid w:val="23157561"/>
    <w:rsid w:val="233500BF"/>
    <w:rsid w:val="23377FF7"/>
    <w:rsid w:val="234A05BF"/>
    <w:rsid w:val="234C64C0"/>
    <w:rsid w:val="23607DE2"/>
    <w:rsid w:val="236B425F"/>
    <w:rsid w:val="23836192"/>
    <w:rsid w:val="23901F29"/>
    <w:rsid w:val="239C0061"/>
    <w:rsid w:val="23B908A4"/>
    <w:rsid w:val="23C62FF2"/>
    <w:rsid w:val="23D012D9"/>
    <w:rsid w:val="23D3426C"/>
    <w:rsid w:val="23E95BEF"/>
    <w:rsid w:val="23FD0064"/>
    <w:rsid w:val="24064EF2"/>
    <w:rsid w:val="24171B52"/>
    <w:rsid w:val="241D71F3"/>
    <w:rsid w:val="24254E4F"/>
    <w:rsid w:val="242F3AAF"/>
    <w:rsid w:val="245375B0"/>
    <w:rsid w:val="24572F93"/>
    <w:rsid w:val="24642C0A"/>
    <w:rsid w:val="248A5117"/>
    <w:rsid w:val="24B22173"/>
    <w:rsid w:val="24B95AD9"/>
    <w:rsid w:val="24BE24DA"/>
    <w:rsid w:val="24C93473"/>
    <w:rsid w:val="24CF5825"/>
    <w:rsid w:val="24D663E6"/>
    <w:rsid w:val="24D77F2B"/>
    <w:rsid w:val="250A753E"/>
    <w:rsid w:val="25153019"/>
    <w:rsid w:val="2528169C"/>
    <w:rsid w:val="256373C9"/>
    <w:rsid w:val="25867519"/>
    <w:rsid w:val="258B00E2"/>
    <w:rsid w:val="25A03B85"/>
    <w:rsid w:val="25A917A6"/>
    <w:rsid w:val="25BD415B"/>
    <w:rsid w:val="25BE27CC"/>
    <w:rsid w:val="25DF68A6"/>
    <w:rsid w:val="25F74A5C"/>
    <w:rsid w:val="25F82A7E"/>
    <w:rsid w:val="26041BE9"/>
    <w:rsid w:val="2628662C"/>
    <w:rsid w:val="262877D8"/>
    <w:rsid w:val="262D45DE"/>
    <w:rsid w:val="262F241A"/>
    <w:rsid w:val="263162FA"/>
    <w:rsid w:val="26317029"/>
    <w:rsid w:val="26363AE1"/>
    <w:rsid w:val="263712CE"/>
    <w:rsid w:val="26482561"/>
    <w:rsid w:val="264F0B68"/>
    <w:rsid w:val="26513854"/>
    <w:rsid w:val="2698749C"/>
    <w:rsid w:val="26A53EF9"/>
    <w:rsid w:val="26A94201"/>
    <w:rsid w:val="26AC274F"/>
    <w:rsid w:val="26C03063"/>
    <w:rsid w:val="26D727BC"/>
    <w:rsid w:val="26E335FE"/>
    <w:rsid w:val="26F176CF"/>
    <w:rsid w:val="27044A29"/>
    <w:rsid w:val="271D34C8"/>
    <w:rsid w:val="27386E32"/>
    <w:rsid w:val="275E0E8F"/>
    <w:rsid w:val="276142BF"/>
    <w:rsid w:val="27783712"/>
    <w:rsid w:val="2786213D"/>
    <w:rsid w:val="27907362"/>
    <w:rsid w:val="27A77AA6"/>
    <w:rsid w:val="27B2383F"/>
    <w:rsid w:val="27DF7B36"/>
    <w:rsid w:val="27E86E6F"/>
    <w:rsid w:val="27FD349C"/>
    <w:rsid w:val="28333E1D"/>
    <w:rsid w:val="28454BD6"/>
    <w:rsid w:val="28455253"/>
    <w:rsid w:val="28551971"/>
    <w:rsid w:val="285B1C53"/>
    <w:rsid w:val="287C34F0"/>
    <w:rsid w:val="2898352A"/>
    <w:rsid w:val="289F7086"/>
    <w:rsid w:val="28B64627"/>
    <w:rsid w:val="28BE3992"/>
    <w:rsid w:val="28C32028"/>
    <w:rsid w:val="28CC490F"/>
    <w:rsid w:val="28D76470"/>
    <w:rsid w:val="28DE18DB"/>
    <w:rsid w:val="28DE40AA"/>
    <w:rsid w:val="28E84B02"/>
    <w:rsid w:val="2902118B"/>
    <w:rsid w:val="29163D58"/>
    <w:rsid w:val="29260DA8"/>
    <w:rsid w:val="29345E77"/>
    <w:rsid w:val="294C65AD"/>
    <w:rsid w:val="2969059E"/>
    <w:rsid w:val="296C67B1"/>
    <w:rsid w:val="297222EB"/>
    <w:rsid w:val="29774DDE"/>
    <w:rsid w:val="29806583"/>
    <w:rsid w:val="2987431B"/>
    <w:rsid w:val="298B3C4C"/>
    <w:rsid w:val="29B9773A"/>
    <w:rsid w:val="29D21B8B"/>
    <w:rsid w:val="29D8781D"/>
    <w:rsid w:val="29DD1052"/>
    <w:rsid w:val="29DD4087"/>
    <w:rsid w:val="29E82B40"/>
    <w:rsid w:val="29F268C3"/>
    <w:rsid w:val="29F26D24"/>
    <w:rsid w:val="2A0F5E0A"/>
    <w:rsid w:val="2A15033F"/>
    <w:rsid w:val="2A1662C1"/>
    <w:rsid w:val="2A1C7367"/>
    <w:rsid w:val="2A2815FA"/>
    <w:rsid w:val="2A292FB7"/>
    <w:rsid w:val="2A327227"/>
    <w:rsid w:val="2A363870"/>
    <w:rsid w:val="2A585CB7"/>
    <w:rsid w:val="2A5C57A7"/>
    <w:rsid w:val="2A5D1CE6"/>
    <w:rsid w:val="2A6D6092"/>
    <w:rsid w:val="2A7D76B4"/>
    <w:rsid w:val="2A88475A"/>
    <w:rsid w:val="2AA94951"/>
    <w:rsid w:val="2AAB5668"/>
    <w:rsid w:val="2ADB4069"/>
    <w:rsid w:val="2AE13EFE"/>
    <w:rsid w:val="2AF013AA"/>
    <w:rsid w:val="2AF75041"/>
    <w:rsid w:val="2AFA7AAF"/>
    <w:rsid w:val="2B2C3635"/>
    <w:rsid w:val="2B437463"/>
    <w:rsid w:val="2B623F51"/>
    <w:rsid w:val="2B656E9C"/>
    <w:rsid w:val="2B7807EE"/>
    <w:rsid w:val="2BBF00EC"/>
    <w:rsid w:val="2BC37CFD"/>
    <w:rsid w:val="2BD411BC"/>
    <w:rsid w:val="2BD5237F"/>
    <w:rsid w:val="2BDA5682"/>
    <w:rsid w:val="2BE536CE"/>
    <w:rsid w:val="2BE758D9"/>
    <w:rsid w:val="2BED27E9"/>
    <w:rsid w:val="2BF45B89"/>
    <w:rsid w:val="2C09049E"/>
    <w:rsid w:val="2C0A653C"/>
    <w:rsid w:val="2C0B56E1"/>
    <w:rsid w:val="2C191F85"/>
    <w:rsid w:val="2C2250B6"/>
    <w:rsid w:val="2C3B1043"/>
    <w:rsid w:val="2C78619D"/>
    <w:rsid w:val="2C7D1A05"/>
    <w:rsid w:val="2C986F42"/>
    <w:rsid w:val="2CA21D29"/>
    <w:rsid w:val="2CA6148E"/>
    <w:rsid w:val="2CB61D0E"/>
    <w:rsid w:val="2CD72228"/>
    <w:rsid w:val="2CE82D6F"/>
    <w:rsid w:val="2CEE74EC"/>
    <w:rsid w:val="2CF76705"/>
    <w:rsid w:val="2D161E06"/>
    <w:rsid w:val="2D1B6247"/>
    <w:rsid w:val="2D2C5535"/>
    <w:rsid w:val="2D343236"/>
    <w:rsid w:val="2D3F737E"/>
    <w:rsid w:val="2D574DFE"/>
    <w:rsid w:val="2D786D73"/>
    <w:rsid w:val="2D8734D9"/>
    <w:rsid w:val="2DC3248D"/>
    <w:rsid w:val="2DD15014"/>
    <w:rsid w:val="2DEC6E42"/>
    <w:rsid w:val="2DF010FC"/>
    <w:rsid w:val="2DF72DE4"/>
    <w:rsid w:val="2E0220AF"/>
    <w:rsid w:val="2E080A74"/>
    <w:rsid w:val="2E2B7EEE"/>
    <w:rsid w:val="2E2D034A"/>
    <w:rsid w:val="2E337D36"/>
    <w:rsid w:val="2E3B2F47"/>
    <w:rsid w:val="2E4B082A"/>
    <w:rsid w:val="2E5550E9"/>
    <w:rsid w:val="2E5D4E86"/>
    <w:rsid w:val="2E5D790B"/>
    <w:rsid w:val="2E61338C"/>
    <w:rsid w:val="2E662925"/>
    <w:rsid w:val="2E6966E5"/>
    <w:rsid w:val="2E795AC8"/>
    <w:rsid w:val="2E876B6B"/>
    <w:rsid w:val="2E9A3C18"/>
    <w:rsid w:val="2EBB0FEE"/>
    <w:rsid w:val="2EC63002"/>
    <w:rsid w:val="2ECE0195"/>
    <w:rsid w:val="2ED71B04"/>
    <w:rsid w:val="2EEB054F"/>
    <w:rsid w:val="2F0A6B38"/>
    <w:rsid w:val="2F0D5BDD"/>
    <w:rsid w:val="2F250C95"/>
    <w:rsid w:val="2F2A1F78"/>
    <w:rsid w:val="2F462582"/>
    <w:rsid w:val="2F484A6E"/>
    <w:rsid w:val="2F4D512A"/>
    <w:rsid w:val="2F5FE917"/>
    <w:rsid w:val="2F8B46F2"/>
    <w:rsid w:val="2F946CCB"/>
    <w:rsid w:val="2FA554FB"/>
    <w:rsid w:val="2FA64CDA"/>
    <w:rsid w:val="2FB0787D"/>
    <w:rsid w:val="2FB93DA6"/>
    <w:rsid w:val="2FC21C48"/>
    <w:rsid w:val="2FCA605E"/>
    <w:rsid w:val="2FCC0CD9"/>
    <w:rsid w:val="2FD25781"/>
    <w:rsid w:val="2FD91DD4"/>
    <w:rsid w:val="2FDD2EE6"/>
    <w:rsid w:val="2FEE50F3"/>
    <w:rsid w:val="2FFD7934"/>
    <w:rsid w:val="30080165"/>
    <w:rsid w:val="30177A02"/>
    <w:rsid w:val="30192896"/>
    <w:rsid w:val="3024089F"/>
    <w:rsid w:val="30285CC7"/>
    <w:rsid w:val="30296091"/>
    <w:rsid w:val="303009C3"/>
    <w:rsid w:val="30375030"/>
    <w:rsid w:val="30632546"/>
    <w:rsid w:val="30733ACD"/>
    <w:rsid w:val="307A0735"/>
    <w:rsid w:val="308710A4"/>
    <w:rsid w:val="308C3862"/>
    <w:rsid w:val="308E2433"/>
    <w:rsid w:val="309379D8"/>
    <w:rsid w:val="30A270F7"/>
    <w:rsid w:val="30AF457B"/>
    <w:rsid w:val="30B05CC1"/>
    <w:rsid w:val="30B76DB5"/>
    <w:rsid w:val="30B86AD2"/>
    <w:rsid w:val="30BB7219"/>
    <w:rsid w:val="30C70618"/>
    <w:rsid w:val="30CD5E8E"/>
    <w:rsid w:val="30D2231F"/>
    <w:rsid w:val="30DF1478"/>
    <w:rsid w:val="30EC586F"/>
    <w:rsid w:val="30F95A62"/>
    <w:rsid w:val="311566B0"/>
    <w:rsid w:val="311E2EDB"/>
    <w:rsid w:val="314D3E18"/>
    <w:rsid w:val="31673819"/>
    <w:rsid w:val="318B7B3D"/>
    <w:rsid w:val="319C6071"/>
    <w:rsid w:val="31AC537E"/>
    <w:rsid w:val="31B22151"/>
    <w:rsid w:val="31B25211"/>
    <w:rsid w:val="31C8272C"/>
    <w:rsid w:val="31D401E3"/>
    <w:rsid w:val="31E07D04"/>
    <w:rsid w:val="31E22281"/>
    <w:rsid w:val="31E3679B"/>
    <w:rsid w:val="31E47795"/>
    <w:rsid w:val="31E732FD"/>
    <w:rsid w:val="320F6B69"/>
    <w:rsid w:val="322E355C"/>
    <w:rsid w:val="32301F7D"/>
    <w:rsid w:val="323668DE"/>
    <w:rsid w:val="3239641D"/>
    <w:rsid w:val="32410189"/>
    <w:rsid w:val="32517576"/>
    <w:rsid w:val="32545D2E"/>
    <w:rsid w:val="3262778D"/>
    <w:rsid w:val="32743C8D"/>
    <w:rsid w:val="32825ADE"/>
    <w:rsid w:val="329B41FD"/>
    <w:rsid w:val="32B15835"/>
    <w:rsid w:val="32BE5C2C"/>
    <w:rsid w:val="32C94E8E"/>
    <w:rsid w:val="32D22AAA"/>
    <w:rsid w:val="32DB1C5F"/>
    <w:rsid w:val="32FB6478"/>
    <w:rsid w:val="330C763F"/>
    <w:rsid w:val="33263B3F"/>
    <w:rsid w:val="336963EB"/>
    <w:rsid w:val="33816EEB"/>
    <w:rsid w:val="3398744C"/>
    <w:rsid w:val="33BB7011"/>
    <w:rsid w:val="33D44600"/>
    <w:rsid w:val="33EB55CD"/>
    <w:rsid w:val="33EC4C02"/>
    <w:rsid w:val="33F26C0D"/>
    <w:rsid w:val="340D2360"/>
    <w:rsid w:val="3410665D"/>
    <w:rsid w:val="34211214"/>
    <w:rsid w:val="3421725E"/>
    <w:rsid w:val="342866FA"/>
    <w:rsid w:val="342E63AB"/>
    <w:rsid w:val="344A7407"/>
    <w:rsid w:val="344C7199"/>
    <w:rsid w:val="344D2753"/>
    <w:rsid w:val="34950E68"/>
    <w:rsid w:val="34986B17"/>
    <w:rsid w:val="34986E94"/>
    <w:rsid w:val="34A94E14"/>
    <w:rsid w:val="34AF62C9"/>
    <w:rsid w:val="34B2479F"/>
    <w:rsid w:val="34B54148"/>
    <w:rsid w:val="34CB4388"/>
    <w:rsid w:val="34CD2C9E"/>
    <w:rsid w:val="34F869DB"/>
    <w:rsid w:val="34FA6E12"/>
    <w:rsid w:val="35277408"/>
    <w:rsid w:val="353F22A5"/>
    <w:rsid w:val="3550003C"/>
    <w:rsid w:val="356213DC"/>
    <w:rsid w:val="358D5588"/>
    <w:rsid w:val="35A54913"/>
    <w:rsid w:val="35B6316F"/>
    <w:rsid w:val="35BC55E2"/>
    <w:rsid w:val="35D84D97"/>
    <w:rsid w:val="35E229D9"/>
    <w:rsid w:val="35F93A05"/>
    <w:rsid w:val="360B75C3"/>
    <w:rsid w:val="361218D5"/>
    <w:rsid w:val="363A3B40"/>
    <w:rsid w:val="36415851"/>
    <w:rsid w:val="365302AE"/>
    <w:rsid w:val="36607A0A"/>
    <w:rsid w:val="366E227C"/>
    <w:rsid w:val="366F2E0D"/>
    <w:rsid w:val="367B6A5C"/>
    <w:rsid w:val="36963C12"/>
    <w:rsid w:val="36A74ADA"/>
    <w:rsid w:val="36AD60D5"/>
    <w:rsid w:val="36B224F9"/>
    <w:rsid w:val="36BD137C"/>
    <w:rsid w:val="36C9002A"/>
    <w:rsid w:val="36EC0CC9"/>
    <w:rsid w:val="36ED50B2"/>
    <w:rsid w:val="370336C9"/>
    <w:rsid w:val="371D03D1"/>
    <w:rsid w:val="373975EE"/>
    <w:rsid w:val="373F410B"/>
    <w:rsid w:val="37847C99"/>
    <w:rsid w:val="37865B9A"/>
    <w:rsid w:val="37B24C58"/>
    <w:rsid w:val="37BF45D0"/>
    <w:rsid w:val="37CB13C3"/>
    <w:rsid w:val="37EE7094"/>
    <w:rsid w:val="37F1277E"/>
    <w:rsid w:val="38023CE9"/>
    <w:rsid w:val="381C6A10"/>
    <w:rsid w:val="38207169"/>
    <w:rsid w:val="38296C89"/>
    <w:rsid w:val="383002EB"/>
    <w:rsid w:val="38586797"/>
    <w:rsid w:val="385A4E16"/>
    <w:rsid w:val="385F174D"/>
    <w:rsid w:val="38666521"/>
    <w:rsid w:val="38801BDB"/>
    <w:rsid w:val="38A5656B"/>
    <w:rsid w:val="38AD019E"/>
    <w:rsid w:val="38BC0149"/>
    <w:rsid w:val="38D87D1C"/>
    <w:rsid w:val="38E82369"/>
    <w:rsid w:val="38E928FC"/>
    <w:rsid w:val="390727AC"/>
    <w:rsid w:val="390E4110"/>
    <w:rsid w:val="392512B2"/>
    <w:rsid w:val="39484197"/>
    <w:rsid w:val="39579DDC"/>
    <w:rsid w:val="39636459"/>
    <w:rsid w:val="396B7F6C"/>
    <w:rsid w:val="399030A9"/>
    <w:rsid w:val="399B0574"/>
    <w:rsid w:val="399F8891"/>
    <w:rsid w:val="39AC0E12"/>
    <w:rsid w:val="39AE48B3"/>
    <w:rsid w:val="39B417A9"/>
    <w:rsid w:val="39B63265"/>
    <w:rsid w:val="39E11825"/>
    <w:rsid w:val="39FC5695"/>
    <w:rsid w:val="39FD48B8"/>
    <w:rsid w:val="3A006D8E"/>
    <w:rsid w:val="3A045513"/>
    <w:rsid w:val="3A3651E5"/>
    <w:rsid w:val="3A403213"/>
    <w:rsid w:val="3A4A06EF"/>
    <w:rsid w:val="3A700CFA"/>
    <w:rsid w:val="3A701C24"/>
    <w:rsid w:val="3A744481"/>
    <w:rsid w:val="3A852873"/>
    <w:rsid w:val="3A8C7BEF"/>
    <w:rsid w:val="3A906246"/>
    <w:rsid w:val="3AA215CD"/>
    <w:rsid w:val="3AA35FBF"/>
    <w:rsid w:val="3AAE63D8"/>
    <w:rsid w:val="3AB50022"/>
    <w:rsid w:val="3AB64A60"/>
    <w:rsid w:val="3AC84020"/>
    <w:rsid w:val="3AD145AD"/>
    <w:rsid w:val="3B117EE8"/>
    <w:rsid w:val="3B2349B7"/>
    <w:rsid w:val="3B2415F9"/>
    <w:rsid w:val="3B2714BA"/>
    <w:rsid w:val="3B4A20A4"/>
    <w:rsid w:val="3B4D0D5C"/>
    <w:rsid w:val="3B5B7273"/>
    <w:rsid w:val="3B616CFF"/>
    <w:rsid w:val="3B6259F6"/>
    <w:rsid w:val="3B737972"/>
    <w:rsid w:val="3B7C7A57"/>
    <w:rsid w:val="3B8C62A3"/>
    <w:rsid w:val="3B934DA1"/>
    <w:rsid w:val="3B976654"/>
    <w:rsid w:val="3B987DDD"/>
    <w:rsid w:val="3BB54D17"/>
    <w:rsid w:val="3BC01EFC"/>
    <w:rsid w:val="3BCA786A"/>
    <w:rsid w:val="3BD31E2F"/>
    <w:rsid w:val="3BF15831"/>
    <w:rsid w:val="3BFA5FE0"/>
    <w:rsid w:val="3BFF2653"/>
    <w:rsid w:val="3C037E38"/>
    <w:rsid w:val="3C105946"/>
    <w:rsid w:val="3C2C1DF0"/>
    <w:rsid w:val="3C357C06"/>
    <w:rsid w:val="3C471448"/>
    <w:rsid w:val="3C4F5748"/>
    <w:rsid w:val="3C5333BE"/>
    <w:rsid w:val="3C5F759A"/>
    <w:rsid w:val="3C6C525A"/>
    <w:rsid w:val="3C9D110D"/>
    <w:rsid w:val="3C9F0C20"/>
    <w:rsid w:val="3CAF79B9"/>
    <w:rsid w:val="3CCE23CB"/>
    <w:rsid w:val="3CD17D17"/>
    <w:rsid w:val="3CD411CD"/>
    <w:rsid w:val="3CDB69FF"/>
    <w:rsid w:val="3CE23C3D"/>
    <w:rsid w:val="3D1D4FFD"/>
    <w:rsid w:val="3D3C7F39"/>
    <w:rsid w:val="3D440F09"/>
    <w:rsid w:val="3D4504A0"/>
    <w:rsid w:val="3D532A3A"/>
    <w:rsid w:val="3D8734BB"/>
    <w:rsid w:val="3D8D5599"/>
    <w:rsid w:val="3D9A11D4"/>
    <w:rsid w:val="3DA16D89"/>
    <w:rsid w:val="3DA364BE"/>
    <w:rsid w:val="3DAF2580"/>
    <w:rsid w:val="3DC270E1"/>
    <w:rsid w:val="3DCB238E"/>
    <w:rsid w:val="3DCD6749"/>
    <w:rsid w:val="3DD07988"/>
    <w:rsid w:val="3DE021C9"/>
    <w:rsid w:val="3DE041CB"/>
    <w:rsid w:val="3DE7347B"/>
    <w:rsid w:val="3E0C17F5"/>
    <w:rsid w:val="3E0D48F6"/>
    <w:rsid w:val="3E1868B4"/>
    <w:rsid w:val="3E1E7797"/>
    <w:rsid w:val="3E1F3308"/>
    <w:rsid w:val="3E23065E"/>
    <w:rsid w:val="3E26591D"/>
    <w:rsid w:val="3E29379B"/>
    <w:rsid w:val="3E377251"/>
    <w:rsid w:val="3E381421"/>
    <w:rsid w:val="3E42664B"/>
    <w:rsid w:val="3E534BC2"/>
    <w:rsid w:val="3E5A7334"/>
    <w:rsid w:val="3E710AC0"/>
    <w:rsid w:val="3E7927E8"/>
    <w:rsid w:val="3E7A3FBF"/>
    <w:rsid w:val="3E7B5D6B"/>
    <w:rsid w:val="3E843E66"/>
    <w:rsid w:val="3E8B6229"/>
    <w:rsid w:val="3E8F51FE"/>
    <w:rsid w:val="3E926F87"/>
    <w:rsid w:val="3E9A59DE"/>
    <w:rsid w:val="3E9D645B"/>
    <w:rsid w:val="3EAE2A76"/>
    <w:rsid w:val="3EAF4836"/>
    <w:rsid w:val="3EB01EF5"/>
    <w:rsid w:val="3EC33DFA"/>
    <w:rsid w:val="3EDB1D61"/>
    <w:rsid w:val="3EE651E8"/>
    <w:rsid w:val="3EFA31A7"/>
    <w:rsid w:val="3F060E16"/>
    <w:rsid w:val="3F1D1096"/>
    <w:rsid w:val="3F260E6A"/>
    <w:rsid w:val="3F2F0234"/>
    <w:rsid w:val="3F4D34E2"/>
    <w:rsid w:val="3F524FF5"/>
    <w:rsid w:val="3F6363FE"/>
    <w:rsid w:val="3F756B8F"/>
    <w:rsid w:val="3F7B2385"/>
    <w:rsid w:val="3F7D7D9F"/>
    <w:rsid w:val="3F95482B"/>
    <w:rsid w:val="3FA31757"/>
    <w:rsid w:val="3FA8005B"/>
    <w:rsid w:val="3FBE399E"/>
    <w:rsid w:val="3FC6643E"/>
    <w:rsid w:val="3FC90D91"/>
    <w:rsid w:val="3FDB73E7"/>
    <w:rsid w:val="3FDC320D"/>
    <w:rsid w:val="3FE71DF8"/>
    <w:rsid w:val="40030DDA"/>
    <w:rsid w:val="4019356B"/>
    <w:rsid w:val="40213118"/>
    <w:rsid w:val="40592157"/>
    <w:rsid w:val="405B7548"/>
    <w:rsid w:val="405C2CE2"/>
    <w:rsid w:val="40661FDB"/>
    <w:rsid w:val="406E1CAE"/>
    <w:rsid w:val="408F77BC"/>
    <w:rsid w:val="40A0133A"/>
    <w:rsid w:val="40AA0586"/>
    <w:rsid w:val="40BC4C61"/>
    <w:rsid w:val="40C31A53"/>
    <w:rsid w:val="40CC396A"/>
    <w:rsid w:val="40D44AFB"/>
    <w:rsid w:val="40E61DCC"/>
    <w:rsid w:val="40FF085F"/>
    <w:rsid w:val="40FF545D"/>
    <w:rsid w:val="410067C8"/>
    <w:rsid w:val="410332AB"/>
    <w:rsid w:val="410463F9"/>
    <w:rsid w:val="411244E3"/>
    <w:rsid w:val="412C5A7C"/>
    <w:rsid w:val="41527804"/>
    <w:rsid w:val="416B0D87"/>
    <w:rsid w:val="41770ACF"/>
    <w:rsid w:val="41791DCF"/>
    <w:rsid w:val="417E5BAB"/>
    <w:rsid w:val="41851EA5"/>
    <w:rsid w:val="418D02DF"/>
    <w:rsid w:val="418F0D2A"/>
    <w:rsid w:val="4190530F"/>
    <w:rsid w:val="41A73354"/>
    <w:rsid w:val="41A80A45"/>
    <w:rsid w:val="41AE35B6"/>
    <w:rsid w:val="41D01505"/>
    <w:rsid w:val="41E71FCD"/>
    <w:rsid w:val="421F1F60"/>
    <w:rsid w:val="422A6701"/>
    <w:rsid w:val="42474939"/>
    <w:rsid w:val="424C3C57"/>
    <w:rsid w:val="42570281"/>
    <w:rsid w:val="425920FC"/>
    <w:rsid w:val="42613FF3"/>
    <w:rsid w:val="42660D96"/>
    <w:rsid w:val="428667D2"/>
    <w:rsid w:val="42933DB2"/>
    <w:rsid w:val="42A04F26"/>
    <w:rsid w:val="42CD1CE0"/>
    <w:rsid w:val="42E1381E"/>
    <w:rsid w:val="42ED6459"/>
    <w:rsid w:val="42FE58DD"/>
    <w:rsid w:val="43174B3D"/>
    <w:rsid w:val="4329199A"/>
    <w:rsid w:val="432A7D99"/>
    <w:rsid w:val="43345103"/>
    <w:rsid w:val="4343256A"/>
    <w:rsid w:val="434328BF"/>
    <w:rsid w:val="434B790E"/>
    <w:rsid w:val="4360274F"/>
    <w:rsid w:val="436C4C0C"/>
    <w:rsid w:val="43885B5E"/>
    <w:rsid w:val="43977AB6"/>
    <w:rsid w:val="43A3342B"/>
    <w:rsid w:val="43C77C27"/>
    <w:rsid w:val="43CA2956"/>
    <w:rsid w:val="43D751C6"/>
    <w:rsid w:val="43DE09EE"/>
    <w:rsid w:val="43EF2D90"/>
    <w:rsid w:val="43F6411F"/>
    <w:rsid w:val="44002FAD"/>
    <w:rsid w:val="441A2CF9"/>
    <w:rsid w:val="443747BD"/>
    <w:rsid w:val="446B2796"/>
    <w:rsid w:val="44703EA3"/>
    <w:rsid w:val="449101DD"/>
    <w:rsid w:val="449D16AC"/>
    <w:rsid w:val="44A24C3C"/>
    <w:rsid w:val="44C11FCC"/>
    <w:rsid w:val="44D16CFE"/>
    <w:rsid w:val="44DE1391"/>
    <w:rsid w:val="450B7626"/>
    <w:rsid w:val="45115D2E"/>
    <w:rsid w:val="451B225C"/>
    <w:rsid w:val="452410C9"/>
    <w:rsid w:val="4528619B"/>
    <w:rsid w:val="45317DFB"/>
    <w:rsid w:val="45344EFF"/>
    <w:rsid w:val="45482AB7"/>
    <w:rsid w:val="454D03CD"/>
    <w:rsid w:val="455C5EAE"/>
    <w:rsid w:val="456D3CE4"/>
    <w:rsid w:val="4577128F"/>
    <w:rsid w:val="4579042C"/>
    <w:rsid w:val="457F0571"/>
    <w:rsid w:val="45851176"/>
    <w:rsid w:val="45BB11DF"/>
    <w:rsid w:val="45C04D0F"/>
    <w:rsid w:val="45C63B94"/>
    <w:rsid w:val="45D941A3"/>
    <w:rsid w:val="45E43226"/>
    <w:rsid w:val="45EA380F"/>
    <w:rsid w:val="460E5133"/>
    <w:rsid w:val="460E7DA5"/>
    <w:rsid w:val="461247C1"/>
    <w:rsid w:val="46422483"/>
    <w:rsid w:val="464B7318"/>
    <w:rsid w:val="464C1FF9"/>
    <w:rsid w:val="4659254A"/>
    <w:rsid w:val="465B0637"/>
    <w:rsid w:val="465E3F0D"/>
    <w:rsid w:val="466A16E6"/>
    <w:rsid w:val="467D3A06"/>
    <w:rsid w:val="467F03FC"/>
    <w:rsid w:val="46893F2B"/>
    <w:rsid w:val="46A15FA0"/>
    <w:rsid w:val="46BC068F"/>
    <w:rsid w:val="46C4686E"/>
    <w:rsid w:val="46E6701B"/>
    <w:rsid w:val="46EB16E7"/>
    <w:rsid w:val="46F1082D"/>
    <w:rsid w:val="46F1117A"/>
    <w:rsid w:val="47214527"/>
    <w:rsid w:val="477B778F"/>
    <w:rsid w:val="47816347"/>
    <w:rsid w:val="478203EC"/>
    <w:rsid w:val="47A04B5C"/>
    <w:rsid w:val="47AB6693"/>
    <w:rsid w:val="47B025FA"/>
    <w:rsid w:val="47EC7D13"/>
    <w:rsid w:val="4809698F"/>
    <w:rsid w:val="4811697D"/>
    <w:rsid w:val="483354AC"/>
    <w:rsid w:val="486378A9"/>
    <w:rsid w:val="48641684"/>
    <w:rsid w:val="487A3E25"/>
    <w:rsid w:val="488B5503"/>
    <w:rsid w:val="488F68F0"/>
    <w:rsid w:val="48937E21"/>
    <w:rsid w:val="489A0361"/>
    <w:rsid w:val="48B34C71"/>
    <w:rsid w:val="48B94FF3"/>
    <w:rsid w:val="48BF524E"/>
    <w:rsid w:val="48C3413F"/>
    <w:rsid w:val="48C5282A"/>
    <w:rsid w:val="48E37AAB"/>
    <w:rsid w:val="48FD4B4C"/>
    <w:rsid w:val="490A68E0"/>
    <w:rsid w:val="491054A6"/>
    <w:rsid w:val="491055FE"/>
    <w:rsid w:val="49132D46"/>
    <w:rsid w:val="49442815"/>
    <w:rsid w:val="49454ECE"/>
    <w:rsid w:val="495F5B3E"/>
    <w:rsid w:val="496F77D7"/>
    <w:rsid w:val="497654FD"/>
    <w:rsid w:val="497B6A98"/>
    <w:rsid w:val="49B64211"/>
    <w:rsid w:val="49C030E6"/>
    <w:rsid w:val="49D27FD8"/>
    <w:rsid w:val="49E51FFF"/>
    <w:rsid w:val="49E8450A"/>
    <w:rsid w:val="49F015C0"/>
    <w:rsid w:val="49F6167F"/>
    <w:rsid w:val="49FF0E34"/>
    <w:rsid w:val="4A064FA0"/>
    <w:rsid w:val="4A0F7CE8"/>
    <w:rsid w:val="4A16615C"/>
    <w:rsid w:val="4A2A7134"/>
    <w:rsid w:val="4A4424D7"/>
    <w:rsid w:val="4A703A63"/>
    <w:rsid w:val="4AB82D0F"/>
    <w:rsid w:val="4ACA29F1"/>
    <w:rsid w:val="4AEB7664"/>
    <w:rsid w:val="4AFD7C19"/>
    <w:rsid w:val="4B0567D1"/>
    <w:rsid w:val="4B0F715C"/>
    <w:rsid w:val="4B145500"/>
    <w:rsid w:val="4B236AAE"/>
    <w:rsid w:val="4B4340EE"/>
    <w:rsid w:val="4B5D267F"/>
    <w:rsid w:val="4B61136D"/>
    <w:rsid w:val="4B707271"/>
    <w:rsid w:val="4B712839"/>
    <w:rsid w:val="4B923F4B"/>
    <w:rsid w:val="4B9739F7"/>
    <w:rsid w:val="4BC66ACD"/>
    <w:rsid w:val="4BCD0FAB"/>
    <w:rsid w:val="4BD16766"/>
    <w:rsid w:val="4BD761B9"/>
    <w:rsid w:val="4BD86180"/>
    <w:rsid w:val="4BDD6071"/>
    <w:rsid w:val="4BEE2503"/>
    <w:rsid w:val="4BF94848"/>
    <w:rsid w:val="4C007696"/>
    <w:rsid w:val="4C0522FE"/>
    <w:rsid w:val="4C245A30"/>
    <w:rsid w:val="4C293BA9"/>
    <w:rsid w:val="4C2E090E"/>
    <w:rsid w:val="4C4028FC"/>
    <w:rsid w:val="4C5B0A89"/>
    <w:rsid w:val="4C673968"/>
    <w:rsid w:val="4C6F6F70"/>
    <w:rsid w:val="4C7672F1"/>
    <w:rsid w:val="4C7C2F36"/>
    <w:rsid w:val="4C8524E4"/>
    <w:rsid w:val="4C8A6D6D"/>
    <w:rsid w:val="4CB6685F"/>
    <w:rsid w:val="4CC367FE"/>
    <w:rsid w:val="4CD64A83"/>
    <w:rsid w:val="4CD831FD"/>
    <w:rsid w:val="4CF93B9D"/>
    <w:rsid w:val="4D077F3C"/>
    <w:rsid w:val="4D123355"/>
    <w:rsid w:val="4D261F37"/>
    <w:rsid w:val="4D2A3B31"/>
    <w:rsid w:val="4D312C52"/>
    <w:rsid w:val="4D4B72A8"/>
    <w:rsid w:val="4D5A0BB9"/>
    <w:rsid w:val="4D5D6FBD"/>
    <w:rsid w:val="4D905305"/>
    <w:rsid w:val="4D964A72"/>
    <w:rsid w:val="4D9C1254"/>
    <w:rsid w:val="4DB5756A"/>
    <w:rsid w:val="4DBD4E69"/>
    <w:rsid w:val="4DD7474D"/>
    <w:rsid w:val="4DF8460D"/>
    <w:rsid w:val="4E0A4B81"/>
    <w:rsid w:val="4E3C1CFF"/>
    <w:rsid w:val="4E3D77BF"/>
    <w:rsid w:val="4E4111AF"/>
    <w:rsid w:val="4E582EF3"/>
    <w:rsid w:val="4E793892"/>
    <w:rsid w:val="4E7D6688"/>
    <w:rsid w:val="4E800872"/>
    <w:rsid w:val="4EA76741"/>
    <w:rsid w:val="4EB037DD"/>
    <w:rsid w:val="4EC569ED"/>
    <w:rsid w:val="4ED50EA1"/>
    <w:rsid w:val="4ED60856"/>
    <w:rsid w:val="4EE022D7"/>
    <w:rsid w:val="4EEC050C"/>
    <w:rsid w:val="4EEC684A"/>
    <w:rsid w:val="4EF20192"/>
    <w:rsid w:val="4F063129"/>
    <w:rsid w:val="4F104EC3"/>
    <w:rsid w:val="4F126D19"/>
    <w:rsid w:val="4F1638C7"/>
    <w:rsid w:val="4F2953A8"/>
    <w:rsid w:val="4F2F67D9"/>
    <w:rsid w:val="4F334479"/>
    <w:rsid w:val="4F47354A"/>
    <w:rsid w:val="4F911C54"/>
    <w:rsid w:val="4FC757F7"/>
    <w:rsid w:val="4FCA1119"/>
    <w:rsid w:val="4FD12CBB"/>
    <w:rsid w:val="4FE625E0"/>
    <w:rsid w:val="4FEF7B15"/>
    <w:rsid w:val="4FF64A7F"/>
    <w:rsid w:val="4FF97471"/>
    <w:rsid w:val="5021480F"/>
    <w:rsid w:val="50413434"/>
    <w:rsid w:val="504728B1"/>
    <w:rsid w:val="50507C64"/>
    <w:rsid w:val="50637CD4"/>
    <w:rsid w:val="50646F2B"/>
    <w:rsid w:val="506C4F7A"/>
    <w:rsid w:val="50962ECB"/>
    <w:rsid w:val="50A42E38"/>
    <w:rsid w:val="50A4577F"/>
    <w:rsid w:val="50A71003"/>
    <w:rsid w:val="50B73D1F"/>
    <w:rsid w:val="50BD5BC9"/>
    <w:rsid w:val="50C11EEE"/>
    <w:rsid w:val="50E2599F"/>
    <w:rsid w:val="50E97CFC"/>
    <w:rsid w:val="50FA4028"/>
    <w:rsid w:val="50FD14C0"/>
    <w:rsid w:val="51064CB5"/>
    <w:rsid w:val="510D2AA8"/>
    <w:rsid w:val="510D65B7"/>
    <w:rsid w:val="511157AB"/>
    <w:rsid w:val="511F48AD"/>
    <w:rsid w:val="513D2023"/>
    <w:rsid w:val="5142540C"/>
    <w:rsid w:val="5150527F"/>
    <w:rsid w:val="51684093"/>
    <w:rsid w:val="518832C8"/>
    <w:rsid w:val="518C094E"/>
    <w:rsid w:val="51A0432A"/>
    <w:rsid w:val="51A86090"/>
    <w:rsid w:val="51B7396D"/>
    <w:rsid w:val="51BC0B9E"/>
    <w:rsid w:val="51BF3DA2"/>
    <w:rsid w:val="51D1625A"/>
    <w:rsid w:val="51DC2BA6"/>
    <w:rsid w:val="522E4CC3"/>
    <w:rsid w:val="523C0F3C"/>
    <w:rsid w:val="5244713B"/>
    <w:rsid w:val="524834F0"/>
    <w:rsid w:val="524D12E9"/>
    <w:rsid w:val="52532739"/>
    <w:rsid w:val="52577373"/>
    <w:rsid w:val="52615633"/>
    <w:rsid w:val="5266556A"/>
    <w:rsid w:val="526B217C"/>
    <w:rsid w:val="526B764F"/>
    <w:rsid w:val="528D52F3"/>
    <w:rsid w:val="52977FD4"/>
    <w:rsid w:val="52A05F7F"/>
    <w:rsid w:val="52A25790"/>
    <w:rsid w:val="52A96B6F"/>
    <w:rsid w:val="52B45975"/>
    <w:rsid w:val="52B6146D"/>
    <w:rsid w:val="52C61EDE"/>
    <w:rsid w:val="52D21B4F"/>
    <w:rsid w:val="52D94AA4"/>
    <w:rsid w:val="52EA3A62"/>
    <w:rsid w:val="52F50BB8"/>
    <w:rsid w:val="53097272"/>
    <w:rsid w:val="531B7AA5"/>
    <w:rsid w:val="53544462"/>
    <w:rsid w:val="53834329"/>
    <w:rsid w:val="5397158E"/>
    <w:rsid w:val="53EC4BF7"/>
    <w:rsid w:val="54013861"/>
    <w:rsid w:val="540616D0"/>
    <w:rsid w:val="541779E6"/>
    <w:rsid w:val="54487265"/>
    <w:rsid w:val="544A0D24"/>
    <w:rsid w:val="544D6070"/>
    <w:rsid w:val="54605E1E"/>
    <w:rsid w:val="54685041"/>
    <w:rsid w:val="546B1FBF"/>
    <w:rsid w:val="548A0B41"/>
    <w:rsid w:val="54A23780"/>
    <w:rsid w:val="54B3506A"/>
    <w:rsid w:val="54BF1DF1"/>
    <w:rsid w:val="54C64996"/>
    <w:rsid w:val="54C662FF"/>
    <w:rsid w:val="54CA0D16"/>
    <w:rsid w:val="54DD4057"/>
    <w:rsid w:val="54E7490F"/>
    <w:rsid w:val="54E75560"/>
    <w:rsid w:val="550764A4"/>
    <w:rsid w:val="550B2BF6"/>
    <w:rsid w:val="551366CC"/>
    <w:rsid w:val="55214EB5"/>
    <w:rsid w:val="552810B5"/>
    <w:rsid w:val="55364EFD"/>
    <w:rsid w:val="555D4828"/>
    <w:rsid w:val="555E7D76"/>
    <w:rsid w:val="555F0C24"/>
    <w:rsid w:val="557A4C8B"/>
    <w:rsid w:val="557F583F"/>
    <w:rsid w:val="558931E1"/>
    <w:rsid w:val="55923347"/>
    <w:rsid w:val="55925180"/>
    <w:rsid w:val="55983B1B"/>
    <w:rsid w:val="55A8376B"/>
    <w:rsid w:val="55D342C0"/>
    <w:rsid w:val="55DC29B6"/>
    <w:rsid w:val="55DD4241"/>
    <w:rsid w:val="55F04C44"/>
    <w:rsid w:val="55FF6F17"/>
    <w:rsid w:val="562B51ED"/>
    <w:rsid w:val="563C5CA8"/>
    <w:rsid w:val="56505911"/>
    <w:rsid w:val="5653279C"/>
    <w:rsid w:val="565418D3"/>
    <w:rsid w:val="566B6D1E"/>
    <w:rsid w:val="567D13ED"/>
    <w:rsid w:val="56842DF9"/>
    <w:rsid w:val="56903F5F"/>
    <w:rsid w:val="56945401"/>
    <w:rsid w:val="569B7333"/>
    <w:rsid w:val="56C65478"/>
    <w:rsid w:val="56DA6B73"/>
    <w:rsid w:val="56FD56F3"/>
    <w:rsid w:val="57032A2C"/>
    <w:rsid w:val="570F5219"/>
    <w:rsid w:val="575925A3"/>
    <w:rsid w:val="575D12B5"/>
    <w:rsid w:val="57610A87"/>
    <w:rsid w:val="577B1140"/>
    <w:rsid w:val="577B7F21"/>
    <w:rsid w:val="577F181B"/>
    <w:rsid w:val="57921984"/>
    <w:rsid w:val="579737F0"/>
    <w:rsid w:val="57AA386C"/>
    <w:rsid w:val="57AB7B30"/>
    <w:rsid w:val="57AF5251"/>
    <w:rsid w:val="57B26373"/>
    <w:rsid w:val="57B63F04"/>
    <w:rsid w:val="57C934C5"/>
    <w:rsid w:val="57CD20C2"/>
    <w:rsid w:val="57D157E2"/>
    <w:rsid w:val="57D46053"/>
    <w:rsid w:val="57D675AB"/>
    <w:rsid w:val="57D95FDD"/>
    <w:rsid w:val="57E133DD"/>
    <w:rsid w:val="5814778D"/>
    <w:rsid w:val="58196889"/>
    <w:rsid w:val="583B7EFB"/>
    <w:rsid w:val="584140A6"/>
    <w:rsid w:val="584F5203"/>
    <w:rsid w:val="5862482C"/>
    <w:rsid w:val="586D5FB7"/>
    <w:rsid w:val="58917D2F"/>
    <w:rsid w:val="5894085C"/>
    <w:rsid w:val="58AE4F0C"/>
    <w:rsid w:val="58B85899"/>
    <w:rsid w:val="58D701DF"/>
    <w:rsid w:val="58D955AA"/>
    <w:rsid w:val="58E363A9"/>
    <w:rsid w:val="58EF5611"/>
    <w:rsid w:val="58F162FD"/>
    <w:rsid w:val="59232DF8"/>
    <w:rsid w:val="59242179"/>
    <w:rsid w:val="593D6BAF"/>
    <w:rsid w:val="595E1678"/>
    <w:rsid w:val="596D5BD4"/>
    <w:rsid w:val="59740F36"/>
    <w:rsid w:val="597E3DD8"/>
    <w:rsid w:val="5982685A"/>
    <w:rsid w:val="59BD4C3E"/>
    <w:rsid w:val="59D04DE6"/>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9A1FD2"/>
    <w:rsid w:val="5AA85135"/>
    <w:rsid w:val="5AAD6F28"/>
    <w:rsid w:val="5AD63A24"/>
    <w:rsid w:val="5AD85C60"/>
    <w:rsid w:val="5AF64BA6"/>
    <w:rsid w:val="5B2E1A1D"/>
    <w:rsid w:val="5B3D704E"/>
    <w:rsid w:val="5B410779"/>
    <w:rsid w:val="5B422372"/>
    <w:rsid w:val="5B525C87"/>
    <w:rsid w:val="5B6D06E7"/>
    <w:rsid w:val="5B790768"/>
    <w:rsid w:val="5B843A1C"/>
    <w:rsid w:val="5B873E3F"/>
    <w:rsid w:val="5B8C73EB"/>
    <w:rsid w:val="5BB26E60"/>
    <w:rsid w:val="5BB92F8E"/>
    <w:rsid w:val="5BC05397"/>
    <w:rsid w:val="5BD8078D"/>
    <w:rsid w:val="5C02690E"/>
    <w:rsid w:val="5C0E333F"/>
    <w:rsid w:val="5C194E0F"/>
    <w:rsid w:val="5C196DA7"/>
    <w:rsid w:val="5C2A048C"/>
    <w:rsid w:val="5C2B610A"/>
    <w:rsid w:val="5C415839"/>
    <w:rsid w:val="5C4247E0"/>
    <w:rsid w:val="5C603B9E"/>
    <w:rsid w:val="5C6B43A5"/>
    <w:rsid w:val="5C80234E"/>
    <w:rsid w:val="5C8A680C"/>
    <w:rsid w:val="5C9F4678"/>
    <w:rsid w:val="5CB302F5"/>
    <w:rsid w:val="5CBA429A"/>
    <w:rsid w:val="5CCD1101"/>
    <w:rsid w:val="5CF40E2A"/>
    <w:rsid w:val="5D047455"/>
    <w:rsid w:val="5D0C4701"/>
    <w:rsid w:val="5D0F0395"/>
    <w:rsid w:val="5D1433FB"/>
    <w:rsid w:val="5D221076"/>
    <w:rsid w:val="5D397964"/>
    <w:rsid w:val="5D5A391C"/>
    <w:rsid w:val="5D5F10C0"/>
    <w:rsid w:val="5D891B7B"/>
    <w:rsid w:val="5DAD38EE"/>
    <w:rsid w:val="5DB52BC5"/>
    <w:rsid w:val="5DC36B4B"/>
    <w:rsid w:val="5E006862"/>
    <w:rsid w:val="5E0207B9"/>
    <w:rsid w:val="5E0E0488"/>
    <w:rsid w:val="5E1834A1"/>
    <w:rsid w:val="5E1B68E7"/>
    <w:rsid w:val="5E261785"/>
    <w:rsid w:val="5E311139"/>
    <w:rsid w:val="5E434145"/>
    <w:rsid w:val="5E4A7017"/>
    <w:rsid w:val="5E552BBA"/>
    <w:rsid w:val="5E5D0BCB"/>
    <w:rsid w:val="5E611C10"/>
    <w:rsid w:val="5E6D10BD"/>
    <w:rsid w:val="5E912F6A"/>
    <w:rsid w:val="5E916AC6"/>
    <w:rsid w:val="5EB50202"/>
    <w:rsid w:val="5EC21E78"/>
    <w:rsid w:val="5ECB647C"/>
    <w:rsid w:val="5EDE00DE"/>
    <w:rsid w:val="5EFC383C"/>
    <w:rsid w:val="5EFC4888"/>
    <w:rsid w:val="5EFC7377"/>
    <w:rsid w:val="5EFEB119"/>
    <w:rsid w:val="5F06174D"/>
    <w:rsid w:val="5F184B97"/>
    <w:rsid w:val="5F1919AA"/>
    <w:rsid w:val="5F3A3602"/>
    <w:rsid w:val="5F6277C6"/>
    <w:rsid w:val="5F6D0B1D"/>
    <w:rsid w:val="5F7F0A6C"/>
    <w:rsid w:val="5F8D0B82"/>
    <w:rsid w:val="5F927A76"/>
    <w:rsid w:val="5F9A3EA5"/>
    <w:rsid w:val="5F9E4429"/>
    <w:rsid w:val="5FA32F55"/>
    <w:rsid w:val="5FA911F0"/>
    <w:rsid w:val="5FAD7B5E"/>
    <w:rsid w:val="5FB92779"/>
    <w:rsid w:val="5FCC5339"/>
    <w:rsid w:val="5FE34A5B"/>
    <w:rsid w:val="5FE3C1BD"/>
    <w:rsid w:val="5FFE1E36"/>
    <w:rsid w:val="60014280"/>
    <w:rsid w:val="60232584"/>
    <w:rsid w:val="607330CE"/>
    <w:rsid w:val="607F1367"/>
    <w:rsid w:val="60825176"/>
    <w:rsid w:val="60843754"/>
    <w:rsid w:val="609F2AC4"/>
    <w:rsid w:val="60A5795F"/>
    <w:rsid w:val="60F772A0"/>
    <w:rsid w:val="60FA2EE8"/>
    <w:rsid w:val="61054A27"/>
    <w:rsid w:val="610A52BC"/>
    <w:rsid w:val="611D2366"/>
    <w:rsid w:val="611F7DF7"/>
    <w:rsid w:val="613302DC"/>
    <w:rsid w:val="61357BDD"/>
    <w:rsid w:val="613B42FF"/>
    <w:rsid w:val="61421856"/>
    <w:rsid w:val="61434FAB"/>
    <w:rsid w:val="615227C4"/>
    <w:rsid w:val="615B059F"/>
    <w:rsid w:val="615D5386"/>
    <w:rsid w:val="616540C2"/>
    <w:rsid w:val="61654E3F"/>
    <w:rsid w:val="617F6C0F"/>
    <w:rsid w:val="6182292A"/>
    <w:rsid w:val="619042A5"/>
    <w:rsid w:val="619F7F92"/>
    <w:rsid w:val="61A261E8"/>
    <w:rsid w:val="61B1405D"/>
    <w:rsid w:val="61C01DCB"/>
    <w:rsid w:val="61DC3121"/>
    <w:rsid w:val="61E57855"/>
    <w:rsid w:val="61F70404"/>
    <w:rsid w:val="61F94C26"/>
    <w:rsid w:val="62000E56"/>
    <w:rsid w:val="62035F2D"/>
    <w:rsid w:val="62347E94"/>
    <w:rsid w:val="623A1223"/>
    <w:rsid w:val="624D08A0"/>
    <w:rsid w:val="624F3E49"/>
    <w:rsid w:val="625C0EDE"/>
    <w:rsid w:val="625C71E2"/>
    <w:rsid w:val="62632286"/>
    <w:rsid w:val="626D784A"/>
    <w:rsid w:val="62885958"/>
    <w:rsid w:val="62C361BE"/>
    <w:rsid w:val="62CC39A0"/>
    <w:rsid w:val="62D76DC7"/>
    <w:rsid w:val="62E31181"/>
    <w:rsid w:val="62EA65CE"/>
    <w:rsid w:val="62F40B65"/>
    <w:rsid w:val="62F6549D"/>
    <w:rsid w:val="62FC2CFE"/>
    <w:rsid w:val="63024505"/>
    <w:rsid w:val="6319163A"/>
    <w:rsid w:val="63414DCA"/>
    <w:rsid w:val="635B1DB5"/>
    <w:rsid w:val="63711FED"/>
    <w:rsid w:val="63852C0C"/>
    <w:rsid w:val="63880DDC"/>
    <w:rsid w:val="63897561"/>
    <w:rsid w:val="638D750D"/>
    <w:rsid w:val="638D78D8"/>
    <w:rsid w:val="63A1404D"/>
    <w:rsid w:val="63A914DA"/>
    <w:rsid w:val="63AC6CC0"/>
    <w:rsid w:val="63AF671E"/>
    <w:rsid w:val="63B07D87"/>
    <w:rsid w:val="63CE5636"/>
    <w:rsid w:val="63D36808"/>
    <w:rsid w:val="63E50BFC"/>
    <w:rsid w:val="63FA2D29"/>
    <w:rsid w:val="64055776"/>
    <w:rsid w:val="640A712A"/>
    <w:rsid w:val="64157E2E"/>
    <w:rsid w:val="64201842"/>
    <w:rsid w:val="64240056"/>
    <w:rsid w:val="643E143A"/>
    <w:rsid w:val="644C59A4"/>
    <w:rsid w:val="645842F7"/>
    <w:rsid w:val="645E55CA"/>
    <w:rsid w:val="64741A78"/>
    <w:rsid w:val="648275DD"/>
    <w:rsid w:val="648B6EEF"/>
    <w:rsid w:val="64BA2CDB"/>
    <w:rsid w:val="64C158BF"/>
    <w:rsid w:val="64CE2EAA"/>
    <w:rsid w:val="64E30A29"/>
    <w:rsid w:val="651D10B4"/>
    <w:rsid w:val="65274800"/>
    <w:rsid w:val="653C3090"/>
    <w:rsid w:val="653C352F"/>
    <w:rsid w:val="65553C89"/>
    <w:rsid w:val="655E1932"/>
    <w:rsid w:val="65830CC8"/>
    <w:rsid w:val="65854376"/>
    <w:rsid w:val="658767BE"/>
    <w:rsid w:val="65892531"/>
    <w:rsid w:val="658B1B84"/>
    <w:rsid w:val="65AF2D34"/>
    <w:rsid w:val="65BE054C"/>
    <w:rsid w:val="65F010D5"/>
    <w:rsid w:val="65FF4C5D"/>
    <w:rsid w:val="66017AE5"/>
    <w:rsid w:val="66195831"/>
    <w:rsid w:val="66231A28"/>
    <w:rsid w:val="662E75B1"/>
    <w:rsid w:val="66342C2E"/>
    <w:rsid w:val="66383143"/>
    <w:rsid w:val="663E784C"/>
    <w:rsid w:val="668B6A45"/>
    <w:rsid w:val="66A10559"/>
    <w:rsid w:val="66A1736B"/>
    <w:rsid w:val="66A86CEB"/>
    <w:rsid w:val="66C33CFD"/>
    <w:rsid w:val="66D85655"/>
    <w:rsid w:val="66F71800"/>
    <w:rsid w:val="66F81DD8"/>
    <w:rsid w:val="67161B80"/>
    <w:rsid w:val="671C27C9"/>
    <w:rsid w:val="672F3F24"/>
    <w:rsid w:val="673E055F"/>
    <w:rsid w:val="673F17B5"/>
    <w:rsid w:val="6748263B"/>
    <w:rsid w:val="6751773B"/>
    <w:rsid w:val="67551CE3"/>
    <w:rsid w:val="676F6A10"/>
    <w:rsid w:val="677357A0"/>
    <w:rsid w:val="677D2492"/>
    <w:rsid w:val="677FC4B8"/>
    <w:rsid w:val="679B1F3D"/>
    <w:rsid w:val="67A22552"/>
    <w:rsid w:val="67B22DCC"/>
    <w:rsid w:val="67B315A2"/>
    <w:rsid w:val="67BE71AA"/>
    <w:rsid w:val="67BE72E7"/>
    <w:rsid w:val="67D90273"/>
    <w:rsid w:val="67DE5875"/>
    <w:rsid w:val="67E208DA"/>
    <w:rsid w:val="67E55852"/>
    <w:rsid w:val="67EB1AB4"/>
    <w:rsid w:val="67FA1285"/>
    <w:rsid w:val="67FC1AAF"/>
    <w:rsid w:val="680C60F7"/>
    <w:rsid w:val="68411B2A"/>
    <w:rsid w:val="68427745"/>
    <w:rsid w:val="68480D45"/>
    <w:rsid w:val="68482ACD"/>
    <w:rsid w:val="68551F4F"/>
    <w:rsid w:val="685F4912"/>
    <w:rsid w:val="68602FC8"/>
    <w:rsid w:val="686508AD"/>
    <w:rsid w:val="687C10C9"/>
    <w:rsid w:val="68840C16"/>
    <w:rsid w:val="68876EFB"/>
    <w:rsid w:val="68884654"/>
    <w:rsid w:val="688D7765"/>
    <w:rsid w:val="68981C16"/>
    <w:rsid w:val="68987886"/>
    <w:rsid w:val="689F444F"/>
    <w:rsid w:val="68AD06CB"/>
    <w:rsid w:val="68B96DBB"/>
    <w:rsid w:val="68BE670A"/>
    <w:rsid w:val="68C77CCF"/>
    <w:rsid w:val="68CA2805"/>
    <w:rsid w:val="68E937A3"/>
    <w:rsid w:val="692469BA"/>
    <w:rsid w:val="693040F1"/>
    <w:rsid w:val="693C0333"/>
    <w:rsid w:val="693E15D3"/>
    <w:rsid w:val="69627681"/>
    <w:rsid w:val="69702ECB"/>
    <w:rsid w:val="6977531D"/>
    <w:rsid w:val="69805664"/>
    <w:rsid w:val="69A80AFD"/>
    <w:rsid w:val="69B769D5"/>
    <w:rsid w:val="69B948A9"/>
    <w:rsid w:val="69CC2BFF"/>
    <w:rsid w:val="69D0062A"/>
    <w:rsid w:val="69E2405E"/>
    <w:rsid w:val="69EB1780"/>
    <w:rsid w:val="69FD55B8"/>
    <w:rsid w:val="69FD7706"/>
    <w:rsid w:val="6A0B1C62"/>
    <w:rsid w:val="6A1C76FC"/>
    <w:rsid w:val="6A2406C8"/>
    <w:rsid w:val="6A3B0B8E"/>
    <w:rsid w:val="6A3C022E"/>
    <w:rsid w:val="6A4101AA"/>
    <w:rsid w:val="6A761984"/>
    <w:rsid w:val="6A7944DE"/>
    <w:rsid w:val="6A9E4786"/>
    <w:rsid w:val="6AA638F9"/>
    <w:rsid w:val="6AA87A3D"/>
    <w:rsid w:val="6AD6094F"/>
    <w:rsid w:val="6ADE0BD1"/>
    <w:rsid w:val="6AE846AF"/>
    <w:rsid w:val="6AE96859"/>
    <w:rsid w:val="6B007BED"/>
    <w:rsid w:val="6B0E1F43"/>
    <w:rsid w:val="6B147746"/>
    <w:rsid w:val="6B24787C"/>
    <w:rsid w:val="6B3169AE"/>
    <w:rsid w:val="6B573233"/>
    <w:rsid w:val="6B57794A"/>
    <w:rsid w:val="6B5B6274"/>
    <w:rsid w:val="6B6B606E"/>
    <w:rsid w:val="6B831CFF"/>
    <w:rsid w:val="6B841E8D"/>
    <w:rsid w:val="6B8E0F2B"/>
    <w:rsid w:val="6B935D53"/>
    <w:rsid w:val="6B9D5863"/>
    <w:rsid w:val="6C196F71"/>
    <w:rsid w:val="6C213642"/>
    <w:rsid w:val="6C226FCB"/>
    <w:rsid w:val="6C292A34"/>
    <w:rsid w:val="6C31226F"/>
    <w:rsid w:val="6C431E34"/>
    <w:rsid w:val="6C552F0B"/>
    <w:rsid w:val="6C646D57"/>
    <w:rsid w:val="6C753116"/>
    <w:rsid w:val="6C7F4402"/>
    <w:rsid w:val="6C8C67B7"/>
    <w:rsid w:val="6C8D2CA2"/>
    <w:rsid w:val="6C903ECD"/>
    <w:rsid w:val="6C9500C9"/>
    <w:rsid w:val="6C9779EC"/>
    <w:rsid w:val="6C9D744C"/>
    <w:rsid w:val="6CB1082D"/>
    <w:rsid w:val="6CB340FA"/>
    <w:rsid w:val="6CD25AE5"/>
    <w:rsid w:val="6D167928"/>
    <w:rsid w:val="6D214CEE"/>
    <w:rsid w:val="6D26299B"/>
    <w:rsid w:val="6D29520A"/>
    <w:rsid w:val="6D4772EC"/>
    <w:rsid w:val="6D4F011E"/>
    <w:rsid w:val="6D513FF0"/>
    <w:rsid w:val="6D611D5A"/>
    <w:rsid w:val="6D7FCBBB"/>
    <w:rsid w:val="6D817608"/>
    <w:rsid w:val="6D821096"/>
    <w:rsid w:val="6D9078AF"/>
    <w:rsid w:val="6DAA3FEF"/>
    <w:rsid w:val="6DC0172B"/>
    <w:rsid w:val="6DCB690C"/>
    <w:rsid w:val="6DD41A5B"/>
    <w:rsid w:val="6DDFF4A4"/>
    <w:rsid w:val="6DE304D5"/>
    <w:rsid w:val="6DF43C2E"/>
    <w:rsid w:val="6DF51CA3"/>
    <w:rsid w:val="6E03794A"/>
    <w:rsid w:val="6E347DFE"/>
    <w:rsid w:val="6E8335BD"/>
    <w:rsid w:val="6E8E12EF"/>
    <w:rsid w:val="6E972936"/>
    <w:rsid w:val="6EA91C0A"/>
    <w:rsid w:val="6EB15EB4"/>
    <w:rsid w:val="6EBA7EA4"/>
    <w:rsid w:val="6EC07194"/>
    <w:rsid w:val="6ED446C5"/>
    <w:rsid w:val="6EE42901"/>
    <w:rsid w:val="6EF72976"/>
    <w:rsid w:val="6EFFA6FA"/>
    <w:rsid w:val="6F046D6B"/>
    <w:rsid w:val="6F265009"/>
    <w:rsid w:val="6F2A7D94"/>
    <w:rsid w:val="6F3547A0"/>
    <w:rsid w:val="6F4D0566"/>
    <w:rsid w:val="6F4E7A25"/>
    <w:rsid w:val="6F653D83"/>
    <w:rsid w:val="6F654F0C"/>
    <w:rsid w:val="6F742218"/>
    <w:rsid w:val="6F82594E"/>
    <w:rsid w:val="6F8331F1"/>
    <w:rsid w:val="6F892271"/>
    <w:rsid w:val="6FA74989"/>
    <w:rsid w:val="6FAE1A09"/>
    <w:rsid w:val="6FAF3250"/>
    <w:rsid w:val="6FD75BF8"/>
    <w:rsid w:val="6FE169D2"/>
    <w:rsid w:val="6FEF3738"/>
    <w:rsid w:val="7006548B"/>
    <w:rsid w:val="70187BB5"/>
    <w:rsid w:val="701A2DBF"/>
    <w:rsid w:val="70262765"/>
    <w:rsid w:val="70316AFC"/>
    <w:rsid w:val="70416651"/>
    <w:rsid w:val="70474316"/>
    <w:rsid w:val="704E4817"/>
    <w:rsid w:val="70553DF8"/>
    <w:rsid w:val="707621C5"/>
    <w:rsid w:val="707723D0"/>
    <w:rsid w:val="70982851"/>
    <w:rsid w:val="70986332"/>
    <w:rsid w:val="70C355DB"/>
    <w:rsid w:val="70CE2A2E"/>
    <w:rsid w:val="70E84C6C"/>
    <w:rsid w:val="70F12FAE"/>
    <w:rsid w:val="70F5661B"/>
    <w:rsid w:val="71023D91"/>
    <w:rsid w:val="71360107"/>
    <w:rsid w:val="71374830"/>
    <w:rsid w:val="713B688E"/>
    <w:rsid w:val="7151566D"/>
    <w:rsid w:val="715C7408"/>
    <w:rsid w:val="715F301C"/>
    <w:rsid w:val="719554A2"/>
    <w:rsid w:val="71BA525D"/>
    <w:rsid w:val="71BE506E"/>
    <w:rsid w:val="71C5587B"/>
    <w:rsid w:val="71D43752"/>
    <w:rsid w:val="71D630C6"/>
    <w:rsid w:val="71DE0417"/>
    <w:rsid w:val="71ED142D"/>
    <w:rsid w:val="71F1796A"/>
    <w:rsid w:val="71FF69B2"/>
    <w:rsid w:val="72130BA5"/>
    <w:rsid w:val="72154626"/>
    <w:rsid w:val="72262B5D"/>
    <w:rsid w:val="72283FF7"/>
    <w:rsid w:val="722E7212"/>
    <w:rsid w:val="72352D72"/>
    <w:rsid w:val="723A0474"/>
    <w:rsid w:val="724C122A"/>
    <w:rsid w:val="725320E2"/>
    <w:rsid w:val="7257211E"/>
    <w:rsid w:val="725923E4"/>
    <w:rsid w:val="725A1877"/>
    <w:rsid w:val="72864BF7"/>
    <w:rsid w:val="728743F3"/>
    <w:rsid w:val="729023FC"/>
    <w:rsid w:val="72A96299"/>
    <w:rsid w:val="72C47013"/>
    <w:rsid w:val="72D04E31"/>
    <w:rsid w:val="73151992"/>
    <w:rsid w:val="73352235"/>
    <w:rsid w:val="73401EB8"/>
    <w:rsid w:val="73610607"/>
    <w:rsid w:val="73813156"/>
    <w:rsid w:val="738B2556"/>
    <w:rsid w:val="738E4022"/>
    <w:rsid w:val="739C5231"/>
    <w:rsid w:val="73A220AE"/>
    <w:rsid w:val="73C0646E"/>
    <w:rsid w:val="73CF3445"/>
    <w:rsid w:val="73DC25EE"/>
    <w:rsid w:val="73E0166E"/>
    <w:rsid w:val="740A7C72"/>
    <w:rsid w:val="741A2067"/>
    <w:rsid w:val="742222F5"/>
    <w:rsid w:val="7439776D"/>
    <w:rsid w:val="74447F3F"/>
    <w:rsid w:val="74476126"/>
    <w:rsid w:val="74706664"/>
    <w:rsid w:val="747F3682"/>
    <w:rsid w:val="749C4185"/>
    <w:rsid w:val="74C836FB"/>
    <w:rsid w:val="74CE23CA"/>
    <w:rsid w:val="74E1597B"/>
    <w:rsid w:val="74F3598D"/>
    <w:rsid w:val="75067759"/>
    <w:rsid w:val="750E27C7"/>
    <w:rsid w:val="750F1273"/>
    <w:rsid w:val="752E6DCD"/>
    <w:rsid w:val="7551380D"/>
    <w:rsid w:val="75556CB2"/>
    <w:rsid w:val="75600BE5"/>
    <w:rsid w:val="7564475C"/>
    <w:rsid w:val="756F07B9"/>
    <w:rsid w:val="75742F72"/>
    <w:rsid w:val="757F79BC"/>
    <w:rsid w:val="7583797F"/>
    <w:rsid w:val="758B5A35"/>
    <w:rsid w:val="758E1345"/>
    <w:rsid w:val="75AB00CE"/>
    <w:rsid w:val="75BD19C2"/>
    <w:rsid w:val="75D20F1D"/>
    <w:rsid w:val="75D699B9"/>
    <w:rsid w:val="75DA2C18"/>
    <w:rsid w:val="75F54412"/>
    <w:rsid w:val="7602540F"/>
    <w:rsid w:val="761D08E0"/>
    <w:rsid w:val="762E372E"/>
    <w:rsid w:val="763237C3"/>
    <w:rsid w:val="76402E54"/>
    <w:rsid w:val="765D29D6"/>
    <w:rsid w:val="765D347C"/>
    <w:rsid w:val="7661256E"/>
    <w:rsid w:val="76620885"/>
    <w:rsid w:val="76817959"/>
    <w:rsid w:val="76826699"/>
    <w:rsid w:val="76BB072D"/>
    <w:rsid w:val="76C87133"/>
    <w:rsid w:val="76CB02BC"/>
    <w:rsid w:val="76CD08D5"/>
    <w:rsid w:val="76DB4B92"/>
    <w:rsid w:val="76E0513C"/>
    <w:rsid w:val="76EE05AE"/>
    <w:rsid w:val="76F940B5"/>
    <w:rsid w:val="77052AA4"/>
    <w:rsid w:val="77136511"/>
    <w:rsid w:val="77340A39"/>
    <w:rsid w:val="77351FD0"/>
    <w:rsid w:val="773A81D5"/>
    <w:rsid w:val="773E7AF4"/>
    <w:rsid w:val="77472422"/>
    <w:rsid w:val="777B32BF"/>
    <w:rsid w:val="777F31F2"/>
    <w:rsid w:val="778D6084"/>
    <w:rsid w:val="77A23B52"/>
    <w:rsid w:val="77BA10A6"/>
    <w:rsid w:val="77D1700D"/>
    <w:rsid w:val="77EC04CC"/>
    <w:rsid w:val="77ED700C"/>
    <w:rsid w:val="77EE9D35"/>
    <w:rsid w:val="77FB56E4"/>
    <w:rsid w:val="78002763"/>
    <w:rsid w:val="78144439"/>
    <w:rsid w:val="781F0E64"/>
    <w:rsid w:val="782E6CA4"/>
    <w:rsid w:val="785E6684"/>
    <w:rsid w:val="78600B26"/>
    <w:rsid w:val="78775729"/>
    <w:rsid w:val="78A42DB0"/>
    <w:rsid w:val="78A656AB"/>
    <w:rsid w:val="78B2245C"/>
    <w:rsid w:val="78B944EA"/>
    <w:rsid w:val="78CF6711"/>
    <w:rsid w:val="78E172CC"/>
    <w:rsid w:val="78EA1D1F"/>
    <w:rsid w:val="79014D6A"/>
    <w:rsid w:val="7904172F"/>
    <w:rsid w:val="790F7E27"/>
    <w:rsid w:val="791660EE"/>
    <w:rsid w:val="792A231A"/>
    <w:rsid w:val="79316829"/>
    <w:rsid w:val="79557D8F"/>
    <w:rsid w:val="796A0496"/>
    <w:rsid w:val="797E66A9"/>
    <w:rsid w:val="798F0C50"/>
    <w:rsid w:val="79916C08"/>
    <w:rsid w:val="79A54571"/>
    <w:rsid w:val="79A97383"/>
    <w:rsid w:val="79B670DE"/>
    <w:rsid w:val="79D700C9"/>
    <w:rsid w:val="79DD5076"/>
    <w:rsid w:val="79E27E8B"/>
    <w:rsid w:val="79E55F23"/>
    <w:rsid w:val="79F50F6F"/>
    <w:rsid w:val="79F60E94"/>
    <w:rsid w:val="79F850CE"/>
    <w:rsid w:val="79F9CDD1"/>
    <w:rsid w:val="79FD2E0A"/>
    <w:rsid w:val="79FD443C"/>
    <w:rsid w:val="7A031D70"/>
    <w:rsid w:val="7A1D1975"/>
    <w:rsid w:val="7A226A18"/>
    <w:rsid w:val="7A3E5150"/>
    <w:rsid w:val="7A4670D6"/>
    <w:rsid w:val="7A4A3BC0"/>
    <w:rsid w:val="7A534B63"/>
    <w:rsid w:val="7A615382"/>
    <w:rsid w:val="7A657E85"/>
    <w:rsid w:val="7A67303B"/>
    <w:rsid w:val="7AA61D6E"/>
    <w:rsid w:val="7AAB1D04"/>
    <w:rsid w:val="7AAE29CF"/>
    <w:rsid w:val="7ABA4368"/>
    <w:rsid w:val="7ACA02E8"/>
    <w:rsid w:val="7AD05746"/>
    <w:rsid w:val="7ADD5383"/>
    <w:rsid w:val="7AEF5B98"/>
    <w:rsid w:val="7B257FFD"/>
    <w:rsid w:val="7B2A3ECA"/>
    <w:rsid w:val="7B343476"/>
    <w:rsid w:val="7B3870A9"/>
    <w:rsid w:val="7B3A2568"/>
    <w:rsid w:val="7B3BAA8A"/>
    <w:rsid w:val="7B5A2978"/>
    <w:rsid w:val="7B5A7E4C"/>
    <w:rsid w:val="7B5B42B3"/>
    <w:rsid w:val="7B667AF9"/>
    <w:rsid w:val="7B6E62BE"/>
    <w:rsid w:val="7B7468F8"/>
    <w:rsid w:val="7B7C1C9C"/>
    <w:rsid w:val="7B7F5B22"/>
    <w:rsid w:val="7B9934BC"/>
    <w:rsid w:val="7BA06143"/>
    <w:rsid w:val="7BBCBFF7"/>
    <w:rsid w:val="7BEE0103"/>
    <w:rsid w:val="7BF7BA00"/>
    <w:rsid w:val="7C0A0FE4"/>
    <w:rsid w:val="7C19147F"/>
    <w:rsid w:val="7C1E057E"/>
    <w:rsid w:val="7C254906"/>
    <w:rsid w:val="7C582096"/>
    <w:rsid w:val="7C590818"/>
    <w:rsid w:val="7C7C10F6"/>
    <w:rsid w:val="7C853BEA"/>
    <w:rsid w:val="7C881368"/>
    <w:rsid w:val="7CCC4E2E"/>
    <w:rsid w:val="7CDB38D7"/>
    <w:rsid w:val="7CE27788"/>
    <w:rsid w:val="7CF433EE"/>
    <w:rsid w:val="7D0C32F1"/>
    <w:rsid w:val="7D0F408D"/>
    <w:rsid w:val="7D491C6C"/>
    <w:rsid w:val="7D4E2F8F"/>
    <w:rsid w:val="7D511DEB"/>
    <w:rsid w:val="7D5429C0"/>
    <w:rsid w:val="7D6E6D43"/>
    <w:rsid w:val="7D777879"/>
    <w:rsid w:val="7DB57A34"/>
    <w:rsid w:val="7DBD0B2D"/>
    <w:rsid w:val="7DC16401"/>
    <w:rsid w:val="7DE60973"/>
    <w:rsid w:val="7DEA2D0D"/>
    <w:rsid w:val="7DEF0916"/>
    <w:rsid w:val="7E1E5218"/>
    <w:rsid w:val="7E5F0CEE"/>
    <w:rsid w:val="7E847E0F"/>
    <w:rsid w:val="7E9A4E1F"/>
    <w:rsid w:val="7EA7723A"/>
    <w:rsid w:val="7EAB5022"/>
    <w:rsid w:val="7EE739BB"/>
    <w:rsid w:val="7EF56FBB"/>
    <w:rsid w:val="7EFE2E81"/>
    <w:rsid w:val="7F01339C"/>
    <w:rsid w:val="7F0768EB"/>
    <w:rsid w:val="7F143BEC"/>
    <w:rsid w:val="7F2C7006"/>
    <w:rsid w:val="7F472479"/>
    <w:rsid w:val="7F47362C"/>
    <w:rsid w:val="7F715AF2"/>
    <w:rsid w:val="7F856010"/>
    <w:rsid w:val="7F886E69"/>
    <w:rsid w:val="7F9F4761"/>
    <w:rsid w:val="7FA04967"/>
    <w:rsid w:val="7FAA22BA"/>
    <w:rsid w:val="7FAFDE5E"/>
    <w:rsid w:val="7FB01EA8"/>
    <w:rsid w:val="7FBE1B41"/>
    <w:rsid w:val="7FC12304"/>
    <w:rsid w:val="7FC94EFB"/>
    <w:rsid w:val="7FDD39BD"/>
    <w:rsid w:val="7FE57814"/>
    <w:rsid w:val="8E8E3F9E"/>
    <w:rsid w:val="9B379D21"/>
    <w:rsid w:val="9CD7AF0D"/>
    <w:rsid w:val="9FAC2ABA"/>
    <w:rsid w:val="9FF70969"/>
    <w:rsid w:val="ACEF748E"/>
    <w:rsid w:val="AFFF6D0B"/>
    <w:rsid w:val="B37B784C"/>
    <w:rsid w:val="BB7FA927"/>
    <w:rsid w:val="BD7F1C15"/>
    <w:rsid w:val="BDF3E488"/>
    <w:rsid w:val="CEF48C36"/>
    <w:rsid w:val="CFFC56BB"/>
    <w:rsid w:val="D7F0A3C4"/>
    <w:rsid w:val="DFF647FB"/>
    <w:rsid w:val="E13F7FAA"/>
    <w:rsid w:val="F37D11C3"/>
    <w:rsid w:val="F58F1A04"/>
    <w:rsid w:val="F5FFD31F"/>
    <w:rsid w:val="F7FF7593"/>
    <w:rsid w:val="FDFB95D2"/>
    <w:rsid w:val="FEDF3713"/>
    <w:rsid w:val="FEFCFF6E"/>
    <w:rsid w:val="FF7F285C"/>
    <w:rsid w:val="FF7F8693"/>
    <w:rsid w:val="FFBD61BA"/>
    <w:rsid w:val="FFDDCB97"/>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3">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5"/>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next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2"/>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3"/>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77120</Words>
  <Characters>85476</Characters>
  <Lines>524</Lines>
  <Paragraphs>147</Paragraphs>
  <TotalTime>0</TotalTime>
  <ScaleCrop>false</ScaleCrop>
  <LinksUpToDate>false</LinksUpToDate>
  <CharactersWithSpaces>90543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2024-09-22T06:26:00Z</dcterms:created>
  <dc:creator>56283</dc:creator>
  <cp:lastModifiedBy>盈盈</cp:lastModifiedBy>
  <cp:lastPrinted>2022-01-01T03:06:00Z</cp:lastPrinted>
  <dcterms:modified xsi:type="dcterms:W3CDTF">2024-09-29T07:31:27Z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FCECBB7323434A47B1E98A51BFEAB283_13</vt:lpwstr>
  </property>
</Properties>
</file>