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A02DD">
      <w:pPr>
        <w:spacing w:line="360" w:lineRule="auto"/>
        <w:jc w:val="center"/>
        <w:rPr>
          <w:rFonts w:hint="eastAsia" w:ascii="宋体" w:hAnsi="宋体" w:cs="宋体"/>
          <w:b/>
          <w:color w:val="auto"/>
          <w:szCs w:val="21"/>
          <w:highlight w:val="none"/>
        </w:rPr>
      </w:pPr>
    </w:p>
    <w:p w14:paraId="20A51DE3">
      <w:pPr>
        <w:spacing w:line="360" w:lineRule="auto"/>
        <w:jc w:val="center"/>
        <w:rPr>
          <w:rFonts w:hint="eastAsia" w:ascii="宋体" w:hAnsi="宋体" w:cs="宋体"/>
          <w:b/>
          <w:color w:val="auto"/>
          <w:szCs w:val="21"/>
          <w:highlight w:val="none"/>
        </w:rPr>
      </w:pPr>
    </w:p>
    <w:p w14:paraId="4A417B7D">
      <w:pPr>
        <w:adjustRightInd/>
        <w:spacing w:line="360" w:lineRule="auto"/>
        <w:jc w:val="center"/>
        <w:rPr>
          <w:rFonts w:hint="eastAsia" w:ascii="宋体" w:hAnsi="宋体" w:cs="宋体"/>
          <w:b/>
          <w:bCs/>
          <w:color w:val="auto"/>
          <w:szCs w:val="21"/>
          <w:highlight w:val="none"/>
        </w:rPr>
      </w:pPr>
    </w:p>
    <w:p w14:paraId="666264E7">
      <w:pPr>
        <w:adjustRightInd/>
        <w:spacing w:line="360" w:lineRule="auto"/>
        <w:jc w:val="center"/>
        <w:rPr>
          <w:rFonts w:hint="eastAsia" w:ascii="宋体" w:hAnsi="宋体" w:cs="宋体"/>
          <w:b/>
          <w:bCs/>
          <w:color w:val="auto"/>
          <w:spacing w:val="-17"/>
          <w:sz w:val="52"/>
          <w:szCs w:val="52"/>
          <w:highlight w:val="none"/>
        </w:rPr>
      </w:pPr>
      <w:r>
        <w:rPr>
          <w:rFonts w:hint="eastAsia" w:ascii="宋体" w:hAnsi="宋体" w:cs="宋体"/>
          <w:b/>
          <w:bCs/>
          <w:color w:val="auto"/>
          <w:spacing w:val="-17"/>
          <w:sz w:val="52"/>
          <w:szCs w:val="52"/>
          <w:highlight w:val="none"/>
        </w:rPr>
        <w:t>余杭区政务云平台项目</w:t>
      </w:r>
    </w:p>
    <w:p w14:paraId="185C1E15">
      <w:pPr>
        <w:adjustRightInd/>
        <w:spacing w:line="360" w:lineRule="auto"/>
        <w:jc w:val="center"/>
        <w:rPr>
          <w:rFonts w:hint="eastAsia" w:ascii="宋体" w:hAnsi="宋体" w:cs="宋体"/>
          <w:b/>
          <w:bCs/>
          <w:color w:val="auto"/>
          <w:szCs w:val="21"/>
          <w:highlight w:val="none"/>
        </w:rPr>
      </w:pPr>
    </w:p>
    <w:p w14:paraId="56BF3BE2">
      <w:pPr>
        <w:adjustRightInd/>
        <w:spacing w:line="360" w:lineRule="auto"/>
        <w:jc w:val="center"/>
        <w:rPr>
          <w:rFonts w:hint="eastAsia" w:ascii="宋体" w:hAnsi="宋体" w:cs="宋体"/>
          <w:b/>
          <w:bCs/>
          <w:color w:val="auto"/>
          <w:szCs w:val="21"/>
          <w:highlight w:val="none"/>
        </w:rPr>
      </w:pPr>
    </w:p>
    <w:p w14:paraId="1E7663F6">
      <w:pPr>
        <w:adjustRightInd/>
        <w:spacing w:line="360" w:lineRule="auto"/>
        <w:jc w:val="center"/>
        <w:rPr>
          <w:rFonts w:hint="eastAsia" w:ascii="宋体" w:hAnsi="宋体" w:cs="宋体"/>
          <w:b/>
          <w:bCs/>
          <w:color w:val="auto"/>
          <w:sz w:val="84"/>
          <w:szCs w:val="84"/>
          <w:highlight w:val="none"/>
        </w:rPr>
      </w:pPr>
      <w:r>
        <w:rPr>
          <w:rFonts w:hint="eastAsia" w:ascii="宋体" w:hAnsi="宋体" w:cs="宋体"/>
          <w:b/>
          <w:bCs/>
          <w:color w:val="auto"/>
          <w:sz w:val="84"/>
          <w:szCs w:val="84"/>
          <w:highlight w:val="none"/>
        </w:rPr>
        <w:t>招标文件</w:t>
      </w:r>
    </w:p>
    <w:p w14:paraId="6245A5E0">
      <w:pPr>
        <w:adjustRightInd/>
        <w:spacing w:line="360" w:lineRule="auto"/>
        <w:jc w:val="center"/>
        <w:rPr>
          <w:rFonts w:cs="Calibri"/>
          <w:color w:val="auto"/>
          <w:szCs w:val="21"/>
          <w:highlight w:val="none"/>
        </w:rPr>
      </w:pPr>
      <w:r>
        <w:rPr>
          <w:rFonts w:cs="Calibri"/>
          <w:color w:val="auto"/>
          <w:szCs w:val="21"/>
          <w:highlight w:val="none"/>
        </w:rPr>
        <w:drawing>
          <wp:inline distT="0" distB="0" distL="114300" distR="114300">
            <wp:extent cx="2303780" cy="17907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cstate="print"/>
                    <a:stretch>
                      <a:fillRect/>
                    </a:stretch>
                  </pic:blipFill>
                  <pic:spPr>
                    <a:xfrm>
                      <a:off x="0" y="0"/>
                      <a:ext cx="2303780" cy="1790700"/>
                    </a:xfrm>
                    <a:prstGeom prst="rect">
                      <a:avLst/>
                    </a:prstGeom>
                    <a:noFill/>
                    <a:ln w="9525">
                      <a:noFill/>
                    </a:ln>
                  </pic:spPr>
                </pic:pic>
              </a:graphicData>
            </a:graphic>
          </wp:inline>
        </w:drawing>
      </w:r>
    </w:p>
    <w:p w14:paraId="4E2BF0A6">
      <w:pPr>
        <w:spacing w:line="360" w:lineRule="auto"/>
        <w:rPr>
          <w:color w:val="auto"/>
          <w:sz w:val="44"/>
          <w:szCs w:val="44"/>
          <w:highlight w:val="none"/>
        </w:rPr>
      </w:pPr>
    </w:p>
    <w:p w14:paraId="1CCC3D0F">
      <w:pPr>
        <w:adjustRightInd/>
        <w:spacing w:line="360" w:lineRule="auto"/>
        <w:jc w:val="center"/>
        <w:rPr>
          <w:rFonts w:hint="eastAsia" w:ascii="宋体" w:hAnsi="宋体" w:cs="宋体"/>
          <w:b/>
          <w:color w:val="auto"/>
          <w:szCs w:val="21"/>
          <w:highlight w:val="none"/>
        </w:rPr>
      </w:pPr>
      <w:r>
        <w:rPr>
          <w:rFonts w:hint="eastAsia" w:ascii="宋体" w:hAnsi="宋体" w:cs="宋体"/>
          <w:b/>
          <w:color w:val="auto"/>
          <w:sz w:val="44"/>
          <w:szCs w:val="44"/>
          <w:highlight w:val="none"/>
        </w:rPr>
        <w:t>（电子招投标）</w:t>
      </w:r>
    </w:p>
    <w:p w14:paraId="2E4C571B">
      <w:pPr>
        <w:snapToGrid w:val="0"/>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：CTZB-2024120045</w:t>
      </w:r>
    </w:p>
    <w:p w14:paraId="12C41452">
      <w:pPr>
        <w:adjustRightInd/>
        <w:spacing w:line="360" w:lineRule="auto"/>
        <w:rPr>
          <w:rFonts w:hint="eastAsia" w:ascii="宋体" w:hAnsi="宋体" w:cs="宋体"/>
          <w:b/>
          <w:bCs/>
          <w:color w:val="auto"/>
          <w:szCs w:val="21"/>
          <w:highlight w:val="none"/>
        </w:rPr>
      </w:pPr>
    </w:p>
    <w:p w14:paraId="6039E75B">
      <w:pPr>
        <w:spacing w:line="360" w:lineRule="auto"/>
        <w:rPr>
          <w:rFonts w:hint="eastAsia" w:ascii="宋体" w:hAnsi="宋体" w:cs="宋体"/>
          <w:b/>
          <w:bCs/>
          <w:color w:val="auto"/>
          <w:szCs w:val="21"/>
          <w:highlight w:val="none"/>
        </w:rPr>
      </w:pPr>
    </w:p>
    <w:p w14:paraId="7F558650">
      <w:pPr>
        <w:spacing w:line="360" w:lineRule="auto"/>
        <w:rPr>
          <w:color w:val="auto"/>
          <w:szCs w:val="21"/>
          <w:highlight w:val="none"/>
        </w:rPr>
      </w:pPr>
    </w:p>
    <w:p w14:paraId="217877BD">
      <w:pPr>
        <w:spacing w:line="360" w:lineRule="auto"/>
        <w:rPr>
          <w:color w:val="auto"/>
          <w:szCs w:val="21"/>
          <w:highlight w:val="none"/>
        </w:rPr>
      </w:pPr>
    </w:p>
    <w:p w14:paraId="5F1BC28E">
      <w:pPr>
        <w:snapToGrid w:val="0"/>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杭州市余杭区数据资源管理局</w:t>
      </w:r>
    </w:p>
    <w:p w14:paraId="0B13A528">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浙江省成套招标代理有限公司</w:t>
      </w:r>
    </w:p>
    <w:p w14:paraId="007C8FAB">
      <w:pPr>
        <w:spacing w:line="360" w:lineRule="auto"/>
        <w:rPr>
          <w:color w:val="auto"/>
          <w:sz w:val="32"/>
          <w:szCs w:val="32"/>
          <w:highlight w:val="none"/>
        </w:rPr>
      </w:pPr>
    </w:p>
    <w:p w14:paraId="5A1B3AD9">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二〇二四年十二月</w:t>
      </w:r>
    </w:p>
    <w:p w14:paraId="012DF43F">
      <w:pPr>
        <w:spacing w:line="360" w:lineRule="auto"/>
        <w:jc w:val="center"/>
        <w:rPr>
          <w:rFonts w:hint="eastAsia" w:ascii="宋体" w:hAnsi="宋体" w:cs="宋体"/>
          <w:color w:val="auto"/>
          <w:szCs w:val="21"/>
          <w:highlight w:val="none"/>
        </w:rPr>
        <w:sectPr>
          <w:headerReference r:id="rId4" w:type="first"/>
          <w:headerReference r:id="rId3" w:type="default"/>
          <w:footerReference r:id="rId5" w:type="even"/>
          <w:pgSz w:w="11906" w:h="16838"/>
          <w:pgMar w:top="680" w:right="1418" w:bottom="468" w:left="1418" w:header="851" w:footer="992" w:gutter="0"/>
          <w:cols w:space="720" w:num="1"/>
          <w:docGrid w:linePitch="312" w:charSpace="0"/>
        </w:sectPr>
      </w:pPr>
    </w:p>
    <w:p w14:paraId="2B9EC7C6">
      <w:pPr>
        <w:spacing w:line="360" w:lineRule="auto"/>
        <w:rPr>
          <w:color w:val="auto"/>
          <w:szCs w:val="21"/>
          <w:highlight w:val="none"/>
        </w:rPr>
      </w:pPr>
      <w:bookmarkStart w:id="0" w:name="_Toc3116"/>
    </w:p>
    <w:p w14:paraId="7AD96C91">
      <w:pPr>
        <w:pStyle w:val="2"/>
        <w:rPr>
          <w:rFonts w:hint="eastAsia" w:ascii="宋体" w:hAnsi="宋体" w:cs="宋体"/>
          <w:color w:val="auto"/>
          <w:sz w:val="30"/>
          <w:szCs w:val="30"/>
          <w:highlight w:val="none"/>
        </w:rPr>
      </w:pPr>
      <w:bookmarkStart w:id="1" w:name="_Toc28848"/>
      <w:bookmarkStart w:id="2" w:name="_Toc8682"/>
      <w:r>
        <w:rPr>
          <w:rFonts w:hint="eastAsia" w:ascii="宋体" w:hAnsi="宋体" w:cs="宋体"/>
          <w:color w:val="auto"/>
          <w:sz w:val="30"/>
          <w:szCs w:val="30"/>
          <w:highlight w:val="none"/>
        </w:rPr>
        <w:t>目  录</w:t>
      </w:r>
      <w:bookmarkEnd w:id="0"/>
      <w:bookmarkEnd w:id="1"/>
      <w:bookmarkEnd w:id="2"/>
    </w:p>
    <w:sdt>
      <w:sdtPr>
        <w:rPr>
          <w:rFonts w:ascii="宋体" w:hAnsi="宋体"/>
          <w:color w:val="auto"/>
          <w:szCs w:val="21"/>
          <w:highlight w:val="none"/>
        </w:rPr>
        <w:id w:val="147476306"/>
        <w15:color w:val="DBDBDB"/>
        <w:docPartObj>
          <w:docPartGallery w:val="Table of Contents"/>
          <w:docPartUnique/>
        </w:docPartObj>
      </w:sdtPr>
      <w:sdtEndPr>
        <w:rPr>
          <w:rFonts w:hint="eastAsia" w:ascii="宋体" w:hAnsi="宋体" w:cs="宋体"/>
          <w:b/>
          <w:bCs/>
          <w:color w:val="auto"/>
          <w:szCs w:val="21"/>
          <w:highlight w:val="none"/>
        </w:rPr>
      </w:sdtEndPr>
      <w:sdtContent>
        <w:p w14:paraId="019A4DD5">
          <w:pPr>
            <w:spacing w:line="360" w:lineRule="auto"/>
            <w:jc w:val="center"/>
            <w:rPr>
              <w:color w:val="auto"/>
              <w:szCs w:val="21"/>
              <w:highlight w:val="none"/>
            </w:rPr>
          </w:pPr>
        </w:p>
        <w:p w14:paraId="1B270DBA">
          <w:pPr>
            <w:pStyle w:val="42"/>
            <w:tabs>
              <w:tab w:val="right" w:leader="dot" w:pos="9070"/>
            </w:tabs>
            <w:spacing w:line="360" w:lineRule="auto"/>
            <w:rPr>
              <w:color w:val="auto"/>
              <w:sz w:val="24"/>
              <w:highlight w:val="none"/>
            </w:rPr>
          </w:pPr>
          <w:r>
            <w:rPr>
              <w:rFonts w:hint="eastAsia" w:ascii="宋体" w:hAnsi="宋体" w:cs="宋体"/>
              <w:b/>
              <w:bCs/>
              <w:color w:val="auto"/>
              <w:szCs w:val="21"/>
              <w:highlight w:val="none"/>
            </w:rPr>
            <w:fldChar w:fldCharType="begin"/>
          </w:r>
          <w:r>
            <w:rPr>
              <w:rFonts w:hint="eastAsia" w:ascii="宋体" w:hAnsi="宋体" w:cs="宋体"/>
              <w:b/>
              <w:bCs/>
              <w:color w:val="auto"/>
              <w:szCs w:val="21"/>
              <w:highlight w:val="none"/>
            </w:rPr>
            <w:instrText xml:space="preserve">TOC \o "1-1" \h \u </w:instrText>
          </w:r>
          <w:r>
            <w:rPr>
              <w:rFonts w:hint="eastAsia" w:ascii="宋体" w:hAnsi="宋体" w:cs="宋体"/>
              <w:b/>
              <w:bCs/>
              <w:color w:val="auto"/>
              <w:szCs w:val="21"/>
              <w:highlight w:val="none"/>
            </w:rPr>
            <w:fldChar w:fldCharType="separate"/>
          </w:r>
          <w:r>
            <w:rPr>
              <w:color w:val="auto"/>
              <w:highlight w:val="none"/>
            </w:rPr>
            <w:fldChar w:fldCharType="begin"/>
          </w:r>
          <w:r>
            <w:rPr>
              <w:color w:val="auto"/>
              <w:highlight w:val="none"/>
            </w:rPr>
            <w:instrText xml:space="preserve"> HYPERLINK \l "_Toc13063" </w:instrText>
          </w:r>
          <w:r>
            <w:rPr>
              <w:color w:val="auto"/>
              <w:highlight w:val="none"/>
            </w:rPr>
            <w:fldChar w:fldCharType="separate"/>
          </w:r>
          <w:r>
            <w:rPr>
              <w:rFonts w:hint="eastAsia" w:ascii="宋体" w:hAnsi="宋体" w:cs="宋体"/>
              <w:color w:val="auto"/>
              <w:sz w:val="24"/>
              <w:highlight w:val="none"/>
            </w:rPr>
            <w:t>第一部分 招标公告</w:t>
          </w:r>
          <w:r>
            <w:rPr>
              <w:color w:val="auto"/>
              <w:sz w:val="24"/>
              <w:highlight w:val="none"/>
            </w:rPr>
            <w:tab/>
          </w:r>
          <w:r>
            <w:rPr>
              <w:color w:val="auto"/>
              <w:sz w:val="24"/>
              <w:highlight w:val="none"/>
            </w:rPr>
            <w:fldChar w:fldCharType="begin"/>
          </w:r>
          <w:r>
            <w:rPr>
              <w:color w:val="auto"/>
              <w:sz w:val="24"/>
              <w:highlight w:val="none"/>
            </w:rPr>
            <w:instrText xml:space="preserve"> PAGEREF _Toc13063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14:paraId="6568C932">
          <w:pPr>
            <w:pStyle w:val="42"/>
            <w:tabs>
              <w:tab w:val="right" w:leader="dot" w:pos="9070"/>
            </w:tabs>
            <w:spacing w:line="360" w:lineRule="auto"/>
            <w:rPr>
              <w:color w:val="auto"/>
              <w:sz w:val="24"/>
              <w:highlight w:val="none"/>
            </w:rPr>
          </w:pPr>
          <w:r>
            <w:rPr>
              <w:color w:val="auto"/>
              <w:highlight w:val="none"/>
            </w:rPr>
            <w:fldChar w:fldCharType="begin"/>
          </w:r>
          <w:r>
            <w:rPr>
              <w:color w:val="auto"/>
              <w:highlight w:val="none"/>
            </w:rPr>
            <w:instrText xml:space="preserve"> HYPERLINK \l "_Toc3223" </w:instrText>
          </w:r>
          <w:r>
            <w:rPr>
              <w:color w:val="auto"/>
              <w:highlight w:val="none"/>
            </w:rPr>
            <w:fldChar w:fldCharType="separate"/>
          </w:r>
          <w:r>
            <w:rPr>
              <w:rFonts w:hint="eastAsia"/>
              <w:color w:val="auto"/>
              <w:sz w:val="24"/>
              <w:highlight w:val="none"/>
            </w:rPr>
            <w:t>第二部分 投标人须知</w:t>
          </w:r>
          <w:r>
            <w:rPr>
              <w:color w:val="auto"/>
              <w:sz w:val="24"/>
              <w:highlight w:val="none"/>
            </w:rPr>
            <w:tab/>
          </w:r>
          <w:r>
            <w:rPr>
              <w:color w:val="auto"/>
              <w:sz w:val="24"/>
              <w:highlight w:val="none"/>
            </w:rPr>
            <w:fldChar w:fldCharType="begin"/>
          </w:r>
          <w:r>
            <w:rPr>
              <w:color w:val="auto"/>
              <w:sz w:val="24"/>
              <w:highlight w:val="none"/>
            </w:rPr>
            <w:instrText xml:space="preserve"> PAGEREF _Toc3223 \h </w:instrText>
          </w:r>
          <w:r>
            <w:rPr>
              <w:color w:val="auto"/>
              <w:sz w:val="24"/>
              <w:highlight w:val="none"/>
            </w:rPr>
            <w:fldChar w:fldCharType="separate"/>
          </w:r>
          <w:r>
            <w:rPr>
              <w:color w:val="auto"/>
              <w:sz w:val="24"/>
              <w:highlight w:val="none"/>
            </w:rPr>
            <w:t>6</w:t>
          </w:r>
          <w:r>
            <w:rPr>
              <w:color w:val="auto"/>
              <w:sz w:val="24"/>
              <w:highlight w:val="none"/>
            </w:rPr>
            <w:fldChar w:fldCharType="end"/>
          </w:r>
          <w:r>
            <w:rPr>
              <w:color w:val="auto"/>
              <w:sz w:val="24"/>
              <w:highlight w:val="none"/>
            </w:rPr>
            <w:fldChar w:fldCharType="end"/>
          </w:r>
        </w:p>
        <w:p w14:paraId="48B110FF">
          <w:pPr>
            <w:pStyle w:val="42"/>
            <w:tabs>
              <w:tab w:val="right" w:leader="dot" w:pos="9070"/>
            </w:tabs>
            <w:spacing w:line="360" w:lineRule="auto"/>
            <w:rPr>
              <w:color w:val="auto"/>
              <w:sz w:val="24"/>
              <w:highlight w:val="none"/>
            </w:rPr>
          </w:pPr>
          <w:r>
            <w:rPr>
              <w:color w:val="auto"/>
              <w:highlight w:val="none"/>
            </w:rPr>
            <w:fldChar w:fldCharType="begin"/>
          </w:r>
          <w:r>
            <w:rPr>
              <w:color w:val="auto"/>
              <w:highlight w:val="none"/>
            </w:rPr>
            <w:instrText xml:space="preserve"> HYPERLINK \l "_Toc16290" </w:instrText>
          </w:r>
          <w:r>
            <w:rPr>
              <w:color w:val="auto"/>
              <w:highlight w:val="none"/>
            </w:rPr>
            <w:fldChar w:fldCharType="separate"/>
          </w:r>
          <w:r>
            <w:rPr>
              <w:rFonts w:hint="eastAsia"/>
              <w:color w:val="auto"/>
              <w:sz w:val="24"/>
              <w:highlight w:val="none"/>
            </w:rPr>
            <w:t>第三部分 采购需求</w:t>
          </w:r>
          <w:r>
            <w:rPr>
              <w:color w:val="auto"/>
              <w:sz w:val="24"/>
              <w:highlight w:val="none"/>
            </w:rPr>
            <w:tab/>
          </w:r>
          <w:r>
            <w:rPr>
              <w:color w:val="auto"/>
              <w:sz w:val="24"/>
              <w:highlight w:val="none"/>
            </w:rPr>
            <w:fldChar w:fldCharType="begin"/>
          </w:r>
          <w:r>
            <w:rPr>
              <w:color w:val="auto"/>
              <w:sz w:val="24"/>
              <w:highlight w:val="none"/>
            </w:rPr>
            <w:instrText xml:space="preserve"> PAGEREF _Toc16290 \h </w:instrText>
          </w:r>
          <w:r>
            <w:rPr>
              <w:color w:val="auto"/>
              <w:sz w:val="24"/>
              <w:highlight w:val="none"/>
            </w:rPr>
            <w:fldChar w:fldCharType="separate"/>
          </w:r>
          <w:r>
            <w:rPr>
              <w:color w:val="auto"/>
              <w:sz w:val="24"/>
              <w:highlight w:val="none"/>
            </w:rPr>
            <w:t>20</w:t>
          </w:r>
          <w:r>
            <w:rPr>
              <w:color w:val="auto"/>
              <w:sz w:val="24"/>
              <w:highlight w:val="none"/>
            </w:rPr>
            <w:fldChar w:fldCharType="end"/>
          </w:r>
          <w:r>
            <w:rPr>
              <w:color w:val="auto"/>
              <w:sz w:val="24"/>
              <w:highlight w:val="none"/>
            </w:rPr>
            <w:fldChar w:fldCharType="end"/>
          </w:r>
        </w:p>
        <w:p w14:paraId="322CF8A8">
          <w:pPr>
            <w:pStyle w:val="42"/>
            <w:tabs>
              <w:tab w:val="right" w:leader="dot" w:pos="9070"/>
            </w:tabs>
            <w:spacing w:line="360" w:lineRule="auto"/>
            <w:rPr>
              <w:color w:val="auto"/>
              <w:sz w:val="24"/>
              <w:highlight w:val="none"/>
            </w:rPr>
          </w:pPr>
          <w:r>
            <w:rPr>
              <w:color w:val="auto"/>
              <w:highlight w:val="none"/>
            </w:rPr>
            <w:fldChar w:fldCharType="begin"/>
          </w:r>
          <w:r>
            <w:rPr>
              <w:color w:val="auto"/>
              <w:highlight w:val="none"/>
            </w:rPr>
            <w:instrText xml:space="preserve"> HYPERLINK \l "_Toc29694" </w:instrText>
          </w:r>
          <w:r>
            <w:rPr>
              <w:color w:val="auto"/>
              <w:highlight w:val="none"/>
            </w:rPr>
            <w:fldChar w:fldCharType="separate"/>
          </w:r>
          <w:r>
            <w:rPr>
              <w:rFonts w:hint="eastAsia"/>
              <w:color w:val="auto"/>
              <w:sz w:val="24"/>
              <w:highlight w:val="none"/>
            </w:rPr>
            <w:t>第四部分 评标办法</w:t>
          </w:r>
          <w:r>
            <w:rPr>
              <w:color w:val="auto"/>
              <w:sz w:val="24"/>
              <w:highlight w:val="none"/>
            </w:rPr>
            <w:tab/>
          </w:r>
          <w:r>
            <w:rPr>
              <w:color w:val="auto"/>
              <w:sz w:val="24"/>
              <w:highlight w:val="none"/>
            </w:rPr>
            <w:fldChar w:fldCharType="begin"/>
          </w:r>
          <w:r>
            <w:rPr>
              <w:color w:val="auto"/>
              <w:sz w:val="24"/>
              <w:highlight w:val="none"/>
            </w:rPr>
            <w:instrText xml:space="preserve"> PAGEREF _Toc29694 \h </w:instrText>
          </w:r>
          <w:r>
            <w:rPr>
              <w:color w:val="auto"/>
              <w:sz w:val="24"/>
              <w:highlight w:val="none"/>
            </w:rPr>
            <w:fldChar w:fldCharType="separate"/>
          </w:r>
          <w:r>
            <w:rPr>
              <w:color w:val="auto"/>
              <w:sz w:val="24"/>
              <w:highlight w:val="none"/>
            </w:rPr>
            <w:t>68</w:t>
          </w:r>
          <w:r>
            <w:rPr>
              <w:color w:val="auto"/>
              <w:sz w:val="24"/>
              <w:highlight w:val="none"/>
            </w:rPr>
            <w:fldChar w:fldCharType="end"/>
          </w:r>
          <w:r>
            <w:rPr>
              <w:color w:val="auto"/>
              <w:sz w:val="24"/>
              <w:highlight w:val="none"/>
            </w:rPr>
            <w:fldChar w:fldCharType="end"/>
          </w:r>
        </w:p>
        <w:p w14:paraId="64123324">
          <w:pPr>
            <w:pStyle w:val="42"/>
            <w:tabs>
              <w:tab w:val="right" w:leader="dot" w:pos="9070"/>
            </w:tabs>
            <w:spacing w:line="360" w:lineRule="auto"/>
            <w:rPr>
              <w:color w:val="auto"/>
              <w:sz w:val="24"/>
              <w:highlight w:val="none"/>
            </w:rPr>
          </w:pPr>
          <w:r>
            <w:rPr>
              <w:color w:val="auto"/>
              <w:highlight w:val="none"/>
            </w:rPr>
            <w:fldChar w:fldCharType="begin"/>
          </w:r>
          <w:r>
            <w:rPr>
              <w:color w:val="auto"/>
              <w:highlight w:val="none"/>
            </w:rPr>
            <w:instrText xml:space="preserve"> HYPERLINK \l "_Toc2146" </w:instrText>
          </w:r>
          <w:r>
            <w:rPr>
              <w:color w:val="auto"/>
              <w:highlight w:val="none"/>
            </w:rPr>
            <w:fldChar w:fldCharType="separate"/>
          </w:r>
          <w:r>
            <w:rPr>
              <w:rFonts w:hint="eastAsia"/>
              <w:color w:val="auto"/>
              <w:sz w:val="24"/>
              <w:highlight w:val="none"/>
            </w:rPr>
            <w:t>第五部分 拟签订的合同文本</w:t>
          </w:r>
          <w:r>
            <w:rPr>
              <w:color w:val="auto"/>
              <w:sz w:val="24"/>
              <w:highlight w:val="none"/>
            </w:rPr>
            <w:tab/>
          </w:r>
          <w:r>
            <w:rPr>
              <w:color w:val="auto"/>
              <w:sz w:val="24"/>
              <w:highlight w:val="none"/>
            </w:rPr>
            <w:fldChar w:fldCharType="begin"/>
          </w:r>
          <w:r>
            <w:rPr>
              <w:color w:val="auto"/>
              <w:sz w:val="24"/>
              <w:highlight w:val="none"/>
            </w:rPr>
            <w:instrText xml:space="preserve"> PAGEREF _Toc2146 \h </w:instrText>
          </w:r>
          <w:r>
            <w:rPr>
              <w:color w:val="auto"/>
              <w:sz w:val="24"/>
              <w:highlight w:val="none"/>
            </w:rPr>
            <w:fldChar w:fldCharType="separate"/>
          </w:r>
          <w:r>
            <w:rPr>
              <w:color w:val="auto"/>
              <w:sz w:val="24"/>
              <w:highlight w:val="none"/>
            </w:rPr>
            <w:t>77</w:t>
          </w:r>
          <w:r>
            <w:rPr>
              <w:color w:val="auto"/>
              <w:sz w:val="24"/>
              <w:highlight w:val="none"/>
            </w:rPr>
            <w:fldChar w:fldCharType="end"/>
          </w:r>
          <w:r>
            <w:rPr>
              <w:color w:val="auto"/>
              <w:sz w:val="24"/>
              <w:highlight w:val="none"/>
            </w:rPr>
            <w:fldChar w:fldCharType="end"/>
          </w:r>
        </w:p>
        <w:p w14:paraId="3CDEC408">
          <w:pPr>
            <w:pStyle w:val="42"/>
            <w:tabs>
              <w:tab w:val="right" w:leader="dot" w:pos="9070"/>
            </w:tabs>
            <w:spacing w:line="360" w:lineRule="auto"/>
            <w:rPr>
              <w:color w:val="auto"/>
              <w:highlight w:val="none"/>
            </w:rPr>
          </w:pPr>
          <w:r>
            <w:rPr>
              <w:color w:val="auto"/>
              <w:highlight w:val="none"/>
            </w:rPr>
            <w:fldChar w:fldCharType="begin"/>
          </w:r>
          <w:r>
            <w:rPr>
              <w:color w:val="auto"/>
              <w:highlight w:val="none"/>
            </w:rPr>
            <w:instrText xml:space="preserve"> HYPERLINK \l "_Toc24439" </w:instrText>
          </w:r>
          <w:r>
            <w:rPr>
              <w:color w:val="auto"/>
              <w:highlight w:val="none"/>
            </w:rPr>
            <w:fldChar w:fldCharType="separate"/>
          </w:r>
          <w:r>
            <w:rPr>
              <w:rFonts w:hint="eastAsia"/>
              <w:color w:val="auto"/>
              <w:sz w:val="24"/>
              <w:highlight w:val="none"/>
            </w:rPr>
            <w:t>第六部分 应提交的有关格式范例</w:t>
          </w:r>
          <w:r>
            <w:rPr>
              <w:color w:val="auto"/>
              <w:sz w:val="24"/>
              <w:highlight w:val="none"/>
            </w:rPr>
            <w:tab/>
          </w:r>
          <w:r>
            <w:rPr>
              <w:color w:val="auto"/>
              <w:sz w:val="24"/>
              <w:highlight w:val="none"/>
            </w:rPr>
            <w:fldChar w:fldCharType="begin"/>
          </w:r>
          <w:r>
            <w:rPr>
              <w:color w:val="auto"/>
              <w:sz w:val="24"/>
              <w:highlight w:val="none"/>
            </w:rPr>
            <w:instrText xml:space="preserve"> PAGEREF _Toc24439 \h </w:instrText>
          </w:r>
          <w:r>
            <w:rPr>
              <w:color w:val="auto"/>
              <w:sz w:val="24"/>
              <w:highlight w:val="none"/>
            </w:rPr>
            <w:fldChar w:fldCharType="separate"/>
          </w:r>
          <w:r>
            <w:rPr>
              <w:color w:val="auto"/>
              <w:sz w:val="24"/>
              <w:highlight w:val="none"/>
            </w:rPr>
            <w:t>87</w:t>
          </w:r>
          <w:r>
            <w:rPr>
              <w:color w:val="auto"/>
              <w:sz w:val="24"/>
              <w:highlight w:val="none"/>
            </w:rPr>
            <w:fldChar w:fldCharType="end"/>
          </w:r>
          <w:r>
            <w:rPr>
              <w:color w:val="auto"/>
              <w:sz w:val="24"/>
              <w:highlight w:val="none"/>
            </w:rPr>
            <w:fldChar w:fldCharType="end"/>
          </w:r>
        </w:p>
        <w:p w14:paraId="42488AF2">
          <w:pPr>
            <w:spacing w:line="360" w:lineRule="auto"/>
            <w:rPr>
              <w:rFonts w:hint="eastAsia" w:ascii="宋体" w:hAnsi="宋体" w:cs="宋体"/>
              <w:b/>
              <w:bCs/>
              <w:color w:val="auto"/>
              <w:szCs w:val="21"/>
              <w:highlight w:val="none"/>
            </w:rPr>
          </w:pPr>
          <w:r>
            <w:rPr>
              <w:rFonts w:hint="eastAsia" w:ascii="宋体" w:hAnsi="宋体" w:cs="宋体"/>
              <w:bCs/>
              <w:color w:val="auto"/>
              <w:szCs w:val="21"/>
              <w:highlight w:val="none"/>
            </w:rPr>
            <w:fldChar w:fldCharType="end"/>
          </w:r>
        </w:p>
      </w:sdtContent>
    </w:sdt>
    <w:p w14:paraId="43AF149E">
      <w:pPr>
        <w:spacing w:line="360" w:lineRule="auto"/>
        <w:rPr>
          <w:rFonts w:hint="eastAsia" w:ascii="宋体" w:hAnsi="宋体" w:cs="宋体"/>
          <w:color w:val="auto"/>
          <w:szCs w:val="21"/>
          <w:highlight w:val="none"/>
        </w:rPr>
      </w:pPr>
    </w:p>
    <w:p w14:paraId="650BEBA0">
      <w:pPr>
        <w:spacing w:line="360" w:lineRule="auto"/>
        <w:ind w:firstLine="480" w:firstLineChars="229"/>
        <w:rPr>
          <w:rFonts w:hint="eastAsia" w:ascii="宋体" w:hAnsi="宋体" w:cs="宋体"/>
          <w:color w:val="auto"/>
          <w:szCs w:val="21"/>
          <w:highlight w:val="none"/>
        </w:rPr>
      </w:pPr>
      <w:bookmarkStart w:id="3" w:name="_Hlt91233176"/>
      <w:bookmarkEnd w:id="3"/>
      <w:bookmarkStart w:id="4" w:name="_Toc91899869"/>
    </w:p>
    <w:p w14:paraId="6E6998AD">
      <w:pPr>
        <w:spacing w:line="360" w:lineRule="auto"/>
        <w:ind w:firstLine="480" w:firstLineChars="229"/>
        <w:rPr>
          <w:rFonts w:hint="eastAsia" w:ascii="宋体" w:hAnsi="宋体" w:cs="宋体"/>
          <w:color w:val="auto"/>
          <w:szCs w:val="21"/>
          <w:highlight w:val="none"/>
        </w:rPr>
      </w:pPr>
    </w:p>
    <w:p w14:paraId="305EAA47">
      <w:pPr>
        <w:spacing w:line="360" w:lineRule="auto"/>
        <w:ind w:firstLine="480" w:firstLineChars="229"/>
        <w:rPr>
          <w:rFonts w:hint="eastAsia" w:ascii="宋体" w:hAnsi="宋体" w:cs="宋体"/>
          <w:color w:val="auto"/>
          <w:szCs w:val="21"/>
          <w:highlight w:val="none"/>
        </w:rPr>
      </w:pPr>
    </w:p>
    <w:p w14:paraId="588F8215">
      <w:pPr>
        <w:spacing w:line="360" w:lineRule="auto"/>
        <w:ind w:firstLine="480" w:firstLineChars="229"/>
        <w:rPr>
          <w:rFonts w:hint="eastAsia" w:ascii="宋体" w:hAnsi="宋体" w:cs="宋体"/>
          <w:color w:val="auto"/>
          <w:szCs w:val="21"/>
          <w:highlight w:val="none"/>
        </w:rPr>
      </w:pPr>
    </w:p>
    <w:p w14:paraId="30ACD549">
      <w:pPr>
        <w:spacing w:line="360" w:lineRule="auto"/>
        <w:ind w:firstLine="480" w:firstLineChars="229"/>
        <w:rPr>
          <w:rFonts w:hint="eastAsia" w:ascii="宋体" w:hAnsi="宋体" w:cs="宋体"/>
          <w:color w:val="auto"/>
          <w:szCs w:val="21"/>
          <w:highlight w:val="none"/>
        </w:rPr>
      </w:pPr>
    </w:p>
    <w:p w14:paraId="62904EA6">
      <w:pPr>
        <w:spacing w:line="360" w:lineRule="auto"/>
        <w:ind w:firstLine="480" w:firstLineChars="229"/>
        <w:rPr>
          <w:rFonts w:hint="eastAsia" w:ascii="宋体" w:hAnsi="宋体" w:cs="宋体"/>
          <w:color w:val="auto"/>
          <w:szCs w:val="21"/>
          <w:highlight w:val="none"/>
        </w:rPr>
      </w:pPr>
    </w:p>
    <w:p w14:paraId="31D49C8D">
      <w:pPr>
        <w:spacing w:line="360" w:lineRule="auto"/>
        <w:ind w:firstLine="480" w:firstLineChars="229"/>
        <w:rPr>
          <w:rFonts w:hint="eastAsia" w:ascii="宋体" w:hAnsi="宋体" w:cs="宋体"/>
          <w:color w:val="auto"/>
          <w:szCs w:val="21"/>
          <w:highlight w:val="none"/>
        </w:rPr>
      </w:pPr>
    </w:p>
    <w:p w14:paraId="2440DA0D">
      <w:pPr>
        <w:spacing w:line="360" w:lineRule="auto"/>
        <w:ind w:firstLine="480" w:firstLineChars="229"/>
        <w:rPr>
          <w:rFonts w:hint="eastAsia" w:ascii="宋体" w:hAnsi="宋体" w:cs="宋体"/>
          <w:color w:val="auto"/>
          <w:szCs w:val="21"/>
          <w:highlight w:val="none"/>
        </w:rPr>
      </w:pPr>
    </w:p>
    <w:p w14:paraId="456D91BC">
      <w:pPr>
        <w:spacing w:line="360" w:lineRule="auto"/>
        <w:ind w:firstLine="480" w:firstLineChars="229"/>
        <w:rPr>
          <w:rFonts w:hint="eastAsia" w:ascii="宋体" w:hAnsi="宋体" w:cs="宋体"/>
          <w:color w:val="auto"/>
          <w:szCs w:val="21"/>
          <w:highlight w:val="none"/>
        </w:rPr>
      </w:pPr>
    </w:p>
    <w:p w14:paraId="5FD0B7E0">
      <w:pPr>
        <w:spacing w:line="360" w:lineRule="auto"/>
        <w:ind w:firstLine="480" w:firstLineChars="229"/>
        <w:rPr>
          <w:rFonts w:hint="eastAsia" w:ascii="宋体" w:hAnsi="宋体" w:cs="宋体"/>
          <w:color w:val="auto"/>
          <w:szCs w:val="21"/>
          <w:highlight w:val="none"/>
        </w:rPr>
      </w:pPr>
    </w:p>
    <w:p w14:paraId="39C5431F">
      <w:pPr>
        <w:spacing w:line="360" w:lineRule="auto"/>
        <w:ind w:firstLine="480" w:firstLineChars="229"/>
        <w:rPr>
          <w:rFonts w:hint="eastAsia" w:ascii="宋体" w:hAnsi="宋体" w:cs="宋体"/>
          <w:color w:val="auto"/>
          <w:szCs w:val="21"/>
          <w:highlight w:val="none"/>
        </w:rPr>
      </w:pPr>
    </w:p>
    <w:p w14:paraId="236091F5">
      <w:pPr>
        <w:spacing w:line="360" w:lineRule="auto"/>
        <w:ind w:firstLine="480" w:firstLineChars="229"/>
        <w:rPr>
          <w:rFonts w:hint="eastAsia" w:ascii="宋体" w:hAnsi="宋体" w:cs="宋体"/>
          <w:color w:val="auto"/>
          <w:szCs w:val="21"/>
          <w:highlight w:val="none"/>
        </w:rPr>
      </w:pPr>
    </w:p>
    <w:p w14:paraId="33A11C40">
      <w:pPr>
        <w:spacing w:line="360" w:lineRule="auto"/>
        <w:ind w:firstLine="480" w:firstLineChars="229"/>
        <w:rPr>
          <w:rFonts w:hint="eastAsia" w:ascii="宋体" w:hAnsi="宋体" w:cs="宋体"/>
          <w:color w:val="auto"/>
          <w:szCs w:val="21"/>
          <w:highlight w:val="none"/>
        </w:rPr>
      </w:pPr>
    </w:p>
    <w:p w14:paraId="67C6C2FA">
      <w:pPr>
        <w:spacing w:line="360" w:lineRule="auto"/>
        <w:rPr>
          <w:rFonts w:hint="eastAsia" w:ascii="宋体" w:hAnsi="宋体" w:cs="宋体"/>
          <w:color w:val="auto"/>
          <w:szCs w:val="21"/>
          <w:highlight w:val="none"/>
        </w:rPr>
      </w:pPr>
    </w:p>
    <w:p w14:paraId="34550D3E">
      <w:pPr>
        <w:adjustRightInd/>
        <w:spacing w:line="360" w:lineRule="auto"/>
        <w:jc w:val="center"/>
        <w:outlineLvl w:val="0"/>
        <w:rPr>
          <w:rFonts w:hint="eastAsia" w:ascii="宋体" w:hAnsi="宋体" w:cs="宋体"/>
          <w:b/>
          <w:color w:val="auto"/>
          <w:szCs w:val="21"/>
          <w:highlight w:val="none"/>
        </w:rPr>
      </w:pPr>
      <w:bookmarkStart w:id="5" w:name="第一部分"/>
      <w:r>
        <w:rPr>
          <w:rFonts w:hint="eastAsia" w:ascii="宋体" w:hAnsi="宋体" w:cs="宋体"/>
          <w:b/>
          <w:color w:val="auto"/>
          <w:szCs w:val="21"/>
          <w:highlight w:val="none"/>
        </w:rPr>
        <w:br w:type="page"/>
      </w:r>
      <w:bookmarkEnd w:id="4"/>
      <w:bookmarkEnd w:id="5"/>
      <w:bookmarkStart w:id="6" w:name="_Hlt74707423"/>
      <w:bookmarkEnd w:id="6"/>
      <w:bookmarkStart w:id="7" w:name="_Hlt74729822"/>
      <w:bookmarkEnd w:id="7"/>
      <w:bookmarkStart w:id="8" w:name="_Hlt74649545"/>
      <w:bookmarkEnd w:id="8"/>
      <w:bookmarkStart w:id="9" w:name="_Hlt74728647"/>
      <w:bookmarkEnd w:id="9"/>
      <w:bookmarkStart w:id="10" w:name="_Toc13063"/>
      <w:bookmarkStart w:id="11" w:name="第二部分"/>
      <w:bookmarkStart w:id="12" w:name="_Toc91899870"/>
      <w:bookmarkStart w:id="13" w:name="_Toc91899871"/>
      <w:r>
        <w:rPr>
          <w:rStyle w:val="87"/>
          <w:rFonts w:hint="eastAsia" w:ascii="宋体" w:hAnsi="宋体" w:cs="宋体"/>
          <w:color w:val="auto"/>
          <w:sz w:val="28"/>
          <w:szCs w:val="28"/>
          <w:highlight w:val="none"/>
        </w:rPr>
        <w:t>第一部分 招标公告</w:t>
      </w:r>
      <w:bookmarkEnd w:id="10"/>
    </w:p>
    <w:p w14:paraId="562DDE21">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14:paraId="1DC36D19">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余杭区政务云平台项目</w:t>
      </w:r>
      <w:r>
        <w:rPr>
          <w:rFonts w:hint="eastAsia" w:ascii="宋体" w:hAnsi="宋体" w:cs="宋体"/>
          <w:color w:val="auto"/>
          <w:szCs w:val="21"/>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点30分</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00秒</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241D0AF9">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一、项目基本情况</w:t>
      </w:r>
    </w:p>
    <w:p w14:paraId="73FA209C">
      <w:pPr>
        <w:spacing w:line="360" w:lineRule="auto"/>
        <w:ind w:firstLine="422" w:firstLineChars="200"/>
        <w:rPr>
          <w:rFonts w:hint="eastAsia" w:ascii="宋体" w:hAnsi="宋体" w:eastAsia="宋体" w:cs="宋体"/>
          <w:bCs/>
          <w:color w:val="auto"/>
          <w:szCs w:val="21"/>
          <w:highlight w:val="none"/>
          <w:lang w:eastAsia="zh-CN"/>
        </w:rPr>
      </w:pPr>
      <w:r>
        <w:rPr>
          <w:rFonts w:hint="eastAsia" w:ascii="宋体" w:hAnsi="宋体" w:cs="宋体"/>
          <w:b/>
          <w:color w:val="auto"/>
          <w:szCs w:val="21"/>
          <w:highlight w:val="none"/>
        </w:rPr>
        <w:t>项目编号：</w:t>
      </w:r>
      <w:r>
        <w:rPr>
          <w:rFonts w:hint="eastAsia" w:ascii="宋体" w:hAnsi="宋体" w:cs="宋体"/>
          <w:bCs/>
          <w:color w:val="auto"/>
          <w:szCs w:val="21"/>
          <w:highlight w:val="none"/>
          <w:lang w:eastAsia="zh-CN"/>
        </w:rPr>
        <w:t>CTZB-2024120045</w:t>
      </w:r>
    </w:p>
    <w:p w14:paraId="1D21992A">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项目名称：</w:t>
      </w:r>
      <w:r>
        <w:rPr>
          <w:rFonts w:hint="eastAsia" w:ascii="宋体" w:hAnsi="宋体" w:cs="宋体"/>
          <w:bCs/>
          <w:color w:val="auto"/>
          <w:szCs w:val="21"/>
          <w:highlight w:val="none"/>
        </w:rPr>
        <w:t>余杭区政务云平台项目</w:t>
      </w:r>
    </w:p>
    <w:p w14:paraId="40A1627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预算金额（元）</w:t>
      </w:r>
      <w:r>
        <w:rPr>
          <w:rFonts w:hint="eastAsia" w:ascii="宋体" w:hAnsi="宋体" w:cs="宋体"/>
          <w:bCs/>
          <w:color w:val="auto"/>
          <w:szCs w:val="21"/>
          <w:highlight w:val="none"/>
        </w:rPr>
        <w:t>：47820000</w:t>
      </w:r>
    </w:p>
    <w:p w14:paraId="632F135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最高限价（元）</w:t>
      </w:r>
      <w:r>
        <w:rPr>
          <w:rFonts w:hint="eastAsia" w:ascii="宋体" w:hAnsi="宋体" w:cs="宋体"/>
          <w:bCs/>
          <w:color w:val="auto"/>
          <w:szCs w:val="21"/>
          <w:highlight w:val="none"/>
        </w:rPr>
        <w:t>：47820000</w:t>
      </w:r>
    </w:p>
    <w:p w14:paraId="65F8F413">
      <w:pPr>
        <w:pStyle w:val="713"/>
        <w:ind w:firstLine="373" w:firstLineChars="177"/>
        <w:rPr>
          <w:rFonts w:hint="eastAsia" w:ascii="宋体" w:hAnsi="宋体" w:eastAsia="宋体" w:cs="宋体"/>
          <w:snapToGrid w:val="0"/>
          <w:color w:val="auto"/>
          <w:kern w:val="28"/>
          <w:sz w:val="21"/>
          <w:highlight w:val="none"/>
        </w:rPr>
      </w:pPr>
      <w:r>
        <w:rPr>
          <w:rFonts w:hint="eastAsia" w:ascii="宋体" w:hAnsi="宋体" w:eastAsia="宋体" w:cs="宋体"/>
          <w:b/>
          <w:color w:val="auto"/>
          <w:sz w:val="21"/>
          <w:highlight w:val="none"/>
        </w:rPr>
        <w:t>采购需求：</w:t>
      </w:r>
      <w:r>
        <w:rPr>
          <w:rFonts w:hint="eastAsia" w:ascii="宋体" w:hAnsi="宋体" w:eastAsia="宋体" w:cs="宋体"/>
          <w:snapToGrid w:val="0"/>
          <w:color w:val="auto"/>
          <w:kern w:val="28"/>
          <w:sz w:val="21"/>
          <w:highlight w:val="none"/>
        </w:rPr>
        <w:t>为余杭区电子政务信息化系统建设所需计算资源购买相应的云计算服务。具体以招标文件第三部分采购需求为准，供应商可点击本公告下方“浏览采购文件”查看采购需求。</w:t>
      </w:r>
    </w:p>
    <w:p w14:paraId="635EAFFC">
      <w:pPr>
        <w:pStyle w:val="713"/>
        <w:numPr>
          <w:ilvl w:val="255"/>
          <w:numId w:val="0"/>
        </w:numPr>
        <w:ind w:firstLine="480"/>
        <w:rPr>
          <w:rFonts w:eastAsia="宋体"/>
          <w:color w:val="auto"/>
          <w:sz w:val="21"/>
          <w:highlight w:val="none"/>
        </w:rPr>
      </w:pPr>
      <w:r>
        <w:rPr>
          <w:rFonts w:hint="eastAsia" w:ascii="宋体" w:hAnsi="宋体" w:eastAsia="宋体" w:cs="宋体"/>
          <w:b/>
          <w:color w:val="auto"/>
          <w:sz w:val="21"/>
          <w:highlight w:val="none"/>
        </w:rPr>
        <w:t>合同履约期限：</w:t>
      </w:r>
      <w:r>
        <w:rPr>
          <w:rFonts w:hint="eastAsia" w:eastAsia="宋体"/>
          <w:color w:val="auto"/>
          <w:sz w:val="21"/>
          <w:highlight w:val="none"/>
        </w:rPr>
        <w:t>二年（具体以合同签订为准）。</w:t>
      </w:r>
    </w:p>
    <w:p w14:paraId="15F0DF35">
      <w:pPr>
        <w:pStyle w:val="713"/>
        <w:ind w:firstLine="422"/>
        <w:rPr>
          <w:rFonts w:hint="eastAsia" w:hAnsi="宋体" w:cs="宋体"/>
          <w:bCs/>
          <w:color w:val="auto"/>
          <w:sz w:val="21"/>
          <w:highlight w:val="none"/>
        </w:rPr>
      </w:pPr>
      <w:r>
        <w:rPr>
          <w:rFonts w:hint="eastAsia" w:ascii="宋体" w:hAnsi="宋体" w:eastAsia="宋体" w:cs="宋体"/>
          <w:b/>
          <w:color w:val="auto"/>
          <w:sz w:val="21"/>
          <w:highlight w:val="none"/>
        </w:rPr>
        <w:t>本项目接受联合体投标：</w:t>
      </w:r>
      <w:sdt>
        <w:sdtPr>
          <w:rPr>
            <w:rFonts w:hint="eastAsia" w:ascii="宋体" w:hAnsi="宋体" w:eastAsia="宋体" w:cs="宋体"/>
            <w:bCs/>
            <w:color w:val="auto"/>
            <w:kern w:val="0"/>
            <w:sz w:val="21"/>
            <w:highlight w:val="none"/>
          </w:rPr>
          <w:id w:val="2035453831"/>
          <w14:checkbox>
            <w14:checked w14:val="1"/>
            <w14:checkedState w14:val="00FE" w14:font="Wingdings"/>
            <w14:uncheckedState w14:val="2610" w14:font="MS Gothic"/>
          </w14:checkbox>
        </w:sdtPr>
        <w:sdtEndPr>
          <w:rPr>
            <w:rFonts w:hint="eastAsia" w:ascii="宋体" w:hAnsi="宋体" w:eastAsia="宋体" w:cs="宋体"/>
            <w:bCs/>
            <w:color w:val="auto"/>
            <w:kern w:val="0"/>
            <w:sz w:val="21"/>
            <w:highlight w:val="none"/>
          </w:rPr>
        </w:sdtEndPr>
        <w:sdtContent>
          <w:r>
            <w:rPr>
              <w:rFonts w:ascii="Wingdings" w:hAnsi="Wingdings" w:eastAsia="MS Gothic" w:cs="宋体"/>
              <w:bCs/>
              <w:color w:val="auto"/>
              <w:kern w:val="0"/>
              <w:sz w:val="21"/>
              <w:highlight w:val="none"/>
            </w:rPr>
            <w:t></w:t>
          </w:r>
        </w:sdtContent>
      </w:sdt>
      <w:r>
        <w:rPr>
          <w:rFonts w:hint="eastAsia" w:ascii="宋体" w:hAnsi="宋体" w:eastAsia="宋体" w:cs="宋体"/>
          <w:bCs/>
          <w:color w:val="auto"/>
          <w:sz w:val="21"/>
          <w:highlight w:val="none"/>
        </w:rPr>
        <w:t>是，</w:t>
      </w:r>
      <w:sdt>
        <w:sdtPr>
          <w:rPr>
            <w:rFonts w:hint="eastAsia" w:hAnsi="宋体" w:cs="宋体"/>
            <w:bCs/>
            <w:color w:val="auto"/>
            <w:kern w:val="0"/>
            <w:sz w:val="21"/>
            <w:highlight w:val="none"/>
          </w:rPr>
          <w:id w:val="-1"/>
          <w14:checkbox>
            <w14:checked w14:val="0"/>
            <w14:checkedState w14:val="00FE" w14:font="Wingdings"/>
            <w14:uncheckedState w14:val="2610" w14:font="MS Gothic"/>
          </w14:checkbox>
        </w:sdtPr>
        <w:sdtEndPr>
          <w:rPr>
            <w:rFonts w:hint="eastAsia" w:hAnsi="宋体" w:cs="宋体"/>
            <w:bCs/>
            <w:color w:val="auto"/>
            <w:kern w:val="0"/>
            <w:sz w:val="21"/>
            <w:highlight w:val="none"/>
          </w:rPr>
        </w:sdtEndPr>
        <w:sdtContent>
          <w:r>
            <w:rPr>
              <w:rFonts w:hint="eastAsia" w:ascii="MS Gothic" w:hAnsi="MS Gothic" w:cs="宋体"/>
              <w:bCs/>
              <w:color w:val="auto"/>
              <w:kern w:val="0"/>
              <w:sz w:val="21"/>
              <w:highlight w:val="none"/>
            </w:rPr>
            <w:t>☐</w:t>
          </w:r>
        </w:sdtContent>
      </w:sdt>
      <w:r>
        <w:rPr>
          <w:rFonts w:hint="eastAsia" w:ascii="宋体" w:hAnsi="宋体" w:eastAsia="宋体" w:cs="宋体"/>
          <w:bCs/>
          <w:color w:val="auto"/>
          <w:sz w:val="21"/>
          <w:highlight w:val="none"/>
        </w:rPr>
        <w:t>否</w:t>
      </w:r>
      <w:r>
        <w:rPr>
          <w:rFonts w:hint="eastAsia" w:hAnsi="宋体" w:cs="宋体"/>
          <w:bCs/>
          <w:color w:val="auto"/>
          <w:kern w:val="0"/>
          <w:sz w:val="21"/>
          <w:highlight w:val="none"/>
        </w:rPr>
        <w:t>。</w:t>
      </w:r>
    </w:p>
    <w:p w14:paraId="3836F515">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二、申请人的资格要求：</w:t>
      </w:r>
    </w:p>
    <w:p w14:paraId="66DCBB71">
      <w:pPr>
        <w:spacing w:line="360" w:lineRule="auto"/>
        <w:ind w:firstLine="48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1.满足《中华人民共和国政府采购法》第二十二条规定；未被“信用中国”（www.creditchina.gov.cn</w:t>
      </w:r>
      <w:r>
        <w:rPr>
          <w:rFonts w:hint="eastAsia" w:ascii="宋体" w:hAnsi="宋体" w:cs="宋体"/>
          <w:snapToGrid w:val="0"/>
          <w:color w:val="auto"/>
          <w:kern w:val="28"/>
          <w:szCs w:val="21"/>
          <w:highlight w:val="none"/>
          <w:lang w:eastAsia="zh-CN"/>
        </w:rPr>
        <w:t>）</w:t>
      </w:r>
      <w:r>
        <w:rPr>
          <w:rFonts w:hint="eastAsia" w:ascii="宋体" w:hAnsi="宋体" w:cs="宋体"/>
          <w:snapToGrid w:val="0"/>
          <w:color w:val="auto"/>
          <w:kern w:val="28"/>
          <w:szCs w:val="21"/>
          <w:highlight w:val="none"/>
        </w:rPr>
        <w:t>、中国政府采购网（www.ccgp.gov.cn）列入失信被执行人、重大税收违法案件当事人名单、政府采购严重违法失信行为记录名单；</w:t>
      </w:r>
    </w:p>
    <w:p w14:paraId="494FC814">
      <w:pPr>
        <w:spacing w:line="360" w:lineRule="auto"/>
        <w:ind w:firstLine="48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2.以联合体形式投标的，提供联合协议</w:t>
      </w:r>
      <w:r>
        <w:rPr>
          <w:rFonts w:hint="eastAsia" w:ascii="宋体" w:hAnsi="宋体" w:cs="宋体"/>
          <w:snapToGrid w:val="0"/>
          <w:color w:val="auto"/>
          <w:kern w:val="28"/>
          <w:szCs w:val="21"/>
          <w:highlight w:val="none"/>
          <w:lang w:eastAsia="zh-CN"/>
        </w:rPr>
        <w:t>（</w:t>
      </w:r>
      <w:r>
        <w:rPr>
          <w:rFonts w:hint="eastAsia" w:ascii="宋体" w:hAnsi="宋体" w:cs="宋体"/>
          <w:snapToGrid w:val="0"/>
          <w:color w:val="auto"/>
          <w:kern w:val="28"/>
          <w:szCs w:val="21"/>
          <w:highlight w:val="none"/>
        </w:rPr>
        <w:t>本项目不接受联合体投标或者投标人不以联合体形式投标的，则不需要提供</w:t>
      </w:r>
      <w:r>
        <w:rPr>
          <w:rFonts w:hint="eastAsia" w:ascii="宋体" w:hAnsi="宋体" w:cs="宋体"/>
          <w:snapToGrid w:val="0"/>
          <w:color w:val="auto"/>
          <w:kern w:val="28"/>
          <w:szCs w:val="21"/>
          <w:highlight w:val="none"/>
          <w:lang w:eastAsia="zh-CN"/>
        </w:rPr>
        <w:t>）</w:t>
      </w:r>
      <w:r>
        <w:rPr>
          <w:rFonts w:hint="eastAsia" w:ascii="宋体" w:hAnsi="宋体" w:cs="宋体"/>
          <w:snapToGrid w:val="0"/>
          <w:color w:val="auto"/>
          <w:kern w:val="28"/>
          <w:szCs w:val="21"/>
          <w:highlight w:val="none"/>
        </w:rPr>
        <w:t>；联合体成员单位不超过两家。</w:t>
      </w:r>
    </w:p>
    <w:p w14:paraId="62C5B304">
      <w:pPr>
        <w:spacing w:line="360" w:lineRule="auto"/>
        <w:ind w:firstLine="48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3.落实政府采购政策需满足的资格要求：无</w:t>
      </w:r>
    </w:p>
    <w:p w14:paraId="5F6FE10A">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4.本项目的特定资格要求：无；</w:t>
      </w:r>
    </w:p>
    <w:p w14:paraId="44B0E80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E951EB5">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三、获取招标文件</w:t>
      </w:r>
    </w:p>
    <w:p w14:paraId="0A3FFC40">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至</w:t>
      </w:r>
      <w:r>
        <w:rPr>
          <w:rFonts w:hint="eastAsia" w:ascii="宋体" w:hAnsi="宋体" w:cs="宋体"/>
          <w:color w:val="auto"/>
          <w:szCs w:val="21"/>
          <w:highlight w:val="none"/>
          <w:u w:val="single"/>
        </w:rPr>
        <w:t>2024年12月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，每天上午00:00至12:00 ，下午12:00至23:59（北京时间，线上获取法定节假日均可，线下获取文件法定节假日除外）。</w:t>
      </w:r>
    </w:p>
    <w:p w14:paraId="134C9A3D">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政采云平台（https://www.zcygov.cn/）。</w:t>
      </w:r>
    </w:p>
    <w:p w14:paraId="2C09B597">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供应商登录政采云平台https://www.zcygov.cn/在线申请获取采购文件（进入“项目采购”应用，在获取采购文件菜单中选择项目，申请获取采购文件）。</w:t>
      </w:r>
    </w:p>
    <w:p w14:paraId="1A741783">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14:paraId="184F65A2">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265E7D04">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2024年12月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点30分00秒</w:t>
      </w:r>
      <w:r>
        <w:rPr>
          <w:rFonts w:hint="eastAsia" w:ascii="宋体" w:hAnsi="宋体" w:cs="宋体"/>
          <w:color w:val="auto"/>
          <w:szCs w:val="21"/>
          <w:highlight w:val="none"/>
        </w:rPr>
        <w:t>（北京时间）；</w:t>
      </w:r>
    </w:p>
    <w:p w14:paraId="369831B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 xml:space="preserve">政采云平台（https://www.zcygov.cn/）； </w:t>
      </w:r>
    </w:p>
    <w:p w14:paraId="684DF564">
      <w:pPr>
        <w:spacing w:line="360" w:lineRule="auto"/>
        <w:ind w:firstLine="422" w:firstLineChars="200"/>
        <w:rPr>
          <w:rFonts w:hint="eastAsia"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2024年12月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点30分00秒</w:t>
      </w:r>
      <w:r>
        <w:rPr>
          <w:rFonts w:hint="eastAsia" w:ascii="宋体" w:hAnsi="宋体" w:cs="宋体"/>
          <w:bCs/>
          <w:color w:val="auto"/>
          <w:szCs w:val="21"/>
          <w:highlight w:val="none"/>
          <w:u w:val="single"/>
        </w:rPr>
        <w:t>；</w:t>
      </w:r>
    </w:p>
    <w:p w14:paraId="7F0A26BD">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p>
    <w:p w14:paraId="2BCD4784">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xml:space="preserve">五、公告期限 </w:t>
      </w:r>
    </w:p>
    <w:p w14:paraId="366A92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6253ADC9">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六、其他补充事宜</w:t>
      </w:r>
    </w:p>
    <w:p w14:paraId="4A2867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1.《浙江省财政厅关于进一步发挥政府采购政策功能全力推动经济稳进提质的通知》（浙财采监</w:t>
      </w:r>
      <w:r>
        <w:rPr>
          <w:rFonts w:hint="eastAsia" w:ascii="宋体" w:hAnsi="宋体" w:cs="宋体"/>
          <w:color w:val="auto"/>
          <w:szCs w:val="21"/>
          <w:highlight w:val="none"/>
          <w:lang w:eastAsia="zh-CN"/>
        </w:rPr>
        <w:t>〔2021〕</w:t>
      </w:r>
      <w:r>
        <w:rPr>
          <w:rFonts w:hint="eastAsia" w:ascii="宋体" w:hAnsi="宋体" w:cs="宋体"/>
          <w:color w:val="auto"/>
          <w:szCs w:val="21"/>
          <w:highlight w:val="none"/>
        </w:rPr>
        <w:t>3号）、《浙江省财政厅关于进一步促进政府采购公平竞争打造最优营商环境的通知》（浙财采监</w:t>
      </w:r>
      <w:r>
        <w:rPr>
          <w:rFonts w:hint="eastAsia" w:ascii="宋体" w:hAnsi="宋体" w:cs="宋体"/>
          <w:color w:val="auto"/>
          <w:szCs w:val="21"/>
          <w:highlight w:val="none"/>
          <w:lang w:eastAsia="zh-CN"/>
        </w:rPr>
        <w:t>〔2021〕22号</w:t>
      </w:r>
      <w:r>
        <w:rPr>
          <w:rFonts w:hint="eastAsia" w:ascii="宋体" w:hAnsi="宋体" w:cs="宋体"/>
          <w:color w:val="auto"/>
          <w:szCs w:val="21"/>
          <w:highlight w:val="none"/>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D6F22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w:t>
      </w:r>
      <w:r>
        <w:rPr>
          <w:rFonts w:hint="eastAsia" w:ascii="宋体" w:hAnsi="宋体" w:cs="宋体"/>
          <w:color w:val="auto"/>
          <w:szCs w:val="21"/>
          <w:highlight w:val="none"/>
          <w:lang w:eastAsia="zh-CN"/>
        </w:rPr>
        <w:t>〔2021〕22号</w:t>
      </w:r>
      <w:r>
        <w:rPr>
          <w:rFonts w:hint="eastAsia" w:ascii="宋体" w:hAnsi="宋体" w:cs="宋体"/>
          <w:color w:val="auto"/>
          <w:szCs w:val="21"/>
          <w:highlight w:val="none"/>
        </w:rPr>
        <w:t>）文件关于“健全行政裁决机制”要求，鼓励供应商在线提起询问，路径为：政采云</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项目采购</w:t>
      </w:r>
      <w:r>
        <w:rPr>
          <w:rFonts w:hint="eastAsia" w:ascii="宋体" w:hAnsi="宋体" w:cs="宋体"/>
          <w:color w:val="auto"/>
          <w:szCs w:val="21"/>
          <w:highlight w:val="none"/>
          <w:lang w:eastAsia="zh-CN"/>
        </w:rPr>
        <w:t>－</w:t>
      </w:r>
      <w:r>
        <w:rPr>
          <w:rFonts w:hint="eastAsia" w:ascii="宋体" w:hAnsi="宋体" w:cs="宋体"/>
          <w:color w:val="auto"/>
          <w:szCs w:val="21"/>
          <w:highlight w:val="none"/>
        </w:rPr>
        <w:t>询问质疑投诉</w:t>
      </w:r>
      <w:r>
        <w:rPr>
          <w:rFonts w:hint="eastAsia" w:ascii="宋体" w:hAnsi="宋体" w:cs="宋体"/>
          <w:color w:val="auto"/>
          <w:szCs w:val="21"/>
          <w:highlight w:val="none"/>
          <w:lang w:eastAsia="zh-CN"/>
        </w:rPr>
        <w:t>－</w:t>
      </w:r>
      <w:r>
        <w:rPr>
          <w:rFonts w:hint="eastAsia" w:ascii="宋体" w:hAnsi="宋体" w:cs="宋体"/>
          <w:color w:val="auto"/>
          <w:szCs w:val="21"/>
          <w:highlight w:val="none"/>
        </w:rPr>
        <w:t>询问列表。鼓励供应商在线提起质疑，路径为：政采云</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项目采购</w:t>
      </w:r>
      <w:r>
        <w:rPr>
          <w:rFonts w:hint="eastAsia" w:ascii="宋体" w:hAnsi="宋体" w:cs="宋体"/>
          <w:color w:val="auto"/>
          <w:szCs w:val="21"/>
          <w:highlight w:val="none"/>
          <w:lang w:eastAsia="zh-CN"/>
        </w:rPr>
        <w:t>－</w:t>
      </w:r>
      <w:r>
        <w:rPr>
          <w:rFonts w:hint="eastAsia" w:ascii="宋体" w:hAnsi="宋体" w:cs="宋体"/>
          <w:color w:val="auto"/>
          <w:szCs w:val="21"/>
          <w:highlight w:val="none"/>
        </w:rPr>
        <w:t>询问质疑投诉</w:t>
      </w:r>
      <w:r>
        <w:rPr>
          <w:rFonts w:hint="eastAsia" w:ascii="宋体" w:hAnsi="宋体" w:cs="宋体"/>
          <w:color w:val="auto"/>
          <w:szCs w:val="21"/>
          <w:highlight w:val="none"/>
          <w:lang w:eastAsia="zh-CN"/>
        </w:rPr>
        <w:t>－</w:t>
      </w:r>
      <w:r>
        <w:rPr>
          <w:rFonts w:hint="eastAsia" w:ascii="宋体" w:hAnsi="宋体" w:cs="宋体"/>
          <w:color w:val="auto"/>
          <w:szCs w:val="21"/>
          <w:highlight w:val="none"/>
        </w:rPr>
        <w:t>质疑列表。质疑供应商对在线质疑答复不满意的，可在线提起投诉，路径为：浙江政府服务网</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政府采购投诉处理</w:t>
      </w:r>
      <w:r>
        <w:rPr>
          <w:rFonts w:hint="eastAsia" w:ascii="宋体" w:hAnsi="宋体" w:cs="宋体"/>
          <w:color w:val="auto"/>
          <w:szCs w:val="21"/>
          <w:highlight w:val="none"/>
          <w:lang w:eastAsia="zh-CN"/>
        </w:rPr>
        <w:t>－</w:t>
      </w:r>
      <w:r>
        <w:rPr>
          <w:rFonts w:hint="eastAsia" w:ascii="宋体" w:hAnsi="宋体" w:cs="宋体"/>
          <w:color w:val="auto"/>
          <w:szCs w:val="21"/>
          <w:highlight w:val="none"/>
        </w:rPr>
        <w:t>在线办理。</w:t>
      </w:r>
    </w:p>
    <w:p w14:paraId="68DF4B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986C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电子交易客户端-CA驱动和申领流程”；安装“政采云电子交易客户端”----前往“浙江政府采购网-下载专区</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Cs w:val="21"/>
          <w:highlight w:val="none"/>
          <w:lang w:eastAsia="zh-CN"/>
        </w:rPr>
        <w:t>”“</w:t>
      </w:r>
      <w:r>
        <w:rPr>
          <w:rFonts w:hint="eastAsia" w:ascii="宋体" w:hAnsi="宋体" w:cs="宋体"/>
          <w:color w:val="auto"/>
          <w:szCs w:val="21"/>
          <w:highlight w:val="none"/>
        </w:rPr>
        <w:t>导入投标文件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标书关联</w:t>
      </w:r>
      <w:r>
        <w:rPr>
          <w:rFonts w:hint="eastAsia" w:ascii="宋体" w:hAnsi="宋体" w:cs="宋体"/>
          <w:color w:val="auto"/>
          <w:szCs w:val="21"/>
          <w:highlight w:val="none"/>
          <w:lang w:eastAsia="zh-CN"/>
        </w:rPr>
        <w:t>”“</w:t>
      </w:r>
      <w:r>
        <w:rPr>
          <w:rFonts w:hint="eastAsia" w:ascii="宋体" w:hAnsi="宋体" w:cs="宋体"/>
          <w:color w:val="auto"/>
          <w:szCs w:val="21"/>
          <w:highlight w:val="none"/>
        </w:rPr>
        <w:t>标书检查</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电子签名</w:t>
      </w:r>
      <w:r>
        <w:rPr>
          <w:rFonts w:hint="eastAsia" w:ascii="宋体" w:hAnsi="宋体" w:cs="宋体"/>
          <w:color w:val="auto"/>
          <w:szCs w:val="21"/>
          <w:highlight w:val="none"/>
          <w:lang w:eastAsia="zh-CN"/>
        </w:rPr>
        <w:t>”“</w:t>
      </w:r>
      <w:r>
        <w:rPr>
          <w:rFonts w:hint="eastAsia" w:ascii="宋体" w:hAnsi="宋体" w:cs="宋体"/>
          <w:color w:val="auto"/>
          <w:szCs w:val="21"/>
          <w:highlight w:val="none"/>
        </w:rPr>
        <w:t>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Cs w:val="21"/>
          <w:highlight w:val="none"/>
          <w:lang w:eastAsia="zh-CN"/>
        </w:rPr>
        <w:t>－</w:t>
      </w:r>
      <w:r>
        <w:rPr>
          <w:rFonts w:hint="eastAsia" w:ascii="宋体" w:hAnsi="宋体" w:cs="宋体"/>
          <w:color w:val="auto"/>
          <w:szCs w:val="21"/>
          <w:highlight w:val="none"/>
        </w:rPr>
        <w:t>帮助文档</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项目采购</w:t>
      </w:r>
      <w:r>
        <w:rPr>
          <w:rFonts w:hint="eastAsia" w:ascii="宋体" w:hAnsi="宋体" w:cs="宋体"/>
          <w:color w:val="auto"/>
          <w:szCs w:val="21"/>
          <w:highlight w:val="none"/>
          <w:lang w:eastAsia="zh-CN"/>
        </w:rPr>
        <w:t>－</w:t>
      </w:r>
      <w:r>
        <w:rPr>
          <w:rFonts w:hint="eastAsia" w:ascii="宋体" w:hAnsi="宋体" w:cs="宋体"/>
          <w:color w:val="auto"/>
          <w:szCs w:val="21"/>
          <w:highlight w:val="none"/>
        </w:rPr>
        <w:t>操作流程</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电子招投标</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政府采购项目电子交易管理操作指南</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供应商”。（3）招标文件公告期限与招标公告的公告期限一致。</w:t>
      </w:r>
    </w:p>
    <w:p w14:paraId="5D3F1E5A">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14:paraId="32BDFCC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30E21AE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名称：杭州市余杭区数据资源管理局</w:t>
      </w:r>
    </w:p>
    <w:p w14:paraId="4AE87158">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地址：杭州市余杭区仓前街道文一西路1500号4号楼9楼</w:t>
      </w:r>
    </w:p>
    <w:p w14:paraId="5D41520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项目联系人（询问）：蔡先生</w:t>
      </w:r>
    </w:p>
    <w:p w14:paraId="6ABB979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项目联系方式（询问）： 0571-88729830</w:t>
      </w:r>
    </w:p>
    <w:p w14:paraId="44F0A94F">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质疑联系人：龙先生</w:t>
      </w:r>
    </w:p>
    <w:p w14:paraId="3EEA3D20">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质疑联系方式：13989457197</w:t>
      </w:r>
    </w:p>
    <w:p w14:paraId="277F58C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77062F17">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名称：浙江省成套招标代理有限公司</w:t>
      </w:r>
    </w:p>
    <w:p w14:paraId="239CED4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地址：杭州市文晖路42号现代置业大厦西楼17楼1704</w:t>
      </w:r>
    </w:p>
    <w:p w14:paraId="54C7FDF9">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项目联系人（询问）：何颖楹</w:t>
      </w:r>
    </w:p>
    <w:p w14:paraId="3A8A6715">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项目联系方式（询问）：15700073181</w:t>
      </w:r>
    </w:p>
    <w:p w14:paraId="63E14CBB">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质疑联系人：冯东东</w:t>
      </w:r>
    </w:p>
    <w:p w14:paraId="1A7576C2">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质疑联系方式：0571-85331293 </w:t>
      </w:r>
    </w:p>
    <w:p w14:paraId="3EC7265D">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3.同级政府采购监督管理部门</w:t>
      </w:r>
    </w:p>
    <w:p w14:paraId="089222F7">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名称：杭州市余杭区财政局、浙江省政府采购行政裁决服务中心（杭州）</w:t>
      </w:r>
    </w:p>
    <w:p w14:paraId="63CB0D4C">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地址：杭州市上城区清泰街549号城建综合大楼11楼（快递仅限ems或顺丰）</w:t>
      </w:r>
    </w:p>
    <w:p w14:paraId="0AB1A9C0">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联系人：朱女士、王女士</w:t>
      </w:r>
    </w:p>
    <w:p w14:paraId="58E9A0A6">
      <w:pPr>
        <w:spacing w:line="360" w:lineRule="auto"/>
        <w:ind w:firstLine="48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监督投诉电话：0571-87227671,0571-87800218</w:t>
      </w:r>
    </w:p>
    <w:p w14:paraId="6F12E2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030CCC89">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CA问题联系电话（人工）：汇信CA 400-888-4636；天谷CA 400-087-8198。</w:t>
      </w:r>
      <w:r>
        <w:rPr>
          <w:rFonts w:hint="eastAsia" w:ascii="宋体" w:hAnsi="宋体" w:cs="宋体"/>
          <w:b/>
          <w:color w:val="auto"/>
          <w:szCs w:val="21"/>
          <w:highlight w:val="none"/>
        </w:rPr>
        <w:br w:type="page"/>
      </w:r>
    </w:p>
    <w:p w14:paraId="11B20C5A">
      <w:pPr>
        <w:pStyle w:val="2"/>
        <w:rPr>
          <w:color w:val="auto"/>
          <w:highlight w:val="none"/>
        </w:rPr>
      </w:pPr>
      <w:bookmarkStart w:id="14" w:name="_Toc3223"/>
      <w:r>
        <w:rPr>
          <w:rFonts w:hint="eastAsia"/>
          <w:color w:val="auto"/>
          <w:highlight w:val="none"/>
        </w:rPr>
        <w:t>第二部分</w:t>
      </w:r>
      <w:bookmarkEnd w:id="11"/>
      <w:r>
        <w:rPr>
          <w:rFonts w:hint="eastAsia"/>
          <w:color w:val="auto"/>
          <w:highlight w:val="none"/>
        </w:rPr>
        <w:t xml:space="preserve"> 投标人须知</w:t>
      </w:r>
      <w:bookmarkEnd w:id="12"/>
      <w:bookmarkEnd w:id="14"/>
    </w:p>
    <w:p w14:paraId="0451BA9C">
      <w:pPr>
        <w:pStyle w:val="3"/>
        <w:ind w:firstLine="0" w:firstLineChars="0"/>
        <w:jc w:val="center"/>
        <w:rPr>
          <w:rFonts w:hint="eastAsia"/>
          <w:color w:val="auto"/>
          <w:sz w:val="24"/>
          <w:szCs w:val="24"/>
          <w:highlight w:val="none"/>
        </w:rPr>
      </w:pPr>
      <w:r>
        <w:rPr>
          <w:rFonts w:hint="eastAsia"/>
          <w:color w:val="auto"/>
          <w:sz w:val="24"/>
          <w:szCs w:val="24"/>
          <w:highlight w:val="none"/>
        </w:rPr>
        <w:t>前附表</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0"/>
        <w:gridCol w:w="1964"/>
        <w:gridCol w:w="6492"/>
      </w:tblGrid>
      <w:tr w14:paraId="29DB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67" w:type="pct"/>
          </w:tcPr>
          <w:p w14:paraId="52FE46C6">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076" w:type="pct"/>
            <w:vAlign w:val="center"/>
          </w:tcPr>
          <w:p w14:paraId="358EC29B">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事项</w:t>
            </w:r>
          </w:p>
        </w:tc>
        <w:tc>
          <w:tcPr>
            <w:tcW w:w="3556" w:type="pct"/>
            <w:vAlign w:val="center"/>
          </w:tcPr>
          <w:p w14:paraId="0B41D7DA">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本项目的特别规定</w:t>
            </w:r>
          </w:p>
        </w:tc>
      </w:tr>
      <w:tr w14:paraId="7ABE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367" w:type="pct"/>
            <w:vAlign w:val="center"/>
          </w:tcPr>
          <w:p w14:paraId="2967B09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76" w:type="pct"/>
            <w:vAlign w:val="center"/>
          </w:tcPr>
          <w:p w14:paraId="308537C3">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项目属性</w:t>
            </w:r>
          </w:p>
        </w:tc>
        <w:tc>
          <w:tcPr>
            <w:tcW w:w="3556" w:type="pct"/>
            <w:vAlign w:val="center"/>
          </w:tcPr>
          <w:p w14:paraId="1A01BC3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服务类。</w:t>
            </w:r>
          </w:p>
        </w:tc>
      </w:tr>
      <w:tr w14:paraId="74DF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5" w:hRule="atLeast"/>
        </w:trPr>
        <w:tc>
          <w:tcPr>
            <w:tcW w:w="367" w:type="pct"/>
            <w:vAlign w:val="center"/>
          </w:tcPr>
          <w:p w14:paraId="502371D8">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76" w:type="pct"/>
            <w:vAlign w:val="center"/>
          </w:tcPr>
          <w:p w14:paraId="39988198">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采购标的及其对应的中小企业划分标准所属行业</w:t>
            </w:r>
          </w:p>
        </w:tc>
        <w:tc>
          <w:tcPr>
            <w:tcW w:w="3556" w:type="pct"/>
            <w:vAlign w:val="center"/>
          </w:tcPr>
          <w:p w14:paraId="179B3646">
            <w:pPr>
              <w:spacing w:line="360" w:lineRule="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标的：余杭区政务云平台，属于软件和信息技术服务业；</w:t>
            </w:r>
          </w:p>
          <w:p w14:paraId="2BAF23D1">
            <w:pPr>
              <w:spacing w:line="360" w:lineRule="auto"/>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软件和信息技术服务业中，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F6D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0" w:hRule="atLeast"/>
        </w:trPr>
        <w:tc>
          <w:tcPr>
            <w:tcW w:w="367" w:type="pct"/>
            <w:vAlign w:val="center"/>
          </w:tcPr>
          <w:p w14:paraId="793685A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76" w:type="pct"/>
            <w:vAlign w:val="center"/>
          </w:tcPr>
          <w:p w14:paraId="0555A6F4">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3556" w:type="pct"/>
            <w:vAlign w:val="center"/>
          </w:tcPr>
          <w:p w14:paraId="58CC6FC0">
            <w:pPr>
              <w:spacing w:line="360" w:lineRule="auto"/>
              <w:rPr>
                <w:rFonts w:hint="eastAsia" w:ascii="宋体" w:hAnsi="宋体" w:cs="宋体"/>
                <w:color w:val="auto"/>
                <w:kern w:val="0"/>
                <w:szCs w:val="21"/>
                <w:highlight w:val="none"/>
              </w:rPr>
            </w:pPr>
            <w:sdt>
              <w:sdtPr>
                <w:rPr>
                  <w:rFonts w:hint="eastAsia" w:ascii="宋体" w:hAnsi="宋体" w:cs="宋体"/>
                  <w:color w:val="auto"/>
                  <w:kern w:val="0"/>
                  <w:szCs w:val="21"/>
                  <w:highlight w:val="none"/>
                </w:rPr>
                <w:id w:val="147452340"/>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本项目不允许采购进口产品。</w:t>
            </w:r>
          </w:p>
          <w:p w14:paraId="5AD23721">
            <w:pPr>
              <w:spacing w:line="360" w:lineRule="auto"/>
              <w:rPr>
                <w:rFonts w:hint="eastAsia" w:ascii="宋体" w:hAnsi="宋体" w:cs="宋体"/>
                <w:color w:val="auto"/>
                <w:szCs w:val="21"/>
                <w:highlight w:val="none"/>
              </w:rPr>
            </w:pPr>
            <w:sdt>
              <w:sdtPr>
                <w:rPr>
                  <w:rFonts w:hint="eastAsia" w:ascii="宋体" w:hAnsi="宋体" w:cs="宋体"/>
                  <w:color w:val="auto"/>
                  <w:kern w:val="0"/>
                  <w:szCs w:val="21"/>
                  <w:highlight w:val="none"/>
                </w:rPr>
                <w:id w:val="147456928"/>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cs="宋体"/>
                    <w:color w:val="auto"/>
                    <w:kern w:val="0"/>
                    <w:szCs w:val="21"/>
                    <w:highlight w:val="none"/>
                  </w:rPr>
                  <w:t>☐</w:t>
                </w:r>
              </w:sdtContent>
            </w:sdt>
            <w:r>
              <w:rPr>
                <w:rFonts w:hint="eastAsia" w:ascii="宋体" w:hAnsi="宋体" w:cs="宋体"/>
                <w:color w:val="auto"/>
                <w:kern w:val="0"/>
                <w:szCs w:val="21"/>
                <w:highlight w:val="none"/>
              </w:rPr>
              <w:t>可以就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采购进口产品。</w:t>
            </w:r>
          </w:p>
        </w:tc>
      </w:tr>
      <w:tr w14:paraId="5701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5" w:hRule="atLeast"/>
        </w:trPr>
        <w:tc>
          <w:tcPr>
            <w:tcW w:w="367" w:type="pct"/>
            <w:vAlign w:val="center"/>
          </w:tcPr>
          <w:p w14:paraId="74B8620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076" w:type="pct"/>
            <w:vAlign w:val="center"/>
          </w:tcPr>
          <w:p w14:paraId="49FD1D1F">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分包</w:t>
            </w:r>
          </w:p>
        </w:tc>
        <w:tc>
          <w:tcPr>
            <w:tcW w:w="3556" w:type="pct"/>
            <w:vAlign w:val="center"/>
          </w:tcPr>
          <w:p w14:paraId="6F428756">
            <w:pPr>
              <w:spacing w:line="360" w:lineRule="auto"/>
              <w:rPr>
                <w:rFonts w:hint="eastAsia" w:ascii="宋体" w:hAnsi="宋体" w:cs="宋体"/>
                <w:color w:val="auto"/>
                <w:szCs w:val="21"/>
                <w:highlight w:val="none"/>
              </w:rPr>
            </w:pPr>
            <w:sdt>
              <w:sdtPr>
                <w:rPr>
                  <w:rFonts w:hint="eastAsia" w:ascii="宋体" w:hAnsi="宋体" w:cs="宋体"/>
                  <w:color w:val="auto"/>
                  <w:kern w:val="0"/>
                  <w:szCs w:val="21"/>
                  <w:highlight w:val="none"/>
                </w:rPr>
                <w:id w:val="147482531"/>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同意将非主体、非关键性的</w:t>
            </w:r>
            <w:r>
              <w:rPr>
                <w:rFonts w:hint="eastAsia" w:ascii="宋体" w:hAnsi="宋体" w:cs="宋体"/>
                <w:color w:val="auto"/>
                <w:szCs w:val="21"/>
                <w:highlight w:val="none"/>
                <w:u w:val="single"/>
              </w:rPr>
              <w:t xml:space="preserve"> 部分运维服务和安全服务 </w:t>
            </w:r>
            <w:r>
              <w:rPr>
                <w:rFonts w:hint="eastAsia" w:ascii="宋体" w:hAnsi="宋体" w:cs="宋体"/>
                <w:color w:val="auto"/>
                <w:szCs w:val="21"/>
                <w:highlight w:val="none"/>
              </w:rPr>
              <w:t>工作分包。</w:t>
            </w:r>
            <w:sdt>
              <w:sdtPr>
                <w:rPr>
                  <w:rFonts w:hint="eastAsia" w:ascii="宋体" w:hAnsi="宋体" w:cs="宋体"/>
                  <w:color w:val="auto"/>
                  <w:kern w:val="0"/>
                  <w:szCs w:val="21"/>
                  <w:highlight w:val="none"/>
                </w:rPr>
                <w:id w:val="147477713"/>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eastAsia="MS Gothic" w:cs="宋体"/>
                    <w:color w:val="auto"/>
                    <w:kern w:val="0"/>
                    <w:szCs w:val="21"/>
                    <w:highlight w:val="none"/>
                  </w:rPr>
                  <w:t>☐</w:t>
                </w:r>
              </w:sdtContent>
            </w:sdt>
            <w:r>
              <w:rPr>
                <w:rFonts w:hint="eastAsia" w:ascii="宋体" w:hAnsi="宋体" w:cs="宋体"/>
                <w:color w:val="auto"/>
                <w:kern w:val="0"/>
                <w:szCs w:val="21"/>
                <w:highlight w:val="none"/>
              </w:rPr>
              <w:t xml:space="preserve"> B</w:t>
            </w:r>
            <w:r>
              <w:rPr>
                <w:rFonts w:hint="eastAsia" w:ascii="宋体" w:hAnsi="宋体" w:cs="宋体"/>
                <w:color w:val="auto"/>
                <w:szCs w:val="21"/>
                <w:highlight w:val="none"/>
              </w:rPr>
              <w:t>不同意分包。</w:t>
            </w:r>
          </w:p>
          <w:p w14:paraId="27A98D3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注：不得限制大中型企业向小微企业合理分包。</w:t>
            </w:r>
          </w:p>
        </w:tc>
      </w:tr>
      <w:tr w14:paraId="0C61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trPr>
        <w:tc>
          <w:tcPr>
            <w:tcW w:w="367" w:type="pct"/>
            <w:vAlign w:val="center"/>
          </w:tcPr>
          <w:p w14:paraId="16E1E1F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076" w:type="pct"/>
            <w:vAlign w:val="center"/>
          </w:tcPr>
          <w:p w14:paraId="1A74AC9E">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开标前答疑会或现场考察</w:t>
            </w:r>
          </w:p>
        </w:tc>
        <w:tc>
          <w:tcPr>
            <w:tcW w:w="3556" w:type="pct"/>
            <w:vAlign w:val="center"/>
          </w:tcPr>
          <w:p w14:paraId="079B4CCE">
            <w:pPr>
              <w:spacing w:line="360" w:lineRule="auto"/>
              <w:rPr>
                <w:rFonts w:hint="eastAsia" w:ascii="宋体" w:hAnsi="宋体" w:cs="宋体"/>
                <w:color w:val="auto"/>
                <w:szCs w:val="21"/>
                <w:highlight w:val="none"/>
              </w:rPr>
            </w:pPr>
            <w:sdt>
              <w:sdtPr>
                <w:rPr>
                  <w:rFonts w:hint="eastAsia" w:ascii="宋体" w:hAnsi="宋体" w:cs="宋体"/>
                  <w:color w:val="auto"/>
                  <w:kern w:val="0"/>
                  <w:szCs w:val="21"/>
                  <w:highlight w:val="none"/>
                </w:rPr>
                <w:id w:val="14747595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52EED334">
            <w:pPr>
              <w:spacing w:line="360" w:lineRule="auto"/>
              <w:rPr>
                <w:rFonts w:hint="eastAsia" w:ascii="宋体" w:hAnsi="宋体" w:cs="宋体"/>
                <w:color w:val="auto"/>
                <w:szCs w:val="21"/>
                <w:highlight w:val="none"/>
              </w:rPr>
            </w:pPr>
            <w:sdt>
              <w:sdtPr>
                <w:rPr>
                  <w:rFonts w:hint="eastAsia" w:ascii="宋体" w:hAnsi="宋体" w:cs="宋体"/>
                  <w:color w:val="auto"/>
                  <w:kern w:val="0"/>
                  <w:szCs w:val="21"/>
                  <w:highlight w:val="none"/>
                </w:rPr>
                <w:id w:val="147471257"/>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B组织，</w:t>
            </w: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r>
      <w:tr w14:paraId="44A9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67" w:type="pct"/>
            <w:vAlign w:val="center"/>
          </w:tcPr>
          <w:p w14:paraId="1A307EB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076" w:type="pct"/>
            <w:vAlign w:val="center"/>
          </w:tcPr>
          <w:p w14:paraId="468F40CC">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样品提供</w:t>
            </w:r>
          </w:p>
        </w:tc>
        <w:tc>
          <w:tcPr>
            <w:tcW w:w="3556" w:type="pct"/>
            <w:vAlign w:val="center"/>
          </w:tcPr>
          <w:p w14:paraId="0231CF0C">
            <w:pPr>
              <w:spacing w:line="360" w:lineRule="auto"/>
              <w:rPr>
                <w:rFonts w:hint="eastAsia" w:ascii="宋体" w:hAnsi="宋体" w:cs="宋体"/>
                <w:color w:val="auto"/>
                <w:szCs w:val="21"/>
                <w:highlight w:val="none"/>
              </w:rPr>
            </w:pPr>
            <w:sdt>
              <w:sdtPr>
                <w:rPr>
                  <w:rFonts w:hint="eastAsia" w:ascii="宋体" w:hAnsi="宋体" w:cs="宋体"/>
                  <w:color w:val="auto"/>
                  <w:kern w:val="0"/>
                  <w:szCs w:val="21"/>
                  <w:highlight w:val="none"/>
                </w:rPr>
                <w:id w:val="147478098"/>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53EAFAAE">
            <w:pPr>
              <w:spacing w:line="360" w:lineRule="auto"/>
              <w:rPr>
                <w:rFonts w:hint="eastAsia" w:ascii="宋体" w:hAnsi="宋体" w:cs="宋体"/>
                <w:color w:val="auto"/>
                <w:kern w:val="0"/>
                <w:szCs w:val="21"/>
                <w:highlight w:val="none"/>
              </w:rPr>
            </w:pPr>
            <w:sdt>
              <w:sdtPr>
                <w:rPr>
                  <w:rFonts w:hint="eastAsia" w:ascii="宋体" w:hAnsi="宋体" w:cs="宋体"/>
                  <w:color w:val="auto"/>
                  <w:kern w:val="0"/>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B要求提供，</w:t>
            </w:r>
          </w:p>
          <w:p w14:paraId="396FB63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4CE2A576">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样品制作的标准和要求：</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3A7E34E7">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523E73A3">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sdt>
              <w:sdtPr>
                <w:rPr>
                  <w:rFonts w:hint="eastAsia" w:ascii="宋体" w:hAnsi="宋体" w:cs="宋体"/>
                  <w:color w:val="auto"/>
                  <w:kern w:val="0"/>
                  <w:szCs w:val="21"/>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41DBB12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（5）提供样品的时间：</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；联系人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28"/>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。请投标人在上述时间内提供样品并按规定位置安装完毕。超过截止时间的，采购人或采购代理机构将不予接收，并将清场并封闭样品现场。</w:t>
            </w:r>
          </w:p>
          <w:p w14:paraId="04B59E63">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8A2068B">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（7）制作、运输、安装和保管样品所发生的一切费用由投标人自理。</w:t>
            </w:r>
          </w:p>
        </w:tc>
      </w:tr>
      <w:tr w14:paraId="1F03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9" w:hRule="atLeast"/>
        </w:trPr>
        <w:tc>
          <w:tcPr>
            <w:tcW w:w="367" w:type="pct"/>
            <w:vAlign w:val="center"/>
          </w:tcPr>
          <w:p w14:paraId="6C7A6B8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076" w:type="pct"/>
            <w:vAlign w:val="center"/>
          </w:tcPr>
          <w:p w14:paraId="77AA34C6">
            <w:pPr>
              <w:snapToGrid w:val="0"/>
              <w:spacing w:line="360" w:lineRule="auto"/>
              <w:jc w:val="center"/>
              <w:rPr>
                <w:rFonts w:hint="eastAsia" w:ascii="宋体" w:hAnsi="宋体" w:cs="宋体"/>
                <w:bCs/>
                <w:color w:val="auto"/>
                <w:szCs w:val="21"/>
                <w:highlight w:val="none"/>
              </w:rPr>
            </w:pPr>
            <w:r>
              <w:rPr>
                <w:rFonts w:hint="eastAsia" w:ascii="宋体" w:hAnsi="宋体" w:cs="宋体"/>
                <w:b/>
                <w:color w:val="auto"/>
                <w:szCs w:val="21"/>
                <w:highlight w:val="none"/>
              </w:rPr>
              <w:t>方案讲解演示</w:t>
            </w:r>
          </w:p>
        </w:tc>
        <w:tc>
          <w:tcPr>
            <w:tcW w:w="3556" w:type="pct"/>
            <w:vAlign w:val="center"/>
          </w:tcPr>
          <w:p w14:paraId="24EE5751">
            <w:pPr>
              <w:spacing w:line="360" w:lineRule="auto"/>
              <w:rPr>
                <w:rFonts w:hint="eastAsia" w:ascii="宋体" w:hAnsi="宋体" w:cs="宋体"/>
                <w:color w:val="auto"/>
                <w:szCs w:val="21"/>
                <w:highlight w:val="none"/>
              </w:rPr>
            </w:pPr>
            <w:sdt>
              <w:sdtPr>
                <w:rPr>
                  <w:rFonts w:hint="eastAsia" w:ascii="宋体" w:hAnsi="宋体" w:cs="宋体"/>
                  <w:color w:val="auto"/>
                  <w:kern w:val="0"/>
                  <w:szCs w:val="21"/>
                  <w:highlight w:val="none"/>
                </w:rPr>
                <w:id w:val="147476160"/>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MS Gothic" w:hAnsi="MS Gothic"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4CFE8221">
            <w:pPr>
              <w:spacing w:line="360" w:lineRule="auto"/>
              <w:rPr>
                <w:rFonts w:hint="eastAsia" w:ascii="宋体" w:hAnsi="宋体" w:cs="宋体"/>
                <w:b/>
                <w:color w:val="auto"/>
                <w:kern w:val="0"/>
                <w:szCs w:val="21"/>
                <w:highlight w:val="none"/>
                <w:lang w:val="zh-CN"/>
              </w:rPr>
            </w:pPr>
            <w:sdt>
              <w:sdtPr>
                <w:rPr>
                  <w:rFonts w:hint="eastAsia" w:ascii="宋体" w:hAnsi="宋体" w:cs="宋体"/>
                  <w:color w:val="auto"/>
                  <w:kern w:val="0"/>
                  <w:szCs w:val="21"/>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þ</w:t>
                </w:r>
              </w:sdtContent>
            </w:sdt>
            <w:r>
              <w:rPr>
                <w:rFonts w:hint="eastAsia" w:ascii="宋体" w:hAnsi="宋体" w:cs="宋体"/>
                <w:color w:val="auto"/>
                <w:kern w:val="0"/>
                <w:szCs w:val="21"/>
                <w:highlight w:val="none"/>
              </w:rPr>
              <w:t>B组织。</w:t>
            </w:r>
            <w:r>
              <w:rPr>
                <w:rFonts w:hint="eastAsia" w:ascii="宋体" w:hAnsi="宋体" w:cs="宋体"/>
                <w:color w:val="auto"/>
                <w:kern w:val="0"/>
                <w:szCs w:val="21"/>
                <w:highlight w:val="none"/>
                <w:lang w:val="zh-CN"/>
              </w:rPr>
              <w:t>详细要求见招标文件第三部“采购需求”。</w:t>
            </w:r>
          </w:p>
        </w:tc>
      </w:tr>
      <w:tr w14:paraId="68D8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367" w:type="pct"/>
            <w:vMerge w:val="restart"/>
            <w:vAlign w:val="center"/>
          </w:tcPr>
          <w:p w14:paraId="1F30ACF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076" w:type="pct"/>
            <w:vMerge w:val="restart"/>
            <w:vAlign w:val="center"/>
          </w:tcPr>
          <w:p w14:paraId="3B5A74B7">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投标人应当提供的资格、资信证明文件</w:t>
            </w:r>
          </w:p>
        </w:tc>
        <w:tc>
          <w:tcPr>
            <w:tcW w:w="3556" w:type="pct"/>
            <w:vAlign w:val="center"/>
          </w:tcPr>
          <w:p w14:paraId="36E686A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（1）资格证明文件：见招标文件第二部分11.1。</w:t>
            </w:r>
          </w:p>
          <w:p w14:paraId="500FC43B">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Cs w:val="21"/>
                <w:highlight w:val="none"/>
                <w:lang w:val="zh-CN"/>
              </w:rPr>
              <w:t>投标人未提供有效的资格证明文件的，视为投标人不具备招标文件中规定的资格要求，投标无效。</w:t>
            </w:r>
          </w:p>
        </w:tc>
      </w:tr>
      <w:tr w14:paraId="7EC7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trPr>
        <w:tc>
          <w:tcPr>
            <w:tcW w:w="367" w:type="pct"/>
            <w:vMerge w:val="continue"/>
          </w:tcPr>
          <w:p w14:paraId="7EC9EB3D">
            <w:pPr>
              <w:snapToGrid w:val="0"/>
              <w:spacing w:line="360" w:lineRule="auto"/>
              <w:jc w:val="center"/>
              <w:rPr>
                <w:rFonts w:hint="eastAsia" w:ascii="宋体" w:hAnsi="宋体" w:cs="宋体"/>
                <w:color w:val="auto"/>
                <w:szCs w:val="21"/>
                <w:highlight w:val="none"/>
              </w:rPr>
            </w:pPr>
          </w:p>
        </w:tc>
        <w:tc>
          <w:tcPr>
            <w:tcW w:w="1076" w:type="pct"/>
            <w:vMerge w:val="continue"/>
            <w:vAlign w:val="center"/>
          </w:tcPr>
          <w:p w14:paraId="75E56E49">
            <w:pPr>
              <w:snapToGrid w:val="0"/>
              <w:spacing w:line="360" w:lineRule="auto"/>
              <w:jc w:val="center"/>
              <w:rPr>
                <w:rFonts w:hint="eastAsia" w:ascii="宋体" w:hAnsi="宋体" w:cs="宋体"/>
                <w:b/>
                <w:color w:val="auto"/>
                <w:szCs w:val="21"/>
                <w:highlight w:val="none"/>
              </w:rPr>
            </w:pPr>
          </w:p>
        </w:tc>
        <w:tc>
          <w:tcPr>
            <w:tcW w:w="3556" w:type="pct"/>
            <w:vAlign w:val="center"/>
          </w:tcPr>
          <w:p w14:paraId="01D17FF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（2）资信证明文件：根据招标文件第四部分评标标准提供。</w:t>
            </w:r>
          </w:p>
        </w:tc>
      </w:tr>
      <w:tr w14:paraId="4CFC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7" w:type="pct"/>
            <w:vAlign w:val="center"/>
          </w:tcPr>
          <w:p w14:paraId="507CD53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076" w:type="pct"/>
            <w:vAlign w:val="center"/>
          </w:tcPr>
          <w:p w14:paraId="49F34322">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节能产品、环境标志产品</w:t>
            </w:r>
          </w:p>
        </w:tc>
        <w:tc>
          <w:tcPr>
            <w:tcW w:w="3556" w:type="pct"/>
            <w:vAlign w:val="center"/>
          </w:tcPr>
          <w:p w14:paraId="12300030">
            <w:pPr>
              <w:snapToGrid w:val="0"/>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488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7" w:type="pct"/>
            <w:vAlign w:val="center"/>
          </w:tcPr>
          <w:p w14:paraId="556FBA73">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076" w:type="pct"/>
            <w:vAlign w:val="center"/>
          </w:tcPr>
          <w:p w14:paraId="538566DE">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3556" w:type="pct"/>
            <w:vAlign w:val="center"/>
          </w:tcPr>
          <w:p w14:paraId="00C8A1F4">
            <w:pPr>
              <w:snapToGrid w:val="0"/>
              <w:spacing w:line="360" w:lineRule="auto"/>
              <w:jc w:val="left"/>
              <w:rPr>
                <w:rFonts w:hint="eastAsia" w:ascii="宋体" w:hAnsi="宋体" w:cs="宋体"/>
                <w:b/>
                <w:color w:val="auto"/>
                <w:kern w:val="0"/>
                <w:szCs w:val="21"/>
                <w:highlight w:val="none"/>
              </w:rPr>
            </w:pPr>
            <w:r>
              <w:rPr>
                <w:rFonts w:hint="eastAsia" w:ascii="宋体" w:hAnsi="宋体" w:cs="宋体"/>
                <w:color w:val="auto"/>
                <w:kern w:val="0"/>
                <w:szCs w:val="21"/>
                <w:highlight w:val="none"/>
                <w:lang w:val="zh-CN"/>
              </w:rPr>
              <w:t>有关本项目实施所需的所有费用（含税费）均计入报价。</w:t>
            </w:r>
            <w:r>
              <w:rPr>
                <w:rFonts w:hint="eastAsia" w:ascii="宋体" w:hAnsi="宋体" w:cs="宋体"/>
                <w:b/>
                <w:bCs/>
                <w:color w:val="auto"/>
                <w:kern w:val="0"/>
                <w:szCs w:val="21"/>
                <w:highlight w:val="none"/>
                <w:lang w:val="zh-CN"/>
              </w:rPr>
              <w:t>投标文件</w:t>
            </w:r>
            <w:r>
              <w:rPr>
                <w:rFonts w:hint="eastAsia" w:ascii="宋体" w:hAnsi="宋体" w:cs="宋体"/>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Cs w:val="21"/>
                <w:highlight w:val="none"/>
                <w:lang w:val="zh-CN"/>
              </w:rPr>
              <w:t>投标文件中价格全部采用人民币报价。招标文件未列明，而投标人认为必需的费用也需列入报价。</w:t>
            </w:r>
            <w:r>
              <w:rPr>
                <w:rFonts w:hint="eastAsia" w:ascii="宋体" w:hAnsi="宋体" w:cs="宋体"/>
                <w:b/>
                <w:color w:val="auto"/>
                <w:kern w:val="0"/>
                <w:szCs w:val="21"/>
                <w:highlight w:val="none"/>
              </w:rPr>
              <w:t>1.</w:t>
            </w:r>
            <w:r>
              <w:rPr>
                <w:rFonts w:hint="eastAsia" w:ascii="宋体" w:hAnsi="宋体" w:cs="宋体"/>
                <w:b/>
                <w:color w:val="auto"/>
                <w:kern w:val="0"/>
                <w:szCs w:val="21"/>
                <w:highlight w:val="none"/>
                <w:lang w:val="zh-CN"/>
              </w:rPr>
              <w:t>提醒：验收时检测费用由采购人承担，不包含在投标总价中。</w:t>
            </w:r>
            <w:r>
              <w:rPr>
                <w:rFonts w:hint="eastAsia" w:ascii="宋体" w:hAnsi="宋体" w:cs="宋体"/>
                <w:b/>
                <w:color w:val="auto"/>
                <w:kern w:val="0"/>
                <w:szCs w:val="21"/>
                <w:highlight w:val="none"/>
              </w:rPr>
              <w:t>2.供应商报价低于项目预算50%的，应当在报价文件中详细阐述不影响产品质量或者诚信履约的具体原因。</w:t>
            </w:r>
          </w:p>
          <w:p w14:paraId="77288C4C">
            <w:pPr>
              <w:snapToGrid w:val="0"/>
              <w:spacing w:line="360" w:lineRule="auto"/>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投标报价出现下列情形的，投标无效：</w:t>
            </w:r>
          </w:p>
          <w:p w14:paraId="4FA359B5">
            <w:pPr>
              <w:snapToGrid w:val="0"/>
              <w:spacing w:line="360" w:lineRule="auto"/>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14:paraId="70B68112">
            <w:pPr>
              <w:snapToGrid w:val="0"/>
              <w:spacing w:line="360" w:lineRule="auto"/>
              <w:jc w:val="left"/>
              <w:rPr>
                <w:rFonts w:hint="eastAsia"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投标报价超过招标文件中规定的预算金额或者最高限价的；</w:t>
            </w:r>
          </w:p>
          <w:p w14:paraId="6D35FD42">
            <w:pPr>
              <w:spacing w:line="360" w:lineRule="auto"/>
              <w:rPr>
                <w:rFonts w:hint="eastAsia"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Cs w:val="21"/>
                <w:highlight w:val="none"/>
                <w:lang w:eastAsia="zh-CN"/>
              </w:rPr>
              <w:t>；</w:t>
            </w:r>
          </w:p>
          <w:p w14:paraId="735A380E">
            <w:pPr>
              <w:spacing w:line="360" w:lineRule="auto"/>
              <w:rPr>
                <w:rFonts w:hint="eastAsia" w:ascii="宋体" w:hAnsi="宋体" w:cs="宋体"/>
                <w:color w:val="auto"/>
                <w:szCs w:val="21"/>
                <w:highlight w:val="none"/>
              </w:rPr>
            </w:pPr>
            <w:r>
              <w:rPr>
                <w:rFonts w:hint="eastAsia" w:ascii="宋体" w:hAnsi="宋体" w:cs="宋体"/>
                <w:b/>
                <w:color w:val="auto"/>
                <w:kern w:val="0"/>
                <w:szCs w:val="21"/>
                <w:highlight w:val="none"/>
              </w:rPr>
              <w:t>投标人对根据修正原则修正后的报价不确认的</w:t>
            </w:r>
            <w:r>
              <w:rPr>
                <w:rFonts w:hint="eastAsia" w:ascii="宋体" w:hAnsi="宋体" w:cs="宋体"/>
                <w:b/>
                <w:color w:val="auto"/>
                <w:szCs w:val="21"/>
                <w:highlight w:val="none"/>
              </w:rPr>
              <w:t>。</w:t>
            </w:r>
          </w:p>
        </w:tc>
      </w:tr>
      <w:tr w14:paraId="6992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7" w:type="pct"/>
            <w:vAlign w:val="center"/>
          </w:tcPr>
          <w:p w14:paraId="2B054A4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076" w:type="pct"/>
            <w:vAlign w:val="center"/>
          </w:tcPr>
          <w:p w14:paraId="05587DD0">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推荐中标候选人数量</w:t>
            </w:r>
          </w:p>
        </w:tc>
        <w:tc>
          <w:tcPr>
            <w:tcW w:w="3556" w:type="pct"/>
            <w:vAlign w:val="center"/>
          </w:tcPr>
          <w:p w14:paraId="6973F272">
            <w:pPr>
              <w:spacing w:line="360" w:lineRule="auto"/>
              <w:rPr>
                <w:rFonts w:hint="eastAsia" w:eastAsia="宋体"/>
                <w:color w:val="auto"/>
                <w:highlight w:val="none"/>
                <w:lang w:eastAsia="zh-CN"/>
              </w:rPr>
            </w:pPr>
            <w:r>
              <w:rPr>
                <w:rFonts w:hint="eastAsia" w:ascii="宋体" w:hAnsi="宋体" w:cs="宋体"/>
                <w:b/>
                <w:color w:val="auto"/>
                <w:kern w:val="0"/>
                <w:szCs w:val="21"/>
                <w:highlight w:val="none"/>
              </w:rPr>
              <w:t>推荐1名中标候选人</w:t>
            </w:r>
            <w:r>
              <w:rPr>
                <w:rFonts w:hint="eastAsia" w:ascii="宋体" w:hAnsi="宋体" w:cs="宋体"/>
                <w:b/>
                <w:color w:val="auto"/>
                <w:kern w:val="0"/>
                <w:szCs w:val="21"/>
                <w:highlight w:val="none"/>
                <w:lang w:eastAsia="zh-CN"/>
              </w:rPr>
              <w:t>。</w:t>
            </w:r>
          </w:p>
        </w:tc>
      </w:tr>
      <w:tr w14:paraId="3774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6" w:hRule="atLeast"/>
        </w:trPr>
        <w:tc>
          <w:tcPr>
            <w:tcW w:w="367" w:type="pct"/>
            <w:vAlign w:val="center"/>
          </w:tcPr>
          <w:p w14:paraId="5B09654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076" w:type="pct"/>
            <w:vAlign w:val="center"/>
          </w:tcPr>
          <w:p w14:paraId="7A658001">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中小企业信用融资</w:t>
            </w:r>
          </w:p>
        </w:tc>
        <w:tc>
          <w:tcPr>
            <w:tcW w:w="3556" w:type="pct"/>
            <w:vAlign w:val="center"/>
          </w:tcPr>
          <w:p w14:paraId="4C74446A">
            <w:p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089B31C4">
            <w:pPr>
              <w:spacing w:line="360" w:lineRule="auto"/>
              <w:rPr>
                <w:rFonts w:hint="eastAsia" w:ascii="宋体" w:hAnsi="宋体" w:cs="宋体"/>
                <w:color w:val="auto"/>
                <w:szCs w:val="21"/>
                <w:highlight w:val="none"/>
              </w:rPr>
            </w:pPr>
            <w:r>
              <w:rPr>
                <w:rFonts w:hint="eastAsia" w:ascii="宋体" w:hAnsi="宋体" w:cs="宋体"/>
                <w:bCs/>
                <w:color w:val="auto"/>
                <w:kern w:val="0"/>
                <w:szCs w:val="21"/>
                <w:highlight w:val="none"/>
              </w:rPr>
              <w:t>供应商中标后也可在“政采云”平台申请政采贷：操作路径：登录政采云平台</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金融服务中心</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【融资服务】，可在热门申请中选择产品直接申请，也可点击云智贷匹配适合产品进行申请，或者在可申请项目中根据该项目进行申请。</w:t>
            </w:r>
          </w:p>
        </w:tc>
      </w:tr>
      <w:tr w14:paraId="59D0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4" w:hRule="atLeast"/>
        </w:trPr>
        <w:tc>
          <w:tcPr>
            <w:tcW w:w="367" w:type="pct"/>
            <w:vAlign w:val="center"/>
          </w:tcPr>
          <w:p w14:paraId="5B67DFA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076" w:type="pct"/>
            <w:vAlign w:val="center"/>
          </w:tcPr>
          <w:p w14:paraId="1DE8B176">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备份投标文件送达地点和签收人员</w:t>
            </w:r>
          </w:p>
        </w:tc>
        <w:tc>
          <w:tcPr>
            <w:tcW w:w="3556" w:type="pct"/>
            <w:vAlign w:val="center"/>
          </w:tcPr>
          <w:p w14:paraId="6594BE25">
            <w:pPr>
              <w:pStyle w:val="32"/>
              <w:spacing w:line="360" w:lineRule="auto"/>
              <w:rPr>
                <w:rFonts w:hint="eastAsia" w:hAnsi="宋体" w:cs="宋体"/>
                <w:color w:val="auto"/>
                <w:kern w:val="28"/>
                <w:highlight w:val="none"/>
              </w:rPr>
            </w:pPr>
            <w:r>
              <w:rPr>
                <w:rFonts w:hint="eastAsia" w:hAnsi="宋体" w:cs="宋体"/>
                <w:color w:val="auto"/>
                <w:kern w:val="28"/>
                <w:highlight w:val="none"/>
              </w:rPr>
              <w:t>备份投标文件送达地点：</w:t>
            </w:r>
            <w:r>
              <w:rPr>
                <w:rFonts w:hint="eastAsia" w:hAnsi="宋体" w:cs="宋体"/>
                <w:color w:val="auto"/>
                <w:highlight w:val="none"/>
                <w:u w:val="single"/>
              </w:rPr>
              <w:t>杭州市文晖路42号现代置业大厦西楼17楼1704室</w:t>
            </w:r>
            <w:r>
              <w:rPr>
                <w:rFonts w:hint="eastAsia" w:hAnsi="宋体" w:cs="宋体"/>
                <w:color w:val="auto"/>
                <w:kern w:val="28"/>
                <w:highlight w:val="none"/>
              </w:rPr>
              <w:t>；备份投标文件签收人员联系电话：</w:t>
            </w:r>
            <w:r>
              <w:rPr>
                <w:rFonts w:hint="eastAsia" w:hAnsi="宋体" w:cs="宋体"/>
                <w:color w:val="auto"/>
                <w:kern w:val="28"/>
                <w:highlight w:val="none"/>
                <w:u w:val="single"/>
              </w:rPr>
              <w:t>何颖楹，15700073181</w:t>
            </w:r>
            <w:r>
              <w:rPr>
                <w:rFonts w:hint="eastAsia" w:hAnsi="宋体" w:cs="宋体"/>
                <w:color w:val="auto"/>
                <w:highlight w:val="none"/>
              </w:rPr>
              <w:t>。</w:t>
            </w:r>
          </w:p>
        </w:tc>
      </w:tr>
      <w:tr w14:paraId="139D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7" w:type="pct"/>
            <w:vMerge w:val="restart"/>
            <w:vAlign w:val="center"/>
          </w:tcPr>
          <w:p w14:paraId="0359F87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076" w:type="pct"/>
            <w:vMerge w:val="restart"/>
            <w:vAlign w:val="center"/>
          </w:tcPr>
          <w:p w14:paraId="13A79D76">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特别说明</w:t>
            </w:r>
          </w:p>
        </w:tc>
        <w:tc>
          <w:tcPr>
            <w:tcW w:w="3556" w:type="pct"/>
            <w:vAlign w:val="center"/>
          </w:tcPr>
          <w:p w14:paraId="34CD2E26">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联合体投标的，联合体各方分别提供与联合体协议中规定的分工内容相应的业绩证明材料，业绩数量以提供材料较少的一方为准。</w:t>
            </w:r>
          </w:p>
        </w:tc>
      </w:tr>
      <w:tr w14:paraId="1C46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7" w:type="pct"/>
            <w:vMerge w:val="continue"/>
            <w:vAlign w:val="center"/>
          </w:tcPr>
          <w:p w14:paraId="0AA256F5">
            <w:pPr>
              <w:snapToGrid w:val="0"/>
              <w:spacing w:line="360" w:lineRule="auto"/>
              <w:jc w:val="center"/>
              <w:rPr>
                <w:rFonts w:hint="eastAsia" w:ascii="宋体" w:hAnsi="宋体" w:cs="宋体"/>
                <w:color w:val="auto"/>
                <w:szCs w:val="21"/>
                <w:highlight w:val="none"/>
              </w:rPr>
            </w:pPr>
          </w:p>
        </w:tc>
        <w:tc>
          <w:tcPr>
            <w:tcW w:w="1076" w:type="pct"/>
            <w:vMerge w:val="continue"/>
            <w:vAlign w:val="center"/>
          </w:tcPr>
          <w:p w14:paraId="51791427">
            <w:pPr>
              <w:snapToGrid w:val="0"/>
              <w:spacing w:line="360" w:lineRule="auto"/>
              <w:jc w:val="center"/>
              <w:rPr>
                <w:rFonts w:hint="eastAsia" w:ascii="宋体" w:hAnsi="宋体" w:cs="宋体"/>
                <w:b/>
                <w:color w:val="auto"/>
                <w:szCs w:val="21"/>
                <w:highlight w:val="none"/>
              </w:rPr>
            </w:pPr>
          </w:p>
        </w:tc>
        <w:tc>
          <w:tcPr>
            <w:tcW w:w="3556" w:type="pct"/>
            <w:vAlign w:val="center"/>
          </w:tcPr>
          <w:p w14:paraId="00B5F3DC">
            <w:pPr>
              <w:spacing w:line="360" w:lineRule="auto"/>
              <w:rPr>
                <w:rFonts w:hint="eastAsia" w:ascii="宋体" w:hAnsi="宋体" w:cs="宋体"/>
                <w:snapToGrid w:val="0"/>
                <w:color w:val="auto"/>
                <w:kern w:val="28"/>
                <w:szCs w:val="21"/>
                <w:highlight w:val="none"/>
              </w:rPr>
            </w:pPr>
            <w:sdt>
              <w:sdtPr>
                <w:rPr>
                  <w:rFonts w:hint="eastAsia" w:ascii="宋体" w:hAnsi="宋体" w:cs="宋体"/>
                  <w:color w:val="auto"/>
                  <w:kern w:val="0"/>
                  <w:szCs w:val="21"/>
                  <w:highlight w:val="none"/>
                </w:rPr>
                <w:id w:val="14745215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eastAsia="MS Gothic" w:cs="宋体"/>
                    <w:color w:val="auto"/>
                    <w:kern w:val="0"/>
                    <w:szCs w:val="21"/>
                    <w:highlight w:val="none"/>
                  </w:rPr>
                  <w:t>☐</w:t>
                </w:r>
              </w:sdtContent>
            </w:sdt>
            <w:r>
              <w:rPr>
                <w:rFonts w:hint="eastAsia" w:ascii="宋体" w:hAnsi="宋体" w:cs="宋体"/>
                <w:snapToGrid w:val="0"/>
                <w:color w:val="auto"/>
                <w:kern w:val="28"/>
                <w:szCs w:val="21"/>
                <w:highlight w:val="none"/>
              </w:rPr>
              <w:t>联合体投标的，联合体各方均需按招标文件第四部分评标标准要求提供资信证明文件，否则视为不符合相关要求。</w:t>
            </w:r>
          </w:p>
          <w:p w14:paraId="3035B41C">
            <w:pPr>
              <w:spacing w:line="360" w:lineRule="auto"/>
              <w:rPr>
                <w:rFonts w:hint="eastAsia" w:ascii="宋体" w:hAnsi="宋体" w:cs="宋体"/>
                <w:snapToGrid w:val="0"/>
                <w:color w:val="auto"/>
                <w:kern w:val="28"/>
                <w:szCs w:val="21"/>
                <w:highlight w:val="none"/>
              </w:rPr>
            </w:pPr>
            <w:sdt>
              <w:sdtPr>
                <w:rPr>
                  <w:rFonts w:hint="eastAsia" w:ascii="宋体" w:hAnsi="宋体" w:cs="宋体"/>
                  <w:color w:val="auto"/>
                  <w:kern w:val="0"/>
                  <w:szCs w:val="21"/>
                  <w:highlight w:val="none"/>
                </w:rPr>
                <w:id w:val="147453900"/>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snapToGrid w:val="0"/>
                <w:color w:val="auto"/>
                <w:kern w:val="28"/>
                <w:szCs w:val="21"/>
                <w:highlight w:val="none"/>
              </w:rPr>
              <w:t>联合体投标的，联合体中有一方或者联合体成员根据分工按招标文件第四部分评标标准要求提供资信证明文件的，视为</w:t>
            </w:r>
            <w:r>
              <w:rPr>
                <w:rFonts w:hint="eastAsia" w:ascii="宋体" w:hAnsi="宋体" w:cs="宋体"/>
                <w:snapToGrid w:val="0"/>
                <w:color w:val="auto"/>
                <w:kern w:val="28"/>
                <w:szCs w:val="21"/>
                <w:highlight w:val="none"/>
                <w:lang w:eastAsia="zh-CN"/>
              </w:rPr>
              <w:t>符合</w:t>
            </w:r>
            <w:r>
              <w:rPr>
                <w:rFonts w:hint="eastAsia" w:ascii="宋体" w:hAnsi="宋体" w:cs="宋体"/>
                <w:snapToGrid w:val="0"/>
                <w:color w:val="auto"/>
                <w:kern w:val="28"/>
                <w:szCs w:val="21"/>
                <w:highlight w:val="none"/>
              </w:rPr>
              <w:t>相关要求。</w:t>
            </w:r>
          </w:p>
        </w:tc>
      </w:tr>
      <w:tr w14:paraId="7028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7" w:type="pct"/>
            <w:vAlign w:val="center"/>
          </w:tcPr>
          <w:p w14:paraId="1E04F7C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076" w:type="pct"/>
            <w:vAlign w:val="center"/>
          </w:tcPr>
          <w:p w14:paraId="2CBEDFE6">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招标代理机构</w:t>
            </w:r>
          </w:p>
          <w:p w14:paraId="362BE1D2">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代理费用</w:t>
            </w:r>
          </w:p>
        </w:tc>
        <w:tc>
          <w:tcPr>
            <w:tcW w:w="3556" w:type="pct"/>
            <w:vAlign w:val="center"/>
          </w:tcPr>
          <w:p w14:paraId="711B9315">
            <w:pPr>
              <w:spacing w:line="360" w:lineRule="auto"/>
              <w:rPr>
                <w:rFonts w:hint="eastAsia" w:ascii="宋体" w:hAnsi="宋体" w:cs="宋体"/>
                <w:color w:val="auto"/>
                <w:kern w:val="0"/>
                <w:szCs w:val="21"/>
                <w:highlight w:val="none"/>
              </w:rPr>
            </w:pPr>
            <w:r>
              <w:rPr>
                <w:rFonts w:hint="eastAsia" w:ascii="宋体" w:hAnsi="宋体" w:cs="宋体"/>
                <w:snapToGrid w:val="0"/>
                <w:color w:val="auto"/>
                <w:kern w:val="28"/>
                <w:szCs w:val="21"/>
                <w:highlight w:val="none"/>
              </w:rPr>
              <w:t>本项目招标代理服务费由采购人支付。</w:t>
            </w:r>
          </w:p>
        </w:tc>
      </w:tr>
    </w:tbl>
    <w:p w14:paraId="3093B18E">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br w:type="page"/>
      </w:r>
    </w:p>
    <w:bookmarkEnd w:id="13"/>
    <w:p w14:paraId="5CDF6CAC">
      <w:pPr>
        <w:pStyle w:val="4"/>
        <w:rPr>
          <w:color w:val="auto"/>
          <w:highlight w:val="none"/>
        </w:rPr>
      </w:pPr>
      <w:bookmarkStart w:id="15" w:name="第三部分"/>
      <w:bookmarkStart w:id="16" w:name="_Toc164416483"/>
      <w:r>
        <w:rPr>
          <w:rFonts w:hint="eastAsia"/>
          <w:color w:val="auto"/>
          <w:highlight w:val="none"/>
        </w:rPr>
        <w:t>一、总则</w:t>
      </w:r>
    </w:p>
    <w:p w14:paraId="59848748">
      <w:pPr>
        <w:pStyle w:val="4"/>
        <w:rPr>
          <w:rFonts w:hint="eastAsia" w:ascii="宋体" w:hAnsi="宋体" w:cs="宋体"/>
          <w:color w:val="auto"/>
          <w:szCs w:val="21"/>
          <w:highlight w:val="none"/>
        </w:rPr>
      </w:pPr>
      <w:r>
        <w:rPr>
          <w:rFonts w:hint="eastAsia" w:ascii="宋体" w:hAnsi="宋体" w:cs="宋体"/>
          <w:color w:val="auto"/>
          <w:szCs w:val="21"/>
          <w:highlight w:val="none"/>
        </w:rPr>
        <w:t>1.适用范围</w:t>
      </w:r>
    </w:p>
    <w:p w14:paraId="21065491">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w:t>
      </w:r>
      <w:r>
        <w:rPr>
          <w:rFonts w:hint="eastAsia" w:ascii="宋体" w:hAnsi="宋体" w:cs="宋体"/>
          <w:color w:val="auto"/>
          <w:szCs w:val="21"/>
          <w:highlight w:val="none"/>
          <w:lang w:eastAsia="zh-CN"/>
        </w:rPr>
        <w:t>法律法规</w:t>
      </w:r>
      <w:r>
        <w:rPr>
          <w:rFonts w:hint="eastAsia" w:ascii="宋体" w:hAnsi="宋体" w:cs="宋体"/>
          <w:color w:val="auto"/>
          <w:szCs w:val="21"/>
          <w:highlight w:val="none"/>
        </w:rPr>
        <w:t>另有规定的，从其规定）。</w:t>
      </w:r>
    </w:p>
    <w:p w14:paraId="732F4B07">
      <w:pPr>
        <w:pStyle w:val="4"/>
        <w:rPr>
          <w:rFonts w:hint="eastAsia" w:ascii="宋体" w:hAnsi="宋体" w:cs="宋体"/>
          <w:color w:val="auto"/>
          <w:szCs w:val="21"/>
          <w:highlight w:val="none"/>
        </w:rPr>
      </w:pPr>
      <w:r>
        <w:rPr>
          <w:rFonts w:hint="eastAsia" w:ascii="宋体" w:hAnsi="宋体" w:cs="宋体"/>
          <w:color w:val="auto"/>
          <w:szCs w:val="21"/>
          <w:highlight w:val="none"/>
        </w:rPr>
        <w:t>2.定义</w:t>
      </w:r>
    </w:p>
    <w:p w14:paraId="701CD8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2.1“采购人”系指招标公告中载明的本项目的采购人。</w:t>
      </w:r>
    </w:p>
    <w:p w14:paraId="6253D4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2.2“采购代理机构”系指招标公告中载明的本项目的采购代理机构。</w:t>
      </w:r>
    </w:p>
    <w:p w14:paraId="701F1D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2.3“投标人”系指是指响应招标、参加投标竞争的法人、其他组织或者自然人。</w:t>
      </w:r>
    </w:p>
    <w:p w14:paraId="259C7E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2.4“负责人”系指法人企业的法定负责人，或其他组织为法律、行政法规规定代表单位行使职权的主要负责人，或自然人本人。</w:t>
      </w:r>
    </w:p>
    <w:p w14:paraId="076745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6DDC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2.6“电子交易平台”是指本项目政府采购活动所依托的政府采购云平台（https://www.zcygov.cn/）。</w:t>
      </w:r>
    </w:p>
    <w:p w14:paraId="771F643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 系指实质性要求条款，“</w:t>
      </w:r>
      <w:sdt>
        <w:sdtPr>
          <w:rPr>
            <w:rFonts w:hint="eastAsia" w:ascii="宋体" w:hAnsi="宋体" w:cs="宋体"/>
            <w:color w:val="auto"/>
            <w:kern w:val="0"/>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szCs w:val="21"/>
          <w:highlight w:val="none"/>
        </w:rPr>
        <w:t>”系指适用本项目的要求，“</w:t>
      </w:r>
      <w:sdt>
        <w:sdtPr>
          <w:rPr>
            <w:rFonts w:hint="eastAsia" w:ascii="宋体" w:hAnsi="宋体" w:cs="宋体"/>
            <w:color w:val="auto"/>
            <w:kern w:val="0"/>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”系指不适用本项目的要求。</w:t>
      </w:r>
    </w:p>
    <w:p w14:paraId="52ACF872">
      <w:pPr>
        <w:pStyle w:val="4"/>
        <w:rPr>
          <w:rFonts w:hint="eastAsia" w:ascii="宋体" w:hAnsi="宋体" w:cs="宋体"/>
          <w:color w:val="auto"/>
          <w:szCs w:val="21"/>
          <w:highlight w:val="none"/>
        </w:rPr>
      </w:pPr>
      <w:r>
        <w:rPr>
          <w:rFonts w:hint="eastAsia" w:ascii="宋体" w:hAnsi="宋体" w:cs="宋体"/>
          <w:color w:val="auto"/>
          <w:szCs w:val="21"/>
          <w:highlight w:val="none"/>
        </w:rPr>
        <w:t>3.采购项目需要落实的政府采购政策</w:t>
      </w:r>
    </w:p>
    <w:p w14:paraId="3B9217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CD474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3.2支持绿色发展</w:t>
      </w:r>
    </w:p>
    <w:p w14:paraId="0EC5ECEC">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Cs w:val="21"/>
          <w:highlight w:val="none"/>
        </w:rPr>
        <w:t>采购人拟采购的产品属于政府强制采购的节能产品品目清单范围的，投标人未按招标文件要求提供国家确定的认证机构出具的、处于有效期之内的节能产品认证证书的，投标无效。</w:t>
      </w:r>
    </w:p>
    <w:p w14:paraId="19475D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3.2.2修缮、装修类项目采购建材的，采购人应将绿色建筑和绿色建材性能、指标等作为实质性条件纳入招标文件和合同。</w:t>
      </w:r>
    </w:p>
    <w:p w14:paraId="32EA29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Cs w:val="21"/>
          <w:highlight w:val="none"/>
          <w:lang w:eastAsia="zh-CN"/>
        </w:rPr>
        <w:t>》《</w:t>
      </w:r>
      <w:r>
        <w:rPr>
          <w:rFonts w:hint="eastAsia" w:ascii="宋体" w:hAnsi="宋体" w:cs="宋体"/>
          <w:color w:val="auto"/>
          <w:szCs w:val="21"/>
          <w:highlight w:val="none"/>
        </w:rPr>
        <w:t>快递包装政府采购需求标准（试行）》。鼓励采购单位优先采购秸秆环保板材等资源综合利用产品。鼓励采购单位优先采购绿色物流配送服务、提供新能源交通工具的租赁服务。</w:t>
      </w:r>
    </w:p>
    <w:p w14:paraId="689CBE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5E34F3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3.3支持中小企业发展</w:t>
      </w:r>
    </w:p>
    <w:p w14:paraId="259D6F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AA99F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540338AA">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bCs/>
          <w:color w:val="auto"/>
          <w:szCs w:val="21"/>
          <w:highlight w:val="none"/>
        </w:rPr>
        <w:t>3.3.2</w:t>
      </w:r>
      <w:r>
        <w:rPr>
          <w:rFonts w:hint="eastAsia" w:ascii="宋体" w:hAnsi="宋体" w:cs="宋体"/>
          <w:color w:val="auto"/>
          <w:kern w:val="0"/>
          <w:szCs w:val="21"/>
          <w:highlight w:val="none"/>
        </w:rPr>
        <w:t>在政府采购活动中，投标人提供的货物、工程或者服务符合下列情形的，享受中小企业扶持政策：</w:t>
      </w:r>
    </w:p>
    <w:p w14:paraId="3CD2FAB7">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3.3.2.1在货物采购项目中，货物由中小企业制造，即货物由中小企业生产且使用该中小企业商号或者注册商标；</w:t>
      </w:r>
    </w:p>
    <w:p w14:paraId="03DF24B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3.3.2.2在工程采购项目中，工程由中小企业承建，即工程施工单位为中小企业；</w:t>
      </w:r>
    </w:p>
    <w:p w14:paraId="2D975D9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3.3.2.3在服务采购项目中，服务由中小企业承接，即提供服务的人员为中小企业依照《中华人民共和国劳动合同法》订立劳动合同的从业人员。</w:t>
      </w:r>
    </w:p>
    <w:p w14:paraId="35F04F8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在货物采购项目中，投标人提供的货物既有中小企业制造货物，也有大型企业制造货物的，不享受中小企业扶持政策。</w:t>
      </w:r>
    </w:p>
    <w:p w14:paraId="40E8EC4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6D4B48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color w:val="auto"/>
          <w:szCs w:val="21"/>
          <w:highlight w:val="none"/>
        </w:rPr>
        <w:t>10%</w:t>
      </w:r>
      <w:r>
        <w:rPr>
          <w:rFonts w:hint="eastAsia" w:ascii="宋体" w:hAnsi="宋体" w:cs="宋体"/>
          <w:color w:val="auto"/>
          <w:szCs w:val="21"/>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b/>
          <w:bCs/>
          <w:color w:val="auto"/>
          <w:szCs w:val="21"/>
          <w:highlight w:val="none"/>
        </w:rPr>
        <w:t>4%</w:t>
      </w:r>
      <w:r>
        <w:rPr>
          <w:rFonts w:hint="eastAsia" w:ascii="宋体" w:hAnsi="宋体" w:cs="宋体"/>
          <w:color w:val="auto"/>
          <w:szCs w:val="21"/>
          <w:highlight w:val="none"/>
        </w:rPr>
        <w:t>的扣除，用扣除后的价格参加评审。组成联合体或者接受分包的小微企业与联合体内其他企业、分包企业之间存在直接控股、管理关系的，不享受价格扣除优惠政策。</w:t>
      </w:r>
    </w:p>
    <w:p w14:paraId="1712D6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5334F5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w:t>
      </w:r>
      <w:r>
        <w:rPr>
          <w:rFonts w:hint="eastAsia" w:ascii="宋体" w:hAnsi="宋体" w:cs="宋体"/>
          <w:color w:val="auto"/>
          <w:szCs w:val="21"/>
          <w:highlight w:val="none"/>
          <w:lang w:eastAsia="zh-CN"/>
        </w:rPr>
        <w:t>〔2014〕68号</w:t>
      </w:r>
      <w:r>
        <w:rPr>
          <w:rFonts w:hint="eastAsia" w:ascii="宋体" w:hAnsi="宋体" w:cs="宋体"/>
          <w:color w:val="auto"/>
          <w:szCs w:val="21"/>
          <w:highlight w:val="none"/>
        </w:rPr>
        <w:t>）规定的监狱企业并提供由省级以上监狱管理局、戒毒管理局（含新疆生产建设兵团）出具的属于监狱企业证明文件的，视同为小型、微型企业。</w:t>
      </w:r>
    </w:p>
    <w:p w14:paraId="4856ED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DE7B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59205F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14:paraId="333DBD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3.4.1采购人优先采购被认定为首台套产品和“制造精品”的自主创新产品。</w:t>
      </w:r>
    </w:p>
    <w:p w14:paraId="18E544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3.4.2首台套产品</w:t>
      </w:r>
      <w:r>
        <w:rPr>
          <w:rFonts w:hint="eastAsia" w:ascii="宋体" w:hAnsi="宋体" w:cs="宋体"/>
          <w:color w:val="auto"/>
          <w:szCs w:val="21"/>
          <w:highlight w:val="none"/>
        </w:rPr>
        <w:tab/>
      </w:r>
      <w:r>
        <w:rPr>
          <w:rFonts w:hint="eastAsia" w:ascii="宋体" w:hAnsi="宋体" w:cs="宋体"/>
          <w:color w:val="auto"/>
          <w:szCs w:val="21"/>
          <w:highlight w:val="none"/>
        </w:rPr>
        <w:t>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1090E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14:paraId="55021C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平等对待内外资企业和符合条件的破产重整企业，切实保障企业公平竞争，平等维护企业的合法利益。</w:t>
      </w:r>
    </w:p>
    <w:p w14:paraId="68A8AE0C">
      <w:pPr>
        <w:pStyle w:val="4"/>
        <w:rPr>
          <w:color w:val="auto"/>
          <w:szCs w:val="21"/>
          <w:highlight w:val="none"/>
        </w:rPr>
      </w:pPr>
      <w:r>
        <w:rPr>
          <w:rFonts w:hint="eastAsia"/>
          <w:color w:val="auto"/>
          <w:szCs w:val="21"/>
          <w:highlight w:val="none"/>
        </w:rPr>
        <w:t>4.询问、质疑、投诉</w:t>
      </w:r>
    </w:p>
    <w:p w14:paraId="074A80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4.1在线询问、质疑、投诉。根据《浙江省财政厅</w:t>
      </w:r>
      <w:r>
        <w:rPr>
          <w:rFonts w:hint="eastAsia" w:ascii="宋体" w:hAnsi="宋体" w:cs="宋体"/>
          <w:color w:val="auto"/>
          <w:szCs w:val="21"/>
          <w:highlight w:val="none"/>
        </w:rPr>
        <w:t>关于</w:t>
      </w:r>
      <w:r>
        <w:rPr>
          <w:rFonts w:hint="eastAsia" w:ascii="宋体" w:hAnsi="宋体" w:cs="宋体"/>
          <w:color w:val="auto"/>
          <w:szCs w:val="21"/>
          <w:highlight w:val="none"/>
          <w:lang w:val="zh-CN"/>
        </w:rPr>
        <w:t>进一步促进</w:t>
      </w:r>
      <w:r>
        <w:rPr>
          <w:rFonts w:hint="eastAsia" w:ascii="宋体" w:hAnsi="宋体" w:cs="宋体"/>
          <w:color w:val="auto"/>
          <w:szCs w:val="21"/>
          <w:highlight w:val="none"/>
        </w:rPr>
        <w:t>政府采购</w:t>
      </w:r>
      <w:r>
        <w:rPr>
          <w:rFonts w:hint="eastAsia" w:ascii="宋体" w:hAnsi="宋体" w:cs="宋体"/>
          <w:color w:val="auto"/>
          <w:szCs w:val="21"/>
          <w:highlight w:val="none"/>
          <w:lang w:val="zh-CN"/>
        </w:rPr>
        <w:t>公平竞争打造最优营商环境</w:t>
      </w:r>
      <w:r>
        <w:rPr>
          <w:rFonts w:hint="eastAsia" w:ascii="宋体" w:hAnsi="宋体" w:cs="宋体"/>
          <w:color w:val="auto"/>
          <w:szCs w:val="21"/>
          <w:highlight w:val="none"/>
        </w:rPr>
        <w:t>的通知》</w:t>
      </w:r>
      <w:r>
        <w:rPr>
          <w:rFonts w:hint="eastAsia" w:ascii="宋体" w:hAnsi="宋体" w:cs="宋体"/>
          <w:color w:val="auto"/>
          <w:szCs w:val="21"/>
          <w:highlight w:val="none"/>
          <w:lang w:val="zh-CN"/>
        </w:rPr>
        <w:t>（浙财采监〔2021〕22号）文件关于“健全行政裁决机制”要求，鼓励</w:t>
      </w:r>
      <w:r>
        <w:rPr>
          <w:rFonts w:hint="eastAsia" w:ascii="宋体" w:hAnsi="宋体" w:cs="宋体"/>
          <w:color w:val="auto"/>
          <w:szCs w:val="21"/>
          <w:highlight w:val="none"/>
        </w:rPr>
        <w:t>供应商</w:t>
      </w:r>
      <w:r>
        <w:rPr>
          <w:rFonts w:hint="eastAsia" w:ascii="宋体" w:hAnsi="宋体" w:cs="宋体"/>
          <w:color w:val="auto"/>
          <w:szCs w:val="21"/>
          <w:highlight w:val="none"/>
          <w:lang w:val="zh-CN"/>
        </w:rPr>
        <w:t>在线提起询问，路径为：政采云－项目</w:t>
      </w:r>
      <w:r>
        <w:rPr>
          <w:rFonts w:hint="eastAsia" w:ascii="宋体" w:hAnsi="宋体" w:cs="宋体"/>
          <w:color w:val="auto"/>
          <w:szCs w:val="21"/>
          <w:highlight w:val="none"/>
        </w:rPr>
        <w:t>采购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zh-CN"/>
        </w:rPr>
        <w:t>询问质疑投诉－询问列表；鼓励供应商在线提起质疑，路径为：政采云－项目采购－询问质疑投诉－质疑列表。质疑供应商对在线</w:t>
      </w:r>
      <w:r>
        <w:rPr>
          <w:rFonts w:hint="eastAsia" w:ascii="宋体" w:hAnsi="宋体" w:cs="宋体"/>
          <w:color w:val="auto"/>
          <w:szCs w:val="21"/>
          <w:highlight w:val="none"/>
        </w:rPr>
        <w:t>质疑</w:t>
      </w:r>
      <w:r>
        <w:rPr>
          <w:rFonts w:hint="eastAsia" w:ascii="宋体" w:hAnsi="宋体" w:cs="宋体"/>
          <w:color w:val="auto"/>
          <w:szCs w:val="21"/>
          <w:highlight w:val="none"/>
          <w:lang w:val="zh-CN"/>
        </w:rPr>
        <w:t>答复不满意的，可在线提起投诉，路径为：浙江政府服务网－政府采购</w:t>
      </w:r>
      <w:r>
        <w:rPr>
          <w:rFonts w:hint="eastAsia" w:ascii="宋体" w:hAnsi="宋体" w:cs="宋体"/>
          <w:color w:val="auto"/>
          <w:szCs w:val="21"/>
          <w:highlight w:val="none"/>
        </w:rPr>
        <w:t>投诉</w:t>
      </w:r>
      <w:r>
        <w:rPr>
          <w:rFonts w:hint="eastAsia" w:ascii="宋体" w:hAnsi="宋体" w:cs="宋体"/>
          <w:color w:val="auto"/>
          <w:szCs w:val="21"/>
          <w:highlight w:val="none"/>
          <w:lang w:val="zh-CN"/>
        </w:rPr>
        <w:t>处理－在线办理。</w:t>
      </w:r>
    </w:p>
    <w:p w14:paraId="06E42C81">
      <w:pPr>
        <w:autoSpaceDE w:val="0"/>
        <w:autoSpaceDN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供应商询问</w:t>
      </w:r>
    </w:p>
    <w:p w14:paraId="56328FD3">
      <w:pPr>
        <w:autoSpaceDE w:val="0"/>
        <w:autoSpaceDN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F0E9C1">
      <w:pPr>
        <w:autoSpaceDE w:val="0"/>
        <w:autoSpaceDN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w:t>
      </w: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zh-CN"/>
        </w:rPr>
        <w:t>供应商质疑</w:t>
      </w:r>
    </w:p>
    <w:p w14:paraId="06C7D75A">
      <w:pPr>
        <w:pStyle w:val="32"/>
        <w:spacing w:line="360" w:lineRule="auto"/>
        <w:ind w:firstLine="420" w:firstLineChars="200"/>
        <w:rPr>
          <w:rFonts w:hint="eastAsia"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14:paraId="5FB9A6FE">
      <w:pPr>
        <w:pStyle w:val="32"/>
        <w:spacing w:line="360" w:lineRule="auto"/>
        <w:ind w:firstLine="420" w:firstLineChars="200"/>
        <w:rPr>
          <w:rFonts w:hint="eastAsia" w:hAnsi="宋体" w:cs="宋体"/>
          <w:color w:val="auto"/>
          <w:highlight w:val="none"/>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8113435">
      <w:pPr>
        <w:pStyle w:val="15"/>
        <w:spacing w:line="360" w:lineRule="auto"/>
        <w:ind w:firstLine="420" w:firstLineChars="200"/>
        <w:rPr>
          <w:rFonts w:hint="eastAsia"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46F0D7C1">
      <w:pPr>
        <w:pStyle w:val="32"/>
        <w:spacing w:line="360" w:lineRule="auto"/>
        <w:ind w:firstLine="420" w:firstLineChars="200"/>
        <w:rPr>
          <w:rFonts w:hint="eastAsia" w:hAnsi="宋体" w:cs="宋体"/>
          <w:color w:val="auto"/>
          <w:highlight w:val="none"/>
        </w:rPr>
      </w:pPr>
      <w:r>
        <w:rPr>
          <w:rFonts w:hint="eastAsia" w:hAnsi="宋体" w:cs="宋体"/>
          <w:color w:val="auto"/>
          <w:highlight w:val="none"/>
        </w:rPr>
        <w:t>4.3.2.2对采购过程提出质疑的，质疑期限为各采购程序环节结束之日起计算。对同一采购程序环节的质疑，供应商须一次性提出。</w:t>
      </w:r>
    </w:p>
    <w:p w14:paraId="6808CBB5">
      <w:pPr>
        <w:pStyle w:val="32"/>
        <w:spacing w:line="360" w:lineRule="auto"/>
        <w:ind w:firstLine="420" w:firstLineChars="200"/>
        <w:rPr>
          <w:rFonts w:hint="eastAsia" w:hAnsi="宋体" w:cs="宋体"/>
          <w:color w:val="auto"/>
          <w:highlight w:val="none"/>
        </w:rPr>
      </w:pPr>
      <w:r>
        <w:rPr>
          <w:rFonts w:hint="eastAsia" w:hAnsi="宋体" w:cs="宋体"/>
          <w:color w:val="auto"/>
          <w:highlight w:val="none"/>
        </w:rPr>
        <w:t>4.2.2.3对采购结果提出质疑的，质疑期限自采购结果公告期限届满之日起计算。</w:t>
      </w:r>
    </w:p>
    <w:p w14:paraId="506285CD">
      <w:pPr>
        <w:pStyle w:val="32"/>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w:t>
      </w:r>
      <w:r>
        <w:rPr>
          <w:rFonts w:hint="eastAsia" w:hAnsi="宋体" w:cs="宋体"/>
          <w:color w:val="auto"/>
          <w:highlight w:val="none"/>
        </w:rPr>
        <w:t>供应商提出质疑应当提交质疑函和必要的证明材料。质疑函应当包括下列内容：</w:t>
      </w:r>
    </w:p>
    <w:p w14:paraId="61B5B1BF">
      <w:pPr>
        <w:pStyle w:val="32"/>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.3.1供应商的姓名或者名称、地址、邮编、联系人及联系电话；</w:t>
      </w:r>
    </w:p>
    <w:p w14:paraId="7D807539">
      <w:pPr>
        <w:pStyle w:val="32"/>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.3.2质疑项目的名称、编号；</w:t>
      </w:r>
    </w:p>
    <w:p w14:paraId="099684ED">
      <w:pPr>
        <w:pStyle w:val="32"/>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.3.3具体、明确的质疑事项和与质疑事项相关的请求；</w:t>
      </w:r>
    </w:p>
    <w:p w14:paraId="6BDB9FD6">
      <w:pPr>
        <w:pStyle w:val="32"/>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.3.4事实依据；</w:t>
      </w:r>
    </w:p>
    <w:p w14:paraId="15B0C811">
      <w:pPr>
        <w:pStyle w:val="32"/>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.3.5必要的法律依据；</w:t>
      </w:r>
    </w:p>
    <w:p w14:paraId="4B0AC07A">
      <w:pPr>
        <w:pStyle w:val="32"/>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w:t>
      </w:r>
      <w:r>
        <w:rPr>
          <w:rFonts w:hint="eastAsia" w:hAnsi="宋体" w:cs="宋体"/>
          <w:color w:val="auto"/>
          <w:kern w:val="0"/>
          <w:highlight w:val="none"/>
        </w:rPr>
        <w:t>3</w:t>
      </w:r>
      <w:r>
        <w:rPr>
          <w:rFonts w:hint="eastAsia" w:hAnsi="宋体" w:cs="宋体"/>
          <w:color w:val="auto"/>
          <w:kern w:val="0"/>
          <w:highlight w:val="none"/>
          <w:lang w:val="zh-CN"/>
        </w:rPr>
        <w:t>.3.6提出质疑的日期。</w:t>
      </w:r>
    </w:p>
    <w:p w14:paraId="11FB6FD1">
      <w:pPr>
        <w:pStyle w:val="32"/>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87DAF12">
      <w:pPr>
        <w:pStyle w:val="32"/>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质疑函范本及制作说明详见附件2。</w:t>
      </w:r>
    </w:p>
    <w:p w14:paraId="16A53B85">
      <w:pPr>
        <w:pStyle w:val="136"/>
        <w:snapToGrid w:val="0"/>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lang w:val="zh-CN"/>
        </w:rPr>
        <w:t>4.</w:t>
      </w:r>
      <w:r>
        <w:rPr>
          <w:rFonts w:hint="eastAsia" w:ascii="宋体" w:hAnsi="宋体" w:cs="宋体"/>
          <w:color w:val="auto"/>
          <w:sz w:val="21"/>
          <w:szCs w:val="21"/>
          <w:highlight w:val="none"/>
        </w:rPr>
        <w:t>3</w:t>
      </w:r>
      <w:r>
        <w:rPr>
          <w:rFonts w:ascii="宋体" w:hAnsi="宋体" w:cs="宋体"/>
          <w:color w:val="auto"/>
          <w:sz w:val="21"/>
          <w:szCs w:val="21"/>
          <w:highlight w:val="none"/>
        </w:rPr>
        <w:t>.4</w:t>
      </w:r>
      <w:r>
        <w:rPr>
          <w:rFonts w:hint="eastAsia" w:ascii="宋体" w:hAnsi="宋体" w:cs="宋体"/>
          <w:color w:val="auto"/>
          <w:sz w:val="21"/>
          <w:szCs w:val="21"/>
          <w:highlight w:val="none"/>
        </w:rPr>
        <w:t>对同一采购程序环节的质疑，供应商须在法定质疑期内一次性提出。</w:t>
      </w:r>
    </w:p>
    <w:p w14:paraId="68A5152A">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4.3</w:t>
      </w:r>
      <w:r>
        <w:rPr>
          <w:rFonts w:hint="eastAsia" w:ascii="宋体" w:hAnsi="宋体" w:cs="宋体"/>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宋体" w:hAnsi="宋体" w:cs="宋体"/>
          <w:color w:val="auto"/>
          <w:sz w:val="21"/>
          <w:szCs w:val="21"/>
          <w:highlight w:val="none"/>
        </w:rPr>
        <w:t>2021〕17号）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采购人或者采购代理机构在质疑回复后</w:t>
      </w:r>
      <w:r>
        <w:rPr>
          <w:rFonts w:ascii="宋体" w:hAnsi="宋体" w:cs="宋体"/>
          <w:color w:val="auto"/>
          <w:sz w:val="21"/>
          <w:szCs w:val="21"/>
          <w:highlight w:val="none"/>
        </w:rPr>
        <w:t>5个工作日内，在浙江政府采购网的“其他公告”栏目公开质疑答复，答复内容应当完整。质疑</w:t>
      </w:r>
      <w:r>
        <w:rPr>
          <w:rFonts w:hint="eastAsia" w:ascii="宋体" w:hAnsi="宋体" w:cs="宋体"/>
          <w:color w:val="auto"/>
          <w:sz w:val="21"/>
          <w:szCs w:val="21"/>
          <w:highlight w:val="none"/>
        </w:rPr>
        <w:t>函作为附件上传。</w:t>
      </w:r>
    </w:p>
    <w:p w14:paraId="008048F9">
      <w:pPr>
        <w:pStyle w:val="136"/>
        <w:snapToGrid w:val="0"/>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lang w:val="zh-CN"/>
        </w:rPr>
        <w:t>4.</w:t>
      </w:r>
      <w:r>
        <w:rPr>
          <w:rFonts w:hint="eastAsia" w:ascii="宋体" w:hAnsi="宋体" w:cs="宋体"/>
          <w:color w:val="auto"/>
          <w:sz w:val="21"/>
          <w:szCs w:val="21"/>
          <w:highlight w:val="none"/>
          <w:lang w:val="zh-CN"/>
        </w:rPr>
        <w:t>3</w:t>
      </w:r>
      <w:r>
        <w:rPr>
          <w:rFonts w:hint="eastAsia" w:ascii="宋体" w:hAnsi="宋体" w:cs="宋体"/>
          <w:color w:val="auto"/>
          <w:sz w:val="21"/>
          <w:szCs w:val="21"/>
          <w:highlight w:val="none"/>
        </w:rPr>
        <w:t>.6</w:t>
      </w:r>
      <w:r>
        <w:rPr>
          <w:rFonts w:ascii="宋体" w:hAnsi="宋体" w:cs="宋体"/>
          <w:color w:val="auto"/>
          <w:sz w:val="21"/>
          <w:szCs w:val="21"/>
          <w:highlight w:val="none"/>
        </w:rPr>
        <w:t>询问或者质疑事项可能影响采购结果的，采购人应当暂停签订合同，已经签订合同的，应当中止履行合同。</w:t>
      </w:r>
    </w:p>
    <w:p w14:paraId="52ACED33">
      <w:pPr>
        <w:pStyle w:val="136"/>
        <w:snapToGrid w:val="0"/>
        <w:spacing w:before="0"/>
        <w:ind w:firstLine="420"/>
        <w:rPr>
          <w:rFonts w:hint="eastAsia" w:ascii="宋体" w:hAnsi="宋体" w:cs="宋体"/>
          <w:color w:val="auto"/>
          <w:sz w:val="21"/>
          <w:szCs w:val="21"/>
          <w:highlight w:val="none"/>
          <w:lang w:val="zh-CN"/>
        </w:rPr>
      </w:pPr>
      <w:r>
        <w:rPr>
          <w:rFonts w:ascii="宋体" w:hAnsi="宋体" w:cs="宋体"/>
          <w:color w:val="auto"/>
          <w:sz w:val="21"/>
          <w:szCs w:val="21"/>
          <w:highlight w:val="none"/>
          <w:lang w:val="zh-CN"/>
        </w:rPr>
        <w:t>4.</w:t>
      </w:r>
      <w:r>
        <w:rPr>
          <w:rFonts w:hint="eastAsia" w:ascii="宋体" w:hAnsi="宋体" w:cs="宋体"/>
          <w:color w:val="auto"/>
          <w:sz w:val="21"/>
          <w:szCs w:val="21"/>
          <w:highlight w:val="none"/>
          <w:lang w:val="zh-CN"/>
        </w:rPr>
        <w:t>4</w:t>
      </w:r>
      <w:r>
        <w:rPr>
          <w:rFonts w:ascii="宋体" w:hAnsi="宋体" w:cs="宋体"/>
          <w:color w:val="auto"/>
          <w:sz w:val="21"/>
          <w:szCs w:val="21"/>
          <w:highlight w:val="none"/>
          <w:lang w:val="zh-CN"/>
        </w:rPr>
        <w:t>供应商投诉</w:t>
      </w:r>
    </w:p>
    <w:p w14:paraId="592AE407">
      <w:pPr>
        <w:pStyle w:val="136"/>
        <w:snapToGrid w:val="0"/>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w:t>
      </w:r>
      <w:r>
        <w:rPr>
          <w:rFonts w:ascii="宋体" w:hAnsi="宋体" w:cs="宋体"/>
          <w:color w:val="auto"/>
          <w:sz w:val="21"/>
          <w:szCs w:val="21"/>
          <w:highlight w:val="none"/>
        </w:rPr>
        <w:t>.1质疑供应商对采购人、采购代理机构的答复不满意或者采购人、采购代理机构未在规定的时间内</w:t>
      </w:r>
      <w:r>
        <w:rPr>
          <w:rFonts w:hint="eastAsia" w:ascii="宋体" w:hAnsi="宋体" w:cs="宋体"/>
          <w:color w:val="auto"/>
          <w:sz w:val="21"/>
          <w:szCs w:val="21"/>
          <w:highlight w:val="none"/>
        </w:rPr>
        <w:t>作出答复的，可以在答复期满后十五个工作日内向同级政府采购监督管理部门提出投诉。</w:t>
      </w:r>
    </w:p>
    <w:p w14:paraId="6DE6E165">
      <w:pPr>
        <w:pStyle w:val="136"/>
        <w:snapToGrid w:val="0"/>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w:t>
      </w:r>
      <w:r>
        <w:rPr>
          <w:rFonts w:ascii="宋体" w:hAnsi="宋体" w:cs="宋体"/>
          <w:color w:val="auto"/>
          <w:sz w:val="21"/>
          <w:szCs w:val="21"/>
          <w:highlight w:val="none"/>
        </w:rPr>
        <w:t>.</w:t>
      </w:r>
      <w:r>
        <w:rPr>
          <w:rFonts w:ascii="宋体" w:hAnsi="宋体" w:cs="宋体"/>
          <w:color w:val="auto"/>
          <w:sz w:val="21"/>
          <w:szCs w:val="21"/>
          <w:highlight w:val="none"/>
          <w:lang w:val="zh-CN"/>
        </w:rPr>
        <w:t>2</w:t>
      </w:r>
      <w:r>
        <w:rPr>
          <w:rFonts w:hint="eastAsia" w:ascii="宋体" w:hAnsi="宋体" w:cs="宋体"/>
          <w:color w:val="auto"/>
          <w:sz w:val="21"/>
          <w:szCs w:val="21"/>
          <w:highlight w:val="none"/>
        </w:rPr>
        <w:t>供应商投诉的事项不得超出已质疑事项的范围，基于质疑答复内容提出的投诉事项除外。</w:t>
      </w:r>
    </w:p>
    <w:p w14:paraId="31FB0EB5">
      <w:pPr>
        <w:pStyle w:val="136"/>
        <w:snapToGrid w:val="0"/>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4.3供应商投诉应当有明确的请求和必要的证明材料。</w:t>
      </w:r>
    </w:p>
    <w:p w14:paraId="69081C22">
      <w:pPr>
        <w:pStyle w:val="136"/>
        <w:snapToGrid w:val="0"/>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4.4以联合体形式参加政府采购活动的，其投诉应当由组成联合体的所有供应商共同提出。</w:t>
      </w:r>
    </w:p>
    <w:p w14:paraId="0E886120">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5E73E2EB">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投诉书范本及制作说明详见附件</w:t>
      </w:r>
      <w:r>
        <w:rPr>
          <w:rFonts w:ascii="宋体" w:hAnsi="宋体" w:cs="宋体"/>
          <w:color w:val="auto"/>
          <w:sz w:val="21"/>
          <w:szCs w:val="21"/>
          <w:highlight w:val="none"/>
        </w:rPr>
        <w:t>3。</w:t>
      </w:r>
    </w:p>
    <w:p w14:paraId="6F4E672D">
      <w:pPr>
        <w:pStyle w:val="3"/>
        <w:rPr>
          <w:rFonts w:hint="eastAsia" w:ascii="宋体" w:hAnsi="宋体" w:cs="宋体"/>
          <w:color w:val="auto"/>
          <w:szCs w:val="21"/>
          <w:highlight w:val="none"/>
        </w:rPr>
      </w:pPr>
      <w:r>
        <w:rPr>
          <w:rStyle w:val="962"/>
          <w:rFonts w:hint="eastAsia" w:ascii="宋体" w:hAnsi="宋体" w:cs="宋体"/>
          <w:b/>
          <w:bCs/>
          <w:color w:val="auto"/>
          <w:szCs w:val="21"/>
          <w:highlight w:val="none"/>
        </w:rPr>
        <w:t>二、招标文件的构成、澄清、修改</w:t>
      </w:r>
    </w:p>
    <w:p w14:paraId="18E815D7">
      <w:pPr>
        <w:pStyle w:val="32"/>
        <w:spacing w:line="360" w:lineRule="auto"/>
        <w:ind w:firstLine="422" w:firstLineChars="200"/>
        <w:outlineLvl w:val="2"/>
        <w:rPr>
          <w:rFonts w:hint="eastAsia" w:hAnsi="宋体" w:cs="宋体"/>
          <w:b/>
          <w:color w:val="auto"/>
          <w:highlight w:val="none"/>
        </w:rPr>
      </w:pPr>
      <w:r>
        <w:rPr>
          <w:rFonts w:hint="eastAsia" w:hAnsi="宋体" w:cs="宋体"/>
          <w:b/>
          <w:color w:val="auto"/>
          <w:highlight w:val="none"/>
        </w:rPr>
        <w:t>5．招标文件的构成</w:t>
      </w:r>
    </w:p>
    <w:p w14:paraId="3A2DA319">
      <w:pPr>
        <w:pStyle w:val="32"/>
        <w:spacing w:line="360" w:lineRule="auto"/>
        <w:ind w:firstLine="420" w:firstLineChars="200"/>
        <w:rPr>
          <w:rFonts w:hint="eastAsia" w:hAnsi="宋体" w:cs="宋体"/>
          <w:color w:val="auto"/>
          <w:highlight w:val="none"/>
        </w:rPr>
      </w:pPr>
      <w:r>
        <w:rPr>
          <w:rFonts w:hint="eastAsia" w:hAnsi="宋体" w:cs="宋体"/>
          <w:color w:val="auto"/>
          <w:highlight w:val="none"/>
        </w:rPr>
        <w:t>5.1招标文件包括下列文件及附件：</w:t>
      </w:r>
    </w:p>
    <w:p w14:paraId="5BA4240F">
      <w:pPr>
        <w:pStyle w:val="32"/>
        <w:tabs>
          <w:tab w:val="left" w:pos="840"/>
        </w:tabs>
        <w:spacing w:line="360" w:lineRule="auto"/>
        <w:ind w:firstLine="420" w:firstLineChars="200"/>
        <w:rPr>
          <w:rFonts w:hint="eastAsia" w:hAnsi="宋体" w:cs="宋体"/>
          <w:color w:val="auto"/>
          <w:highlight w:val="none"/>
        </w:rPr>
      </w:pPr>
      <w:r>
        <w:rPr>
          <w:rFonts w:hint="eastAsia" w:hAnsi="宋体" w:cs="宋体"/>
          <w:color w:val="auto"/>
          <w:highlight w:val="none"/>
        </w:rPr>
        <w:t>5.1.1招标公告；</w:t>
      </w:r>
    </w:p>
    <w:p w14:paraId="59A0DE30">
      <w:pPr>
        <w:pStyle w:val="32"/>
        <w:tabs>
          <w:tab w:val="left" w:pos="840"/>
        </w:tabs>
        <w:spacing w:line="360" w:lineRule="auto"/>
        <w:ind w:firstLine="420" w:firstLineChars="200"/>
        <w:rPr>
          <w:rFonts w:hint="eastAsia" w:hAnsi="宋体" w:cs="宋体"/>
          <w:color w:val="auto"/>
          <w:highlight w:val="none"/>
        </w:rPr>
      </w:pPr>
      <w:r>
        <w:rPr>
          <w:rFonts w:hint="eastAsia" w:hAnsi="宋体" w:cs="宋体"/>
          <w:color w:val="auto"/>
          <w:highlight w:val="none"/>
        </w:rPr>
        <w:t>5.1.2投标人须知；</w:t>
      </w:r>
    </w:p>
    <w:p w14:paraId="08100BC1">
      <w:pPr>
        <w:pStyle w:val="32"/>
        <w:tabs>
          <w:tab w:val="left" w:pos="840"/>
        </w:tabs>
        <w:spacing w:line="360" w:lineRule="auto"/>
        <w:ind w:firstLine="420" w:firstLineChars="200"/>
        <w:rPr>
          <w:rFonts w:hint="eastAsia" w:hAnsi="宋体" w:cs="宋体"/>
          <w:color w:val="auto"/>
          <w:highlight w:val="none"/>
        </w:rPr>
      </w:pPr>
      <w:r>
        <w:rPr>
          <w:rFonts w:hint="eastAsia" w:hAnsi="宋体" w:cs="宋体"/>
          <w:color w:val="auto"/>
          <w:highlight w:val="none"/>
        </w:rPr>
        <w:t>5.1.3采购需求；</w:t>
      </w:r>
    </w:p>
    <w:p w14:paraId="24697D0D">
      <w:pPr>
        <w:pStyle w:val="32"/>
        <w:tabs>
          <w:tab w:val="left" w:pos="840"/>
        </w:tabs>
        <w:spacing w:line="360" w:lineRule="auto"/>
        <w:ind w:firstLine="420" w:firstLineChars="200"/>
        <w:rPr>
          <w:rFonts w:hint="eastAsia" w:hAnsi="宋体" w:cs="宋体"/>
          <w:color w:val="auto"/>
          <w:highlight w:val="none"/>
        </w:rPr>
      </w:pPr>
      <w:r>
        <w:rPr>
          <w:rFonts w:hint="eastAsia" w:hAnsi="宋体" w:cs="宋体"/>
          <w:color w:val="auto"/>
          <w:highlight w:val="none"/>
        </w:rPr>
        <w:t>5.1.4评标办法；</w:t>
      </w:r>
    </w:p>
    <w:p w14:paraId="2CB1C101">
      <w:pPr>
        <w:pStyle w:val="32"/>
        <w:tabs>
          <w:tab w:val="left" w:pos="840"/>
        </w:tabs>
        <w:spacing w:line="360" w:lineRule="auto"/>
        <w:ind w:firstLine="420" w:firstLineChars="200"/>
        <w:rPr>
          <w:rFonts w:hint="eastAsia" w:hAnsi="宋体" w:cs="宋体"/>
          <w:color w:val="auto"/>
          <w:highlight w:val="none"/>
        </w:rPr>
      </w:pPr>
      <w:r>
        <w:rPr>
          <w:rFonts w:hint="eastAsia" w:hAnsi="宋体" w:cs="宋体"/>
          <w:color w:val="auto"/>
          <w:highlight w:val="none"/>
        </w:rPr>
        <w:t>5.1.5拟签订的合同文本；</w:t>
      </w:r>
    </w:p>
    <w:p w14:paraId="2477F358">
      <w:pPr>
        <w:pStyle w:val="32"/>
        <w:tabs>
          <w:tab w:val="left" w:pos="840"/>
        </w:tabs>
        <w:spacing w:line="360" w:lineRule="auto"/>
        <w:ind w:firstLine="420" w:firstLineChars="200"/>
        <w:rPr>
          <w:rFonts w:hint="eastAsia" w:hAnsi="宋体" w:cs="宋体"/>
          <w:color w:val="auto"/>
          <w:highlight w:val="none"/>
        </w:rPr>
      </w:pPr>
      <w:r>
        <w:rPr>
          <w:rFonts w:hint="eastAsia" w:hAnsi="宋体" w:cs="宋体"/>
          <w:color w:val="auto"/>
          <w:highlight w:val="none"/>
        </w:rPr>
        <w:t>5.1.6应提交的有关格式范例。</w:t>
      </w:r>
    </w:p>
    <w:p w14:paraId="25C826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2682BB2D">
      <w:pPr>
        <w:pStyle w:val="32"/>
        <w:spacing w:line="360" w:lineRule="auto"/>
        <w:ind w:firstLine="422" w:firstLineChars="200"/>
        <w:outlineLvl w:val="2"/>
        <w:rPr>
          <w:rFonts w:hint="eastAsia" w:hAnsi="宋体" w:cs="宋体"/>
          <w:b/>
          <w:color w:val="auto"/>
          <w:highlight w:val="none"/>
        </w:rPr>
      </w:pPr>
      <w:r>
        <w:rPr>
          <w:rFonts w:hint="eastAsia" w:hAnsi="宋体" w:cs="宋体"/>
          <w:b/>
          <w:color w:val="auto"/>
          <w:highlight w:val="none"/>
        </w:rPr>
        <w:t>6.招标文件的澄清、修改</w:t>
      </w:r>
    </w:p>
    <w:p w14:paraId="01683305">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6.1已获取招标文件的潜在投标人，若有问题需要澄清，应于投标截止时间前，以书面形式向采购代理机构提出。</w:t>
      </w:r>
    </w:p>
    <w:p w14:paraId="3B3817A8">
      <w:pPr>
        <w:pStyle w:val="136"/>
        <w:snapToGrid w:val="0"/>
        <w:spacing w:before="0"/>
        <w:ind w:firstLine="420"/>
        <w:rPr>
          <w:rFonts w:hint="eastAsia" w:hAnsi="宋体" w:cs="宋体"/>
          <w:color w:val="auto"/>
          <w:sz w:val="21"/>
          <w:szCs w:val="21"/>
          <w:highlight w:val="none"/>
        </w:rPr>
      </w:pPr>
      <w:r>
        <w:rPr>
          <w:rFonts w:hint="eastAsia" w:ascii="宋体" w:hAnsi="宋体" w:cs="宋体"/>
          <w:color w:val="auto"/>
          <w:sz w:val="21"/>
          <w:szCs w:val="21"/>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0CD9BD">
      <w:pPr>
        <w:pStyle w:val="3"/>
        <w:rPr>
          <w:rFonts w:hint="eastAsia"/>
          <w:color w:val="auto"/>
          <w:szCs w:val="21"/>
          <w:highlight w:val="none"/>
        </w:rPr>
      </w:pPr>
      <w:r>
        <w:rPr>
          <w:rFonts w:hint="eastAsia"/>
          <w:color w:val="auto"/>
          <w:szCs w:val="21"/>
          <w:highlight w:val="none"/>
        </w:rPr>
        <w:t>三、投标</w:t>
      </w:r>
    </w:p>
    <w:p w14:paraId="51100444">
      <w:pPr>
        <w:pStyle w:val="32"/>
        <w:spacing w:line="360" w:lineRule="auto"/>
        <w:ind w:firstLine="422" w:firstLineChars="200"/>
        <w:outlineLvl w:val="2"/>
        <w:rPr>
          <w:rFonts w:hint="eastAsia" w:hAnsi="宋体" w:cs="宋体"/>
          <w:b/>
          <w:color w:val="auto"/>
          <w:highlight w:val="none"/>
        </w:rPr>
      </w:pPr>
      <w:r>
        <w:rPr>
          <w:rFonts w:hint="eastAsia" w:hAnsi="宋体" w:cs="宋体"/>
          <w:b/>
          <w:color w:val="auto"/>
          <w:highlight w:val="none"/>
        </w:rPr>
        <w:t>7.招标文件的获取</w:t>
      </w:r>
    </w:p>
    <w:p w14:paraId="39A687FB">
      <w:pPr>
        <w:spacing w:line="360" w:lineRule="auto"/>
        <w:ind w:firstLine="420" w:firstLineChars="20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1EB0F382">
      <w:pPr>
        <w:pStyle w:val="32"/>
        <w:spacing w:line="360" w:lineRule="auto"/>
        <w:ind w:firstLine="422" w:firstLineChars="200"/>
        <w:outlineLvl w:val="2"/>
        <w:rPr>
          <w:rFonts w:hint="eastAsia" w:hAnsi="宋体" w:cs="宋体"/>
          <w:b/>
          <w:color w:val="auto"/>
          <w:highlight w:val="none"/>
        </w:rPr>
      </w:pPr>
      <w:r>
        <w:rPr>
          <w:rFonts w:hint="eastAsia" w:hAnsi="宋体" w:cs="宋体"/>
          <w:b/>
          <w:color w:val="auto"/>
          <w:highlight w:val="none"/>
        </w:rPr>
        <w:t>8.开标前答疑会或现场考察</w:t>
      </w:r>
    </w:p>
    <w:p w14:paraId="7A445F34">
      <w:pPr>
        <w:pStyle w:val="32"/>
        <w:spacing w:line="360" w:lineRule="auto"/>
        <w:ind w:firstLine="420" w:firstLineChars="200"/>
        <w:rPr>
          <w:rFonts w:hint="eastAsia" w:hAnsi="宋体" w:cs="宋体"/>
          <w:color w:val="auto"/>
          <w:highlight w:val="none"/>
        </w:rPr>
      </w:pPr>
      <w:r>
        <w:rPr>
          <w:rFonts w:hint="eastAsia" w:hAnsi="宋体" w:cs="宋体"/>
          <w:color w:val="auto"/>
          <w:highlight w:val="none"/>
        </w:rPr>
        <w:t>采购人组织潜在投标人现场考察或者召开开标前答疑会的，潜在投标人按第二部分投标人须知前附表的规定参加现场考察或者开标前答疑会。</w:t>
      </w:r>
    </w:p>
    <w:p w14:paraId="726CBF49">
      <w:pPr>
        <w:pStyle w:val="32"/>
        <w:spacing w:line="360" w:lineRule="auto"/>
        <w:ind w:firstLine="422" w:firstLineChars="200"/>
        <w:outlineLvl w:val="2"/>
        <w:rPr>
          <w:rFonts w:hint="eastAsia" w:hAnsi="宋体" w:cs="宋体"/>
          <w:b/>
          <w:color w:val="auto"/>
          <w:highlight w:val="none"/>
        </w:rPr>
      </w:pPr>
      <w:r>
        <w:rPr>
          <w:rFonts w:hint="eastAsia" w:hAnsi="宋体" w:cs="宋体"/>
          <w:b/>
          <w:color w:val="auto"/>
          <w:kern w:val="28"/>
          <w:highlight w:val="none"/>
        </w:rPr>
        <w:t>9.投标保证金</w:t>
      </w:r>
    </w:p>
    <w:p w14:paraId="71CAE42A">
      <w:pPr>
        <w:pStyle w:val="15"/>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本项目不需缴纳投标保证金。</w:t>
      </w:r>
    </w:p>
    <w:p w14:paraId="29551E9B">
      <w:pPr>
        <w:pStyle w:val="32"/>
        <w:spacing w:line="360" w:lineRule="auto"/>
        <w:ind w:firstLine="422" w:firstLineChars="200"/>
        <w:outlineLvl w:val="2"/>
        <w:rPr>
          <w:rFonts w:hint="eastAsia" w:hAnsi="宋体" w:cs="宋体"/>
          <w:b/>
          <w:color w:val="auto"/>
          <w:highlight w:val="none"/>
        </w:rPr>
      </w:pPr>
      <w:r>
        <w:rPr>
          <w:rFonts w:hint="eastAsia" w:hAnsi="宋体" w:cs="宋体"/>
          <w:b/>
          <w:color w:val="auto"/>
          <w:highlight w:val="none"/>
        </w:rPr>
        <w:t>10.投标文件的语言</w:t>
      </w:r>
    </w:p>
    <w:p w14:paraId="1437980B">
      <w:pPr>
        <w:autoSpaceDE w:val="0"/>
        <w:autoSpaceDN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投标文件及投标人与采购有关的来往通知、函件和文件均应使用中文。</w:t>
      </w:r>
    </w:p>
    <w:p w14:paraId="00C041DE">
      <w:pPr>
        <w:pStyle w:val="32"/>
        <w:spacing w:line="360" w:lineRule="auto"/>
        <w:ind w:firstLine="422" w:firstLineChars="200"/>
        <w:outlineLvl w:val="2"/>
        <w:rPr>
          <w:rFonts w:hint="eastAsia" w:hAnsi="宋体" w:cs="宋体"/>
          <w:b/>
          <w:color w:val="auto"/>
          <w:highlight w:val="none"/>
        </w:rPr>
      </w:pPr>
      <w:r>
        <w:rPr>
          <w:rFonts w:hint="eastAsia" w:hAnsi="宋体" w:cs="宋体"/>
          <w:b/>
          <w:color w:val="auto"/>
          <w:highlight w:val="none"/>
        </w:rPr>
        <w:t>11.投标文件的组成</w:t>
      </w:r>
    </w:p>
    <w:p w14:paraId="6249E7C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11.1资格文件：</w:t>
      </w:r>
    </w:p>
    <w:p w14:paraId="49DAA4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11.1.1符合参加政府采购活动应当具备的一般条件的承诺函；</w:t>
      </w:r>
    </w:p>
    <w:p w14:paraId="43B16DC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11.1.2联合协议（如果有</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p>
    <w:p w14:paraId="68BC112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11.1.3落实政府采购政策需满足的资格要求（</w:t>
      </w:r>
      <w:r>
        <w:rPr>
          <w:rFonts w:hint="eastAsia" w:ascii="宋体" w:hAnsi="宋体" w:cs="宋体"/>
          <w:bCs/>
          <w:color w:val="auto"/>
          <w:szCs w:val="21"/>
          <w:highlight w:val="none"/>
          <w:lang w:val="en-US" w:eastAsia="zh-CN"/>
        </w:rPr>
        <w:t>本项目不涉及</w:t>
      </w:r>
      <w:r>
        <w:rPr>
          <w:rFonts w:hint="eastAsia" w:ascii="宋体" w:hAnsi="宋体" w:cs="宋体"/>
          <w:bCs/>
          <w:color w:val="auto"/>
          <w:szCs w:val="21"/>
          <w:highlight w:val="none"/>
        </w:rPr>
        <w:t>）；</w:t>
      </w:r>
    </w:p>
    <w:p w14:paraId="0CA6F81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11.1.4本项目的特定资格要求（如果有</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p>
    <w:p w14:paraId="56AF96F4">
      <w:pPr>
        <w:spacing w:line="360" w:lineRule="auto"/>
        <w:ind w:firstLine="422" w:firstLineChars="200"/>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11.</w:t>
      </w:r>
      <w:r>
        <w:rPr>
          <w:rFonts w:hint="eastAsia" w:ascii="宋体" w:hAnsi="宋体" w:cs="宋体"/>
          <w:b/>
          <w:color w:val="auto"/>
          <w:szCs w:val="21"/>
          <w:highlight w:val="none"/>
        </w:rPr>
        <w:t>2商务技术</w:t>
      </w:r>
      <w:r>
        <w:rPr>
          <w:rFonts w:hint="eastAsia" w:ascii="宋体" w:hAnsi="宋体" w:cs="宋体"/>
          <w:b/>
          <w:color w:val="auto"/>
          <w:szCs w:val="21"/>
          <w:highlight w:val="none"/>
          <w:lang w:val="zh-CN"/>
        </w:rPr>
        <w:t>文件：</w:t>
      </w:r>
    </w:p>
    <w:p w14:paraId="23150CF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11.2.1投标函；</w:t>
      </w:r>
      <w:r>
        <w:rPr>
          <w:rFonts w:hint="eastAsia" w:ascii="宋体" w:hAnsi="宋体" w:cs="宋体"/>
          <w:bCs/>
          <w:color w:val="auto"/>
          <w:szCs w:val="21"/>
          <w:highlight w:val="none"/>
          <w:lang w:val="zh-CN"/>
        </w:rPr>
        <w:t xml:space="preserve"> </w:t>
      </w:r>
    </w:p>
    <w:p w14:paraId="7D6E706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11.2.2授权委托书或法定代表人（单位负责人、自然人本人）身份证明；</w:t>
      </w:r>
    </w:p>
    <w:p w14:paraId="2E8FAE5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11.2.3分包意向协议（如果有</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p>
    <w:p w14:paraId="0A09C69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11.2.4符合性审查资料；</w:t>
      </w:r>
    </w:p>
    <w:p w14:paraId="79986A5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11.2.5评标标准相应的商务技术资料；</w:t>
      </w:r>
    </w:p>
    <w:p w14:paraId="699F808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11.2.6投标标的清单；</w:t>
      </w:r>
    </w:p>
    <w:p w14:paraId="741A2C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11.2.7商务技术偏离表；</w:t>
      </w:r>
    </w:p>
    <w:p w14:paraId="07BB1C34">
      <w:pPr>
        <w:spacing w:line="360" w:lineRule="auto"/>
        <w:ind w:firstLine="420" w:firstLineChars="200"/>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11.</w:t>
      </w:r>
      <w:r>
        <w:rPr>
          <w:rFonts w:hint="eastAsia" w:ascii="宋体" w:hAnsi="宋体" w:cs="宋体"/>
          <w:bCs/>
          <w:color w:val="auto"/>
          <w:szCs w:val="21"/>
          <w:highlight w:val="none"/>
        </w:rPr>
        <w:t>2</w:t>
      </w:r>
      <w:r>
        <w:rPr>
          <w:rFonts w:hint="eastAsia" w:ascii="宋体" w:hAnsi="宋体" w:cs="宋体"/>
          <w:bCs/>
          <w:color w:val="auto"/>
          <w:szCs w:val="21"/>
          <w:highlight w:val="none"/>
          <w:lang w:val="zh-CN"/>
        </w:rPr>
        <w:t>.</w:t>
      </w:r>
      <w:r>
        <w:rPr>
          <w:rFonts w:hint="eastAsia" w:ascii="宋体" w:hAnsi="宋体" w:cs="宋体"/>
          <w:bCs/>
          <w:color w:val="auto"/>
          <w:szCs w:val="21"/>
          <w:highlight w:val="none"/>
        </w:rPr>
        <w:t>8</w:t>
      </w:r>
      <w:r>
        <w:rPr>
          <w:rFonts w:hint="eastAsia" w:ascii="宋体" w:hAnsi="宋体" w:cs="宋体"/>
          <w:bCs/>
          <w:color w:val="auto"/>
          <w:szCs w:val="21"/>
          <w:highlight w:val="none"/>
          <w:lang w:val="zh-CN"/>
        </w:rPr>
        <w:t>政府采购供应商廉洁自律承诺书；</w:t>
      </w:r>
    </w:p>
    <w:p w14:paraId="624A2BC5">
      <w:pPr>
        <w:spacing w:line="360" w:lineRule="auto"/>
        <w:ind w:firstLine="422" w:firstLineChars="200"/>
        <w:rPr>
          <w:rFonts w:hint="eastAsia" w:ascii="宋体" w:hAnsi="宋体" w:cs="宋体"/>
          <w:bCs/>
          <w:color w:val="auto"/>
          <w:szCs w:val="21"/>
          <w:highlight w:val="none"/>
          <w:lang w:val="zh-CN"/>
        </w:rPr>
      </w:pPr>
      <w:r>
        <w:rPr>
          <w:rFonts w:hint="eastAsia" w:ascii="宋体" w:hAnsi="宋体" w:cs="宋体"/>
          <w:b/>
          <w:color w:val="auto"/>
          <w:szCs w:val="21"/>
          <w:highlight w:val="none"/>
          <w:lang w:val="zh-CN"/>
        </w:rPr>
        <w:t>11.</w:t>
      </w:r>
      <w:r>
        <w:rPr>
          <w:rFonts w:hint="eastAsia" w:ascii="宋体" w:hAnsi="宋体" w:cs="宋体"/>
          <w:b/>
          <w:color w:val="auto"/>
          <w:szCs w:val="21"/>
          <w:highlight w:val="none"/>
        </w:rPr>
        <w:t>3报价文件：</w:t>
      </w:r>
    </w:p>
    <w:p w14:paraId="3D47A20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11.3.1开标一览表（报价表）；</w:t>
      </w:r>
    </w:p>
    <w:p w14:paraId="4EE4D2F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11.3.2报价情况说明（如果有）；</w:t>
      </w:r>
    </w:p>
    <w:p w14:paraId="0C1FB94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11.3.3 中小企业声明函（如果有）。</w:t>
      </w:r>
    </w:p>
    <w:p w14:paraId="384A5B7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投标文件含有采购人不能接受的附加条件的，投标无效；</w:t>
      </w:r>
    </w:p>
    <w:p w14:paraId="025D39E0">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投标人提供虚假材料投标的，投标无效。</w:t>
      </w:r>
    </w:p>
    <w:p w14:paraId="28F397C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投标人应对投标文件中材料的真实性、合法性负责。</w:t>
      </w:r>
    </w:p>
    <w:p w14:paraId="3DD60A0F">
      <w:pPr>
        <w:pStyle w:val="136"/>
        <w:snapToGrid w:val="0"/>
        <w:spacing w:before="0"/>
        <w:ind w:firstLine="422"/>
        <w:outlineLvl w:val="2"/>
        <w:rPr>
          <w:rFonts w:hint="eastAsia"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w:t>
      </w:r>
      <w:r>
        <w:rPr>
          <w:rFonts w:hint="eastAsia" w:ascii="宋体" w:hAnsi="宋体" w:cs="宋体"/>
          <w:b/>
          <w:color w:val="auto"/>
          <w:sz w:val="21"/>
          <w:szCs w:val="21"/>
          <w:highlight w:val="none"/>
        </w:rPr>
        <w:t>投标文件的编制</w:t>
      </w:r>
    </w:p>
    <w:p w14:paraId="1747215C">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FE0A1A6">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D9E29F">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404C0C39">
      <w:pPr>
        <w:snapToGrid w:val="0"/>
        <w:spacing w:line="360" w:lineRule="auto"/>
        <w:ind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13.投标文件的签署、盖章</w:t>
      </w:r>
    </w:p>
    <w:p w14:paraId="03325094">
      <w:pPr>
        <w:pStyle w:val="136"/>
        <w:snapToGrid w:val="0"/>
        <w:spacing w:before="0"/>
        <w:ind w:firstLine="420"/>
        <w:rPr>
          <w:rFonts w:hint="eastAsia"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▲投标人的投标文件未按照招标文件要求签署、盖章的，其投标无效</w:t>
      </w:r>
      <w:r>
        <w:rPr>
          <w:rFonts w:hint="eastAsia" w:ascii="宋体" w:hAnsi="宋体" w:cs="宋体"/>
          <w:color w:val="auto"/>
          <w:sz w:val="21"/>
          <w:szCs w:val="21"/>
          <w:highlight w:val="none"/>
        </w:rPr>
        <w:t>。</w:t>
      </w:r>
    </w:p>
    <w:p w14:paraId="529ECF78">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6317DBBC">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581D96C4">
      <w:pPr>
        <w:pStyle w:val="136"/>
        <w:spacing w:before="0"/>
        <w:ind w:firstLine="422"/>
        <w:outlineLvl w:val="2"/>
        <w:rPr>
          <w:rFonts w:hint="eastAsia" w:ascii="宋体" w:hAnsi="宋体" w:cs="宋体"/>
          <w:b/>
          <w:color w:val="auto"/>
          <w:sz w:val="21"/>
          <w:szCs w:val="21"/>
          <w:highlight w:val="none"/>
        </w:rPr>
      </w:pPr>
      <w:r>
        <w:rPr>
          <w:rFonts w:hint="eastAsia" w:ascii="宋体" w:hAnsi="宋体" w:cs="宋体"/>
          <w:b/>
          <w:color w:val="auto"/>
          <w:sz w:val="21"/>
          <w:szCs w:val="21"/>
          <w:highlight w:val="none"/>
        </w:rPr>
        <w:t>14.投标文件的提交、补充、修改、撤回</w:t>
      </w:r>
    </w:p>
    <w:p w14:paraId="7C9A8A65">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B142C9">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46B64B61">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6D83ADB">
      <w:pPr>
        <w:pStyle w:val="32"/>
        <w:spacing w:line="360" w:lineRule="auto"/>
        <w:ind w:firstLine="422" w:firstLineChars="200"/>
        <w:outlineLvl w:val="2"/>
        <w:rPr>
          <w:rFonts w:hint="eastAsia" w:hAnsi="宋体" w:cs="宋体"/>
          <w:b/>
          <w:color w:val="auto"/>
          <w:highlight w:val="none"/>
        </w:rPr>
      </w:pPr>
      <w:r>
        <w:rPr>
          <w:rFonts w:hint="eastAsia" w:hAnsi="宋体" w:cs="宋体"/>
          <w:b/>
          <w:color w:val="auto"/>
          <w:highlight w:val="none"/>
        </w:rPr>
        <w:t>15.备份投标文件</w:t>
      </w:r>
    </w:p>
    <w:p w14:paraId="33231ECA">
      <w:pPr>
        <w:pStyle w:val="32"/>
        <w:spacing w:line="360" w:lineRule="auto"/>
        <w:ind w:firstLine="420" w:firstLineChars="200"/>
        <w:rPr>
          <w:rFonts w:hint="eastAsia" w:hAnsi="宋体" w:cs="宋体"/>
          <w:b/>
          <w:color w:val="auto"/>
          <w:highlight w:val="none"/>
        </w:rPr>
      </w:pPr>
      <w:r>
        <w:rPr>
          <w:rFonts w:hint="eastAsia" w:hAnsi="宋体" w:cs="宋体"/>
          <w:color w:val="auto"/>
          <w:highlight w:val="none"/>
        </w:rPr>
        <w:t>15.1投标人在电子交易平台传输递交投标文件后，还可以在投标截止时间前直接提交或者以邮政快递方式递交备份投标文件1份，</w:t>
      </w:r>
      <w:r>
        <w:rPr>
          <w:rFonts w:hint="eastAsia" w:hAnsi="宋体" w:cs="宋体"/>
          <w:b/>
          <w:color w:val="auto"/>
          <w:highlight w:val="none"/>
        </w:rPr>
        <w:t>但采购人、采购代理机构不强制或变相强制投标人提交备份投标文件。</w:t>
      </w:r>
    </w:p>
    <w:p w14:paraId="346E5794">
      <w:pPr>
        <w:pStyle w:val="32"/>
        <w:spacing w:line="360" w:lineRule="auto"/>
        <w:ind w:firstLine="420" w:firstLineChars="200"/>
        <w:rPr>
          <w:rFonts w:hint="eastAsia" w:hAnsi="宋体" w:cs="宋体"/>
          <w:b/>
          <w:color w:val="auto"/>
          <w:highlight w:val="none"/>
        </w:rPr>
      </w:pPr>
      <w:r>
        <w:rPr>
          <w:rFonts w:hint="eastAsia" w:hAnsi="宋体" w:cs="宋体"/>
          <w:color w:val="auto"/>
          <w:highlight w:val="none"/>
        </w:rPr>
        <w:t>15.2备份投标文件须在“政采云投标客户端”制作生成，并储存在光盘/U盘等介质中。备份投标文件应当密封包装并在包装上加盖公章并注明投标项目名称，投标人名称</w:t>
      </w:r>
      <w:r>
        <w:rPr>
          <w:rFonts w:hint="eastAsia" w:hAnsi="宋体" w:cs="宋体"/>
          <w:color w:val="auto"/>
          <w:highlight w:val="none"/>
          <w:lang w:eastAsia="zh-CN"/>
        </w:rPr>
        <w:t>（</w:t>
      </w:r>
      <w:r>
        <w:rPr>
          <w:rFonts w:hint="eastAsia" w:hAnsi="宋体" w:cs="宋体"/>
          <w:color w:val="auto"/>
          <w:highlight w:val="none"/>
        </w:rPr>
        <w:t>联合体投标的，包装物封面需注明联合体投标，并注明联合体成员各方的名称和联合协议中约定的牵头人的名称</w:t>
      </w:r>
      <w:r>
        <w:rPr>
          <w:rFonts w:hint="eastAsia" w:hAnsi="宋体" w:cs="宋体"/>
          <w:color w:val="auto"/>
          <w:highlight w:val="none"/>
          <w:lang w:eastAsia="zh-CN"/>
        </w:rPr>
        <w:t>）</w:t>
      </w:r>
      <w:r>
        <w:rPr>
          <w:rFonts w:hint="eastAsia" w:hAnsi="宋体" w:cs="宋体"/>
          <w:color w:val="auto"/>
          <w:highlight w:val="none"/>
        </w:rPr>
        <w:t>。</w:t>
      </w:r>
      <w:r>
        <w:rPr>
          <w:rFonts w:hint="eastAsia" w:hAnsi="宋体" w:cs="宋体"/>
          <w:b/>
          <w:color w:val="auto"/>
          <w:highlight w:val="none"/>
        </w:rPr>
        <w:t>不符合上述制作、存储、密封规定的备份投标文件将被视为无效或者被拒绝接收。</w:t>
      </w:r>
    </w:p>
    <w:p w14:paraId="5A576E14">
      <w:pPr>
        <w:pStyle w:val="32"/>
        <w:spacing w:line="360" w:lineRule="auto"/>
        <w:ind w:firstLine="420" w:firstLineChars="200"/>
        <w:rPr>
          <w:rFonts w:hint="eastAsia" w:hAnsi="宋体" w:cs="宋体"/>
          <w:color w:val="auto"/>
          <w:highlight w:val="none"/>
        </w:rPr>
      </w:pPr>
      <w:r>
        <w:rPr>
          <w:rFonts w:hint="eastAsia" w:hAnsi="宋体" w:cs="宋体"/>
          <w:color w:val="auto"/>
          <w:highlight w:val="none"/>
        </w:rPr>
        <w:t>15.3直接提交备份投标文件的，投标人应于投标截止时间前在招标公告中载明的开标地点将备份投标文件提交给采购代理机构，采购代理机构将拒绝接受逾期送达的备份投标文件。</w:t>
      </w:r>
    </w:p>
    <w:p w14:paraId="01A3ECAC">
      <w:pPr>
        <w:pStyle w:val="32"/>
        <w:spacing w:line="360" w:lineRule="auto"/>
        <w:ind w:firstLine="420" w:firstLineChars="200"/>
        <w:rPr>
          <w:rFonts w:hint="eastAsia" w:hAnsi="宋体" w:cs="宋体"/>
          <w:color w:val="auto"/>
          <w:highlight w:val="none"/>
        </w:rPr>
      </w:pPr>
      <w:r>
        <w:rPr>
          <w:rFonts w:hint="eastAsia" w:hAnsi="宋体" w:cs="宋体"/>
          <w:color w:val="auto"/>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highlight w:val="none"/>
        </w:rPr>
        <w:t>招标文件第二部分投标人须知前附表规定的备份投标文件送达地点；</w:t>
      </w:r>
      <w:r>
        <w:rPr>
          <w:rFonts w:hint="eastAsia" w:hAnsi="宋体" w:cs="宋体"/>
          <w:color w:val="auto"/>
          <w:highlight w:val="none"/>
        </w:rPr>
        <w:t>送达时间以签收人签收时间为准。采购代理机构将拒绝接受逾期送达的备份投标文件。邮寄过程中，电子备份投标文件发生</w:t>
      </w:r>
      <w:r>
        <w:rPr>
          <w:rFonts w:hint="eastAsia" w:hAnsi="宋体" w:cs="宋体"/>
          <w:color w:val="auto"/>
          <w:highlight w:val="none"/>
          <w:lang w:eastAsia="zh-CN"/>
        </w:rPr>
        <w:t>泄漏</w:t>
      </w:r>
      <w:r>
        <w:rPr>
          <w:rFonts w:hint="eastAsia" w:hAnsi="宋体" w:cs="宋体"/>
          <w:color w:val="auto"/>
          <w:highlight w:val="none"/>
        </w:rPr>
        <w:t>、遗失、损坏或延期送达等情况的，由投标人自行负责。</w:t>
      </w:r>
    </w:p>
    <w:p w14:paraId="5F6FFFC7">
      <w:pPr>
        <w:pStyle w:val="32"/>
        <w:spacing w:line="360" w:lineRule="auto"/>
        <w:ind w:firstLine="422" w:firstLineChars="200"/>
        <w:rPr>
          <w:rFonts w:hint="eastAsia" w:hAnsi="宋体" w:cs="宋体"/>
          <w:b/>
          <w:color w:val="auto"/>
          <w:highlight w:val="none"/>
        </w:rPr>
      </w:pPr>
      <w:r>
        <w:rPr>
          <w:rFonts w:hint="eastAsia" w:hAnsi="宋体" w:cs="宋体"/>
          <w:b/>
          <w:color w:val="auto"/>
          <w:highlight w:val="none"/>
        </w:rPr>
        <w:t>15.5投标人仅提交备份投标文件，未在电子交易平台传输递交投标文件的，投标无效。</w:t>
      </w:r>
    </w:p>
    <w:p w14:paraId="2FA4A1FB">
      <w:pPr>
        <w:pStyle w:val="136"/>
        <w:spacing w:before="0"/>
        <w:ind w:firstLine="422"/>
        <w:outlineLvl w:val="2"/>
        <w:rPr>
          <w:rFonts w:hint="eastAsia"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06FF32C3">
      <w:pPr>
        <w:pStyle w:val="24"/>
        <w:spacing w:line="360" w:lineRule="auto"/>
        <w:ind w:firstLine="420"/>
        <w:rPr>
          <w:rFonts w:hint="eastAsia" w:cs="宋体"/>
          <w:color w:val="auto"/>
          <w:sz w:val="21"/>
          <w:szCs w:val="21"/>
          <w:highlight w:val="none"/>
        </w:rPr>
      </w:pPr>
      <w:r>
        <w:rPr>
          <w:rFonts w:hint="eastAsia" w:cs="宋体"/>
          <w:color w:val="auto"/>
          <w:sz w:val="21"/>
          <w:szCs w:val="21"/>
          <w:highlight w:val="none"/>
        </w:rPr>
        <w:t>有招标文件第四部分第4.2项规定的情形之一的，投标无效：</w:t>
      </w:r>
    </w:p>
    <w:p w14:paraId="0BF2BD1B">
      <w:pPr>
        <w:pStyle w:val="136"/>
        <w:spacing w:before="0"/>
        <w:ind w:firstLine="422"/>
        <w:outlineLvl w:val="2"/>
        <w:rPr>
          <w:rFonts w:hint="eastAsia"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1F1DE668">
      <w:pPr>
        <w:spacing w:line="360" w:lineRule="auto"/>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17.1投标有效期为从提交投标文件的截止之日起90天。</w:t>
      </w:r>
      <w:r>
        <w:rPr>
          <w:rFonts w:hint="eastAsia" w:ascii="宋体" w:hAnsi="宋体" w:cs="宋体"/>
          <w:color w:val="auto"/>
          <w:szCs w:val="21"/>
          <w:highlight w:val="none"/>
          <w:u w:val="single"/>
        </w:rPr>
        <w:t>▲</w:t>
      </w:r>
      <w:r>
        <w:rPr>
          <w:rFonts w:hint="eastAsia" w:ascii="宋体" w:hAnsi="宋体" w:cs="宋体"/>
          <w:b/>
          <w:color w:val="auto"/>
          <w:szCs w:val="21"/>
          <w:highlight w:val="none"/>
          <w:u w:val="single"/>
        </w:rPr>
        <w:t>投标人的投标文件中承诺的投标有效期少于招标文件中载明的投标有效期的，投标无效。</w:t>
      </w:r>
    </w:p>
    <w:p w14:paraId="2E346295">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3730C83A">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592055E">
      <w:pPr>
        <w:pStyle w:val="3"/>
        <w:rPr>
          <w:rFonts w:hint="eastAsia"/>
          <w:color w:val="auto"/>
          <w:szCs w:val="21"/>
          <w:highlight w:val="none"/>
        </w:rPr>
      </w:pPr>
      <w:r>
        <w:rPr>
          <w:rFonts w:hint="eastAsia"/>
          <w:color w:val="auto"/>
          <w:szCs w:val="21"/>
          <w:highlight w:val="none"/>
        </w:rPr>
        <w:t>四、开标、资格审查与信用信息查询</w:t>
      </w:r>
    </w:p>
    <w:p w14:paraId="2D822F7C">
      <w:pPr>
        <w:pStyle w:val="557"/>
        <w:spacing w:before="0" w:line="360" w:lineRule="auto"/>
        <w:ind w:left="0" w:firstLine="422" w:firstLineChars="200"/>
        <w:contextualSpacing/>
        <w:outlineLvl w:val="2"/>
        <w:rPr>
          <w:rFonts w:hint="eastAsia"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2F87B0C9">
      <w:pPr>
        <w:pStyle w:val="557"/>
        <w:spacing w:before="0" w:line="360" w:lineRule="auto"/>
        <w:ind w:left="0"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18.1采购代理机构按照招标文件规定的时间通过电子交易平台组织开标，所有投标人均应当准时在线参加。投标人不足3家的，不得开标。</w:t>
      </w:r>
    </w:p>
    <w:p w14:paraId="17AA504C">
      <w:pPr>
        <w:pStyle w:val="557"/>
        <w:spacing w:before="0" w:line="360" w:lineRule="auto"/>
        <w:ind w:left="0"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18.2开标时，电子交易平台按开标时间自动提取所有投标文件。采购代理机构依托电子交易平台发起开始解密指令，投标人按照平台提示和招标文件的规定在半小时内完成在线解密。</w:t>
      </w:r>
    </w:p>
    <w:p w14:paraId="4519BC35">
      <w:pPr>
        <w:pStyle w:val="557"/>
        <w:spacing w:before="0" w:line="360" w:lineRule="auto"/>
        <w:ind w:left="0"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18.3投标文件未按时解密，投标人提供了备份投标文件的，以备份投标文件作为依据，否则视为投标文件撤回。投标文件已按时解密的，备份投标文件自动失效。</w:t>
      </w:r>
    </w:p>
    <w:p w14:paraId="6CCB9E5F">
      <w:pPr>
        <w:pStyle w:val="557"/>
        <w:spacing w:before="0" w:line="360" w:lineRule="auto"/>
        <w:ind w:left="0" w:firstLine="422" w:firstLineChars="200"/>
        <w:contextualSpacing/>
        <w:outlineLvl w:val="2"/>
        <w:rPr>
          <w:rFonts w:hint="eastAsia" w:ascii="宋体" w:hAnsi="宋体" w:cs="宋体"/>
          <w:b/>
          <w:color w:val="auto"/>
          <w:sz w:val="21"/>
          <w:szCs w:val="21"/>
          <w:highlight w:val="none"/>
        </w:rPr>
      </w:pPr>
      <w:r>
        <w:rPr>
          <w:rFonts w:hint="eastAsia" w:ascii="宋体" w:hAnsi="宋体" w:cs="宋体"/>
          <w:b/>
          <w:color w:val="auto"/>
          <w:sz w:val="21"/>
          <w:szCs w:val="21"/>
          <w:highlight w:val="none"/>
        </w:rPr>
        <w:t>19.资格审查</w:t>
      </w:r>
    </w:p>
    <w:p w14:paraId="4159B9F5">
      <w:pPr>
        <w:pStyle w:val="136"/>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19.1采购人或采购代理机构依据法律法规和招标文件的规定，对投标人的资格进行审查。</w:t>
      </w:r>
    </w:p>
    <w:p w14:paraId="42B61EC3">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19.2投标人未按照招标文件要求提供与资格条件相应的有效资格证明材料的，视为投标人不具备招标文件中规定的资格要求，其投标无效。</w:t>
      </w:r>
    </w:p>
    <w:p w14:paraId="734EBE3B">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19.3对未通过资格审查的投标人，采购人或采购代理机构告知其未通过的原因。</w:t>
      </w:r>
    </w:p>
    <w:p w14:paraId="4DE3A59A">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19.4合格投标人不足3家的，不再评标。</w:t>
      </w:r>
    </w:p>
    <w:p w14:paraId="005698BA">
      <w:pPr>
        <w:pStyle w:val="136"/>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859C77A">
      <w:pPr>
        <w:pStyle w:val="136"/>
        <w:spacing w:before="0"/>
        <w:ind w:firstLine="422"/>
        <w:outlineLvl w:val="2"/>
        <w:rPr>
          <w:rFonts w:hint="eastAsia"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4073A3B4">
      <w:pPr>
        <w:pStyle w:val="136"/>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www.creditchina.gov.cn</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、中国政府采购网</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www.ccgp.gov.cn</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等渠道查询投标人接受资格时的信用记录。</w:t>
      </w:r>
    </w:p>
    <w:p w14:paraId="004B2125">
      <w:pPr>
        <w:pStyle w:val="136"/>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20.2信用信息查询记录和证据留存的具体方式：现场查询的投标人的信用记录、查询结果经确认后将与采购文件一起存档。</w:t>
      </w:r>
    </w:p>
    <w:p w14:paraId="41526359">
      <w:pPr>
        <w:pStyle w:val="136"/>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58D11D5A">
      <w:pPr>
        <w:pStyle w:val="136"/>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048960CC">
      <w:pPr>
        <w:pStyle w:val="3"/>
        <w:rPr>
          <w:rFonts w:hint="eastAsia"/>
          <w:color w:val="auto"/>
          <w:szCs w:val="21"/>
          <w:highlight w:val="none"/>
        </w:rPr>
      </w:pPr>
      <w:r>
        <w:rPr>
          <w:rFonts w:hint="eastAsia"/>
          <w:color w:val="auto"/>
          <w:szCs w:val="21"/>
          <w:highlight w:val="none"/>
        </w:rPr>
        <w:t>五、评标</w:t>
      </w:r>
    </w:p>
    <w:p w14:paraId="256A3390">
      <w:pPr>
        <w:spacing w:line="360" w:lineRule="auto"/>
        <w:ind w:firstLine="422" w:firstLineChars="200"/>
        <w:rPr>
          <w:rFonts w:hint="eastAsia" w:ascii="宋体" w:hAnsi="宋体" w:cs="宋体"/>
          <w:b/>
          <w:color w:val="auto"/>
          <w:szCs w:val="21"/>
          <w:highlight w:val="none"/>
        </w:rPr>
      </w:pPr>
      <w:bookmarkStart w:id="17" w:name="_Toc91899903"/>
      <w:r>
        <w:rPr>
          <w:rFonts w:hint="eastAsia" w:ascii="宋体" w:hAnsi="宋体" w:cs="宋体"/>
          <w:b/>
          <w:color w:val="auto"/>
          <w:szCs w:val="21"/>
          <w:highlight w:val="none"/>
        </w:rPr>
        <w:t>21.</w:t>
      </w:r>
      <w:r>
        <w:rPr>
          <w:rFonts w:hint="eastAsia" w:ascii="宋体" w:hAnsi="宋体" w:cs="宋体"/>
          <w:color w:val="auto"/>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Cs w:val="21"/>
          <w:highlight w:val="none"/>
        </w:rPr>
        <w:t>详见招标文件第四部分评标办法。</w:t>
      </w:r>
    </w:p>
    <w:p w14:paraId="030AC10B">
      <w:pPr>
        <w:pStyle w:val="3"/>
        <w:rPr>
          <w:rFonts w:hint="eastAsia"/>
          <w:color w:val="auto"/>
          <w:szCs w:val="21"/>
          <w:highlight w:val="none"/>
        </w:rPr>
      </w:pPr>
      <w:r>
        <w:rPr>
          <w:rFonts w:hint="eastAsia"/>
          <w:color w:val="auto"/>
          <w:szCs w:val="21"/>
          <w:highlight w:val="none"/>
        </w:rPr>
        <w:t>六、定标</w:t>
      </w:r>
    </w:p>
    <w:p w14:paraId="476AD7DD">
      <w:pPr>
        <w:pStyle w:val="24"/>
        <w:spacing w:line="360" w:lineRule="auto"/>
        <w:ind w:firstLine="422"/>
        <w:outlineLvl w:val="2"/>
        <w:rPr>
          <w:rFonts w:hint="eastAsia" w:cs="宋体"/>
          <w:b/>
          <w:color w:val="auto"/>
          <w:sz w:val="21"/>
          <w:szCs w:val="21"/>
          <w:highlight w:val="none"/>
        </w:rPr>
      </w:pPr>
      <w:r>
        <w:rPr>
          <w:rFonts w:hint="eastAsia" w:cs="宋体"/>
          <w:b/>
          <w:color w:val="auto"/>
          <w:sz w:val="21"/>
          <w:szCs w:val="21"/>
          <w:highlight w:val="none"/>
        </w:rPr>
        <w:t>22.确定中标供应商</w:t>
      </w:r>
    </w:p>
    <w:p w14:paraId="280C5125">
      <w:pPr>
        <w:pStyle w:val="136"/>
        <w:snapToGrid w:val="0"/>
        <w:spacing w:before="0"/>
        <w:ind w:firstLine="420"/>
        <w:outlineLvl w:val="2"/>
        <w:rPr>
          <w:rFonts w:hint="eastAsia" w:ascii="宋体" w:hAnsi="宋体" w:cs="宋体"/>
          <w:color w:val="auto"/>
          <w:kern w:val="0"/>
          <w:sz w:val="21"/>
          <w:szCs w:val="21"/>
          <w:highlight w:val="none"/>
        </w:rPr>
      </w:pPr>
      <w:r>
        <w:rPr>
          <w:rFonts w:ascii="宋体" w:hAnsi="宋体" w:cs="宋体"/>
          <w:color w:val="auto"/>
          <w:kern w:val="0"/>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262067F4">
      <w:pPr>
        <w:pStyle w:val="136"/>
        <w:snapToGrid w:val="0"/>
        <w:spacing w:before="0"/>
        <w:ind w:firstLine="422"/>
        <w:outlineLvl w:val="2"/>
        <w:rPr>
          <w:rFonts w:hint="eastAsia" w:ascii="宋体" w:hAnsi="宋体" w:cs="宋体"/>
          <w:b/>
          <w:color w:val="auto"/>
          <w:sz w:val="21"/>
          <w:szCs w:val="21"/>
          <w:highlight w:val="none"/>
        </w:rPr>
      </w:pPr>
      <w:r>
        <w:rPr>
          <w:rFonts w:hint="eastAsia" w:ascii="宋体" w:hAnsi="宋体" w:cs="宋体"/>
          <w:b/>
          <w:color w:val="auto"/>
          <w:sz w:val="21"/>
          <w:szCs w:val="21"/>
          <w:highlight w:val="none"/>
        </w:rPr>
        <w:t>23.中标通知与中标结果公告</w:t>
      </w:r>
    </w:p>
    <w:p w14:paraId="2B7BE7C8">
      <w:pPr>
        <w:widowControl/>
        <w:shd w:val="clear" w:color="auto" w:fill="FFFFFF"/>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23.1自中标人确定之日起1个工作日内，采购代理机构通过电子交易平台向中标人发出中标通知书，同时编制发布采购结果公告。采购代理机构也可以以纸质形式进行中标通知。</w:t>
      </w:r>
    </w:p>
    <w:p w14:paraId="1D46618F">
      <w:pPr>
        <w:widowControl/>
        <w:shd w:val="clear" w:color="auto" w:fill="FFFFFF"/>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23.2中标结果公告内容包括采购人及其委托的</w:t>
      </w:r>
      <w:r>
        <w:rPr>
          <w:rFonts w:hint="eastAsia" w:ascii="宋体" w:hAnsi="宋体" w:cs="宋体"/>
          <w:color w:val="auto"/>
          <w:szCs w:val="21"/>
          <w:highlight w:val="none"/>
        </w:rPr>
        <w:t>采购代理机构</w:t>
      </w:r>
      <w:r>
        <w:rPr>
          <w:rFonts w:ascii="宋体" w:hAnsi="宋体" w:cs="宋体"/>
          <w:color w:val="auto"/>
          <w:szCs w:val="21"/>
          <w:highlight w:val="none"/>
        </w:rPr>
        <w:t>的名称、地址、联系方式，项目名称和项目编号，中标人名称、地址和中标金额，主要中标标的</w:t>
      </w:r>
      <w:r>
        <w:rPr>
          <w:rFonts w:hint="eastAsia" w:ascii="宋体" w:hAnsi="宋体" w:cs="宋体"/>
          <w:color w:val="auto"/>
          <w:szCs w:val="21"/>
          <w:highlight w:val="none"/>
        </w:rPr>
        <w:t>的名称、规格型号、数量、单价、服务要求，开标记录、</w:t>
      </w:r>
      <w:bookmarkStart w:id="18" w:name="_Hlk101184471"/>
      <w:r>
        <w:rPr>
          <w:rFonts w:hint="eastAsia" w:ascii="宋体" w:hAnsi="宋体" w:cs="宋体"/>
          <w:color w:val="auto"/>
          <w:szCs w:val="21"/>
          <w:highlight w:val="none"/>
        </w:rPr>
        <w:t>资格审查情况、评审专家抽取规则、符合性审查情况、</w:t>
      </w:r>
      <w:bookmarkEnd w:id="18"/>
      <w:r>
        <w:rPr>
          <w:rFonts w:hint="eastAsia" w:ascii="宋体" w:hAnsi="宋体" w:cs="宋体"/>
          <w:color w:val="auto"/>
          <w:szCs w:val="21"/>
          <w:highlight w:val="none"/>
        </w:rPr>
        <w:t>未中标情况说明、中标公告期限以及评审专家名单、评分汇总及明细。</w:t>
      </w:r>
    </w:p>
    <w:p w14:paraId="6F0576C0">
      <w:pPr>
        <w:widowControl/>
        <w:shd w:val="clear" w:color="auto" w:fill="FFFFFF"/>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23.3公告期限为1个工作日。</w:t>
      </w:r>
    </w:p>
    <w:p w14:paraId="4CEBFFD8">
      <w:pPr>
        <w:pStyle w:val="136"/>
        <w:widowControl/>
        <w:shd w:val="clear" w:color="auto" w:fill="FFFFFF"/>
        <w:snapToGrid w:val="0"/>
        <w:ind w:firstLine="422"/>
        <w:jc w:val="left"/>
        <w:outlineLvl w:val="2"/>
        <w:rPr>
          <w:rFonts w:hint="eastAsia" w:ascii="宋体" w:hAnsi="宋体" w:cs="宋体"/>
          <w:b/>
          <w:color w:val="auto"/>
          <w:sz w:val="21"/>
          <w:szCs w:val="21"/>
          <w:highlight w:val="none"/>
        </w:rPr>
      </w:pPr>
      <w:r>
        <w:rPr>
          <w:rFonts w:hint="eastAsia" w:ascii="宋体" w:hAnsi="宋体" w:cs="宋体"/>
          <w:b/>
          <w:color w:val="auto"/>
          <w:sz w:val="21"/>
          <w:szCs w:val="21"/>
          <w:highlight w:val="none"/>
        </w:rPr>
        <w:t>由于中标、成交供应商原因导致重新采购的，应当承担支付代理费和专家评审费等费用在内的赔偿责任。</w:t>
      </w:r>
    </w:p>
    <w:p w14:paraId="4425E93E">
      <w:pPr>
        <w:pStyle w:val="3"/>
        <w:rPr>
          <w:rFonts w:hint="eastAsia"/>
          <w:color w:val="auto"/>
          <w:szCs w:val="21"/>
          <w:highlight w:val="none"/>
        </w:rPr>
      </w:pPr>
      <w:r>
        <w:rPr>
          <w:rFonts w:hint="eastAsia"/>
          <w:color w:val="auto"/>
          <w:szCs w:val="21"/>
          <w:highlight w:val="none"/>
        </w:rPr>
        <w:t>七、合同授予</w:t>
      </w:r>
    </w:p>
    <w:p w14:paraId="67021080">
      <w:pPr>
        <w:pStyle w:val="24"/>
        <w:spacing w:line="360" w:lineRule="auto"/>
        <w:ind w:firstLine="422"/>
        <w:outlineLvl w:val="2"/>
        <w:rPr>
          <w:rFonts w:hint="eastAsia" w:cs="宋体"/>
          <w:b/>
          <w:color w:val="auto"/>
          <w:sz w:val="21"/>
          <w:szCs w:val="21"/>
          <w:highlight w:val="none"/>
        </w:rPr>
      </w:pPr>
      <w:r>
        <w:rPr>
          <w:rFonts w:hint="eastAsia" w:cs="宋体"/>
          <w:b/>
          <w:color w:val="auto"/>
          <w:sz w:val="21"/>
          <w:szCs w:val="21"/>
          <w:highlight w:val="none"/>
        </w:rPr>
        <w:t>24.</w:t>
      </w:r>
      <w:r>
        <w:rPr>
          <w:rFonts w:hint="eastAsia" w:cs="宋体"/>
          <w:color w:val="auto"/>
          <w:sz w:val="21"/>
          <w:szCs w:val="21"/>
          <w:highlight w:val="none"/>
        </w:rPr>
        <w:t>合同主要条款详见第五部分拟签订的合同文本。</w:t>
      </w:r>
    </w:p>
    <w:p w14:paraId="31210E9A">
      <w:pPr>
        <w:pStyle w:val="24"/>
        <w:spacing w:line="360" w:lineRule="auto"/>
        <w:ind w:firstLine="422"/>
        <w:outlineLvl w:val="2"/>
        <w:rPr>
          <w:rFonts w:hint="eastAsia" w:cs="宋体"/>
          <w:b/>
          <w:color w:val="auto"/>
          <w:sz w:val="21"/>
          <w:szCs w:val="21"/>
          <w:highlight w:val="none"/>
        </w:rPr>
      </w:pPr>
      <w:r>
        <w:rPr>
          <w:rFonts w:hint="eastAsia" w:cs="宋体"/>
          <w:b/>
          <w:color w:val="auto"/>
          <w:sz w:val="21"/>
          <w:szCs w:val="21"/>
          <w:highlight w:val="none"/>
        </w:rPr>
        <w:t>25.合同的签订</w:t>
      </w:r>
    </w:p>
    <w:p w14:paraId="4393F7B3">
      <w:pPr>
        <w:widowControl/>
        <w:shd w:val="clear" w:color="auto" w:fill="FFFFFF"/>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25.1采购人与中标人应当通过电子交易平台在中标通知书发出之日起三十日内，按照招标文件确定的事项签订政府采购合同，并在</w:t>
      </w:r>
      <w:r>
        <w:rPr>
          <w:rFonts w:hint="eastAsia" w:ascii="宋体" w:hAnsi="宋体" w:cs="宋体"/>
          <w:color w:val="auto"/>
          <w:kern w:val="0"/>
          <w:szCs w:val="21"/>
          <w:highlight w:val="none"/>
        </w:rPr>
        <w:t>签订之日起2个工作日内将政府采购</w:t>
      </w:r>
      <w:r>
        <w:rPr>
          <w:rFonts w:ascii="宋体" w:hAnsi="宋体" w:cs="宋体"/>
          <w:color w:val="auto"/>
          <w:kern w:val="0"/>
          <w:szCs w:val="21"/>
          <w:highlight w:val="none"/>
        </w:rPr>
        <w:t>合同</w:t>
      </w:r>
      <w:r>
        <w:rPr>
          <w:rFonts w:hint="eastAsia" w:ascii="宋体" w:hAnsi="宋体" w:cs="宋体"/>
          <w:color w:val="auto"/>
          <w:kern w:val="0"/>
          <w:szCs w:val="21"/>
          <w:highlight w:val="none"/>
        </w:rPr>
        <w:t>在浙江政府采购网上</w:t>
      </w:r>
      <w:r>
        <w:rPr>
          <w:rFonts w:ascii="宋体" w:hAnsi="宋体" w:cs="宋体"/>
          <w:color w:val="auto"/>
          <w:kern w:val="0"/>
          <w:szCs w:val="21"/>
          <w:highlight w:val="none"/>
        </w:rPr>
        <w:t>公告</w:t>
      </w:r>
      <w:r>
        <w:rPr>
          <w:rFonts w:hint="eastAsia" w:ascii="宋体" w:hAnsi="宋体" w:cs="宋体"/>
          <w:color w:val="auto"/>
          <w:kern w:val="0"/>
          <w:szCs w:val="21"/>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Pr>
          <w:rFonts w:ascii="宋体" w:hAnsi="宋体" w:cs="宋体"/>
          <w:color w:val="auto"/>
          <w:kern w:val="0"/>
          <w:szCs w:val="21"/>
          <w:highlight w:val="none"/>
        </w:rPr>
        <w:t>。</w:t>
      </w:r>
    </w:p>
    <w:p w14:paraId="423F2123">
      <w:pPr>
        <w:pStyle w:val="136"/>
        <w:snapToGrid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0485D44">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6BDA620F">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6CFB7D9A">
      <w:pPr>
        <w:pStyle w:val="136"/>
        <w:snapToGrid w:val="0"/>
        <w:spacing w:before="0" w:after="12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4513BAA3">
      <w:pPr>
        <w:pStyle w:val="24"/>
        <w:spacing w:line="360" w:lineRule="auto"/>
        <w:ind w:firstLine="422"/>
        <w:outlineLvl w:val="2"/>
        <w:rPr>
          <w:rFonts w:hint="eastAsia" w:cs="宋体"/>
          <w:b/>
          <w:color w:val="auto"/>
          <w:sz w:val="21"/>
          <w:szCs w:val="21"/>
          <w:highlight w:val="none"/>
        </w:rPr>
      </w:pPr>
      <w:r>
        <w:rPr>
          <w:rFonts w:hint="eastAsia" w:cs="宋体"/>
          <w:b/>
          <w:color w:val="auto"/>
          <w:sz w:val="21"/>
          <w:szCs w:val="21"/>
          <w:highlight w:val="none"/>
        </w:rPr>
        <w:t>26.履约保证金</w:t>
      </w:r>
    </w:p>
    <w:p w14:paraId="1D92F2E3">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供应商可登录政采云平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F4554F3">
      <w:pPr>
        <w:pStyle w:val="4"/>
        <w:rPr>
          <w:color w:val="auto"/>
          <w:szCs w:val="21"/>
          <w:highlight w:val="none"/>
        </w:rPr>
      </w:pPr>
      <w:r>
        <w:rPr>
          <w:rFonts w:hint="eastAsia"/>
          <w:color w:val="auto"/>
          <w:szCs w:val="21"/>
          <w:highlight w:val="none"/>
        </w:rPr>
        <w:t>27.预付款</w:t>
      </w:r>
    </w:p>
    <w:p w14:paraId="40004DF8">
      <w:pPr>
        <w:pStyle w:val="136"/>
        <w:snapToGrid w:val="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【保函保险服务】出具预付款保函，具体步骤：选择产品—填写供应商信息—选择中标项目—确认信息—等待保险/保函受理—确认保单—支付保费—成功出单。政采云金融专线400-903-9583。</w:t>
      </w:r>
    </w:p>
    <w:p w14:paraId="5A9AAFB3">
      <w:pPr>
        <w:pStyle w:val="3"/>
        <w:rPr>
          <w:rFonts w:hint="eastAsia"/>
          <w:color w:val="auto"/>
          <w:szCs w:val="21"/>
          <w:highlight w:val="none"/>
        </w:rPr>
      </w:pPr>
      <w:r>
        <w:rPr>
          <w:rFonts w:hint="eastAsia"/>
          <w:color w:val="auto"/>
          <w:szCs w:val="21"/>
          <w:highlight w:val="none"/>
        </w:rPr>
        <w:t>八、电子交易活动的中止</w:t>
      </w:r>
    </w:p>
    <w:p w14:paraId="2700420D">
      <w:pPr>
        <w:pStyle w:val="136"/>
        <w:snapToGrid w:val="0"/>
        <w:spacing w:before="0"/>
        <w:ind w:firstLine="422"/>
        <w:outlineLvl w:val="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28.电子交易活动的中止</w:t>
      </w:r>
    </w:p>
    <w:p w14:paraId="76B15F46">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0CB478DC">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008D0767">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0F6ECDF9">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1B3A8F48">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7ECBDB3E">
      <w:pPr>
        <w:pStyle w:val="136"/>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0CC5ABF0">
      <w:pPr>
        <w:pStyle w:val="136"/>
        <w:snapToGrid w:val="0"/>
        <w:spacing w:before="0"/>
        <w:ind w:firstLine="420"/>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72CE49B4">
      <w:pPr>
        <w:pStyle w:val="3"/>
        <w:rPr>
          <w:rFonts w:hint="eastAsia"/>
          <w:color w:val="auto"/>
          <w:szCs w:val="21"/>
          <w:highlight w:val="none"/>
        </w:rPr>
      </w:pPr>
      <w:r>
        <w:rPr>
          <w:rFonts w:hint="eastAsia"/>
          <w:color w:val="auto"/>
          <w:szCs w:val="21"/>
          <w:highlight w:val="none"/>
        </w:rPr>
        <w:t>九、验收</w:t>
      </w:r>
    </w:p>
    <w:p w14:paraId="5059CA45">
      <w:pPr>
        <w:pStyle w:val="24"/>
        <w:spacing w:line="360" w:lineRule="auto"/>
        <w:ind w:firstLine="422"/>
        <w:outlineLvl w:val="2"/>
        <w:rPr>
          <w:rFonts w:hint="eastAsia" w:cs="宋体"/>
          <w:b/>
          <w:color w:val="auto"/>
          <w:sz w:val="21"/>
          <w:szCs w:val="21"/>
          <w:highlight w:val="none"/>
        </w:rPr>
      </w:pPr>
      <w:r>
        <w:rPr>
          <w:rFonts w:hint="eastAsia" w:cs="宋体"/>
          <w:b/>
          <w:color w:val="auto"/>
          <w:sz w:val="21"/>
          <w:szCs w:val="21"/>
          <w:highlight w:val="none"/>
        </w:rPr>
        <w:t>30.验收</w:t>
      </w:r>
    </w:p>
    <w:p w14:paraId="4B20F2D3">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D374B4">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30.2采购人可以邀请参加本项目的其他投标人或者第三方机构参与验收。参与验收的投标人或者第三方机构的意见作为验收书的参考资料一并存档。</w:t>
      </w:r>
    </w:p>
    <w:p w14:paraId="30C20833">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28DDAC">
      <w:pPr>
        <w:tabs>
          <w:tab w:val="left" w:pos="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352B5E6A">
      <w:pPr>
        <w:tabs>
          <w:tab w:val="left" w:pos="0"/>
        </w:tabs>
        <w:spacing w:line="360" w:lineRule="auto"/>
        <w:ind w:firstLine="420" w:firstLineChars="200"/>
        <w:rPr>
          <w:rFonts w:hint="eastAsia" w:ascii="宋体" w:hAnsi="宋体" w:cs="宋体"/>
          <w:color w:val="auto"/>
          <w:kern w:val="0"/>
          <w:szCs w:val="21"/>
          <w:highlight w:val="none"/>
        </w:rPr>
      </w:pPr>
      <w:bookmarkStart w:id="19" w:name="_Hlt74707468"/>
      <w:bookmarkEnd w:id="19"/>
      <w:bookmarkStart w:id="20" w:name="_Hlt68072990"/>
      <w:bookmarkEnd w:id="20"/>
      <w:bookmarkStart w:id="21" w:name="_Hlt75236290"/>
      <w:bookmarkEnd w:id="21"/>
      <w:bookmarkStart w:id="22" w:name="_Hlt68057669"/>
      <w:bookmarkEnd w:id="22"/>
      <w:bookmarkStart w:id="23" w:name="_Hlt74729768"/>
      <w:bookmarkEnd w:id="23"/>
      <w:bookmarkStart w:id="24" w:name="_Hlt74714665"/>
      <w:bookmarkEnd w:id="24"/>
      <w:bookmarkStart w:id="25" w:name="_Hlt68073093"/>
      <w:bookmarkEnd w:id="25"/>
      <w:bookmarkStart w:id="26" w:name="_Hlt75236101"/>
      <w:bookmarkEnd w:id="26"/>
      <w:bookmarkStart w:id="27" w:name="_Hlt68403820"/>
      <w:bookmarkEnd w:id="27"/>
      <w:bookmarkStart w:id="28" w:name="_Hlt74730295"/>
      <w:bookmarkEnd w:id="28"/>
      <w:bookmarkStart w:id="29" w:name="_Hlt75236011"/>
      <w:bookmarkEnd w:id="29"/>
      <w:bookmarkStart w:id="30" w:name="_Hlt68072998"/>
      <w:bookmarkEnd w:id="30"/>
      <w:r>
        <w:rPr>
          <w:rFonts w:hint="eastAsia" w:ascii="宋体" w:hAnsi="宋体" w:cs="宋体"/>
          <w:color w:val="auto"/>
          <w:kern w:val="0"/>
          <w:szCs w:val="21"/>
          <w:highlight w:val="none"/>
        </w:rPr>
        <w:t>30.5 对于满足合同约定的采购资金支付条件的，供应商可通过政采云平台提起在线支付申请、查询支付结果，路径为政采云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我的工作台</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合同管理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支付管理。对于供应商提起在线支付申请的，采购人应当按规定做好审核并完成支付。</w:t>
      </w:r>
    </w:p>
    <w:p w14:paraId="720B10A4">
      <w:pPr>
        <w:tabs>
          <w:tab w:val="left" w:pos="0"/>
        </w:tabs>
        <w:spacing w:line="360" w:lineRule="auto"/>
        <w:ind w:firstLine="480"/>
        <w:rPr>
          <w:rFonts w:hint="eastAsia" w:ascii="宋体" w:hAnsi="宋体" w:cs="宋体"/>
          <w:color w:val="auto"/>
          <w:kern w:val="0"/>
          <w:szCs w:val="21"/>
          <w:highlight w:val="none"/>
        </w:rPr>
        <w:sectPr>
          <w:footerReference r:id="rId8" w:type="first"/>
          <w:headerReference r:id="rId6" w:type="default"/>
          <w:footerReference r:id="rId7" w:type="default"/>
          <w:pgSz w:w="11906" w:h="16838"/>
          <w:pgMar w:top="680" w:right="1418" w:bottom="468" w:left="1418" w:header="851" w:footer="992" w:gutter="0"/>
          <w:pgNumType w:start="2"/>
          <w:cols w:space="720" w:num="1"/>
          <w:docGrid w:linePitch="312" w:charSpace="0"/>
        </w:sectPr>
      </w:pPr>
    </w:p>
    <w:bookmarkEnd w:id="15"/>
    <w:bookmarkEnd w:id="16"/>
    <w:p w14:paraId="670AD377">
      <w:pPr>
        <w:pStyle w:val="2"/>
        <w:numPr>
          <w:ilvl w:val="0"/>
          <w:numId w:val="1"/>
        </w:numPr>
        <w:rPr>
          <w:color w:val="auto"/>
          <w:highlight w:val="none"/>
        </w:rPr>
      </w:pPr>
      <w:bookmarkStart w:id="31" w:name="_Toc16290"/>
      <w:bookmarkStart w:id="32" w:name="第四部分"/>
      <w:r>
        <w:rPr>
          <w:rFonts w:hint="eastAsia"/>
          <w:color w:val="auto"/>
          <w:highlight w:val="none"/>
        </w:rPr>
        <w:t>采购需求</w:t>
      </w:r>
      <w:bookmarkEnd w:id="31"/>
    </w:p>
    <w:p w14:paraId="7FF2CCF8">
      <w:pPr>
        <w:pStyle w:val="23"/>
        <w:widowControl/>
        <w:numPr>
          <w:ilvl w:val="1"/>
          <w:numId w:val="2"/>
        </w:numPr>
        <w:adjustRightInd/>
        <w:spacing w:before="100" w:after="100"/>
        <w:ind w:firstLine="422" w:firstLineChars="200"/>
        <w:jc w:val="left"/>
        <w:outlineLvl w:val="1"/>
        <w:rPr>
          <w:rFonts w:hint="eastAsia" w:hAnsi="宋体" w:cs="宋体"/>
          <w:b/>
          <w:color w:val="auto"/>
          <w:sz w:val="21"/>
          <w:highlight w:val="none"/>
          <w:lang w:val="en-US"/>
        </w:rPr>
      </w:pPr>
      <w:r>
        <w:rPr>
          <w:rFonts w:hint="eastAsia" w:hAnsi="宋体" w:cs="宋体"/>
          <w:b/>
          <w:color w:val="auto"/>
          <w:sz w:val="21"/>
          <w:highlight w:val="none"/>
          <w:lang w:val="en-US"/>
        </w:rPr>
        <w:t>项目背景</w:t>
      </w:r>
    </w:p>
    <w:p w14:paraId="30E55E12">
      <w:pPr>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HYPERLINK "https://baike.baidu.com/item/%E4%B8%AD%E5%8D%8E%E4%BA%BA%E6%B0%91%E5%85%B1%E5%92%8C%E5%9B%BD%E5%9B%BD%E5%8A%A1%E9%99%A2/117550?fromModule=lemma_inlink" \t "_blank"</w:instrText>
      </w:r>
      <w:r>
        <w:rPr>
          <w:rFonts w:ascii="宋体" w:hAnsi="宋体" w:cs="宋体"/>
          <w:color w:val="auto"/>
          <w:szCs w:val="21"/>
          <w:highlight w:val="none"/>
        </w:rPr>
        <w:fldChar w:fldCharType="separate"/>
      </w:r>
      <w:r>
        <w:rPr>
          <w:rStyle w:val="76"/>
          <w:rFonts w:ascii="宋体" w:hAnsi="宋体" w:eastAsia="宋体" w:cs="宋体"/>
          <w:snapToGrid/>
          <w:color w:val="auto"/>
          <w:kern w:val="2"/>
          <w:sz w:val="21"/>
          <w:szCs w:val="21"/>
          <w:highlight w:val="none"/>
        </w:rPr>
        <w:t>中华人民共和国国务院</w:t>
      </w:r>
      <w:r>
        <w:rPr>
          <w:rFonts w:ascii="宋体" w:hAnsi="宋体" w:cs="宋体"/>
          <w:color w:val="auto"/>
          <w:szCs w:val="21"/>
          <w:highlight w:val="none"/>
        </w:rPr>
        <w:fldChar w:fldCharType="end"/>
      </w:r>
      <w:r>
        <w:rPr>
          <w:rFonts w:ascii="宋体" w:hAnsi="宋体" w:cs="宋体"/>
          <w:color w:val="auto"/>
          <w:szCs w:val="21"/>
          <w:highlight w:val="none"/>
        </w:rPr>
        <w:t>于2022年1月12日发布</w:t>
      </w:r>
      <w:r>
        <w:rPr>
          <w:rFonts w:hint="eastAsia" w:ascii="宋体" w:hAnsi="宋体" w:cs="宋体"/>
          <w:color w:val="auto"/>
          <w:szCs w:val="21"/>
          <w:highlight w:val="none"/>
        </w:rPr>
        <w:t>《国务院关于印发“十四五”数字经济发展规划的通知》：该规划明确提出要完善数字基础设施，其中就包括了加强政务云平台建设，提升政务服务水平。要求加快构建全国一体化大数据中心体系，优化数据中心建设布局，推动算力、算法、数据、应用资源集约化和服务化创新。</w:t>
      </w:r>
    </w:p>
    <w:p w14:paraId="5B9C5103">
      <w:pPr>
        <w:snapToGrid w:val="0"/>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2021年6月，浙江省印发了</w:t>
      </w:r>
      <w:r>
        <w:rPr>
          <w:rFonts w:hint="eastAsia" w:ascii="宋体" w:hAnsi="宋体" w:cs="宋体"/>
          <w:color w:val="auto"/>
          <w:szCs w:val="21"/>
          <w:highlight w:val="none"/>
        </w:rPr>
        <w:t>《浙江省数字政府建设“十四五”规划》：这一规划提出了浙江省数字政府建设的总体思路、发展目标和主要任务。其中，对于政务云建设有明确的指导要求，包括推动政务信息系统迁移上云、提升政务云服务能力、加强政务云安全管理等。</w:t>
      </w:r>
    </w:p>
    <w:p w14:paraId="4209D25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余杭区“十四五”数字政府建设规划明确提出以云平台为底座，推进全区域硬件资源整合，为全区各类平台系统和政务应用提供计算、存储和安全资源保障。</w:t>
      </w:r>
    </w:p>
    <w:p w14:paraId="2D6F54DB">
      <w:pPr>
        <w:pStyle w:val="23"/>
        <w:widowControl/>
        <w:numPr>
          <w:ilvl w:val="1"/>
          <w:numId w:val="2"/>
        </w:numPr>
        <w:adjustRightInd/>
        <w:spacing w:before="100" w:after="100"/>
        <w:ind w:firstLine="422" w:firstLineChars="200"/>
        <w:jc w:val="left"/>
        <w:outlineLvl w:val="1"/>
        <w:rPr>
          <w:rFonts w:hint="eastAsia" w:hAnsi="宋体" w:cs="宋体"/>
          <w:b/>
          <w:color w:val="auto"/>
          <w:sz w:val="21"/>
          <w:highlight w:val="none"/>
          <w:lang w:val="en-US"/>
        </w:rPr>
      </w:pPr>
      <w:r>
        <w:rPr>
          <w:rFonts w:hint="eastAsia" w:hAnsi="宋体" w:cs="宋体"/>
          <w:b/>
          <w:color w:val="auto"/>
          <w:sz w:val="21"/>
          <w:highlight w:val="none"/>
          <w:lang w:val="en-US"/>
        </w:rPr>
        <w:t>项目内容</w:t>
      </w:r>
    </w:p>
    <w:p w14:paraId="7E8D0D2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建设内容包含：机房托管服务、云基础资源服务、云安全服务、运维服务、云上系统迁移服务。</w:t>
      </w:r>
    </w:p>
    <w:p w14:paraId="30AD908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（1）机房托管服务：提供不低于71台机柜托管，托管服务内容包含：机房环境保障、动力保障、温湿度、消防烟感、门禁、机房运维等。</w:t>
      </w:r>
    </w:p>
    <w:p w14:paraId="4A307E4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（2）云基础资源服务：提供对现有436套应用系统的支撑，基础资源包含：弹性计算（云服务器）、GPU 云服务器、块存储（高效云盘、SSD云盘）、对象存储、文件存储、表格存储、专有网络、NAT网关、高速通道、负载均衡、DNS、云数据库、数据库备份、数据传输服务、日志服务、企业级分布式应用服务、大数据计算服务、实时计算、实时数据分发平台、大数据开发定制服务、消息队列、分布式关系型数据库、分布式任务调度、容器服务、应用实时监控服务、API网关服务、数据资源平台、操作系统等。</w:t>
      </w:r>
    </w:p>
    <w:p w14:paraId="3027946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（3）云安全服务：堡垒机、态势感知、主机安全防护软件、流量安全监控、安全服务、互联网IP地址、互联网出口、专线链路服务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包括添置2台防火墙</w:t>
      </w:r>
      <w:r>
        <w:rPr>
          <w:rFonts w:hint="eastAsia" w:ascii="宋体" w:hAnsi="宋体" w:cs="宋体"/>
          <w:color w:val="auto"/>
          <w:szCs w:val="21"/>
          <w:highlight w:val="none"/>
          <w:lang w:eastAsia="zh-CN"/>
        </w:rPr>
        <w:t>）</w:t>
      </w:r>
      <w:r>
        <w:rPr>
          <w:rFonts w:hint="eastAsia" w:ascii="宋体" w:hAnsi="宋体" w:cs="宋体"/>
          <w:color w:val="auto"/>
          <w:szCs w:val="21"/>
          <w:highlight w:val="none"/>
        </w:rPr>
        <w:t>、基于零信任技术的应用接入安全防护服务、基于零信任技术核心数据可信访问服务等。</w:t>
      </w:r>
    </w:p>
    <w:p w14:paraId="662ED1A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（4）运维服务：平台运维服务、云资源运营平台服务、安全驻场服务、云上应用安全服务、定制化服务等。</w:t>
      </w:r>
    </w:p>
    <w:p w14:paraId="00091B1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（5）云上系统迁移服务：在线业务系统迁移服务、在线业务存储迁移服务、在线业务数据库迁移服务、业务割接、应用迁移上云后状态观测等。</w:t>
      </w:r>
    </w:p>
    <w:p w14:paraId="2F1A9AD3">
      <w:pPr>
        <w:pStyle w:val="23"/>
        <w:widowControl/>
        <w:numPr>
          <w:ilvl w:val="1"/>
          <w:numId w:val="2"/>
        </w:numPr>
        <w:adjustRightInd/>
        <w:spacing w:before="100" w:after="100"/>
        <w:ind w:firstLine="422" w:firstLineChars="200"/>
        <w:jc w:val="left"/>
        <w:outlineLvl w:val="1"/>
        <w:rPr>
          <w:rFonts w:hint="eastAsia" w:hAnsi="宋体" w:cs="宋体"/>
          <w:b/>
          <w:color w:val="auto"/>
          <w:sz w:val="21"/>
          <w:highlight w:val="none"/>
          <w:lang w:val="en-US"/>
        </w:rPr>
      </w:pPr>
      <w:r>
        <w:rPr>
          <w:rFonts w:hint="eastAsia" w:hAnsi="宋体" w:cs="宋体"/>
          <w:b/>
          <w:color w:val="auto"/>
          <w:sz w:val="21"/>
          <w:highlight w:val="none"/>
          <w:lang w:val="en-US"/>
        </w:rPr>
        <w:t>采购标的需执行的国家相关标准、行业标准、地方标准或者其他标准、规范等</w:t>
      </w:r>
    </w:p>
    <w:p w14:paraId="2888E19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1.《国务院关于印发“十四五”数字经济发展规划的通知》：该规划明确提出要完善数字基础设施，其中就包括了加强政务云平台建设，提升政务服务水平。</w:t>
      </w:r>
    </w:p>
    <w:p w14:paraId="03F44C5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2.《浙江省数字政府建设“十四五”规划》：规划提出了对政务云建设的明确指导要求，包括推动政务信息系统迁移上云、提升政务云服务能力、加强政务云安全管理等。</w:t>
      </w:r>
    </w:p>
    <w:p w14:paraId="5B86F7A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浙江省人民政府办公厅关于印发浙江省电子政务云计算平台管理办法的》：旨在有效解决电子政务基础设施重复建设、资源分散等问题，降低行政成本，实现集约化管理和应用，充分发挥省电子政务云计算平台（政务云平台）的作用。</w:t>
      </w:r>
    </w:p>
    <w:p w14:paraId="24F7145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4.《电子信息系统机房设计规范》(GB)：提供了电子信息系统机房在选址、建筑结构、供配电、空气调节、电磁屏蔽、消防、安全防范等方面的设计要求。</w:t>
      </w:r>
    </w:p>
    <w:p w14:paraId="79DBC89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5.GB/T 34080系列标准：</w:t>
      </w:r>
    </w:p>
    <w:p w14:paraId="5A684BB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5.1.GB/T 34080.3：基于云计算的电子政务公共平台安全规范第3部分：服务安全，规定了政务云服务的安全要求。</w:t>
      </w:r>
    </w:p>
    <w:p w14:paraId="524CAAD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5.2.GB/T 34080.4：基于云计算的电子政务公共平台安全规范第4部分：应用安全，针对政务云平台上的应用安全进行了规范。</w:t>
      </w:r>
    </w:p>
    <w:p w14:paraId="477041E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6.GB/T 22239：《信息安全技术 网络安全等级保护基本要求》，为政务云平台的信息安全保护等级划分和相应安全控制措施提供了依据。</w:t>
      </w:r>
    </w:p>
    <w:p w14:paraId="5650033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7.GB/T 31168：《信息安全技术 云计算服务安全能力要求》，适用于政务云服务提供商，确保云服务的安全能力满足一定的标准。</w:t>
      </w:r>
    </w:p>
    <w:p w14:paraId="127D1BE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8.GB/T 34077.3：基于云计算的电子政务公共平台管理规范的一部分，可能涉及政务云平台的运营管理、维护、监控等方面。</w:t>
      </w:r>
    </w:p>
    <w:p w14:paraId="2D98259D">
      <w:pPr>
        <w:snapToGrid w:val="0"/>
        <w:spacing w:line="360" w:lineRule="auto"/>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9.《关键信息基础设施安全保护条例》：对关键信息基础设施实施安全保护和监督管理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例如“</w:t>
      </w:r>
      <w:r>
        <w:rPr>
          <w:rFonts w:hint="eastAsia" w:ascii="宋体" w:hAnsi="宋体" w:eastAsia="宋体" w:cs="宋体"/>
          <w:color w:val="auto"/>
          <w:szCs w:val="21"/>
          <w:highlight w:val="none"/>
          <w:lang w:val="en-US" w:eastAsia="zh-CN"/>
        </w:rPr>
        <w:t>第十五条</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专门安全管理机构具体负责本单位的关键信息基础设施安全保护工作，履行下列职责：（一）建立健全网络安全管理、评价考核制度，拟订关键信息基础设施安全保护计划；（二）组织推动网络安全防护能力建设，开展网络安全监测、检测和风险评估；（三）按照国家及行业网络安全事件应急预案，制定本单位应急预案，定期开展应急演练，处置网络安全事件；（四）认定网络安全关键岗位，组织开展网络安全工作考核，提出奖励和惩处建议；（五）组织网络安全教育、培训；（六）履行个人信息和数据安全保护责任，建立健全个人信息和数据安全保护制度；（七）对关键信息基础设施设计、建设、运行、维护等服务实施安全管理；（八）按照规定报告网络安全事件和重要事项</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第十七条</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运营者应当自行或者委托网络安全服务机构对关键信息基础设施每年至少进行一次网络安全检测和风险评估，对发现的安全问题及时整改，并按照保护工作部门要求报送情况</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”等相关内容。</w:t>
      </w:r>
    </w:p>
    <w:p w14:paraId="6CF0A424">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 GB/T 43632-2024供应链安全管理体系：详细规定了供应链韧性的开发要求，包括如何增强供应链的韧性、应对供应链安全风险及策略、供应链中断的预警与响应机制等内容。标准还提供了具体的实施步骤和评估方法，帮助构建灵活适应的供应链网络，提升供应链的恢复力和应急计划设计能力‌。</w:t>
      </w:r>
    </w:p>
    <w:p w14:paraId="1762C8E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 xml:space="preserve">GB/T 43698-2024 </w:t>
      </w:r>
      <w:r>
        <w:rPr>
          <w:rFonts w:hint="eastAsia" w:ascii="宋体" w:hAnsi="宋体" w:cs="宋体"/>
          <w:color w:val="auto"/>
          <w:szCs w:val="21"/>
          <w:highlight w:val="none"/>
          <w:lang w:eastAsia="zh-CN"/>
        </w:rPr>
        <w:t>《</w:t>
      </w:r>
      <w:r>
        <w:rPr>
          <w:rFonts w:hint="eastAsia" w:ascii="宋体" w:hAnsi="宋体" w:cs="宋体"/>
          <w:color w:val="auto"/>
          <w:szCs w:val="21"/>
          <w:highlight w:val="none"/>
        </w:rPr>
        <w:t>网络安全技术 软件供应链安全要求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确立了软件供应链安全的目标，并详细规定了安全风险管理的具体要求，包括基础流程、构建软件供应链安全图谱、进行安全风险评估以及风险处置等关键环节。</w:t>
      </w:r>
    </w:p>
    <w:p w14:paraId="5F0F27A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2</w:t>
      </w:r>
      <w:r>
        <w:rPr>
          <w:rFonts w:hint="eastAsia" w:ascii="宋体" w:hAnsi="宋体" w:cs="宋体"/>
          <w:color w:val="auto"/>
          <w:szCs w:val="21"/>
          <w:highlight w:val="none"/>
        </w:rPr>
        <w:t>.《电子政务云》采购标准：虽然不是直接的设计规范，但在实际建设中，云主机、云数据库、云存储、大数据计算服务、分析型数据库服务、云安全、负载均衡、互联网链路等服务内容的选择和采购需符合相关技术和服务标准。</w:t>
      </w:r>
    </w:p>
    <w:p w14:paraId="5FF3495E">
      <w:pPr>
        <w:snapToGrid w:val="0"/>
        <w:spacing w:line="360" w:lineRule="auto"/>
        <w:ind w:firstLine="420" w:firstLineChars="200"/>
        <w:rPr>
          <w:rFonts w:hint="default" w:ascii="宋体" w:hAnsi="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cs="宋体"/>
          <w:snapToGrid/>
          <w:color w:val="auto"/>
          <w:kern w:val="2"/>
          <w:sz w:val="21"/>
          <w:szCs w:val="21"/>
          <w:highlight w:val="none"/>
        </w:rPr>
        <w:t>GB/T 25070-2019《信息安全技术网络安全等级保护安全设计技术要求》中等级保护三级设计要求进行防护</w:t>
      </w:r>
      <w:r>
        <w:rPr>
          <w:rFonts w:hint="eastAsia"/>
          <w:color w:val="auto"/>
          <w:highlight w:val="none"/>
          <w:lang w:eastAsia="zh-CN"/>
        </w:rPr>
        <w:t>，</w:t>
      </w:r>
      <w:r>
        <w:rPr>
          <w:rFonts w:hint="eastAsia"/>
          <w:color w:val="auto"/>
          <w:highlight w:val="none"/>
          <w:lang w:val="en-US" w:eastAsia="zh-CN"/>
        </w:rPr>
        <w:t>包括但不限于相应级别的安全计算环境、安全区域边界、安全通信网络和(或)安全管理中心。第三级系统安全保护环境的设计通过第三级的安全计算环境、安全区域边界安通信网络以及安全管理中心的设计加以实现。计算节点都应基于可信根实现开机到操作系统启动,再到应用程序启动的可信验证,并在应用程序的关键执行环节对其执行环境进行可信验证,主动抵御病入侵行为,并将验证结果形成审计记录,送至管理中心。</w:t>
      </w:r>
    </w:p>
    <w:p w14:paraId="3E5E9739">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r>
        <w:rPr>
          <w:rFonts w:hint="eastAsia" w:ascii="宋体" w:hAnsi="宋体" w:eastAsia="宋体" w:cs="宋体"/>
          <w:i w:val="0"/>
          <w:iCs w:val="0"/>
          <w:caps w:val="0"/>
          <w:color w:val="auto"/>
          <w:spacing w:val="0"/>
          <w:sz w:val="21"/>
          <w:szCs w:val="21"/>
          <w:highlight w:val="none"/>
          <w:shd w:val="clear" w:fill="auto"/>
        </w:rPr>
        <w:t>《商用密码应用安全性评估管理办法》</w:t>
      </w:r>
      <w:r>
        <w:rPr>
          <w:rFonts w:hint="eastAsia" w:ascii="宋体" w:hAnsi="宋体" w:cs="宋体"/>
          <w:color w:val="auto"/>
          <w:szCs w:val="21"/>
          <w:highlight w:val="none"/>
        </w:rPr>
        <w:t>（国家密码管理局令第3号）</w:t>
      </w:r>
      <w:r>
        <w:rPr>
          <w:rFonts w:hint="eastAsia" w:ascii="宋体" w:hAnsi="宋体" w:cs="宋体"/>
          <w:i w:val="0"/>
          <w:iCs w:val="0"/>
          <w:caps w:val="0"/>
          <w:color w:val="auto"/>
          <w:spacing w:val="0"/>
          <w:sz w:val="21"/>
          <w:szCs w:val="21"/>
          <w:highlight w:val="none"/>
          <w:shd w:val="clear"/>
          <w:lang w:eastAsia="zh-CN"/>
        </w:rPr>
        <w:t>，</w:t>
      </w:r>
      <w:r>
        <w:rPr>
          <w:rFonts w:hint="eastAsia" w:ascii="宋体" w:hAnsi="宋体" w:cs="宋体"/>
          <w:color w:val="auto"/>
          <w:szCs w:val="21"/>
          <w:highlight w:val="none"/>
        </w:rPr>
        <w:t>要求运营者应当使用商用密码进行保护，制定商用密码应用方案，配备必要的资金和专业人员，同步规划、同步建设、同步运行商用密码保障系统，并定期开展商用密码应用安全性评估</w:t>
      </w:r>
      <w:r>
        <w:rPr>
          <w:rFonts w:hint="eastAsia" w:ascii="宋体" w:hAnsi="宋体" w:cs="宋体"/>
          <w:color w:val="auto"/>
          <w:szCs w:val="21"/>
          <w:highlight w:val="none"/>
          <w:lang w:eastAsia="zh-CN"/>
        </w:rPr>
        <w:t>。</w:t>
      </w:r>
    </w:p>
    <w:p w14:paraId="33748F7E">
      <w:pPr>
        <w:pStyle w:val="23"/>
        <w:widowControl/>
        <w:numPr>
          <w:ilvl w:val="1"/>
          <w:numId w:val="2"/>
        </w:numPr>
        <w:adjustRightInd/>
        <w:spacing w:before="100" w:after="100"/>
        <w:ind w:firstLine="422" w:firstLineChars="200"/>
        <w:jc w:val="left"/>
        <w:outlineLvl w:val="1"/>
        <w:rPr>
          <w:rFonts w:hint="eastAsia" w:hAnsi="宋体" w:cs="宋体"/>
          <w:b/>
          <w:color w:val="auto"/>
          <w:sz w:val="21"/>
          <w:highlight w:val="none"/>
          <w:lang w:val="en-US"/>
        </w:rPr>
      </w:pPr>
      <w:r>
        <w:rPr>
          <w:rFonts w:hint="eastAsia" w:hAnsi="宋体" w:cs="宋体"/>
          <w:b/>
          <w:color w:val="auto"/>
          <w:sz w:val="21"/>
          <w:highlight w:val="none"/>
          <w:lang w:val="en-US"/>
        </w:rPr>
        <w:t>建设目标</w:t>
      </w:r>
    </w:p>
    <w:p w14:paraId="39CE7FB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余杭区政务云平台，采用购买服务的方式采购机房托管服务、云基础资源服务、云安全服务、运维服务、云上系统迁移服务等内容，为各单位提供安全可靠的基础IT服务平台，提供数据存储空间和计算资源，实现资源的共享、弹性与快速交付，提高基础设施资源利用率，减少重复浪费，避免各自为政和信息孤岛，并提供相关的安全和运维服务。</w:t>
      </w:r>
    </w:p>
    <w:p w14:paraId="6BE0B6CB">
      <w:pPr>
        <w:pStyle w:val="23"/>
        <w:widowControl/>
        <w:numPr>
          <w:ilvl w:val="1"/>
          <w:numId w:val="2"/>
        </w:numPr>
        <w:adjustRightInd/>
        <w:spacing w:before="100" w:after="100"/>
        <w:ind w:firstLine="422" w:firstLineChars="200"/>
        <w:jc w:val="left"/>
        <w:outlineLvl w:val="1"/>
        <w:rPr>
          <w:rFonts w:hint="eastAsia" w:hAnsi="宋体" w:cs="宋体"/>
          <w:b/>
          <w:color w:val="auto"/>
          <w:sz w:val="21"/>
          <w:highlight w:val="none"/>
          <w:lang w:val="en-US"/>
        </w:rPr>
      </w:pPr>
      <w:r>
        <w:rPr>
          <w:rFonts w:hint="eastAsia" w:hAnsi="宋体" w:cs="宋体"/>
          <w:b/>
          <w:color w:val="auto"/>
          <w:sz w:val="21"/>
          <w:highlight w:val="none"/>
          <w:lang w:val="en-US"/>
        </w:rPr>
        <w:t>建设原则</w:t>
      </w:r>
    </w:p>
    <w:p w14:paraId="390F9376">
      <w:pPr>
        <w:widowControl/>
        <w:tabs>
          <w:tab w:val="left" w:pos="1008"/>
        </w:tabs>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1.安全性与合规性：由于政务数据涉及大量敏感信息，因此安全性和合规性是首要考虑因素。需要构建符合国家信息安全标准和地方标准（如DB11/T 2169-2023）的安全防护体系，包括但不限于数据加密、访问控制、安全审计、防病毒和防入侵系统等。</w:t>
      </w:r>
    </w:p>
    <w:p w14:paraId="3C4FF0C0">
      <w:pPr>
        <w:widowControl/>
        <w:tabs>
          <w:tab w:val="left" w:pos="1008"/>
        </w:tabs>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2.资源共享与集约化：</w:t>
      </w:r>
      <w:r>
        <w:rPr>
          <w:rFonts w:hint="eastAsia" w:ascii="宋体" w:hAnsi="宋体" w:cs="宋体"/>
          <w:color w:val="auto"/>
          <w:szCs w:val="21"/>
          <w:highlight w:val="none"/>
          <w:lang w:val="en-US" w:eastAsia="zh-CN"/>
        </w:rPr>
        <w:t>对运行设备进行适应化改造，如</w:t>
      </w:r>
      <w:r>
        <w:rPr>
          <w:rFonts w:hint="eastAsia" w:ascii="宋体" w:hAnsi="宋体" w:cs="宋体"/>
          <w:bCs/>
          <w:color w:val="auto"/>
          <w:szCs w:val="21"/>
          <w:highlight w:val="none"/>
          <w:lang w:val="en-US" w:eastAsia="zh-CN"/>
        </w:rPr>
        <w:t>从业务单位的管理视角</w:t>
      </w:r>
      <w:r>
        <w:rPr>
          <w:rFonts w:hint="eastAsia" w:ascii="宋体" w:hAnsi="宋体" w:cs="宋体"/>
          <w:color w:val="auto"/>
          <w:szCs w:val="21"/>
          <w:highlight w:val="none"/>
        </w:rPr>
        <w:t>建立统一的政务云</w:t>
      </w:r>
      <w:r>
        <w:rPr>
          <w:rFonts w:hint="eastAsia" w:ascii="宋体" w:hAnsi="宋体" w:cs="宋体"/>
          <w:color w:val="auto"/>
          <w:szCs w:val="21"/>
          <w:highlight w:val="none"/>
          <w:lang w:val="en-US" w:eastAsia="zh-CN"/>
        </w:rPr>
        <w:t>管</w:t>
      </w:r>
      <w:r>
        <w:rPr>
          <w:rFonts w:hint="eastAsia" w:ascii="宋体" w:hAnsi="宋体" w:cs="宋体"/>
          <w:color w:val="auto"/>
          <w:szCs w:val="21"/>
          <w:highlight w:val="none"/>
        </w:rPr>
        <w:t>平台，实现IT资源（如计算、存储、网络资源）的集中管理和动态分配，打破</w:t>
      </w:r>
      <w:r>
        <w:rPr>
          <w:rFonts w:hint="eastAsia" w:ascii="宋体" w:hAnsi="宋体" w:cs="宋体"/>
          <w:color w:val="auto"/>
          <w:szCs w:val="21"/>
          <w:highlight w:val="none"/>
          <w:lang w:val="en-US" w:eastAsia="zh-CN"/>
        </w:rPr>
        <w:t>不同设备和系统之间的</w:t>
      </w:r>
      <w:r>
        <w:rPr>
          <w:rFonts w:hint="eastAsia" w:ascii="宋体" w:hAnsi="宋体" w:cs="宋体"/>
          <w:color w:val="auto"/>
          <w:szCs w:val="21"/>
          <w:highlight w:val="none"/>
        </w:rPr>
        <w:t>信息孤岛，提高</w:t>
      </w:r>
      <w:r>
        <w:rPr>
          <w:rFonts w:hint="eastAsia" w:ascii="宋体" w:hAnsi="宋体" w:cs="宋体"/>
          <w:color w:val="auto"/>
          <w:szCs w:val="21"/>
          <w:highlight w:val="none"/>
          <w:lang w:val="en-US" w:eastAsia="zh-CN"/>
        </w:rPr>
        <w:t>云</w:t>
      </w:r>
      <w:r>
        <w:rPr>
          <w:rFonts w:hint="eastAsia" w:ascii="宋体" w:hAnsi="宋体" w:cs="宋体"/>
          <w:color w:val="auto"/>
          <w:szCs w:val="21"/>
          <w:highlight w:val="none"/>
        </w:rPr>
        <w:t>资源使用效率，</w:t>
      </w:r>
      <w:r>
        <w:rPr>
          <w:rFonts w:hint="eastAsia" w:ascii="宋体" w:hAnsi="宋体" w:cs="宋体"/>
          <w:color w:val="auto"/>
          <w:szCs w:val="21"/>
          <w:highlight w:val="none"/>
          <w:lang w:val="en-US" w:eastAsia="zh-CN"/>
        </w:rPr>
        <w:t>提供安全问题的预警、告警、处置闭环能力，</w:t>
      </w:r>
      <w:r>
        <w:rPr>
          <w:rFonts w:hint="eastAsia" w:ascii="宋体" w:hAnsi="宋体" w:cs="宋体"/>
          <w:color w:val="auto"/>
          <w:szCs w:val="21"/>
          <w:highlight w:val="none"/>
        </w:rPr>
        <w:t>降低运营成本。</w:t>
      </w:r>
    </w:p>
    <w:p w14:paraId="663FEC8F">
      <w:pPr>
        <w:widowControl/>
        <w:tabs>
          <w:tab w:val="left" w:pos="1008"/>
        </w:tabs>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3.数据共享与交换：</w:t>
      </w:r>
      <w:r>
        <w:rPr>
          <w:rFonts w:hint="eastAsia" w:ascii="宋体" w:hAnsi="宋体" w:cs="宋体"/>
          <w:color w:val="auto"/>
          <w:szCs w:val="21"/>
          <w:highlight w:val="none"/>
          <w:lang w:val="en-US" w:eastAsia="zh-CN"/>
        </w:rPr>
        <w:t>协助</w:t>
      </w:r>
      <w:r>
        <w:rPr>
          <w:rFonts w:hint="eastAsia" w:ascii="宋体" w:hAnsi="宋体" w:cs="宋体"/>
          <w:color w:val="auto"/>
          <w:szCs w:val="21"/>
          <w:highlight w:val="none"/>
        </w:rPr>
        <w:t>推动跨部门的数据共享机制，建立数据标准和交换平台，促进政务信息互联互通，提升决策支持和公共服务能力。</w:t>
      </w:r>
    </w:p>
    <w:p w14:paraId="1BB0573F">
      <w:pPr>
        <w:widowControl/>
        <w:tabs>
          <w:tab w:val="left" w:pos="1008"/>
        </w:tabs>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4.弹性扩展与快速响应：采用云计算技术，提供弹性的资源扩展能力，以快速适应政府</w:t>
      </w:r>
      <w:r>
        <w:rPr>
          <w:rFonts w:hint="eastAsia" w:ascii="宋体" w:hAnsi="宋体" w:cs="宋体"/>
          <w:color w:val="auto"/>
          <w:szCs w:val="21"/>
          <w:highlight w:val="none"/>
          <w:lang w:val="en-US" w:eastAsia="zh-CN"/>
        </w:rPr>
        <w:t>信息化项目建设对云资源</w:t>
      </w:r>
      <w:r>
        <w:rPr>
          <w:rFonts w:hint="eastAsia" w:ascii="宋体" w:hAnsi="宋体" w:cs="宋体"/>
          <w:color w:val="auto"/>
          <w:szCs w:val="21"/>
          <w:highlight w:val="none"/>
        </w:rPr>
        <w:t>的变化和增长需求，确保在面对突发情况时能迅速提供必要的技术支持。</w:t>
      </w:r>
    </w:p>
    <w:p w14:paraId="3F3D1BE5">
      <w:pPr>
        <w:widowControl/>
        <w:tabs>
          <w:tab w:val="left" w:pos="1008"/>
        </w:tabs>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.运维管理与服务保障：构建高效的运维服务体系，包括监控、故障排查、备份恢复、性能优化等，确保政务云平台稳定运行。同时，需考虑采用智能化运维工具，提升运维效率。</w:t>
      </w:r>
    </w:p>
    <w:p w14:paraId="38F1FEE0">
      <w:pPr>
        <w:widowControl/>
        <w:tabs>
          <w:tab w:val="left" w:pos="1008"/>
        </w:tabs>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.技术创新与应用：</w:t>
      </w:r>
      <w:r>
        <w:rPr>
          <w:rFonts w:hint="eastAsia" w:ascii="宋体" w:hAnsi="宋体" w:cs="宋体"/>
          <w:color w:val="auto"/>
          <w:szCs w:val="21"/>
          <w:highlight w:val="none"/>
          <w:lang w:val="en-US" w:eastAsia="zh-CN"/>
        </w:rPr>
        <w:t>结合实际落实好《全国重点城市IPV6流量提升专项行动工作方案》，</w:t>
      </w:r>
      <w:r>
        <w:rPr>
          <w:rFonts w:hint="eastAsia" w:ascii="宋体" w:hAnsi="宋体" w:cs="宋体"/>
          <w:color w:val="auto"/>
          <w:szCs w:val="21"/>
          <w:highlight w:val="none"/>
        </w:rPr>
        <w:t>探索云计算、大数据、人工智能等新技术的应用，提升</w:t>
      </w:r>
      <w:r>
        <w:rPr>
          <w:rFonts w:hint="eastAsia" w:ascii="宋体" w:hAnsi="宋体" w:cs="宋体"/>
          <w:color w:val="auto"/>
          <w:szCs w:val="21"/>
          <w:highlight w:val="none"/>
          <w:lang w:val="en-US" w:eastAsia="zh-CN"/>
        </w:rPr>
        <w:t>运维</w:t>
      </w:r>
      <w:r>
        <w:rPr>
          <w:rFonts w:hint="eastAsia" w:ascii="宋体" w:hAnsi="宋体" w:cs="宋体"/>
          <w:color w:val="auto"/>
          <w:szCs w:val="21"/>
          <w:highlight w:val="none"/>
        </w:rPr>
        <w:t>智能化水平，例如通过数据分析辅助</w:t>
      </w:r>
      <w:r>
        <w:rPr>
          <w:rFonts w:hint="eastAsia" w:ascii="宋体" w:hAnsi="宋体" w:cs="宋体"/>
          <w:color w:val="auto"/>
          <w:szCs w:val="21"/>
          <w:highlight w:val="none"/>
          <w:lang w:val="en-US" w:eastAsia="zh-CN"/>
        </w:rPr>
        <w:t>安全</w:t>
      </w:r>
      <w:r>
        <w:rPr>
          <w:rFonts w:hint="eastAsia" w:ascii="宋体" w:hAnsi="宋体" w:cs="宋体"/>
          <w:color w:val="auto"/>
          <w:szCs w:val="21"/>
          <w:highlight w:val="none"/>
        </w:rPr>
        <w:t>决策。</w:t>
      </w:r>
    </w:p>
    <w:p w14:paraId="7C73E9A2">
      <w:pPr>
        <w:widowControl/>
        <w:tabs>
          <w:tab w:val="left" w:pos="1008"/>
        </w:tabs>
        <w:adjustRightInd/>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.可持续发展与绿色节能：考虑云平台的长期发展规划，确保技术架构的先进性和可扩展性，同时注重节能减排，构建绿色数据中心。</w:t>
      </w:r>
    </w:p>
    <w:p w14:paraId="27A258CD">
      <w:pPr>
        <w:pStyle w:val="23"/>
        <w:widowControl/>
        <w:numPr>
          <w:ilvl w:val="1"/>
          <w:numId w:val="2"/>
        </w:numPr>
        <w:adjustRightInd/>
        <w:spacing w:before="100" w:after="100"/>
        <w:ind w:firstLine="422" w:firstLineChars="200"/>
        <w:jc w:val="left"/>
        <w:outlineLvl w:val="1"/>
        <w:rPr>
          <w:rFonts w:hint="eastAsia" w:hAnsi="宋体" w:cs="宋体"/>
          <w:b/>
          <w:color w:val="auto"/>
          <w:sz w:val="21"/>
          <w:highlight w:val="none"/>
          <w:lang w:val="en-US"/>
        </w:rPr>
      </w:pPr>
      <w:r>
        <w:rPr>
          <w:rFonts w:hint="eastAsia" w:hAnsi="宋体" w:cs="宋体"/>
          <w:b/>
          <w:color w:val="auto"/>
          <w:sz w:val="21"/>
          <w:highlight w:val="none"/>
          <w:lang w:val="en-US"/>
        </w:rPr>
        <w:t>项目服务清单</w:t>
      </w:r>
    </w:p>
    <w:p w14:paraId="583C9866">
      <w:pPr>
        <w:widowControl/>
        <w:adjustRightInd/>
        <w:spacing w:line="360" w:lineRule="auto"/>
        <w:ind w:firstLine="422" w:firstLineChars="2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1.机房托管服务（该项最高限价720万元）</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7"/>
        <w:gridCol w:w="2404"/>
        <w:gridCol w:w="3758"/>
      </w:tblGrid>
      <w:tr w14:paraId="4877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83" w:type="pct"/>
            <w:noWrap/>
            <w:vAlign w:val="center"/>
          </w:tcPr>
          <w:p w14:paraId="3FC8ED9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服务名称</w:t>
            </w:r>
          </w:p>
        </w:tc>
        <w:tc>
          <w:tcPr>
            <w:tcW w:w="1294" w:type="pct"/>
            <w:noWrap/>
            <w:vAlign w:val="center"/>
          </w:tcPr>
          <w:p w14:paraId="229B78E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服务规格</w:t>
            </w:r>
          </w:p>
        </w:tc>
        <w:tc>
          <w:tcPr>
            <w:tcW w:w="2023" w:type="pct"/>
            <w:noWrap/>
            <w:vAlign w:val="center"/>
          </w:tcPr>
          <w:p w14:paraId="6C72F016">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▲最高限价（元/月）</w:t>
            </w:r>
          </w:p>
        </w:tc>
      </w:tr>
      <w:tr w14:paraId="714B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683" w:type="pct"/>
            <w:noWrap/>
            <w:vAlign w:val="center"/>
          </w:tcPr>
          <w:p w14:paraId="1514688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IDC机柜租赁服务</w:t>
            </w:r>
          </w:p>
        </w:tc>
        <w:tc>
          <w:tcPr>
            <w:tcW w:w="1294" w:type="pct"/>
            <w:noWrap/>
            <w:vAlign w:val="center"/>
          </w:tcPr>
          <w:p w14:paraId="3031568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5KW标准机柜</w:t>
            </w:r>
          </w:p>
        </w:tc>
        <w:tc>
          <w:tcPr>
            <w:tcW w:w="2023" w:type="pct"/>
            <w:noWrap/>
            <w:vAlign w:val="center"/>
          </w:tcPr>
          <w:p w14:paraId="118E2A0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4225.35</w:t>
            </w:r>
          </w:p>
        </w:tc>
      </w:tr>
    </w:tbl>
    <w:p w14:paraId="652AFB35">
      <w:pPr>
        <w:widowControl/>
        <w:adjustRightInd/>
        <w:spacing w:line="360" w:lineRule="auto"/>
        <w:ind w:firstLine="422" w:firstLineChars="2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2.云基础资源服务（该项最高限价2648万元）</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1849"/>
        <w:gridCol w:w="4305"/>
        <w:gridCol w:w="1457"/>
      </w:tblGrid>
      <w:tr w14:paraId="4CF2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04" w:type="pct"/>
            <w:vAlign w:val="center"/>
          </w:tcPr>
          <w:p w14:paraId="4BBB07B8">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产品名称</w:t>
            </w:r>
          </w:p>
        </w:tc>
        <w:tc>
          <w:tcPr>
            <w:tcW w:w="995" w:type="pct"/>
            <w:vAlign w:val="center"/>
          </w:tcPr>
          <w:p w14:paraId="64256A28">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计费规则</w:t>
            </w:r>
          </w:p>
        </w:tc>
        <w:tc>
          <w:tcPr>
            <w:tcW w:w="2317" w:type="pct"/>
            <w:vAlign w:val="center"/>
          </w:tcPr>
          <w:p w14:paraId="203A3542">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采购规格</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单位</w:t>
            </w:r>
            <w:r>
              <w:rPr>
                <w:rFonts w:hint="eastAsia" w:ascii="宋体" w:hAnsi="宋体" w:eastAsia="宋体" w:cs="宋体"/>
                <w:b/>
                <w:bCs/>
                <w:color w:val="auto"/>
                <w:kern w:val="0"/>
                <w:sz w:val="21"/>
                <w:szCs w:val="21"/>
                <w:highlight w:val="none"/>
                <w:lang w:eastAsia="zh-CN"/>
              </w:rPr>
              <w:t>）</w:t>
            </w:r>
          </w:p>
        </w:tc>
        <w:tc>
          <w:tcPr>
            <w:tcW w:w="784" w:type="pct"/>
            <w:vAlign w:val="center"/>
          </w:tcPr>
          <w:p w14:paraId="28D21736">
            <w:pPr>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▲最高限价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元/月</w:t>
            </w:r>
            <w:r>
              <w:rPr>
                <w:rFonts w:hint="eastAsia" w:ascii="宋体" w:hAnsi="宋体" w:eastAsia="宋体" w:cs="宋体"/>
                <w:b/>
                <w:bCs/>
                <w:color w:val="auto"/>
                <w:kern w:val="0"/>
                <w:sz w:val="21"/>
                <w:szCs w:val="21"/>
                <w:highlight w:val="none"/>
                <w:lang w:eastAsia="zh-CN"/>
              </w:rPr>
              <w:t>）</w:t>
            </w:r>
          </w:p>
        </w:tc>
      </w:tr>
      <w:tr w14:paraId="4B77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4199365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云服务器</w:t>
            </w:r>
          </w:p>
        </w:tc>
        <w:tc>
          <w:tcPr>
            <w:tcW w:w="995" w:type="pct"/>
            <w:vMerge w:val="restart"/>
            <w:vAlign w:val="center"/>
          </w:tcPr>
          <w:p w14:paraId="6D0B5DB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根据规格及数量按月计费，由弹性伸缩增加的实例按天计费</w:t>
            </w:r>
          </w:p>
        </w:tc>
        <w:tc>
          <w:tcPr>
            <w:tcW w:w="2317" w:type="pct"/>
            <w:vAlign w:val="center"/>
          </w:tcPr>
          <w:p w14:paraId="3F8277E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1核1G</w:t>
            </w:r>
          </w:p>
        </w:tc>
        <w:tc>
          <w:tcPr>
            <w:tcW w:w="784" w:type="pct"/>
            <w:vAlign w:val="center"/>
          </w:tcPr>
          <w:p w14:paraId="52E037C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17.367</w:t>
            </w:r>
          </w:p>
        </w:tc>
      </w:tr>
      <w:tr w14:paraId="6DE9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299CBE2">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3CF18580">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6D1203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1核2G</w:t>
            </w:r>
          </w:p>
        </w:tc>
        <w:tc>
          <w:tcPr>
            <w:tcW w:w="784" w:type="pct"/>
            <w:vAlign w:val="center"/>
          </w:tcPr>
          <w:p w14:paraId="6971148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31.326</w:t>
            </w:r>
          </w:p>
        </w:tc>
      </w:tr>
      <w:tr w14:paraId="5019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998502D">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3813510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FC1FF6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1核4G</w:t>
            </w:r>
          </w:p>
        </w:tc>
        <w:tc>
          <w:tcPr>
            <w:tcW w:w="784" w:type="pct"/>
            <w:vAlign w:val="center"/>
          </w:tcPr>
          <w:p w14:paraId="59F78AB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61.4</w:t>
            </w:r>
          </w:p>
        </w:tc>
      </w:tr>
      <w:tr w14:paraId="1281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373FC3A">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65C02D7F">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2235B8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1核8G</w:t>
            </w:r>
          </w:p>
        </w:tc>
        <w:tc>
          <w:tcPr>
            <w:tcW w:w="784" w:type="pct"/>
            <w:vAlign w:val="center"/>
          </w:tcPr>
          <w:p w14:paraId="3C3B19F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137.227</w:t>
            </w:r>
          </w:p>
        </w:tc>
      </w:tr>
      <w:tr w14:paraId="6405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1DF0D21">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617B2BE3">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241680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2核2G</w:t>
            </w:r>
          </w:p>
        </w:tc>
        <w:tc>
          <w:tcPr>
            <w:tcW w:w="784" w:type="pct"/>
            <w:vAlign w:val="center"/>
          </w:tcPr>
          <w:p w14:paraId="0529618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40.412</w:t>
            </w:r>
          </w:p>
        </w:tc>
      </w:tr>
      <w:tr w14:paraId="1D87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741AE56">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70B220D4">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AB8140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2核4G</w:t>
            </w:r>
          </w:p>
        </w:tc>
        <w:tc>
          <w:tcPr>
            <w:tcW w:w="784" w:type="pct"/>
            <w:vAlign w:val="center"/>
          </w:tcPr>
          <w:p w14:paraId="08CDC4F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62.601</w:t>
            </w:r>
          </w:p>
        </w:tc>
      </w:tr>
      <w:tr w14:paraId="329C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C8C4C7D">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38939ABF">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97C329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2核8G</w:t>
            </w:r>
          </w:p>
        </w:tc>
        <w:tc>
          <w:tcPr>
            <w:tcW w:w="784" w:type="pct"/>
            <w:vAlign w:val="center"/>
          </w:tcPr>
          <w:p w14:paraId="2FD4949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149.025</w:t>
            </w:r>
          </w:p>
        </w:tc>
      </w:tr>
      <w:tr w14:paraId="725B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A2C405C">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501C7CD4">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EE0A72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2核16G</w:t>
            </w:r>
          </w:p>
        </w:tc>
        <w:tc>
          <w:tcPr>
            <w:tcW w:w="784" w:type="pct"/>
            <w:vAlign w:val="center"/>
          </w:tcPr>
          <w:p w14:paraId="341EC1F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191.87</w:t>
            </w:r>
          </w:p>
        </w:tc>
      </w:tr>
      <w:tr w14:paraId="46A4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D34B14C">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6C121C5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BFA6C4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4核4G</w:t>
            </w:r>
          </w:p>
        </w:tc>
        <w:tc>
          <w:tcPr>
            <w:tcW w:w="784" w:type="pct"/>
            <w:vAlign w:val="center"/>
          </w:tcPr>
          <w:p w14:paraId="3880A3B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109.221</w:t>
            </w:r>
          </w:p>
        </w:tc>
      </w:tr>
      <w:tr w14:paraId="2E60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843CDA5">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3B5FDA28">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BC4899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4核8G</w:t>
            </w:r>
          </w:p>
        </w:tc>
        <w:tc>
          <w:tcPr>
            <w:tcW w:w="784" w:type="pct"/>
            <w:vAlign w:val="center"/>
          </w:tcPr>
          <w:p w14:paraId="543162F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152.215</w:t>
            </w:r>
          </w:p>
        </w:tc>
      </w:tr>
      <w:tr w14:paraId="5F1D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33B39FE">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7E4FAD67">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41DDE1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4核16G</w:t>
            </w:r>
          </w:p>
        </w:tc>
        <w:tc>
          <w:tcPr>
            <w:tcW w:w="784" w:type="pct"/>
            <w:vAlign w:val="center"/>
          </w:tcPr>
          <w:p w14:paraId="5B2F137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234.869</w:t>
            </w:r>
          </w:p>
        </w:tc>
      </w:tr>
      <w:tr w14:paraId="7243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1A88AAD">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3A2E6E6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FE9CF2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4核32G</w:t>
            </w:r>
          </w:p>
        </w:tc>
        <w:tc>
          <w:tcPr>
            <w:tcW w:w="784" w:type="pct"/>
            <w:vAlign w:val="center"/>
          </w:tcPr>
          <w:p w14:paraId="2003CA4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434.654</w:t>
            </w:r>
          </w:p>
        </w:tc>
      </w:tr>
      <w:tr w14:paraId="6748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03BE028">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7972BEB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3AA171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8核8G</w:t>
            </w:r>
          </w:p>
        </w:tc>
        <w:tc>
          <w:tcPr>
            <w:tcW w:w="784" w:type="pct"/>
            <w:vAlign w:val="center"/>
          </w:tcPr>
          <w:p w14:paraId="1200147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233.004</w:t>
            </w:r>
          </w:p>
        </w:tc>
      </w:tr>
      <w:tr w14:paraId="792F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A134EC0">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64B9447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F6DA98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8核16G</w:t>
            </w:r>
          </w:p>
        </w:tc>
        <w:tc>
          <w:tcPr>
            <w:tcW w:w="784" w:type="pct"/>
            <w:vAlign w:val="center"/>
          </w:tcPr>
          <w:p w14:paraId="15216F0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304.482</w:t>
            </w:r>
          </w:p>
        </w:tc>
      </w:tr>
      <w:tr w14:paraId="7823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CA1DF2F">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18A46D11">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897021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8核32G</w:t>
            </w:r>
          </w:p>
        </w:tc>
        <w:tc>
          <w:tcPr>
            <w:tcW w:w="784" w:type="pct"/>
            <w:vAlign w:val="center"/>
          </w:tcPr>
          <w:p w14:paraId="464BF1A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469.743</w:t>
            </w:r>
          </w:p>
        </w:tc>
      </w:tr>
      <w:tr w14:paraId="0D73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9115E66">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6EA80D64">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7928B6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8核64G</w:t>
            </w:r>
          </w:p>
        </w:tc>
        <w:tc>
          <w:tcPr>
            <w:tcW w:w="784" w:type="pct"/>
            <w:vAlign w:val="center"/>
          </w:tcPr>
          <w:p w14:paraId="1349377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869.309</w:t>
            </w:r>
          </w:p>
        </w:tc>
      </w:tr>
      <w:tr w14:paraId="7569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8819A1D">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7CA1F0DE">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063EED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16核16G</w:t>
            </w:r>
          </w:p>
        </w:tc>
        <w:tc>
          <w:tcPr>
            <w:tcW w:w="784" w:type="pct"/>
            <w:vAlign w:val="center"/>
          </w:tcPr>
          <w:p w14:paraId="088BB12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691.732</w:t>
            </w:r>
          </w:p>
        </w:tc>
      </w:tr>
      <w:tr w14:paraId="1236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A8A1CDF">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48A92A8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784767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16核32G</w:t>
            </w:r>
          </w:p>
        </w:tc>
        <w:tc>
          <w:tcPr>
            <w:tcW w:w="784" w:type="pct"/>
            <w:vAlign w:val="center"/>
          </w:tcPr>
          <w:p w14:paraId="0DEC9DA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861.361</w:t>
            </w:r>
          </w:p>
        </w:tc>
      </w:tr>
      <w:tr w14:paraId="4CEE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9D73174">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409DB9E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57ADF2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16核64G</w:t>
            </w:r>
          </w:p>
        </w:tc>
        <w:tc>
          <w:tcPr>
            <w:tcW w:w="784" w:type="pct"/>
            <w:vAlign w:val="center"/>
          </w:tcPr>
          <w:p w14:paraId="5BE5BFA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1308.931</w:t>
            </w:r>
          </w:p>
        </w:tc>
      </w:tr>
      <w:tr w14:paraId="4F88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79B87B4">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5BBB173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C58D34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16核128G</w:t>
            </w:r>
          </w:p>
        </w:tc>
        <w:tc>
          <w:tcPr>
            <w:tcW w:w="784" w:type="pct"/>
            <w:vAlign w:val="center"/>
          </w:tcPr>
          <w:p w14:paraId="3AA9C75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1726.824</w:t>
            </w:r>
          </w:p>
        </w:tc>
      </w:tr>
      <w:tr w14:paraId="5FC4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823537C">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32CBC11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A20CEF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32核64G</w:t>
            </w:r>
          </w:p>
        </w:tc>
        <w:tc>
          <w:tcPr>
            <w:tcW w:w="784" w:type="pct"/>
            <w:vAlign w:val="center"/>
          </w:tcPr>
          <w:p w14:paraId="03D6286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1722.722</w:t>
            </w:r>
          </w:p>
        </w:tc>
      </w:tr>
      <w:tr w14:paraId="78F2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001C2D6">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61D6C9F8">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E02A3B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32核128G</w:t>
            </w:r>
          </w:p>
        </w:tc>
        <w:tc>
          <w:tcPr>
            <w:tcW w:w="784" w:type="pct"/>
            <w:vAlign w:val="center"/>
          </w:tcPr>
          <w:p w14:paraId="484F0D8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2617.863</w:t>
            </w:r>
          </w:p>
        </w:tc>
      </w:tr>
      <w:tr w14:paraId="5850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Align w:val="center"/>
          </w:tcPr>
          <w:p w14:paraId="0E7B551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块存储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高效云盘</w:t>
            </w:r>
          </w:p>
        </w:tc>
        <w:tc>
          <w:tcPr>
            <w:tcW w:w="995" w:type="pct"/>
            <w:vMerge w:val="restart"/>
            <w:vAlign w:val="center"/>
          </w:tcPr>
          <w:p w14:paraId="12D8730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根据存储容量按月计费</w:t>
            </w:r>
          </w:p>
        </w:tc>
        <w:tc>
          <w:tcPr>
            <w:tcW w:w="2317" w:type="pct"/>
            <w:vAlign w:val="center"/>
          </w:tcPr>
          <w:p w14:paraId="4563A94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5907740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0.218</w:t>
            </w:r>
          </w:p>
        </w:tc>
      </w:tr>
      <w:tr w14:paraId="0B3C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Align w:val="center"/>
          </w:tcPr>
          <w:p w14:paraId="147ADCB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块存储-ssd</w:t>
            </w:r>
          </w:p>
          <w:p w14:paraId="6CD8D0E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云盘</w:t>
            </w:r>
          </w:p>
        </w:tc>
        <w:tc>
          <w:tcPr>
            <w:tcW w:w="995" w:type="pct"/>
            <w:vMerge w:val="continue"/>
            <w:vAlign w:val="center"/>
          </w:tcPr>
          <w:p w14:paraId="405167BF">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3E2B16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0993664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0.62</w:t>
            </w:r>
          </w:p>
        </w:tc>
      </w:tr>
      <w:tr w14:paraId="49C7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Align w:val="center"/>
          </w:tcPr>
          <w:p w14:paraId="12BA0C5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快照</w:t>
            </w:r>
          </w:p>
        </w:tc>
        <w:tc>
          <w:tcPr>
            <w:tcW w:w="995" w:type="pct"/>
            <w:vAlign w:val="center"/>
          </w:tcPr>
          <w:p w14:paraId="6194654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根据快照所占的存储空间大小按月计费</w:t>
            </w:r>
          </w:p>
        </w:tc>
        <w:tc>
          <w:tcPr>
            <w:tcW w:w="2317" w:type="pct"/>
            <w:vAlign w:val="center"/>
          </w:tcPr>
          <w:p w14:paraId="12BDBDB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33CCB56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0.073</w:t>
            </w:r>
          </w:p>
        </w:tc>
      </w:tr>
      <w:tr w14:paraId="7E5D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4F0AE08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NAT网关</w:t>
            </w:r>
          </w:p>
        </w:tc>
        <w:tc>
          <w:tcPr>
            <w:tcW w:w="995" w:type="pct"/>
            <w:vMerge w:val="restart"/>
            <w:vAlign w:val="center"/>
          </w:tcPr>
          <w:p w14:paraId="605F6B7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根据实例类型数量+公网IP数计费</w:t>
            </w:r>
          </w:p>
        </w:tc>
        <w:tc>
          <w:tcPr>
            <w:tcW w:w="2317" w:type="pct"/>
            <w:vAlign w:val="center"/>
          </w:tcPr>
          <w:p w14:paraId="4F189B3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标准型</w:t>
            </w:r>
          </w:p>
        </w:tc>
        <w:tc>
          <w:tcPr>
            <w:tcW w:w="784" w:type="pct"/>
            <w:vAlign w:val="center"/>
          </w:tcPr>
          <w:p w14:paraId="0BA87FA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31.53</w:t>
            </w:r>
          </w:p>
        </w:tc>
      </w:tr>
      <w:tr w14:paraId="6E20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D9ABB9D">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F43CFC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FE9E88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公网IP数：个</w:t>
            </w:r>
          </w:p>
        </w:tc>
        <w:tc>
          <w:tcPr>
            <w:tcW w:w="784" w:type="pct"/>
            <w:vAlign w:val="center"/>
          </w:tcPr>
          <w:p w14:paraId="1A69836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11.02</w:t>
            </w:r>
          </w:p>
        </w:tc>
      </w:tr>
      <w:tr w14:paraId="31F4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Align w:val="center"/>
          </w:tcPr>
          <w:p w14:paraId="4BA7329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高速通道</w:t>
            </w:r>
          </w:p>
        </w:tc>
        <w:tc>
          <w:tcPr>
            <w:tcW w:w="995" w:type="pct"/>
            <w:vAlign w:val="center"/>
          </w:tcPr>
          <w:p w14:paraId="3B203E5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根据跨专有网络五通策略数量，按月计费</w:t>
            </w:r>
          </w:p>
        </w:tc>
        <w:tc>
          <w:tcPr>
            <w:tcW w:w="2317" w:type="pct"/>
            <w:vAlign w:val="center"/>
          </w:tcPr>
          <w:p w14:paraId="518D01E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每策略</w:t>
            </w:r>
          </w:p>
        </w:tc>
        <w:tc>
          <w:tcPr>
            <w:tcW w:w="784" w:type="pct"/>
            <w:vAlign w:val="center"/>
          </w:tcPr>
          <w:p w14:paraId="60C4222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136.8</w:t>
            </w:r>
          </w:p>
        </w:tc>
      </w:tr>
      <w:tr w14:paraId="5C1A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Align w:val="center"/>
          </w:tcPr>
          <w:p w14:paraId="56A0CAA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弹性公网IP</w:t>
            </w:r>
          </w:p>
        </w:tc>
        <w:tc>
          <w:tcPr>
            <w:tcW w:w="995" w:type="pct"/>
            <w:vAlign w:val="center"/>
          </w:tcPr>
          <w:p w14:paraId="257E060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根据实例个数按月计费</w:t>
            </w:r>
          </w:p>
        </w:tc>
        <w:tc>
          <w:tcPr>
            <w:tcW w:w="2317" w:type="pct"/>
            <w:vAlign w:val="center"/>
          </w:tcPr>
          <w:p w14:paraId="164E1E6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w:t>
            </w:r>
          </w:p>
        </w:tc>
        <w:tc>
          <w:tcPr>
            <w:tcW w:w="784" w:type="pct"/>
            <w:vAlign w:val="center"/>
          </w:tcPr>
          <w:p w14:paraId="3F7E741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8.941</w:t>
            </w:r>
          </w:p>
        </w:tc>
      </w:tr>
      <w:tr w14:paraId="6493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14CA6B0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云数据库RDS MySql</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版</w:t>
            </w:r>
          </w:p>
        </w:tc>
        <w:tc>
          <w:tcPr>
            <w:tcW w:w="995" w:type="pct"/>
            <w:vMerge w:val="restart"/>
            <w:vAlign w:val="center"/>
          </w:tcPr>
          <w:p w14:paraId="301B24B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根据实例规格和个数+存储空间按月计费</w:t>
            </w:r>
          </w:p>
        </w:tc>
        <w:tc>
          <w:tcPr>
            <w:tcW w:w="2317" w:type="pct"/>
            <w:vAlign w:val="center"/>
          </w:tcPr>
          <w:p w14:paraId="7EF37D7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1核1G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通用型，连接数300</w:t>
            </w:r>
            <w:r>
              <w:rPr>
                <w:rFonts w:hint="eastAsia" w:ascii="宋体" w:hAnsi="宋体" w:eastAsia="宋体" w:cs="宋体"/>
                <w:color w:val="auto"/>
                <w:kern w:val="0"/>
                <w:sz w:val="21"/>
                <w:szCs w:val="21"/>
                <w:highlight w:val="none"/>
                <w:lang w:eastAsia="zh-CN"/>
              </w:rPr>
              <w:t>）</w:t>
            </w:r>
          </w:p>
        </w:tc>
        <w:tc>
          <w:tcPr>
            <w:tcW w:w="784" w:type="pct"/>
            <w:vAlign w:val="center"/>
          </w:tcPr>
          <w:p w14:paraId="00F8DA7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73.892</w:t>
            </w:r>
          </w:p>
        </w:tc>
      </w:tr>
      <w:tr w14:paraId="3CA0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E091ED5">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CB090B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35AB2A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1核2G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通用型，连接数600</w:t>
            </w:r>
            <w:r>
              <w:rPr>
                <w:rFonts w:hint="eastAsia" w:ascii="宋体" w:hAnsi="宋体" w:eastAsia="宋体" w:cs="宋体"/>
                <w:color w:val="auto"/>
                <w:kern w:val="0"/>
                <w:sz w:val="21"/>
                <w:szCs w:val="21"/>
                <w:highlight w:val="none"/>
                <w:lang w:eastAsia="zh-CN"/>
              </w:rPr>
              <w:t>）</w:t>
            </w:r>
          </w:p>
        </w:tc>
        <w:tc>
          <w:tcPr>
            <w:tcW w:w="784" w:type="pct"/>
            <w:vAlign w:val="center"/>
          </w:tcPr>
          <w:p w14:paraId="399E254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137.227</w:t>
            </w:r>
          </w:p>
        </w:tc>
      </w:tr>
      <w:tr w14:paraId="250C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6D33975">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256EFEF">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0BD581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2核4G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通用型，连接数1200</w:t>
            </w:r>
            <w:r>
              <w:rPr>
                <w:rFonts w:hint="eastAsia" w:ascii="宋体" w:hAnsi="宋体" w:eastAsia="宋体" w:cs="宋体"/>
                <w:color w:val="auto"/>
                <w:kern w:val="0"/>
                <w:sz w:val="21"/>
                <w:szCs w:val="21"/>
                <w:highlight w:val="none"/>
                <w:lang w:eastAsia="zh-CN"/>
              </w:rPr>
              <w:t>）</w:t>
            </w:r>
          </w:p>
        </w:tc>
        <w:tc>
          <w:tcPr>
            <w:tcW w:w="784" w:type="pct"/>
            <w:vAlign w:val="center"/>
          </w:tcPr>
          <w:p w14:paraId="6A51173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263.898</w:t>
            </w:r>
          </w:p>
        </w:tc>
      </w:tr>
      <w:tr w14:paraId="78C9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D9D4CD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DC07FD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34E571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2核8G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通用型，连接数2000</w:t>
            </w:r>
            <w:r>
              <w:rPr>
                <w:rFonts w:hint="eastAsia" w:ascii="宋体" w:hAnsi="宋体" w:eastAsia="宋体" w:cs="宋体"/>
                <w:color w:val="auto"/>
                <w:kern w:val="0"/>
                <w:sz w:val="21"/>
                <w:szCs w:val="21"/>
                <w:highlight w:val="none"/>
                <w:lang w:eastAsia="zh-CN"/>
              </w:rPr>
              <w:t>）</w:t>
            </w:r>
          </w:p>
        </w:tc>
        <w:tc>
          <w:tcPr>
            <w:tcW w:w="784" w:type="pct"/>
            <w:vAlign w:val="center"/>
          </w:tcPr>
          <w:p w14:paraId="176F567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475.015</w:t>
            </w:r>
          </w:p>
        </w:tc>
      </w:tr>
      <w:tr w14:paraId="71B6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A1D10B4">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DA2538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8D7DD0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4核8G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通用型，连接数2000</w:t>
            </w:r>
            <w:r>
              <w:rPr>
                <w:rFonts w:hint="eastAsia" w:ascii="宋体" w:hAnsi="宋体" w:eastAsia="宋体" w:cs="宋体"/>
                <w:color w:val="auto"/>
                <w:kern w:val="0"/>
                <w:sz w:val="21"/>
                <w:szCs w:val="21"/>
                <w:highlight w:val="none"/>
                <w:lang w:eastAsia="zh-CN"/>
              </w:rPr>
              <w:t>）</w:t>
            </w:r>
          </w:p>
        </w:tc>
        <w:tc>
          <w:tcPr>
            <w:tcW w:w="784" w:type="pct"/>
            <w:vAlign w:val="center"/>
          </w:tcPr>
          <w:p w14:paraId="746C807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497.183</w:t>
            </w:r>
          </w:p>
        </w:tc>
      </w:tr>
      <w:tr w14:paraId="3BA1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23BBC1A">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BE0AE7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7EDBC2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4核16G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通用型，连接数4000</w:t>
            </w:r>
            <w:r>
              <w:rPr>
                <w:rFonts w:hint="eastAsia" w:ascii="宋体" w:hAnsi="宋体" w:eastAsia="宋体" w:cs="宋体"/>
                <w:color w:val="auto"/>
                <w:kern w:val="0"/>
                <w:sz w:val="21"/>
                <w:szCs w:val="21"/>
                <w:highlight w:val="none"/>
                <w:lang w:eastAsia="zh-CN"/>
              </w:rPr>
              <w:t>）</w:t>
            </w:r>
          </w:p>
        </w:tc>
        <w:tc>
          <w:tcPr>
            <w:tcW w:w="784" w:type="pct"/>
            <w:vAlign w:val="center"/>
          </w:tcPr>
          <w:p w14:paraId="5856F84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1055.59</w:t>
            </w:r>
          </w:p>
        </w:tc>
      </w:tr>
      <w:tr w14:paraId="2937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85AFAF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013534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1FAFEB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8核16G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通用型，连接数4000</w:t>
            </w:r>
            <w:r>
              <w:rPr>
                <w:rFonts w:hint="eastAsia" w:ascii="宋体" w:hAnsi="宋体" w:eastAsia="宋体" w:cs="宋体"/>
                <w:color w:val="auto"/>
                <w:kern w:val="0"/>
                <w:sz w:val="21"/>
                <w:szCs w:val="21"/>
                <w:highlight w:val="none"/>
                <w:lang w:eastAsia="zh-CN"/>
              </w:rPr>
              <w:t>）</w:t>
            </w:r>
          </w:p>
        </w:tc>
        <w:tc>
          <w:tcPr>
            <w:tcW w:w="784" w:type="pct"/>
            <w:vAlign w:val="center"/>
          </w:tcPr>
          <w:p w14:paraId="1B69DB1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1117.684</w:t>
            </w:r>
          </w:p>
        </w:tc>
      </w:tr>
      <w:tr w14:paraId="0849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6996C56">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7811D9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A12DB6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8核32G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通用型，连接数8000</w:t>
            </w:r>
            <w:r>
              <w:rPr>
                <w:rFonts w:hint="eastAsia" w:ascii="宋体" w:hAnsi="宋体" w:eastAsia="宋体" w:cs="宋体"/>
                <w:color w:val="auto"/>
                <w:kern w:val="0"/>
                <w:sz w:val="21"/>
                <w:szCs w:val="21"/>
                <w:highlight w:val="none"/>
                <w:lang w:eastAsia="zh-CN"/>
              </w:rPr>
              <w:t>）</w:t>
            </w:r>
          </w:p>
        </w:tc>
        <w:tc>
          <w:tcPr>
            <w:tcW w:w="784" w:type="pct"/>
            <w:vAlign w:val="center"/>
          </w:tcPr>
          <w:p w14:paraId="73F3A56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2049.086</w:t>
            </w:r>
          </w:p>
        </w:tc>
      </w:tr>
      <w:tr w14:paraId="695F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E1BAD0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17FA0C7">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3AA8E6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16核64G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通用型，连接数16000</w:t>
            </w:r>
            <w:r>
              <w:rPr>
                <w:rFonts w:hint="eastAsia" w:ascii="宋体" w:hAnsi="宋体" w:eastAsia="宋体" w:cs="宋体"/>
                <w:color w:val="auto"/>
                <w:kern w:val="0"/>
                <w:sz w:val="21"/>
                <w:szCs w:val="21"/>
                <w:highlight w:val="none"/>
                <w:lang w:eastAsia="zh-CN"/>
              </w:rPr>
              <w:t>）</w:t>
            </w:r>
          </w:p>
        </w:tc>
        <w:tc>
          <w:tcPr>
            <w:tcW w:w="784" w:type="pct"/>
            <w:vAlign w:val="center"/>
          </w:tcPr>
          <w:p w14:paraId="02A6044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3430.667</w:t>
            </w:r>
          </w:p>
        </w:tc>
      </w:tr>
      <w:tr w14:paraId="0154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8D9635C">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1356400">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5505F2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16核96G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通用型，连接数24000</w:t>
            </w:r>
            <w:r>
              <w:rPr>
                <w:rFonts w:hint="eastAsia" w:ascii="宋体" w:hAnsi="宋体" w:eastAsia="宋体" w:cs="宋体"/>
                <w:color w:val="auto"/>
                <w:kern w:val="0"/>
                <w:sz w:val="21"/>
                <w:szCs w:val="21"/>
                <w:highlight w:val="none"/>
                <w:lang w:eastAsia="zh-CN"/>
              </w:rPr>
              <w:t>）</w:t>
            </w:r>
          </w:p>
        </w:tc>
        <w:tc>
          <w:tcPr>
            <w:tcW w:w="784" w:type="pct"/>
            <w:vAlign w:val="center"/>
          </w:tcPr>
          <w:p w14:paraId="7E9EE2E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5119.611</w:t>
            </w:r>
          </w:p>
        </w:tc>
      </w:tr>
      <w:tr w14:paraId="5D50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43494BFC">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0642F223">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FF66F9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32核128G,2000GB Disk</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独享型，连接数20000</w:t>
            </w:r>
            <w:r>
              <w:rPr>
                <w:rFonts w:hint="eastAsia" w:ascii="宋体" w:hAnsi="宋体" w:eastAsia="宋体" w:cs="宋体"/>
                <w:color w:val="auto"/>
                <w:kern w:val="0"/>
                <w:sz w:val="21"/>
                <w:szCs w:val="21"/>
                <w:highlight w:val="none"/>
                <w:lang w:eastAsia="zh-CN"/>
              </w:rPr>
              <w:t>）</w:t>
            </w:r>
          </w:p>
        </w:tc>
        <w:tc>
          <w:tcPr>
            <w:tcW w:w="784" w:type="pct"/>
            <w:vAlign w:val="center"/>
          </w:tcPr>
          <w:p w14:paraId="221B348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10928.46</w:t>
            </w:r>
          </w:p>
        </w:tc>
      </w:tr>
      <w:tr w14:paraId="012E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3BCD290">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185546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BDCD2C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存储空间：GB</w:t>
            </w:r>
          </w:p>
        </w:tc>
        <w:tc>
          <w:tcPr>
            <w:tcW w:w="784" w:type="pct"/>
            <w:vAlign w:val="center"/>
          </w:tcPr>
          <w:p w14:paraId="08ED6B8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0.422</w:t>
            </w:r>
          </w:p>
        </w:tc>
      </w:tr>
      <w:tr w14:paraId="251D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4C73107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云数据库RDS SQL Server版</w:t>
            </w:r>
          </w:p>
        </w:tc>
        <w:tc>
          <w:tcPr>
            <w:tcW w:w="995" w:type="pct"/>
            <w:vMerge w:val="restart"/>
            <w:vAlign w:val="center"/>
          </w:tcPr>
          <w:p w14:paraId="2E8284F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根据实例规格和个数+存储空间按月计费</w:t>
            </w:r>
          </w:p>
        </w:tc>
        <w:tc>
          <w:tcPr>
            <w:tcW w:w="2317" w:type="pct"/>
            <w:vAlign w:val="center"/>
          </w:tcPr>
          <w:p w14:paraId="08DAAC8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1核2G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通用型，连接数600</w:t>
            </w:r>
            <w:r>
              <w:rPr>
                <w:rFonts w:hint="eastAsia" w:ascii="宋体" w:hAnsi="宋体" w:eastAsia="宋体" w:cs="宋体"/>
                <w:color w:val="auto"/>
                <w:kern w:val="0"/>
                <w:sz w:val="21"/>
                <w:szCs w:val="21"/>
                <w:highlight w:val="none"/>
                <w:lang w:eastAsia="zh-CN"/>
              </w:rPr>
              <w:t>）</w:t>
            </w:r>
          </w:p>
        </w:tc>
        <w:tc>
          <w:tcPr>
            <w:tcW w:w="784" w:type="pct"/>
            <w:vAlign w:val="center"/>
          </w:tcPr>
          <w:p w14:paraId="1F1ACD5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263.187</w:t>
            </w:r>
          </w:p>
        </w:tc>
      </w:tr>
      <w:tr w14:paraId="7D67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3489925">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474F8B4">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AF37E8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2核4G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通用型，连接数1200</w:t>
            </w:r>
            <w:r>
              <w:rPr>
                <w:rFonts w:hint="eastAsia" w:ascii="宋体" w:hAnsi="宋体" w:eastAsia="宋体" w:cs="宋体"/>
                <w:color w:val="auto"/>
                <w:kern w:val="0"/>
                <w:sz w:val="21"/>
                <w:szCs w:val="21"/>
                <w:highlight w:val="none"/>
                <w:lang w:eastAsia="zh-CN"/>
              </w:rPr>
              <w:t>）</w:t>
            </w:r>
          </w:p>
        </w:tc>
        <w:tc>
          <w:tcPr>
            <w:tcW w:w="784" w:type="pct"/>
            <w:vAlign w:val="center"/>
          </w:tcPr>
          <w:p w14:paraId="50B85E8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269.047</w:t>
            </w:r>
          </w:p>
        </w:tc>
      </w:tr>
      <w:tr w14:paraId="74A2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F574D50">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6BE2A12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56F277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2核8G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通用型，连接数2000</w:t>
            </w:r>
            <w:r>
              <w:rPr>
                <w:rFonts w:hint="eastAsia" w:ascii="宋体" w:hAnsi="宋体" w:eastAsia="宋体" w:cs="宋体"/>
                <w:color w:val="auto"/>
                <w:kern w:val="0"/>
                <w:sz w:val="21"/>
                <w:szCs w:val="21"/>
                <w:highlight w:val="none"/>
                <w:lang w:eastAsia="zh-CN"/>
              </w:rPr>
              <w:t>）</w:t>
            </w:r>
          </w:p>
        </w:tc>
        <w:tc>
          <w:tcPr>
            <w:tcW w:w="784" w:type="pct"/>
            <w:vAlign w:val="center"/>
          </w:tcPr>
          <w:p w14:paraId="61926D6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284.315</w:t>
            </w:r>
          </w:p>
        </w:tc>
      </w:tr>
      <w:tr w14:paraId="496A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138D5E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82250DE">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E97870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4核8G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通用型，连接数2000</w:t>
            </w:r>
            <w:r>
              <w:rPr>
                <w:rFonts w:hint="eastAsia" w:ascii="宋体" w:hAnsi="宋体" w:eastAsia="宋体" w:cs="宋体"/>
                <w:color w:val="auto"/>
                <w:kern w:val="0"/>
                <w:sz w:val="21"/>
                <w:szCs w:val="21"/>
                <w:highlight w:val="none"/>
                <w:lang w:eastAsia="zh-CN"/>
              </w:rPr>
              <w:t>）</w:t>
            </w:r>
          </w:p>
        </w:tc>
        <w:tc>
          <w:tcPr>
            <w:tcW w:w="784" w:type="pct"/>
            <w:vAlign w:val="center"/>
          </w:tcPr>
          <w:p w14:paraId="72E13E5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475.101</w:t>
            </w:r>
          </w:p>
        </w:tc>
      </w:tr>
      <w:tr w14:paraId="6BDC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FE83E24">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DF370A7">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12BDF7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4核16G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通用型，连接数4000</w:t>
            </w:r>
            <w:r>
              <w:rPr>
                <w:rFonts w:hint="eastAsia" w:ascii="宋体" w:hAnsi="宋体" w:eastAsia="宋体" w:cs="宋体"/>
                <w:color w:val="auto"/>
                <w:kern w:val="0"/>
                <w:sz w:val="21"/>
                <w:szCs w:val="21"/>
                <w:highlight w:val="none"/>
                <w:lang w:eastAsia="zh-CN"/>
              </w:rPr>
              <w:t>）</w:t>
            </w:r>
          </w:p>
        </w:tc>
        <w:tc>
          <w:tcPr>
            <w:tcW w:w="784" w:type="pct"/>
            <w:vAlign w:val="center"/>
          </w:tcPr>
          <w:p w14:paraId="224F747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505.626</w:t>
            </w:r>
          </w:p>
        </w:tc>
      </w:tr>
      <w:tr w14:paraId="3658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DCD9893">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6C6AC1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FC39FB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8核16G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通用型，连接数4000</w:t>
            </w:r>
            <w:r>
              <w:rPr>
                <w:rFonts w:hint="eastAsia" w:ascii="宋体" w:hAnsi="宋体" w:eastAsia="宋体" w:cs="宋体"/>
                <w:color w:val="auto"/>
                <w:kern w:val="0"/>
                <w:sz w:val="21"/>
                <w:szCs w:val="21"/>
                <w:highlight w:val="none"/>
                <w:lang w:eastAsia="zh-CN"/>
              </w:rPr>
              <w:t>）</w:t>
            </w:r>
          </w:p>
        </w:tc>
        <w:tc>
          <w:tcPr>
            <w:tcW w:w="784" w:type="pct"/>
            <w:vAlign w:val="center"/>
          </w:tcPr>
          <w:p w14:paraId="4E2DB9E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902.401</w:t>
            </w:r>
          </w:p>
        </w:tc>
      </w:tr>
      <w:tr w14:paraId="1622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D18BBEF">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0C2D8E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689BE4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8核32G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通用型，连接数8000</w:t>
            </w:r>
            <w:r>
              <w:rPr>
                <w:rFonts w:hint="eastAsia" w:ascii="宋体" w:hAnsi="宋体" w:eastAsia="宋体" w:cs="宋体"/>
                <w:color w:val="auto"/>
                <w:kern w:val="0"/>
                <w:sz w:val="21"/>
                <w:szCs w:val="21"/>
                <w:highlight w:val="none"/>
                <w:lang w:eastAsia="zh-CN"/>
              </w:rPr>
              <w:t>）</w:t>
            </w:r>
          </w:p>
        </w:tc>
        <w:tc>
          <w:tcPr>
            <w:tcW w:w="784" w:type="pct"/>
            <w:vAlign w:val="center"/>
          </w:tcPr>
          <w:p w14:paraId="3695BA9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963.473</w:t>
            </w:r>
          </w:p>
        </w:tc>
      </w:tr>
      <w:tr w14:paraId="68EE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4A16D8D">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6180875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86264D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16核64G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通用型，连接数16000</w:t>
            </w:r>
            <w:r>
              <w:rPr>
                <w:rFonts w:hint="eastAsia" w:ascii="宋体" w:hAnsi="宋体" w:eastAsia="宋体" w:cs="宋体"/>
                <w:color w:val="auto"/>
                <w:kern w:val="0"/>
                <w:sz w:val="21"/>
                <w:szCs w:val="21"/>
                <w:highlight w:val="none"/>
                <w:lang w:eastAsia="zh-CN"/>
              </w:rPr>
              <w:t>）</w:t>
            </w:r>
          </w:p>
        </w:tc>
        <w:tc>
          <w:tcPr>
            <w:tcW w:w="784" w:type="pct"/>
            <w:vAlign w:val="center"/>
          </w:tcPr>
          <w:p w14:paraId="19C2356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1879.149</w:t>
            </w:r>
          </w:p>
        </w:tc>
      </w:tr>
      <w:tr w14:paraId="6DCA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6680185">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1AF7F8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3533E2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16核96G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通用型，连接数24000</w:t>
            </w:r>
            <w:r>
              <w:rPr>
                <w:rFonts w:hint="eastAsia" w:ascii="宋体" w:hAnsi="宋体" w:eastAsia="宋体" w:cs="宋体"/>
                <w:color w:val="auto"/>
                <w:kern w:val="0"/>
                <w:sz w:val="21"/>
                <w:szCs w:val="21"/>
                <w:highlight w:val="none"/>
                <w:lang w:eastAsia="zh-CN"/>
              </w:rPr>
              <w:t>）</w:t>
            </w:r>
          </w:p>
        </w:tc>
        <w:tc>
          <w:tcPr>
            <w:tcW w:w="784" w:type="pct"/>
            <w:vAlign w:val="center"/>
          </w:tcPr>
          <w:p w14:paraId="52C69ED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14902.445</w:t>
            </w:r>
          </w:p>
        </w:tc>
      </w:tr>
      <w:tr w14:paraId="59AC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75FCE79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691450C">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75B139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16核128G,2000GB Disk</w:t>
            </w:r>
            <w:r>
              <w:rPr>
                <w:rFonts w:hint="eastAsia" w:ascii="宋体" w:hAnsi="宋体" w:eastAsia="宋体" w:cs="宋体"/>
                <w:color w:val="auto"/>
                <w:kern w:val="0"/>
                <w:sz w:val="21"/>
                <w:szCs w:val="21"/>
                <w:highlight w:val="none"/>
                <w:lang w:eastAsia="zh-CN"/>
              </w:rPr>
              <w:t>（独享</w:t>
            </w:r>
            <w:r>
              <w:rPr>
                <w:rFonts w:hint="eastAsia" w:ascii="宋体" w:hAnsi="宋体" w:eastAsia="宋体" w:cs="宋体"/>
                <w:color w:val="auto"/>
                <w:kern w:val="0"/>
                <w:sz w:val="21"/>
                <w:szCs w:val="21"/>
                <w:highlight w:val="none"/>
              </w:rPr>
              <w:t>型，连接数20000</w:t>
            </w:r>
            <w:r>
              <w:rPr>
                <w:rFonts w:hint="eastAsia" w:ascii="宋体" w:hAnsi="宋体" w:eastAsia="宋体" w:cs="宋体"/>
                <w:color w:val="auto"/>
                <w:kern w:val="0"/>
                <w:sz w:val="21"/>
                <w:szCs w:val="21"/>
                <w:highlight w:val="none"/>
                <w:lang w:eastAsia="zh-CN"/>
              </w:rPr>
              <w:t>）</w:t>
            </w:r>
          </w:p>
        </w:tc>
        <w:tc>
          <w:tcPr>
            <w:tcW w:w="784" w:type="pct"/>
            <w:vAlign w:val="center"/>
          </w:tcPr>
          <w:p w14:paraId="45AB241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19621.553</w:t>
            </w:r>
          </w:p>
        </w:tc>
      </w:tr>
      <w:tr w14:paraId="65D6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6B19460">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C5C1F2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84CFC2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存储空间：GB</w:t>
            </w:r>
          </w:p>
        </w:tc>
        <w:tc>
          <w:tcPr>
            <w:tcW w:w="784" w:type="pct"/>
            <w:vAlign w:val="center"/>
          </w:tcPr>
          <w:p w14:paraId="1054B01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0.496</w:t>
            </w:r>
          </w:p>
        </w:tc>
      </w:tr>
      <w:tr w14:paraId="5018F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Align w:val="center"/>
          </w:tcPr>
          <w:p w14:paraId="0B864E4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数据库备份</w:t>
            </w:r>
          </w:p>
        </w:tc>
        <w:tc>
          <w:tcPr>
            <w:tcW w:w="995" w:type="pct"/>
            <w:vAlign w:val="center"/>
          </w:tcPr>
          <w:p w14:paraId="5A296DD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根据备份空间的大小按月计费</w:t>
            </w:r>
          </w:p>
        </w:tc>
        <w:tc>
          <w:tcPr>
            <w:tcW w:w="2317" w:type="pct"/>
            <w:vAlign w:val="center"/>
          </w:tcPr>
          <w:p w14:paraId="1D06D26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7CE8B94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w:t>
            </w:r>
          </w:p>
        </w:tc>
      </w:tr>
      <w:tr w14:paraId="4F52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1D3D6B8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云数据库RDS PostgreSQL版</w:t>
            </w:r>
          </w:p>
        </w:tc>
        <w:tc>
          <w:tcPr>
            <w:tcW w:w="995" w:type="pct"/>
            <w:vMerge w:val="restart"/>
            <w:vAlign w:val="center"/>
          </w:tcPr>
          <w:p w14:paraId="3A43BC3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根据实例规格和个数+存储空间按</w:t>
            </w:r>
            <w:r>
              <w:rPr>
                <w:rFonts w:hint="eastAsia" w:ascii="宋体" w:hAnsi="宋体" w:eastAsia="宋体" w:cs="宋体"/>
                <w:color w:val="auto"/>
                <w:kern w:val="0"/>
                <w:sz w:val="21"/>
                <w:szCs w:val="21"/>
                <w:highlight w:val="none"/>
                <w:lang w:eastAsia="zh-CN"/>
              </w:rPr>
              <w:t>月计费</w:t>
            </w:r>
          </w:p>
        </w:tc>
        <w:tc>
          <w:tcPr>
            <w:tcW w:w="2317" w:type="pct"/>
            <w:vAlign w:val="center"/>
          </w:tcPr>
          <w:p w14:paraId="02E64B4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1核1G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通用型，连接数100</w:t>
            </w:r>
            <w:r>
              <w:rPr>
                <w:rFonts w:hint="eastAsia" w:ascii="宋体" w:hAnsi="宋体" w:eastAsia="宋体" w:cs="宋体"/>
                <w:color w:val="auto"/>
                <w:kern w:val="0"/>
                <w:sz w:val="21"/>
                <w:szCs w:val="21"/>
                <w:highlight w:val="none"/>
                <w:lang w:eastAsia="zh-CN"/>
              </w:rPr>
              <w:t>）</w:t>
            </w:r>
          </w:p>
        </w:tc>
        <w:tc>
          <w:tcPr>
            <w:tcW w:w="784" w:type="pct"/>
            <w:vAlign w:val="center"/>
          </w:tcPr>
          <w:p w14:paraId="59E1024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77.1</w:t>
            </w:r>
          </w:p>
        </w:tc>
      </w:tr>
      <w:tr w14:paraId="74CF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AE76E7E">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C4B06F0">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1283CA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1核2G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通用型，连接数200</w:t>
            </w:r>
            <w:r>
              <w:rPr>
                <w:rFonts w:hint="eastAsia" w:ascii="宋体" w:hAnsi="宋体" w:eastAsia="宋体" w:cs="宋体"/>
                <w:color w:val="auto"/>
                <w:kern w:val="0"/>
                <w:sz w:val="21"/>
                <w:szCs w:val="21"/>
                <w:highlight w:val="none"/>
                <w:lang w:eastAsia="zh-CN"/>
              </w:rPr>
              <w:t>）</w:t>
            </w:r>
          </w:p>
        </w:tc>
        <w:tc>
          <w:tcPr>
            <w:tcW w:w="784" w:type="pct"/>
            <w:vAlign w:val="center"/>
          </w:tcPr>
          <w:p w14:paraId="30BF472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128.9</w:t>
            </w:r>
          </w:p>
        </w:tc>
      </w:tr>
      <w:tr w14:paraId="4038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BE6657F">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7EA14F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90DBAD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2核4G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通用型，连接数400</w:t>
            </w:r>
            <w:r>
              <w:rPr>
                <w:rFonts w:hint="eastAsia" w:ascii="宋体" w:hAnsi="宋体" w:eastAsia="宋体" w:cs="宋体"/>
                <w:color w:val="auto"/>
                <w:kern w:val="0"/>
                <w:sz w:val="21"/>
                <w:szCs w:val="21"/>
                <w:highlight w:val="none"/>
                <w:lang w:eastAsia="zh-CN"/>
              </w:rPr>
              <w:t>）</w:t>
            </w:r>
          </w:p>
        </w:tc>
        <w:tc>
          <w:tcPr>
            <w:tcW w:w="784" w:type="pct"/>
            <w:vAlign w:val="center"/>
          </w:tcPr>
          <w:p w14:paraId="0736929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252.5</w:t>
            </w:r>
          </w:p>
        </w:tc>
      </w:tr>
      <w:tr w14:paraId="5BB6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CED8981">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25B8FB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AA2982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4核8G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通用型，连接数800</w:t>
            </w:r>
            <w:r>
              <w:rPr>
                <w:rFonts w:hint="eastAsia" w:ascii="宋体" w:hAnsi="宋体" w:eastAsia="宋体" w:cs="宋体"/>
                <w:color w:val="auto"/>
                <w:kern w:val="0"/>
                <w:sz w:val="21"/>
                <w:szCs w:val="21"/>
                <w:highlight w:val="none"/>
                <w:lang w:eastAsia="zh-CN"/>
              </w:rPr>
              <w:t>）</w:t>
            </w:r>
          </w:p>
        </w:tc>
        <w:tc>
          <w:tcPr>
            <w:tcW w:w="784" w:type="pct"/>
            <w:vAlign w:val="center"/>
          </w:tcPr>
          <w:p w14:paraId="50B0FA5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497.183</w:t>
            </w:r>
          </w:p>
        </w:tc>
      </w:tr>
      <w:tr w14:paraId="56D6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021D59B">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AC79604">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192F5C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8核16G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通用型，连接数1500</w:t>
            </w:r>
            <w:r>
              <w:rPr>
                <w:rFonts w:hint="eastAsia" w:ascii="宋体" w:hAnsi="宋体" w:eastAsia="宋体" w:cs="宋体"/>
                <w:color w:val="auto"/>
                <w:kern w:val="0"/>
                <w:sz w:val="21"/>
                <w:szCs w:val="21"/>
                <w:highlight w:val="none"/>
                <w:lang w:eastAsia="zh-CN"/>
              </w:rPr>
              <w:t>）</w:t>
            </w:r>
          </w:p>
        </w:tc>
        <w:tc>
          <w:tcPr>
            <w:tcW w:w="784" w:type="pct"/>
            <w:vAlign w:val="center"/>
          </w:tcPr>
          <w:p w14:paraId="05A69D9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986.528</w:t>
            </w:r>
          </w:p>
        </w:tc>
      </w:tr>
      <w:tr w14:paraId="5DB8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B940CEB">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B71047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C705CC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8核32G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通用型，连接数2000</w:t>
            </w:r>
            <w:r>
              <w:rPr>
                <w:rFonts w:hint="eastAsia" w:ascii="宋体" w:hAnsi="宋体" w:eastAsia="宋体" w:cs="宋体"/>
                <w:color w:val="auto"/>
                <w:kern w:val="0"/>
                <w:sz w:val="21"/>
                <w:szCs w:val="21"/>
                <w:highlight w:val="none"/>
                <w:lang w:eastAsia="zh-CN"/>
              </w:rPr>
              <w:t>）</w:t>
            </w:r>
          </w:p>
        </w:tc>
        <w:tc>
          <w:tcPr>
            <w:tcW w:w="784" w:type="pct"/>
            <w:vAlign w:val="center"/>
          </w:tcPr>
          <w:p w14:paraId="11E13F6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1203.215</w:t>
            </w:r>
          </w:p>
        </w:tc>
      </w:tr>
      <w:tr w14:paraId="0E8E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6D661B4">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AFC706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40C50C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16核64G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通用型，连接数2000</w:t>
            </w:r>
            <w:r>
              <w:rPr>
                <w:rFonts w:hint="eastAsia" w:ascii="宋体" w:hAnsi="宋体" w:eastAsia="宋体" w:cs="宋体"/>
                <w:color w:val="auto"/>
                <w:kern w:val="0"/>
                <w:sz w:val="21"/>
                <w:szCs w:val="21"/>
                <w:highlight w:val="none"/>
                <w:lang w:eastAsia="zh-CN"/>
              </w:rPr>
              <w:t>）</w:t>
            </w:r>
          </w:p>
        </w:tc>
        <w:tc>
          <w:tcPr>
            <w:tcW w:w="784" w:type="pct"/>
            <w:vAlign w:val="center"/>
          </w:tcPr>
          <w:p w14:paraId="4357334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2266.413</w:t>
            </w:r>
          </w:p>
        </w:tc>
      </w:tr>
      <w:tr w14:paraId="7BDE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2192AD2">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0AD8DCC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A2EF2D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存储空间：GB</w:t>
            </w:r>
          </w:p>
        </w:tc>
        <w:tc>
          <w:tcPr>
            <w:tcW w:w="784" w:type="pct"/>
            <w:vAlign w:val="center"/>
          </w:tcPr>
          <w:p w14:paraId="143FC22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0.496</w:t>
            </w:r>
          </w:p>
        </w:tc>
      </w:tr>
      <w:tr w14:paraId="7575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534E51B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Oracle一体机  服务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不含RAC</w:t>
            </w:r>
            <w:r>
              <w:rPr>
                <w:rFonts w:hint="eastAsia" w:ascii="宋体" w:hAnsi="宋体" w:eastAsia="宋体" w:cs="宋体"/>
                <w:color w:val="auto"/>
                <w:kern w:val="0"/>
                <w:sz w:val="21"/>
                <w:szCs w:val="21"/>
                <w:highlight w:val="none"/>
                <w:lang w:eastAsia="zh-CN"/>
              </w:rPr>
              <w:t>）</w:t>
            </w:r>
          </w:p>
        </w:tc>
        <w:tc>
          <w:tcPr>
            <w:tcW w:w="995" w:type="pct"/>
            <w:vAlign w:val="center"/>
          </w:tcPr>
          <w:p w14:paraId="3188890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CPU</w:t>
            </w:r>
          </w:p>
        </w:tc>
        <w:tc>
          <w:tcPr>
            <w:tcW w:w="2317" w:type="pct"/>
            <w:vAlign w:val="center"/>
          </w:tcPr>
          <w:p w14:paraId="2AB33D1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核</w:t>
            </w:r>
          </w:p>
        </w:tc>
        <w:tc>
          <w:tcPr>
            <w:tcW w:w="784" w:type="pct"/>
            <w:vAlign w:val="center"/>
          </w:tcPr>
          <w:p w14:paraId="590A3C7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760.32</w:t>
            </w:r>
          </w:p>
        </w:tc>
      </w:tr>
      <w:tr w14:paraId="7A9D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D13A701">
            <w:pPr>
              <w:widowControl/>
              <w:spacing w:line="360" w:lineRule="auto"/>
              <w:jc w:val="center"/>
              <w:rPr>
                <w:rFonts w:hint="eastAsia" w:ascii="宋体" w:hAnsi="宋体" w:eastAsia="宋体" w:cs="宋体"/>
                <w:color w:val="auto"/>
                <w:kern w:val="0"/>
                <w:sz w:val="21"/>
                <w:szCs w:val="21"/>
                <w:highlight w:val="none"/>
              </w:rPr>
            </w:pPr>
          </w:p>
        </w:tc>
        <w:tc>
          <w:tcPr>
            <w:tcW w:w="995" w:type="pct"/>
            <w:vAlign w:val="center"/>
          </w:tcPr>
          <w:p w14:paraId="6E69B90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内存</w:t>
            </w:r>
          </w:p>
        </w:tc>
        <w:tc>
          <w:tcPr>
            <w:tcW w:w="2317" w:type="pct"/>
            <w:vAlign w:val="center"/>
          </w:tcPr>
          <w:p w14:paraId="205FF12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每GB</w:t>
            </w:r>
          </w:p>
        </w:tc>
        <w:tc>
          <w:tcPr>
            <w:tcW w:w="784" w:type="pct"/>
            <w:vAlign w:val="center"/>
          </w:tcPr>
          <w:p w14:paraId="3999C17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456.192</w:t>
            </w:r>
          </w:p>
        </w:tc>
      </w:tr>
      <w:tr w14:paraId="5D78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5D6A737">
            <w:pPr>
              <w:widowControl/>
              <w:spacing w:line="360" w:lineRule="auto"/>
              <w:jc w:val="center"/>
              <w:rPr>
                <w:rFonts w:hint="eastAsia" w:ascii="宋体" w:hAnsi="宋体" w:eastAsia="宋体" w:cs="宋体"/>
                <w:color w:val="auto"/>
                <w:kern w:val="0"/>
                <w:sz w:val="21"/>
                <w:szCs w:val="21"/>
                <w:highlight w:val="none"/>
              </w:rPr>
            </w:pPr>
          </w:p>
        </w:tc>
        <w:tc>
          <w:tcPr>
            <w:tcW w:w="995" w:type="pct"/>
            <w:vAlign w:val="center"/>
          </w:tcPr>
          <w:p w14:paraId="639F491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存储空间</w:t>
            </w:r>
          </w:p>
        </w:tc>
        <w:tc>
          <w:tcPr>
            <w:tcW w:w="2317" w:type="pct"/>
            <w:vAlign w:val="center"/>
          </w:tcPr>
          <w:p w14:paraId="51BA865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每TB</w:t>
            </w:r>
          </w:p>
        </w:tc>
        <w:tc>
          <w:tcPr>
            <w:tcW w:w="784" w:type="pct"/>
            <w:vAlign w:val="center"/>
          </w:tcPr>
          <w:p w14:paraId="7198F31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1277.3376</w:t>
            </w:r>
          </w:p>
        </w:tc>
      </w:tr>
      <w:tr w14:paraId="4649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32F0BF9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Oracle一体机 服务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含RAC</w:t>
            </w:r>
            <w:r>
              <w:rPr>
                <w:rFonts w:hint="eastAsia" w:ascii="宋体" w:hAnsi="宋体" w:eastAsia="宋体" w:cs="宋体"/>
                <w:color w:val="auto"/>
                <w:kern w:val="0"/>
                <w:sz w:val="21"/>
                <w:szCs w:val="21"/>
                <w:highlight w:val="none"/>
                <w:lang w:eastAsia="zh-CN"/>
              </w:rPr>
              <w:t>）</w:t>
            </w:r>
          </w:p>
        </w:tc>
        <w:tc>
          <w:tcPr>
            <w:tcW w:w="995" w:type="pct"/>
            <w:vAlign w:val="center"/>
          </w:tcPr>
          <w:p w14:paraId="085B313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CPU</w:t>
            </w:r>
          </w:p>
        </w:tc>
        <w:tc>
          <w:tcPr>
            <w:tcW w:w="2317" w:type="pct"/>
            <w:vAlign w:val="center"/>
          </w:tcPr>
          <w:p w14:paraId="43D977A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核</w:t>
            </w:r>
          </w:p>
        </w:tc>
        <w:tc>
          <w:tcPr>
            <w:tcW w:w="784" w:type="pct"/>
            <w:vAlign w:val="center"/>
          </w:tcPr>
          <w:p w14:paraId="135C338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988.416</w:t>
            </w:r>
          </w:p>
        </w:tc>
      </w:tr>
      <w:tr w14:paraId="715C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83E8E3D">
            <w:pPr>
              <w:widowControl/>
              <w:spacing w:line="360" w:lineRule="auto"/>
              <w:jc w:val="center"/>
              <w:rPr>
                <w:rFonts w:hint="eastAsia" w:ascii="宋体" w:hAnsi="宋体" w:eastAsia="宋体" w:cs="宋体"/>
                <w:color w:val="auto"/>
                <w:kern w:val="0"/>
                <w:sz w:val="21"/>
                <w:szCs w:val="21"/>
                <w:highlight w:val="none"/>
              </w:rPr>
            </w:pPr>
          </w:p>
        </w:tc>
        <w:tc>
          <w:tcPr>
            <w:tcW w:w="995" w:type="pct"/>
            <w:vAlign w:val="center"/>
          </w:tcPr>
          <w:p w14:paraId="4FB7AB2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内存</w:t>
            </w:r>
          </w:p>
        </w:tc>
        <w:tc>
          <w:tcPr>
            <w:tcW w:w="2317" w:type="pct"/>
            <w:vAlign w:val="center"/>
          </w:tcPr>
          <w:p w14:paraId="5CF326D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每GB</w:t>
            </w:r>
          </w:p>
        </w:tc>
        <w:tc>
          <w:tcPr>
            <w:tcW w:w="784" w:type="pct"/>
            <w:vAlign w:val="center"/>
          </w:tcPr>
          <w:p w14:paraId="77AB561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646.272</w:t>
            </w:r>
          </w:p>
        </w:tc>
      </w:tr>
      <w:tr w14:paraId="772B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EFB42C4">
            <w:pPr>
              <w:widowControl/>
              <w:spacing w:line="360" w:lineRule="auto"/>
              <w:jc w:val="center"/>
              <w:rPr>
                <w:rFonts w:hint="eastAsia" w:ascii="宋体" w:hAnsi="宋体" w:eastAsia="宋体" w:cs="宋体"/>
                <w:color w:val="auto"/>
                <w:kern w:val="0"/>
                <w:sz w:val="21"/>
                <w:szCs w:val="21"/>
                <w:highlight w:val="none"/>
              </w:rPr>
            </w:pPr>
          </w:p>
        </w:tc>
        <w:tc>
          <w:tcPr>
            <w:tcW w:w="995" w:type="pct"/>
            <w:vAlign w:val="center"/>
          </w:tcPr>
          <w:p w14:paraId="6F87279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存储空间</w:t>
            </w:r>
          </w:p>
        </w:tc>
        <w:tc>
          <w:tcPr>
            <w:tcW w:w="2317" w:type="pct"/>
            <w:vAlign w:val="center"/>
          </w:tcPr>
          <w:p w14:paraId="55FA04E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每TB</w:t>
            </w:r>
          </w:p>
        </w:tc>
        <w:tc>
          <w:tcPr>
            <w:tcW w:w="784" w:type="pct"/>
            <w:vAlign w:val="center"/>
          </w:tcPr>
          <w:p w14:paraId="428ABCD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1277.3376</w:t>
            </w:r>
          </w:p>
        </w:tc>
      </w:tr>
      <w:tr w14:paraId="0C8F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2E49EA8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分布式数据库 (OceanBase)</w:t>
            </w:r>
          </w:p>
        </w:tc>
        <w:tc>
          <w:tcPr>
            <w:tcW w:w="995" w:type="pct"/>
            <w:vMerge w:val="restart"/>
            <w:vAlign w:val="center"/>
          </w:tcPr>
          <w:p w14:paraId="2386143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根据实例规格</w:t>
            </w:r>
            <w:r>
              <w:rPr>
                <w:rFonts w:hint="eastAsia" w:ascii="宋体" w:hAnsi="宋体" w:eastAsia="宋体" w:cs="宋体"/>
                <w:color w:val="auto"/>
                <w:kern w:val="0"/>
                <w:sz w:val="21"/>
                <w:szCs w:val="21"/>
                <w:highlight w:val="none"/>
                <w:lang w:eastAsia="zh-CN"/>
              </w:rPr>
              <w:t>和</w:t>
            </w:r>
            <w:r>
              <w:rPr>
                <w:rFonts w:hint="eastAsia" w:ascii="宋体" w:hAnsi="宋体" w:eastAsia="宋体" w:cs="宋体"/>
                <w:color w:val="auto"/>
                <w:kern w:val="0"/>
                <w:sz w:val="21"/>
                <w:szCs w:val="21"/>
                <w:highlight w:val="none"/>
              </w:rPr>
              <w:t>个数+存储空间按月计费</w:t>
            </w:r>
          </w:p>
        </w:tc>
        <w:tc>
          <w:tcPr>
            <w:tcW w:w="2317" w:type="pct"/>
            <w:vAlign w:val="center"/>
          </w:tcPr>
          <w:p w14:paraId="7268DBE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8C 32G 200GB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w:t>
            </w:r>
            <w:r>
              <w:rPr>
                <w:rFonts w:hint="eastAsia" w:ascii="宋体" w:hAnsi="宋体" w:eastAsia="宋体" w:cs="宋体"/>
                <w:color w:val="auto"/>
                <w:kern w:val="0"/>
                <w:sz w:val="21"/>
                <w:szCs w:val="21"/>
                <w:highlight w:val="none"/>
                <w:lang w:eastAsia="zh-CN"/>
              </w:rPr>
              <w:t>）</w:t>
            </w:r>
          </w:p>
        </w:tc>
        <w:tc>
          <w:tcPr>
            <w:tcW w:w="784" w:type="pct"/>
            <w:vAlign w:val="center"/>
          </w:tcPr>
          <w:p w14:paraId="49E352C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3825</w:t>
            </w:r>
          </w:p>
        </w:tc>
      </w:tr>
      <w:tr w14:paraId="6826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45CA7AB">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A85F11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301D2C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14C 70G 200GB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w:t>
            </w:r>
            <w:r>
              <w:rPr>
                <w:rFonts w:hint="eastAsia" w:ascii="宋体" w:hAnsi="宋体" w:eastAsia="宋体" w:cs="宋体"/>
                <w:color w:val="auto"/>
                <w:kern w:val="0"/>
                <w:sz w:val="21"/>
                <w:szCs w:val="21"/>
                <w:highlight w:val="none"/>
                <w:lang w:eastAsia="zh-CN"/>
              </w:rPr>
              <w:t>）</w:t>
            </w:r>
          </w:p>
        </w:tc>
        <w:tc>
          <w:tcPr>
            <w:tcW w:w="784" w:type="pct"/>
            <w:vAlign w:val="center"/>
          </w:tcPr>
          <w:p w14:paraId="2EC7A53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12769.38</w:t>
            </w:r>
          </w:p>
        </w:tc>
      </w:tr>
      <w:tr w14:paraId="5957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CC9A30B">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5F68F38">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4109E2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30C 180G 400GB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w:t>
            </w:r>
            <w:r>
              <w:rPr>
                <w:rFonts w:hint="eastAsia" w:ascii="宋体" w:hAnsi="宋体" w:eastAsia="宋体" w:cs="宋体"/>
                <w:color w:val="auto"/>
                <w:kern w:val="0"/>
                <w:sz w:val="21"/>
                <w:szCs w:val="21"/>
                <w:highlight w:val="none"/>
                <w:lang w:eastAsia="zh-CN"/>
              </w:rPr>
              <w:t>）</w:t>
            </w:r>
          </w:p>
        </w:tc>
        <w:tc>
          <w:tcPr>
            <w:tcW w:w="784" w:type="pct"/>
            <w:vAlign w:val="center"/>
          </w:tcPr>
          <w:p w14:paraId="5259AA8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21068.1</w:t>
            </w:r>
          </w:p>
        </w:tc>
      </w:tr>
      <w:tr w14:paraId="3535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47AAAB3">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E06BC91">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EB36C3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62C 400G 800GB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通用型</w:t>
            </w:r>
            <w:r>
              <w:rPr>
                <w:rFonts w:hint="eastAsia" w:ascii="宋体" w:hAnsi="宋体" w:eastAsia="宋体" w:cs="宋体"/>
                <w:color w:val="auto"/>
                <w:kern w:val="0"/>
                <w:sz w:val="21"/>
                <w:szCs w:val="21"/>
                <w:highlight w:val="none"/>
                <w:lang w:eastAsia="zh-CN"/>
              </w:rPr>
              <w:t>）</w:t>
            </w:r>
          </w:p>
        </w:tc>
        <w:tc>
          <w:tcPr>
            <w:tcW w:w="784" w:type="pct"/>
            <w:vAlign w:val="center"/>
          </w:tcPr>
          <w:p w14:paraId="07A0BEB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36912.02</w:t>
            </w:r>
          </w:p>
        </w:tc>
      </w:tr>
      <w:tr w14:paraId="1E35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E954BEF">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6176F2B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738650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储存空间：GB</w:t>
            </w:r>
          </w:p>
        </w:tc>
        <w:tc>
          <w:tcPr>
            <w:tcW w:w="784" w:type="pct"/>
            <w:vAlign w:val="center"/>
          </w:tcPr>
          <w:p w14:paraId="695FB62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1.84</w:t>
            </w:r>
          </w:p>
        </w:tc>
      </w:tr>
      <w:tr w14:paraId="29F0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AD57675">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F8346F1">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7088AA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88C 608G 8TB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独立物理机</w:t>
            </w:r>
            <w:r>
              <w:rPr>
                <w:rFonts w:hint="eastAsia" w:ascii="宋体" w:hAnsi="宋体" w:eastAsia="宋体" w:cs="宋体"/>
                <w:color w:val="auto"/>
                <w:kern w:val="0"/>
                <w:sz w:val="21"/>
                <w:szCs w:val="21"/>
                <w:highlight w:val="none"/>
                <w:lang w:eastAsia="zh-CN"/>
              </w:rPr>
              <w:t>）</w:t>
            </w:r>
          </w:p>
        </w:tc>
        <w:tc>
          <w:tcPr>
            <w:tcW w:w="784" w:type="pct"/>
            <w:vAlign w:val="center"/>
          </w:tcPr>
          <w:p w14:paraId="2C74205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88579.35</w:t>
            </w:r>
          </w:p>
        </w:tc>
      </w:tr>
      <w:tr w14:paraId="3E5A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04304F7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迁移服务OMS</w:t>
            </w:r>
          </w:p>
        </w:tc>
        <w:tc>
          <w:tcPr>
            <w:tcW w:w="995" w:type="pct"/>
            <w:vMerge w:val="restart"/>
            <w:vAlign w:val="center"/>
          </w:tcPr>
          <w:p w14:paraId="1D4B4EB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根据实例个数按月计费</w:t>
            </w:r>
          </w:p>
        </w:tc>
        <w:tc>
          <w:tcPr>
            <w:tcW w:w="2317" w:type="pct"/>
            <w:vAlign w:val="center"/>
          </w:tcPr>
          <w:p w14:paraId="4D9B68B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数据同步订阅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p>
        </w:tc>
        <w:tc>
          <w:tcPr>
            <w:tcW w:w="784" w:type="pct"/>
            <w:vAlign w:val="center"/>
          </w:tcPr>
          <w:p w14:paraId="6B9E3CA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942.34</w:t>
            </w:r>
          </w:p>
        </w:tc>
      </w:tr>
      <w:tr w14:paraId="39A0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07E36F2">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B35E32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81246B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数据同步和订阅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高性能版</w:t>
            </w:r>
            <w:r>
              <w:rPr>
                <w:rFonts w:hint="eastAsia" w:ascii="宋体" w:hAnsi="宋体" w:eastAsia="宋体" w:cs="宋体"/>
                <w:color w:val="auto"/>
                <w:kern w:val="0"/>
                <w:sz w:val="21"/>
                <w:szCs w:val="21"/>
                <w:highlight w:val="none"/>
                <w:lang w:eastAsia="zh-CN"/>
              </w:rPr>
              <w:t>）</w:t>
            </w:r>
          </w:p>
        </w:tc>
        <w:tc>
          <w:tcPr>
            <w:tcW w:w="784" w:type="pct"/>
            <w:vAlign w:val="center"/>
          </w:tcPr>
          <w:p w14:paraId="7534CC6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1861.63</w:t>
            </w:r>
          </w:p>
        </w:tc>
      </w:tr>
      <w:tr w14:paraId="0976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6452F78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分析型数据库 MySLQ版</w:t>
            </w:r>
          </w:p>
        </w:tc>
        <w:tc>
          <w:tcPr>
            <w:tcW w:w="995" w:type="pct"/>
            <w:vMerge w:val="restart"/>
            <w:vAlign w:val="center"/>
          </w:tcPr>
          <w:p w14:paraId="5E37F5B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根据实例规格和个数按月计费</w:t>
            </w:r>
          </w:p>
        </w:tc>
        <w:tc>
          <w:tcPr>
            <w:tcW w:w="2317" w:type="pct"/>
            <w:vAlign w:val="center"/>
          </w:tcPr>
          <w:p w14:paraId="35857A5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规格：C1:1CORE,7.5GB内存，60GB SSD</w:t>
            </w:r>
          </w:p>
        </w:tc>
        <w:tc>
          <w:tcPr>
            <w:tcW w:w="784" w:type="pct"/>
            <w:vAlign w:val="center"/>
          </w:tcPr>
          <w:p w14:paraId="5443705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279.421</w:t>
            </w:r>
          </w:p>
        </w:tc>
      </w:tr>
      <w:tr w14:paraId="482B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559D57D">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4BB02B8">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406285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规格：C8:4CORE,45G内存，480G SSD</w:t>
            </w:r>
          </w:p>
        </w:tc>
        <w:tc>
          <w:tcPr>
            <w:tcW w:w="784" w:type="pct"/>
            <w:vAlign w:val="center"/>
          </w:tcPr>
          <w:p w14:paraId="7822366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1480.31</w:t>
            </w:r>
          </w:p>
        </w:tc>
      </w:tr>
      <w:tr w14:paraId="60A2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646259AD">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4A7C4C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78E622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规格：S1(mem:25G,ssd:250G,sata:1536G)</w:t>
            </w:r>
          </w:p>
        </w:tc>
        <w:tc>
          <w:tcPr>
            <w:tcW w:w="784" w:type="pct"/>
            <w:vAlign w:val="center"/>
          </w:tcPr>
          <w:p w14:paraId="3FA003B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795.421</w:t>
            </w:r>
          </w:p>
        </w:tc>
      </w:tr>
      <w:tr w14:paraId="0D0A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14F4ABBE">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FD127D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0433D7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规格：S8:10CORE,60G内存，6006 SSID, 6T SATA</w:t>
            </w:r>
          </w:p>
        </w:tc>
        <w:tc>
          <w:tcPr>
            <w:tcW w:w="784" w:type="pct"/>
            <w:vAlign w:val="center"/>
          </w:tcPr>
          <w:p w14:paraId="79E698C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2179.48</w:t>
            </w:r>
          </w:p>
        </w:tc>
      </w:tr>
      <w:tr w14:paraId="6B43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5A4CE2F4">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7F72A80">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36F6FD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规格：S8N:6CORE;120G内存；1T SSD:12T SATA</w:t>
            </w:r>
          </w:p>
        </w:tc>
        <w:tc>
          <w:tcPr>
            <w:tcW w:w="784" w:type="pct"/>
            <w:vAlign w:val="center"/>
          </w:tcPr>
          <w:p w14:paraId="42F93A9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3896.15</w:t>
            </w:r>
          </w:p>
        </w:tc>
      </w:tr>
      <w:tr w14:paraId="76F6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1D3E3DC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分布式关系型 数据库入门版</w:t>
            </w:r>
          </w:p>
        </w:tc>
        <w:tc>
          <w:tcPr>
            <w:tcW w:w="995" w:type="pct"/>
            <w:vMerge w:val="restart"/>
            <w:vAlign w:val="center"/>
          </w:tcPr>
          <w:p w14:paraId="16A4DB5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根据实例规格和个数按月计费</w:t>
            </w:r>
          </w:p>
        </w:tc>
        <w:tc>
          <w:tcPr>
            <w:tcW w:w="2317" w:type="pct"/>
            <w:vAlign w:val="center"/>
          </w:tcPr>
          <w:p w14:paraId="06357C5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实例规格：8核16G</w:t>
            </w:r>
          </w:p>
        </w:tc>
        <w:tc>
          <w:tcPr>
            <w:tcW w:w="784" w:type="pct"/>
            <w:vAlign w:val="center"/>
          </w:tcPr>
          <w:p w14:paraId="4C7870F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1025.785</w:t>
            </w:r>
          </w:p>
        </w:tc>
      </w:tr>
      <w:tr w14:paraId="427F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A25E0DF">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37755C0">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AB1F20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实例规格：8核32G</w:t>
            </w:r>
          </w:p>
        </w:tc>
        <w:tc>
          <w:tcPr>
            <w:tcW w:w="784" w:type="pct"/>
            <w:vAlign w:val="center"/>
          </w:tcPr>
          <w:p w14:paraId="4FFEA39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935.252</w:t>
            </w:r>
          </w:p>
        </w:tc>
      </w:tr>
      <w:tr w14:paraId="17F1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C2FC9C1">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0C32F92C">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F49F4C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实例规格：12核24G</w:t>
            </w:r>
          </w:p>
        </w:tc>
        <w:tc>
          <w:tcPr>
            <w:tcW w:w="784" w:type="pct"/>
            <w:vAlign w:val="center"/>
          </w:tcPr>
          <w:p w14:paraId="7534914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1857.834</w:t>
            </w:r>
          </w:p>
        </w:tc>
      </w:tr>
      <w:tr w14:paraId="790B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1CA5B43">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4EB79E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F97764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实例规格：16核32G</w:t>
            </w:r>
          </w:p>
        </w:tc>
        <w:tc>
          <w:tcPr>
            <w:tcW w:w="784" w:type="pct"/>
            <w:vAlign w:val="center"/>
          </w:tcPr>
          <w:p w14:paraId="04CD2AC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2434.066</w:t>
            </w:r>
          </w:p>
        </w:tc>
      </w:tr>
      <w:tr w14:paraId="3A1B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B8B19FA">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E9601AE">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E2F291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实例规格：20核40G</w:t>
            </w:r>
          </w:p>
        </w:tc>
        <w:tc>
          <w:tcPr>
            <w:tcW w:w="784" w:type="pct"/>
            <w:vAlign w:val="center"/>
          </w:tcPr>
          <w:p w14:paraId="2E705CC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3009.676</w:t>
            </w:r>
          </w:p>
        </w:tc>
      </w:tr>
      <w:tr w14:paraId="1924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93CA8A7">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F178BCC">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2A2EDD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实例规格：24核48G</w:t>
            </w:r>
          </w:p>
        </w:tc>
        <w:tc>
          <w:tcPr>
            <w:tcW w:w="784" w:type="pct"/>
            <w:vAlign w:val="center"/>
          </w:tcPr>
          <w:p w14:paraId="704CF96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3585.9</w:t>
            </w:r>
          </w:p>
        </w:tc>
      </w:tr>
      <w:tr w14:paraId="62E9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E275920">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1EBCE6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FB05D2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实例规格：28核56G</w:t>
            </w:r>
          </w:p>
        </w:tc>
        <w:tc>
          <w:tcPr>
            <w:tcW w:w="784" w:type="pct"/>
            <w:vAlign w:val="center"/>
          </w:tcPr>
          <w:p w14:paraId="384A8BA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4161.508</w:t>
            </w:r>
          </w:p>
        </w:tc>
      </w:tr>
      <w:tr w14:paraId="4B18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84A2735">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027419F">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E00F8A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实例规格：32核64G</w:t>
            </w:r>
          </w:p>
        </w:tc>
        <w:tc>
          <w:tcPr>
            <w:tcW w:w="784" w:type="pct"/>
            <w:vAlign w:val="center"/>
          </w:tcPr>
          <w:p w14:paraId="30C2A2D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4737.734</w:t>
            </w:r>
          </w:p>
        </w:tc>
      </w:tr>
      <w:tr w14:paraId="2D41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096C3F4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分布式关系型数据库标准版</w:t>
            </w:r>
          </w:p>
        </w:tc>
        <w:tc>
          <w:tcPr>
            <w:tcW w:w="995" w:type="pct"/>
            <w:vMerge w:val="restart"/>
            <w:vAlign w:val="center"/>
          </w:tcPr>
          <w:p w14:paraId="758BA7E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根据实例规格和个数按月计费</w:t>
            </w:r>
          </w:p>
        </w:tc>
        <w:tc>
          <w:tcPr>
            <w:tcW w:w="2317" w:type="pct"/>
            <w:vAlign w:val="center"/>
          </w:tcPr>
          <w:p w14:paraId="4E6810B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实例规格：16核32GB</w:t>
            </w:r>
          </w:p>
        </w:tc>
        <w:tc>
          <w:tcPr>
            <w:tcW w:w="784" w:type="pct"/>
            <w:vAlign w:val="center"/>
          </w:tcPr>
          <w:p w14:paraId="45BECA9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2469.46</w:t>
            </w:r>
          </w:p>
        </w:tc>
      </w:tr>
      <w:tr w14:paraId="06D4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184B338">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CCBB30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788DA2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实例规格：24核48GB</w:t>
            </w:r>
          </w:p>
        </w:tc>
        <w:tc>
          <w:tcPr>
            <w:tcW w:w="784" w:type="pct"/>
            <w:vAlign w:val="center"/>
          </w:tcPr>
          <w:p w14:paraId="636DD4B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3637.438</w:t>
            </w:r>
          </w:p>
        </w:tc>
      </w:tr>
      <w:tr w14:paraId="4D15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B839461">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9963CB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1BFAF0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实例规格：32核64GB</w:t>
            </w:r>
          </w:p>
        </w:tc>
        <w:tc>
          <w:tcPr>
            <w:tcW w:w="784" w:type="pct"/>
            <w:vAlign w:val="center"/>
          </w:tcPr>
          <w:p w14:paraId="768EC7E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4805.421</w:t>
            </w:r>
          </w:p>
        </w:tc>
      </w:tr>
      <w:tr w14:paraId="2F35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D1A1171">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592C718">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980828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实例规格：32核128GB</w:t>
            </w:r>
          </w:p>
        </w:tc>
        <w:tc>
          <w:tcPr>
            <w:tcW w:w="784" w:type="pct"/>
            <w:vAlign w:val="center"/>
          </w:tcPr>
          <w:p w14:paraId="753002C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9240.757</w:t>
            </w:r>
          </w:p>
        </w:tc>
      </w:tr>
      <w:tr w14:paraId="633E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BDA44CA">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6595288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502137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实例规格：64核128GB</w:t>
            </w:r>
          </w:p>
        </w:tc>
        <w:tc>
          <w:tcPr>
            <w:tcW w:w="784" w:type="pct"/>
            <w:vAlign w:val="center"/>
          </w:tcPr>
          <w:p w14:paraId="7F3FBA0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4904.771</w:t>
            </w:r>
          </w:p>
        </w:tc>
      </w:tr>
      <w:tr w14:paraId="5D17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738634B">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C05825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E90523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实例规格：80核160GB</w:t>
            </w:r>
          </w:p>
        </w:tc>
        <w:tc>
          <w:tcPr>
            <w:tcW w:w="784" w:type="pct"/>
            <w:vAlign w:val="center"/>
          </w:tcPr>
          <w:p w14:paraId="77995B9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11518.348</w:t>
            </w:r>
          </w:p>
        </w:tc>
      </w:tr>
      <w:tr w14:paraId="42BB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0FC4302">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1292D3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19FD6A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实例规格：96核192GB</w:t>
            </w:r>
          </w:p>
        </w:tc>
        <w:tc>
          <w:tcPr>
            <w:tcW w:w="784" w:type="pct"/>
            <w:vAlign w:val="center"/>
          </w:tcPr>
          <w:p w14:paraId="01D4E78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13795.938</w:t>
            </w:r>
          </w:p>
        </w:tc>
      </w:tr>
      <w:tr w14:paraId="25E8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1677B73">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1F41C5F">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E27AD2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实例规格：112核224GB</w:t>
            </w:r>
          </w:p>
        </w:tc>
        <w:tc>
          <w:tcPr>
            <w:tcW w:w="784" w:type="pct"/>
            <w:vAlign w:val="center"/>
          </w:tcPr>
          <w:p w14:paraId="51CD616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16073.528</w:t>
            </w:r>
          </w:p>
        </w:tc>
      </w:tr>
      <w:tr w14:paraId="4266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B406168">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B14FB21">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C6313A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实例规格：128核256GB</w:t>
            </w:r>
          </w:p>
        </w:tc>
        <w:tc>
          <w:tcPr>
            <w:tcW w:w="784" w:type="pct"/>
            <w:vAlign w:val="center"/>
          </w:tcPr>
          <w:p w14:paraId="1D12768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18351.12</w:t>
            </w:r>
          </w:p>
        </w:tc>
      </w:tr>
      <w:tr w14:paraId="26F1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6AC3213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分布式关系型 数据库企业版</w:t>
            </w:r>
          </w:p>
        </w:tc>
        <w:tc>
          <w:tcPr>
            <w:tcW w:w="995" w:type="pct"/>
            <w:vMerge w:val="restart"/>
            <w:vAlign w:val="center"/>
          </w:tcPr>
          <w:p w14:paraId="215341B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根据实例规格和个数按月计费</w:t>
            </w:r>
          </w:p>
        </w:tc>
        <w:tc>
          <w:tcPr>
            <w:tcW w:w="2317" w:type="pct"/>
            <w:vAlign w:val="center"/>
          </w:tcPr>
          <w:p w14:paraId="30B57E1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实例规格：32核64GB</w:t>
            </w:r>
          </w:p>
        </w:tc>
        <w:tc>
          <w:tcPr>
            <w:tcW w:w="784" w:type="pct"/>
            <w:vAlign w:val="center"/>
          </w:tcPr>
          <w:p w14:paraId="54CF632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4904.771</w:t>
            </w:r>
          </w:p>
        </w:tc>
      </w:tr>
      <w:tr w14:paraId="4E0E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A718CA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4EEC2D8">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D9F006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实例规格：64核128GB</w:t>
            </w:r>
          </w:p>
        </w:tc>
        <w:tc>
          <w:tcPr>
            <w:tcW w:w="784" w:type="pct"/>
            <w:vAlign w:val="center"/>
          </w:tcPr>
          <w:p w14:paraId="582E0BB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9423.934</w:t>
            </w:r>
          </w:p>
        </w:tc>
      </w:tr>
      <w:tr w14:paraId="514A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EBD8636">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EC0962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CB8888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实例规格：80核160GB</w:t>
            </w:r>
          </w:p>
        </w:tc>
        <w:tc>
          <w:tcPr>
            <w:tcW w:w="784" w:type="pct"/>
            <w:vAlign w:val="center"/>
          </w:tcPr>
          <w:p w14:paraId="39559D7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11746.852</w:t>
            </w:r>
          </w:p>
        </w:tc>
      </w:tr>
      <w:tr w14:paraId="083A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3A189FD">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AD1C8B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BA2802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实例规格：96核192GB</w:t>
            </w:r>
          </w:p>
        </w:tc>
        <w:tc>
          <w:tcPr>
            <w:tcW w:w="784" w:type="pct"/>
            <w:vAlign w:val="center"/>
          </w:tcPr>
          <w:p w14:paraId="31FDB84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14069.149</w:t>
            </w:r>
          </w:p>
        </w:tc>
      </w:tr>
      <w:tr w14:paraId="643B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85D4578">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D3F1C4C">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224200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实例规格：112核224GB</w:t>
            </w:r>
          </w:p>
        </w:tc>
        <w:tc>
          <w:tcPr>
            <w:tcW w:w="784" w:type="pct"/>
            <w:vAlign w:val="center"/>
          </w:tcPr>
          <w:p w14:paraId="25969DE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16184.68</w:t>
            </w:r>
          </w:p>
        </w:tc>
      </w:tr>
      <w:tr w14:paraId="7E15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44B9158">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D5F184E">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E5F9F1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实例规格：128核256GB</w:t>
            </w:r>
          </w:p>
        </w:tc>
        <w:tc>
          <w:tcPr>
            <w:tcW w:w="784" w:type="pct"/>
            <w:vAlign w:val="center"/>
          </w:tcPr>
          <w:p w14:paraId="636ECCF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18477.79</w:t>
            </w:r>
          </w:p>
        </w:tc>
      </w:tr>
      <w:tr w14:paraId="0C6B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34B0F71">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9ED67AC">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7DF1B8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实例规格：160核320GB</w:t>
            </w:r>
          </w:p>
        </w:tc>
        <w:tc>
          <w:tcPr>
            <w:tcW w:w="784" w:type="pct"/>
            <w:vAlign w:val="center"/>
          </w:tcPr>
          <w:p w14:paraId="032C5E9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22775.901</w:t>
            </w:r>
          </w:p>
        </w:tc>
      </w:tr>
      <w:tr w14:paraId="2923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06353BD6">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A15968E">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B937E2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实例规格：176核352GB</w:t>
            </w:r>
          </w:p>
        </w:tc>
        <w:tc>
          <w:tcPr>
            <w:tcW w:w="784" w:type="pct"/>
            <w:vAlign w:val="center"/>
          </w:tcPr>
          <w:p w14:paraId="677E9DE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25040.455</w:t>
            </w:r>
          </w:p>
        </w:tc>
      </w:tr>
      <w:tr w14:paraId="6CCF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19E0C82">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1812AA7">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0BC407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实例规格：192核384GB</w:t>
            </w:r>
          </w:p>
        </w:tc>
        <w:tc>
          <w:tcPr>
            <w:tcW w:w="784" w:type="pct"/>
            <w:vAlign w:val="center"/>
          </w:tcPr>
          <w:p w14:paraId="1125D11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27305.005</w:t>
            </w:r>
          </w:p>
        </w:tc>
      </w:tr>
      <w:tr w14:paraId="04D5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1B1FE15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云数据库</w:t>
            </w:r>
          </w:p>
          <w:p w14:paraId="79EF8750">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Redis版</w:t>
            </w:r>
          </w:p>
        </w:tc>
        <w:tc>
          <w:tcPr>
            <w:tcW w:w="995" w:type="pct"/>
            <w:vMerge w:val="restart"/>
            <w:vAlign w:val="center"/>
          </w:tcPr>
          <w:p w14:paraId="28348C2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根据实例规格和个数按月计费</w:t>
            </w:r>
          </w:p>
        </w:tc>
        <w:tc>
          <w:tcPr>
            <w:tcW w:w="2317" w:type="pct"/>
            <w:vAlign w:val="center"/>
          </w:tcPr>
          <w:p w14:paraId="5CA79DE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连接数10000</w:t>
            </w:r>
          </w:p>
        </w:tc>
        <w:tc>
          <w:tcPr>
            <w:tcW w:w="784" w:type="pct"/>
            <w:vAlign w:val="center"/>
          </w:tcPr>
          <w:p w14:paraId="5BD8BA7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76.5</w:t>
            </w:r>
          </w:p>
        </w:tc>
      </w:tr>
      <w:tr w14:paraId="44DD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19A9ED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BEAF7D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075309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连接数10000</w:t>
            </w:r>
          </w:p>
        </w:tc>
        <w:tc>
          <w:tcPr>
            <w:tcW w:w="784" w:type="pct"/>
            <w:vAlign w:val="center"/>
          </w:tcPr>
          <w:p w14:paraId="7EE337B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137.7</w:t>
            </w:r>
          </w:p>
        </w:tc>
      </w:tr>
      <w:tr w14:paraId="2EF0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F6DC50D">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FEC202F">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D7C9AF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连接数10000</w:t>
            </w:r>
          </w:p>
        </w:tc>
        <w:tc>
          <w:tcPr>
            <w:tcW w:w="784" w:type="pct"/>
            <w:vAlign w:val="center"/>
          </w:tcPr>
          <w:p w14:paraId="24B7F13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260.1</w:t>
            </w:r>
          </w:p>
        </w:tc>
      </w:tr>
      <w:tr w14:paraId="74A5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6EA6A74">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0DB92DE0">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F59CE8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8G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连接数10000</w:t>
            </w:r>
          </w:p>
        </w:tc>
        <w:tc>
          <w:tcPr>
            <w:tcW w:w="784" w:type="pct"/>
            <w:vAlign w:val="center"/>
          </w:tcPr>
          <w:p w14:paraId="18BF0E8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504.9</w:t>
            </w:r>
          </w:p>
        </w:tc>
      </w:tr>
      <w:tr w14:paraId="0EDC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0AD7BF08">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FB13878">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8E07A3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16G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连接数10000</w:t>
            </w:r>
          </w:p>
        </w:tc>
        <w:tc>
          <w:tcPr>
            <w:tcW w:w="784" w:type="pct"/>
            <w:vAlign w:val="center"/>
          </w:tcPr>
          <w:p w14:paraId="4AD6ED8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994.5</w:t>
            </w:r>
          </w:p>
        </w:tc>
      </w:tr>
      <w:tr w14:paraId="1DAF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2ACA41D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6FDE251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953654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32G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连接数10000</w:t>
            </w:r>
          </w:p>
        </w:tc>
        <w:tc>
          <w:tcPr>
            <w:tcW w:w="784" w:type="pct"/>
            <w:vAlign w:val="center"/>
          </w:tcPr>
          <w:p w14:paraId="6179CA4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1973.7</w:t>
            </w:r>
          </w:p>
        </w:tc>
      </w:tr>
      <w:tr w14:paraId="6852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520B30D7">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84A8CEC">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83D851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主从高配版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 20000</w:t>
            </w:r>
          </w:p>
        </w:tc>
        <w:tc>
          <w:tcPr>
            <w:tcW w:w="784" w:type="pct"/>
            <w:vAlign w:val="center"/>
          </w:tcPr>
          <w:p w14:paraId="6CED29E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382.5</w:t>
            </w:r>
          </w:p>
        </w:tc>
      </w:tr>
      <w:tr w14:paraId="590A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31F60F9D">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681D7FF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E0BC3A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主从高配版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 20000</w:t>
            </w:r>
          </w:p>
        </w:tc>
        <w:tc>
          <w:tcPr>
            <w:tcW w:w="784" w:type="pct"/>
            <w:vAlign w:val="center"/>
          </w:tcPr>
          <w:p w14:paraId="4C7B24B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459</w:t>
            </w:r>
          </w:p>
        </w:tc>
      </w:tr>
      <w:tr w14:paraId="07ED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00FF8B2E">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4D02EA4">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36BC83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规格9</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主从高配版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 20000</w:t>
            </w:r>
          </w:p>
        </w:tc>
        <w:tc>
          <w:tcPr>
            <w:tcW w:w="784" w:type="pct"/>
            <w:vAlign w:val="center"/>
          </w:tcPr>
          <w:p w14:paraId="647DE25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612</w:t>
            </w:r>
          </w:p>
        </w:tc>
      </w:tr>
      <w:tr w14:paraId="1F3D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31DFE6B1">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C0306C1">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240972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规格10</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主从高配版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8G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 20000</w:t>
            </w:r>
          </w:p>
        </w:tc>
        <w:tc>
          <w:tcPr>
            <w:tcW w:w="784" w:type="pct"/>
            <w:vAlign w:val="center"/>
          </w:tcPr>
          <w:p w14:paraId="5D5F989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918</w:t>
            </w:r>
          </w:p>
        </w:tc>
      </w:tr>
      <w:tr w14:paraId="05DE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6A2E770D">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B76F55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62689C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规格11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标准版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主从高配版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16G</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连接数 20000</w:t>
            </w:r>
          </w:p>
        </w:tc>
        <w:tc>
          <w:tcPr>
            <w:tcW w:w="784" w:type="pct"/>
            <w:vAlign w:val="center"/>
          </w:tcPr>
          <w:p w14:paraId="75F2AAE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1530</w:t>
            </w:r>
          </w:p>
        </w:tc>
      </w:tr>
      <w:tr w14:paraId="7E41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Align w:val="center"/>
          </w:tcPr>
          <w:p w14:paraId="365D083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对象存储</w:t>
            </w:r>
          </w:p>
        </w:tc>
        <w:tc>
          <w:tcPr>
            <w:tcW w:w="995" w:type="pct"/>
            <w:vAlign w:val="center"/>
          </w:tcPr>
          <w:p w14:paraId="7C0E00A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根据开通的存储容量按月计费</w:t>
            </w:r>
          </w:p>
        </w:tc>
        <w:tc>
          <w:tcPr>
            <w:tcW w:w="2317" w:type="pct"/>
            <w:vAlign w:val="center"/>
          </w:tcPr>
          <w:p w14:paraId="37CBCF2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303CD5D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0.05</w:t>
            </w:r>
          </w:p>
        </w:tc>
      </w:tr>
      <w:tr w14:paraId="112A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Align w:val="center"/>
          </w:tcPr>
          <w:p w14:paraId="75D572C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文件存储</w:t>
            </w:r>
          </w:p>
        </w:tc>
        <w:tc>
          <w:tcPr>
            <w:tcW w:w="995" w:type="pct"/>
            <w:vAlign w:val="center"/>
          </w:tcPr>
          <w:p w14:paraId="1D34D96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根据开通的存储容量按月计费</w:t>
            </w:r>
          </w:p>
        </w:tc>
        <w:tc>
          <w:tcPr>
            <w:tcW w:w="2317" w:type="pct"/>
            <w:vAlign w:val="center"/>
          </w:tcPr>
          <w:p w14:paraId="11DE051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51EBF62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0.167</w:t>
            </w:r>
          </w:p>
        </w:tc>
      </w:tr>
      <w:tr w14:paraId="3163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753D971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表格存储</w:t>
            </w:r>
          </w:p>
        </w:tc>
        <w:tc>
          <w:tcPr>
            <w:tcW w:w="995" w:type="pct"/>
            <w:vMerge w:val="restart"/>
            <w:vAlign w:val="center"/>
          </w:tcPr>
          <w:p w14:paraId="4502C7F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性能型实例：根据开通的存储容量+预留CU数量计费</w:t>
            </w:r>
          </w:p>
        </w:tc>
        <w:tc>
          <w:tcPr>
            <w:tcW w:w="2317" w:type="pct"/>
            <w:vAlign w:val="center"/>
          </w:tcPr>
          <w:p w14:paraId="3DC623B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25A55D6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0.186</w:t>
            </w:r>
          </w:p>
        </w:tc>
      </w:tr>
      <w:tr w14:paraId="2451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E180F70">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D446E6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BA3004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VCU</w:t>
            </w:r>
          </w:p>
        </w:tc>
        <w:tc>
          <w:tcPr>
            <w:tcW w:w="784" w:type="pct"/>
            <w:vAlign w:val="center"/>
          </w:tcPr>
          <w:p w14:paraId="6606FA7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372.562</w:t>
            </w:r>
          </w:p>
        </w:tc>
      </w:tr>
      <w:tr w14:paraId="5C5B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9DCB395">
            <w:pPr>
              <w:widowControl/>
              <w:spacing w:line="360" w:lineRule="auto"/>
              <w:jc w:val="center"/>
              <w:rPr>
                <w:rFonts w:hint="eastAsia" w:ascii="宋体" w:hAnsi="宋体" w:eastAsia="宋体" w:cs="宋体"/>
                <w:color w:val="auto"/>
                <w:kern w:val="0"/>
                <w:sz w:val="21"/>
                <w:szCs w:val="21"/>
                <w:highlight w:val="none"/>
              </w:rPr>
            </w:pPr>
          </w:p>
        </w:tc>
        <w:tc>
          <w:tcPr>
            <w:tcW w:w="995" w:type="pct"/>
            <w:vMerge w:val="restart"/>
            <w:vAlign w:val="center"/>
          </w:tcPr>
          <w:p w14:paraId="48E090A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容量型实例：根据开通的存储容量+预留CU数量计费</w:t>
            </w:r>
          </w:p>
        </w:tc>
        <w:tc>
          <w:tcPr>
            <w:tcW w:w="2317" w:type="pct"/>
            <w:vAlign w:val="center"/>
          </w:tcPr>
          <w:p w14:paraId="3D6BE8A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036FC7D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w:t>
            </w:r>
          </w:p>
        </w:tc>
      </w:tr>
      <w:tr w14:paraId="2CCA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0F0BD02">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C49E9A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1A2934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VCU</w:t>
            </w:r>
          </w:p>
        </w:tc>
        <w:tc>
          <w:tcPr>
            <w:tcW w:w="784" w:type="pct"/>
            <w:vAlign w:val="center"/>
          </w:tcPr>
          <w:p w14:paraId="2ABBC5F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440.64</w:t>
            </w:r>
          </w:p>
        </w:tc>
      </w:tr>
      <w:tr w14:paraId="58A2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061AF2F0">
            <w:pPr>
              <w:widowControl/>
              <w:spacing w:line="360" w:lineRule="auto"/>
              <w:jc w:val="center"/>
              <w:rPr>
                <w:rFonts w:hint="eastAsia" w:ascii="宋体" w:hAnsi="宋体" w:eastAsia="宋体" w:cs="宋体"/>
                <w:color w:val="auto"/>
                <w:kern w:val="0"/>
                <w:sz w:val="21"/>
                <w:szCs w:val="21"/>
                <w:highlight w:val="none"/>
              </w:rPr>
            </w:pPr>
          </w:p>
        </w:tc>
        <w:tc>
          <w:tcPr>
            <w:tcW w:w="995" w:type="pct"/>
            <w:vAlign w:val="center"/>
          </w:tcPr>
          <w:p w14:paraId="33A48D0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索引存储：根据开通的存储容量计费</w:t>
            </w:r>
          </w:p>
        </w:tc>
        <w:tc>
          <w:tcPr>
            <w:tcW w:w="2317" w:type="pct"/>
            <w:vAlign w:val="center"/>
          </w:tcPr>
          <w:p w14:paraId="49F2E8D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317B94B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3.83</w:t>
            </w:r>
          </w:p>
        </w:tc>
      </w:tr>
      <w:tr w14:paraId="3419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39E6E4F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大数据计算</w:t>
            </w:r>
          </w:p>
          <w:p w14:paraId="632956C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tc>
        <w:tc>
          <w:tcPr>
            <w:tcW w:w="995" w:type="pct"/>
            <w:vMerge w:val="restart"/>
            <w:vAlign w:val="center"/>
          </w:tcPr>
          <w:p w14:paraId="542283C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根据实例开通的CU数</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10CU起步</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+存储容量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500GB起步</w:t>
            </w:r>
            <w:r>
              <w:rPr>
                <w:rFonts w:hint="eastAsia" w:ascii="宋体" w:hAnsi="宋体" w:eastAsia="宋体" w:cs="宋体"/>
                <w:color w:val="auto"/>
                <w:kern w:val="0"/>
                <w:sz w:val="21"/>
                <w:szCs w:val="21"/>
                <w:highlight w:val="none"/>
                <w:lang w:eastAsia="zh-CN"/>
              </w:rPr>
              <w:t>）</w:t>
            </w:r>
          </w:p>
        </w:tc>
        <w:tc>
          <w:tcPr>
            <w:tcW w:w="2317" w:type="pct"/>
            <w:vAlign w:val="center"/>
          </w:tcPr>
          <w:p w14:paraId="2EA34FB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实例开通CU数：CU</w:t>
            </w:r>
          </w:p>
        </w:tc>
        <w:tc>
          <w:tcPr>
            <w:tcW w:w="784" w:type="pct"/>
            <w:vAlign w:val="center"/>
          </w:tcPr>
          <w:p w14:paraId="05CF0CC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87.661</w:t>
            </w:r>
          </w:p>
        </w:tc>
      </w:tr>
      <w:tr w14:paraId="7255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8AF360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6F0CD14">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FF3CC9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存储容量：GB</w:t>
            </w:r>
          </w:p>
        </w:tc>
        <w:tc>
          <w:tcPr>
            <w:tcW w:w="784" w:type="pct"/>
            <w:vAlign w:val="center"/>
          </w:tcPr>
          <w:p w14:paraId="45A4C3D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0.07</w:t>
            </w:r>
          </w:p>
        </w:tc>
      </w:tr>
      <w:tr w14:paraId="2D6B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72BC3A9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负载均衡</w:t>
            </w:r>
          </w:p>
        </w:tc>
        <w:tc>
          <w:tcPr>
            <w:tcW w:w="995" w:type="pct"/>
            <w:vMerge w:val="restart"/>
            <w:vAlign w:val="center"/>
          </w:tcPr>
          <w:p w14:paraId="6A884D8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计费方式：根据实例个数+规格</w:t>
            </w:r>
          </w:p>
        </w:tc>
        <w:tc>
          <w:tcPr>
            <w:tcW w:w="2317" w:type="pct"/>
            <w:vAlign w:val="center"/>
          </w:tcPr>
          <w:p w14:paraId="030971B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w:t>
            </w:r>
          </w:p>
        </w:tc>
        <w:tc>
          <w:tcPr>
            <w:tcW w:w="784" w:type="pct"/>
            <w:vAlign w:val="center"/>
          </w:tcPr>
          <w:p w14:paraId="1F2A0EF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7.153</w:t>
            </w:r>
          </w:p>
        </w:tc>
      </w:tr>
      <w:tr w14:paraId="488D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FB013B0">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6C961D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9BAF29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性能共享型</w:t>
            </w:r>
          </w:p>
        </w:tc>
        <w:tc>
          <w:tcPr>
            <w:tcW w:w="784" w:type="pct"/>
            <w:vAlign w:val="center"/>
          </w:tcPr>
          <w:p w14:paraId="6EFA6A2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105.445</w:t>
            </w:r>
          </w:p>
        </w:tc>
      </w:tr>
      <w:tr w14:paraId="69D1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Align w:val="center"/>
          </w:tcPr>
          <w:p w14:paraId="1D298C2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专有网络</w:t>
            </w:r>
          </w:p>
        </w:tc>
        <w:tc>
          <w:tcPr>
            <w:tcW w:w="995" w:type="pct"/>
            <w:vAlign w:val="center"/>
          </w:tcPr>
          <w:p w14:paraId="4A643C8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根据专有网络个数按月计费</w:t>
            </w:r>
          </w:p>
        </w:tc>
        <w:tc>
          <w:tcPr>
            <w:tcW w:w="2317" w:type="pct"/>
            <w:vAlign w:val="center"/>
          </w:tcPr>
          <w:p w14:paraId="14754D3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实例</w:t>
            </w:r>
          </w:p>
        </w:tc>
        <w:tc>
          <w:tcPr>
            <w:tcW w:w="784" w:type="pct"/>
            <w:vAlign w:val="center"/>
          </w:tcPr>
          <w:p w14:paraId="3F08D5E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33.66</w:t>
            </w:r>
          </w:p>
        </w:tc>
      </w:tr>
      <w:tr w14:paraId="6045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Align w:val="center"/>
          </w:tcPr>
          <w:p w14:paraId="625519B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实时计算</w:t>
            </w:r>
          </w:p>
        </w:tc>
        <w:tc>
          <w:tcPr>
            <w:tcW w:w="995" w:type="pct"/>
            <w:vAlign w:val="center"/>
          </w:tcPr>
          <w:p w14:paraId="4C3580C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根据实例开通的CU数按月计费</w:t>
            </w:r>
          </w:p>
        </w:tc>
        <w:tc>
          <w:tcPr>
            <w:tcW w:w="2317" w:type="pct"/>
            <w:vAlign w:val="center"/>
          </w:tcPr>
          <w:p w14:paraId="3259002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CU</w:t>
            </w:r>
          </w:p>
        </w:tc>
        <w:tc>
          <w:tcPr>
            <w:tcW w:w="784" w:type="pct"/>
            <w:vAlign w:val="center"/>
          </w:tcPr>
          <w:p w14:paraId="7437DA3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105.194</w:t>
            </w:r>
          </w:p>
        </w:tc>
      </w:tr>
      <w:tr w14:paraId="2781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Align w:val="center"/>
          </w:tcPr>
          <w:p w14:paraId="7C0B763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实时数据分发平台</w:t>
            </w:r>
          </w:p>
        </w:tc>
        <w:tc>
          <w:tcPr>
            <w:tcW w:w="995" w:type="pct"/>
            <w:vAlign w:val="center"/>
          </w:tcPr>
          <w:p w14:paraId="2E20A83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根据shard个数按月收费</w:t>
            </w:r>
          </w:p>
        </w:tc>
        <w:tc>
          <w:tcPr>
            <w:tcW w:w="2317" w:type="pct"/>
            <w:vAlign w:val="center"/>
          </w:tcPr>
          <w:p w14:paraId="1C39278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shard:10个</w:t>
            </w:r>
          </w:p>
        </w:tc>
        <w:tc>
          <w:tcPr>
            <w:tcW w:w="784" w:type="pct"/>
            <w:vAlign w:val="center"/>
          </w:tcPr>
          <w:p w14:paraId="6226BBC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438.307</w:t>
            </w:r>
          </w:p>
        </w:tc>
      </w:tr>
      <w:tr w14:paraId="1388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749D6AB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数据传输服务</w:t>
            </w:r>
          </w:p>
        </w:tc>
        <w:tc>
          <w:tcPr>
            <w:tcW w:w="995" w:type="pct"/>
            <w:vMerge w:val="restart"/>
            <w:vAlign w:val="center"/>
          </w:tcPr>
          <w:p w14:paraId="5B0B3D3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根据实例类型及个数按月计费</w:t>
            </w:r>
          </w:p>
        </w:tc>
        <w:tc>
          <w:tcPr>
            <w:tcW w:w="2317" w:type="pct"/>
            <w:vAlign w:val="center"/>
          </w:tcPr>
          <w:p w14:paraId="4B985C5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数据同步</w:t>
            </w:r>
          </w:p>
        </w:tc>
        <w:tc>
          <w:tcPr>
            <w:tcW w:w="784" w:type="pct"/>
            <w:vAlign w:val="center"/>
          </w:tcPr>
          <w:p w14:paraId="5E3EDA7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628.076</w:t>
            </w:r>
          </w:p>
        </w:tc>
      </w:tr>
      <w:tr w14:paraId="55D6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04FA7E7">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62C187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0122B3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数据不停服迁移</w:t>
            </w:r>
          </w:p>
        </w:tc>
        <w:tc>
          <w:tcPr>
            <w:tcW w:w="784" w:type="pct"/>
            <w:vAlign w:val="center"/>
          </w:tcPr>
          <w:p w14:paraId="09FDC49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755.089</w:t>
            </w:r>
          </w:p>
        </w:tc>
      </w:tr>
      <w:tr w14:paraId="43AD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71CE384">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C422DC0">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7A1A75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数据订阅</w:t>
            </w:r>
          </w:p>
        </w:tc>
        <w:tc>
          <w:tcPr>
            <w:tcW w:w="784" w:type="pct"/>
            <w:vAlign w:val="center"/>
          </w:tcPr>
          <w:p w14:paraId="02514E3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380.012</w:t>
            </w:r>
          </w:p>
        </w:tc>
      </w:tr>
      <w:tr w14:paraId="2B3D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528048F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企业级分布式应用服务</w:t>
            </w:r>
          </w:p>
        </w:tc>
        <w:tc>
          <w:tcPr>
            <w:tcW w:w="995" w:type="pct"/>
            <w:vMerge w:val="restart"/>
            <w:vAlign w:val="center"/>
          </w:tcPr>
          <w:p w14:paraId="3159576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根据每个应用部署的vCPU数按月计费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仅包括服务管理费用，不包含资源费用</w:t>
            </w:r>
            <w:r>
              <w:rPr>
                <w:rFonts w:hint="eastAsia" w:ascii="宋体" w:hAnsi="宋体" w:eastAsia="宋体" w:cs="宋体"/>
                <w:color w:val="auto"/>
                <w:kern w:val="0"/>
                <w:sz w:val="21"/>
                <w:szCs w:val="21"/>
                <w:highlight w:val="none"/>
                <w:lang w:eastAsia="zh-CN"/>
              </w:rPr>
              <w:t>）</w:t>
            </w:r>
          </w:p>
        </w:tc>
        <w:tc>
          <w:tcPr>
            <w:tcW w:w="2317" w:type="pct"/>
            <w:vAlign w:val="center"/>
          </w:tcPr>
          <w:p w14:paraId="026FCA2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租户使用10vCPU内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含</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每vCPU</w:t>
            </w:r>
          </w:p>
        </w:tc>
        <w:tc>
          <w:tcPr>
            <w:tcW w:w="784" w:type="pct"/>
            <w:vAlign w:val="center"/>
          </w:tcPr>
          <w:p w14:paraId="1131C7C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105.194</w:t>
            </w:r>
          </w:p>
        </w:tc>
      </w:tr>
      <w:tr w14:paraId="7B8C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98C6E67">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2468B8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DB9ACC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租户使用11-100vCPU内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含以内</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每vCPU</w:t>
            </w:r>
          </w:p>
        </w:tc>
        <w:tc>
          <w:tcPr>
            <w:tcW w:w="784" w:type="pct"/>
            <w:vAlign w:val="center"/>
          </w:tcPr>
          <w:p w14:paraId="3AD5AC9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99.346</w:t>
            </w:r>
          </w:p>
        </w:tc>
      </w:tr>
      <w:tr w14:paraId="381C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5EB978A">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63EABCE6">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992F0C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租户使用超出100vCPU部分每vCPU</w:t>
            </w:r>
          </w:p>
        </w:tc>
        <w:tc>
          <w:tcPr>
            <w:tcW w:w="784" w:type="pct"/>
            <w:vAlign w:val="center"/>
          </w:tcPr>
          <w:p w14:paraId="6FEED6B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84.736</w:t>
            </w:r>
          </w:p>
        </w:tc>
      </w:tr>
      <w:tr w14:paraId="4373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40619EB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大数据开发</w:t>
            </w:r>
          </w:p>
          <w:p w14:paraId="63A552B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治理平台</w:t>
            </w:r>
          </w:p>
        </w:tc>
        <w:tc>
          <w:tcPr>
            <w:tcW w:w="995" w:type="pct"/>
            <w:vAlign w:val="center"/>
          </w:tcPr>
          <w:p w14:paraId="2327D66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标准版</w:t>
            </w:r>
          </w:p>
        </w:tc>
        <w:tc>
          <w:tcPr>
            <w:tcW w:w="2317" w:type="pct"/>
            <w:vAlign w:val="center"/>
          </w:tcPr>
          <w:p w14:paraId="0E38030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784" w:type="pct"/>
            <w:vAlign w:val="center"/>
          </w:tcPr>
          <w:p w14:paraId="45E6E7B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1461.024</w:t>
            </w:r>
          </w:p>
        </w:tc>
      </w:tr>
      <w:tr w14:paraId="08C2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6A3E36E">
            <w:pPr>
              <w:widowControl/>
              <w:spacing w:line="360" w:lineRule="auto"/>
              <w:jc w:val="center"/>
              <w:rPr>
                <w:rFonts w:hint="eastAsia" w:ascii="宋体" w:hAnsi="宋体" w:eastAsia="宋体" w:cs="宋体"/>
                <w:color w:val="auto"/>
                <w:kern w:val="0"/>
                <w:sz w:val="21"/>
                <w:szCs w:val="21"/>
                <w:highlight w:val="none"/>
              </w:rPr>
            </w:pPr>
          </w:p>
        </w:tc>
        <w:tc>
          <w:tcPr>
            <w:tcW w:w="995" w:type="pct"/>
            <w:vAlign w:val="center"/>
          </w:tcPr>
          <w:p w14:paraId="072E4ED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企业版</w:t>
            </w:r>
          </w:p>
        </w:tc>
        <w:tc>
          <w:tcPr>
            <w:tcW w:w="2317" w:type="pct"/>
            <w:vAlign w:val="center"/>
          </w:tcPr>
          <w:p w14:paraId="60FF53F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784" w:type="pct"/>
            <w:vAlign w:val="center"/>
          </w:tcPr>
          <w:p w14:paraId="79A4784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11688.192</w:t>
            </w:r>
          </w:p>
        </w:tc>
      </w:tr>
      <w:tr w14:paraId="6104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B024534">
            <w:pPr>
              <w:widowControl/>
              <w:spacing w:line="360" w:lineRule="auto"/>
              <w:jc w:val="center"/>
              <w:rPr>
                <w:rFonts w:hint="eastAsia" w:ascii="宋体" w:hAnsi="宋体" w:eastAsia="宋体" w:cs="宋体"/>
                <w:color w:val="auto"/>
                <w:kern w:val="0"/>
                <w:sz w:val="21"/>
                <w:szCs w:val="21"/>
                <w:highlight w:val="none"/>
              </w:rPr>
            </w:pPr>
          </w:p>
        </w:tc>
        <w:tc>
          <w:tcPr>
            <w:tcW w:w="995" w:type="pct"/>
            <w:vMerge w:val="restart"/>
            <w:vAlign w:val="center"/>
          </w:tcPr>
          <w:p w14:paraId="080EC76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公共调度资源组</w:t>
            </w:r>
          </w:p>
        </w:tc>
        <w:tc>
          <w:tcPr>
            <w:tcW w:w="2317" w:type="pct"/>
            <w:vAlign w:val="center"/>
          </w:tcPr>
          <w:p w14:paraId="0594DD1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500调度任务数</w:t>
            </w:r>
          </w:p>
        </w:tc>
        <w:tc>
          <w:tcPr>
            <w:tcW w:w="784" w:type="pct"/>
            <w:vAlign w:val="center"/>
          </w:tcPr>
          <w:p w14:paraId="6665748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701.292</w:t>
            </w:r>
          </w:p>
        </w:tc>
      </w:tr>
      <w:tr w14:paraId="7E7E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6790E8F">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76F9984">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2E2E47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1000调度任务数</w:t>
            </w:r>
          </w:p>
        </w:tc>
        <w:tc>
          <w:tcPr>
            <w:tcW w:w="784" w:type="pct"/>
            <w:vAlign w:val="center"/>
          </w:tcPr>
          <w:p w14:paraId="6A73441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1168.819</w:t>
            </w:r>
          </w:p>
        </w:tc>
      </w:tr>
      <w:tr w14:paraId="1482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EF23E18">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5C19C9F">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1C5794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2000调度任务数</w:t>
            </w:r>
          </w:p>
        </w:tc>
        <w:tc>
          <w:tcPr>
            <w:tcW w:w="784" w:type="pct"/>
            <w:vAlign w:val="center"/>
          </w:tcPr>
          <w:p w14:paraId="153841F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1753.229</w:t>
            </w:r>
          </w:p>
        </w:tc>
      </w:tr>
      <w:tr w14:paraId="6D09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69F92F4">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6A3C0C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E99DAC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5000调度任务数</w:t>
            </w:r>
          </w:p>
        </w:tc>
        <w:tc>
          <w:tcPr>
            <w:tcW w:w="784" w:type="pct"/>
            <w:vAlign w:val="center"/>
          </w:tcPr>
          <w:p w14:paraId="62B927C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5259.686</w:t>
            </w:r>
          </w:p>
        </w:tc>
      </w:tr>
      <w:tr w14:paraId="0C41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C7D35C0">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0514ACB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42B3DD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20000调度任务数</w:t>
            </w:r>
          </w:p>
        </w:tc>
        <w:tc>
          <w:tcPr>
            <w:tcW w:w="784" w:type="pct"/>
            <w:vAlign w:val="center"/>
          </w:tcPr>
          <w:p w14:paraId="2DC0674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18701.107</w:t>
            </w:r>
          </w:p>
        </w:tc>
      </w:tr>
      <w:tr w14:paraId="7BED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515C3A1">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71DAEE97">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C24750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50000调度任务数</w:t>
            </w:r>
          </w:p>
        </w:tc>
        <w:tc>
          <w:tcPr>
            <w:tcW w:w="784" w:type="pct"/>
            <w:vAlign w:val="center"/>
          </w:tcPr>
          <w:p w14:paraId="3EAED86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37402.214</w:t>
            </w:r>
          </w:p>
        </w:tc>
      </w:tr>
      <w:tr w14:paraId="258F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3C27686">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063A3711">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C5EC05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120000调度任务数</w:t>
            </w:r>
          </w:p>
        </w:tc>
        <w:tc>
          <w:tcPr>
            <w:tcW w:w="784" w:type="pct"/>
            <w:vAlign w:val="center"/>
          </w:tcPr>
          <w:p w14:paraId="1C2EF8D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87661.44</w:t>
            </w:r>
          </w:p>
        </w:tc>
      </w:tr>
      <w:tr w14:paraId="30CA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76F9279">
            <w:pPr>
              <w:widowControl/>
              <w:spacing w:line="360" w:lineRule="auto"/>
              <w:jc w:val="center"/>
              <w:rPr>
                <w:rFonts w:hint="eastAsia" w:ascii="宋体" w:hAnsi="宋体" w:eastAsia="宋体" w:cs="宋体"/>
                <w:color w:val="auto"/>
                <w:kern w:val="0"/>
                <w:sz w:val="21"/>
                <w:szCs w:val="21"/>
                <w:highlight w:val="none"/>
              </w:rPr>
            </w:pPr>
          </w:p>
        </w:tc>
        <w:tc>
          <w:tcPr>
            <w:tcW w:w="995" w:type="pct"/>
            <w:vMerge w:val="restart"/>
            <w:vAlign w:val="center"/>
          </w:tcPr>
          <w:p w14:paraId="69B38C2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公共数据集成资源组</w:t>
            </w:r>
          </w:p>
        </w:tc>
        <w:tc>
          <w:tcPr>
            <w:tcW w:w="2317" w:type="pct"/>
            <w:vAlign w:val="center"/>
          </w:tcPr>
          <w:p w14:paraId="52C35F1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500调度任务数</w:t>
            </w:r>
          </w:p>
        </w:tc>
        <w:tc>
          <w:tcPr>
            <w:tcW w:w="784" w:type="pct"/>
            <w:vAlign w:val="center"/>
          </w:tcPr>
          <w:p w14:paraId="2F2DC11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701.292</w:t>
            </w:r>
          </w:p>
        </w:tc>
      </w:tr>
      <w:tr w14:paraId="14A1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41D3652">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18F10B6">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576FE3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1000调度任务数</w:t>
            </w:r>
          </w:p>
        </w:tc>
        <w:tc>
          <w:tcPr>
            <w:tcW w:w="784" w:type="pct"/>
            <w:vAlign w:val="center"/>
          </w:tcPr>
          <w:p w14:paraId="7FCB8A8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1168.819</w:t>
            </w:r>
          </w:p>
        </w:tc>
      </w:tr>
      <w:tr w14:paraId="4E69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547C763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2FAEF00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E88A0D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2000调度任务数</w:t>
            </w:r>
          </w:p>
        </w:tc>
        <w:tc>
          <w:tcPr>
            <w:tcW w:w="784" w:type="pct"/>
            <w:vAlign w:val="center"/>
          </w:tcPr>
          <w:p w14:paraId="7D142F2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1753.229</w:t>
            </w:r>
          </w:p>
        </w:tc>
      </w:tr>
      <w:tr w14:paraId="757D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B2FF3D3">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03EC1F7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1F3279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5000调度任务数</w:t>
            </w:r>
          </w:p>
        </w:tc>
        <w:tc>
          <w:tcPr>
            <w:tcW w:w="784" w:type="pct"/>
            <w:vAlign w:val="center"/>
          </w:tcPr>
          <w:p w14:paraId="6AE25BD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5259.686</w:t>
            </w:r>
          </w:p>
        </w:tc>
      </w:tr>
      <w:tr w14:paraId="6FC8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E25AE83">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0BE5911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25F024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20000调度任务数</w:t>
            </w:r>
          </w:p>
        </w:tc>
        <w:tc>
          <w:tcPr>
            <w:tcW w:w="784" w:type="pct"/>
            <w:vAlign w:val="center"/>
          </w:tcPr>
          <w:p w14:paraId="5AB39E8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18701.107</w:t>
            </w:r>
          </w:p>
        </w:tc>
      </w:tr>
      <w:tr w14:paraId="6E67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AACC175">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3D618B7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593415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50000调度任务数</w:t>
            </w:r>
          </w:p>
        </w:tc>
        <w:tc>
          <w:tcPr>
            <w:tcW w:w="784" w:type="pct"/>
            <w:vAlign w:val="center"/>
          </w:tcPr>
          <w:p w14:paraId="5926CCA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37402.214</w:t>
            </w:r>
          </w:p>
        </w:tc>
      </w:tr>
      <w:tr w14:paraId="6AF5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C5A111C">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65AF70B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06A75C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120000调度任务数</w:t>
            </w:r>
          </w:p>
        </w:tc>
        <w:tc>
          <w:tcPr>
            <w:tcW w:w="784" w:type="pct"/>
            <w:vAlign w:val="center"/>
          </w:tcPr>
          <w:p w14:paraId="25AB9AA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87661.44</w:t>
            </w:r>
          </w:p>
        </w:tc>
      </w:tr>
      <w:tr w14:paraId="755F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1AF1089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GPU云服务器</w:t>
            </w:r>
          </w:p>
        </w:tc>
        <w:tc>
          <w:tcPr>
            <w:tcW w:w="995" w:type="pct"/>
            <w:vMerge w:val="restart"/>
            <w:vAlign w:val="center"/>
          </w:tcPr>
          <w:p w14:paraId="2EFCDF9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根据规格及数量按月计费</w:t>
            </w:r>
          </w:p>
        </w:tc>
        <w:tc>
          <w:tcPr>
            <w:tcW w:w="2317" w:type="pct"/>
            <w:vAlign w:val="center"/>
          </w:tcPr>
          <w:p w14:paraId="65C44EA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4核15G,1*NVIDIA T4</w:t>
            </w:r>
          </w:p>
        </w:tc>
        <w:tc>
          <w:tcPr>
            <w:tcW w:w="784" w:type="pct"/>
            <w:vAlign w:val="center"/>
          </w:tcPr>
          <w:p w14:paraId="29A4F8F7">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1039.446</w:t>
            </w:r>
          </w:p>
        </w:tc>
      </w:tr>
      <w:tr w14:paraId="02B2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78EB235">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ECD6980">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25A1BD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8核31G,1*NVIDIA T4</w:t>
            </w:r>
          </w:p>
        </w:tc>
        <w:tc>
          <w:tcPr>
            <w:tcW w:w="784" w:type="pct"/>
            <w:vAlign w:val="center"/>
          </w:tcPr>
          <w:p w14:paraId="685E224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1251.806</w:t>
            </w:r>
          </w:p>
        </w:tc>
      </w:tr>
      <w:tr w14:paraId="2626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1970B0E">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24FAED3">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875BCB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16核62G,1*NVIDIA T4</w:t>
            </w:r>
          </w:p>
        </w:tc>
        <w:tc>
          <w:tcPr>
            <w:tcW w:w="784" w:type="pct"/>
            <w:vAlign w:val="center"/>
          </w:tcPr>
          <w:p w14:paraId="59E7451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1466.96</w:t>
            </w:r>
          </w:p>
        </w:tc>
      </w:tr>
      <w:tr w14:paraId="2F81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BF97845">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4C2FF36E">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428B3F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24核93G,1*NVIDIA T4</w:t>
            </w:r>
          </w:p>
        </w:tc>
        <w:tc>
          <w:tcPr>
            <w:tcW w:w="784" w:type="pct"/>
            <w:vAlign w:val="center"/>
          </w:tcPr>
          <w:p w14:paraId="0691C08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1536.815</w:t>
            </w:r>
          </w:p>
        </w:tc>
      </w:tr>
      <w:tr w14:paraId="2ABA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02287BB">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0287B82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C2E823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48核186G,2*NVIDIA T4</w:t>
            </w:r>
          </w:p>
        </w:tc>
        <w:tc>
          <w:tcPr>
            <w:tcW w:w="784" w:type="pct"/>
            <w:vAlign w:val="center"/>
          </w:tcPr>
          <w:p w14:paraId="337A7AA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3073.629</w:t>
            </w:r>
          </w:p>
        </w:tc>
      </w:tr>
      <w:tr w14:paraId="5B0E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Align w:val="center"/>
          </w:tcPr>
          <w:p w14:paraId="34E3DAD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API网关</w:t>
            </w:r>
          </w:p>
        </w:tc>
        <w:tc>
          <w:tcPr>
            <w:tcW w:w="995" w:type="pct"/>
            <w:vAlign w:val="center"/>
          </w:tcPr>
          <w:p w14:paraId="7782116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根据配置规格计费</w:t>
            </w:r>
          </w:p>
        </w:tc>
        <w:tc>
          <w:tcPr>
            <w:tcW w:w="2317" w:type="pct"/>
            <w:vAlign w:val="center"/>
          </w:tcPr>
          <w:p w14:paraId="5279F68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10000 RPS</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每套</w:t>
            </w:r>
          </w:p>
        </w:tc>
        <w:tc>
          <w:tcPr>
            <w:tcW w:w="784" w:type="pct"/>
            <w:vAlign w:val="center"/>
          </w:tcPr>
          <w:p w14:paraId="7F3D23D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16714.115</w:t>
            </w:r>
          </w:p>
        </w:tc>
      </w:tr>
      <w:tr w14:paraId="77FA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Align w:val="center"/>
          </w:tcPr>
          <w:p w14:paraId="40AB28F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日志服务</w:t>
            </w:r>
          </w:p>
        </w:tc>
        <w:tc>
          <w:tcPr>
            <w:tcW w:w="995" w:type="pct"/>
            <w:vAlign w:val="center"/>
          </w:tcPr>
          <w:p w14:paraId="325F8F7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根据实例的存储 容量按月计费</w:t>
            </w:r>
          </w:p>
        </w:tc>
        <w:tc>
          <w:tcPr>
            <w:tcW w:w="2317" w:type="pct"/>
            <w:vAlign w:val="center"/>
          </w:tcPr>
          <w:p w14:paraId="4C78FDF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GB</w:t>
            </w:r>
          </w:p>
        </w:tc>
        <w:tc>
          <w:tcPr>
            <w:tcW w:w="784" w:type="pct"/>
            <w:vAlign w:val="center"/>
          </w:tcPr>
          <w:p w14:paraId="13B77A8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0.162</w:t>
            </w:r>
          </w:p>
        </w:tc>
      </w:tr>
      <w:tr w14:paraId="36E9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6351B81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消息队列</w:t>
            </w:r>
          </w:p>
        </w:tc>
        <w:tc>
          <w:tcPr>
            <w:tcW w:w="995" w:type="pct"/>
            <w:vMerge w:val="restart"/>
            <w:vAlign w:val="center"/>
          </w:tcPr>
          <w:p w14:paraId="3EA7AE3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根据实例Topic 数量+消息发送 TPS+消息订阅 TPS按月计费</w:t>
            </w:r>
          </w:p>
        </w:tc>
        <w:tc>
          <w:tcPr>
            <w:tcW w:w="2317" w:type="pct"/>
            <w:vAlign w:val="center"/>
          </w:tcPr>
          <w:p w14:paraId="5F48D43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Topic基础包：10个</w:t>
            </w:r>
          </w:p>
        </w:tc>
        <w:tc>
          <w:tcPr>
            <w:tcW w:w="784" w:type="pct"/>
            <w:vAlign w:val="center"/>
          </w:tcPr>
          <w:p w14:paraId="0277C9D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233.764</w:t>
            </w:r>
          </w:p>
        </w:tc>
      </w:tr>
      <w:tr w14:paraId="42CE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BEE58EB">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CA02F4C">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369894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消息发送基础包：1000TPS</w:t>
            </w:r>
          </w:p>
        </w:tc>
        <w:tc>
          <w:tcPr>
            <w:tcW w:w="784" w:type="pct"/>
            <w:vAlign w:val="center"/>
          </w:tcPr>
          <w:p w14:paraId="4980CBF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1423.297</w:t>
            </w:r>
          </w:p>
        </w:tc>
      </w:tr>
      <w:tr w14:paraId="55E7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7F032F9">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6A3B3BA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B145D6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消息发送扩展包：500TPS</w:t>
            </w:r>
          </w:p>
        </w:tc>
        <w:tc>
          <w:tcPr>
            <w:tcW w:w="784" w:type="pct"/>
            <w:vAlign w:val="center"/>
          </w:tcPr>
          <w:p w14:paraId="10E769F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711.64</w:t>
            </w:r>
          </w:p>
        </w:tc>
      </w:tr>
      <w:tr w14:paraId="5AC3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DD27EFD">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1AB33B9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181881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消息订阅基础包：500TPS</w:t>
            </w:r>
          </w:p>
        </w:tc>
        <w:tc>
          <w:tcPr>
            <w:tcW w:w="784" w:type="pct"/>
            <w:vAlign w:val="center"/>
          </w:tcPr>
          <w:p w14:paraId="7923BB4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711.64</w:t>
            </w:r>
          </w:p>
        </w:tc>
      </w:tr>
      <w:tr w14:paraId="66C4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60D6D038">
            <w:pPr>
              <w:widowControl/>
              <w:spacing w:line="360" w:lineRule="auto"/>
              <w:jc w:val="center"/>
              <w:rPr>
                <w:rFonts w:hint="eastAsia" w:ascii="宋体" w:hAnsi="宋体" w:eastAsia="宋体" w:cs="宋体"/>
                <w:color w:val="auto"/>
                <w:kern w:val="0"/>
                <w:sz w:val="21"/>
                <w:szCs w:val="21"/>
                <w:highlight w:val="none"/>
              </w:rPr>
            </w:pPr>
          </w:p>
        </w:tc>
        <w:tc>
          <w:tcPr>
            <w:tcW w:w="995" w:type="pct"/>
            <w:vMerge w:val="continue"/>
            <w:vAlign w:val="center"/>
          </w:tcPr>
          <w:p w14:paraId="550CFF67">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2FBB90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消息订阅扩展包：500TPS</w:t>
            </w:r>
          </w:p>
        </w:tc>
        <w:tc>
          <w:tcPr>
            <w:tcW w:w="784" w:type="pct"/>
            <w:vAlign w:val="center"/>
          </w:tcPr>
          <w:p w14:paraId="1B04367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711.64</w:t>
            </w:r>
          </w:p>
        </w:tc>
      </w:tr>
      <w:tr w14:paraId="1607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restart"/>
            <w:vAlign w:val="center"/>
          </w:tcPr>
          <w:p w14:paraId="703A921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搜索服务</w:t>
            </w:r>
          </w:p>
        </w:tc>
        <w:tc>
          <w:tcPr>
            <w:tcW w:w="995" w:type="pct"/>
            <w:vMerge w:val="restart"/>
            <w:vAlign w:val="center"/>
          </w:tcPr>
          <w:p w14:paraId="1F4952A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根据数据节点规格及数量+专有主节点规格及数量+协调节点规格及 数量+存储类型及空间、按月计费</w:t>
            </w:r>
          </w:p>
        </w:tc>
        <w:tc>
          <w:tcPr>
            <w:tcW w:w="2317" w:type="pct"/>
            <w:vAlign w:val="center"/>
          </w:tcPr>
          <w:p w14:paraId="764E763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数据节点实例规格：4核16G</w:t>
            </w:r>
          </w:p>
        </w:tc>
        <w:tc>
          <w:tcPr>
            <w:tcW w:w="784" w:type="pct"/>
            <w:vAlign w:val="center"/>
          </w:tcPr>
          <w:p w14:paraId="60B9D4E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456.424</w:t>
            </w:r>
          </w:p>
        </w:tc>
      </w:tr>
      <w:tr w14:paraId="6828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12AD0168">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148661C3">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7983F2D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数据节点实例规格：8核32G</w:t>
            </w:r>
          </w:p>
        </w:tc>
        <w:tc>
          <w:tcPr>
            <w:tcW w:w="784" w:type="pct"/>
            <w:vAlign w:val="center"/>
          </w:tcPr>
          <w:p w14:paraId="6C7F895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884.797</w:t>
            </w:r>
          </w:p>
        </w:tc>
      </w:tr>
      <w:tr w14:paraId="158E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CB5E318">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74BEE721">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5C205E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数据节点实例规格：16核32G</w:t>
            </w:r>
          </w:p>
        </w:tc>
        <w:tc>
          <w:tcPr>
            <w:tcW w:w="784" w:type="pct"/>
            <w:vAlign w:val="center"/>
          </w:tcPr>
          <w:p w14:paraId="4BC5F44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1158.914</w:t>
            </w:r>
          </w:p>
        </w:tc>
      </w:tr>
      <w:tr w14:paraId="1159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602FF12">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1ACD298F">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1D83A7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数据节点实例规格：16核64G</w:t>
            </w:r>
          </w:p>
        </w:tc>
        <w:tc>
          <w:tcPr>
            <w:tcW w:w="784" w:type="pct"/>
            <w:vAlign w:val="center"/>
          </w:tcPr>
          <w:p w14:paraId="2366CB4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1700.369</w:t>
            </w:r>
          </w:p>
        </w:tc>
      </w:tr>
      <w:tr w14:paraId="7921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ACBE6E9">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004D6009">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8E2E5F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数据节点实例规格：8核32G,894G SSD</w:t>
            </w:r>
          </w:p>
        </w:tc>
        <w:tc>
          <w:tcPr>
            <w:tcW w:w="784" w:type="pct"/>
            <w:vAlign w:val="center"/>
          </w:tcPr>
          <w:p w14:paraId="79001E6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1191.612</w:t>
            </w:r>
          </w:p>
        </w:tc>
      </w:tr>
      <w:tr w14:paraId="4DED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6E9F3EBF">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2F45BCF7">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97A5A69">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数据节点实例规格：16核64G,1788G SSD</w:t>
            </w:r>
          </w:p>
        </w:tc>
        <w:tc>
          <w:tcPr>
            <w:tcW w:w="784" w:type="pct"/>
            <w:vAlign w:val="center"/>
          </w:tcPr>
          <w:p w14:paraId="0ED7ED4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2355.171</w:t>
            </w:r>
          </w:p>
        </w:tc>
      </w:tr>
      <w:tr w14:paraId="283F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54CB46A6">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706B46B2">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5977F00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数据节点实例规格：8核32G,22000G SATA</w:t>
            </w:r>
          </w:p>
        </w:tc>
        <w:tc>
          <w:tcPr>
            <w:tcW w:w="784" w:type="pct"/>
            <w:vAlign w:val="center"/>
          </w:tcPr>
          <w:p w14:paraId="3771480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1259.753</w:t>
            </w:r>
          </w:p>
        </w:tc>
      </w:tr>
      <w:tr w14:paraId="55C3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6C57EDFD">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5C059EE6">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C9FFC0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数据节点实例规格：16核64G,44000SATA</w:t>
            </w:r>
          </w:p>
        </w:tc>
        <w:tc>
          <w:tcPr>
            <w:tcW w:w="784" w:type="pct"/>
            <w:vAlign w:val="center"/>
          </w:tcPr>
          <w:p w14:paraId="10C6545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2427.608</w:t>
            </w:r>
          </w:p>
        </w:tc>
      </w:tr>
      <w:tr w14:paraId="0FF2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3C82E862">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2FA2FD03">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2B38AD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DedicatedMaster</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专有主节点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规格：4核 16G</w:t>
            </w:r>
          </w:p>
        </w:tc>
        <w:tc>
          <w:tcPr>
            <w:tcW w:w="784" w:type="pct"/>
            <w:vAlign w:val="center"/>
          </w:tcPr>
          <w:p w14:paraId="0EE4E32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1369.27</w:t>
            </w:r>
          </w:p>
        </w:tc>
      </w:tr>
      <w:tr w14:paraId="7AD8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448033A0">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0548E868">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CCB159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DedicatedMaster</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专有主节点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规格：8核 32G</w:t>
            </w:r>
          </w:p>
        </w:tc>
        <w:tc>
          <w:tcPr>
            <w:tcW w:w="784" w:type="pct"/>
            <w:vAlign w:val="center"/>
          </w:tcPr>
          <w:p w14:paraId="33D1E77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2654.388</w:t>
            </w:r>
          </w:p>
        </w:tc>
      </w:tr>
      <w:tr w14:paraId="72E7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157B3B68">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6BF67F6B">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277F327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DedicatedMaster</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专有主节点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规格：16核 32G</w:t>
            </w:r>
          </w:p>
        </w:tc>
        <w:tc>
          <w:tcPr>
            <w:tcW w:w="784" w:type="pct"/>
            <w:vAlign w:val="center"/>
          </w:tcPr>
          <w:p w14:paraId="0087D53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3690.342</w:t>
            </w:r>
          </w:p>
        </w:tc>
      </w:tr>
      <w:tr w14:paraId="6721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4" w:type="pct"/>
            <w:vMerge w:val="continue"/>
            <w:vAlign w:val="center"/>
          </w:tcPr>
          <w:p w14:paraId="362F9599">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6922285D">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4C9F9F9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DedicatedMaster</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专有主节点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规格：16核 64G</w:t>
            </w:r>
          </w:p>
        </w:tc>
        <w:tc>
          <w:tcPr>
            <w:tcW w:w="784" w:type="pct"/>
            <w:vAlign w:val="center"/>
          </w:tcPr>
          <w:p w14:paraId="1B2FDCF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5228.128</w:t>
            </w:r>
          </w:p>
        </w:tc>
      </w:tr>
      <w:tr w14:paraId="54E9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51140CB">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0D2B7236">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53D19A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ClientNode</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协调节点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规格：4核16G</w:t>
            </w:r>
          </w:p>
        </w:tc>
        <w:tc>
          <w:tcPr>
            <w:tcW w:w="784" w:type="pct"/>
            <w:vAlign w:val="center"/>
          </w:tcPr>
          <w:p w14:paraId="6688BE2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412.301</w:t>
            </w:r>
          </w:p>
        </w:tc>
      </w:tr>
      <w:tr w14:paraId="0AE1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CB05B7D">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746CC6D8">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045A0F1F">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ClicntNode</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协调节点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规格：8核32G</w:t>
            </w:r>
          </w:p>
        </w:tc>
        <w:tc>
          <w:tcPr>
            <w:tcW w:w="784" w:type="pct"/>
            <w:vAlign w:val="center"/>
          </w:tcPr>
          <w:p w14:paraId="5AE5987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815.661</w:t>
            </w:r>
          </w:p>
        </w:tc>
      </w:tr>
      <w:tr w14:paraId="2F38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4B959FF8">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671F84D3">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6F29EC6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ClientNode</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协调节点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规格：16核32G</w:t>
            </w:r>
          </w:p>
        </w:tc>
        <w:tc>
          <w:tcPr>
            <w:tcW w:w="784" w:type="pct"/>
            <w:vAlign w:val="center"/>
          </w:tcPr>
          <w:p w14:paraId="1EE8C38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1080.427</w:t>
            </w:r>
          </w:p>
        </w:tc>
      </w:tr>
      <w:tr w14:paraId="6451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287AA750">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7365A04E">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191BAE9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ClientNode</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协调节点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规格：16核64G</w:t>
            </w:r>
          </w:p>
        </w:tc>
        <w:tc>
          <w:tcPr>
            <w:tcW w:w="784" w:type="pct"/>
            <w:vAlign w:val="center"/>
          </w:tcPr>
          <w:p w14:paraId="0D4CAAC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1621.883</w:t>
            </w:r>
          </w:p>
        </w:tc>
      </w:tr>
      <w:tr w14:paraId="4CDC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7A2669CC">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4FC9026A">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15FCD3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存储计费：SSD云盘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GB</w:t>
            </w:r>
            <w:r>
              <w:rPr>
                <w:rFonts w:hint="eastAsia" w:ascii="宋体" w:hAnsi="宋体" w:eastAsia="宋体" w:cs="宋体"/>
                <w:color w:val="auto"/>
                <w:kern w:val="0"/>
                <w:sz w:val="21"/>
                <w:szCs w:val="21"/>
                <w:highlight w:val="none"/>
                <w:lang w:eastAsia="zh-CN"/>
              </w:rPr>
              <w:t>）</w:t>
            </w:r>
          </w:p>
        </w:tc>
        <w:tc>
          <w:tcPr>
            <w:tcW w:w="784" w:type="pct"/>
            <w:vAlign w:val="center"/>
          </w:tcPr>
          <w:p w14:paraId="049C57A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0.497</w:t>
            </w:r>
          </w:p>
        </w:tc>
      </w:tr>
      <w:tr w14:paraId="1A01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4" w:type="pct"/>
            <w:vMerge w:val="continue"/>
            <w:vAlign w:val="center"/>
          </w:tcPr>
          <w:p w14:paraId="3AF9809F">
            <w:pPr>
              <w:widowControl/>
              <w:spacing w:line="360" w:lineRule="auto"/>
              <w:jc w:val="left"/>
              <w:rPr>
                <w:rFonts w:hint="eastAsia" w:ascii="宋体" w:hAnsi="宋体" w:eastAsia="宋体" w:cs="宋体"/>
                <w:color w:val="auto"/>
                <w:kern w:val="0"/>
                <w:sz w:val="21"/>
                <w:szCs w:val="21"/>
                <w:highlight w:val="none"/>
              </w:rPr>
            </w:pPr>
          </w:p>
        </w:tc>
        <w:tc>
          <w:tcPr>
            <w:tcW w:w="995" w:type="pct"/>
            <w:vMerge w:val="continue"/>
            <w:vAlign w:val="center"/>
          </w:tcPr>
          <w:p w14:paraId="3D2F5745">
            <w:pPr>
              <w:widowControl/>
              <w:spacing w:line="360" w:lineRule="auto"/>
              <w:jc w:val="left"/>
              <w:rPr>
                <w:rFonts w:hint="eastAsia" w:ascii="宋体" w:hAnsi="宋体" w:eastAsia="宋体" w:cs="宋体"/>
                <w:color w:val="auto"/>
                <w:kern w:val="0"/>
                <w:sz w:val="21"/>
                <w:szCs w:val="21"/>
                <w:highlight w:val="none"/>
              </w:rPr>
            </w:pPr>
          </w:p>
        </w:tc>
        <w:tc>
          <w:tcPr>
            <w:tcW w:w="2317" w:type="pct"/>
            <w:vAlign w:val="center"/>
          </w:tcPr>
          <w:p w14:paraId="349A7203">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存储计费：高效云盘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GB</w:t>
            </w:r>
            <w:r>
              <w:rPr>
                <w:rFonts w:hint="eastAsia" w:ascii="宋体" w:hAnsi="宋体" w:eastAsia="宋体" w:cs="宋体"/>
                <w:color w:val="auto"/>
                <w:kern w:val="0"/>
                <w:sz w:val="21"/>
                <w:szCs w:val="21"/>
                <w:highlight w:val="none"/>
                <w:lang w:eastAsia="zh-CN"/>
              </w:rPr>
              <w:t>）</w:t>
            </w:r>
          </w:p>
        </w:tc>
        <w:tc>
          <w:tcPr>
            <w:tcW w:w="784" w:type="pct"/>
            <w:vAlign w:val="center"/>
          </w:tcPr>
          <w:p w14:paraId="1745DB4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0.175</w:t>
            </w:r>
          </w:p>
        </w:tc>
      </w:tr>
      <w:tr w14:paraId="1530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904" w:type="pct"/>
            <w:vAlign w:val="center"/>
          </w:tcPr>
          <w:p w14:paraId="4430DF8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容器服务</w:t>
            </w:r>
          </w:p>
        </w:tc>
        <w:tc>
          <w:tcPr>
            <w:tcW w:w="995" w:type="pct"/>
            <w:vAlign w:val="center"/>
          </w:tcPr>
          <w:p w14:paraId="2E6A687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根据部署容器的节点数按月计费</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仅包括节点管理费用，不包含资源费用，云服务器/云服务器硬盘/负载均衡/弹性IP/专有网络等资源另行计算</w:t>
            </w:r>
            <w:r>
              <w:rPr>
                <w:rFonts w:hint="eastAsia" w:ascii="宋体" w:hAnsi="宋体" w:eastAsia="宋体" w:cs="宋体"/>
                <w:color w:val="auto"/>
                <w:kern w:val="0"/>
                <w:sz w:val="21"/>
                <w:szCs w:val="21"/>
                <w:highlight w:val="none"/>
                <w:lang w:eastAsia="zh-CN"/>
              </w:rPr>
              <w:t>）</w:t>
            </w:r>
          </w:p>
        </w:tc>
        <w:tc>
          <w:tcPr>
            <w:tcW w:w="2317" w:type="pct"/>
            <w:vAlign w:val="center"/>
          </w:tcPr>
          <w:p w14:paraId="3076767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ECS节点</w:t>
            </w:r>
          </w:p>
        </w:tc>
        <w:tc>
          <w:tcPr>
            <w:tcW w:w="784" w:type="pct"/>
            <w:vAlign w:val="center"/>
          </w:tcPr>
          <w:p w14:paraId="4EEF739C">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142.337</w:t>
            </w:r>
          </w:p>
        </w:tc>
      </w:tr>
    </w:tbl>
    <w:p w14:paraId="0D93D910">
      <w:pPr>
        <w:widowControl/>
        <w:adjustRightInd/>
        <w:spacing w:line="360" w:lineRule="auto"/>
        <w:ind w:firstLine="422" w:firstLineChars="2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3.云安全服务（该项最高限价518万元）</w:t>
      </w:r>
    </w:p>
    <w:tbl>
      <w:tblPr>
        <w:tblStyle w:val="62"/>
        <w:tblW w:w="9322"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5029"/>
        <w:gridCol w:w="1125"/>
        <w:gridCol w:w="1493"/>
      </w:tblGrid>
      <w:tr w14:paraId="727E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75" w:type="dxa"/>
            <w:vAlign w:val="center"/>
          </w:tcPr>
          <w:p w14:paraId="469FC0D1">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服务名称</w:t>
            </w:r>
          </w:p>
        </w:tc>
        <w:tc>
          <w:tcPr>
            <w:tcW w:w="5029" w:type="dxa"/>
            <w:vAlign w:val="center"/>
          </w:tcPr>
          <w:p w14:paraId="685F9CFA">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服务子类</w:t>
            </w:r>
          </w:p>
        </w:tc>
        <w:tc>
          <w:tcPr>
            <w:tcW w:w="1125" w:type="dxa"/>
            <w:vAlign w:val="center"/>
          </w:tcPr>
          <w:p w14:paraId="18E4EBDC">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服务规格</w:t>
            </w:r>
          </w:p>
        </w:tc>
        <w:tc>
          <w:tcPr>
            <w:tcW w:w="1493" w:type="dxa"/>
            <w:vAlign w:val="center"/>
          </w:tcPr>
          <w:p w14:paraId="4BD9FBD9">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▲最高限价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 xml:space="preserve">元/ 月 </w:t>
            </w:r>
            <w:r>
              <w:rPr>
                <w:rFonts w:hint="eastAsia" w:ascii="宋体" w:hAnsi="宋体" w:eastAsia="宋体" w:cs="宋体"/>
                <w:b/>
                <w:bCs/>
                <w:color w:val="auto"/>
                <w:kern w:val="0"/>
                <w:sz w:val="21"/>
                <w:szCs w:val="21"/>
                <w:highlight w:val="none"/>
                <w:lang w:eastAsia="zh-CN"/>
              </w:rPr>
              <w:t>）</w:t>
            </w:r>
          </w:p>
        </w:tc>
      </w:tr>
      <w:tr w14:paraId="7377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75" w:type="dxa"/>
            <w:vAlign w:val="center"/>
          </w:tcPr>
          <w:p w14:paraId="078A316D">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态势感知</w:t>
            </w:r>
          </w:p>
        </w:tc>
        <w:tc>
          <w:tcPr>
            <w:tcW w:w="5029" w:type="dxa"/>
            <w:vAlign w:val="center"/>
          </w:tcPr>
          <w:p w14:paraId="66769A97">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根据受保护的虚拟机个数按月计费，默认随云服务器一起开通</w:t>
            </w:r>
            <w:r>
              <w:rPr>
                <w:rFonts w:hint="eastAsia" w:ascii="宋体" w:hAnsi="宋体" w:eastAsia="宋体" w:cs="宋体"/>
                <w:color w:val="auto"/>
                <w:kern w:val="0"/>
                <w:sz w:val="21"/>
                <w:szCs w:val="21"/>
                <w:highlight w:val="none"/>
                <w:lang w:eastAsia="zh-CN"/>
              </w:rPr>
              <w:t>。</w:t>
            </w:r>
          </w:p>
        </w:tc>
        <w:tc>
          <w:tcPr>
            <w:tcW w:w="1125" w:type="dxa"/>
            <w:vAlign w:val="center"/>
          </w:tcPr>
          <w:p w14:paraId="41FE9A8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规格：1个虚拟机实例</w:t>
            </w:r>
          </w:p>
        </w:tc>
        <w:tc>
          <w:tcPr>
            <w:tcW w:w="1493" w:type="dxa"/>
            <w:vAlign w:val="center"/>
          </w:tcPr>
          <w:p w14:paraId="259F566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48.44</w:t>
            </w:r>
          </w:p>
        </w:tc>
      </w:tr>
      <w:tr w14:paraId="2948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75" w:type="dxa"/>
            <w:vAlign w:val="center"/>
          </w:tcPr>
          <w:p w14:paraId="3521F05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主机安全防护软件</w:t>
            </w:r>
          </w:p>
        </w:tc>
        <w:tc>
          <w:tcPr>
            <w:tcW w:w="5029" w:type="dxa"/>
            <w:vAlign w:val="center"/>
          </w:tcPr>
          <w:p w14:paraId="78009ED8">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根据受保护的虚拟机个数按月计费，默认随云服务器一起开通</w:t>
            </w:r>
            <w:r>
              <w:rPr>
                <w:rFonts w:hint="eastAsia" w:ascii="宋体" w:hAnsi="宋体" w:eastAsia="宋体" w:cs="宋体"/>
                <w:color w:val="auto"/>
                <w:kern w:val="0"/>
                <w:sz w:val="21"/>
                <w:szCs w:val="21"/>
                <w:highlight w:val="none"/>
                <w:lang w:eastAsia="zh-CN"/>
              </w:rPr>
              <w:t>。</w:t>
            </w:r>
          </w:p>
        </w:tc>
        <w:tc>
          <w:tcPr>
            <w:tcW w:w="1125" w:type="dxa"/>
            <w:vAlign w:val="center"/>
          </w:tcPr>
          <w:p w14:paraId="49FFB1DB">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规格：1个虚拟机实例</w:t>
            </w:r>
          </w:p>
        </w:tc>
        <w:tc>
          <w:tcPr>
            <w:tcW w:w="1493" w:type="dxa"/>
            <w:vAlign w:val="center"/>
          </w:tcPr>
          <w:p w14:paraId="1FD519D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58.93</w:t>
            </w:r>
          </w:p>
        </w:tc>
      </w:tr>
      <w:tr w14:paraId="1D92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75" w:type="dxa"/>
            <w:vAlign w:val="center"/>
          </w:tcPr>
          <w:p w14:paraId="441816E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流量安全监控</w:t>
            </w:r>
          </w:p>
        </w:tc>
        <w:tc>
          <w:tcPr>
            <w:tcW w:w="5029" w:type="dxa"/>
            <w:vAlign w:val="center"/>
          </w:tcPr>
          <w:p w14:paraId="1E0EBC50">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按带宽大小计费</w:t>
            </w:r>
            <w:r>
              <w:rPr>
                <w:rFonts w:hint="eastAsia" w:ascii="宋体" w:hAnsi="宋体" w:eastAsia="宋体" w:cs="宋体"/>
                <w:color w:val="auto"/>
                <w:kern w:val="0"/>
                <w:sz w:val="21"/>
                <w:szCs w:val="21"/>
                <w:highlight w:val="none"/>
                <w:lang w:eastAsia="zh-CN"/>
              </w:rPr>
              <w:t>。</w:t>
            </w:r>
          </w:p>
        </w:tc>
        <w:tc>
          <w:tcPr>
            <w:tcW w:w="1125" w:type="dxa"/>
            <w:vAlign w:val="center"/>
          </w:tcPr>
          <w:p w14:paraId="38164FA2">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每100mbps/月</w:t>
            </w:r>
          </w:p>
        </w:tc>
        <w:tc>
          <w:tcPr>
            <w:tcW w:w="1493" w:type="dxa"/>
            <w:vAlign w:val="center"/>
          </w:tcPr>
          <w:p w14:paraId="355FE3F2">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8097.62</w:t>
            </w:r>
          </w:p>
        </w:tc>
      </w:tr>
      <w:tr w14:paraId="1D30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75" w:type="dxa"/>
            <w:vAlign w:val="center"/>
          </w:tcPr>
          <w:p w14:paraId="6C227FC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互联网出口</w:t>
            </w:r>
          </w:p>
        </w:tc>
        <w:tc>
          <w:tcPr>
            <w:tcW w:w="5029" w:type="dxa"/>
            <w:vAlign w:val="center"/>
          </w:tcPr>
          <w:p w14:paraId="5B5C8406">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根据规格按月计费</w:t>
            </w:r>
            <w:r>
              <w:rPr>
                <w:rFonts w:hint="eastAsia" w:ascii="宋体" w:hAnsi="宋体" w:eastAsia="宋体" w:cs="宋体"/>
                <w:color w:val="auto"/>
                <w:kern w:val="0"/>
                <w:sz w:val="21"/>
                <w:szCs w:val="21"/>
                <w:highlight w:val="none"/>
                <w:lang w:eastAsia="zh-CN"/>
              </w:rPr>
              <w:t>。</w:t>
            </w:r>
          </w:p>
        </w:tc>
        <w:tc>
          <w:tcPr>
            <w:tcW w:w="1125" w:type="dxa"/>
            <w:vAlign w:val="center"/>
          </w:tcPr>
          <w:p w14:paraId="4C8770E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互联网专线租用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每100M</w:t>
            </w:r>
            <w:r>
              <w:rPr>
                <w:rFonts w:hint="eastAsia" w:ascii="宋体" w:hAnsi="宋体" w:eastAsia="宋体" w:cs="宋体"/>
                <w:color w:val="auto"/>
                <w:kern w:val="0"/>
                <w:sz w:val="21"/>
                <w:szCs w:val="21"/>
                <w:highlight w:val="none"/>
                <w:lang w:eastAsia="zh-CN"/>
              </w:rPr>
              <w:t>）</w:t>
            </w:r>
          </w:p>
        </w:tc>
        <w:tc>
          <w:tcPr>
            <w:tcW w:w="1493" w:type="dxa"/>
            <w:vAlign w:val="center"/>
          </w:tcPr>
          <w:p w14:paraId="5BD706B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w:t>
            </w:r>
          </w:p>
        </w:tc>
      </w:tr>
      <w:tr w14:paraId="032D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75" w:type="dxa"/>
            <w:vAlign w:val="center"/>
          </w:tcPr>
          <w:p w14:paraId="72D2168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互联网IP地址</w:t>
            </w:r>
          </w:p>
        </w:tc>
        <w:tc>
          <w:tcPr>
            <w:tcW w:w="5029" w:type="dxa"/>
            <w:vAlign w:val="center"/>
          </w:tcPr>
          <w:p w14:paraId="04C7E24E">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根据个数按月计费</w:t>
            </w:r>
            <w:r>
              <w:rPr>
                <w:rFonts w:hint="eastAsia" w:ascii="宋体" w:hAnsi="宋体" w:eastAsia="宋体" w:cs="宋体"/>
                <w:color w:val="auto"/>
                <w:kern w:val="0"/>
                <w:sz w:val="21"/>
                <w:szCs w:val="21"/>
                <w:highlight w:val="none"/>
                <w:lang w:eastAsia="zh-CN"/>
              </w:rPr>
              <w:t>。</w:t>
            </w:r>
          </w:p>
        </w:tc>
        <w:tc>
          <w:tcPr>
            <w:tcW w:w="1125" w:type="dxa"/>
            <w:vAlign w:val="center"/>
          </w:tcPr>
          <w:p w14:paraId="2409FA7E">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标准IP地址或互联地址 (IPV4和IPV6)</w:t>
            </w:r>
          </w:p>
        </w:tc>
        <w:tc>
          <w:tcPr>
            <w:tcW w:w="1493" w:type="dxa"/>
            <w:vAlign w:val="center"/>
          </w:tcPr>
          <w:p w14:paraId="1222A64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14:paraId="3D95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75" w:type="dxa"/>
            <w:vAlign w:val="center"/>
          </w:tcPr>
          <w:p w14:paraId="643346D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专线链路服务费</w:t>
            </w:r>
          </w:p>
        </w:tc>
        <w:tc>
          <w:tcPr>
            <w:tcW w:w="5029" w:type="dxa"/>
            <w:vAlign w:val="center"/>
          </w:tcPr>
          <w:p w14:paraId="7F5A2C77">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政务云至政务外网及其他云平台的互联服务（网络应采用安全防护技术</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包括添置2台防火墙</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实现与政务云平台的逻辑隔离）</w:t>
            </w:r>
            <w:r>
              <w:rPr>
                <w:rFonts w:hint="eastAsia" w:ascii="宋体" w:hAnsi="宋体" w:eastAsia="宋体" w:cs="宋体"/>
                <w:color w:val="auto"/>
                <w:kern w:val="0"/>
                <w:sz w:val="21"/>
                <w:szCs w:val="21"/>
                <w:highlight w:val="none"/>
                <w:lang w:eastAsia="zh-CN"/>
              </w:rPr>
              <w:t>。</w:t>
            </w:r>
          </w:p>
        </w:tc>
        <w:tc>
          <w:tcPr>
            <w:tcW w:w="1125" w:type="dxa"/>
            <w:vAlign w:val="center"/>
          </w:tcPr>
          <w:p w14:paraId="2DDF373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2*10G专线</w:t>
            </w:r>
          </w:p>
        </w:tc>
        <w:tc>
          <w:tcPr>
            <w:tcW w:w="1493" w:type="dxa"/>
            <w:vAlign w:val="center"/>
          </w:tcPr>
          <w:p w14:paraId="4F1994E7">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10000</w:t>
            </w:r>
          </w:p>
        </w:tc>
      </w:tr>
      <w:tr w14:paraId="03E1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75" w:type="dxa"/>
            <w:vAlign w:val="center"/>
          </w:tcPr>
          <w:p w14:paraId="37C568D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堡垒机</w:t>
            </w:r>
          </w:p>
        </w:tc>
        <w:tc>
          <w:tcPr>
            <w:tcW w:w="5029" w:type="dxa"/>
            <w:vAlign w:val="center"/>
          </w:tcPr>
          <w:p w14:paraId="10466BBE">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提供政务云平台的统一登录运维堡垒机服务（按年付费）</w:t>
            </w:r>
            <w:r>
              <w:rPr>
                <w:rFonts w:hint="eastAsia" w:ascii="宋体" w:hAnsi="宋体" w:eastAsia="宋体" w:cs="宋体"/>
                <w:color w:val="auto"/>
                <w:kern w:val="0"/>
                <w:sz w:val="21"/>
                <w:szCs w:val="21"/>
                <w:highlight w:val="none"/>
                <w:lang w:eastAsia="zh-CN"/>
              </w:rPr>
              <w:t>。</w:t>
            </w:r>
          </w:p>
        </w:tc>
        <w:tc>
          <w:tcPr>
            <w:tcW w:w="1125" w:type="dxa"/>
            <w:vAlign w:val="center"/>
          </w:tcPr>
          <w:p w14:paraId="7DD5DA4A">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c>
          <w:tcPr>
            <w:tcW w:w="1493" w:type="dxa"/>
            <w:vAlign w:val="center"/>
          </w:tcPr>
          <w:p w14:paraId="4844ADC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440000</w:t>
            </w:r>
          </w:p>
        </w:tc>
      </w:tr>
      <w:tr w14:paraId="22A6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75" w:type="dxa"/>
            <w:vAlign w:val="center"/>
          </w:tcPr>
          <w:p w14:paraId="60E40C7A">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基于零信任技术的应用接入安全防护服务</w:t>
            </w:r>
          </w:p>
        </w:tc>
        <w:tc>
          <w:tcPr>
            <w:tcW w:w="5029" w:type="dxa"/>
            <w:vAlign w:val="center"/>
          </w:tcPr>
          <w:p w14:paraId="12C5BFB6">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面向政务系统IT远程运维场景，提供业务系统安全接入与防护服务，实现对于用户与设备身份的可信识别、主机沙箱数据安全、权限精细化管控、动态访问控制等，实现应用和设备的端口、地址等隐藏。提供不少于350个用户授权，服务期内提供基础运维、运营、平台使用培训、咨询等服务。</w:t>
            </w:r>
          </w:p>
        </w:tc>
        <w:tc>
          <w:tcPr>
            <w:tcW w:w="1125" w:type="dxa"/>
            <w:vAlign w:val="center"/>
          </w:tcPr>
          <w:p w14:paraId="1DD72F21">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c>
          <w:tcPr>
            <w:tcW w:w="1493" w:type="dxa"/>
            <w:vAlign w:val="center"/>
          </w:tcPr>
          <w:p w14:paraId="4BF127E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15600       </w:t>
            </w:r>
          </w:p>
        </w:tc>
      </w:tr>
      <w:tr w14:paraId="2578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75" w:type="dxa"/>
            <w:vAlign w:val="center"/>
          </w:tcPr>
          <w:p w14:paraId="6E752963">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基于零信任技术的核心数据可信访问服务</w:t>
            </w:r>
          </w:p>
        </w:tc>
        <w:tc>
          <w:tcPr>
            <w:tcW w:w="5029" w:type="dxa"/>
            <w:vAlign w:val="center"/>
          </w:tcPr>
          <w:p w14:paraId="20A3FCD5">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面向政务系统数据安全运维开发场景，提供核心数据可信访问服务，以数据资源为中心，通过构建面向用户的数据资源访问关系，将数据使用权和所有权分离，打造虚拟隔离的数据资源安全边界，实现数据安全管控和隔离。满足最大用户数量不少于350个、最大虚拟环境数不少于150个，服务期内提供基础运维、运营、平台使用培训、咨询等服务</w:t>
            </w:r>
            <w:r>
              <w:rPr>
                <w:rFonts w:hint="eastAsia" w:ascii="宋体" w:hAnsi="宋体" w:eastAsia="宋体" w:cs="宋体"/>
                <w:color w:val="auto"/>
                <w:kern w:val="0"/>
                <w:sz w:val="21"/>
                <w:szCs w:val="21"/>
                <w:highlight w:val="none"/>
                <w:lang w:eastAsia="zh-CN"/>
              </w:rPr>
              <w:t>。</w:t>
            </w:r>
          </w:p>
        </w:tc>
        <w:tc>
          <w:tcPr>
            <w:tcW w:w="1125" w:type="dxa"/>
            <w:vAlign w:val="center"/>
          </w:tcPr>
          <w:p w14:paraId="78709658">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c>
          <w:tcPr>
            <w:tcW w:w="1493" w:type="dxa"/>
            <w:vAlign w:val="center"/>
          </w:tcPr>
          <w:p w14:paraId="62C48F9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15600         </w:t>
            </w:r>
          </w:p>
        </w:tc>
      </w:tr>
    </w:tbl>
    <w:p w14:paraId="3C02885F">
      <w:pPr>
        <w:widowControl/>
        <w:adjustRightInd/>
        <w:spacing w:line="360" w:lineRule="auto"/>
        <w:ind w:firstLine="422" w:firstLineChars="2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4.运维服务（该项最高限价544万元）</w:t>
      </w:r>
    </w:p>
    <w:tbl>
      <w:tblPr>
        <w:tblStyle w:val="62"/>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6206"/>
        <w:gridCol w:w="1444"/>
      </w:tblGrid>
      <w:tr w14:paraId="0874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76" w:type="dxa"/>
            <w:vAlign w:val="center"/>
          </w:tcPr>
          <w:p w14:paraId="0A049C9B">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服务名称</w:t>
            </w:r>
          </w:p>
        </w:tc>
        <w:tc>
          <w:tcPr>
            <w:tcW w:w="6206" w:type="dxa"/>
            <w:vAlign w:val="center"/>
          </w:tcPr>
          <w:p w14:paraId="794DFE17">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服务规格</w:t>
            </w:r>
          </w:p>
        </w:tc>
        <w:tc>
          <w:tcPr>
            <w:tcW w:w="1444" w:type="dxa"/>
            <w:vAlign w:val="center"/>
          </w:tcPr>
          <w:p w14:paraId="1DA83861">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▲最高限价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 xml:space="preserve">元/ 月 </w:t>
            </w:r>
            <w:r>
              <w:rPr>
                <w:rFonts w:hint="eastAsia" w:ascii="宋体" w:hAnsi="宋体" w:eastAsia="宋体" w:cs="宋体"/>
                <w:b/>
                <w:bCs/>
                <w:color w:val="auto"/>
                <w:kern w:val="0"/>
                <w:sz w:val="21"/>
                <w:szCs w:val="21"/>
                <w:highlight w:val="none"/>
                <w:lang w:eastAsia="zh-CN"/>
              </w:rPr>
              <w:t>）</w:t>
            </w:r>
          </w:p>
        </w:tc>
      </w:tr>
      <w:tr w14:paraId="7A6A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76" w:type="dxa"/>
            <w:vAlign w:val="center"/>
          </w:tcPr>
          <w:p w14:paraId="3244079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平台运维服务</w:t>
            </w:r>
          </w:p>
        </w:tc>
        <w:tc>
          <w:tcPr>
            <w:tcW w:w="6206" w:type="dxa"/>
            <w:vAlign w:val="center"/>
          </w:tcPr>
          <w:p w14:paraId="5F66179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1.根据《杭州市电子政务云平台管理办法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暂行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》要求，负责提供云技术咨询和方案优化，配合使用单位完成应用系统上线、下线和迁移工作。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2.负责电子政务云平台的日常运行维护工作。</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3.提供派驻政务云平台的运维人员</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4.做好法定节假日、重大活动的保障任务。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5.负责项目内的所有资产管理、归属信息的确认。</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6.负责对高风险安全组策略进行整改。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7.负责配合对所有云资源进行保至机覆盖。</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8.负责对网络状况进行安全监测。</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9.根据甲方安全审计要求，提供相关产品实时的操作记录、安全日志。</w:t>
            </w:r>
          </w:p>
        </w:tc>
        <w:tc>
          <w:tcPr>
            <w:tcW w:w="1444" w:type="dxa"/>
            <w:vAlign w:val="center"/>
          </w:tcPr>
          <w:p w14:paraId="18C6F166">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102000</w:t>
            </w:r>
          </w:p>
        </w:tc>
      </w:tr>
      <w:tr w14:paraId="4212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676" w:type="dxa"/>
            <w:vAlign w:val="center"/>
          </w:tcPr>
          <w:p w14:paraId="6204CF71">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云资源运营平台服务</w:t>
            </w:r>
          </w:p>
        </w:tc>
        <w:tc>
          <w:tcPr>
            <w:tcW w:w="6206" w:type="dxa"/>
            <w:vAlign w:val="center"/>
          </w:tcPr>
          <w:p w14:paraId="6B7F7F7C">
            <w:pPr>
              <w:widowControl/>
              <w:numPr>
                <w:ilvl w:val="0"/>
                <w:numId w:val="3"/>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根据资源管理办法完成电子政务云平台资源统一管理，包括账号、组织、产品的统一管理，可进行资源和成本分析。</w:t>
            </w:r>
          </w:p>
          <w:p w14:paraId="552F3437">
            <w:pPr>
              <w:widowControl/>
              <w:numPr>
                <w:ilvl w:val="0"/>
                <w:numId w:val="3"/>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支持产品自动化开通，多产品对接IRS平台进行回流开通；支持用户查看当前部门账单信息</w:t>
            </w:r>
            <w:r>
              <w:rPr>
                <w:rFonts w:hint="eastAsia" w:ascii="宋体" w:hAnsi="宋体" w:eastAsia="宋体" w:cs="宋体"/>
                <w:color w:val="auto"/>
                <w:kern w:val="0"/>
                <w:sz w:val="21"/>
                <w:szCs w:val="21"/>
                <w:highlight w:val="none"/>
                <w:lang w:eastAsia="zh-CN"/>
              </w:rPr>
              <w:t>。</w:t>
            </w:r>
          </w:p>
          <w:p w14:paraId="14C69C2F">
            <w:pPr>
              <w:widowControl/>
              <w:numPr>
                <w:ilvl w:val="0"/>
                <w:numId w:val="3"/>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实现资源使用率大盘，可按部门、应用、实例维度展示资源利用率情况</w:t>
            </w:r>
            <w:r>
              <w:rPr>
                <w:rFonts w:hint="eastAsia" w:ascii="宋体" w:hAnsi="宋体" w:eastAsia="宋体" w:cs="宋体"/>
                <w:color w:val="auto"/>
                <w:kern w:val="0"/>
                <w:sz w:val="21"/>
                <w:szCs w:val="21"/>
                <w:highlight w:val="none"/>
                <w:lang w:eastAsia="zh-CN"/>
              </w:rPr>
              <w:t>。</w:t>
            </w:r>
          </w:p>
          <w:p w14:paraId="4A1CF2A8">
            <w:pPr>
              <w:widowControl/>
              <w:numPr>
                <w:ilvl w:val="0"/>
                <w:numId w:val="3"/>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支持部门清单，支持产品清单，支持项目清单，支持运营分析</w:t>
            </w:r>
            <w:r>
              <w:rPr>
                <w:rFonts w:hint="eastAsia" w:ascii="宋体" w:hAnsi="宋体" w:eastAsia="宋体" w:cs="宋体"/>
                <w:color w:val="auto"/>
                <w:kern w:val="0"/>
                <w:sz w:val="21"/>
                <w:szCs w:val="21"/>
                <w:highlight w:val="none"/>
                <w:lang w:eastAsia="zh-CN"/>
              </w:rPr>
              <w:t>。</w:t>
            </w:r>
          </w:p>
        </w:tc>
        <w:tc>
          <w:tcPr>
            <w:tcW w:w="1444" w:type="dxa"/>
            <w:vAlign w:val="center"/>
          </w:tcPr>
          <w:p w14:paraId="2292DB9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40000</w:t>
            </w:r>
          </w:p>
        </w:tc>
      </w:tr>
      <w:tr w14:paraId="4498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76" w:type="dxa"/>
            <w:vMerge w:val="restart"/>
            <w:vAlign w:val="center"/>
          </w:tcPr>
          <w:p w14:paraId="6FAFBF9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安全驻场服务</w:t>
            </w:r>
          </w:p>
        </w:tc>
        <w:tc>
          <w:tcPr>
            <w:tcW w:w="6206" w:type="dxa"/>
            <w:vAlign w:val="center"/>
          </w:tcPr>
          <w:p w14:paraId="6278FBFD">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1.根据项目建设实施需求，驻点余杭区数据资源管理局用户现场，提供3名驻场人员，负责政务云项目实施过程中的安全服务。</w:t>
            </w:r>
            <w:r>
              <w:rPr>
                <w:rFonts w:hint="eastAsia" w:ascii="宋体" w:hAnsi="宋体" w:eastAsia="宋体" w:cs="宋体"/>
                <w:color w:val="auto"/>
                <w:sz w:val="21"/>
                <w:szCs w:val="21"/>
                <w:highlight w:val="none"/>
              </w:rPr>
              <w:t>配合采购人落实好省、市主管部门关于云平台服务的相关工作。</w:t>
            </w:r>
          </w:p>
        </w:tc>
        <w:tc>
          <w:tcPr>
            <w:tcW w:w="1444" w:type="dxa"/>
            <w:vMerge w:val="restart"/>
            <w:vAlign w:val="center"/>
          </w:tcPr>
          <w:p w14:paraId="215F6AE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60000</w:t>
            </w:r>
          </w:p>
        </w:tc>
      </w:tr>
      <w:tr w14:paraId="0B27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76" w:type="dxa"/>
            <w:vMerge w:val="continue"/>
            <w:vAlign w:val="center"/>
          </w:tcPr>
          <w:p w14:paraId="30FAB2E2">
            <w:pPr>
              <w:widowControl/>
              <w:spacing w:line="360" w:lineRule="auto"/>
              <w:jc w:val="center"/>
              <w:rPr>
                <w:rFonts w:hint="eastAsia" w:ascii="宋体" w:hAnsi="宋体" w:eastAsia="宋体" w:cs="宋体"/>
                <w:color w:val="auto"/>
                <w:kern w:val="0"/>
                <w:sz w:val="21"/>
                <w:szCs w:val="21"/>
                <w:highlight w:val="none"/>
              </w:rPr>
            </w:pPr>
          </w:p>
        </w:tc>
        <w:tc>
          <w:tcPr>
            <w:tcW w:w="6206" w:type="dxa"/>
            <w:vAlign w:val="center"/>
          </w:tcPr>
          <w:p w14:paraId="2D1C927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2.重保期间额外提供2人现场安全服务，包括隐患事件的监测、研判、处置等安全服务。</w:t>
            </w:r>
          </w:p>
        </w:tc>
        <w:tc>
          <w:tcPr>
            <w:tcW w:w="1444" w:type="dxa"/>
            <w:vMerge w:val="continue"/>
            <w:vAlign w:val="center"/>
          </w:tcPr>
          <w:p w14:paraId="68203762">
            <w:pPr>
              <w:widowControl/>
              <w:spacing w:line="360" w:lineRule="auto"/>
              <w:jc w:val="center"/>
              <w:rPr>
                <w:rFonts w:hint="eastAsia" w:ascii="宋体" w:hAnsi="宋体" w:eastAsia="宋体" w:cs="宋体"/>
                <w:color w:val="auto"/>
                <w:kern w:val="0"/>
                <w:sz w:val="21"/>
                <w:szCs w:val="21"/>
                <w:highlight w:val="none"/>
              </w:rPr>
            </w:pPr>
          </w:p>
        </w:tc>
      </w:tr>
      <w:tr w14:paraId="77B3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76" w:type="dxa"/>
            <w:vAlign w:val="center"/>
          </w:tcPr>
          <w:p w14:paraId="075847D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云上应用安全服务</w:t>
            </w:r>
          </w:p>
        </w:tc>
        <w:tc>
          <w:tcPr>
            <w:tcW w:w="6206" w:type="dxa"/>
            <w:vAlign w:val="center"/>
          </w:tcPr>
          <w:p w14:paraId="24E8434F">
            <w:pPr>
              <w:widowControl/>
              <w:numPr>
                <w:ilvl w:val="0"/>
                <w:numId w:val="4"/>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按实际需求开展云上服务器、数据库等云资源的高危漏洞、高危端口、弱口令扫描，并出具扫描结果报告</w:t>
            </w:r>
            <w:r>
              <w:rPr>
                <w:rFonts w:hint="eastAsia" w:ascii="宋体" w:hAnsi="宋体" w:eastAsia="宋体" w:cs="宋体"/>
                <w:color w:val="auto"/>
                <w:kern w:val="0"/>
                <w:sz w:val="21"/>
                <w:szCs w:val="21"/>
                <w:highlight w:val="none"/>
                <w:lang w:eastAsia="zh-CN"/>
              </w:rPr>
              <w:t>。</w:t>
            </w:r>
          </w:p>
          <w:p w14:paraId="7B7D0A16">
            <w:pPr>
              <w:widowControl/>
              <w:numPr>
                <w:ilvl w:val="0"/>
                <w:numId w:val="4"/>
              </w:numPr>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按实际需求开展云上应用系统渗透测试</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不少于6个应用系统</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,并提供测试报告。</w:t>
            </w:r>
          </w:p>
        </w:tc>
        <w:tc>
          <w:tcPr>
            <w:tcW w:w="1444" w:type="dxa"/>
            <w:vAlign w:val="center"/>
          </w:tcPr>
          <w:p w14:paraId="175E7A5E">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30000</w:t>
            </w:r>
          </w:p>
        </w:tc>
      </w:tr>
      <w:tr w14:paraId="4CE1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676" w:type="dxa"/>
            <w:vAlign w:val="center"/>
          </w:tcPr>
          <w:p w14:paraId="760AB678">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定制化服务</w:t>
            </w:r>
          </w:p>
        </w:tc>
        <w:tc>
          <w:tcPr>
            <w:tcW w:w="6206" w:type="dxa"/>
            <w:vAlign w:val="center"/>
          </w:tcPr>
          <w:p w14:paraId="7F7B76E1">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1.IRS对接服务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2.网络及安全运维服务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3.7*24小时技术服务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4.综合驻场技术服务</w:t>
            </w:r>
            <w:r>
              <w:rPr>
                <w:rFonts w:hint="eastAsia" w:ascii="宋体" w:hAnsi="宋体" w:eastAsia="宋体" w:cs="宋体"/>
                <w:color w:val="auto"/>
                <w:kern w:val="0"/>
                <w:sz w:val="21"/>
                <w:szCs w:val="21"/>
                <w:highlight w:val="none"/>
                <w:lang w:eastAsia="zh-CN"/>
              </w:rPr>
              <w:t>。</w:t>
            </w:r>
          </w:p>
        </w:tc>
        <w:tc>
          <w:tcPr>
            <w:tcW w:w="1444" w:type="dxa"/>
            <w:vAlign w:val="center"/>
          </w:tcPr>
          <w:p w14:paraId="12369B7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20000</w:t>
            </w:r>
          </w:p>
        </w:tc>
      </w:tr>
    </w:tbl>
    <w:p w14:paraId="16AC7384">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4546D317">
      <w:pPr>
        <w:widowControl/>
        <w:adjustRightInd/>
        <w:spacing w:line="360" w:lineRule="auto"/>
        <w:ind w:firstLine="422" w:firstLineChars="200"/>
        <w:jc w:val="left"/>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5.云上系统迁移服务（该项最高限价342万元）</w:t>
      </w:r>
    </w:p>
    <w:tbl>
      <w:tblPr>
        <w:tblStyle w:val="62"/>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4202"/>
        <w:gridCol w:w="1998"/>
        <w:gridCol w:w="1443"/>
      </w:tblGrid>
      <w:tr w14:paraId="606F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83" w:type="dxa"/>
            <w:vAlign w:val="center"/>
          </w:tcPr>
          <w:p w14:paraId="22F53107">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服务名称</w:t>
            </w:r>
          </w:p>
        </w:tc>
        <w:tc>
          <w:tcPr>
            <w:tcW w:w="4202" w:type="dxa"/>
            <w:vAlign w:val="center"/>
          </w:tcPr>
          <w:p w14:paraId="1CAF7CEB">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服务规格</w:t>
            </w:r>
          </w:p>
        </w:tc>
        <w:tc>
          <w:tcPr>
            <w:tcW w:w="1998" w:type="dxa"/>
            <w:vAlign w:val="center"/>
          </w:tcPr>
          <w:p w14:paraId="0FC56A5E">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服务类型</w:t>
            </w:r>
          </w:p>
        </w:tc>
        <w:tc>
          <w:tcPr>
            <w:tcW w:w="1443" w:type="dxa"/>
            <w:vAlign w:val="center"/>
          </w:tcPr>
          <w:p w14:paraId="141F078A">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▲最高限价</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每台</w:t>
            </w:r>
            <w:r>
              <w:rPr>
                <w:rFonts w:hint="eastAsia" w:ascii="宋体" w:hAnsi="宋体" w:eastAsia="宋体" w:cs="宋体"/>
                <w:b/>
                <w:bCs/>
                <w:color w:val="auto"/>
                <w:kern w:val="0"/>
                <w:sz w:val="21"/>
                <w:szCs w:val="21"/>
                <w:highlight w:val="none"/>
                <w:lang w:eastAsia="zh-CN"/>
              </w:rPr>
              <w:t>）</w:t>
            </w:r>
          </w:p>
        </w:tc>
      </w:tr>
      <w:tr w14:paraId="0BD6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83" w:type="dxa"/>
            <w:vMerge w:val="restart"/>
            <w:vAlign w:val="center"/>
          </w:tcPr>
          <w:p w14:paraId="5071E89B">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云上系统迁移服务</w:t>
            </w:r>
          </w:p>
        </w:tc>
        <w:tc>
          <w:tcPr>
            <w:tcW w:w="4202" w:type="dxa"/>
            <w:vMerge w:val="restart"/>
            <w:vAlign w:val="center"/>
          </w:tcPr>
          <w:p w14:paraId="152FD1BF">
            <w:pPr>
              <w:widowControl/>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对云上虚拟机（包含系统、数据等）进行全量迁移服务，按照</w:t>
            </w:r>
            <w:r>
              <w:rPr>
                <w:rFonts w:hint="eastAsia" w:ascii="宋体" w:hAnsi="宋体" w:eastAsia="宋体" w:cs="宋体"/>
                <w:color w:val="auto"/>
                <w:kern w:val="0"/>
                <w:sz w:val="21"/>
                <w:szCs w:val="21"/>
                <w:highlight w:val="none"/>
                <w:lang w:val="en-US" w:eastAsia="zh-CN"/>
              </w:rPr>
              <w:t>第三方审计确认的实际迁移</w:t>
            </w:r>
            <w:r>
              <w:rPr>
                <w:rFonts w:hint="eastAsia" w:ascii="宋体" w:hAnsi="宋体" w:eastAsia="宋体" w:cs="宋体"/>
                <w:color w:val="auto"/>
                <w:kern w:val="0"/>
                <w:sz w:val="21"/>
                <w:szCs w:val="21"/>
                <w:highlight w:val="none"/>
              </w:rPr>
              <w:t>虚拟机台数进行</w:t>
            </w:r>
            <w:r>
              <w:rPr>
                <w:rFonts w:hint="eastAsia" w:ascii="宋体" w:hAnsi="宋体" w:eastAsia="宋体" w:cs="宋体"/>
                <w:color w:val="auto"/>
                <w:kern w:val="0"/>
                <w:sz w:val="21"/>
                <w:szCs w:val="21"/>
                <w:highlight w:val="none"/>
                <w:lang w:val="en-US" w:eastAsia="zh-CN"/>
              </w:rPr>
              <w:t>费用核算</w:t>
            </w:r>
            <w:r>
              <w:rPr>
                <w:rFonts w:hint="eastAsia" w:ascii="宋体" w:hAnsi="宋体" w:eastAsia="宋体" w:cs="宋体"/>
                <w:color w:val="auto"/>
                <w:kern w:val="0"/>
                <w:sz w:val="21"/>
                <w:szCs w:val="21"/>
                <w:highlight w:val="none"/>
              </w:rPr>
              <w:t>。</w:t>
            </w:r>
          </w:p>
        </w:tc>
        <w:tc>
          <w:tcPr>
            <w:tcW w:w="1998" w:type="dxa"/>
            <w:vAlign w:val="center"/>
          </w:tcPr>
          <w:p w14:paraId="35054635">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现用政务云迁移至</w:t>
            </w:r>
            <w:r>
              <w:rPr>
                <w:rFonts w:hint="eastAsia" w:ascii="宋体" w:hAnsi="宋体" w:eastAsia="宋体" w:cs="宋体"/>
                <w:color w:val="auto"/>
                <w:kern w:val="0"/>
                <w:sz w:val="21"/>
                <w:szCs w:val="21"/>
                <w:highlight w:val="none"/>
                <w:lang w:val="en-US" w:eastAsia="zh-CN"/>
              </w:rPr>
              <w:t>中标方的</w:t>
            </w:r>
            <w:r>
              <w:rPr>
                <w:rFonts w:hint="eastAsia" w:ascii="宋体" w:hAnsi="宋体" w:eastAsia="宋体" w:cs="宋体"/>
                <w:color w:val="auto"/>
                <w:kern w:val="0"/>
                <w:sz w:val="21"/>
                <w:szCs w:val="21"/>
                <w:highlight w:val="none"/>
              </w:rPr>
              <w:t>政务云</w:t>
            </w:r>
          </w:p>
        </w:tc>
        <w:tc>
          <w:tcPr>
            <w:tcW w:w="1443" w:type="dxa"/>
            <w:vAlign w:val="center"/>
          </w:tcPr>
          <w:p w14:paraId="5C20833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w:t>
            </w:r>
          </w:p>
        </w:tc>
      </w:tr>
      <w:tr w14:paraId="6A99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83" w:type="dxa"/>
            <w:vMerge w:val="continue"/>
            <w:vAlign w:val="center"/>
          </w:tcPr>
          <w:p w14:paraId="001682F1">
            <w:pPr>
              <w:widowControl/>
              <w:spacing w:line="360" w:lineRule="auto"/>
              <w:jc w:val="left"/>
              <w:rPr>
                <w:rFonts w:hint="eastAsia" w:ascii="宋体" w:hAnsi="宋体" w:eastAsia="宋体" w:cs="宋体"/>
                <w:color w:val="auto"/>
                <w:kern w:val="0"/>
                <w:sz w:val="21"/>
                <w:szCs w:val="21"/>
                <w:highlight w:val="none"/>
              </w:rPr>
            </w:pPr>
          </w:p>
        </w:tc>
        <w:tc>
          <w:tcPr>
            <w:tcW w:w="4202" w:type="dxa"/>
            <w:vMerge w:val="continue"/>
            <w:vAlign w:val="center"/>
          </w:tcPr>
          <w:p w14:paraId="7A2E91AA">
            <w:pPr>
              <w:widowControl/>
              <w:spacing w:line="360" w:lineRule="auto"/>
              <w:rPr>
                <w:rFonts w:hint="eastAsia" w:ascii="宋体" w:hAnsi="宋体" w:eastAsia="宋体" w:cs="宋体"/>
                <w:color w:val="auto"/>
                <w:kern w:val="0"/>
                <w:sz w:val="21"/>
                <w:szCs w:val="21"/>
                <w:highlight w:val="none"/>
              </w:rPr>
            </w:pPr>
          </w:p>
        </w:tc>
        <w:tc>
          <w:tcPr>
            <w:tcW w:w="1998" w:type="dxa"/>
            <w:vAlign w:val="center"/>
          </w:tcPr>
          <w:p w14:paraId="2CEC5AE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中标方的</w:t>
            </w:r>
            <w:r>
              <w:rPr>
                <w:rFonts w:hint="eastAsia" w:ascii="宋体" w:hAnsi="宋体" w:eastAsia="宋体" w:cs="宋体"/>
                <w:color w:val="auto"/>
                <w:kern w:val="0"/>
                <w:sz w:val="21"/>
                <w:szCs w:val="21"/>
                <w:highlight w:val="none"/>
              </w:rPr>
              <w:t>政务云迁移至</w:t>
            </w:r>
            <w:r>
              <w:rPr>
                <w:rFonts w:hint="eastAsia" w:ascii="宋体" w:hAnsi="宋体" w:eastAsia="宋体" w:cs="宋体"/>
                <w:color w:val="auto"/>
                <w:kern w:val="0"/>
                <w:sz w:val="21"/>
                <w:szCs w:val="21"/>
                <w:highlight w:val="none"/>
                <w:lang w:val="en-US" w:eastAsia="zh-CN"/>
              </w:rPr>
              <w:t>市</w:t>
            </w:r>
            <w:r>
              <w:rPr>
                <w:rFonts w:hint="eastAsia" w:ascii="宋体" w:hAnsi="宋体" w:eastAsia="宋体" w:cs="宋体"/>
                <w:color w:val="auto"/>
                <w:kern w:val="0"/>
                <w:sz w:val="21"/>
                <w:szCs w:val="21"/>
                <w:highlight w:val="none"/>
              </w:rPr>
              <w:t>信创</w:t>
            </w:r>
            <w:r>
              <w:rPr>
                <w:rFonts w:hint="eastAsia" w:ascii="宋体" w:hAnsi="宋体" w:eastAsia="宋体" w:cs="宋体"/>
                <w:color w:val="auto"/>
                <w:kern w:val="0"/>
                <w:sz w:val="21"/>
                <w:szCs w:val="21"/>
                <w:highlight w:val="none"/>
                <w:lang w:val="en-US" w:eastAsia="zh-CN"/>
              </w:rPr>
              <w:t>一朵</w:t>
            </w:r>
            <w:r>
              <w:rPr>
                <w:rFonts w:hint="eastAsia" w:ascii="宋体" w:hAnsi="宋体" w:eastAsia="宋体" w:cs="宋体"/>
                <w:color w:val="auto"/>
                <w:kern w:val="0"/>
                <w:sz w:val="21"/>
                <w:szCs w:val="21"/>
                <w:highlight w:val="none"/>
              </w:rPr>
              <w:t>云</w:t>
            </w:r>
          </w:p>
        </w:tc>
        <w:tc>
          <w:tcPr>
            <w:tcW w:w="1443" w:type="dxa"/>
            <w:vAlign w:val="center"/>
          </w:tcPr>
          <w:p w14:paraId="74D5DA34">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000</w:t>
            </w:r>
          </w:p>
        </w:tc>
      </w:tr>
    </w:tbl>
    <w:p w14:paraId="772ECFAD">
      <w:pPr>
        <w:rPr>
          <w:rFonts w:hint="eastAsia" w:ascii="宋体" w:hAnsi="宋体" w:eastAsia="宋体" w:cs="宋体"/>
          <w:color w:val="auto"/>
          <w:sz w:val="21"/>
          <w:szCs w:val="21"/>
          <w:highlight w:val="none"/>
        </w:rPr>
      </w:pPr>
    </w:p>
    <w:p w14:paraId="1922C6B0">
      <w:pPr>
        <w:pStyle w:val="23"/>
        <w:widowControl/>
        <w:numPr>
          <w:ilvl w:val="1"/>
          <w:numId w:val="2"/>
        </w:numPr>
        <w:adjustRightInd/>
        <w:spacing w:before="100" w:after="100"/>
        <w:ind w:firstLine="422" w:firstLineChars="200"/>
        <w:jc w:val="left"/>
        <w:outlineLvl w:val="1"/>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技术要求</w:t>
      </w:r>
    </w:p>
    <w:p w14:paraId="1A1B3B20">
      <w:pPr>
        <w:pStyle w:val="4"/>
        <w:widowControl/>
        <w:numPr>
          <w:ilvl w:val="0"/>
          <w:numId w:val="5"/>
        </w:numPr>
        <w:tabs>
          <w:tab w:val="clear" w:pos="900"/>
        </w:tabs>
        <w:adjustRightInd/>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机房托管服务</w:t>
      </w:r>
    </w:p>
    <w:p w14:paraId="441FF2F5">
      <w:pPr>
        <w:pStyle w:val="560"/>
        <w:spacing w:before="24" w:after="24"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w:t>
      </w:r>
      <w:r>
        <w:rPr>
          <w:rFonts w:hint="eastAsia" w:ascii="宋体" w:hAnsi="宋体" w:eastAsia="宋体" w:cs="宋体"/>
          <w:color w:val="auto"/>
          <w:sz w:val="21"/>
          <w:szCs w:val="21"/>
          <w:highlight w:val="none"/>
          <w:lang w:val="en-US" w:eastAsia="zh-CN"/>
        </w:rPr>
        <w:t>在相关规范、标准的前提下</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安全可靠的</w:t>
      </w:r>
      <w:r>
        <w:rPr>
          <w:rFonts w:hint="eastAsia" w:ascii="宋体" w:hAnsi="宋体" w:eastAsia="宋体" w:cs="宋体"/>
          <w:color w:val="auto"/>
          <w:sz w:val="21"/>
          <w:szCs w:val="21"/>
          <w:highlight w:val="none"/>
        </w:rPr>
        <w:t>托管机柜服务</w:t>
      </w:r>
      <w:bookmarkStart w:id="33" w:name="_Hlk166200120"/>
      <w:r>
        <w:rPr>
          <w:rFonts w:hint="eastAsia" w:ascii="宋体" w:hAnsi="宋体" w:eastAsia="宋体" w:cs="宋体"/>
          <w:color w:val="auto"/>
          <w:sz w:val="21"/>
          <w:szCs w:val="21"/>
          <w:highlight w:val="none"/>
        </w:rPr>
        <w:t>，托管区使用机柜</w:t>
      </w:r>
      <w:r>
        <w:rPr>
          <w:rFonts w:hint="eastAsia" w:ascii="宋体" w:hAnsi="宋体" w:eastAsia="宋体" w:cs="宋体"/>
          <w:color w:val="auto"/>
          <w:sz w:val="21"/>
          <w:szCs w:val="21"/>
          <w:highlight w:val="none"/>
          <w:lang w:val="en-US" w:eastAsia="zh-CN"/>
        </w:rPr>
        <w:t>不少于</w:t>
      </w:r>
      <w:r>
        <w:rPr>
          <w:rFonts w:hint="eastAsia" w:ascii="宋体" w:hAnsi="宋体" w:eastAsia="宋体" w:cs="宋体"/>
          <w:color w:val="auto"/>
          <w:sz w:val="21"/>
          <w:szCs w:val="21"/>
          <w:highlight w:val="none"/>
        </w:rPr>
        <w:t>71个</w:t>
      </w:r>
      <w:bookmarkEnd w:id="33"/>
      <w:r>
        <w:rPr>
          <w:rFonts w:hint="eastAsia" w:ascii="宋体" w:hAnsi="宋体" w:eastAsia="宋体" w:cs="宋体"/>
          <w:color w:val="auto"/>
          <w:sz w:val="21"/>
          <w:szCs w:val="21"/>
          <w:highlight w:val="none"/>
        </w:rPr>
        <w:t>。供应商提供的托管机柜服务具体要求如下：</w:t>
      </w:r>
    </w:p>
    <w:tbl>
      <w:tblPr>
        <w:tblStyle w:val="62"/>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7636"/>
      </w:tblGrid>
      <w:tr w14:paraId="424D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tcBorders>
              <w:top w:val="single" w:color="auto" w:sz="4" w:space="0"/>
              <w:left w:val="single" w:color="auto" w:sz="4" w:space="0"/>
              <w:bottom w:val="single" w:color="auto" w:sz="4" w:space="0"/>
              <w:right w:val="single" w:color="auto" w:sz="4" w:space="0"/>
            </w:tcBorders>
            <w:vAlign w:val="center"/>
          </w:tcPr>
          <w:p w14:paraId="41443A00">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4085" w:type="pct"/>
            <w:tcBorders>
              <w:top w:val="single" w:color="auto" w:sz="4" w:space="0"/>
              <w:left w:val="single" w:color="auto" w:sz="4" w:space="0"/>
              <w:bottom w:val="single" w:color="auto" w:sz="4" w:space="0"/>
              <w:right w:val="single" w:color="auto" w:sz="4" w:space="0"/>
            </w:tcBorders>
            <w:vAlign w:val="center"/>
          </w:tcPr>
          <w:p w14:paraId="5A03AD7F">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3726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4" w:type="pct"/>
            <w:tcBorders>
              <w:top w:val="single" w:color="auto" w:sz="4" w:space="0"/>
              <w:left w:val="single" w:color="auto" w:sz="4" w:space="0"/>
              <w:bottom w:val="single" w:color="auto" w:sz="4" w:space="0"/>
              <w:right w:val="single" w:color="auto" w:sz="4" w:space="0"/>
            </w:tcBorders>
            <w:vAlign w:val="center"/>
          </w:tcPr>
          <w:p w14:paraId="2DD2DB91">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机房地点</w:t>
            </w:r>
          </w:p>
        </w:tc>
        <w:tc>
          <w:tcPr>
            <w:tcW w:w="4085" w:type="pct"/>
            <w:tcBorders>
              <w:top w:val="single" w:color="auto" w:sz="4" w:space="0"/>
              <w:left w:val="single" w:color="auto" w:sz="4" w:space="0"/>
              <w:bottom w:val="single" w:color="auto" w:sz="4" w:space="0"/>
              <w:right w:val="single" w:color="auto" w:sz="4" w:space="0"/>
            </w:tcBorders>
            <w:vAlign w:val="center"/>
          </w:tcPr>
          <w:p w14:paraId="5BAAC4D7">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杭州市（需提供位置说明）</w:t>
            </w:r>
            <w:r>
              <w:rPr>
                <w:rFonts w:hint="eastAsia" w:ascii="宋体" w:hAnsi="宋体" w:eastAsia="宋体" w:cs="宋体"/>
                <w:color w:val="auto"/>
                <w:kern w:val="0"/>
                <w:sz w:val="21"/>
                <w:szCs w:val="21"/>
                <w:highlight w:val="none"/>
                <w:lang w:eastAsia="zh-CN" w:bidi="ar"/>
              </w:rPr>
              <w:t>。</w:t>
            </w:r>
          </w:p>
        </w:tc>
      </w:tr>
      <w:tr w14:paraId="10AE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4" w:type="pct"/>
            <w:tcBorders>
              <w:top w:val="single" w:color="auto" w:sz="4" w:space="0"/>
              <w:left w:val="single" w:color="auto" w:sz="4" w:space="0"/>
              <w:bottom w:val="single" w:color="auto" w:sz="4" w:space="0"/>
              <w:right w:val="single" w:color="auto" w:sz="4" w:space="0"/>
            </w:tcBorders>
            <w:vAlign w:val="center"/>
          </w:tcPr>
          <w:p w14:paraId="73ACFA03">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资源配置</w:t>
            </w:r>
          </w:p>
        </w:tc>
        <w:tc>
          <w:tcPr>
            <w:tcW w:w="4085" w:type="pct"/>
            <w:tcBorders>
              <w:top w:val="single" w:color="auto" w:sz="4" w:space="0"/>
              <w:left w:val="single" w:color="auto" w:sz="4" w:space="0"/>
              <w:bottom w:val="single" w:color="auto" w:sz="4" w:space="0"/>
              <w:right w:val="single" w:color="auto" w:sz="4" w:space="0"/>
            </w:tcBorders>
            <w:vAlign w:val="center"/>
          </w:tcPr>
          <w:p w14:paraId="69D12908">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提供不少于71个上电机柜</w:t>
            </w:r>
            <w:r>
              <w:rPr>
                <w:rFonts w:hint="eastAsia" w:ascii="宋体" w:hAnsi="宋体" w:eastAsia="宋体" w:cs="宋体"/>
                <w:color w:val="auto"/>
                <w:kern w:val="0"/>
                <w:sz w:val="21"/>
                <w:szCs w:val="21"/>
                <w:highlight w:val="none"/>
                <w:lang w:eastAsia="zh-CN" w:bidi="ar"/>
              </w:rPr>
              <w:t>。</w:t>
            </w:r>
          </w:p>
        </w:tc>
      </w:tr>
      <w:tr w14:paraId="60CF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4" w:type="pct"/>
            <w:vMerge w:val="restart"/>
            <w:tcBorders>
              <w:top w:val="single" w:color="auto" w:sz="4" w:space="0"/>
              <w:left w:val="single" w:color="auto" w:sz="4" w:space="0"/>
              <w:right w:val="single" w:color="auto" w:sz="4" w:space="0"/>
            </w:tcBorders>
            <w:vAlign w:val="center"/>
          </w:tcPr>
          <w:p w14:paraId="6283D21C">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机柜标准</w:t>
            </w:r>
          </w:p>
        </w:tc>
        <w:tc>
          <w:tcPr>
            <w:tcW w:w="4085" w:type="pct"/>
            <w:tcBorders>
              <w:top w:val="single" w:color="auto" w:sz="4" w:space="0"/>
              <w:left w:val="single" w:color="auto" w:sz="4" w:space="0"/>
              <w:bottom w:val="single" w:color="auto" w:sz="4" w:space="0"/>
              <w:right w:val="single" w:color="auto" w:sz="4" w:space="0"/>
            </w:tcBorders>
            <w:vAlign w:val="center"/>
          </w:tcPr>
          <w:p w14:paraId="73F51676">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机柜尺寸为 600x1200</w:t>
            </w:r>
            <w:r>
              <w:rPr>
                <w:rFonts w:hint="eastAsia" w:ascii="宋体" w:hAnsi="宋体" w:eastAsia="宋体" w:cs="宋体"/>
                <w:color w:val="auto"/>
                <w:kern w:val="0"/>
                <w:sz w:val="21"/>
                <w:szCs w:val="21"/>
                <w:highlight w:val="none"/>
                <w:lang w:eastAsia="zh-CN" w:bidi="ar"/>
              </w:rPr>
              <w:t>；</w:t>
            </w:r>
          </w:p>
          <w:p w14:paraId="5B7B946D">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X2200nmm，42U 以上标准机柜</w:t>
            </w:r>
            <w:r>
              <w:rPr>
                <w:rFonts w:hint="eastAsia" w:ascii="宋体" w:hAnsi="宋体" w:eastAsia="宋体" w:cs="宋体"/>
                <w:color w:val="auto"/>
                <w:kern w:val="0"/>
                <w:sz w:val="21"/>
                <w:szCs w:val="21"/>
                <w:highlight w:val="none"/>
                <w:lang w:eastAsia="zh-CN" w:bidi="ar"/>
              </w:rPr>
              <w:t>。</w:t>
            </w:r>
          </w:p>
        </w:tc>
      </w:tr>
      <w:tr w14:paraId="78A6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4" w:type="pct"/>
            <w:vMerge w:val="continue"/>
            <w:tcBorders>
              <w:left w:val="single" w:color="auto" w:sz="4" w:space="0"/>
              <w:right w:val="single" w:color="auto" w:sz="4" w:space="0"/>
            </w:tcBorders>
            <w:vAlign w:val="center"/>
          </w:tcPr>
          <w:p w14:paraId="0460A135">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5" w:type="pct"/>
            <w:tcBorders>
              <w:top w:val="single" w:color="auto" w:sz="4" w:space="0"/>
              <w:left w:val="single" w:color="auto" w:sz="4" w:space="0"/>
              <w:bottom w:val="single" w:color="auto" w:sz="4" w:space="0"/>
              <w:right w:val="single" w:color="auto" w:sz="4" w:space="0"/>
            </w:tcBorders>
            <w:vAlign w:val="center"/>
          </w:tcPr>
          <w:p w14:paraId="3F8554D1">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机柜功率满足 5KW 及以上要求</w:t>
            </w:r>
          </w:p>
        </w:tc>
      </w:tr>
      <w:tr w14:paraId="6EE6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4" w:type="pct"/>
            <w:vMerge w:val="continue"/>
            <w:tcBorders>
              <w:left w:val="single" w:color="auto" w:sz="4" w:space="0"/>
              <w:bottom w:val="single" w:color="auto" w:sz="4" w:space="0"/>
              <w:right w:val="single" w:color="auto" w:sz="4" w:space="0"/>
            </w:tcBorders>
            <w:vAlign w:val="center"/>
          </w:tcPr>
          <w:p w14:paraId="351AD33B">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5" w:type="pct"/>
            <w:tcBorders>
              <w:top w:val="single" w:color="auto" w:sz="4" w:space="0"/>
              <w:left w:val="single" w:color="auto" w:sz="4" w:space="0"/>
              <w:bottom w:val="single" w:color="auto" w:sz="4" w:space="0"/>
              <w:right w:val="single" w:color="auto" w:sz="4" w:space="0"/>
            </w:tcBorders>
            <w:vAlign w:val="center"/>
          </w:tcPr>
          <w:p w14:paraId="5BFEB9BE">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每个机柜配置双路PDU</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每个PDU 配置 24个 10A 多孔插孔</w:t>
            </w:r>
            <w:r>
              <w:rPr>
                <w:rFonts w:hint="eastAsia" w:ascii="宋体" w:hAnsi="宋体" w:eastAsia="宋体" w:cs="宋体"/>
                <w:color w:val="auto"/>
                <w:kern w:val="0"/>
                <w:sz w:val="21"/>
                <w:szCs w:val="21"/>
                <w:highlight w:val="none"/>
                <w:lang w:eastAsia="zh-CN" w:bidi="ar"/>
              </w:rPr>
              <w:t>。</w:t>
            </w:r>
          </w:p>
        </w:tc>
      </w:tr>
      <w:tr w14:paraId="7A4C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vMerge w:val="restart"/>
            <w:tcBorders>
              <w:top w:val="single" w:color="auto" w:sz="4" w:space="0"/>
              <w:left w:val="single" w:color="auto" w:sz="4" w:space="0"/>
              <w:bottom w:val="single" w:color="auto" w:sz="4" w:space="0"/>
              <w:right w:val="single" w:color="auto" w:sz="4" w:space="0"/>
            </w:tcBorders>
            <w:vAlign w:val="center"/>
          </w:tcPr>
          <w:p w14:paraId="21FB425C">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动力保障</w:t>
            </w:r>
          </w:p>
        </w:tc>
        <w:tc>
          <w:tcPr>
            <w:tcW w:w="4085" w:type="pct"/>
            <w:tcBorders>
              <w:top w:val="single" w:color="auto" w:sz="4" w:space="0"/>
              <w:left w:val="single" w:color="auto" w:sz="4" w:space="0"/>
              <w:bottom w:val="single" w:color="auto" w:sz="4" w:space="0"/>
              <w:right w:val="single" w:color="auto" w:sz="4" w:space="0"/>
            </w:tcBorders>
            <w:vAlign w:val="center"/>
          </w:tcPr>
          <w:p w14:paraId="1B1D1F0B">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2路10kV高压电力专线从不同变电所接入机房，确保供电安全。</w:t>
            </w:r>
          </w:p>
        </w:tc>
      </w:tr>
      <w:tr w14:paraId="5F5F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pct"/>
            <w:vMerge w:val="continue"/>
            <w:tcBorders>
              <w:top w:val="single" w:color="auto" w:sz="4" w:space="0"/>
              <w:left w:val="single" w:color="auto" w:sz="4" w:space="0"/>
              <w:bottom w:val="single" w:color="auto" w:sz="4" w:space="0"/>
              <w:right w:val="single" w:color="auto" w:sz="4" w:space="0"/>
            </w:tcBorders>
            <w:vAlign w:val="center"/>
          </w:tcPr>
          <w:p w14:paraId="4DA3BF5B">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5" w:type="pct"/>
            <w:tcBorders>
              <w:top w:val="single" w:color="auto" w:sz="4" w:space="0"/>
              <w:left w:val="single" w:color="auto" w:sz="4" w:space="0"/>
              <w:bottom w:val="single" w:color="auto" w:sz="4" w:space="0"/>
              <w:right w:val="single" w:color="auto" w:sz="4" w:space="0"/>
            </w:tcBorders>
            <w:vAlign w:val="center"/>
          </w:tcPr>
          <w:p w14:paraId="65B95A06">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配备2N或M（N+1）（M=2、3、4..）的不间断电源配置，确保供电安全。</w:t>
            </w:r>
          </w:p>
        </w:tc>
      </w:tr>
      <w:tr w14:paraId="36DF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tcBorders>
              <w:top w:val="single" w:color="auto" w:sz="4" w:space="0"/>
              <w:left w:val="single" w:color="auto" w:sz="4" w:space="0"/>
              <w:bottom w:val="single" w:color="auto" w:sz="4" w:space="0"/>
              <w:right w:val="single" w:color="auto" w:sz="4" w:space="0"/>
            </w:tcBorders>
            <w:vAlign w:val="center"/>
          </w:tcPr>
          <w:p w14:paraId="73239EE4">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链路外联</w:t>
            </w:r>
          </w:p>
        </w:tc>
        <w:tc>
          <w:tcPr>
            <w:tcW w:w="4085" w:type="pct"/>
            <w:tcBorders>
              <w:top w:val="single" w:color="auto" w:sz="4" w:space="0"/>
              <w:left w:val="single" w:color="auto" w:sz="4" w:space="0"/>
              <w:bottom w:val="single" w:color="auto" w:sz="4" w:space="0"/>
              <w:right w:val="single" w:color="auto" w:sz="4" w:space="0"/>
            </w:tcBorders>
            <w:vAlign w:val="center"/>
          </w:tcPr>
          <w:p w14:paraId="088A1212">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u w:val="single"/>
                <w:lang w:bidi="ar"/>
              </w:rPr>
              <w:t>★链路采用裸光纤方式实现新数据机房要与余杭区数据资源管理局政务外网机房连接。（提供承诺函，格式自拟。）</w:t>
            </w:r>
          </w:p>
        </w:tc>
      </w:tr>
      <w:tr w14:paraId="0917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pct"/>
            <w:tcBorders>
              <w:top w:val="single" w:color="auto" w:sz="4" w:space="0"/>
              <w:left w:val="single" w:color="auto" w:sz="4" w:space="0"/>
              <w:bottom w:val="single" w:color="auto" w:sz="4" w:space="0"/>
              <w:right w:val="single" w:color="auto" w:sz="4" w:space="0"/>
            </w:tcBorders>
            <w:vAlign w:val="center"/>
          </w:tcPr>
          <w:p w14:paraId="61215CED">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链路保护</w:t>
            </w:r>
          </w:p>
        </w:tc>
        <w:tc>
          <w:tcPr>
            <w:tcW w:w="4085" w:type="pct"/>
            <w:tcBorders>
              <w:top w:val="single" w:color="auto" w:sz="4" w:space="0"/>
              <w:left w:val="single" w:color="auto" w:sz="4" w:space="0"/>
              <w:bottom w:val="single" w:color="auto" w:sz="4" w:space="0"/>
              <w:right w:val="single" w:color="auto" w:sz="4" w:space="0"/>
            </w:tcBorders>
            <w:vAlign w:val="center"/>
          </w:tcPr>
          <w:p w14:paraId="72A23553">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链路纤芯不少于 24芯，并采用双路由保护。</w:t>
            </w:r>
            <w:r>
              <w:rPr>
                <w:rFonts w:hint="eastAsia" w:ascii="宋体" w:hAnsi="宋体" w:eastAsia="宋体" w:cs="宋体"/>
                <w:color w:val="auto"/>
                <w:kern w:val="0"/>
                <w:sz w:val="21"/>
                <w:szCs w:val="21"/>
                <w:highlight w:val="none"/>
                <w:lang w:eastAsia="zh-CN" w:bidi="ar"/>
              </w:rPr>
              <w:t>。</w:t>
            </w:r>
          </w:p>
        </w:tc>
      </w:tr>
    </w:tbl>
    <w:p w14:paraId="79FAE4AE">
      <w:pPr>
        <w:pStyle w:val="4"/>
        <w:widowControl/>
        <w:numPr>
          <w:ilvl w:val="0"/>
          <w:numId w:val="5"/>
        </w:numPr>
        <w:tabs>
          <w:tab w:val="clear" w:pos="900"/>
        </w:tabs>
        <w:adjustRightInd/>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云基础资源服务</w:t>
      </w:r>
    </w:p>
    <w:p w14:paraId="797E3913">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云平台基础要求</w:t>
      </w:r>
    </w:p>
    <w:p w14:paraId="57305D06">
      <w:pPr>
        <w:pStyle w:val="981"/>
        <w:ind w:firstLine="40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供应商应为“余杭区政务云”提供专用的政务云平台，具体要求见下表：</w:t>
      </w:r>
    </w:p>
    <w:tbl>
      <w:tblPr>
        <w:tblStyle w:val="62"/>
        <w:tblW w:w="50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7633"/>
      </w:tblGrid>
      <w:tr w14:paraId="1830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5" w:type="pct"/>
            <w:vAlign w:val="center"/>
          </w:tcPr>
          <w:p w14:paraId="267576BB">
            <w:pPr>
              <w:pStyle w:val="521"/>
              <w:spacing w:line="36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4084" w:type="pct"/>
            <w:vAlign w:val="center"/>
          </w:tcPr>
          <w:p w14:paraId="3734EE23">
            <w:pPr>
              <w:pStyle w:val="521"/>
              <w:spacing w:line="36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1ED2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restart"/>
            <w:vAlign w:val="center"/>
          </w:tcPr>
          <w:p w14:paraId="3C8E7B1C">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建设标准</w:t>
            </w:r>
          </w:p>
        </w:tc>
        <w:tc>
          <w:tcPr>
            <w:tcW w:w="4084" w:type="pct"/>
            <w:vAlign w:val="center"/>
          </w:tcPr>
          <w:p w14:paraId="028B9A51">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采用统一管理集群资源，统一管理集群内的CPU、内存、磁盘和网络资源使得这些关键资源可以被高效地使用</w:t>
            </w:r>
            <w:r>
              <w:rPr>
                <w:rFonts w:hint="eastAsia" w:ascii="宋体" w:hAnsi="宋体" w:eastAsia="宋体" w:cs="宋体"/>
                <w:color w:val="auto"/>
                <w:kern w:val="0"/>
                <w:sz w:val="21"/>
                <w:szCs w:val="21"/>
                <w:highlight w:val="none"/>
                <w:lang w:eastAsia="zh-CN" w:bidi="ar"/>
              </w:rPr>
              <w:t>。</w:t>
            </w:r>
          </w:p>
        </w:tc>
      </w:tr>
      <w:tr w14:paraId="176A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6788FB3F">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32D5F038">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采用文件多备份的策略提高存储的可靠性</w:t>
            </w:r>
            <w:r>
              <w:rPr>
                <w:rFonts w:hint="eastAsia" w:ascii="宋体" w:hAnsi="宋体" w:eastAsia="宋体" w:cs="宋体"/>
                <w:color w:val="auto"/>
                <w:kern w:val="0"/>
                <w:sz w:val="21"/>
                <w:szCs w:val="21"/>
                <w:highlight w:val="none"/>
                <w:lang w:eastAsia="zh-CN" w:bidi="ar"/>
              </w:rPr>
              <w:t>。</w:t>
            </w:r>
          </w:p>
        </w:tc>
      </w:tr>
      <w:tr w14:paraId="2D73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7C6FF18F">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701C10FA">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根据应用对资源进行全局的调度，提高资源的利用率</w:t>
            </w:r>
            <w:r>
              <w:rPr>
                <w:rFonts w:hint="eastAsia" w:ascii="宋体" w:hAnsi="宋体" w:eastAsia="宋体" w:cs="宋体"/>
                <w:color w:val="auto"/>
                <w:kern w:val="0"/>
                <w:sz w:val="21"/>
                <w:szCs w:val="21"/>
                <w:highlight w:val="none"/>
                <w:lang w:eastAsia="zh-CN" w:bidi="ar"/>
              </w:rPr>
              <w:t>。</w:t>
            </w:r>
          </w:p>
        </w:tc>
      </w:tr>
      <w:tr w14:paraId="6D80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22068EB3">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612B5BDD">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采用自动故障切换提高系统整体的可用性</w:t>
            </w:r>
            <w:r>
              <w:rPr>
                <w:rFonts w:hint="eastAsia" w:ascii="宋体" w:hAnsi="宋体" w:eastAsia="宋体" w:cs="宋体"/>
                <w:color w:val="auto"/>
                <w:kern w:val="0"/>
                <w:sz w:val="21"/>
                <w:szCs w:val="21"/>
                <w:highlight w:val="none"/>
                <w:lang w:eastAsia="zh-CN" w:bidi="ar"/>
              </w:rPr>
              <w:t>。</w:t>
            </w:r>
          </w:p>
        </w:tc>
      </w:tr>
      <w:tr w14:paraId="141C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11161E5F">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66739E46">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采用统一的安全措施，保证政务信息的安全性</w:t>
            </w:r>
            <w:r>
              <w:rPr>
                <w:rFonts w:hint="eastAsia" w:ascii="宋体" w:hAnsi="宋体" w:eastAsia="宋体" w:cs="宋体"/>
                <w:color w:val="auto"/>
                <w:kern w:val="0"/>
                <w:sz w:val="21"/>
                <w:szCs w:val="21"/>
                <w:highlight w:val="none"/>
                <w:lang w:eastAsia="zh-CN" w:bidi="ar"/>
              </w:rPr>
              <w:t>。</w:t>
            </w:r>
          </w:p>
        </w:tc>
      </w:tr>
      <w:tr w14:paraId="7A88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423F58DB">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3DD06421">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采用统一运维的方式，提高系统的安全并降低成本</w:t>
            </w:r>
            <w:r>
              <w:rPr>
                <w:rFonts w:hint="eastAsia" w:ascii="宋体" w:hAnsi="宋体" w:eastAsia="宋体" w:cs="宋体"/>
                <w:color w:val="auto"/>
                <w:kern w:val="0"/>
                <w:sz w:val="21"/>
                <w:szCs w:val="21"/>
                <w:highlight w:val="none"/>
                <w:lang w:eastAsia="zh-CN" w:bidi="ar"/>
              </w:rPr>
              <w:t>。</w:t>
            </w:r>
          </w:p>
        </w:tc>
      </w:tr>
      <w:tr w14:paraId="4F74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395AA77B">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云平台自主知识产权</w:t>
            </w:r>
          </w:p>
        </w:tc>
        <w:tc>
          <w:tcPr>
            <w:tcW w:w="4084" w:type="pct"/>
          </w:tcPr>
          <w:p w14:paraId="5D5F05E9">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投标人所提供的平台软件，具备自主知识产权，并能够不依赖于第三方，具备对全部软件代码的自主研发、升级、及时的bug修复能力。</w:t>
            </w:r>
          </w:p>
        </w:tc>
      </w:tr>
      <w:tr w14:paraId="7041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restart"/>
            <w:vAlign w:val="center"/>
          </w:tcPr>
          <w:p w14:paraId="36AB3007">
            <w:pPr>
              <w:pStyle w:val="36"/>
              <w:spacing w:before="120" w:beforeLines="50" w:after="120" w:afterLines="50"/>
              <w:ind w:firstLine="0"/>
              <w:jc w:val="center"/>
              <w:rPr>
                <w:rFonts w:hint="eastAsia" w:ascii="宋体" w:hAnsi="宋体" w:eastAsia="宋体" w:cs="宋体"/>
                <w:color w:val="auto"/>
                <w:sz w:val="21"/>
                <w:szCs w:val="21"/>
                <w:highlight w:val="none"/>
                <w:lang w:bidi="ar"/>
              </w:rPr>
            </w:pPr>
            <w:r>
              <w:rPr>
                <w:rFonts w:hint="eastAsia" w:ascii="宋体" w:hAnsi="宋体" w:eastAsia="宋体" w:cs="宋体"/>
                <w:color w:val="auto"/>
                <w:kern w:val="2"/>
                <w:sz w:val="21"/>
                <w:szCs w:val="21"/>
                <w:highlight w:val="none"/>
              </w:rPr>
              <w:t>云平台技术</w:t>
            </w:r>
          </w:p>
        </w:tc>
        <w:tc>
          <w:tcPr>
            <w:tcW w:w="4084" w:type="pct"/>
            <w:vAlign w:val="center"/>
          </w:tcPr>
          <w:p w14:paraId="5B547DF1">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u w:val="single"/>
                <w:lang w:bidi="ar"/>
              </w:rPr>
              <w:t>★云平台要求所有产品</w:t>
            </w:r>
            <w:r>
              <w:rPr>
                <w:rFonts w:hint="eastAsia" w:ascii="宋体" w:hAnsi="宋体" w:eastAsia="宋体" w:cs="宋体"/>
                <w:b/>
                <w:bCs/>
                <w:color w:val="auto"/>
                <w:kern w:val="0"/>
                <w:sz w:val="21"/>
                <w:szCs w:val="21"/>
                <w:highlight w:val="none"/>
                <w:u w:val="single"/>
                <w:lang w:eastAsia="zh-CN" w:bidi="ar"/>
              </w:rPr>
              <w:t>（</w:t>
            </w:r>
            <w:r>
              <w:rPr>
                <w:rFonts w:hint="eastAsia" w:ascii="宋体" w:hAnsi="宋体" w:eastAsia="宋体" w:cs="宋体"/>
                <w:b/>
                <w:bCs/>
                <w:color w:val="auto"/>
                <w:kern w:val="0"/>
                <w:sz w:val="21"/>
                <w:szCs w:val="21"/>
                <w:highlight w:val="none"/>
                <w:u w:val="single"/>
                <w:lang w:bidi="ar"/>
              </w:rPr>
              <w:t>组件</w:t>
            </w:r>
            <w:r>
              <w:rPr>
                <w:rFonts w:hint="eastAsia" w:ascii="宋体" w:hAnsi="宋体" w:eastAsia="宋体" w:cs="宋体"/>
                <w:b/>
                <w:bCs/>
                <w:color w:val="auto"/>
                <w:kern w:val="0"/>
                <w:sz w:val="21"/>
                <w:szCs w:val="21"/>
                <w:highlight w:val="none"/>
                <w:u w:val="single"/>
                <w:lang w:eastAsia="zh-CN" w:bidi="ar"/>
              </w:rPr>
              <w:t>）</w:t>
            </w:r>
            <w:r>
              <w:rPr>
                <w:rFonts w:hint="eastAsia" w:ascii="宋体" w:hAnsi="宋体" w:eastAsia="宋体" w:cs="宋体"/>
                <w:b/>
                <w:bCs/>
                <w:color w:val="auto"/>
                <w:kern w:val="0"/>
                <w:sz w:val="21"/>
                <w:szCs w:val="21"/>
                <w:highlight w:val="none"/>
                <w:u w:val="single"/>
                <w:lang w:bidi="ar"/>
              </w:rPr>
              <w:t>采用分布式技术架构，能够支持鲲鹏芯片、海光芯片、飞腾芯片服务器等。采用先进调度机制实现对集群内的CPU、内存资源进行统一调度；采用先进的管理机制实现对集群内的硬盘资源进行统一的管理和分配。需提供原厂平台建设证明材料。</w:t>
            </w:r>
          </w:p>
        </w:tc>
      </w:tr>
      <w:tr w14:paraId="0705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5E64EB28">
            <w:pPr>
              <w:pStyle w:val="36"/>
              <w:spacing w:before="120" w:beforeLines="50" w:after="120" w:afterLines="50"/>
              <w:ind w:firstLine="0"/>
              <w:jc w:val="center"/>
              <w:rPr>
                <w:rFonts w:hint="eastAsia" w:ascii="宋体" w:hAnsi="宋体" w:eastAsia="宋体" w:cs="宋体"/>
                <w:color w:val="auto"/>
                <w:sz w:val="21"/>
                <w:szCs w:val="21"/>
                <w:highlight w:val="none"/>
                <w:lang w:bidi="ar"/>
              </w:rPr>
            </w:pPr>
          </w:p>
        </w:tc>
        <w:tc>
          <w:tcPr>
            <w:tcW w:w="4084" w:type="pct"/>
            <w:vAlign w:val="center"/>
          </w:tcPr>
          <w:p w14:paraId="5103B64B">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u w:val="single"/>
                <w:lang w:bidi="ar"/>
              </w:rPr>
              <w:t>★政务云平台技术基于大规模分布式计算系统内核技术架构，需提供原厂技术架构承诺说明函。</w:t>
            </w:r>
          </w:p>
        </w:tc>
      </w:tr>
      <w:tr w14:paraId="6CA3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0EDA3DC3">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市场商业化程度</w:t>
            </w:r>
          </w:p>
        </w:tc>
        <w:tc>
          <w:tcPr>
            <w:tcW w:w="4084" w:type="pct"/>
            <w:vAlign w:val="center"/>
          </w:tcPr>
          <w:p w14:paraId="46A0941D">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云服务已商业化运行，经过了市场的有效检验。</w:t>
            </w:r>
          </w:p>
        </w:tc>
      </w:tr>
      <w:tr w14:paraId="3911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2262EAFF">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政务VIP服务</w:t>
            </w:r>
          </w:p>
        </w:tc>
        <w:tc>
          <w:tcPr>
            <w:tcW w:w="4084" w:type="pct"/>
            <w:vAlign w:val="center"/>
          </w:tcPr>
          <w:p w14:paraId="1FB46FA3">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u w:val="single"/>
                <w:lang w:bidi="ar"/>
              </w:rPr>
              <w:t>★为政务用户提供VIP服务，划定余杭区政务服务逻辑专区，与省、市政务云独立运行，集中存放政务应用系统和数据资源，专区内的物理主机、存储、数据库、网络等资源不得提供给非政务用户使用。（提供承诺函，格式自拟。）</w:t>
            </w:r>
          </w:p>
        </w:tc>
      </w:tr>
      <w:tr w14:paraId="5E5C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1AA49D99">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资源管理</w:t>
            </w:r>
          </w:p>
        </w:tc>
        <w:tc>
          <w:tcPr>
            <w:tcW w:w="4084" w:type="pct"/>
            <w:vAlign w:val="center"/>
          </w:tcPr>
          <w:p w14:paraId="346DBF56">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负责调度和分配集群的内存和计算等资源给上层应用和服务，管理运行在集群节点上的任务的生命周期和资源使用。</w:t>
            </w:r>
          </w:p>
        </w:tc>
      </w:tr>
      <w:tr w14:paraId="30E0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5A21F1C8">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安全管理</w:t>
            </w:r>
          </w:p>
        </w:tc>
        <w:tc>
          <w:tcPr>
            <w:tcW w:w="4084" w:type="pct"/>
            <w:vAlign w:val="center"/>
          </w:tcPr>
          <w:p w14:paraId="5FE05675">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安全管理提供以用户为单位的身份认证和授权，对集群数据资源和服务进行访问控制生成</w:t>
            </w:r>
            <w:r>
              <w:rPr>
                <w:rFonts w:hint="eastAsia" w:ascii="宋体" w:hAnsi="宋体" w:eastAsia="宋体" w:cs="宋体"/>
                <w:color w:val="auto"/>
                <w:kern w:val="0"/>
                <w:sz w:val="21"/>
                <w:szCs w:val="21"/>
                <w:highlight w:val="none"/>
                <w:lang w:eastAsia="zh-CN" w:bidi="ar"/>
              </w:rPr>
              <w:t>。</w:t>
            </w:r>
          </w:p>
        </w:tc>
      </w:tr>
      <w:tr w14:paraId="49B1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restart"/>
            <w:vAlign w:val="center"/>
          </w:tcPr>
          <w:p w14:paraId="1BE17109">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集群部署与监控</w:t>
            </w:r>
          </w:p>
        </w:tc>
        <w:tc>
          <w:tcPr>
            <w:tcW w:w="4084" w:type="pct"/>
            <w:vAlign w:val="center"/>
          </w:tcPr>
          <w:p w14:paraId="06202FA7">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集群部署与监控提供整个政务云以及上层应用服务的部署、配置管理</w:t>
            </w:r>
            <w:r>
              <w:rPr>
                <w:rFonts w:hint="eastAsia" w:ascii="宋体" w:hAnsi="宋体" w:cs="宋体"/>
                <w:color w:val="auto"/>
                <w:kern w:val="0"/>
                <w:sz w:val="21"/>
                <w:szCs w:val="21"/>
                <w:highlight w:val="none"/>
                <w:lang w:eastAsia="zh-CN" w:bidi="ar"/>
              </w:rPr>
              <w:t>，以及</w:t>
            </w:r>
            <w:r>
              <w:rPr>
                <w:rFonts w:hint="eastAsia" w:ascii="宋体" w:hAnsi="宋体" w:eastAsia="宋体" w:cs="宋体"/>
                <w:color w:val="auto"/>
                <w:kern w:val="0"/>
                <w:sz w:val="21"/>
                <w:szCs w:val="21"/>
                <w:highlight w:val="none"/>
                <w:lang w:bidi="ar"/>
              </w:rPr>
              <w:t>服务的自检</w:t>
            </w:r>
            <w:r>
              <w:rPr>
                <w:rFonts w:hint="eastAsia" w:ascii="宋体" w:hAnsi="宋体" w:eastAsia="宋体" w:cs="宋体"/>
                <w:color w:val="auto"/>
                <w:kern w:val="0"/>
                <w:sz w:val="21"/>
                <w:szCs w:val="21"/>
                <w:highlight w:val="none"/>
                <w:lang w:eastAsia="zh-CN" w:bidi="ar"/>
              </w:rPr>
              <w:t>。</w:t>
            </w:r>
          </w:p>
        </w:tc>
      </w:tr>
      <w:tr w14:paraId="2B23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1FC7DF49">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36A5BCD2">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支持在线集群扩容</w:t>
            </w:r>
            <w:r>
              <w:rPr>
                <w:rFonts w:hint="eastAsia" w:ascii="宋体" w:hAnsi="宋体" w:eastAsia="宋体" w:cs="宋体"/>
                <w:color w:val="auto"/>
                <w:kern w:val="0"/>
                <w:sz w:val="21"/>
                <w:szCs w:val="21"/>
                <w:highlight w:val="none"/>
                <w:lang w:eastAsia="zh-CN" w:bidi="ar"/>
              </w:rPr>
              <w:t>。</w:t>
            </w:r>
          </w:p>
        </w:tc>
      </w:tr>
      <w:tr w14:paraId="50C4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 w:type="pct"/>
            <w:vMerge w:val="restart"/>
            <w:vAlign w:val="center"/>
          </w:tcPr>
          <w:p w14:paraId="734CCDD2">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平台网络要求</w:t>
            </w:r>
          </w:p>
        </w:tc>
        <w:tc>
          <w:tcPr>
            <w:tcW w:w="4084" w:type="pct"/>
            <w:vAlign w:val="center"/>
          </w:tcPr>
          <w:p w14:paraId="31C56558">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具备可与余杭区政务外网相对接的网络环境，能根据使用单位的要求，提供具备公众服务网、资源共享网和业务专网等政务专用网络IP地址的网络资源。</w:t>
            </w:r>
          </w:p>
        </w:tc>
      </w:tr>
      <w:tr w14:paraId="02C4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5CEC5709">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0AA17527">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云平台通过采用Hypervisor实现计算、存储安全隔离，采用专有网络技术实现网络安全隔离，满足政务云互联网业务、政务外网业务、部门业务安全隔离要求。</w:t>
            </w:r>
          </w:p>
        </w:tc>
      </w:tr>
      <w:tr w14:paraId="10ED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restart"/>
            <w:vAlign w:val="center"/>
          </w:tcPr>
          <w:p w14:paraId="6FBBD5F8">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运维保障</w:t>
            </w:r>
          </w:p>
        </w:tc>
        <w:tc>
          <w:tcPr>
            <w:tcW w:w="4084" w:type="pct"/>
            <w:vAlign w:val="center"/>
          </w:tcPr>
          <w:p w14:paraId="16FA4A03">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7*24小时机房运行值班监控，应急支持</w:t>
            </w:r>
            <w:r>
              <w:rPr>
                <w:rFonts w:hint="eastAsia" w:ascii="宋体" w:hAnsi="宋体" w:eastAsia="宋体" w:cs="宋体"/>
                <w:color w:val="auto"/>
                <w:kern w:val="0"/>
                <w:sz w:val="21"/>
                <w:szCs w:val="21"/>
                <w:highlight w:val="none"/>
                <w:lang w:eastAsia="zh-CN" w:bidi="ar"/>
              </w:rPr>
              <w:t>。</w:t>
            </w:r>
          </w:p>
        </w:tc>
      </w:tr>
      <w:tr w14:paraId="5226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3C2C1F82">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628754AF">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专门配属具备三年及以上云平台维护经验运维人员</w:t>
            </w:r>
            <w:r>
              <w:rPr>
                <w:rFonts w:hint="eastAsia" w:ascii="宋体" w:hAnsi="宋体" w:eastAsia="宋体" w:cs="宋体"/>
                <w:color w:val="auto"/>
                <w:kern w:val="0"/>
                <w:sz w:val="21"/>
                <w:szCs w:val="21"/>
                <w:highlight w:val="none"/>
                <w:lang w:eastAsia="zh-CN" w:bidi="ar"/>
              </w:rPr>
              <w:t>。</w:t>
            </w:r>
          </w:p>
        </w:tc>
      </w:tr>
      <w:tr w14:paraId="202E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0A276D5D">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云平台互联网出口及政务外网边界防护要求</w:t>
            </w:r>
          </w:p>
        </w:tc>
        <w:tc>
          <w:tcPr>
            <w:tcW w:w="4084" w:type="pct"/>
            <w:vAlign w:val="center"/>
          </w:tcPr>
          <w:p w14:paraId="53476547">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Hans" w:bidi="ar"/>
              </w:rPr>
              <w:t>基于防火墙、态势感知</w:t>
            </w:r>
            <w:r>
              <w:rPr>
                <w:rFonts w:hint="eastAsia" w:ascii="宋体" w:hAnsi="宋体" w:eastAsia="宋体" w:cs="宋体"/>
                <w:color w:val="auto"/>
                <w:kern w:val="0"/>
                <w:sz w:val="21"/>
                <w:szCs w:val="21"/>
                <w:highlight w:val="none"/>
                <w:lang w:bidi="ar"/>
              </w:rPr>
              <w:t>提供政务云平台互联网出口及政务外网边界防护，提供入侵防护、异常流量攻击等安全防护，提供基于IP和端口的精细化安全策略防护</w:t>
            </w:r>
            <w:r>
              <w:rPr>
                <w:rFonts w:hint="eastAsia" w:ascii="宋体" w:hAnsi="宋体" w:eastAsia="宋体" w:cs="宋体"/>
                <w:color w:val="auto"/>
                <w:kern w:val="0"/>
                <w:sz w:val="21"/>
                <w:szCs w:val="21"/>
                <w:highlight w:val="none"/>
                <w:lang w:eastAsia="zh-CN" w:bidi="ar"/>
              </w:rPr>
              <w:t>。</w:t>
            </w:r>
          </w:p>
        </w:tc>
      </w:tr>
      <w:tr w14:paraId="6575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6C91842B">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专有网络</w:t>
            </w:r>
          </w:p>
        </w:tc>
        <w:tc>
          <w:tcPr>
            <w:tcW w:w="4084" w:type="pct"/>
            <w:vAlign w:val="center"/>
          </w:tcPr>
          <w:p w14:paraId="44EAC1A0">
            <w:pPr>
              <w:widowControl/>
              <w:spacing w:line="360" w:lineRule="auto"/>
              <w:jc w:val="left"/>
              <w:textAlignment w:val="center"/>
              <w:rPr>
                <w:rFonts w:hint="eastAsia" w:ascii="宋体" w:hAnsi="宋体" w:eastAsia="宋体" w:cs="宋体"/>
                <w:color w:val="auto"/>
                <w:kern w:val="0"/>
                <w:sz w:val="21"/>
                <w:szCs w:val="21"/>
                <w:highlight w:val="none"/>
                <w:lang w:eastAsia="zh-Hans" w:bidi="ar"/>
              </w:rPr>
            </w:pPr>
            <w:r>
              <w:rPr>
                <w:rFonts w:hint="eastAsia" w:ascii="宋体" w:hAnsi="宋体" w:eastAsia="宋体" w:cs="宋体"/>
                <w:color w:val="auto"/>
                <w:kern w:val="0"/>
                <w:sz w:val="21"/>
                <w:szCs w:val="21"/>
                <w:highlight w:val="none"/>
                <w:lang w:bidi="ar"/>
              </w:rPr>
              <w:t>平台提供专有网络服务，</w:t>
            </w:r>
            <w:r>
              <w:rPr>
                <w:rFonts w:hint="eastAsia" w:ascii="宋体" w:hAnsi="宋体" w:eastAsia="宋体" w:cs="宋体"/>
                <w:color w:val="auto"/>
                <w:kern w:val="0"/>
                <w:sz w:val="21"/>
                <w:szCs w:val="21"/>
                <w:highlight w:val="none"/>
                <w:lang w:eastAsia="zh-Hans" w:bidi="ar"/>
              </w:rPr>
              <w:t>在所提供的云平台构建出一个隔离的网络环境，客户完全掌控自己的虚拟网络，包括选择自有IP地址范围、划分网段、配置路由表和网关等。</w:t>
            </w:r>
          </w:p>
        </w:tc>
      </w:tr>
      <w:tr w14:paraId="1747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066F3956">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NAT网关</w:t>
            </w:r>
          </w:p>
        </w:tc>
        <w:tc>
          <w:tcPr>
            <w:tcW w:w="4084" w:type="pct"/>
            <w:vAlign w:val="center"/>
          </w:tcPr>
          <w:p w14:paraId="412A8DF1">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平台提供NAT代理网关服务，支持NAT代理（SNAT和DNAT）功能，具有10Gbps级别的转发能力</w:t>
            </w:r>
            <w:r>
              <w:rPr>
                <w:rFonts w:hint="eastAsia" w:ascii="宋体" w:hAnsi="宋体" w:eastAsia="宋体" w:cs="宋体"/>
                <w:color w:val="auto"/>
                <w:kern w:val="0"/>
                <w:sz w:val="21"/>
                <w:szCs w:val="21"/>
                <w:highlight w:val="none"/>
                <w:lang w:eastAsia="zh-CN" w:bidi="ar"/>
              </w:rPr>
              <w:t>。</w:t>
            </w:r>
          </w:p>
        </w:tc>
      </w:tr>
      <w:tr w14:paraId="2828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Align w:val="center"/>
          </w:tcPr>
          <w:p w14:paraId="7DB3A114">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DNS服务</w:t>
            </w:r>
          </w:p>
        </w:tc>
        <w:tc>
          <w:tcPr>
            <w:tcW w:w="4084" w:type="pct"/>
            <w:vAlign w:val="center"/>
          </w:tcPr>
          <w:p w14:paraId="650B7028">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云平台内</w:t>
            </w:r>
            <w:r>
              <w:rPr>
                <w:rFonts w:hint="eastAsia" w:ascii="宋体" w:hAnsi="宋体" w:eastAsia="宋体" w:cs="宋体"/>
                <w:color w:val="auto"/>
                <w:kern w:val="0"/>
                <w:sz w:val="21"/>
                <w:szCs w:val="21"/>
                <w:highlight w:val="none"/>
                <w:lang w:eastAsia="zh-CN" w:bidi="ar"/>
              </w:rPr>
              <w:t>部提</w:t>
            </w:r>
            <w:r>
              <w:rPr>
                <w:rFonts w:hint="eastAsia" w:ascii="宋体" w:hAnsi="宋体" w:eastAsia="宋体" w:cs="宋体"/>
                <w:color w:val="auto"/>
                <w:kern w:val="0"/>
                <w:sz w:val="21"/>
                <w:szCs w:val="21"/>
                <w:highlight w:val="none"/>
                <w:lang w:bidi="ar"/>
              </w:rPr>
              <w:t>供支持域名智能解析访问服务</w:t>
            </w:r>
            <w:r>
              <w:rPr>
                <w:rFonts w:hint="eastAsia" w:ascii="宋体" w:hAnsi="宋体" w:eastAsia="宋体" w:cs="宋体"/>
                <w:color w:val="auto"/>
                <w:kern w:val="0"/>
                <w:sz w:val="21"/>
                <w:szCs w:val="21"/>
                <w:highlight w:val="none"/>
                <w:lang w:eastAsia="zh-CN" w:bidi="ar"/>
              </w:rPr>
              <w:t>。</w:t>
            </w:r>
          </w:p>
        </w:tc>
      </w:tr>
      <w:tr w14:paraId="0C1A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restart"/>
            <w:vAlign w:val="center"/>
          </w:tcPr>
          <w:p w14:paraId="06B2F41B">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云平台安全防护</w:t>
            </w:r>
          </w:p>
        </w:tc>
        <w:tc>
          <w:tcPr>
            <w:tcW w:w="4084" w:type="pct"/>
            <w:vAlign w:val="center"/>
          </w:tcPr>
          <w:p w14:paraId="01D67D1A">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提供主机安全防护：支持自动化实时入侵威胁检测、病毒查杀、漏洞智能修复、基线一键检查等功能</w:t>
            </w:r>
            <w:r>
              <w:rPr>
                <w:rFonts w:hint="eastAsia" w:ascii="宋体" w:hAnsi="宋体" w:eastAsia="宋体" w:cs="宋体"/>
                <w:color w:val="auto"/>
                <w:kern w:val="0"/>
                <w:sz w:val="21"/>
                <w:szCs w:val="21"/>
                <w:highlight w:val="none"/>
                <w:lang w:eastAsia="zh-CN" w:bidi="ar"/>
              </w:rPr>
              <w:t>。</w:t>
            </w:r>
          </w:p>
        </w:tc>
      </w:tr>
      <w:tr w14:paraId="7F7D0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5B92C824">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3CE3BA56">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态势感知：</w:t>
            </w:r>
            <w:r>
              <w:rPr>
                <w:rFonts w:hint="eastAsia" w:ascii="宋体" w:hAnsi="宋体" w:eastAsia="宋体" w:cs="宋体"/>
                <w:bCs/>
                <w:color w:val="auto"/>
                <w:sz w:val="21"/>
                <w:szCs w:val="21"/>
                <w:highlight w:val="none"/>
                <w:lang w:val="en-US" w:eastAsia="zh-CN"/>
              </w:rPr>
              <w:t>从业务单位的管理视角</w:t>
            </w:r>
            <w:r>
              <w:rPr>
                <w:rFonts w:hint="eastAsia" w:ascii="宋体" w:hAnsi="宋体" w:eastAsia="宋体" w:cs="宋体"/>
                <w:color w:val="auto"/>
                <w:kern w:val="0"/>
                <w:sz w:val="21"/>
                <w:szCs w:val="21"/>
                <w:highlight w:val="none"/>
                <w:lang w:bidi="ar"/>
              </w:rPr>
              <w:t>展现安全的整体态势和安全大屏相关信息，包括安全告警、攻击分析、云产品检查、应用白名单、资产中心、漏洞扫描和安全报告等</w:t>
            </w:r>
            <w:r>
              <w:rPr>
                <w:rFonts w:hint="eastAsia" w:ascii="宋体" w:hAnsi="宋体" w:eastAsia="宋体" w:cs="宋体"/>
                <w:color w:val="auto"/>
                <w:kern w:val="0"/>
                <w:sz w:val="21"/>
                <w:szCs w:val="21"/>
                <w:highlight w:val="none"/>
                <w:lang w:eastAsia="zh-CN" w:bidi="ar"/>
              </w:rPr>
              <w:t>。</w:t>
            </w:r>
          </w:p>
        </w:tc>
      </w:tr>
      <w:tr w14:paraId="3E42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 w:type="pct"/>
            <w:vMerge w:val="continue"/>
            <w:vAlign w:val="center"/>
          </w:tcPr>
          <w:p w14:paraId="5F00035E">
            <w:pPr>
              <w:widowControl/>
              <w:spacing w:line="360" w:lineRule="auto"/>
              <w:jc w:val="center"/>
              <w:textAlignment w:val="center"/>
              <w:rPr>
                <w:rFonts w:hint="eastAsia" w:ascii="宋体" w:hAnsi="宋体" w:eastAsia="宋体" w:cs="宋体"/>
                <w:color w:val="auto"/>
                <w:kern w:val="0"/>
                <w:sz w:val="21"/>
                <w:szCs w:val="21"/>
                <w:highlight w:val="none"/>
                <w:lang w:bidi="ar"/>
              </w:rPr>
            </w:pPr>
          </w:p>
        </w:tc>
        <w:tc>
          <w:tcPr>
            <w:tcW w:w="4084" w:type="pct"/>
            <w:vAlign w:val="center"/>
          </w:tcPr>
          <w:p w14:paraId="6B0BF4E2">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流量安全监控：</w:t>
            </w:r>
          </w:p>
          <w:p w14:paraId="09DAF7C6">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流量统计：通过流量镜像方式，旁路对进出互联交换机（ISW）</w:t>
            </w:r>
            <w:r>
              <w:rPr>
                <w:rFonts w:hint="eastAsia" w:ascii="宋体" w:hAnsi="宋体" w:eastAsia="宋体" w:cs="宋体"/>
                <w:color w:val="auto"/>
                <w:kern w:val="0"/>
                <w:sz w:val="21"/>
                <w:szCs w:val="21"/>
                <w:highlight w:val="none"/>
                <w:lang w:eastAsia="zh-CN" w:bidi="ar"/>
              </w:rPr>
              <w:t>；</w:t>
            </w:r>
          </w:p>
          <w:p w14:paraId="5F3CF9B8">
            <w:pPr>
              <w:widowControl/>
              <w:spacing w:line="360" w:lineRule="auto"/>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异常流量检测：通过流量镜像方式，旁路检测超过阈值的异常流量</w:t>
            </w:r>
            <w:r>
              <w:rPr>
                <w:rFonts w:hint="eastAsia" w:ascii="宋体" w:hAnsi="宋体" w:eastAsia="宋体" w:cs="宋体"/>
                <w:color w:val="auto"/>
                <w:kern w:val="0"/>
                <w:sz w:val="21"/>
                <w:szCs w:val="21"/>
                <w:highlight w:val="none"/>
                <w:lang w:eastAsia="zh-CN" w:bidi="ar"/>
              </w:rPr>
              <w:t>；</w:t>
            </w:r>
          </w:p>
          <w:p w14:paraId="58F62DFB">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3)Web应用攻击防护：根据默认的Web应用攻击检测规则，采用旁路阻断技术在网络层拦截常见的Web应用攻击。</w:t>
            </w:r>
          </w:p>
        </w:tc>
      </w:tr>
      <w:tr w14:paraId="1E89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5" w:type="pct"/>
            <w:vAlign w:val="center"/>
          </w:tcPr>
          <w:p w14:paraId="77B3CB6D">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平台等保合规</w:t>
            </w:r>
          </w:p>
        </w:tc>
        <w:tc>
          <w:tcPr>
            <w:tcW w:w="4084" w:type="pct"/>
            <w:vAlign w:val="center"/>
          </w:tcPr>
          <w:p w14:paraId="6ED9FA25">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政务云平台需通过国家等保三级评测认证。</w:t>
            </w:r>
          </w:p>
        </w:tc>
      </w:tr>
      <w:tr w14:paraId="2C50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5" w:type="pct"/>
            <w:vAlign w:val="center"/>
          </w:tcPr>
          <w:p w14:paraId="647C55A2">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lang w:eastAsia="zh-Hans"/>
              </w:rPr>
              <w:t>防火墙技术要求</w:t>
            </w:r>
          </w:p>
        </w:tc>
        <w:tc>
          <w:tcPr>
            <w:tcW w:w="4084" w:type="pct"/>
            <w:vAlign w:val="center"/>
          </w:tcPr>
          <w:p w14:paraId="5820DA17">
            <w:pPr>
              <w:widowControl/>
              <w:spacing w:line="360" w:lineRule="auto"/>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Cs/>
                <w:color w:val="auto"/>
                <w:sz w:val="21"/>
                <w:szCs w:val="21"/>
                <w:highlight w:val="none"/>
              </w:rPr>
              <w:t>规格：吞吐量最高12Gps，每秒最大新建连接数10万，最大并发（NAT）200万，支持入侵防御IPS、防病毒AV、网页过滤URL、流量控制QOS模块；</w:t>
            </w:r>
            <w:r>
              <w:rPr>
                <w:rFonts w:hint="eastAsia" w:ascii="宋体" w:hAnsi="宋体" w:eastAsia="宋体" w:cs="宋体"/>
                <w:bCs/>
                <w:color w:val="auto"/>
                <w:sz w:val="21"/>
                <w:szCs w:val="21"/>
                <w:highlight w:val="none"/>
                <w:lang w:val="en-US" w:eastAsia="zh-CN"/>
              </w:rPr>
              <w:t>支持万兆光口；IPV6；根据需要可扩展IPS特征库、防病毒特征库等。</w:t>
            </w:r>
          </w:p>
        </w:tc>
      </w:tr>
      <w:tr w14:paraId="577D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5" w:type="pct"/>
            <w:vMerge w:val="restart"/>
            <w:vAlign w:val="center"/>
          </w:tcPr>
          <w:p w14:paraId="3F4712E4">
            <w:pPr>
              <w:widowControl/>
              <w:spacing w:line="36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态势感知</w:t>
            </w:r>
          </w:p>
          <w:p w14:paraId="43DE9779">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lang w:eastAsia="zh-Hans"/>
              </w:rPr>
              <w:t>技术要求</w:t>
            </w:r>
          </w:p>
        </w:tc>
        <w:tc>
          <w:tcPr>
            <w:tcW w:w="4084" w:type="pct"/>
            <w:vAlign w:val="center"/>
          </w:tcPr>
          <w:p w14:paraId="0FE56C40">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可视化展示：</w:t>
            </w:r>
            <w:r>
              <w:rPr>
                <w:rFonts w:hint="eastAsia" w:ascii="宋体" w:hAnsi="宋体" w:eastAsia="宋体" w:cs="宋体"/>
                <w:bCs/>
                <w:color w:val="auto"/>
                <w:sz w:val="21"/>
                <w:szCs w:val="21"/>
                <w:highlight w:val="none"/>
                <w:lang w:val="en-US" w:eastAsia="zh-CN"/>
              </w:rPr>
              <w:t>从业务单位的管理视角</w:t>
            </w:r>
            <w:r>
              <w:rPr>
                <w:rFonts w:hint="eastAsia" w:ascii="宋体" w:hAnsi="宋体" w:eastAsia="宋体" w:cs="宋体"/>
                <w:bCs/>
                <w:color w:val="auto"/>
                <w:sz w:val="21"/>
                <w:szCs w:val="21"/>
                <w:highlight w:val="none"/>
              </w:rPr>
              <w:t>展现安全的整体态势和安全大屏相关信息。</w:t>
            </w:r>
          </w:p>
        </w:tc>
      </w:tr>
      <w:tr w14:paraId="77F3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5" w:type="pct"/>
            <w:vMerge w:val="continue"/>
            <w:vAlign w:val="center"/>
          </w:tcPr>
          <w:p w14:paraId="36906F09">
            <w:pPr>
              <w:widowControl/>
              <w:spacing w:line="360" w:lineRule="auto"/>
              <w:jc w:val="left"/>
              <w:textAlignment w:val="center"/>
              <w:rPr>
                <w:rFonts w:hint="eastAsia" w:ascii="宋体" w:hAnsi="宋体" w:eastAsia="宋体" w:cs="宋体"/>
                <w:color w:val="auto"/>
                <w:kern w:val="0"/>
                <w:sz w:val="21"/>
                <w:szCs w:val="21"/>
                <w:highlight w:val="none"/>
                <w:lang w:bidi="ar"/>
              </w:rPr>
            </w:pPr>
          </w:p>
        </w:tc>
        <w:tc>
          <w:tcPr>
            <w:tcW w:w="4084" w:type="pct"/>
            <w:vAlign w:val="center"/>
          </w:tcPr>
          <w:p w14:paraId="0C8DA78E">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安全告警：</w:t>
            </w:r>
            <w:r>
              <w:rPr>
                <w:rFonts w:hint="eastAsia" w:ascii="宋体" w:hAnsi="宋体" w:eastAsia="宋体" w:cs="宋体"/>
                <w:bCs/>
                <w:color w:val="auto"/>
                <w:sz w:val="21"/>
                <w:szCs w:val="21"/>
                <w:highlight w:val="none"/>
                <w:lang w:val="en-US" w:eastAsia="zh-CN"/>
              </w:rPr>
              <w:t>从业务单位的管理视角</w:t>
            </w:r>
            <w:r>
              <w:rPr>
                <w:rFonts w:hint="eastAsia" w:ascii="宋体" w:hAnsi="宋体" w:eastAsia="宋体" w:cs="宋体"/>
                <w:bCs/>
                <w:color w:val="auto"/>
                <w:sz w:val="21"/>
                <w:szCs w:val="21"/>
                <w:highlight w:val="none"/>
              </w:rPr>
              <w:t>展现业务系统中已经发生的安全事件。</w:t>
            </w:r>
          </w:p>
        </w:tc>
      </w:tr>
      <w:tr w14:paraId="4878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5" w:type="pct"/>
            <w:vMerge w:val="continue"/>
            <w:vAlign w:val="center"/>
          </w:tcPr>
          <w:p w14:paraId="5C9AFD4B">
            <w:pPr>
              <w:widowControl/>
              <w:spacing w:line="360" w:lineRule="auto"/>
              <w:jc w:val="left"/>
              <w:textAlignment w:val="center"/>
              <w:rPr>
                <w:rFonts w:hint="eastAsia" w:ascii="宋体" w:hAnsi="宋体" w:eastAsia="宋体" w:cs="宋体"/>
                <w:color w:val="auto"/>
                <w:kern w:val="0"/>
                <w:sz w:val="21"/>
                <w:szCs w:val="21"/>
                <w:highlight w:val="none"/>
                <w:lang w:bidi="ar"/>
              </w:rPr>
            </w:pPr>
          </w:p>
        </w:tc>
        <w:tc>
          <w:tcPr>
            <w:tcW w:w="4084" w:type="pct"/>
            <w:vAlign w:val="center"/>
          </w:tcPr>
          <w:p w14:paraId="0381F225">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攻击分析：</w:t>
            </w:r>
            <w:r>
              <w:rPr>
                <w:rFonts w:hint="eastAsia" w:ascii="宋体" w:hAnsi="宋体" w:eastAsia="宋体" w:cs="宋体"/>
                <w:bCs/>
                <w:color w:val="auto"/>
                <w:sz w:val="21"/>
                <w:szCs w:val="21"/>
                <w:highlight w:val="none"/>
                <w:lang w:val="en-US" w:eastAsia="zh-CN"/>
              </w:rPr>
              <w:t>从业务单位的管理视角</w:t>
            </w:r>
            <w:r>
              <w:rPr>
                <w:rFonts w:hint="eastAsia" w:ascii="宋体" w:hAnsi="宋体" w:eastAsia="宋体" w:cs="宋体"/>
                <w:bCs/>
                <w:color w:val="auto"/>
                <w:sz w:val="21"/>
                <w:szCs w:val="21"/>
                <w:highlight w:val="none"/>
              </w:rPr>
              <w:t>展现当前系统面临的应用攻击和暴力破解事件。</w:t>
            </w:r>
          </w:p>
        </w:tc>
      </w:tr>
      <w:tr w14:paraId="2BB8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5" w:type="pct"/>
            <w:vMerge w:val="continue"/>
            <w:vAlign w:val="center"/>
          </w:tcPr>
          <w:p w14:paraId="1B9BFCC4">
            <w:pPr>
              <w:widowControl/>
              <w:spacing w:line="360" w:lineRule="auto"/>
              <w:jc w:val="left"/>
              <w:textAlignment w:val="center"/>
              <w:rPr>
                <w:rFonts w:hint="eastAsia" w:ascii="宋体" w:hAnsi="宋体" w:eastAsia="宋体" w:cs="宋体"/>
                <w:color w:val="auto"/>
                <w:kern w:val="0"/>
                <w:sz w:val="21"/>
                <w:szCs w:val="21"/>
                <w:highlight w:val="none"/>
                <w:lang w:bidi="ar"/>
              </w:rPr>
            </w:pPr>
          </w:p>
        </w:tc>
        <w:tc>
          <w:tcPr>
            <w:tcW w:w="4084" w:type="pct"/>
            <w:vAlign w:val="center"/>
          </w:tcPr>
          <w:p w14:paraId="2D767F69">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云产品检查：检查云产品的安全配置是否存在安全隐患。</w:t>
            </w:r>
          </w:p>
        </w:tc>
      </w:tr>
      <w:tr w14:paraId="3B9F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5" w:type="pct"/>
            <w:vMerge w:val="continue"/>
            <w:vAlign w:val="center"/>
          </w:tcPr>
          <w:p w14:paraId="1187E6CE">
            <w:pPr>
              <w:widowControl/>
              <w:spacing w:line="360" w:lineRule="auto"/>
              <w:jc w:val="left"/>
              <w:textAlignment w:val="center"/>
              <w:rPr>
                <w:rFonts w:hint="eastAsia" w:ascii="宋体" w:hAnsi="宋体" w:eastAsia="宋体" w:cs="宋体"/>
                <w:color w:val="auto"/>
                <w:kern w:val="0"/>
                <w:sz w:val="21"/>
                <w:szCs w:val="21"/>
                <w:highlight w:val="none"/>
                <w:lang w:bidi="ar"/>
              </w:rPr>
            </w:pPr>
          </w:p>
        </w:tc>
        <w:tc>
          <w:tcPr>
            <w:tcW w:w="4084" w:type="pct"/>
            <w:vAlign w:val="center"/>
          </w:tcPr>
          <w:p w14:paraId="310B2B47">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应用白名单：将需要重点防御的服务器</w:t>
            </w:r>
            <w:r>
              <w:rPr>
                <w:rFonts w:hint="eastAsia" w:ascii="宋体" w:hAnsi="宋体" w:cs="宋体"/>
                <w:bCs/>
                <w:color w:val="auto"/>
                <w:sz w:val="21"/>
                <w:szCs w:val="21"/>
                <w:highlight w:val="none"/>
                <w:lang w:eastAsia="zh-CN"/>
              </w:rPr>
              <w:t>加入</w:t>
            </w:r>
            <w:r>
              <w:rPr>
                <w:rFonts w:hint="eastAsia" w:ascii="宋体" w:hAnsi="宋体" w:eastAsia="宋体" w:cs="宋体"/>
                <w:bCs/>
                <w:color w:val="auto"/>
                <w:sz w:val="21"/>
                <w:szCs w:val="21"/>
                <w:highlight w:val="none"/>
              </w:rPr>
              <w:t>白名单中，通过检测白名单中指定的应用程序区分可信、可疑和恶意程序，防止未经白名单授权的程序运行。</w:t>
            </w:r>
          </w:p>
        </w:tc>
      </w:tr>
      <w:tr w14:paraId="21E0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5" w:type="pct"/>
            <w:vMerge w:val="continue"/>
            <w:vAlign w:val="center"/>
          </w:tcPr>
          <w:p w14:paraId="41DEBB5C">
            <w:pPr>
              <w:widowControl/>
              <w:spacing w:line="360" w:lineRule="auto"/>
              <w:jc w:val="left"/>
              <w:textAlignment w:val="center"/>
              <w:rPr>
                <w:rFonts w:hint="eastAsia" w:ascii="宋体" w:hAnsi="宋体" w:eastAsia="宋体" w:cs="宋体"/>
                <w:color w:val="auto"/>
                <w:kern w:val="0"/>
                <w:sz w:val="21"/>
                <w:szCs w:val="21"/>
                <w:highlight w:val="none"/>
                <w:lang w:bidi="ar"/>
              </w:rPr>
            </w:pPr>
          </w:p>
        </w:tc>
        <w:tc>
          <w:tcPr>
            <w:tcW w:w="4084" w:type="pct"/>
            <w:vAlign w:val="center"/>
          </w:tcPr>
          <w:p w14:paraId="6099F3A4">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资产管理：管理专有云环境中的服务器和云产品。</w:t>
            </w:r>
          </w:p>
        </w:tc>
      </w:tr>
      <w:tr w14:paraId="3593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15" w:type="pct"/>
            <w:vMerge w:val="continue"/>
            <w:vAlign w:val="center"/>
          </w:tcPr>
          <w:p w14:paraId="2CCD28A2">
            <w:pPr>
              <w:widowControl/>
              <w:spacing w:line="360" w:lineRule="auto"/>
              <w:jc w:val="left"/>
              <w:textAlignment w:val="center"/>
              <w:rPr>
                <w:rFonts w:hint="eastAsia" w:ascii="宋体" w:hAnsi="宋体" w:eastAsia="宋体" w:cs="宋体"/>
                <w:color w:val="auto"/>
                <w:kern w:val="0"/>
                <w:sz w:val="21"/>
                <w:szCs w:val="21"/>
                <w:highlight w:val="none"/>
                <w:lang w:bidi="ar"/>
              </w:rPr>
            </w:pPr>
          </w:p>
        </w:tc>
        <w:tc>
          <w:tcPr>
            <w:tcW w:w="4084" w:type="pct"/>
            <w:vAlign w:val="center"/>
          </w:tcPr>
          <w:p w14:paraId="3F1FB2B8">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漏洞扫描：</w:t>
            </w:r>
            <w:r>
              <w:rPr>
                <w:rFonts w:hint="eastAsia" w:ascii="宋体" w:hAnsi="宋体" w:eastAsia="宋体" w:cs="宋体"/>
                <w:bCs/>
                <w:color w:val="auto"/>
                <w:sz w:val="21"/>
                <w:szCs w:val="21"/>
                <w:highlight w:val="none"/>
                <w:lang w:val="en-US" w:eastAsia="zh-CN"/>
              </w:rPr>
              <w:t>从业务单位的管理视角</w:t>
            </w:r>
            <w:r>
              <w:rPr>
                <w:rFonts w:hint="eastAsia" w:ascii="宋体" w:hAnsi="宋体" w:eastAsia="宋体" w:cs="宋体"/>
                <w:bCs/>
                <w:color w:val="auto"/>
                <w:sz w:val="21"/>
                <w:szCs w:val="21"/>
                <w:highlight w:val="none"/>
              </w:rPr>
              <w:t>展现系统中存在的漏洞和缺陷。</w:t>
            </w:r>
          </w:p>
        </w:tc>
      </w:tr>
      <w:tr w14:paraId="4923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15" w:type="pct"/>
            <w:vMerge w:val="continue"/>
            <w:vAlign w:val="center"/>
          </w:tcPr>
          <w:p w14:paraId="1B9A3153">
            <w:pPr>
              <w:widowControl/>
              <w:spacing w:line="360" w:lineRule="auto"/>
              <w:jc w:val="left"/>
              <w:textAlignment w:val="center"/>
              <w:rPr>
                <w:rFonts w:hint="eastAsia" w:ascii="宋体" w:hAnsi="宋体" w:eastAsia="宋体" w:cs="宋体"/>
                <w:color w:val="auto"/>
                <w:kern w:val="0"/>
                <w:sz w:val="21"/>
                <w:szCs w:val="21"/>
                <w:highlight w:val="none"/>
                <w:lang w:bidi="ar"/>
              </w:rPr>
            </w:pPr>
          </w:p>
        </w:tc>
        <w:tc>
          <w:tcPr>
            <w:tcW w:w="4084" w:type="pct"/>
            <w:vAlign w:val="center"/>
          </w:tcPr>
          <w:p w14:paraId="7461A38C">
            <w:pPr>
              <w:widowControl/>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sz w:val="21"/>
                <w:szCs w:val="21"/>
                <w:highlight w:val="none"/>
              </w:rPr>
              <w:t>安全报告：配置政务云平台安全报告任务。</w:t>
            </w:r>
          </w:p>
        </w:tc>
      </w:tr>
    </w:tbl>
    <w:p w14:paraId="2B5F4A37">
      <w:pPr>
        <w:pStyle w:val="584"/>
        <w:keepNext/>
        <w:keepLines/>
        <w:numPr>
          <w:ilvl w:val="4"/>
          <w:numId w:val="0"/>
        </w:numPr>
        <w:spacing w:before="120" w:beforeLines="0" w:after="120"/>
        <w:jc w:val="left"/>
        <w:outlineLvl w:val="4"/>
        <w:rPr>
          <w:rFonts w:hint="eastAsia" w:ascii="宋体" w:hAnsi="宋体" w:eastAsia="宋体" w:cs="宋体"/>
          <w:color w:val="auto"/>
          <w:sz w:val="21"/>
          <w:szCs w:val="21"/>
          <w:highlight w:val="none"/>
        </w:rPr>
      </w:pPr>
      <w:bookmarkStart w:id="34" w:name="_Toc39140757"/>
      <w:r>
        <w:rPr>
          <w:rFonts w:hint="eastAsia" w:ascii="宋体" w:hAnsi="宋体" w:eastAsia="宋体" w:cs="宋体"/>
          <w:color w:val="auto"/>
          <w:sz w:val="21"/>
          <w:szCs w:val="21"/>
          <w:highlight w:val="none"/>
        </w:rPr>
        <w:t>2.1 弹性计算</w:t>
      </w:r>
      <w:bookmarkEnd w:id="34"/>
      <w:r>
        <w:rPr>
          <w:rFonts w:hint="eastAsia" w:ascii="宋体" w:hAnsi="宋体" w:eastAsia="宋体" w:cs="宋体"/>
          <w:color w:val="auto"/>
          <w:sz w:val="21"/>
          <w:szCs w:val="21"/>
          <w:highlight w:val="none"/>
        </w:rPr>
        <w:t>（云服务器）</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7622"/>
      </w:tblGrid>
      <w:tr w14:paraId="2846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tcBorders>
              <w:top w:val="single" w:color="auto" w:sz="4" w:space="0"/>
              <w:left w:val="single" w:color="auto" w:sz="4" w:space="0"/>
              <w:bottom w:val="single" w:color="auto" w:sz="4" w:space="0"/>
              <w:right w:val="single" w:color="auto" w:sz="4" w:space="0"/>
            </w:tcBorders>
            <w:vAlign w:val="center"/>
          </w:tcPr>
          <w:p w14:paraId="16C3A41C">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4102" w:type="pct"/>
            <w:tcBorders>
              <w:top w:val="single" w:color="auto" w:sz="4" w:space="0"/>
              <w:left w:val="single" w:color="auto" w:sz="4" w:space="0"/>
              <w:bottom w:val="single" w:color="auto" w:sz="4" w:space="0"/>
              <w:right w:val="single" w:color="auto" w:sz="4" w:space="0"/>
            </w:tcBorders>
            <w:vAlign w:val="center"/>
          </w:tcPr>
          <w:p w14:paraId="6B463C54">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0BAC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tcBorders>
              <w:top w:val="single" w:color="auto" w:sz="4" w:space="0"/>
              <w:left w:val="single" w:color="auto" w:sz="4" w:space="0"/>
              <w:bottom w:val="single" w:color="auto" w:sz="4" w:space="0"/>
              <w:right w:val="single" w:color="auto" w:sz="4" w:space="0"/>
            </w:tcBorders>
            <w:vAlign w:val="center"/>
          </w:tcPr>
          <w:p w14:paraId="6E18800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4102" w:type="pct"/>
            <w:tcBorders>
              <w:top w:val="single" w:color="auto" w:sz="4" w:space="0"/>
              <w:left w:val="single" w:color="auto" w:sz="4" w:space="0"/>
              <w:bottom w:val="single" w:color="auto" w:sz="4" w:space="0"/>
              <w:right w:val="single" w:color="auto" w:sz="4" w:space="0"/>
            </w:tcBorders>
            <w:vAlign w:val="center"/>
          </w:tcPr>
          <w:p w14:paraId="10D5F83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根据用户的需求动态</w:t>
            </w: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rPr>
              <w:t>创建和分配计算资源与存储资源</w:t>
            </w:r>
            <w:r>
              <w:rPr>
                <w:rFonts w:hint="eastAsia" w:ascii="宋体" w:hAnsi="宋体" w:eastAsia="宋体" w:cs="宋体"/>
                <w:color w:val="auto"/>
                <w:sz w:val="21"/>
                <w:szCs w:val="21"/>
                <w:highlight w:val="none"/>
                <w:lang w:eastAsia="zh-CN"/>
              </w:rPr>
              <w:t>。</w:t>
            </w:r>
          </w:p>
        </w:tc>
      </w:tr>
      <w:tr w14:paraId="63E9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restart"/>
            <w:tcBorders>
              <w:top w:val="single" w:color="auto" w:sz="4" w:space="0"/>
              <w:left w:val="single" w:color="auto" w:sz="4" w:space="0"/>
              <w:bottom w:val="single" w:color="auto" w:sz="4" w:space="0"/>
              <w:right w:val="single" w:color="auto" w:sz="4" w:space="0"/>
            </w:tcBorders>
            <w:vAlign w:val="center"/>
          </w:tcPr>
          <w:p w14:paraId="74BF8BD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4102" w:type="pct"/>
            <w:tcBorders>
              <w:top w:val="single" w:color="auto" w:sz="4" w:space="0"/>
              <w:left w:val="single" w:color="auto" w:sz="4" w:space="0"/>
              <w:bottom w:val="single" w:color="auto" w:sz="4" w:space="0"/>
              <w:right w:val="single" w:color="auto" w:sz="4" w:space="0"/>
            </w:tcBorders>
            <w:vAlign w:val="center"/>
          </w:tcPr>
          <w:p w14:paraId="68EEDBF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云服务器创建。创建后，云服务器已包含有操作系统，可立即使用，从创建到启动在5分钟以内。</w:t>
            </w:r>
          </w:p>
        </w:tc>
      </w:tr>
      <w:tr w14:paraId="4A6F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169839F8">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1D96B49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云服务器提供快照制作，快照回滚，自定义image，动态升级，可以为每块磁盘创建64个快照；支持设置自动快照策略</w:t>
            </w:r>
            <w:r>
              <w:rPr>
                <w:rFonts w:hint="eastAsia" w:ascii="宋体" w:hAnsi="宋体" w:eastAsia="宋体" w:cs="宋体"/>
                <w:color w:val="auto"/>
                <w:sz w:val="21"/>
                <w:szCs w:val="21"/>
                <w:highlight w:val="none"/>
                <w:lang w:eastAsia="zh-CN"/>
              </w:rPr>
              <w:t>。</w:t>
            </w:r>
          </w:p>
        </w:tc>
      </w:tr>
      <w:tr w14:paraId="60E2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6FDB1FCD">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38960E9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支持虚拟机故障切换，在线迁移；</w:t>
            </w:r>
            <w:bookmarkStart w:id="35" w:name="_Hlk45198388"/>
            <w:r>
              <w:rPr>
                <w:rFonts w:hint="eastAsia" w:ascii="宋体" w:hAnsi="宋体" w:eastAsia="宋体" w:cs="宋体"/>
                <w:color w:val="auto"/>
                <w:sz w:val="21"/>
                <w:szCs w:val="21"/>
                <w:highlight w:val="none"/>
              </w:rPr>
              <w:t>支持宿主机宕机迁移</w:t>
            </w:r>
            <w:bookmarkEnd w:id="35"/>
            <w:r>
              <w:rPr>
                <w:rFonts w:hint="eastAsia" w:ascii="宋体" w:hAnsi="宋体" w:eastAsia="宋体" w:cs="宋体"/>
                <w:color w:val="auto"/>
                <w:sz w:val="21"/>
                <w:szCs w:val="21"/>
                <w:highlight w:val="none"/>
                <w:lang w:eastAsia="zh-CN"/>
              </w:rPr>
              <w:t>。</w:t>
            </w:r>
          </w:p>
        </w:tc>
      </w:tr>
      <w:tr w14:paraId="2932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3E737B7F">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2998C99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主机之间网络访问逻辑隔离，支持创建和管理安全组；提供安全组的创建、修改、删除以及批量删除等功能</w:t>
            </w:r>
            <w:r>
              <w:rPr>
                <w:rFonts w:hint="eastAsia" w:ascii="宋体" w:hAnsi="宋体" w:eastAsia="宋体" w:cs="宋体"/>
                <w:color w:val="auto"/>
                <w:sz w:val="21"/>
                <w:szCs w:val="21"/>
                <w:highlight w:val="none"/>
                <w:lang w:eastAsia="zh-CN"/>
              </w:rPr>
              <w:t>。</w:t>
            </w:r>
          </w:p>
        </w:tc>
      </w:tr>
      <w:tr w14:paraId="4F6F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3D2EC57E">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6EA0670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支持云主机网络防ARP欺骗，支持防DDos攻击，提供流量清洗服务</w:t>
            </w:r>
            <w:r>
              <w:rPr>
                <w:rFonts w:hint="eastAsia" w:ascii="宋体" w:hAnsi="宋体" w:eastAsia="宋体" w:cs="宋体"/>
                <w:color w:val="auto"/>
                <w:sz w:val="21"/>
                <w:szCs w:val="21"/>
                <w:highlight w:val="none"/>
                <w:lang w:eastAsia="zh-CN"/>
              </w:rPr>
              <w:t>。</w:t>
            </w:r>
          </w:p>
        </w:tc>
      </w:tr>
      <w:tr w14:paraId="7886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320BCDC0">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0DB9FA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支持云主机生命周期管理和维护，包括但不限于创建、启动、关闭、重启等。</w:t>
            </w:r>
          </w:p>
        </w:tc>
      </w:tr>
      <w:tr w14:paraId="53CF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7E84953E">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7C090857">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云服务器工作节点采用分布式高可用架构（支持HA功能），保障云服务器的高可用性；支持资源独享模式，保障关键业务云服务器稳定运行</w:t>
            </w:r>
            <w:r>
              <w:rPr>
                <w:rFonts w:hint="eastAsia" w:ascii="宋体" w:hAnsi="宋体" w:eastAsia="宋体" w:cs="宋体"/>
                <w:color w:val="auto"/>
                <w:sz w:val="21"/>
                <w:szCs w:val="21"/>
                <w:highlight w:val="none"/>
                <w:lang w:eastAsia="zh-CN"/>
              </w:rPr>
              <w:t>。</w:t>
            </w:r>
          </w:p>
        </w:tc>
      </w:tr>
      <w:tr w14:paraId="639E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5BD02A05">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33983DF7">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虚拟机监控管理：提供性能监测分析、异常告警等功能</w:t>
            </w:r>
            <w:r>
              <w:rPr>
                <w:rFonts w:hint="eastAsia" w:ascii="宋体" w:hAnsi="宋体" w:eastAsia="宋体" w:cs="宋体"/>
                <w:color w:val="auto"/>
                <w:sz w:val="21"/>
                <w:szCs w:val="21"/>
                <w:highlight w:val="none"/>
                <w:lang w:eastAsia="zh-CN"/>
              </w:rPr>
              <w:t>。</w:t>
            </w:r>
          </w:p>
        </w:tc>
      </w:tr>
      <w:tr w14:paraId="063C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799994A2">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043CEE21">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资源调度：支持统筹管理集群中物理服务器的负荷情况，择优选择合适的物理机部署</w:t>
            </w:r>
            <w:r>
              <w:rPr>
                <w:rFonts w:hint="eastAsia" w:ascii="宋体" w:hAnsi="宋体" w:eastAsia="宋体" w:cs="宋体"/>
                <w:color w:val="auto"/>
                <w:sz w:val="21"/>
                <w:szCs w:val="21"/>
                <w:highlight w:val="none"/>
                <w:lang w:eastAsia="zh-CN"/>
              </w:rPr>
              <w:t>。</w:t>
            </w:r>
          </w:p>
        </w:tc>
      </w:tr>
      <w:tr w14:paraId="698A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5CEC1263">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50051664">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支持资源开通时指定IP地址</w:t>
            </w:r>
            <w:r>
              <w:rPr>
                <w:rFonts w:hint="eastAsia" w:ascii="宋体" w:hAnsi="宋体" w:eastAsia="宋体" w:cs="宋体"/>
                <w:color w:val="auto"/>
                <w:sz w:val="21"/>
                <w:szCs w:val="21"/>
                <w:highlight w:val="none"/>
                <w:lang w:eastAsia="zh-CN"/>
              </w:rPr>
              <w:t>。</w:t>
            </w:r>
          </w:p>
        </w:tc>
      </w:tr>
      <w:tr w14:paraId="6FE8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4E439B34">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4435BB1D">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u w:val="single"/>
                <w:lang w:bidi="ar"/>
              </w:rPr>
              <w:t>★支持用户通过VNC方式远程访问云主机，同时支持用户设置云主机VNC密码（非系统密码），并能在用户VNC访问时进行VNC密码认证，保证终端用户对云主机的安全访问。需提供云平台原厂出具的证明材料。</w:t>
            </w:r>
          </w:p>
        </w:tc>
      </w:tr>
      <w:tr w14:paraId="2072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1DB55CA8">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20366A5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分布式文件存储，云服务器数据在云计算平台有三份（含）以上数据拷贝，单份数据损坏对云服务器使用</w:t>
            </w:r>
            <w:r>
              <w:rPr>
                <w:rFonts w:hint="eastAsia" w:ascii="宋体" w:hAnsi="宋体" w:cs="宋体"/>
                <w:color w:val="auto"/>
                <w:sz w:val="21"/>
                <w:szCs w:val="21"/>
                <w:highlight w:val="none"/>
                <w:lang w:eastAsia="zh-CN"/>
              </w:rPr>
              <w:t>没有</w:t>
            </w:r>
            <w:r>
              <w:rPr>
                <w:rFonts w:hint="eastAsia" w:ascii="宋体" w:hAnsi="宋体" w:eastAsia="宋体" w:cs="宋体"/>
                <w:color w:val="auto"/>
                <w:sz w:val="21"/>
                <w:szCs w:val="21"/>
                <w:highlight w:val="none"/>
              </w:rPr>
              <w:t>任何影响，且一份数据损坏后，后台系统会自动拷贝，使数据始终保证三重备份。</w:t>
            </w:r>
          </w:p>
        </w:tc>
      </w:tr>
      <w:tr w14:paraId="6E70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restart"/>
            <w:tcBorders>
              <w:top w:val="single" w:color="auto" w:sz="4" w:space="0"/>
              <w:left w:val="single" w:color="auto" w:sz="4" w:space="0"/>
              <w:bottom w:val="single" w:color="auto" w:sz="4" w:space="0"/>
              <w:right w:val="single" w:color="auto" w:sz="4" w:space="0"/>
            </w:tcBorders>
            <w:vAlign w:val="center"/>
          </w:tcPr>
          <w:p w14:paraId="39A2E16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4102" w:type="pct"/>
            <w:tcBorders>
              <w:top w:val="single" w:color="auto" w:sz="4" w:space="0"/>
              <w:left w:val="single" w:color="auto" w:sz="4" w:space="0"/>
              <w:bottom w:val="single" w:color="auto" w:sz="4" w:space="0"/>
              <w:right w:val="single" w:color="auto" w:sz="4" w:space="0"/>
            </w:tcBorders>
            <w:vAlign w:val="center"/>
          </w:tcPr>
          <w:p w14:paraId="47A0BD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内存可选范围1-128G</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内存性能不低于物理内存性能。</w:t>
            </w:r>
          </w:p>
        </w:tc>
      </w:tr>
      <w:tr w14:paraId="2450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14:paraId="7E6D14F2">
            <w:pPr>
              <w:widowControl/>
              <w:spacing w:line="360" w:lineRule="auto"/>
              <w:jc w:val="left"/>
              <w:rPr>
                <w:rFonts w:hint="eastAsia" w:ascii="宋体" w:hAnsi="宋体" w:eastAsia="宋体" w:cs="宋体"/>
                <w:color w:val="auto"/>
                <w:sz w:val="21"/>
                <w:szCs w:val="21"/>
                <w:highlight w:val="none"/>
              </w:rPr>
            </w:pPr>
          </w:p>
        </w:tc>
        <w:tc>
          <w:tcPr>
            <w:tcW w:w="4102" w:type="pct"/>
            <w:tcBorders>
              <w:top w:val="single" w:color="auto" w:sz="4" w:space="0"/>
              <w:left w:val="single" w:color="auto" w:sz="4" w:space="0"/>
              <w:bottom w:val="single" w:color="auto" w:sz="4" w:space="0"/>
              <w:right w:val="single" w:color="auto" w:sz="4" w:space="0"/>
            </w:tcBorders>
            <w:vAlign w:val="center"/>
          </w:tcPr>
          <w:p w14:paraId="3862009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支持故障切换，动态迁移，数据备份等，保障业务的连续性。</w:t>
            </w:r>
          </w:p>
        </w:tc>
      </w:tr>
      <w:tr w14:paraId="2145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tcBorders>
              <w:top w:val="single" w:color="auto" w:sz="4" w:space="0"/>
              <w:left w:val="single" w:color="auto" w:sz="4" w:space="0"/>
              <w:right w:val="single" w:color="auto" w:sz="4" w:space="0"/>
            </w:tcBorders>
            <w:vAlign w:val="center"/>
          </w:tcPr>
          <w:p w14:paraId="3C322CD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操作系统</w:t>
            </w:r>
          </w:p>
        </w:tc>
        <w:tc>
          <w:tcPr>
            <w:tcW w:w="4102" w:type="pct"/>
            <w:tcBorders>
              <w:top w:val="single" w:color="auto" w:sz="4" w:space="0"/>
              <w:left w:val="single" w:color="auto" w:sz="4" w:space="0"/>
              <w:bottom w:val="single" w:color="auto" w:sz="4" w:space="0"/>
              <w:right w:val="single" w:color="auto" w:sz="4" w:space="0"/>
            </w:tcBorders>
            <w:vAlign w:val="center"/>
          </w:tcPr>
          <w:p w14:paraId="267CCAD1">
            <w:pPr>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u w:val="single"/>
                <w:lang w:bidi="ar"/>
              </w:rPr>
              <w:t>★提供符合规范的主流操作系统，禁止提供CentOS操作系统，需提供承诺函和使用截图证明。</w:t>
            </w:r>
          </w:p>
        </w:tc>
      </w:tr>
      <w:tr w14:paraId="5BF7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pct"/>
            <w:tcBorders>
              <w:top w:val="single" w:color="auto" w:sz="4" w:space="0"/>
              <w:left w:val="single" w:color="auto" w:sz="4" w:space="0"/>
              <w:right w:val="single" w:color="auto" w:sz="4" w:space="0"/>
            </w:tcBorders>
            <w:vAlign w:val="center"/>
          </w:tcPr>
          <w:p w14:paraId="7B62961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主机磁盘</w:t>
            </w:r>
          </w:p>
        </w:tc>
        <w:tc>
          <w:tcPr>
            <w:tcW w:w="4102" w:type="pct"/>
            <w:tcBorders>
              <w:top w:val="single" w:color="auto" w:sz="4" w:space="0"/>
              <w:left w:val="single" w:color="auto" w:sz="4" w:space="0"/>
              <w:bottom w:val="single" w:color="auto" w:sz="4" w:space="0"/>
              <w:right w:val="single" w:color="auto" w:sz="4" w:space="0"/>
            </w:tcBorders>
            <w:vAlign w:val="center"/>
          </w:tcPr>
          <w:p w14:paraId="0E1DE5F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提供高效云盘</w:t>
            </w:r>
            <w:r>
              <w:rPr>
                <w:rFonts w:hint="eastAsia" w:ascii="宋体" w:hAnsi="宋体" w:eastAsia="宋体" w:cs="宋体"/>
                <w:color w:val="auto"/>
                <w:sz w:val="21"/>
                <w:szCs w:val="21"/>
                <w:highlight w:val="none"/>
                <w:lang w:eastAsia="zh-CN"/>
              </w:rPr>
              <w:t>。</w:t>
            </w:r>
          </w:p>
        </w:tc>
      </w:tr>
    </w:tbl>
    <w:p w14:paraId="1EFC69E9">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快照备份服务</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7613"/>
      </w:tblGrid>
      <w:tr w14:paraId="2C28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2" w:type="pct"/>
            <w:vAlign w:val="center"/>
          </w:tcPr>
          <w:p w14:paraId="00A4A5F8">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指标项</w:t>
            </w:r>
          </w:p>
        </w:tc>
        <w:tc>
          <w:tcPr>
            <w:tcW w:w="4097" w:type="pct"/>
            <w:vAlign w:val="center"/>
          </w:tcPr>
          <w:p w14:paraId="3B3FDDC6">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规格要求</w:t>
            </w:r>
          </w:p>
        </w:tc>
      </w:tr>
      <w:tr w14:paraId="2493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restart"/>
            <w:vAlign w:val="center"/>
          </w:tcPr>
          <w:p w14:paraId="1E383B2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云服务器磁盘数据备份</w:t>
            </w:r>
          </w:p>
        </w:tc>
        <w:tc>
          <w:tcPr>
            <w:tcW w:w="4097" w:type="pct"/>
          </w:tcPr>
          <w:p w14:paraId="2C46C4E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磁盘数据提供快照备份，可以为每块磁盘创建64个快照；支持设置自动快照备份策略；自定义镜像和快照回滚</w:t>
            </w:r>
            <w:r>
              <w:rPr>
                <w:rFonts w:hint="eastAsia" w:ascii="宋体" w:hAnsi="宋体" w:eastAsia="宋体" w:cs="宋体"/>
                <w:color w:val="auto"/>
                <w:sz w:val="21"/>
                <w:szCs w:val="21"/>
                <w:highlight w:val="none"/>
                <w:lang w:eastAsia="zh-CN"/>
              </w:rPr>
              <w:t>。</w:t>
            </w:r>
          </w:p>
        </w:tc>
      </w:tr>
      <w:tr w14:paraId="127C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pct"/>
            <w:vMerge w:val="continue"/>
          </w:tcPr>
          <w:p w14:paraId="00AAE113">
            <w:pPr>
              <w:spacing w:line="360" w:lineRule="auto"/>
              <w:jc w:val="center"/>
              <w:rPr>
                <w:rFonts w:hint="eastAsia" w:ascii="宋体" w:hAnsi="宋体" w:eastAsia="宋体" w:cs="宋体"/>
                <w:color w:val="auto"/>
                <w:sz w:val="21"/>
                <w:szCs w:val="21"/>
                <w:highlight w:val="none"/>
                <w:lang w:bidi="ar"/>
              </w:rPr>
            </w:pPr>
          </w:p>
        </w:tc>
        <w:tc>
          <w:tcPr>
            <w:tcW w:w="4097" w:type="pct"/>
          </w:tcPr>
          <w:p w14:paraId="26A6B93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云服务器数据在云计算平台有三份（含）以上数据备份存储，单份数据损坏对云服务器使用</w:t>
            </w:r>
            <w:r>
              <w:rPr>
                <w:rFonts w:hint="eastAsia" w:ascii="宋体" w:hAnsi="宋体" w:eastAsia="宋体" w:cs="宋体"/>
                <w:color w:val="auto"/>
                <w:sz w:val="21"/>
                <w:szCs w:val="21"/>
                <w:highlight w:val="none"/>
                <w:lang w:eastAsia="zh-CN"/>
              </w:rPr>
              <w:t>没有</w:t>
            </w:r>
            <w:r>
              <w:rPr>
                <w:rFonts w:hint="eastAsia" w:ascii="宋体" w:hAnsi="宋体" w:eastAsia="宋体" w:cs="宋体"/>
                <w:color w:val="auto"/>
                <w:sz w:val="21"/>
                <w:szCs w:val="21"/>
                <w:highlight w:val="none"/>
              </w:rPr>
              <w:t>任何影响，且一份数据损坏后，后台系统会自动拷贝，使数据始终保证三重备份</w:t>
            </w:r>
            <w:r>
              <w:rPr>
                <w:rFonts w:hint="eastAsia" w:ascii="宋体" w:hAnsi="宋体" w:eastAsia="宋体" w:cs="宋体"/>
                <w:color w:val="auto"/>
                <w:sz w:val="21"/>
                <w:szCs w:val="21"/>
                <w:highlight w:val="none"/>
                <w:lang w:eastAsia="zh-CN"/>
              </w:rPr>
              <w:t>。</w:t>
            </w:r>
          </w:p>
        </w:tc>
      </w:tr>
    </w:tbl>
    <w:p w14:paraId="11E4BB90">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GPU 云服务器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7619"/>
      </w:tblGrid>
      <w:tr w14:paraId="291C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tcBorders>
              <w:top w:val="single" w:color="auto" w:sz="4" w:space="0"/>
              <w:left w:val="single" w:color="auto" w:sz="4" w:space="0"/>
              <w:bottom w:val="single" w:color="auto" w:sz="4" w:space="0"/>
              <w:right w:val="single" w:color="auto" w:sz="4" w:space="0"/>
            </w:tcBorders>
            <w:vAlign w:val="center"/>
          </w:tcPr>
          <w:p w14:paraId="6F19703E">
            <w:pPr>
              <w:pStyle w:val="981"/>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指标项</w:t>
            </w:r>
          </w:p>
        </w:tc>
        <w:tc>
          <w:tcPr>
            <w:tcW w:w="7619" w:type="dxa"/>
            <w:tcBorders>
              <w:top w:val="single" w:color="auto" w:sz="4" w:space="0"/>
              <w:left w:val="single" w:color="auto" w:sz="4" w:space="0"/>
              <w:bottom w:val="single" w:color="auto" w:sz="4" w:space="0"/>
              <w:right w:val="single" w:color="auto" w:sz="4" w:space="0"/>
            </w:tcBorders>
            <w:vAlign w:val="center"/>
          </w:tcPr>
          <w:p w14:paraId="465BCB4C">
            <w:pPr>
              <w:pStyle w:val="981"/>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规格要求</w:t>
            </w:r>
          </w:p>
        </w:tc>
      </w:tr>
      <w:tr w14:paraId="4654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Merge w:val="restart"/>
            <w:tcBorders>
              <w:top w:val="single" w:color="auto" w:sz="4" w:space="0"/>
              <w:left w:val="single" w:color="auto" w:sz="4" w:space="0"/>
              <w:right w:val="single" w:color="auto" w:sz="4" w:space="0"/>
            </w:tcBorders>
            <w:vAlign w:val="center"/>
          </w:tcPr>
          <w:p w14:paraId="363C21A2">
            <w:pPr>
              <w:pStyle w:val="981"/>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619" w:type="dxa"/>
            <w:tcBorders>
              <w:top w:val="single" w:color="auto" w:sz="4" w:space="0"/>
              <w:left w:val="single" w:color="auto" w:sz="4" w:space="0"/>
              <w:bottom w:val="single" w:color="auto" w:sz="4" w:space="0"/>
              <w:right w:val="single" w:color="auto" w:sz="4" w:space="0"/>
            </w:tcBorders>
            <w:vAlign w:val="center"/>
          </w:tcPr>
          <w:p w14:paraId="0D96A7AE">
            <w:pPr>
              <w:pStyle w:val="981"/>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根据用户需求，弹性计算和GPU高速的并行异构加速器组合在一起，提供弹性计算的特点和GPU的加速能力</w:t>
            </w:r>
            <w:r>
              <w:rPr>
                <w:rFonts w:hint="eastAsia" w:ascii="宋体" w:hAnsi="宋体" w:eastAsia="宋体" w:cs="宋体"/>
                <w:color w:val="auto"/>
                <w:sz w:val="21"/>
                <w:szCs w:val="21"/>
                <w:highlight w:val="none"/>
                <w:lang w:eastAsia="zh-CN"/>
              </w:rPr>
              <w:t>。</w:t>
            </w:r>
          </w:p>
        </w:tc>
      </w:tr>
      <w:tr w14:paraId="5D70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Merge w:val="continue"/>
            <w:tcBorders>
              <w:left w:val="single" w:color="auto" w:sz="4" w:space="0"/>
              <w:right w:val="single" w:color="auto" w:sz="4" w:space="0"/>
            </w:tcBorders>
            <w:vAlign w:val="center"/>
          </w:tcPr>
          <w:p w14:paraId="48681419">
            <w:pPr>
              <w:pStyle w:val="981"/>
              <w:ind w:firstLine="403"/>
              <w:rPr>
                <w:rFonts w:hint="eastAsia" w:ascii="宋体" w:hAnsi="宋体" w:eastAsia="宋体" w:cs="宋体"/>
                <w:color w:val="auto"/>
                <w:sz w:val="21"/>
                <w:szCs w:val="21"/>
                <w:highlight w:val="none"/>
              </w:rPr>
            </w:pPr>
          </w:p>
        </w:tc>
        <w:tc>
          <w:tcPr>
            <w:tcW w:w="7619" w:type="dxa"/>
            <w:tcBorders>
              <w:top w:val="single" w:color="auto" w:sz="4" w:space="0"/>
              <w:left w:val="single" w:color="auto" w:sz="4" w:space="0"/>
              <w:bottom w:val="single" w:color="auto" w:sz="4" w:space="0"/>
              <w:right w:val="single" w:color="auto" w:sz="4" w:space="0"/>
            </w:tcBorders>
            <w:vAlign w:val="center"/>
          </w:tcPr>
          <w:p w14:paraId="523C00C8">
            <w:pPr>
              <w:pStyle w:val="981"/>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支持水平扩容和垂直变配</w:t>
            </w:r>
            <w:r>
              <w:rPr>
                <w:rFonts w:hint="eastAsia" w:ascii="宋体" w:hAnsi="宋体" w:eastAsia="宋体" w:cs="宋体"/>
                <w:color w:val="auto"/>
                <w:sz w:val="21"/>
                <w:szCs w:val="21"/>
                <w:highlight w:val="none"/>
                <w:lang w:eastAsia="zh-CN"/>
              </w:rPr>
              <w:t>。</w:t>
            </w:r>
          </w:p>
        </w:tc>
      </w:tr>
      <w:tr w14:paraId="5B1F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Merge w:val="continue"/>
            <w:tcBorders>
              <w:left w:val="single" w:color="auto" w:sz="4" w:space="0"/>
              <w:right w:val="single" w:color="auto" w:sz="4" w:space="0"/>
            </w:tcBorders>
            <w:vAlign w:val="center"/>
          </w:tcPr>
          <w:p w14:paraId="273FDE86">
            <w:pPr>
              <w:pStyle w:val="981"/>
              <w:ind w:firstLine="403"/>
              <w:rPr>
                <w:rFonts w:hint="eastAsia" w:ascii="宋体" w:hAnsi="宋体" w:eastAsia="宋体" w:cs="宋体"/>
                <w:color w:val="auto"/>
                <w:sz w:val="21"/>
                <w:szCs w:val="21"/>
                <w:highlight w:val="none"/>
              </w:rPr>
            </w:pPr>
          </w:p>
        </w:tc>
        <w:tc>
          <w:tcPr>
            <w:tcW w:w="7619" w:type="dxa"/>
            <w:tcBorders>
              <w:top w:val="single" w:color="auto" w:sz="4" w:space="0"/>
              <w:left w:val="single" w:color="auto" w:sz="4" w:space="0"/>
              <w:bottom w:val="single" w:color="auto" w:sz="4" w:space="0"/>
              <w:right w:val="single" w:color="auto" w:sz="4" w:space="0"/>
            </w:tcBorders>
            <w:vAlign w:val="center"/>
          </w:tcPr>
          <w:p w14:paraId="51AA72F9">
            <w:pPr>
              <w:pStyle w:val="981"/>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支持GPUDirect，GPU之间点对点通信。GPU可以直接通过NVLink总线互联通信，具备高带宽低时延的特点，无需CPU干预。</w:t>
            </w:r>
          </w:p>
        </w:tc>
      </w:tr>
      <w:tr w14:paraId="0CA8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tcBorders>
              <w:left w:val="single" w:color="auto" w:sz="4" w:space="0"/>
              <w:right w:val="single" w:color="auto" w:sz="4" w:space="0"/>
            </w:tcBorders>
            <w:vAlign w:val="center"/>
          </w:tcPr>
          <w:p w14:paraId="7A302AC2">
            <w:pPr>
              <w:pStyle w:val="981"/>
              <w:ind w:firstLine="403"/>
              <w:rPr>
                <w:rFonts w:hint="eastAsia" w:ascii="宋体" w:hAnsi="宋体" w:eastAsia="宋体" w:cs="宋体"/>
                <w:color w:val="auto"/>
                <w:sz w:val="21"/>
                <w:szCs w:val="21"/>
                <w:highlight w:val="none"/>
              </w:rPr>
            </w:pPr>
          </w:p>
        </w:tc>
        <w:tc>
          <w:tcPr>
            <w:tcW w:w="7619" w:type="dxa"/>
            <w:tcBorders>
              <w:top w:val="single" w:color="auto" w:sz="4" w:space="0"/>
              <w:left w:val="single" w:color="auto" w:sz="4" w:space="0"/>
              <w:bottom w:val="single" w:color="auto" w:sz="4" w:space="0"/>
              <w:right w:val="single" w:color="auto" w:sz="4" w:space="0"/>
            </w:tcBorders>
            <w:vAlign w:val="center"/>
          </w:tcPr>
          <w:p w14:paraId="5BAEEB88">
            <w:pPr>
              <w:pStyle w:val="981"/>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多租户间弹性GPU安全隔离，并通过Hypervisor授权和管理。允许灵活配置多块GPU实现互相高速通信的同时，还具备隔离带来的安全性</w:t>
            </w:r>
            <w:r>
              <w:rPr>
                <w:rFonts w:hint="eastAsia" w:ascii="宋体" w:hAnsi="宋体" w:eastAsia="宋体" w:cs="宋体"/>
                <w:color w:val="auto"/>
                <w:sz w:val="21"/>
                <w:szCs w:val="21"/>
                <w:highlight w:val="none"/>
                <w:lang w:eastAsia="zh-CN"/>
              </w:rPr>
              <w:t>。</w:t>
            </w:r>
          </w:p>
        </w:tc>
      </w:tr>
      <w:tr w14:paraId="5460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Merge w:val="continue"/>
            <w:tcBorders>
              <w:left w:val="single" w:color="auto" w:sz="4" w:space="0"/>
              <w:bottom w:val="single" w:color="auto" w:sz="4" w:space="0"/>
              <w:right w:val="single" w:color="auto" w:sz="4" w:space="0"/>
            </w:tcBorders>
            <w:vAlign w:val="center"/>
          </w:tcPr>
          <w:p w14:paraId="655F99E1">
            <w:pPr>
              <w:pStyle w:val="981"/>
              <w:ind w:firstLine="403"/>
              <w:rPr>
                <w:rFonts w:hint="eastAsia" w:ascii="宋体" w:hAnsi="宋体" w:eastAsia="宋体" w:cs="宋体"/>
                <w:color w:val="auto"/>
                <w:sz w:val="21"/>
                <w:szCs w:val="21"/>
                <w:highlight w:val="none"/>
              </w:rPr>
            </w:pPr>
          </w:p>
        </w:tc>
        <w:tc>
          <w:tcPr>
            <w:tcW w:w="7619" w:type="dxa"/>
            <w:tcBorders>
              <w:top w:val="single" w:color="auto" w:sz="4" w:space="0"/>
              <w:left w:val="single" w:color="auto" w:sz="4" w:space="0"/>
              <w:bottom w:val="single" w:color="auto" w:sz="4" w:space="0"/>
              <w:right w:val="single" w:color="auto" w:sz="4" w:space="0"/>
            </w:tcBorders>
            <w:vAlign w:val="center"/>
          </w:tcPr>
          <w:p w14:paraId="5CB0971E">
            <w:pPr>
              <w:pStyle w:val="981"/>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提供全面的GPU监控数据，包括GPU、实例和分组维度</w:t>
            </w:r>
            <w:r>
              <w:rPr>
                <w:rFonts w:hint="eastAsia" w:ascii="宋体" w:hAnsi="宋体" w:eastAsia="宋体" w:cs="宋体"/>
                <w:color w:val="auto"/>
                <w:sz w:val="21"/>
                <w:szCs w:val="21"/>
                <w:highlight w:val="none"/>
                <w:lang w:eastAsia="zh-CN"/>
              </w:rPr>
              <w:t>。</w:t>
            </w:r>
          </w:p>
        </w:tc>
      </w:tr>
    </w:tbl>
    <w:p w14:paraId="68E29819">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块存储</w:t>
      </w:r>
    </w:p>
    <w:tbl>
      <w:tblPr>
        <w:tblStyle w:val="62"/>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7625"/>
      </w:tblGrid>
      <w:tr w14:paraId="256E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pct"/>
            <w:tcBorders>
              <w:top w:val="single" w:color="auto" w:sz="4" w:space="0"/>
              <w:left w:val="single" w:color="auto" w:sz="4" w:space="0"/>
              <w:bottom w:val="single" w:color="auto" w:sz="4" w:space="0"/>
              <w:right w:val="single" w:color="auto" w:sz="4" w:space="0"/>
            </w:tcBorders>
            <w:vAlign w:val="center"/>
          </w:tcPr>
          <w:p w14:paraId="071C54E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4101" w:type="pct"/>
            <w:tcBorders>
              <w:top w:val="single" w:color="auto" w:sz="4" w:space="0"/>
              <w:left w:val="single" w:color="auto" w:sz="4" w:space="0"/>
              <w:bottom w:val="single" w:color="auto" w:sz="4" w:space="0"/>
              <w:right w:val="single" w:color="auto" w:sz="4" w:space="0"/>
            </w:tcBorders>
            <w:vAlign w:val="center"/>
          </w:tcPr>
          <w:p w14:paraId="5B762059">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3D47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pct"/>
            <w:tcBorders>
              <w:top w:val="single" w:color="auto" w:sz="4" w:space="0"/>
              <w:left w:val="single" w:color="auto" w:sz="4" w:space="0"/>
              <w:bottom w:val="single" w:color="auto" w:sz="4" w:space="0"/>
              <w:right w:val="single" w:color="auto" w:sz="4" w:space="0"/>
            </w:tcBorders>
            <w:vAlign w:val="center"/>
          </w:tcPr>
          <w:p w14:paraId="075CB96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4101" w:type="pct"/>
            <w:tcBorders>
              <w:top w:val="single" w:color="auto" w:sz="4" w:space="0"/>
              <w:left w:val="single" w:color="auto" w:sz="4" w:space="0"/>
              <w:bottom w:val="single" w:color="auto" w:sz="4" w:space="0"/>
              <w:right w:val="single" w:color="auto" w:sz="4" w:space="0"/>
            </w:tcBorders>
            <w:vAlign w:val="center"/>
          </w:tcPr>
          <w:p w14:paraId="1C1FEC4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1）支持通过块存储访问协议对外提供云盘功能，支持格式化、挂载及执行I/O操作；</w:t>
            </w:r>
          </w:p>
          <w:p w14:paraId="7E4FF7F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2）支持云盘多挂载功能，单块云盘可以同时挂载到不少于4台云服务器上；</w:t>
            </w:r>
          </w:p>
          <w:p w14:paraId="5BB21810">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3）支持云盘快照功能，通过有计划地对磁盘创建快照从而实现保留某一个或者多个时间点的磁盘数据拷贝；</w:t>
            </w:r>
          </w:p>
          <w:p w14:paraId="4A9822A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4）支持自动快照策略，单个云盘支持不少于64个快照；</w:t>
            </w:r>
          </w:p>
          <w:p w14:paraId="0F6D827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5）支持镜像功能，可以使用快照创建自定义镜像；支持使用自定义镜像创建多台具有相同操作系统和数据环境信息的实例；</w:t>
            </w:r>
          </w:p>
          <w:p w14:paraId="5C468D3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6）支持云盘加密功能，采用256位强密码进行数据加密。</w:t>
            </w:r>
          </w:p>
        </w:tc>
      </w:tr>
      <w:tr w14:paraId="2C78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pct"/>
            <w:tcBorders>
              <w:top w:val="single" w:color="auto" w:sz="4" w:space="0"/>
              <w:left w:val="single" w:color="auto" w:sz="4" w:space="0"/>
              <w:bottom w:val="single" w:color="auto" w:sz="4" w:space="0"/>
              <w:right w:val="single" w:color="auto" w:sz="4" w:space="0"/>
            </w:tcBorders>
            <w:vAlign w:val="center"/>
          </w:tcPr>
          <w:p w14:paraId="5A4CD9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性能指标</w:t>
            </w:r>
          </w:p>
        </w:tc>
        <w:tc>
          <w:tcPr>
            <w:tcW w:w="4101" w:type="pct"/>
            <w:tcBorders>
              <w:top w:val="single" w:color="auto" w:sz="4" w:space="0"/>
              <w:left w:val="single" w:color="auto" w:sz="4" w:space="0"/>
              <w:bottom w:val="single" w:color="auto" w:sz="4" w:space="0"/>
              <w:right w:val="single" w:color="auto" w:sz="4" w:space="0"/>
            </w:tcBorders>
            <w:vAlign w:val="center"/>
          </w:tcPr>
          <w:p w14:paraId="129D631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1）单台云服务器支持挂载云盘数量不低于16个；</w:t>
            </w:r>
          </w:p>
          <w:p w14:paraId="06CD66B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2）单盘容量不低于32TB。</w:t>
            </w:r>
          </w:p>
        </w:tc>
      </w:tr>
      <w:tr w14:paraId="0918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pct"/>
            <w:tcBorders>
              <w:top w:val="single" w:color="auto" w:sz="4" w:space="0"/>
              <w:left w:val="single" w:color="auto" w:sz="4" w:space="0"/>
              <w:bottom w:val="single" w:color="auto" w:sz="4" w:space="0"/>
              <w:right w:val="single" w:color="auto" w:sz="4" w:space="0"/>
            </w:tcBorders>
            <w:vAlign w:val="center"/>
          </w:tcPr>
          <w:p w14:paraId="2E9F613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可靠性</w:t>
            </w:r>
          </w:p>
        </w:tc>
        <w:tc>
          <w:tcPr>
            <w:tcW w:w="4101" w:type="pct"/>
            <w:tcBorders>
              <w:top w:val="single" w:color="auto" w:sz="4" w:space="0"/>
              <w:left w:val="single" w:color="auto" w:sz="4" w:space="0"/>
              <w:bottom w:val="single" w:color="auto" w:sz="4" w:space="0"/>
              <w:right w:val="single" w:color="auto" w:sz="4" w:space="0"/>
            </w:tcBorders>
            <w:vAlign w:val="center"/>
          </w:tcPr>
          <w:p w14:paraId="2A19FC5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1）支持多Master节点部署，保证服务高可用；</w:t>
            </w:r>
          </w:p>
          <w:p w14:paraId="63C98B9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2）支持多副本冗余机制，保证业务数据的可靠性。</w:t>
            </w:r>
          </w:p>
        </w:tc>
      </w:tr>
      <w:tr w14:paraId="1351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pct"/>
            <w:tcBorders>
              <w:left w:val="single" w:color="auto" w:sz="4" w:space="0"/>
              <w:bottom w:val="single" w:color="auto" w:sz="4" w:space="0"/>
              <w:right w:val="single" w:color="auto" w:sz="4" w:space="0"/>
            </w:tcBorders>
            <w:vAlign w:val="center"/>
          </w:tcPr>
          <w:p w14:paraId="30BE4C3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平台技术支持</w:t>
            </w:r>
          </w:p>
        </w:tc>
        <w:tc>
          <w:tcPr>
            <w:tcW w:w="4101" w:type="pct"/>
            <w:tcBorders>
              <w:top w:val="single" w:color="auto" w:sz="4" w:space="0"/>
              <w:left w:val="single" w:color="auto" w:sz="4" w:space="0"/>
              <w:bottom w:val="single" w:color="auto" w:sz="4" w:space="0"/>
              <w:right w:val="single" w:color="auto" w:sz="4" w:space="0"/>
            </w:tcBorders>
            <w:vAlign w:val="center"/>
          </w:tcPr>
          <w:p w14:paraId="0242713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提供高效云盘、SSD云盘两种服务：</w:t>
            </w:r>
          </w:p>
          <w:p w14:paraId="739CC4D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1）高效云盘：面向中度I/O负载的应用场景，为云服务器提供最高5000的随机IOPS性能</w:t>
            </w:r>
            <w:r>
              <w:rPr>
                <w:rFonts w:hint="eastAsia" w:ascii="宋体" w:hAnsi="宋体" w:eastAsia="宋体" w:cs="宋体"/>
                <w:color w:val="auto"/>
                <w:sz w:val="21"/>
                <w:szCs w:val="21"/>
                <w:highlight w:val="none"/>
                <w:lang w:eastAsia="zh-CN"/>
              </w:rPr>
              <w:t>；</w:t>
            </w:r>
          </w:p>
          <w:p w14:paraId="3009DCD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2）SSD云盘面向I/O密集型应用场景，为云服务器提供最高25000的随机IOPS性能。</w:t>
            </w:r>
          </w:p>
        </w:tc>
      </w:tr>
    </w:tbl>
    <w:p w14:paraId="187EE94A">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bookmarkStart w:id="36" w:name="_Toc39140759"/>
      <w:r>
        <w:rPr>
          <w:rFonts w:hint="eastAsia" w:ascii="宋体" w:hAnsi="宋体" w:eastAsia="宋体" w:cs="宋体"/>
          <w:color w:val="auto"/>
          <w:sz w:val="21"/>
          <w:szCs w:val="21"/>
          <w:highlight w:val="none"/>
        </w:rPr>
        <w:t>2.5 对象存储</w:t>
      </w:r>
      <w:bookmarkEnd w:id="36"/>
    </w:p>
    <w:tbl>
      <w:tblPr>
        <w:tblStyle w:val="62"/>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7546"/>
      </w:tblGrid>
      <w:tr w14:paraId="66C4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tcBorders>
              <w:top w:val="single" w:color="auto" w:sz="4" w:space="0"/>
              <w:left w:val="single" w:color="auto" w:sz="4" w:space="0"/>
              <w:bottom w:val="single" w:color="auto" w:sz="4" w:space="0"/>
              <w:right w:val="single" w:color="auto" w:sz="4" w:space="0"/>
            </w:tcBorders>
            <w:vAlign w:val="center"/>
          </w:tcPr>
          <w:p w14:paraId="09E8F28D">
            <w:pPr>
              <w:pStyle w:val="560"/>
              <w:spacing w:before="24" w:after="24" w:line="36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546" w:type="dxa"/>
            <w:tcBorders>
              <w:top w:val="single" w:color="auto" w:sz="4" w:space="0"/>
              <w:left w:val="single" w:color="auto" w:sz="4" w:space="0"/>
              <w:bottom w:val="single" w:color="auto" w:sz="4" w:space="0"/>
              <w:right w:val="single" w:color="auto" w:sz="4" w:space="0"/>
            </w:tcBorders>
            <w:vAlign w:val="center"/>
          </w:tcPr>
          <w:p w14:paraId="6800EDC0">
            <w:pPr>
              <w:pStyle w:val="560"/>
              <w:spacing w:before="24" w:after="24" w:line="36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19CC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tcBorders>
              <w:top w:val="single" w:color="auto" w:sz="4" w:space="0"/>
              <w:left w:val="single" w:color="auto" w:sz="4" w:space="0"/>
              <w:bottom w:val="single" w:color="auto" w:sz="4" w:space="0"/>
              <w:right w:val="single" w:color="auto" w:sz="4" w:space="0"/>
            </w:tcBorders>
            <w:vAlign w:val="center"/>
          </w:tcPr>
          <w:p w14:paraId="28BA49CE">
            <w:pPr>
              <w:pStyle w:val="560"/>
              <w:spacing w:before="24" w:after="24"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服务标准</w:t>
            </w:r>
          </w:p>
        </w:tc>
        <w:tc>
          <w:tcPr>
            <w:tcW w:w="7546" w:type="dxa"/>
            <w:tcBorders>
              <w:top w:val="single" w:color="auto" w:sz="4" w:space="0"/>
              <w:left w:val="single" w:color="auto" w:sz="4" w:space="0"/>
              <w:bottom w:val="single" w:color="auto" w:sz="4" w:space="0"/>
              <w:right w:val="single" w:color="auto" w:sz="4" w:space="0"/>
            </w:tcBorders>
            <w:vAlign w:val="center"/>
          </w:tcPr>
          <w:p w14:paraId="16AD2858">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提供基于三副本或EC校验模式的数据多重冗余备份，保证数据安全。</w:t>
            </w:r>
          </w:p>
        </w:tc>
      </w:tr>
      <w:tr w14:paraId="6AE8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restart"/>
            <w:tcBorders>
              <w:top w:val="single" w:color="auto" w:sz="4" w:space="0"/>
              <w:left w:val="single" w:color="auto" w:sz="4" w:space="0"/>
              <w:bottom w:val="single" w:color="auto" w:sz="4" w:space="0"/>
              <w:right w:val="single" w:color="auto" w:sz="4" w:space="0"/>
            </w:tcBorders>
            <w:vAlign w:val="center"/>
          </w:tcPr>
          <w:p w14:paraId="0B8E23F2">
            <w:pPr>
              <w:pStyle w:val="560"/>
              <w:spacing w:before="24" w:after="24"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服务特性</w:t>
            </w:r>
          </w:p>
        </w:tc>
        <w:tc>
          <w:tcPr>
            <w:tcW w:w="7546" w:type="dxa"/>
            <w:tcBorders>
              <w:top w:val="single" w:color="auto" w:sz="4" w:space="0"/>
              <w:left w:val="single" w:color="auto" w:sz="4" w:space="0"/>
              <w:bottom w:val="single" w:color="auto" w:sz="4" w:space="0"/>
              <w:right w:val="single" w:color="auto" w:sz="4" w:space="0"/>
            </w:tcBorders>
            <w:vAlign w:val="center"/>
          </w:tcPr>
          <w:p w14:paraId="00277F31">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支持RESTful API接口，通过开发工具包SDK或直接通过RESTful API进行基础和高级对象存储操作。</w:t>
            </w:r>
          </w:p>
        </w:tc>
      </w:tr>
      <w:tr w14:paraId="3A18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47AFF65B">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6CAB9A3F">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提供key-value键值对形式的对象存储服务。</w:t>
            </w:r>
          </w:p>
        </w:tc>
      </w:tr>
      <w:tr w14:paraId="589B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4C79A5DC">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2AE857C9">
            <w:pPr>
              <w:pStyle w:val="560"/>
              <w:spacing w:before="24" w:after="24" w:line="360" w:lineRule="auto"/>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支持bucket endpoint设置，并支持通过bucket endpoint进行访问</w:t>
            </w:r>
            <w:r>
              <w:rPr>
                <w:rFonts w:hint="eastAsia" w:ascii="宋体" w:hAnsi="宋体" w:eastAsia="宋体" w:cs="宋体"/>
                <w:bCs/>
                <w:color w:val="auto"/>
                <w:sz w:val="21"/>
                <w:szCs w:val="21"/>
                <w:highlight w:val="none"/>
                <w:lang w:eastAsia="zh-CN"/>
              </w:rPr>
              <w:t>。</w:t>
            </w:r>
          </w:p>
        </w:tc>
      </w:tr>
      <w:tr w14:paraId="4BA0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249D9F3C">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272F15BD">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u w:val="single"/>
                <w:lang w:bidi="ar"/>
              </w:rPr>
              <w:t>★单个对象最大支持不小于48TB，单租户支持最大bucket不小于10000个，每个bucket的生命周期最多可容纳不少于1000规则，提供证明材料或界面截图。</w:t>
            </w:r>
          </w:p>
        </w:tc>
      </w:tr>
      <w:tr w14:paraId="0575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514A6D9A">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01073E23">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支持Bucket创建/删除/批量删除/列举，禁用，变更容量，设置标签，变更归属，所属区域设置，容量限制，静态网站托管，防盗链，跨域访问，lifecycle（生命周期）设置，存储碎片管理。</w:t>
            </w:r>
          </w:p>
        </w:tc>
      </w:tr>
      <w:tr w14:paraId="05ED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37928B7E">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5EAFB185">
            <w:pPr>
              <w:pStyle w:val="560"/>
              <w:spacing w:before="24" w:after="24" w:line="360" w:lineRule="auto"/>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具备多用户隔离机制</w:t>
            </w:r>
            <w:r>
              <w:rPr>
                <w:rFonts w:hint="eastAsia" w:ascii="宋体" w:hAnsi="宋体" w:eastAsia="宋体" w:cs="宋体"/>
                <w:bCs/>
                <w:color w:val="auto"/>
                <w:sz w:val="21"/>
                <w:szCs w:val="21"/>
                <w:highlight w:val="none"/>
                <w:lang w:eastAsia="zh-CN"/>
              </w:rPr>
              <w:t>。</w:t>
            </w:r>
          </w:p>
        </w:tc>
      </w:tr>
      <w:tr w14:paraId="287D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4350FF1D">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7900D91D">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u w:val="single"/>
                <w:lang w:bidi="ar"/>
              </w:rPr>
              <w:t>★支持原生图片处理服务</w:t>
            </w:r>
            <w:r>
              <w:rPr>
                <w:rFonts w:hint="eastAsia" w:ascii="宋体" w:hAnsi="宋体" w:eastAsia="宋体" w:cs="宋体"/>
                <w:b/>
                <w:bCs/>
                <w:color w:val="auto"/>
                <w:sz w:val="21"/>
                <w:szCs w:val="21"/>
                <w:highlight w:val="none"/>
                <w:u w:val="single"/>
                <w:lang w:eastAsia="zh-CN" w:bidi="ar"/>
              </w:rPr>
              <w:t>：</w:t>
            </w:r>
            <w:r>
              <w:rPr>
                <w:rFonts w:hint="eastAsia" w:ascii="宋体" w:hAnsi="宋体" w:eastAsia="宋体" w:cs="宋体"/>
                <w:b/>
                <w:bCs/>
                <w:color w:val="auto"/>
                <w:sz w:val="21"/>
                <w:szCs w:val="21"/>
                <w:highlight w:val="none"/>
                <w:u w:val="single"/>
                <w:lang w:bidi="ar"/>
              </w:rPr>
              <w:t xml:space="preserve"> 创建图片处理规则、图片格式转换、图片效果处理、添加文字或图片水印、高级编辑自定义图片处理样式等，提供控制台截图证明。</w:t>
            </w:r>
          </w:p>
        </w:tc>
      </w:tr>
      <w:tr w14:paraId="0534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6D774355">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4CF51E8A">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支持大文件的分片并发上传和下载，支持断点续传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w:t>
            </w:r>
          </w:p>
        </w:tc>
      </w:tr>
      <w:tr w14:paraId="5C19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214C05D9">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5DAD5864">
            <w:pPr>
              <w:pStyle w:val="560"/>
              <w:spacing w:before="24" w:after="24" w:line="360" w:lineRule="auto"/>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提供日志记录功能，方便追查访问来源以及进行多维度的统计分析</w:t>
            </w:r>
            <w:r>
              <w:rPr>
                <w:rFonts w:hint="eastAsia" w:ascii="宋体" w:hAnsi="宋体" w:eastAsia="宋体" w:cs="宋体"/>
                <w:bCs/>
                <w:color w:val="auto"/>
                <w:sz w:val="21"/>
                <w:szCs w:val="21"/>
                <w:highlight w:val="none"/>
                <w:lang w:eastAsia="zh-CN"/>
              </w:rPr>
              <w:t>。</w:t>
            </w:r>
          </w:p>
        </w:tc>
      </w:tr>
      <w:tr w14:paraId="6D58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1A562777">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587A7571">
            <w:pPr>
              <w:pStyle w:val="560"/>
              <w:spacing w:before="24" w:after="24" w:line="360" w:lineRule="auto"/>
              <w:ind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提供标准 RESTful协议的API接口以及多语言的SDK</w:t>
            </w:r>
            <w:r>
              <w:rPr>
                <w:rFonts w:hint="eastAsia" w:ascii="宋体" w:hAnsi="宋体" w:eastAsia="宋体" w:cs="宋体"/>
                <w:bCs/>
                <w:color w:val="auto"/>
                <w:sz w:val="21"/>
                <w:szCs w:val="21"/>
                <w:highlight w:val="none"/>
                <w:lang w:eastAsia="zh-CN"/>
              </w:rPr>
              <w:t>。</w:t>
            </w:r>
          </w:p>
        </w:tc>
      </w:tr>
      <w:tr w14:paraId="74C8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6AC6299E">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2166F0DE">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提供服务端数据加密。</w:t>
            </w:r>
          </w:p>
        </w:tc>
      </w:tr>
      <w:tr w14:paraId="6539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17DF8E47">
            <w:pPr>
              <w:pStyle w:val="560"/>
              <w:spacing w:before="24" w:after="24" w:line="360" w:lineRule="auto"/>
              <w:ind w:firstLine="174" w:firstLineChars="83"/>
              <w:rPr>
                <w:rFonts w:hint="eastAsia" w:ascii="宋体" w:hAnsi="宋体" w:eastAsia="宋体" w:cs="宋体"/>
                <w:bCs/>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5B4CE827">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支持对象简单上传/表单上传/追加上传/分片上传/断点续传上传/下载/流式下载/下载到本地文件/断点续传下载/范围下载/删除/批量删除/列举/复制/获取对象地址/上传任务的删除与取消/生命周期管理。</w:t>
            </w:r>
          </w:p>
        </w:tc>
      </w:tr>
      <w:tr w14:paraId="0FAB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14:paraId="0EC34FA2">
            <w:pPr>
              <w:pStyle w:val="560"/>
              <w:spacing w:before="24" w:after="24"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服务能力</w:t>
            </w:r>
          </w:p>
        </w:tc>
        <w:tc>
          <w:tcPr>
            <w:tcW w:w="7546" w:type="dxa"/>
            <w:tcBorders>
              <w:top w:val="single" w:color="auto" w:sz="4" w:space="0"/>
              <w:left w:val="single" w:color="auto" w:sz="4" w:space="0"/>
              <w:bottom w:val="single" w:color="auto" w:sz="4" w:space="0"/>
              <w:right w:val="single" w:color="auto" w:sz="4" w:space="0"/>
            </w:tcBorders>
            <w:vAlign w:val="center"/>
          </w:tcPr>
          <w:p w14:paraId="7B371C2B">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对象存储的裸容量不小于2000TB，</w:t>
            </w:r>
            <w:r>
              <w:rPr>
                <w:rFonts w:hint="eastAsia" w:ascii="宋体" w:hAnsi="宋体" w:eastAsia="宋体" w:cs="宋体"/>
                <w:color w:val="auto"/>
                <w:sz w:val="21"/>
                <w:szCs w:val="21"/>
                <w:highlight w:val="none"/>
              </w:rPr>
              <w:t>提供证明材料或界面截图</w:t>
            </w:r>
            <w:r>
              <w:rPr>
                <w:rFonts w:hint="eastAsia" w:ascii="宋体" w:hAnsi="宋体" w:eastAsia="宋体" w:cs="宋体"/>
                <w:bCs/>
                <w:color w:val="auto"/>
                <w:sz w:val="21"/>
                <w:szCs w:val="21"/>
                <w:highlight w:val="none"/>
              </w:rPr>
              <w:t>。</w:t>
            </w:r>
          </w:p>
        </w:tc>
      </w:tr>
      <w:tr w14:paraId="5415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14:paraId="6A5E39FF">
            <w:pPr>
              <w:pStyle w:val="560"/>
              <w:spacing w:before="24" w:after="24"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可靠性</w:t>
            </w:r>
          </w:p>
        </w:tc>
        <w:tc>
          <w:tcPr>
            <w:tcW w:w="7546" w:type="dxa"/>
            <w:tcBorders>
              <w:top w:val="single" w:color="auto" w:sz="4" w:space="0"/>
              <w:left w:val="single" w:color="auto" w:sz="4" w:space="0"/>
              <w:bottom w:val="single" w:color="auto" w:sz="4" w:space="0"/>
              <w:right w:val="single" w:color="auto" w:sz="4" w:space="0"/>
            </w:tcBorders>
            <w:vAlign w:val="center"/>
          </w:tcPr>
          <w:p w14:paraId="75DB2B11">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支持基于三副本和EC校验模式的数据多重冗余备份。三副本模式下，数据三副本支持分布在3个机柜或3对接入交换机上。</w:t>
            </w:r>
          </w:p>
        </w:tc>
      </w:tr>
      <w:tr w14:paraId="1C52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585" w:type="dxa"/>
            <w:tcBorders>
              <w:top w:val="single" w:color="auto" w:sz="4" w:space="0"/>
              <w:left w:val="single" w:color="auto" w:sz="4" w:space="0"/>
              <w:right w:val="single" w:color="auto" w:sz="4" w:space="0"/>
            </w:tcBorders>
            <w:vAlign w:val="center"/>
          </w:tcPr>
          <w:p w14:paraId="5F7A2FD5">
            <w:pPr>
              <w:pStyle w:val="560"/>
              <w:spacing w:before="24" w:after="24" w:line="36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容灾容错能力</w:t>
            </w:r>
          </w:p>
        </w:tc>
        <w:tc>
          <w:tcPr>
            <w:tcW w:w="7546" w:type="dxa"/>
            <w:tcBorders>
              <w:top w:val="single" w:color="auto" w:sz="4" w:space="0"/>
              <w:left w:val="single" w:color="auto" w:sz="4" w:space="0"/>
              <w:right w:val="single" w:color="auto" w:sz="4" w:space="0"/>
            </w:tcBorders>
            <w:vAlign w:val="center"/>
          </w:tcPr>
          <w:p w14:paraId="5A51A9E1">
            <w:pPr>
              <w:pStyle w:val="560"/>
              <w:spacing w:before="24" w:after="24"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兼容存储数据实时同步到指定区域实现数据容灾。支持按需选择需要容灾的bucket。</w:t>
            </w:r>
          </w:p>
        </w:tc>
      </w:tr>
    </w:tbl>
    <w:p w14:paraId="55EB3CDE">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bookmarkStart w:id="37" w:name="_Toc39140761"/>
      <w:r>
        <w:rPr>
          <w:rFonts w:hint="eastAsia" w:ascii="宋体" w:hAnsi="宋体" w:eastAsia="宋体" w:cs="宋体"/>
          <w:color w:val="auto"/>
          <w:sz w:val="21"/>
          <w:szCs w:val="21"/>
          <w:highlight w:val="none"/>
        </w:rPr>
        <w:t>2.6 文件存储</w:t>
      </w:r>
    </w:p>
    <w:tbl>
      <w:tblPr>
        <w:tblStyle w:val="62"/>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568"/>
      </w:tblGrid>
      <w:tr w14:paraId="4C7D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tcBorders>
              <w:top w:val="single" w:color="auto" w:sz="4" w:space="0"/>
              <w:left w:val="single" w:color="auto" w:sz="4" w:space="0"/>
              <w:bottom w:val="single" w:color="auto" w:sz="4" w:space="0"/>
              <w:right w:val="single" w:color="auto" w:sz="4" w:space="0"/>
            </w:tcBorders>
            <w:vAlign w:val="center"/>
          </w:tcPr>
          <w:p w14:paraId="23F27AC8">
            <w:pPr>
              <w:pStyle w:val="560"/>
              <w:spacing w:before="24" w:after="24" w:line="36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568" w:type="dxa"/>
            <w:tcBorders>
              <w:top w:val="single" w:color="auto" w:sz="4" w:space="0"/>
              <w:left w:val="single" w:color="auto" w:sz="4" w:space="0"/>
              <w:bottom w:val="single" w:color="auto" w:sz="4" w:space="0"/>
              <w:right w:val="single" w:color="auto" w:sz="4" w:space="0"/>
            </w:tcBorders>
            <w:vAlign w:val="center"/>
          </w:tcPr>
          <w:p w14:paraId="2241373E">
            <w:pPr>
              <w:pStyle w:val="560"/>
              <w:spacing w:before="24" w:after="24" w:line="360" w:lineRule="auto"/>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7C9F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tcBorders>
              <w:top w:val="single" w:color="auto" w:sz="4" w:space="0"/>
              <w:left w:val="single" w:color="auto" w:sz="4" w:space="0"/>
              <w:bottom w:val="single" w:color="auto" w:sz="4" w:space="0"/>
              <w:right w:val="single" w:color="auto" w:sz="4" w:space="0"/>
            </w:tcBorders>
            <w:vAlign w:val="center"/>
          </w:tcPr>
          <w:p w14:paraId="14C87E1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568" w:type="dxa"/>
            <w:tcBorders>
              <w:top w:val="single" w:color="auto" w:sz="4" w:space="0"/>
              <w:left w:val="single" w:color="auto" w:sz="4" w:space="0"/>
              <w:bottom w:val="single" w:color="auto" w:sz="4" w:space="0"/>
              <w:right w:val="single" w:color="auto" w:sz="4" w:space="0"/>
            </w:tcBorders>
            <w:vAlign w:val="center"/>
          </w:tcPr>
          <w:p w14:paraId="6B52682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提供基于POSIX文件接口，可共享访问、弹性扩展、高可靠以及高性能的分布式文件系统，为云服务器提供低时延、持久性、高可靠性的数据文件级存储。</w:t>
            </w:r>
          </w:p>
        </w:tc>
      </w:tr>
      <w:tr w14:paraId="354F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08" w:type="dxa"/>
            <w:vMerge w:val="restart"/>
            <w:tcBorders>
              <w:top w:val="single" w:color="auto" w:sz="4" w:space="0"/>
              <w:left w:val="single" w:color="auto" w:sz="4" w:space="0"/>
              <w:bottom w:val="single" w:color="auto" w:sz="4" w:space="0"/>
              <w:right w:val="single" w:color="auto" w:sz="4" w:space="0"/>
            </w:tcBorders>
            <w:vAlign w:val="center"/>
          </w:tcPr>
          <w:p w14:paraId="738E36B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568" w:type="dxa"/>
            <w:tcBorders>
              <w:top w:val="single" w:color="auto" w:sz="4" w:space="0"/>
              <w:left w:val="single" w:color="auto" w:sz="4" w:space="0"/>
              <w:bottom w:val="single" w:color="auto" w:sz="4" w:space="0"/>
              <w:right w:val="single" w:color="auto" w:sz="4" w:space="0"/>
            </w:tcBorders>
            <w:vAlign w:val="center"/>
          </w:tcPr>
          <w:p w14:paraId="15725E9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多共享：支持NFS v3.0/4.0，SMB2.1/3.0协议，实现数据共享。</w:t>
            </w:r>
          </w:p>
        </w:tc>
      </w:tr>
      <w:tr w14:paraId="4FF3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tcBorders>
              <w:top w:val="single" w:color="auto" w:sz="4" w:space="0"/>
              <w:left w:val="single" w:color="auto" w:sz="4" w:space="0"/>
              <w:bottom w:val="single" w:color="auto" w:sz="4" w:space="0"/>
              <w:right w:val="single" w:color="auto" w:sz="4" w:space="0"/>
            </w:tcBorders>
            <w:vAlign w:val="center"/>
          </w:tcPr>
          <w:p w14:paraId="607E27AA">
            <w:pPr>
              <w:widowControl/>
              <w:spacing w:line="360" w:lineRule="auto"/>
              <w:jc w:val="center"/>
              <w:rPr>
                <w:rFonts w:hint="eastAsia" w:ascii="宋体" w:hAnsi="宋体" w:eastAsia="宋体" w:cs="宋体"/>
                <w:color w:val="auto"/>
                <w:sz w:val="21"/>
                <w:szCs w:val="21"/>
                <w:highlight w:val="none"/>
              </w:rPr>
            </w:pPr>
          </w:p>
        </w:tc>
        <w:tc>
          <w:tcPr>
            <w:tcW w:w="7568" w:type="dxa"/>
            <w:tcBorders>
              <w:top w:val="single" w:color="auto" w:sz="4" w:space="0"/>
              <w:left w:val="single" w:color="auto" w:sz="4" w:space="0"/>
              <w:bottom w:val="single" w:color="auto" w:sz="4" w:space="0"/>
              <w:right w:val="single" w:color="auto" w:sz="4" w:space="0"/>
            </w:tcBorders>
            <w:vAlign w:val="center"/>
          </w:tcPr>
          <w:p w14:paraId="6AF0FC8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高性能：单个文件系统吞吐性能随存储量线性扩展，相比购买高端NAS存储设备，大幅降低成本。</w:t>
            </w:r>
          </w:p>
        </w:tc>
      </w:tr>
      <w:tr w14:paraId="0F38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tcBorders>
              <w:top w:val="single" w:color="auto" w:sz="4" w:space="0"/>
              <w:left w:val="single" w:color="auto" w:sz="4" w:space="0"/>
              <w:bottom w:val="single" w:color="auto" w:sz="4" w:space="0"/>
              <w:right w:val="single" w:color="auto" w:sz="4" w:space="0"/>
            </w:tcBorders>
            <w:vAlign w:val="center"/>
          </w:tcPr>
          <w:p w14:paraId="2F14608A">
            <w:pPr>
              <w:widowControl/>
              <w:spacing w:line="360" w:lineRule="auto"/>
              <w:jc w:val="center"/>
              <w:rPr>
                <w:rFonts w:hint="eastAsia" w:ascii="宋体" w:hAnsi="宋体" w:eastAsia="宋体" w:cs="宋体"/>
                <w:color w:val="auto"/>
                <w:sz w:val="21"/>
                <w:szCs w:val="21"/>
                <w:highlight w:val="none"/>
              </w:rPr>
            </w:pPr>
          </w:p>
        </w:tc>
        <w:tc>
          <w:tcPr>
            <w:tcW w:w="7568" w:type="dxa"/>
            <w:tcBorders>
              <w:top w:val="single" w:color="auto" w:sz="4" w:space="0"/>
              <w:left w:val="single" w:color="auto" w:sz="4" w:space="0"/>
              <w:bottom w:val="single" w:color="auto" w:sz="4" w:space="0"/>
              <w:right w:val="single" w:color="auto" w:sz="4" w:space="0"/>
            </w:tcBorders>
            <w:vAlign w:val="center"/>
          </w:tcPr>
          <w:p w14:paraId="6E4BF21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弹性扩展：业务数据弹性增长。最大单文件系统可达10 PB的存储空间，每个文件系统支持最多10亿文件，单文件最大32TB。</w:t>
            </w:r>
          </w:p>
        </w:tc>
      </w:tr>
      <w:tr w14:paraId="69B4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tcBorders>
              <w:top w:val="single" w:color="auto" w:sz="4" w:space="0"/>
              <w:left w:val="single" w:color="auto" w:sz="4" w:space="0"/>
              <w:bottom w:val="single" w:color="auto" w:sz="4" w:space="0"/>
              <w:right w:val="single" w:color="auto" w:sz="4" w:space="0"/>
            </w:tcBorders>
            <w:vAlign w:val="center"/>
          </w:tcPr>
          <w:p w14:paraId="48DEC60C">
            <w:pPr>
              <w:widowControl/>
              <w:spacing w:line="360" w:lineRule="auto"/>
              <w:jc w:val="center"/>
              <w:rPr>
                <w:rFonts w:hint="eastAsia" w:ascii="宋体" w:hAnsi="宋体" w:eastAsia="宋体" w:cs="宋体"/>
                <w:color w:val="auto"/>
                <w:sz w:val="21"/>
                <w:szCs w:val="21"/>
                <w:highlight w:val="none"/>
              </w:rPr>
            </w:pPr>
          </w:p>
        </w:tc>
        <w:tc>
          <w:tcPr>
            <w:tcW w:w="7568" w:type="dxa"/>
            <w:tcBorders>
              <w:top w:val="single" w:color="auto" w:sz="4" w:space="0"/>
              <w:left w:val="single" w:color="auto" w:sz="4" w:space="0"/>
              <w:bottom w:val="single" w:color="auto" w:sz="4" w:space="0"/>
              <w:right w:val="single" w:color="auto" w:sz="4" w:space="0"/>
            </w:tcBorders>
            <w:vAlign w:val="center"/>
          </w:tcPr>
          <w:p w14:paraId="78C6DDBA">
            <w:pPr>
              <w:tabs>
                <w:tab w:val="left" w:pos="1463"/>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高可靠：基于三副本的盘古分布式系统，提供高数据可靠性，保护用户数据安全。</w:t>
            </w:r>
          </w:p>
        </w:tc>
      </w:tr>
      <w:tr w14:paraId="7D56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tcBorders>
              <w:top w:val="single" w:color="auto" w:sz="4" w:space="0"/>
              <w:left w:val="single" w:color="auto" w:sz="4" w:space="0"/>
              <w:bottom w:val="single" w:color="auto" w:sz="4" w:space="0"/>
              <w:right w:val="single" w:color="auto" w:sz="4" w:space="0"/>
            </w:tcBorders>
            <w:vAlign w:val="center"/>
          </w:tcPr>
          <w:p w14:paraId="74FA6A50">
            <w:pPr>
              <w:widowControl/>
              <w:spacing w:line="360" w:lineRule="auto"/>
              <w:jc w:val="center"/>
              <w:rPr>
                <w:rFonts w:hint="eastAsia" w:ascii="宋体" w:hAnsi="宋体" w:eastAsia="宋体" w:cs="宋体"/>
                <w:color w:val="auto"/>
                <w:sz w:val="21"/>
                <w:szCs w:val="21"/>
                <w:highlight w:val="none"/>
              </w:rPr>
            </w:pPr>
          </w:p>
        </w:tc>
        <w:tc>
          <w:tcPr>
            <w:tcW w:w="7568" w:type="dxa"/>
            <w:tcBorders>
              <w:top w:val="single" w:color="auto" w:sz="4" w:space="0"/>
              <w:left w:val="single" w:color="auto" w:sz="4" w:space="0"/>
              <w:bottom w:val="single" w:color="auto" w:sz="4" w:space="0"/>
              <w:right w:val="single" w:color="auto" w:sz="4" w:space="0"/>
            </w:tcBorders>
            <w:vAlign w:val="center"/>
          </w:tcPr>
          <w:p w14:paraId="4E9F7FB7">
            <w:pPr>
              <w:tabs>
                <w:tab w:val="left" w:pos="2138"/>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安全：支持专有网络、安全组、ACL、主子账号等安全特性，保障用户数据隔离。</w:t>
            </w:r>
          </w:p>
        </w:tc>
      </w:tr>
      <w:tr w14:paraId="44C1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tcBorders>
              <w:top w:val="single" w:color="auto" w:sz="4" w:space="0"/>
              <w:left w:val="single" w:color="auto" w:sz="4" w:space="0"/>
              <w:bottom w:val="single" w:color="auto" w:sz="4" w:space="0"/>
              <w:right w:val="single" w:color="auto" w:sz="4" w:space="0"/>
            </w:tcBorders>
            <w:vAlign w:val="center"/>
          </w:tcPr>
          <w:p w14:paraId="6D18FC61">
            <w:pPr>
              <w:widowControl/>
              <w:spacing w:line="360" w:lineRule="auto"/>
              <w:jc w:val="center"/>
              <w:rPr>
                <w:rFonts w:hint="eastAsia" w:ascii="宋体" w:hAnsi="宋体" w:eastAsia="宋体" w:cs="宋体"/>
                <w:color w:val="auto"/>
                <w:sz w:val="21"/>
                <w:szCs w:val="21"/>
                <w:highlight w:val="none"/>
              </w:rPr>
            </w:pPr>
          </w:p>
        </w:tc>
        <w:tc>
          <w:tcPr>
            <w:tcW w:w="7568" w:type="dxa"/>
            <w:tcBorders>
              <w:top w:val="single" w:color="auto" w:sz="4" w:space="0"/>
              <w:left w:val="single" w:color="auto" w:sz="4" w:space="0"/>
              <w:bottom w:val="single" w:color="auto" w:sz="4" w:space="0"/>
              <w:right w:val="single" w:color="auto" w:sz="4" w:space="0"/>
            </w:tcBorders>
            <w:vAlign w:val="center"/>
          </w:tcPr>
          <w:p w14:paraId="533EFD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全局命名空间：文件系统数据分布在整个NAS集群上，提供单一命名空间。</w:t>
            </w:r>
          </w:p>
        </w:tc>
      </w:tr>
      <w:tr w14:paraId="174B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restart"/>
            <w:tcBorders>
              <w:top w:val="single" w:color="auto" w:sz="4" w:space="0"/>
              <w:left w:val="single" w:color="auto" w:sz="4" w:space="0"/>
              <w:right w:val="single" w:color="auto" w:sz="4" w:space="0"/>
            </w:tcBorders>
            <w:vAlign w:val="center"/>
          </w:tcPr>
          <w:p w14:paraId="5B1B2BF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共享性</w:t>
            </w:r>
          </w:p>
        </w:tc>
        <w:tc>
          <w:tcPr>
            <w:tcW w:w="7568" w:type="dxa"/>
            <w:tcBorders>
              <w:top w:val="single" w:color="auto" w:sz="4" w:space="0"/>
              <w:left w:val="single" w:color="auto" w:sz="4" w:space="0"/>
              <w:bottom w:val="single" w:color="auto" w:sz="4" w:space="0"/>
              <w:right w:val="single" w:color="auto" w:sz="4" w:space="0"/>
            </w:tcBorders>
            <w:vAlign w:val="center"/>
          </w:tcPr>
          <w:p w14:paraId="4085B1A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NAS提供了标准的NFS以及SMB访问协议，支持主流操作系统，方便挂载。</w:t>
            </w:r>
          </w:p>
        </w:tc>
      </w:tr>
      <w:tr w14:paraId="1FAA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tcBorders>
              <w:left w:val="single" w:color="auto" w:sz="4" w:space="0"/>
              <w:bottom w:val="single" w:color="auto" w:sz="4" w:space="0"/>
              <w:right w:val="single" w:color="auto" w:sz="4" w:space="0"/>
            </w:tcBorders>
            <w:vAlign w:val="center"/>
          </w:tcPr>
          <w:p w14:paraId="00C07A5C">
            <w:pPr>
              <w:spacing w:line="360" w:lineRule="auto"/>
              <w:jc w:val="center"/>
              <w:rPr>
                <w:rFonts w:hint="eastAsia" w:ascii="宋体" w:hAnsi="宋体" w:eastAsia="宋体" w:cs="宋体"/>
                <w:color w:val="auto"/>
                <w:sz w:val="21"/>
                <w:szCs w:val="21"/>
                <w:highlight w:val="none"/>
              </w:rPr>
            </w:pPr>
          </w:p>
        </w:tc>
        <w:tc>
          <w:tcPr>
            <w:tcW w:w="7568" w:type="dxa"/>
            <w:tcBorders>
              <w:top w:val="single" w:color="auto" w:sz="4" w:space="0"/>
              <w:left w:val="single" w:color="auto" w:sz="4" w:space="0"/>
              <w:bottom w:val="single" w:color="auto" w:sz="4" w:space="0"/>
              <w:right w:val="single" w:color="auto" w:sz="4" w:space="0"/>
            </w:tcBorders>
            <w:vAlign w:val="center"/>
          </w:tcPr>
          <w:p w14:paraId="2DF0D84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多计算示例可以共享访问同一数据源，并能保证数据的强一致性。</w:t>
            </w:r>
          </w:p>
        </w:tc>
      </w:tr>
      <w:tr w14:paraId="7ABF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restart"/>
            <w:tcBorders>
              <w:left w:val="single" w:color="auto" w:sz="4" w:space="0"/>
              <w:right w:val="single" w:color="auto" w:sz="4" w:space="0"/>
            </w:tcBorders>
            <w:vAlign w:val="center"/>
          </w:tcPr>
          <w:p w14:paraId="0648622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安全性</w:t>
            </w:r>
          </w:p>
        </w:tc>
        <w:tc>
          <w:tcPr>
            <w:tcW w:w="7568" w:type="dxa"/>
            <w:tcBorders>
              <w:top w:val="single" w:color="auto" w:sz="4" w:space="0"/>
              <w:left w:val="single" w:color="auto" w:sz="4" w:space="0"/>
              <w:bottom w:val="single" w:color="auto" w:sz="4" w:space="0"/>
              <w:right w:val="single" w:color="auto" w:sz="4" w:space="0"/>
            </w:tcBorders>
            <w:vAlign w:val="center"/>
          </w:tcPr>
          <w:p w14:paraId="616614D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采取传输加密保证传输数据的安全。</w:t>
            </w:r>
          </w:p>
        </w:tc>
      </w:tr>
      <w:tr w14:paraId="2367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tcBorders>
              <w:left w:val="single" w:color="auto" w:sz="4" w:space="0"/>
              <w:right w:val="single" w:color="auto" w:sz="4" w:space="0"/>
            </w:tcBorders>
            <w:vAlign w:val="center"/>
          </w:tcPr>
          <w:p w14:paraId="4F6B39CF">
            <w:pPr>
              <w:spacing w:line="360" w:lineRule="auto"/>
              <w:rPr>
                <w:rFonts w:hint="eastAsia" w:ascii="宋体" w:hAnsi="宋体" w:eastAsia="宋体" w:cs="宋体"/>
                <w:color w:val="auto"/>
                <w:sz w:val="21"/>
                <w:szCs w:val="21"/>
                <w:highlight w:val="none"/>
              </w:rPr>
            </w:pPr>
          </w:p>
        </w:tc>
        <w:tc>
          <w:tcPr>
            <w:tcW w:w="7568" w:type="dxa"/>
            <w:tcBorders>
              <w:top w:val="single" w:color="auto" w:sz="4" w:space="0"/>
              <w:left w:val="single" w:color="auto" w:sz="4" w:space="0"/>
              <w:bottom w:val="single" w:color="auto" w:sz="4" w:space="0"/>
              <w:right w:val="single" w:color="auto" w:sz="4" w:space="0"/>
            </w:tcBorders>
            <w:vAlign w:val="center"/>
          </w:tcPr>
          <w:p w14:paraId="4F89400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访问时</w:t>
            </w:r>
            <w:r>
              <w:rPr>
                <w:rFonts w:hint="eastAsia" w:ascii="宋体" w:hAnsi="宋体" w:cs="宋体"/>
                <w:color w:val="auto"/>
                <w:sz w:val="21"/>
                <w:szCs w:val="21"/>
                <w:highlight w:val="none"/>
                <w:lang w:eastAsia="zh-CN"/>
              </w:rPr>
              <w:t>需要</w:t>
            </w:r>
            <w:r>
              <w:rPr>
                <w:rFonts w:hint="eastAsia" w:ascii="宋体" w:hAnsi="宋体" w:eastAsia="宋体" w:cs="宋体"/>
                <w:color w:val="auto"/>
                <w:sz w:val="21"/>
                <w:szCs w:val="21"/>
                <w:highlight w:val="none"/>
              </w:rPr>
              <w:t>通过专有网络或VPN等专线网络进行访问，保证了访问时的安全。</w:t>
            </w:r>
          </w:p>
        </w:tc>
      </w:tr>
      <w:tr w14:paraId="00A8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vMerge w:val="continue"/>
            <w:tcBorders>
              <w:left w:val="single" w:color="auto" w:sz="4" w:space="0"/>
              <w:right w:val="single" w:color="auto" w:sz="4" w:space="0"/>
            </w:tcBorders>
            <w:vAlign w:val="center"/>
          </w:tcPr>
          <w:p w14:paraId="3EBB0512">
            <w:pPr>
              <w:spacing w:line="360" w:lineRule="auto"/>
              <w:rPr>
                <w:rFonts w:hint="eastAsia" w:ascii="宋体" w:hAnsi="宋体" w:eastAsia="宋体" w:cs="宋体"/>
                <w:color w:val="auto"/>
                <w:sz w:val="21"/>
                <w:szCs w:val="21"/>
                <w:highlight w:val="none"/>
              </w:rPr>
            </w:pPr>
          </w:p>
        </w:tc>
        <w:tc>
          <w:tcPr>
            <w:tcW w:w="7568" w:type="dxa"/>
            <w:tcBorders>
              <w:top w:val="single" w:color="auto" w:sz="4" w:space="0"/>
              <w:left w:val="single" w:color="auto" w:sz="4" w:space="0"/>
              <w:bottom w:val="single" w:color="auto" w:sz="4" w:space="0"/>
              <w:right w:val="single" w:color="auto" w:sz="4" w:space="0"/>
            </w:tcBorders>
            <w:vAlign w:val="center"/>
          </w:tcPr>
          <w:p w14:paraId="26CBA16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采用多副本技术，具有灵活的备份策略，保证了数据本身的安全。</w:t>
            </w:r>
          </w:p>
        </w:tc>
      </w:tr>
    </w:tbl>
    <w:p w14:paraId="4933EDCA">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表格存储</w:t>
      </w:r>
    </w:p>
    <w:tbl>
      <w:tblPr>
        <w:tblStyle w:val="62"/>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7586"/>
      </w:tblGrid>
      <w:tr w14:paraId="087D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14:paraId="34CEB92A">
            <w:pPr>
              <w:spacing w:line="360" w:lineRule="auto"/>
              <w:jc w:val="center"/>
              <w:rPr>
                <w:rFonts w:hint="eastAsia" w:ascii="宋体" w:hAnsi="宋体" w:eastAsia="宋体" w:cs="宋体"/>
                <w:b/>
                <w:bCs/>
                <w:color w:val="auto"/>
                <w:sz w:val="21"/>
                <w:szCs w:val="21"/>
                <w:highlight w:val="none"/>
              </w:rPr>
            </w:pPr>
            <w:bookmarkStart w:id="38" w:name="_Toc39140762"/>
            <w:r>
              <w:rPr>
                <w:rFonts w:hint="eastAsia" w:ascii="宋体" w:hAnsi="宋体" w:eastAsia="宋体" w:cs="宋体"/>
                <w:b/>
                <w:bCs/>
                <w:color w:val="auto"/>
                <w:sz w:val="21"/>
                <w:szCs w:val="21"/>
                <w:highlight w:val="none"/>
              </w:rPr>
              <w:t>指标项</w:t>
            </w:r>
          </w:p>
        </w:tc>
        <w:tc>
          <w:tcPr>
            <w:tcW w:w="7586" w:type="dxa"/>
            <w:tcBorders>
              <w:top w:val="single" w:color="auto" w:sz="4" w:space="0"/>
              <w:left w:val="single" w:color="auto" w:sz="4" w:space="0"/>
              <w:bottom w:val="single" w:color="auto" w:sz="4" w:space="0"/>
              <w:right w:val="single" w:color="auto" w:sz="4" w:space="0"/>
            </w:tcBorders>
            <w:vAlign w:val="center"/>
          </w:tcPr>
          <w:p w14:paraId="628A96A5">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725B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14:paraId="5BACE29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586" w:type="dxa"/>
            <w:tcBorders>
              <w:top w:val="single" w:color="auto" w:sz="4" w:space="0"/>
              <w:left w:val="single" w:color="auto" w:sz="4" w:space="0"/>
              <w:bottom w:val="single" w:color="auto" w:sz="4" w:space="0"/>
              <w:right w:val="single" w:color="auto" w:sz="4" w:space="0"/>
            </w:tcBorders>
            <w:vAlign w:val="center"/>
          </w:tcPr>
          <w:p w14:paraId="6E3A19F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提供以实例和表的形式组织数据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通过数据分片和负载均衡技术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达到规模的无缝扩展</w:t>
            </w:r>
            <w:r>
              <w:rPr>
                <w:rFonts w:hint="eastAsia" w:ascii="宋体" w:hAnsi="宋体" w:eastAsia="宋体" w:cs="宋体"/>
                <w:color w:val="auto"/>
                <w:sz w:val="21"/>
                <w:szCs w:val="21"/>
                <w:highlight w:val="none"/>
                <w:lang w:eastAsia="zh-CN"/>
              </w:rPr>
              <w:t>。</w:t>
            </w:r>
          </w:p>
        </w:tc>
      </w:tr>
      <w:tr w14:paraId="46B2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637" w:type="dxa"/>
            <w:vMerge w:val="restart"/>
            <w:tcBorders>
              <w:left w:val="single" w:color="auto" w:sz="4" w:space="0"/>
              <w:right w:val="single" w:color="auto" w:sz="4" w:space="0"/>
            </w:tcBorders>
            <w:vAlign w:val="center"/>
          </w:tcPr>
          <w:p w14:paraId="32618F90">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586" w:type="dxa"/>
            <w:tcBorders>
              <w:top w:val="single" w:color="auto" w:sz="4" w:space="0"/>
              <w:left w:val="single" w:color="auto" w:sz="4" w:space="0"/>
              <w:bottom w:val="single" w:color="auto" w:sz="4" w:space="0"/>
              <w:right w:val="single" w:color="auto" w:sz="4" w:space="0"/>
            </w:tcBorders>
            <w:vAlign w:val="center"/>
          </w:tcPr>
          <w:p w14:paraId="50F19630">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支持单列索引及组合索引</w:t>
            </w:r>
            <w:r>
              <w:rPr>
                <w:rFonts w:hint="eastAsia" w:ascii="宋体" w:hAnsi="宋体" w:eastAsia="宋体" w:cs="宋体"/>
                <w:color w:val="auto"/>
                <w:sz w:val="21"/>
                <w:szCs w:val="21"/>
                <w:highlight w:val="none"/>
                <w:lang w:eastAsia="zh-CN"/>
              </w:rPr>
              <w:t>。</w:t>
            </w:r>
          </w:p>
        </w:tc>
      </w:tr>
      <w:tr w14:paraId="6A28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637" w:type="dxa"/>
            <w:vMerge w:val="continue"/>
            <w:tcBorders>
              <w:left w:val="single" w:color="auto" w:sz="4" w:space="0"/>
              <w:right w:val="single" w:color="auto" w:sz="4" w:space="0"/>
            </w:tcBorders>
            <w:vAlign w:val="center"/>
          </w:tcPr>
          <w:p w14:paraId="65AF1670">
            <w:pPr>
              <w:widowControl/>
              <w:spacing w:line="360" w:lineRule="auto"/>
              <w:jc w:val="center"/>
              <w:rPr>
                <w:rFonts w:hint="eastAsia" w:ascii="宋体" w:hAnsi="宋体" w:eastAsia="宋体" w:cs="宋体"/>
                <w:color w:val="auto"/>
                <w:sz w:val="21"/>
                <w:szCs w:val="21"/>
                <w:highlight w:val="none"/>
              </w:rPr>
            </w:pPr>
          </w:p>
        </w:tc>
        <w:tc>
          <w:tcPr>
            <w:tcW w:w="7586" w:type="dxa"/>
            <w:tcBorders>
              <w:top w:val="single" w:color="auto" w:sz="4" w:space="0"/>
              <w:left w:val="single" w:color="auto" w:sz="4" w:space="0"/>
              <w:bottom w:val="single" w:color="auto" w:sz="4" w:space="0"/>
              <w:right w:val="single" w:color="auto" w:sz="4" w:space="0"/>
            </w:tcBorders>
            <w:vAlign w:val="center"/>
          </w:tcPr>
          <w:p w14:paraId="5A657BC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支持基于分区键的事务</w:t>
            </w:r>
            <w:r>
              <w:rPr>
                <w:rFonts w:hint="eastAsia" w:ascii="宋体" w:hAnsi="宋体" w:eastAsia="宋体" w:cs="宋体"/>
                <w:color w:val="auto"/>
                <w:sz w:val="21"/>
                <w:szCs w:val="21"/>
                <w:highlight w:val="none"/>
                <w:lang w:eastAsia="zh-CN"/>
              </w:rPr>
              <w:t>。</w:t>
            </w:r>
          </w:p>
        </w:tc>
      </w:tr>
      <w:tr w14:paraId="41BD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637" w:type="dxa"/>
            <w:vMerge w:val="continue"/>
            <w:tcBorders>
              <w:left w:val="single" w:color="auto" w:sz="4" w:space="0"/>
              <w:right w:val="single" w:color="auto" w:sz="4" w:space="0"/>
            </w:tcBorders>
            <w:vAlign w:val="center"/>
          </w:tcPr>
          <w:p w14:paraId="728DC789">
            <w:pPr>
              <w:widowControl/>
              <w:spacing w:line="360" w:lineRule="auto"/>
              <w:jc w:val="center"/>
              <w:rPr>
                <w:rFonts w:hint="eastAsia" w:ascii="宋体" w:hAnsi="宋体" w:eastAsia="宋体" w:cs="宋体"/>
                <w:color w:val="auto"/>
                <w:sz w:val="21"/>
                <w:szCs w:val="21"/>
                <w:highlight w:val="none"/>
              </w:rPr>
            </w:pPr>
          </w:p>
        </w:tc>
        <w:tc>
          <w:tcPr>
            <w:tcW w:w="7586" w:type="dxa"/>
            <w:tcBorders>
              <w:top w:val="single" w:color="auto" w:sz="4" w:space="0"/>
              <w:left w:val="single" w:color="auto" w:sz="4" w:space="0"/>
              <w:bottom w:val="single" w:color="auto" w:sz="4" w:space="0"/>
              <w:right w:val="single" w:color="auto" w:sz="4" w:space="0"/>
            </w:tcBorders>
            <w:vAlign w:val="center"/>
          </w:tcPr>
          <w:p w14:paraId="424F4D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支持数据按照时间进行数据与多个版本的数据清理，支持宽行模型，表中属性列可以动态横向扩展。</w:t>
            </w:r>
          </w:p>
        </w:tc>
      </w:tr>
      <w:tr w14:paraId="499C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637" w:type="dxa"/>
            <w:vMerge w:val="continue"/>
            <w:tcBorders>
              <w:left w:val="single" w:color="auto" w:sz="4" w:space="0"/>
              <w:right w:val="single" w:color="auto" w:sz="4" w:space="0"/>
            </w:tcBorders>
            <w:vAlign w:val="center"/>
          </w:tcPr>
          <w:p w14:paraId="091B8BAD">
            <w:pPr>
              <w:widowControl/>
              <w:spacing w:line="360" w:lineRule="auto"/>
              <w:jc w:val="center"/>
              <w:rPr>
                <w:rFonts w:hint="eastAsia" w:ascii="宋体" w:hAnsi="宋体" w:eastAsia="宋体" w:cs="宋体"/>
                <w:color w:val="auto"/>
                <w:sz w:val="21"/>
                <w:szCs w:val="21"/>
                <w:highlight w:val="none"/>
              </w:rPr>
            </w:pPr>
          </w:p>
        </w:tc>
        <w:tc>
          <w:tcPr>
            <w:tcW w:w="7586" w:type="dxa"/>
            <w:tcBorders>
              <w:top w:val="single" w:color="auto" w:sz="4" w:space="0"/>
              <w:left w:val="single" w:color="auto" w:sz="4" w:space="0"/>
              <w:bottom w:val="single" w:color="auto" w:sz="4" w:space="0"/>
              <w:right w:val="single" w:color="auto" w:sz="4" w:space="0"/>
            </w:tcBorders>
            <w:vAlign w:val="center"/>
          </w:tcPr>
          <w:p w14:paraId="3D290AD3">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高性能：提供单个毫秒级的单行平均访问延时</w:t>
            </w:r>
            <w:r>
              <w:rPr>
                <w:rFonts w:hint="eastAsia" w:ascii="宋体" w:hAnsi="宋体" w:eastAsia="宋体" w:cs="宋体"/>
                <w:color w:val="auto"/>
                <w:sz w:val="21"/>
                <w:szCs w:val="21"/>
                <w:highlight w:val="none"/>
                <w:lang w:eastAsia="zh-CN"/>
              </w:rPr>
              <w:t>。</w:t>
            </w:r>
          </w:p>
        </w:tc>
      </w:tr>
      <w:tr w14:paraId="231B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37" w:type="dxa"/>
            <w:vMerge w:val="continue"/>
            <w:tcBorders>
              <w:left w:val="single" w:color="auto" w:sz="4" w:space="0"/>
              <w:right w:val="single" w:color="auto" w:sz="4" w:space="0"/>
            </w:tcBorders>
            <w:vAlign w:val="center"/>
          </w:tcPr>
          <w:p w14:paraId="00FE332E">
            <w:pPr>
              <w:widowControl/>
              <w:spacing w:line="360" w:lineRule="auto"/>
              <w:jc w:val="left"/>
              <w:rPr>
                <w:rFonts w:hint="eastAsia" w:ascii="宋体" w:hAnsi="宋体" w:eastAsia="宋体" w:cs="宋体"/>
                <w:color w:val="auto"/>
                <w:sz w:val="21"/>
                <w:szCs w:val="21"/>
                <w:highlight w:val="none"/>
              </w:rPr>
            </w:pPr>
          </w:p>
        </w:tc>
        <w:tc>
          <w:tcPr>
            <w:tcW w:w="7586" w:type="dxa"/>
            <w:tcBorders>
              <w:top w:val="single" w:color="auto" w:sz="4" w:space="0"/>
              <w:left w:val="single" w:color="auto" w:sz="4" w:space="0"/>
              <w:bottom w:val="single" w:color="auto" w:sz="4" w:space="0"/>
              <w:right w:val="single" w:color="auto" w:sz="4" w:space="0"/>
            </w:tcBorders>
            <w:vAlign w:val="center"/>
          </w:tcPr>
          <w:p w14:paraId="7E1980B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数据可靠性：通过存储多个数据备份及备份失效时的快速恢复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提供极高的数据可靠性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数据可靠性为99.99%。</w:t>
            </w:r>
          </w:p>
        </w:tc>
      </w:tr>
      <w:tr w14:paraId="2347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637" w:type="dxa"/>
            <w:vMerge w:val="continue"/>
            <w:tcBorders>
              <w:left w:val="single" w:color="auto" w:sz="4" w:space="0"/>
              <w:right w:val="single" w:color="auto" w:sz="4" w:space="0"/>
            </w:tcBorders>
            <w:vAlign w:val="center"/>
          </w:tcPr>
          <w:p w14:paraId="79EEE5C0">
            <w:pPr>
              <w:widowControl/>
              <w:spacing w:line="360" w:lineRule="auto"/>
              <w:jc w:val="left"/>
              <w:rPr>
                <w:rFonts w:hint="eastAsia" w:ascii="宋体" w:hAnsi="宋体" w:eastAsia="宋体" w:cs="宋体"/>
                <w:color w:val="auto"/>
                <w:sz w:val="21"/>
                <w:szCs w:val="21"/>
                <w:highlight w:val="none"/>
              </w:rPr>
            </w:pPr>
          </w:p>
        </w:tc>
        <w:tc>
          <w:tcPr>
            <w:tcW w:w="7586" w:type="dxa"/>
            <w:tcBorders>
              <w:top w:val="single" w:color="auto" w:sz="4" w:space="0"/>
              <w:left w:val="single" w:color="auto" w:sz="4" w:space="0"/>
              <w:bottom w:val="single" w:color="auto" w:sz="4" w:space="0"/>
              <w:right w:val="single" w:color="auto" w:sz="4" w:space="0"/>
            </w:tcBorders>
            <w:vAlign w:val="center"/>
          </w:tcPr>
          <w:p w14:paraId="44EF052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高可用性：通过自动的故障检测和数据迁移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表格存储对应用屏蔽了机器和网络的硬件故障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提供高可用性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服务可用性为99.9%</w:t>
            </w:r>
            <w:r>
              <w:rPr>
                <w:rFonts w:hint="eastAsia" w:ascii="宋体" w:hAnsi="宋体" w:eastAsia="宋体" w:cs="宋体"/>
                <w:color w:val="auto"/>
                <w:sz w:val="21"/>
                <w:szCs w:val="21"/>
                <w:highlight w:val="none"/>
                <w:lang w:eastAsia="zh-CN"/>
              </w:rPr>
              <w:t>。</w:t>
            </w:r>
          </w:p>
        </w:tc>
      </w:tr>
      <w:tr w14:paraId="795D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37" w:type="dxa"/>
            <w:vMerge w:val="continue"/>
            <w:tcBorders>
              <w:left w:val="single" w:color="auto" w:sz="4" w:space="0"/>
              <w:right w:val="single" w:color="auto" w:sz="4" w:space="0"/>
            </w:tcBorders>
            <w:vAlign w:val="center"/>
          </w:tcPr>
          <w:p w14:paraId="28D3AFB3">
            <w:pPr>
              <w:widowControl/>
              <w:spacing w:line="360" w:lineRule="auto"/>
              <w:jc w:val="left"/>
              <w:rPr>
                <w:rFonts w:hint="eastAsia" w:ascii="宋体" w:hAnsi="宋体" w:eastAsia="宋体" w:cs="宋体"/>
                <w:color w:val="auto"/>
                <w:sz w:val="21"/>
                <w:szCs w:val="21"/>
                <w:highlight w:val="none"/>
              </w:rPr>
            </w:pPr>
          </w:p>
        </w:tc>
        <w:tc>
          <w:tcPr>
            <w:tcW w:w="7586" w:type="dxa"/>
            <w:tcBorders>
              <w:top w:val="single" w:color="auto" w:sz="4" w:space="0"/>
              <w:left w:val="single" w:color="auto" w:sz="4" w:space="0"/>
              <w:bottom w:val="single" w:color="auto" w:sz="4" w:space="0"/>
              <w:right w:val="single" w:color="auto" w:sz="4" w:space="0"/>
            </w:tcBorders>
            <w:vAlign w:val="center"/>
          </w:tcPr>
          <w:p w14:paraId="5412C118">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灵活的数据模型：表格存储的表无固定格式要求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每行的列数可以不相同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支持多种数据类型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Integer、Boolean、Double、String、Binary</w:t>
            </w:r>
            <w:r>
              <w:rPr>
                <w:rFonts w:hint="eastAsia" w:ascii="宋体" w:hAnsi="宋体" w:eastAsia="宋体" w:cs="宋体"/>
                <w:color w:val="auto"/>
                <w:sz w:val="21"/>
                <w:szCs w:val="21"/>
                <w:highlight w:val="none"/>
                <w:lang w:eastAsia="zh-CN"/>
              </w:rPr>
              <w:t>）。</w:t>
            </w:r>
          </w:p>
        </w:tc>
      </w:tr>
      <w:tr w14:paraId="2662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37" w:type="dxa"/>
            <w:vMerge w:val="restart"/>
            <w:tcBorders>
              <w:left w:val="single" w:color="auto" w:sz="4" w:space="0"/>
              <w:right w:val="single" w:color="auto" w:sz="4" w:space="0"/>
            </w:tcBorders>
            <w:vAlign w:val="center"/>
          </w:tcPr>
          <w:p w14:paraId="2C88AB9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586" w:type="dxa"/>
            <w:tcBorders>
              <w:top w:val="single" w:color="auto" w:sz="4" w:space="0"/>
              <w:left w:val="single" w:color="auto" w:sz="4" w:space="0"/>
              <w:bottom w:val="single" w:color="auto" w:sz="4" w:space="0"/>
              <w:right w:val="single" w:color="auto" w:sz="4" w:space="0"/>
            </w:tcBorders>
            <w:vAlign w:val="center"/>
          </w:tcPr>
          <w:p w14:paraId="7D699BD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数据分区和负载均衡机制：数据分区系统均匀</w:t>
            </w: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rPr>
              <w:t>调度到不同的存储节点上</w:t>
            </w:r>
            <w:r>
              <w:rPr>
                <w:rFonts w:hint="eastAsia" w:ascii="宋体" w:hAnsi="宋体" w:eastAsia="宋体" w:cs="宋体"/>
                <w:color w:val="auto"/>
                <w:sz w:val="21"/>
                <w:szCs w:val="21"/>
                <w:highlight w:val="none"/>
                <w:lang w:eastAsia="zh-CN"/>
              </w:rPr>
              <w:t>。</w:t>
            </w:r>
          </w:p>
        </w:tc>
      </w:tr>
      <w:tr w14:paraId="1F78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37" w:type="dxa"/>
            <w:vMerge w:val="continue"/>
            <w:tcBorders>
              <w:left w:val="single" w:color="auto" w:sz="4" w:space="0"/>
              <w:right w:val="single" w:color="auto" w:sz="4" w:space="0"/>
            </w:tcBorders>
            <w:vAlign w:val="center"/>
          </w:tcPr>
          <w:p w14:paraId="2E011564">
            <w:pPr>
              <w:widowControl/>
              <w:spacing w:line="360" w:lineRule="auto"/>
              <w:jc w:val="center"/>
              <w:rPr>
                <w:rFonts w:hint="eastAsia" w:ascii="宋体" w:hAnsi="宋体" w:eastAsia="宋体" w:cs="宋体"/>
                <w:color w:val="auto"/>
                <w:sz w:val="21"/>
                <w:szCs w:val="21"/>
                <w:highlight w:val="none"/>
              </w:rPr>
            </w:pPr>
          </w:p>
        </w:tc>
        <w:tc>
          <w:tcPr>
            <w:tcW w:w="7586" w:type="dxa"/>
            <w:tcBorders>
              <w:top w:val="single" w:color="auto" w:sz="4" w:space="0"/>
              <w:left w:val="single" w:color="auto" w:sz="4" w:space="0"/>
              <w:bottom w:val="single" w:color="auto" w:sz="4" w:space="0"/>
              <w:right w:val="single" w:color="auto" w:sz="4" w:space="0"/>
            </w:tcBorders>
            <w:vAlign w:val="center"/>
          </w:tcPr>
          <w:p w14:paraId="1B656D21">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单机故障自动恢复：表格存储的存储引擎中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每个节点都会服务一批不同表的数据分区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这些分区的分布和调度信息由一个 Master 节点负责来管理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并且 Master 节点也会监控每个服务节点的健康状态</w:t>
            </w:r>
            <w:r>
              <w:rPr>
                <w:rFonts w:hint="eastAsia" w:ascii="宋体" w:hAnsi="宋体" w:eastAsia="宋体" w:cs="宋体"/>
                <w:color w:val="auto"/>
                <w:sz w:val="21"/>
                <w:szCs w:val="21"/>
                <w:highlight w:val="none"/>
                <w:lang w:eastAsia="zh-CN"/>
              </w:rPr>
              <w:t>。</w:t>
            </w:r>
          </w:p>
        </w:tc>
      </w:tr>
      <w:tr w14:paraId="7AC5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37" w:type="dxa"/>
            <w:vMerge w:val="restart"/>
            <w:tcBorders>
              <w:left w:val="single" w:color="auto" w:sz="4" w:space="0"/>
              <w:right w:val="single" w:color="auto" w:sz="4" w:space="0"/>
            </w:tcBorders>
            <w:vAlign w:val="center"/>
          </w:tcPr>
          <w:p w14:paraId="58CADECD">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安全性</w:t>
            </w:r>
          </w:p>
        </w:tc>
        <w:tc>
          <w:tcPr>
            <w:tcW w:w="7586" w:type="dxa"/>
            <w:tcBorders>
              <w:top w:val="single" w:color="auto" w:sz="4" w:space="0"/>
              <w:left w:val="single" w:color="auto" w:sz="4" w:space="0"/>
              <w:bottom w:val="single" w:color="auto" w:sz="4" w:space="0"/>
              <w:right w:val="single" w:color="auto" w:sz="4" w:space="0"/>
            </w:tcBorders>
            <w:vAlign w:val="center"/>
          </w:tcPr>
          <w:p w14:paraId="68E41FC6">
            <w:pPr>
              <w:widowControl/>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支持私有专有网络隔离</w:t>
            </w:r>
            <w:r>
              <w:rPr>
                <w:rFonts w:hint="eastAsia" w:ascii="宋体" w:hAnsi="宋体" w:eastAsia="宋体" w:cs="宋体"/>
                <w:color w:val="auto"/>
                <w:sz w:val="21"/>
                <w:szCs w:val="21"/>
                <w:highlight w:val="none"/>
                <w:lang w:bidi="ar"/>
              </w:rPr>
              <w:t>，私有网络的实例</w:t>
            </w:r>
            <w:r>
              <w:rPr>
                <w:rFonts w:hint="eastAsia" w:ascii="宋体" w:hAnsi="宋体" w:eastAsia="宋体" w:cs="宋体"/>
                <w:color w:val="auto"/>
                <w:sz w:val="21"/>
                <w:szCs w:val="21"/>
                <w:highlight w:val="none"/>
                <w:lang w:eastAsia="zh-CN" w:bidi="ar"/>
              </w:rPr>
              <w:t>。</w:t>
            </w:r>
          </w:p>
        </w:tc>
      </w:tr>
      <w:tr w14:paraId="0FF5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37" w:type="dxa"/>
            <w:vMerge w:val="continue"/>
            <w:tcBorders>
              <w:left w:val="single" w:color="auto" w:sz="4" w:space="0"/>
              <w:right w:val="single" w:color="auto" w:sz="4" w:space="0"/>
            </w:tcBorders>
            <w:vAlign w:val="center"/>
          </w:tcPr>
          <w:p w14:paraId="1F7CF3D3">
            <w:pPr>
              <w:widowControl/>
              <w:spacing w:line="360" w:lineRule="auto"/>
              <w:jc w:val="left"/>
              <w:rPr>
                <w:rFonts w:hint="eastAsia" w:ascii="宋体" w:hAnsi="宋体" w:eastAsia="宋体" w:cs="宋体"/>
                <w:color w:val="auto"/>
                <w:sz w:val="21"/>
                <w:szCs w:val="21"/>
                <w:highlight w:val="none"/>
              </w:rPr>
            </w:pPr>
          </w:p>
        </w:tc>
        <w:tc>
          <w:tcPr>
            <w:tcW w:w="7586" w:type="dxa"/>
            <w:tcBorders>
              <w:top w:val="single" w:color="auto" w:sz="4" w:space="0"/>
              <w:left w:val="single" w:color="auto" w:sz="4" w:space="0"/>
              <w:bottom w:val="single" w:color="auto" w:sz="4" w:space="0"/>
              <w:right w:val="single" w:color="auto" w:sz="4" w:space="0"/>
            </w:tcBorders>
            <w:vAlign w:val="center"/>
          </w:tcPr>
          <w:p w14:paraId="01FBA4DB">
            <w:pPr>
              <w:widowControl/>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支持多租户并行执行，租户任务提交到不同的队列执行，租户间资源隔离</w:t>
            </w:r>
            <w:r>
              <w:rPr>
                <w:rFonts w:hint="eastAsia" w:ascii="宋体" w:hAnsi="宋体" w:eastAsia="宋体" w:cs="宋体"/>
                <w:color w:val="auto"/>
                <w:sz w:val="21"/>
                <w:szCs w:val="21"/>
                <w:highlight w:val="none"/>
                <w:lang w:eastAsia="zh-CN" w:bidi="ar"/>
              </w:rPr>
              <w:t>。</w:t>
            </w:r>
          </w:p>
        </w:tc>
      </w:tr>
      <w:tr w14:paraId="714B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637" w:type="dxa"/>
            <w:vMerge w:val="continue"/>
            <w:tcBorders>
              <w:left w:val="single" w:color="auto" w:sz="4" w:space="0"/>
              <w:right w:val="single" w:color="auto" w:sz="4" w:space="0"/>
            </w:tcBorders>
            <w:vAlign w:val="center"/>
          </w:tcPr>
          <w:p w14:paraId="312B20D4">
            <w:pPr>
              <w:widowControl/>
              <w:spacing w:line="360" w:lineRule="auto"/>
              <w:jc w:val="left"/>
              <w:rPr>
                <w:rFonts w:hint="eastAsia" w:ascii="宋体" w:hAnsi="宋体" w:eastAsia="宋体" w:cs="宋体"/>
                <w:color w:val="auto"/>
                <w:sz w:val="21"/>
                <w:szCs w:val="21"/>
                <w:highlight w:val="none"/>
              </w:rPr>
            </w:pPr>
          </w:p>
        </w:tc>
        <w:tc>
          <w:tcPr>
            <w:tcW w:w="7586" w:type="dxa"/>
            <w:tcBorders>
              <w:top w:val="single" w:color="auto" w:sz="4" w:space="0"/>
              <w:left w:val="single" w:color="auto" w:sz="4" w:space="0"/>
              <w:bottom w:val="single" w:color="auto" w:sz="4" w:space="0"/>
              <w:right w:val="single" w:color="auto" w:sz="4" w:space="0"/>
            </w:tcBorders>
            <w:vAlign w:val="center"/>
          </w:tcPr>
          <w:p w14:paraId="76F901B5">
            <w:pPr>
              <w:widowControl/>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支持服务端提供黑白名单的访问控制</w:t>
            </w:r>
            <w:r>
              <w:rPr>
                <w:rFonts w:hint="eastAsia" w:ascii="宋体" w:hAnsi="宋体" w:eastAsia="宋体" w:cs="宋体"/>
                <w:color w:val="auto"/>
                <w:sz w:val="21"/>
                <w:szCs w:val="21"/>
                <w:highlight w:val="none"/>
                <w:lang w:eastAsia="zh-CN" w:bidi="ar"/>
              </w:rPr>
              <w:t>。</w:t>
            </w:r>
          </w:p>
        </w:tc>
      </w:tr>
    </w:tbl>
    <w:p w14:paraId="22031813">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 专用网络</w:t>
      </w:r>
      <w:bookmarkEnd w:id="38"/>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7620"/>
      </w:tblGrid>
      <w:tr w14:paraId="0A12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tcBorders>
              <w:top w:val="single" w:color="auto" w:sz="4" w:space="0"/>
              <w:left w:val="single" w:color="auto" w:sz="4" w:space="0"/>
              <w:bottom w:val="single" w:color="auto" w:sz="4" w:space="0"/>
              <w:right w:val="single" w:color="auto" w:sz="4" w:space="0"/>
            </w:tcBorders>
            <w:vAlign w:val="center"/>
          </w:tcPr>
          <w:p w14:paraId="266FA316">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4101" w:type="pct"/>
            <w:tcBorders>
              <w:top w:val="single" w:color="auto" w:sz="4" w:space="0"/>
              <w:left w:val="single" w:color="auto" w:sz="4" w:space="0"/>
              <w:bottom w:val="single" w:color="auto" w:sz="4" w:space="0"/>
              <w:right w:val="single" w:color="auto" w:sz="4" w:space="0"/>
            </w:tcBorders>
            <w:vAlign w:val="center"/>
          </w:tcPr>
          <w:p w14:paraId="75C4A45E">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7169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tcBorders>
              <w:top w:val="single" w:color="auto" w:sz="4" w:space="0"/>
              <w:left w:val="single" w:color="auto" w:sz="4" w:space="0"/>
              <w:bottom w:val="single" w:color="auto" w:sz="4" w:space="0"/>
              <w:right w:val="single" w:color="auto" w:sz="4" w:space="0"/>
            </w:tcBorders>
            <w:vAlign w:val="center"/>
          </w:tcPr>
          <w:p w14:paraId="254D3FD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4101" w:type="pct"/>
            <w:tcBorders>
              <w:top w:val="single" w:color="auto" w:sz="4" w:space="0"/>
              <w:left w:val="single" w:color="auto" w:sz="4" w:space="0"/>
              <w:bottom w:val="single" w:color="auto" w:sz="4" w:space="0"/>
              <w:right w:val="single" w:color="auto" w:sz="4" w:space="0"/>
            </w:tcBorders>
            <w:vAlign w:val="center"/>
          </w:tcPr>
          <w:p w14:paraId="384F39E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在所提供的云平台构建出一个隔离的网络环境，客户完全掌控自己的虚拟网络，包括选择自有IP地址范围、划分网段、配置路由表和网关等。</w:t>
            </w:r>
          </w:p>
        </w:tc>
      </w:tr>
      <w:tr w14:paraId="7F71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vMerge w:val="restart"/>
            <w:tcBorders>
              <w:top w:val="single" w:color="auto" w:sz="4" w:space="0"/>
              <w:left w:val="single" w:color="auto" w:sz="4" w:space="0"/>
              <w:right w:val="single" w:color="auto" w:sz="4" w:space="0"/>
            </w:tcBorders>
            <w:vAlign w:val="center"/>
          </w:tcPr>
          <w:p w14:paraId="52324BA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4101" w:type="pct"/>
            <w:tcBorders>
              <w:top w:val="single" w:color="auto" w:sz="4" w:space="0"/>
              <w:left w:val="single" w:color="auto" w:sz="4" w:space="0"/>
              <w:bottom w:val="single" w:color="auto" w:sz="4" w:space="0"/>
              <w:right w:val="single" w:color="auto" w:sz="4" w:space="0"/>
            </w:tcBorders>
            <w:vAlign w:val="center"/>
          </w:tcPr>
          <w:p w14:paraId="315146E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使用隧道技术达到与传统VLAN相同隔离效果，广播域隔离在实例网卡级别</w:t>
            </w:r>
            <w:r>
              <w:rPr>
                <w:rFonts w:hint="eastAsia" w:ascii="宋体" w:hAnsi="宋体" w:eastAsia="宋体" w:cs="宋体"/>
                <w:color w:val="auto"/>
                <w:sz w:val="21"/>
                <w:szCs w:val="21"/>
                <w:highlight w:val="none"/>
                <w:lang w:eastAsia="zh-CN"/>
              </w:rPr>
              <w:t>。</w:t>
            </w:r>
          </w:p>
        </w:tc>
      </w:tr>
      <w:tr w14:paraId="1B50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vMerge w:val="continue"/>
            <w:tcBorders>
              <w:left w:val="single" w:color="auto" w:sz="4" w:space="0"/>
              <w:right w:val="single" w:color="auto" w:sz="4" w:space="0"/>
            </w:tcBorders>
            <w:vAlign w:val="center"/>
          </w:tcPr>
          <w:p w14:paraId="7E78AEA2">
            <w:pPr>
              <w:widowControl/>
              <w:spacing w:line="360" w:lineRule="auto"/>
              <w:jc w:val="center"/>
              <w:rPr>
                <w:rFonts w:hint="eastAsia" w:ascii="宋体" w:hAnsi="宋体" w:eastAsia="宋体" w:cs="宋体"/>
                <w:color w:val="auto"/>
                <w:sz w:val="21"/>
                <w:szCs w:val="21"/>
                <w:highlight w:val="none"/>
              </w:rPr>
            </w:pPr>
          </w:p>
        </w:tc>
        <w:tc>
          <w:tcPr>
            <w:tcW w:w="4101" w:type="pct"/>
            <w:tcBorders>
              <w:top w:val="single" w:color="auto" w:sz="4" w:space="0"/>
              <w:left w:val="single" w:color="auto" w:sz="4" w:space="0"/>
              <w:bottom w:val="single" w:color="auto" w:sz="4" w:space="0"/>
              <w:right w:val="single" w:color="auto" w:sz="4" w:space="0"/>
            </w:tcBorders>
            <w:vAlign w:val="center"/>
          </w:tcPr>
          <w:p w14:paraId="70EFA818">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按需配置网络设置、软件定义网络，管理操作实时生效</w:t>
            </w:r>
            <w:r>
              <w:rPr>
                <w:rFonts w:hint="eastAsia" w:ascii="宋体" w:hAnsi="宋体" w:eastAsia="宋体" w:cs="宋体"/>
                <w:color w:val="auto"/>
                <w:sz w:val="21"/>
                <w:szCs w:val="21"/>
                <w:highlight w:val="none"/>
                <w:lang w:eastAsia="zh-CN"/>
              </w:rPr>
              <w:t>。</w:t>
            </w:r>
          </w:p>
        </w:tc>
      </w:tr>
      <w:tr w14:paraId="14AF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vMerge w:val="continue"/>
            <w:tcBorders>
              <w:left w:val="single" w:color="auto" w:sz="4" w:space="0"/>
              <w:right w:val="single" w:color="auto" w:sz="4" w:space="0"/>
            </w:tcBorders>
            <w:vAlign w:val="center"/>
          </w:tcPr>
          <w:p w14:paraId="21B4A76C">
            <w:pPr>
              <w:widowControl/>
              <w:spacing w:line="360" w:lineRule="auto"/>
              <w:jc w:val="center"/>
              <w:rPr>
                <w:rFonts w:hint="eastAsia" w:ascii="宋体" w:hAnsi="宋体" w:eastAsia="宋体" w:cs="宋体"/>
                <w:color w:val="auto"/>
                <w:sz w:val="21"/>
                <w:szCs w:val="21"/>
                <w:highlight w:val="none"/>
              </w:rPr>
            </w:pPr>
          </w:p>
        </w:tc>
        <w:tc>
          <w:tcPr>
            <w:tcW w:w="4101" w:type="pct"/>
            <w:tcBorders>
              <w:top w:val="single" w:color="auto" w:sz="4" w:space="0"/>
              <w:left w:val="single" w:color="auto" w:sz="4" w:space="0"/>
              <w:bottom w:val="single" w:color="auto" w:sz="4" w:space="0"/>
              <w:right w:val="single" w:color="auto" w:sz="4" w:space="0"/>
            </w:tcBorders>
            <w:vAlign w:val="center"/>
          </w:tcPr>
          <w:p w14:paraId="3D9724A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灵活的访问控制规则，满足政务、金融用户的安全隔离规范</w:t>
            </w:r>
            <w:r>
              <w:rPr>
                <w:rFonts w:hint="eastAsia" w:ascii="宋体" w:hAnsi="宋体" w:eastAsia="宋体" w:cs="宋体"/>
                <w:color w:val="auto"/>
                <w:sz w:val="21"/>
                <w:szCs w:val="21"/>
                <w:highlight w:val="none"/>
                <w:lang w:eastAsia="zh-CN"/>
              </w:rPr>
              <w:t>；</w:t>
            </w:r>
          </w:p>
          <w:p w14:paraId="5F6A83F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可通过云平台权限体系实现对网络的权限管理</w:t>
            </w:r>
            <w:r>
              <w:rPr>
                <w:rFonts w:hint="eastAsia" w:ascii="宋体" w:hAnsi="宋体" w:eastAsia="宋体" w:cs="宋体"/>
                <w:color w:val="auto"/>
                <w:sz w:val="21"/>
                <w:szCs w:val="21"/>
                <w:highlight w:val="none"/>
                <w:lang w:eastAsia="zh-CN"/>
              </w:rPr>
              <w:t>。</w:t>
            </w:r>
          </w:p>
        </w:tc>
      </w:tr>
      <w:tr w14:paraId="44EA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vMerge w:val="continue"/>
            <w:tcBorders>
              <w:left w:val="single" w:color="auto" w:sz="4" w:space="0"/>
              <w:right w:val="single" w:color="auto" w:sz="4" w:space="0"/>
            </w:tcBorders>
            <w:vAlign w:val="center"/>
          </w:tcPr>
          <w:p w14:paraId="7F1DA974">
            <w:pPr>
              <w:widowControl/>
              <w:spacing w:line="360" w:lineRule="auto"/>
              <w:jc w:val="center"/>
              <w:rPr>
                <w:rFonts w:hint="eastAsia" w:ascii="宋体" w:hAnsi="宋体" w:eastAsia="宋体" w:cs="宋体"/>
                <w:color w:val="auto"/>
                <w:sz w:val="21"/>
                <w:szCs w:val="21"/>
                <w:highlight w:val="none"/>
              </w:rPr>
            </w:pPr>
          </w:p>
        </w:tc>
        <w:tc>
          <w:tcPr>
            <w:tcW w:w="4101" w:type="pct"/>
            <w:tcBorders>
              <w:top w:val="single" w:color="auto" w:sz="4" w:space="0"/>
              <w:left w:val="single" w:color="auto" w:sz="4" w:space="0"/>
              <w:bottom w:val="single" w:color="auto" w:sz="4" w:space="0"/>
              <w:right w:val="single" w:color="auto" w:sz="4" w:space="0"/>
            </w:tcBorders>
            <w:vAlign w:val="center"/>
          </w:tcPr>
          <w:p w14:paraId="6A24F0C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支持使用高速通道实现跨地域/跨用户的内网互通和物理专线接入</w:t>
            </w:r>
            <w:r>
              <w:rPr>
                <w:rFonts w:hint="eastAsia" w:ascii="宋体" w:hAnsi="宋体" w:eastAsia="宋体" w:cs="宋体"/>
                <w:color w:val="auto"/>
                <w:sz w:val="21"/>
                <w:szCs w:val="21"/>
                <w:highlight w:val="none"/>
                <w:lang w:eastAsia="zh-CN"/>
              </w:rPr>
              <w:t>；</w:t>
            </w:r>
          </w:p>
          <w:p w14:paraId="65710643">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支持使用NAT网关进行DNAT/SNAT转发</w:t>
            </w:r>
            <w:r>
              <w:rPr>
                <w:rFonts w:hint="eastAsia" w:ascii="宋体" w:hAnsi="宋体" w:eastAsia="宋体" w:cs="宋体"/>
                <w:color w:val="auto"/>
                <w:sz w:val="21"/>
                <w:szCs w:val="21"/>
                <w:highlight w:val="none"/>
                <w:lang w:eastAsia="zh-CN"/>
              </w:rPr>
              <w:t>。</w:t>
            </w:r>
          </w:p>
        </w:tc>
      </w:tr>
      <w:tr w14:paraId="6476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vMerge w:val="continue"/>
            <w:tcBorders>
              <w:left w:val="single" w:color="auto" w:sz="4" w:space="0"/>
              <w:right w:val="single" w:color="auto" w:sz="4" w:space="0"/>
            </w:tcBorders>
            <w:vAlign w:val="center"/>
          </w:tcPr>
          <w:p w14:paraId="4C422BEB">
            <w:pPr>
              <w:widowControl/>
              <w:spacing w:line="360" w:lineRule="auto"/>
              <w:jc w:val="center"/>
              <w:rPr>
                <w:rFonts w:hint="eastAsia" w:ascii="宋体" w:hAnsi="宋体" w:eastAsia="宋体" w:cs="宋体"/>
                <w:color w:val="auto"/>
                <w:sz w:val="21"/>
                <w:szCs w:val="21"/>
                <w:highlight w:val="none"/>
              </w:rPr>
            </w:pPr>
          </w:p>
        </w:tc>
        <w:tc>
          <w:tcPr>
            <w:tcW w:w="4101" w:type="pct"/>
            <w:tcBorders>
              <w:top w:val="single" w:color="auto" w:sz="4" w:space="0"/>
              <w:left w:val="single" w:color="auto" w:sz="4" w:space="0"/>
              <w:bottom w:val="single" w:color="auto" w:sz="4" w:space="0"/>
              <w:right w:val="single" w:color="auto" w:sz="4" w:space="0"/>
            </w:tcBorders>
            <w:vAlign w:val="center"/>
          </w:tcPr>
          <w:p w14:paraId="3060B26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通过NAT网关支持灵活的DNAT/SNAT转发，支持多IP共享带宽</w:t>
            </w:r>
            <w:r>
              <w:rPr>
                <w:rFonts w:hint="eastAsia" w:ascii="宋体" w:hAnsi="宋体" w:eastAsia="宋体" w:cs="宋体"/>
                <w:color w:val="auto"/>
                <w:sz w:val="21"/>
                <w:szCs w:val="21"/>
                <w:highlight w:val="none"/>
                <w:lang w:eastAsia="zh-CN"/>
              </w:rPr>
              <w:t>。</w:t>
            </w:r>
          </w:p>
        </w:tc>
      </w:tr>
      <w:tr w14:paraId="7568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vMerge w:val="restart"/>
            <w:tcBorders>
              <w:left w:val="single" w:color="auto" w:sz="4" w:space="0"/>
              <w:right w:val="single" w:color="auto" w:sz="4" w:space="0"/>
            </w:tcBorders>
            <w:vAlign w:val="center"/>
          </w:tcPr>
          <w:p w14:paraId="5FEE015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4101" w:type="pct"/>
            <w:tcBorders>
              <w:top w:val="single" w:color="auto" w:sz="4" w:space="0"/>
              <w:left w:val="single" w:color="auto" w:sz="4" w:space="0"/>
              <w:bottom w:val="single" w:color="auto" w:sz="4" w:space="0"/>
              <w:right w:val="single" w:color="auto" w:sz="4" w:space="0"/>
            </w:tcBorders>
            <w:vAlign w:val="center"/>
          </w:tcPr>
          <w:p w14:paraId="71D4B061">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可以通过交换机将专有网络的私有 IP 地址划分成一个或多个子网</w:t>
            </w:r>
            <w:r>
              <w:rPr>
                <w:rFonts w:hint="eastAsia" w:ascii="宋体" w:hAnsi="宋体" w:eastAsia="宋体" w:cs="宋体"/>
                <w:color w:val="auto"/>
                <w:sz w:val="21"/>
                <w:szCs w:val="21"/>
                <w:highlight w:val="none"/>
                <w:lang w:eastAsia="zh-CN"/>
              </w:rPr>
              <w:t>。</w:t>
            </w:r>
          </w:p>
        </w:tc>
      </w:tr>
      <w:tr w14:paraId="4643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vMerge w:val="continue"/>
            <w:tcBorders>
              <w:left w:val="single" w:color="auto" w:sz="4" w:space="0"/>
              <w:right w:val="single" w:color="auto" w:sz="4" w:space="0"/>
            </w:tcBorders>
            <w:vAlign w:val="center"/>
          </w:tcPr>
          <w:p w14:paraId="77822D63">
            <w:pPr>
              <w:widowControl/>
              <w:spacing w:line="360" w:lineRule="auto"/>
              <w:jc w:val="left"/>
              <w:rPr>
                <w:rFonts w:hint="eastAsia" w:ascii="宋体" w:hAnsi="宋体" w:eastAsia="宋体" w:cs="宋体"/>
                <w:color w:val="auto"/>
                <w:sz w:val="21"/>
                <w:szCs w:val="21"/>
                <w:highlight w:val="none"/>
              </w:rPr>
            </w:pPr>
          </w:p>
        </w:tc>
        <w:tc>
          <w:tcPr>
            <w:tcW w:w="4101" w:type="pct"/>
            <w:tcBorders>
              <w:top w:val="single" w:color="auto" w:sz="4" w:space="0"/>
              <w:left w:val="single" w:color="auto" w:sz="4" w:space="0"/>
              <w:bottom w:val="single" w:color="auto" w:sz="4" w:space="0"/>
              <w:right w:val="single" w:color="auto" w:sz="4" w:space="0"/>
            </w:tcBorders>
            <w:vAlign w:val="center"/>
          </w:tcPr>
          <w:p w14:paraId="1F5375D6">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根据业务需求配置虚拟路由器的路由规则，管理专有网络流量的转发路径</w:t>
            </w:r>
            <w:r>
              <w:rPr>
                <w:rFonts w:hint="eastAsia" w:ascii="宋体" w:hAnsi="宋体" w:eastAsia="宋体" w:cs="宋体"/>
                <w:color w:val="auto"/>
                <w:sz w:val="21"/>
                <w:szCs w:val="21"/>
                <w:highlight w:val="none"/>
                <w:lang w:eastAsia="zh-CN"/>
              </w:rPr>
              <w:t>。</w:t>
            </w:r>
          </w:p>
        </w:tc>
      </w:tr>
      <w:tr w14:paraId="323D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98" w:type="pct"/>
            <w:vMerge w:val="continue"/>
            <w:tcBorders>
              <w:left w:val="single" w:color="auto" w:sz="4" w:space="0"/>
              <w:right w:val="single" w:color="auto" w:sz="4" w:space="0"/>
            </w:tcBorders>
            <w:vAlign w:val="center"/>
          </w:tcPr>
          <w:p w14:paraId="4DDB81CC">
            <w:pPr>
              <w:widowControl/>
              <w:spacing w:line="360" w:lineRule="auto"/>
              <w:jc w:val="left"/>
              <w:rPr>
                <w:rFonts w:hint="eastAsia" w:ascii="宋体" w:hAnsi="宋体" w:eastAsia="宋体" w:cs="宋体"/>
                <w:color w:val="auto"/>
                <w:sz w:val="21"/>
                <w:szCs w:val="21"/>
                <w:highlight w:val="none"/>
              </w:rPr>
            </w:pPr>
          </w:p>
        </w:tc>
        <w:tc>
          <w:tcPr>
            <w:tcW w:w="4101" w:type="pct"/>
            <w:tcBorders>
              <w:top w:val="single" w:color="auto" w:sz="4" w:space="0"/>
              <w:left w:val="single" w:color="auto" w:sz="4" w:space="0"/>
              <w:bottom w:val="single" w:color="auto" w:sz="4" w:space="0"/>
              <w:right w:val="single" w:color="auto" w:sz="4" w:space="0"/>
            </w:tcBorders>
            <w:vAlign w:val="center"/>
          </w:tcPr>
          <w:p w14:paraId="0452C6C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可以使用NAT网关作为专有网络的公网网关，实现 SNAT / DNAT / 共享带宽</w:t>
            </w:r>
            <w:r>
              <w:rPr>
                <w:rFonts w:hint="eastAsia" w:ascii="宋体" w:hAnsi="宋体" w:eastAsia="宋体" w:cs="宋体"/>
                <w:color w:val="auto"/>
                <w:sz w:val="21"/>
                <w:szCs w:val="21"/>
                <w:highlight w:val="none"/>
                <w:lang w:eastAsia="zh-CN"/>
              </w:rPr>
              <w:t>。</w:t>
            </w:r>
          </w:p>
        </w:tc>
      </w:tr>
      <w:tr w14:paraId="5048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pct"/>
            <w:vMerge w:val="continue"/>
            <w:tcBorders>
              <w:left w:val="single" w:color="auto" w:sz="4" w:space="0"/>
              <w:right w:val="single" w:color="auto" w:sz="4" w:space="0"/>
            </w:tcBorders>
            <w:vAlign w:val="center"/>
          </w:tcPr>
          <w:p w14:paraId="29F46B6C">
            <w:pPr>
              <w:widowControl/>
              <w:spacing w:line="360" w:lineRule="auto"/>
              <w:jc w:val="left"/>
              <w:rPr>
                <w:rFonts w:hint="eastAsia" w:ascii="宋体" w:hAnsi="宋体" w:eastAsia="宋体" w:cs="宋体"/>
                <w:color w:val="auto"/>
                <w:sz w:val="21"/>
                <w:szCs w:val="21"/>
                <w:highlight w:val="none"/>
              </w:rPr>
            </w:pPr>
          </w:p>
        </w:tc>
        <w:tc>
          <w:tcPr>
            <w:tcW w:w="4101" w:type="pct"/>
            <w:tcBorders>
              <w:top w:val="single" w:color="auto" w:sz="4" w:space="0"/>
              <w:left w:val="single" w:color="auto" w:sz="4" w:space="0"/>
              <w:bottom w:val="single" w:color="auto" w:sz="4" w:space="0"/>
              <w:right w:val="single" w:color="auto" w:sz="4" w:space="0"/>
            </w:tcBorders>
            <w:vAlign w:val="center"/>
          </w:tcPr>
          <w:p w14:paraId="2BFB4C9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支持自建专有网络网关，弹性公网IP</w:t>
            </w:r>
            <w:r>
              <w:rPr>
                <w:rFonts w:hint="eastAsia" w:ascii="宋体" w:hAnsi="宋体" w:eastAsia="宋体" w:cs="宋体"/>
                <w:color w:val="auto"/>
                <w:sz w:val="21"/>
                <w:szCs w:val="21"/>
                <w:highlight w:val="none"/>
                <w:lang w:eastAsia="zh-CN"/>
              </w:rPr>
              <w:t>。</w:t>
            </w:r>
          </w:p>
        </w:tc>
      </w:tr>
    </w:tbl>
    <w:p w14:paraId="21F2FB94">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NAT网关</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7619"/>
      </w:tblGrid>
      <w:tr w14:paraId="7EF1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14:paraId="72395B9D">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指标项</w:t>
            </w:r>
          </w:p>
        </w:tc>
        <w:tc>
          <w:tcPr>
            <w:tcW w:w="7619" w:type="dxa"/>
            <w:vAlign w:val="center"/>
          </w:tcPr>
          <w:p w14:paraId="389E5FAB">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规格要求</w:t>
            </w:r>
          </w:p>
        </w:tc>
      </w:tr>
      <w:tr w14:paraId="766D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14:paraId="5FC33AC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619" w:type="dxa"/>
            <w:vAlign w:val="center"/>
          </w:tcPr>
          <w:p w14:paraId="4426AA2F">
            <w:pPr>
              <w:widowControl/>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提供政务云平台VPN专网内网络地址转换服务，实现政务外网的公网地址映射转换服务</w:t>
            </w:r>
            <w:r>
              <w:rPr>
                <w:rFonts w:hint="eastAsia" w:ascii="宋体" w:hAnsi="宋体" w:eastAsia="宋体" w:cs="宋体"/>
                <w:color w:val="auto"/>
                <w:sz w:val="21"/>
                <w:szCs w:val="21"/>
                <w:highlight w:val="none"/>
                <w:lang w:eastAsia="zh-CN"/>
              </w:rPr>
              <w:t>。</w:t>
            </w:r>
          </w:p>
        </w:tc>
      </w:tr>
      <w:tr w14:paraId="069F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Merge w:val="restart"/>
            <w:vAlign w:val="center"/>
          </w:tcPr>
          <w:p w14:paraId="1E0C430F">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619" w:type="dxa"/>
            <w:vAlign w:val="center"/>
          </w:tcPr>
          <w:p w14:paraId="3510F4D5">
            <w:pPr>
              <w:widowControl/>
              <w:spacing w:line="36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包转发率不低于2500Mpps，网络交换容量不低于300Tbps</w:t>
            </w:r>
            <w:r>
              <w:rPr>
                <w:rFonts w:hint="eastAsia" w:ascii="宋体" w:hAnsi="宋体" w:eastAsia="宋体" w:cs="宋体"/>
                <w:color w:val="auto"/>
                <w:kern w:val="0"/>
                <w:sz w:val="21"/>
                <w:szCs w:val="21"/>
                <w:highlight w:val="none"/>
                <w:lang w:eastAsia="zh-CN" w:bidi="ar"/>
              </w:rPr>
              <w:t>。</w:t>
            </w:r>
          </w:p>
        </w:tc>
      </w:tr>
      <w:tr w14:paraId="36A8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Merge w:val="continue"/>
            <w:vAlign w:val="center"/>
          </w:tcPr>
          <w:p w14:paraId="4A39E35C">
            <w:pPr>
              <w:widowControl/>
              <w:spacing w:line="360" w:lineRule="auto"/>
              <w:jc w:val="center"/>
              <w:rPr>
                <w:rFonts w:hint="eastAsia" w:ascii="宋体" w:hAnsi="宋体" w:eastAsia="宋体" w:cs="宋体"/>
                <w:color w:val="auto"/>
                <w:sz w:val="21"/>
                <w:szCs w:val="21"/>
                <w:highlight w:val="none"/>
              </w:rPr>
            </w:pPr>
          </w:p>
        </w:tc>
        <w:tc>
          <w:tcPr>
            <w:tcW w:w="7619" w:type="dxa"/>
            <w:vAlign w:val="center"/>
          </w:tcPr>
          <w:p w14:paraId="3AC707BF">
            <w:pPr>
              <w:widowControl/>
              <w:spacing w:line="36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MAC地址表不低于128K；IP路由表不低于500K；ARP地址表不低于32K</w:t>
            </w:r>
            <w:r>
              <w:rPr>
                <w:rFonts w:hint="eastAsia" w:ascii="宋体" w:hAnsi="宋体" w:eastAsia="宋体" w:cs="宋体"/>
                <w:color w:val="auto"/>
                <w:kern w:val="0"/>
                <w:sz w:val="21"/>
                <w:szCs w:val="21"/>
                <w:highlight w:val="none"/>
                <w:lang w:eastAsia="zh-CN" w:bidi="ar"/>
              </w:rPr>
              <w:t>。</w:t>
            </w:r>
          </w:p>
        </w:tc>
      </w:tr>
      <w:tr w14:paraId="2EAB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Merge w:val="continue"/>
            <w:vAlign w:val="center"/>
          </w:tcPr>
          <w:p w14:paraId="521EF03A">
            <w:pPr>
              <w:widowControl/>
              <w:spacing w:line="360" w:lineRule="auto"/>
              <w:jc w:val="center"/>
              <w:rPr>
                <w:rFonts w:hint="eastAsia" w:ascii="宋体" w:hAnsi="宋体" w:eastAsia="宋体" w:cs="宋体"/>
                <w:color w:val="auto"/>
                <w:sz w:val="21"/>
                <w:szCs w:val="21"/>
                <w:highlight w:val="none"/>
              </w:rPr>
            </w:pPr>
          </w:p>
        </w:tc>
        <w:tc>
          <w:tcPr>
            <w:tcW w:w="7619" w:type="dxa"/>
            <w:vAlign w:val="center"/>
          </w:tcPr>
          <w:p w14:paraId="4C570A3D">
            <w:pPr>
              <w:widowControl/>
              <w:spacing w:line="36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吞吐量40G，最大并发会话数1700W，最大新建会话数50W，支持虚墙数量10个</w:t>
            </w:r>
            <w:r>
              <w:rPr>
                <w:rFonts w:hint="eastAsia" w:ascii="宋体" w:hAnsi="宋体" w:eastAsia="宋体" w:cs="宋体"/>
                <w:color w:val="auto"/>
                <w:kern w:val="0"/>
                <w:sz w:val="21"/>
                <w:szCs w:val="21"/>
                <w:highlight w:val="none"/>
                <w:lang w:eastAsia="zh-CN" w:bidi="ar"/>
              </w:rPr>
              <w:t>。</w:t>
            </w:r>
          </w:p>
        </w:tc>
      </w:tr>
      <w:tr w14:paraId="7E56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restart"/>
            <w:vAlign w:val="center"/>
          </w:tcPr>
          <w:p w14:paraId="660FEAE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丰富的监控指标</w:t>
            </w:r>
          </w:p>
        </w:tc>
        <w:tc>
          <w:tcPr>
            <w:tcW w:w="7619" w:type="dxa"/>
            <w:vAlign w:val="center"/>
          </w:tcPr>
          <w:p w14:paraId="0A5E92AA">
            <w:pPr>
              <w:widowControl/>
              <w:spacing w:line="36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提供实时监控公网NAT网关实例的运行情况，帮您提高业务的稳定性</w:t>
            </w:r>
            <w:r>
              <w:rPr>
                <w:rFonts w:hint="eastAsia" w:ascii="宋体" w:hAnsi="宋体" w:eastAsia="宋体" w:cs="宋体"/>
                <w:color w:val="auto"/>
                <w:kern w:val="0"/>
                <w:sz w:val="21"/>
                <w:szCs w:val="21"/>
                <w:highlight w:val="none"/>
                <w:lang w:eastAsia="zh-CN" w:bidi="ar"/>
              </w:rPr>
              <w:t>。</w:t>
            </w:r>
          </w:p>
        </w:tc>
      </w:tr>
      <w:tr w14:paraId="680B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6C1FC4D2">
            <w:pPr>
              <w:spacing w:line="360" w:lineRule="auto"/>
              <w:rPr>
                <w:rFonts w:hint="eastAsia" w:ascii="宋体" w:hAnsi="宋体" w:eastAsia="宋体" w:cs="宋体"/>
                <w:color w:val="auto"/>
                <w:sz w:val="21"/>
                <w:szCs w:val="21"/>
                <w:highlight w:val="none"/>
              </w:rPr>
            </w:pPr>
          </w:p>
        </w:tc>
        <w:tc>
          <w:tcPr>
            <w:tcW w:w="7619" w:type="dxa"/>
            <w:vAlign w:val="center"/>
          </w:tcPr>
          <w:p w14:paraId="02B00D61">
            <w:pPr>
              <w:widowControl/>
              <w:spacing w:line="36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提供Session统计，提供并发连接数和新建会话数的数据指标监控</w:t>
            </w:r>
            <w:r>
              <w:rPr>
                <w:rFonts w:hint="eastAsia" w:ascii="宋体" w:hAnsi="宋体" w:eastAsia="宋体" w:cs="宋体"/>
                <w:color w:val="auto"/>
                <w:kern w:val="0"/>
                <w:sz w:val="21"/>
                <w:szCs w:val="21"/>
                <w:highlight w:val="none"/>
                <w:lang w:eastAsia="zh-CN" w:bidi="ar"/>
              </w:rPr>
              <w:t>。</w:t>
            </w:r>
          </w:p>
        </w:tc>
      </w:tr>
      <w:tr w14:paraId="2F0C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7E1D7682">
            <w:pPr>
              <w:spacing w:line="360" w:lineRule="auto"/>
              <w:rPr>
                <w:rFonts w:hint="eastAsia" w:ascii="宋体" w:hAnsi="宋体" w:eastAsia="宋体" w:cs="宋体"/>
                <w:color w:val="auto"/>
                <w:sz w:val="21"/>
                <w:szCs w:val="21"/>
                <w:highlight w:val="none"/>
              </w:rPr>
            </w:pPr>
          </w:p>
        </w:tc>
        <w:tc>
          <w:tcPr>
            <w:tcW w:w="7619" w:type="dxa"/>
            <w:vAlign w:val="center"/>
          </w:tcPr>
          <w:p w14:paraId="38F469C8">
            <w:pPr>
              <w:widowControl/>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提供端口出入方向流量的统计，进行异常流量的监控，实现快速定位并解决故障。</w:t>
            </w:r>
          </w:p>
        </w:tc>
      </w:tr>
    </w:tbl>
    <w:p w14:paraId="0D05CC55">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 负载均衡</w:t>
      </w:r>
      <w:bookmarkEnd w:id="37"/>
    </w:p>
    <w:tbl>
      <w:tblPr>
        <w:tblStyle w:val="62"/>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7588"/>
      </w:tblGrid>
      <w:tr w14:paraId="4BA5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tcBorders>
              <w:top w:val="single" w:color="auto" w:sz="4" w:space="0"/>
              <w:left w:val="single" w:color="auto" w:sz="4" w:space="0"/>
              <w:bottom w:val="single" w:color="auto" w:sz="4" w:space="0"/>
              <w:right w:val="single" w:color="auto" w:sz="4" w:space="0"/>
            </w:tcBorders>
            <w:vAlign w:val="center"/>
          </w:tcPr>
          <w:p w14:paraId="5025B321">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588" w:type="dxa"/>
            <w:tcBorders>
              <w:top w:val="single" w:color="auto" w:sz="4" w:space="0"/>
              <w:left w:val="single" w:color="auto" w:sz="4" w:space="0"/>
              <w:bottom w:val="single" w:color="auto" w:sz="4" w:space="0"/>
              <w:right w:val="single" w:color="auto" w:sz="4" w:space="0"/>
            </w:tcBorders>
            <w:vAlign w:val="center"/>
          </w:tcPr>
          <w:p w14:paraId="214091EB">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7331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tcBorders>
              <w:top w:val="single" w:color="auto" w:sz="4" w:space="0"/>
              <w:left w:val="single" w:color="auto" w:sz="4" w:space="0"/>
              <w:bottom w:val="single" w:color="auto" w:sz="4" w:space="0"/>
              <w:right w:val="single" w:color="auto" w:sz="4" w:space="0"/>
            </w:tcBorders>
            <w:vAlign w:val="center"/>
          </w:tcPr>
          <w:p w14:paraId="65200ED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w:t>
            </w:r>
          </w:p>
        </w:tc>
        <w:tc>
          <w:tcPr>
            <w:tcW w:w="7588" w:type="dxa"/>
            <w:tcBorders>
              <w:top w:val="single" w:color="auto" w:sz="4" w:space="0"/>
              <w:left w:val="single" w:color="auto" w:sz="4" w:space="0"/>
              <w:bottom w:val="single" w:color="auto" w:sz="4" w:space="0"/>
              <w:right w:val="single" w:color="auto" w:sz="4" w:space="0"/>
            </w:tcBorders>
            <w:vAlign w:val="center"/>
          </w:tcPr>
          <w:p w14:paraId="55F641E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同时支持四层负载均衡和七层负载均衡；</w:t>
            </w:r>
          </w:p>
          <w:p w14:paraId="7A5CDCF8">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支持集群高可用架构，支持动态扩展</w:t>
            </w:r>
            <w:r>
              <w:rPr>
                <w:rFonts w:hint="eastAsia" w:ascii="宋体" w:hAnsi="宋体" w:eastAsia="宋体" w:cs="宋体"/>
                <w:color w:val="auto"/>
                <w:sz w:val="21"/>
                <w:szCs w:val="21"/>
                <w:highlight w:val="none"/>
                <w:lang w:eastAsia="zh-CN"/>
              </w:rPr>
              <w:t>。</w:t>
            </w:r>
          </w:p>
        </w:tc>
      </w:tr>
      <w:tr w14:paraId="224C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Merge w:val="restart"/>
            <w:tcBorders>
              <w:top w:val="single" w:color="auto" w:sz="4" w:space="0"/>
              <w:left w:val="single" w:color="auto" w:sz="4" w:space="0"/>
              <w:bottom w:val="single" w:color="auto" w:sz="4" w:space="0"/>
              <w:right w:val="single" w:color="auto" w:sz="4" w:space="0"/>
            </w:tcBorders>
            <w:vAlign w:val="center"/>
          </w:tcPr>
          <w:p w14:paraId="03D66AC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588" w:type="dxa"/>
            <w:tcBorders>
              <w:top w:val="single" w:color="auto" w:sz="4" w:space="0"/>
              <w:left w:val="single" w:color="auto" w:sz="4" w:space="0"/>
              <w:bottom w:val="single" w:color="auto" w:sz="4" w:space="0"/>
              <w:right w:val="single" w:color="auto" w:sz="4" w:space="0"/>
            </w:tcBorders>
            <w:vAlign w:val="center"/>
          </w:tcPr>
          <w:p w14:paraId="0A4B733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协议支持：提供四层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TCP协议和UDP协议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和七层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HTTP和HTTPS协议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的负载均衡服务。</w:t>
            </w:r>
          </w:p>
        </w:tc>
      </w:tr>
      <w:tr w14:paraId="6B7A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Merge w:val="continue"/>
            <w:tcBorders>
              <w:top w:val="single" w:color="auto" w:sz="4" w:space="0"/>
              <w:left w:val="single" w:color="auto" w:sz="4" w:space="0"/>
              <w:bottom w:val="single" w:color="auto" w:sz="4" w:space="0"/>
              <w:right w:val="single" w:color="auto" w:sz="4" w:space="0"/>
            </w:tcBorders>
            <w:vAlign w:val="center"/>
          </w:tcPr>
          <w:p w14:paraId="1EC06161">
            <w:pPr>
              <w:widowControl/>
              <w:spacing w:line="360" w:lineRule="auto"/>
              <w:jc w:val="left"/>
              <w:rPr>
                <w:rFonts w:hint="eastAsia" w:ascii="宋体" w:hAnsi="宋体" w:eastAsia="宋体" w:cs="宋体"/>
                <w:color w:val="auto"/>
                <w:sz w:val="21"/>
                <w:szCs w:val="21"/>
                <w:highlight w:val="none"/>
              </w:rPr>
            </w:pPr>
          </w:p>
        </w:tc>
        <w:tc>
          <w:tcPr>
            <w:tcW w:w="7588" w:type="dxa"/>
            <w:tcBorders>
              <w:top w:val="single" w:color="auto" w:sz="4" w:space="0"/>
              <w:left w:val="single" w:color="auto" w:sz="4" w:space="0"/>
              <w:bottom w:val="single" w:color="auto" w:sz="4" w:space="0"/>
              <w:right w:val="single" w:color="auto" w:sz="4" w:space="0"/>
            </w:tcBorders>
            <w:vAlign w:val="center"/>
          </w:tcPr>
          <w:p w14:paraId="677DD36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应提供多种转发规则，满足不同业务场景的要求：域名、url转发</w:t>
            </w:r>
            <w:r>
              <w:rPr>
                <w:rFonts w:hint="eastAsia" w:ascii="宋体" w:hAnsi="宋体" w:eastAsia="宋体" w:cs="宋体"/>
                <w:color w:val="auto"/>
                <w:sz w:val="21"/>
                <w:szCs w:val="21"/>
                <w:highlight w:val="none"/>
                <w:lang w:eastAsia="zh-CN"/>
              </w:rPr>
              <w:t>。</w:t>
            </w:r>
          </w:p>
        </w:tc>
      </w:tr>
      <w:tr w14:paraId="2293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Merge w:val="continue"/>
            <w:tcBorders>
              <w:top w:val="single" w:color="auto" w:sz="4" w:space="0"/>
              <w:left w:val="single" w:color="auto" w:sz="4" w:space="0"/>
              <w:bottom w:val="single" w:color="auto" w:sz="4" w:space="0"/>
              <w:right w:val="single" w:color="auto" w:sz="4" w:space="0"/>
            </w:tcBorders>
            <w:vAlign w:val="center"/>
          </w:tcPr>
          <w:p w14:paraId="4E15D4C2">
            <w:pPr>
              <w:widowControl/>
              <w:spacing w:line="360" w:lineRule="auto"/>
              <w:jc w:val="left"/>
              <w:rPr>
                <w:rFonts w:hint="eastAsia" w:ascii="宋体" w:hAnsi="宋体" w:eastAsia="宋体" w:cs="宋体"/>
                <w:color w:val="auto"/>
                <w:sz w:val="21"/>
                <w:szCs w:val="21"/>
                <w:highlight w:val="none"/>
              </w:rPr>
            </w:pPr>
          </w:p>
        </w:tc>
        <w:tc>
          <w:tcPr>
            <w:tcW w:w="7588" w:type="dxa"/>
            <w:tcBorders>
              <w:top w:val="single" w:color="auto" w:sz="4" w:space="0"/>
              <w:left w:val="single" w:color="auto" w:sz="4" w:space="0"/>
              <w:bottom w:val="single" w:color="auto" w:sz="4" w:space="0"/>
              <w:right w:val="single" w:color="auto" w:sz="4" w:space="0"/>
            </w:tcBorders>
            <w:vAlign w:val="center"/>
          </w:tcPr>
          <w:p w14:paraId="5149FE1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健康检查：提供后端云服务器实例的健康检查。负载均衡服务会自动屏蔽异常状态的云服务器实例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待该云服务器实例恢复正常后自动解除屏蔽</w:t>
            </w:r>
            <w:r>
              <w:rPr>
                <w:rFonts w:hint="eastAsia" w:ascii="宋体" w:hAnsi="宋体" w:eastAsia="宋体" w:cs="宋体"/>
                <w:color w:val="auto"/>
                <w:sz w:val="21"/>
                <w:szCs w:val="21"/>
                <w:highlight w:val="none"/>
                <w:lang w:eastAsia="zh-CN"/>
              </w:rPr>
              <w:t>。</w:t>
            </w:r>
          </w:p>
        </w:tc>
      </w:tr>
      <w:tr w14:paraId="4517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Merge w:val="continue"/>
            <w:tcBorders>
              <w:top w:val="single" w:color="auto" w:sz="4" w:space="0"/>
              <w:left w:val="single" w:color="auto" w:sz="4" w:space="0"/>
              <w:bottom w:val="single" w:color="auto" w:sz="4" w:space="0"/>
              <w:right w:val="single" w:color="auto" w:sz="4" w:space="0"/>
            </w:tcBorders>
            <w:vAlign w:val="center"/>
          </w:tcPr>
          <w:p w14:paraId="1C3C06C8">
            <w:pPr>
              <w:widowControl/>
              <w:spacing w:line="360" w:lineRule="auto"/>
              <w:jc w:val="left"/>
              <w:rPr>
                <w:rFonts w:hint="eastAsia" w:ascii="宋体" w:hAnsi="宋体" w:eastAsia="宋体" w:cs="宋体"/>
                <w:color w:val="auto"/>
                <w:sz w:val="21"/>
                <w:szCs w:val="21"/>
                <w:highlight w:val="none"/>
              </w:rPr>
            </w:pPr>
          </w:p>
        </w:tc>
        <w:tc>
          <w:tcPr>
            <w:tcW w:w="7588" w:type="dxa"/>
            <w:tcBorders>
              <w:top w:val="single" w:color="auto" w:sz="4" w:space="0"/>
              <w:left w:val="single" w:color="auto" w:sz="4" w:space="0"/>
              <w:bottom w:val="single" w:color="auto" w:sz="4" w:space="0"/>
              <w:right w:val="single" w:color="auto" w:sz="4" w:space="0"/>
            </w:tcBorders>
            <w:vAlign w:val="center"/>
          </w:tcPr>
          <w:p w14:paraId="14BEAC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采用集群部署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可实现会话同步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以消除服务器单点</w:t>
            </w:r>
            <w:r>
              <w:rPr>
                <w:rFonts w:hint="eastAsia" w:ascii="宋体" w:hAnsi="宋体" w:cs="宋体"/>
                <w:color w:val="auto"/>
                <w:sz w:val="21"/>
                <w:szCs w:val="21"/>
                <w:highlight w:val="none"/>
                <w:lang w:val="en-US" w:eastAsia="zh-CN"/>
              </w:rPr>
              <w:t>故障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提升冗余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保证服务的稳定性。</w:t>
            </w:r>
          </w:p>
        </w:tc>
      </w:tr>
      <w:tr w14:paraId="3658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Merge w:val="continue"/>
            <w:tcBorders>
              <w:top w:val="single" w:color="auto" w:sz="4" w:space="0"/>
              <w:left w:val="single" w:color="auto" w:sz="4" w:space="0"/>
              <w:bottom w:val="single" w:color="auto" w:sz="4" w:space="0"/>
              <w:right w:val="single" w:color="auto" w:sz="4" w:space="0"/>
            </w:tcBorders>
            <w:vAlign w:val="center"/>
          </w:tcPr>
          <w:p w14:paraId="77EABEF7">
            <w:pPr>
              <w:widowControl/>
              <w:spacing w:line="360" w:lineRule="auto"/>
              <w:jc w:val="left"/>
              <w:rPr>
                <w:rFonts w:hint="eastAsia" w:ascii="宋体" w:hAnsi="宋体" w:eastAsia="宋体" w:cs="宋体"/>
                <w:color w:val="auto"/>
                <w:sz w:val="21"/>
                <w:szCs w:val="21"/>
                <w:highlight w:val="none"/>
              </w:rPr>
            </w:pPr>
          </w:p>
        </w:tc>
        <w:tc>
          <w:tcPr>
            <w:tcW w:w="7588" w:type="dxa"/>
            <w:tcBorders>
              <w:top w:val="single" w:color="auto" w:sz="4" w:space="0"/>
              <w:left w:val="single" w:color="auto" w:sz="4" w:space="0"/>
              <w:bottom w:val="single" w:color="auto" w:sz="4" w:space="0"/>
              <w:right w:val="single" w:color="auto" w:sz="4" w:space="0"/>
            </w:tcBorders>
            <w:vAlign w:val="center"/>
          </w:tcPr>
          <w:p w14:paraId="5E6C5772">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调度算法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支持轮询、最小连接数两种调度算法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1ED39BB2">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轮询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按照访问次数依次将外部请求依序分发到后端云服务器实例上</w:t>
            </w:r>
            <w:r>
              <w:rPr>
                <w:rFonts w:hint="eastAsia" w:ascii="宋体" w:hAnsi="宋体" w:eastAsia="宋体" w:cs="宋体"/>
                <w:color w:val="auto"/>
                <w:sz w:val="21"/>
                <w:szCs w:val="21"/>
                <w:highlight w:val="none"/>
                <w:lang w:eastAsia="zh-CN"/>
              </w:rPr>
              <w:t>；</w:t>
            </w:r>
          </w:p>
          <w:p w14:paraId="62AAA7D8">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最小连接数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连接数越小的后端服务器被轮询到的次数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概率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也越高</w:t>
            </w:r>
            <w:r>
              <w:rPr>
                <w:rFonts w:hint="eastAsia" w:ascii="宋体" w:hAnsi="宋体" w:eastAsia="宋体" w:cs="宋体"/>
                <w:color w:val="auto"/>
                <w:sz w:val="21"/>
                <w:szCs w:val="21"/>
                <w:highlight w:val="none"/>
                <w:lang w:eastAsia="zh-CN"/>
              </w:rPr>
              <w:t>；</w:t>
            </w:r>
          </w:p>
        </w:tc>
      </w:tr>
      <w:tr w14:paraId="7E08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Merge w:val="continue"/>
            <w:tcBorders>
              <w:top w:val="single" w:color="auto" w:sz="4" w:space="0"/>
              <w:left w:val="single" w:color="auto" w:sz="4" w:space="0"/>
              <w:bottom w:val="single" w:color="auto" w:sz="4" w:space="0"/>
              <w:right w:val="single" w:color="auto" w:sz="4" w:space="0"/>
            </w:tcBorders>
            <w:vAlign w:val="center"/>
          </w:tcPr>
          <w:p w14:paraId="2E11F40A">
            <w:pPr>
              <w:widowControl/>
              <w:spacing w:line="360" w:lineRule="auto"/>
              <w:jc w:val="left"/>
              <w:rPr>
                <w:rFonts w:hint="eastAsia" w:ascii="宋体" w:hAnsi="宋体" w:eastAsia="宋体" w:cs="宋体"/>
                <w:color w:val="auto"/>
                <w:sz w:val="21"/>
                <w:szCs w:val="21"/>
                <w:highlight w:val="none"/>
              </w:rPr>
            </w:pPr>
          </w:p>
        </w:tc>
        <w:tc>
          <w:tcPr>
            <w:tcW w:w="7588" w:type="dxa"/>
            <w:tcBorders>
              <w:top w:val="single" w:color="auto" w:sz="4" w:space="0"/>
              <w:left w:val="single" w:color="auto" w:sz="4" w:space="0"/>
              <w:bottom w:val="single" w:color="auto" w:sz="4" w:space="0"/>
              <w:right w:val="single" w:color="auto" w:sz="4" w:space="0"/>
            </w:tcBorders>
            <w:vAlign w:val="center"/>
          </w:tcPr>
          <w:p w14:paraId="1621318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证书管理：针对HTTPS协议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提供统一的证书管理服务。证书无需上传到后端云服务器实例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解密处理在负载均衡上进行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降低后端云服务器实例的CPU开销</w:t>
            </w:r>
            <w:r>
              <w:rPr>
                <w:rFonts w:hint="eastAsia" w:ascii="宋体" w:hAnsi="宋体" w:eastAsia="宋体" w:cs="宋体"/>
                <w:color w:val="auto"/>
                <w:sz w:val="21"/>
                <w:szCs w:val="21"/>
                <w:highlight w:val="none"/>
                <w:lang w:eastAsia="zh-CN"/>
              </w:rPr>
              <w:t>。</w:t>
            </w:r>
          </w:p>
        </w:tc>
      </w:tr>
      <w:tr w14:paraId="72F1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Merge w:val="continue"/>
            <w:tcBorders>
              <w:top w:val="single" w:color="auto" w:sz="4" w:space="0"/>
              <w:left w:val="single" w:color="auto" w:sz="4" w:space="0"/>
              <w:bottom w:val="single" w:color="auto" w:sz="4" w:space="0"/>
              <w:right w:val="single" w:color="auto" w:sz="4" w:space="0"/>
            </w:tcBorders>
            <w:vAlign w:val="center"/>
          </w:tcPr>
          <w:p w14:paraId="200F1BDF">
            <w:pPr>
              <w:widowControl/>
              <w:spacing w:line="360" w:lineRule="auto"/>
              <w:jc w:val="left"/>
              <w:rPr>
                <w:rFonts w:hint="eastAsia" w:ascii="宋体" w:hAnsi="宋体" w:eastAsia="宋体" w:cs="宋体"/>
                <w:color w:val="auto"/>
                <w:sz w:val="21"/>
                <w:szCs w:val="21"/>
                <w:highlight w:val="none"/>
              </w:rPr>
            </w:pPr>
          </w:p>
        </w:tc>
        <w:tc>
          <w:tcPr>
            <w:tcW w:w="7588" w:type="dxa"/>
            <w:tcBorders>
              <w:top w:val="single" w:color="auto" w:sz="4" w:space="0"/>
              <w:left w:val="single" w:color="auto" w:sz="4" w:space="0"/>
              <w:bottom w:val="single" w:color="auto" w:sz="4" w:space="0"/>
              <w:right w:val="single" w:color="auto" w:sz="4" w:space="0"/>
            </w:tcBorders>
            <w:vAlign w:val="center"/>
          </w:tcPr>
          <w:p w14:paraId="30544011">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会</w:t>
            </w:r>
            <w:r>
              <w:rPr>
                <w:rFonts w:hint="eastAsia" w:ascii="宋体" w:hAnsi="宋体" w:eastAsia="宋体" w:cs="宋体"/>
                <w:color w:val="auto"/>
                <w:sz w:val="21"/>
                <w:szCs w:val="21"/>
                <w:highlight w:val="none"/>
              </w:rPr>
              <w:t>话保持：提供会话保持功能。在会话的生命周期内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可以将同一客户端的请求转发到同一台后端云服务器实例上。</w:t>
            </w:r>
          </w:p>
        </w:tc>
      </w:tr>
      <w:tr w14:paraId="7E6A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Merge w:val="continue"/>
            <w:tcBorders>
              <w:top w:val="single" w:color="auto" w:sz="4" w:space="0"/>
              <w:left w:val="single" w:color="auto" w:sz="4" w:space="0"/>
              <w:bottom w:val="single" w:color="auto" w:sz="4" w:space="0"/>
              <w:right w:val="single" w:color="auto" w:sz="4" w:space="0"/>
            </w:tcBorders>
            <w:vAlign w:val="center"/>
          </w:tcPr>
          <w:p w14:paraId="17F9889A">
            <w:pPr>
              <w:widowControl/>
              <w:spacing w:line="360" w:lineRule="auto"/>
              <w:jc w:val="left"/>
              <w:rPr>
                <w:rFonts w:hint="eastAsia" w:ascii="宋体" w:hAnsi="宋体" w:eastAsia="宋体" w:cs="宋体"/>
                <w:color w:val="auto"/>
                <w:sz w:val="21"/>
                <w:szCs w:val="21"/>
                <w:highlight w:val="none"/>
              </w:rPr>
            </w:pPr>
          </w:p>
        </w:tc>
        <w:tc>
          <w:tcPr>
            <w:tcW w:w="7588" w:type="dxa"/>
            <w:tcBorders>
              <w:top w:val="single" w:color="auto" w:sz="4" w:space="0"/>
              <w:left w:val="single" w:color="auto" w:sz="4" w:space="0"/>
              <w:bottom w:val="single" w:color="auto" w:sz="4" w:space="0"/>
              <w:right w:val="single" w:color="auto" w:sz="4" w:space="0"/>
            </w:tcBorders>
            <w:vAlign w:val="center"/>
          </w:tcPr>
          <w:p w14:paraId="3E5C014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访问控制：支持白名单访问控制。通过添加负载均衡监听的访问白名单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仅允许特定IP访问负载均衡服务。</w:t>
            </w:r>
          </w:p>
        </w:tc>
      </w:tr>
      <w:tr w14:paraId="79DA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tcBorders>
              <w:top w:val="single" w:color="auto" w:sz="4" w:space="0"/>
              <w:left w:val="single" w:color="auto" w:sz="4" w:space="0"/>
              <w:bottom w:val="single" w:color="auto" w:sz="4" w:space="0"/>
              <w:right w:val="single" w:color="auto" w:sz="4" w:space="0"/>
            </w:tcBorders>
            <w:vAlign w:val="center"/>
          </w:tcPr>
          <w:p w14:paraId="290108D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可靠性</w:t>
            </w:r>
          </w:p>
        </w:tc>
        <w:tc>
          <w:tcPr>
            <w:tcW w:w="7588" w:type="dxa"/>
            <w:tcBorders>
              <w:top w:val="single" w:color="auto" w:sz="4" w:space="0"/>
              <w:left w:val="single" w:color="auto" w:sz="4" w:space="0"/>
              <w:bottom w:val="single" w:color="auto" w:sz="4" w:space="0"/>
              <w:right w:val="single" w:color="auto" w:sz="4" w:space="0"/>
            </w:tcBorders>
            <w:vAlign w:val="center"/>
          </w:tcPr>
          <w:p w14:paraId="148EAD4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管理节点采用全冗余架构</w:t>
            </w:r>
            <w:r>
              <w:rPr>
                <w:rFonts w:hint="eastAsia" w:ascii="宋体" w:hAnsi="宋体" w:eastAsia="宋体" w:cs="宋体"/>
                <w:color w:val="auto"/>
                <w:sz w:val="21"/>
                <w:szCs w:val="21"/>
                <w:highlight w:val="none"/>
                <w:lang w:eastAsia="zh-CN"/>
              </w:rPr>
              <w:t>。</w:t>
            </w:r>
          </w:p>
        </w:tc>
      </w:tr>
    </w:tbl>
    <w:p w14:paraId="676CE450">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bookmarkStart w:id="39" w:name="_Toc39140763"/>
      <w:r>
        <w:rPr>
          <w:rFonts w:hint="eastAsia" w:ascii="宋体" w:hAnsi="宋体" w:eastAsia="宋体" w:cs="宋体"/>
          <w:color w:val="auto"/>
          <w:sz w:val="21"/>
          <w:szCs w:val="21"/>
          <w:highlight w:val="none"/>
        </w:rPr>
        <w:t>2.11 DNS</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7534"/>
      </w:tblGrid>
      <w:tr w14:paraId="0EFC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561" w:type="dxa"/>
            <w:vAlign w:val="center"/>
          </w:tcPr>
          <w:p w14:paraId="36F57DB4">
            <w:pPr>
              <w:widowControl/>
              <w:spacing w:line="360" w:lineRule="auto"/>
              <w:jc w:val="center"/>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指标项</w:t>
            </w:r>
          </w:p>
        </w:tc>
        <w:tc>
          <w:tcPr>
            <w:tcW w:w="7534" w:type="dxa"/>
            <w:vAlign w:val="center"/>
          </w:tcPr>
          <w:p w14:paraId="229349BE">
            <w:pPr>
              <w:widowControl/>
              <w:spacing w:line="360" w:lineRule="auto"/>
              <w:jc w:val="center"/>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规格要求</w:t>
            </w:r>
          </w:p>
        </w:tc>
      </w:tr>
      <w:tr w14:paraId="6EB2F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1" w:type="dxa"/>
            <w:noWrap/>
            <w:vAlign w:val="center"/>
          </w:tcPr>
          <w:p w14:paraId="62394C3D">
            <w:pPr>
              <w:widowControl/>
              <w:spacing w:line="360"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总体要求</w:t>
            </w:r>
          </w:p>
        </w:tc>
        <w:tc>
          <w:tcPr>
            <w:tcW w:w="7534" w:type="dxa"/>
            <w:vAlign w:val="center"/>
          </w:tcPr>
          <w:p w14:paraId="277ED2C9">
            <w:pPr>
              <w:widowControl/>
              <w:spacing w:line="360" w:lineRule="auto"/>
              <w:jc w:val="left"/>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专有网络私有域名转发配置管理和解析：支持域名级别的转发操作，将特定域名的解析操作转发到其他DNS服务器上进行解析；支持默认转发功能的配置，将本地不存在的所有域名的解析操作全部转发到其他DNS服务器上进行解析；提供转发配置与专有网络的绑定、解绑功能，同时也提供权威域名与专有网络绑定关系的查询功能。</w:t>
            </w:r>
          </w:p>
        </w:tc>
      </w:tr>
      <w:tr w14:paraId="1B19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61" w:type="dxa"/>
            <w:noWrap/>
            <w:vAlign w:val="center"/>
          </w:tcPr>
          <w:p w14:paraId="6604BD16">
            <w:pPr>
              <w:widowControl/>
              <w:spacing w:line="360"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功能要求</w:t>
            </w:r>
          </w:p>
        </w:tc>
        <w:tc>
          <w:tcPr>
            <w:tcW w:w="7534" w:type="dxa"/>
            <w:vAlign w:val="center"/>
          </w:tcPr>
          <w:p w14:paraId="3D1E2DD4">
            <w:pPr>
              <w:widowControl/>
              <w:spacing w:line="360" w:lineRule="auto"/>
              <w:jc w:val="left"/>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支持全局域名的配置管理，满足所有专有网络解析同样的域名数据的基础性需求，减少管理员的配置工作。</w:t>
            </w:r>
          </w:p>
        </w:tc>
      </w:tr>
      <w:tr w14:paraId="204A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561" w:type="dxa"/>
            <w:noWrap/>
            <w:vAlign w:val="center"/>
          </w:tcPr>
          <w:p w14:paraId="0B9230FA">
            <w:pPr>
              <w:widowControl/>
              <w:spacing w:line="360"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功能要求</w:t>
            </w:r>
          </w:p>
        </w:tc>
        <w:tc>
          <w:tcPr>
            <w:tcW w:w="7534" w:type="dxa"/>
            <w:vAlign w:val="center"/>
          </w:tcPr>
          <w:p w14:paraId="3EAE3A66">
            <w:pPr>
              <w:widowControl/>
              <w:spacing w:line="360" w:lineRule="auto"/>
              <w:jc w:val="left"/>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支持基于地理位置的全局域名调度和专有网络私有域名调度，地域基于内网IP地址段的分配来标注，租户侧DNS云服务可以根据客户端访问的源IP判断地域，并把相同域名解析到不同的后端指定vip上，来实现基于地理位置的流量调度。</w:t>
            </w:r>
          </w:p>
        </w:tc>
      </w:tr>
      <w:tr w14:paraId="197C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561" w:type="dxa"/>
            <w:noWrap/>
            <w:vAlign w:val="center"/>
          </w:tcPr>
          <w:p w14:paraId="6D76994D">
            <w:pPr>
              <w:widowControl/>
              <w:spacing w:line="360"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功能要求</w:t>
            </w:r>
          </w:p>
        </w:tc>
        <w:tc>
          <w:tcPr>
            <w:tcW w:w="7534" w:type="dxa"/>
            <w:vAlign w:val="center"/>
          </w:tcPr>
          <w:p w14:paraId="7896CDF8">
            <w:pPr>
              <w:widowControl/>
              <w:spacing w:line="360" w:lineRule="auto"/>
              <w:jc w:val="left"/>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内网权威域名管理和解析：支持IPV6域名解析服务。</w:t>
            </w:r>
          </w:p>
        </w:tc>
      </w:tr>
      <w:tr w14:paraId="703C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61" w:type="dxa"/>
            <w:noWrap/>
            <w:vAlign w:val="center"/>
          </w:tcPr>
          <w:p w14:paraId="225062DB">
            <w:pPr>
              <w:widowControl/>
              <w:spacing w:line="360"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功能要求</w:t>
            </w:r>
          </w:p>
        </w:tc>
        <w:tc>
          <w:tcPr>
            <w:tcW w:w="7534" w:type="dxa"/>
            <w:vAlign w:val="center"/>
          </w:tcPr>
          <w:p w14:paraId="2C7C2CB4">
            <w:pPr>
              <w:widowControl/>
              <w:spacing w:line="360" w:lineRule="auto"/>
              <w:jc w:val="left"/>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内网权威域名管理和解析：支持域名主机记录的添加、删除和修改操作的功能，支持的记录类型包括A、AAAA、CNAME、NS、MX、TXT、SRV、PTR、NAPTR、CAA。</w:t>
            </w:r>
          </w:p>
        </w:tc>
      </w:tr>
      <w:tr w14:paraId="6EE0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61" w:type="dxa"/>
            <w:noWrap/>
            <w:vAlign w:val="center"/>
          </w:tcPr>
          <w:p w14:paraId="442C457D">
            <w:pPr>
              <w:widowControl/>
              <w:spacing w:line="360"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功能要求</w:t>
            </w:r>
          </w:p>
        </w:tc>
        <w:tc>
          <w:tcPr>
            <w:tcW w:w="7534" w:type="dxa"/>
            <w:vAlign w:val="center"/>
          </w:tcPr>
          <w:p w14:paraId="7E7B7540">
            <w:pPr>
              <w:widowControl/>
              <w:spacing w:line="360" w:lineRule="auto"/>
              <w:jc w:val="left"/>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支持多个地址类主机记录的配置</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A、AAAA、CNAME</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，支持的负载均衡策略包括：权重策略</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加权轮训WRR</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的负载均衡策略，通过该策略可以按需实现内网应用的全局负载均衡。</w:t>
            </w:r>
          </w:p>
        </w:tc>
      </w:tr>
      <w:tr w14:paraId="5EA3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561" w:type="dxa"/>
            <w:noWrap/>
            <w:vAlign w:val="center"/>
          </w:tcPr>
          <w:p w14:paraId="679A7360">
            <w:pPr>
              <w:widowControl/>
              <w:spacing w:line="360"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总体要求</w:t>
            </w:r>
          </w:p>
        </w:tc>
        <w:tc>
          <w:tcPr>
            <w:tcW w:w="7534" w:type="dxa"/>
            <w:vAlign w:val="center"/>
          </w:tcPr>
          <w:p w14:paraId="521AF2F8">
            <w:pPr>
              <w:widowControl/>
              <w:spacing w:line="360" w:lineRule="auto"/>
              <w:jc w:val="left"/>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支持全局流量管理，支持对地址池内的地址值进行TCP/UDP/HTTP/HTTPS/ICMP等协议的健康检查。支持的地址类型包括IPv4地址、IPv6地址和域名，实现常用的应用服务类型的配置需求。支持多个地址记录的负载均衡策略配置，包括：轮询策略</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全部返回ALLRR</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、权重策略</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加权轮询WRR</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的负载均衡策略，通过该策略可以按需实现应用流量的全局负载均衡。</w:t>
            </w:r>
          </w:p>
        </w:tc>
      </w:tr>
    </w:tbl>
    <w:p w14:paraId="2AB7FA7F">
      <w:pPr>
        <w:pStyle w:val="584"/>
        <w:keepNext/>
        <w:keepLines/>
        <w:spacing w:before="120" w:beforeLines="0" w:after="120"/>
        <w:ind w:left="240"/>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2.12云数据库</w:t>
      </w:r>
    </w:p>
    <w:p w14:paraId="1DBC0999">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2.12.1 MySQL\SQL Server数据库</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7536"/>
      </w:tblGrid>
      <w:tr w14:paraId="2A6A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4" w:type="dxa"/>
            <w:tcBorders>
              <w:top w:val="single" w:color="auto" w:sz="4" w:space="0"/>
              <w:left w:val="single" w:color="auto" w:sz="4" w:space="0"/>
              <w:bottom w:val="single" w:color="auto" w:sz="4" w:space="0"/>
              <w:right w:val="single" w:color="auto" w:sz="4" w:space="0"/>
            </w:tcBorders>
            <w:vAlign w:val="center"/>
          </w:tcPr>
          <w:p w14:paraId="35A23753">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536" w:type="dxa"/>
            <w:tcBorders>
              <w:top w:val="single" w:color="auto" w:sz="4" w:space="0"/>
              <w:left w:val="single" w:color="auto" w:sz="4" w:space="0"/>
              <w:bottom w:val="single" w:color="auto" w:sz="4" w:space="0"/>
              <w:right w:val="single" w:color="auto" w:sz="4" w:space="0"/>
            </w:tcBorders>
            <w:vAlign w:val="center"/>
          </w:tcPr>
          <w:p w14:paraId="21C7F903">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2B7C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4" w:type="dxa"/>
            <w:vMerge w:val="restart"/>
            <w:tcBorders>
              <w:top w:val="single" w:color="auto" w:sz="4" w:space="0"/>
              <w:left w:val="single" w:color="auto" w:sz="4" w:space="0"/>
              <w:bottom w:val="single" w:color="auto" w:sz="4" w:space="0"/>
              <w:right w:val="single" w:color="auto" w:sz="4" w:space="0"/>
            </w:tcBorders>
            <w:vAlign w:val="center"/>
          </w:tcPr>
          <w:p w14:paraId="5B69A50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基本功能/</w:t>
            </w:r>
          </w:p>
          <w:p w14:paraId="642F0D6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性能</w:t>
            </w:r>
          </w:p>
        </w:tc>
        <w:tc>
          <w:tcPr>
            <w:tcW w:w="7536" w:type="dxa"/>
            <w:tcBorders>
              <w:top w:val="single" w:color="auto" w:sz="4" w:space="0"/>
              <w:left w:val="single" w:color="auto" w:sz="4" w:space="0"/>
              <w:bottom w:val="single" w:color="auto" w:sz="4" w:space="0"/>
              <w:right w:val="single" w:color="auto" w:sz="4" w:space="0"/>
            </w:tcBorders>
            <w:vAlign w:val="center"/>
          </w:tcPr>
          <w:p w14:paraId="6499B3E3">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数据库基于大规模分布式计算系统内核技术架构，主备冗余模式</w:t>
            </w:r>
            <w:r>
              <w:rPr>
                <w:rFonts w:hint="eastAsia" w:ascii="宋体" w:hAnsi="宋体" w:eastAsia="宋体" w:cs="宋体"/>
                <w:bCs/>
                <w:color w:val="auto"/>
                <w:sz w:val="21"/>
                <w:szCs w:val="21"/>
                <w:highlight w:val="none"/>
                <w:lang w:eastAsia="zh-CN"/>
              </w:rPr>
              <w:t>。</w:t>
            </w:r>
          </w:p>
        </w:tc>
      </w:tr>
      <w:tr w14:paraId="631D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249AB0DF">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4B586EA5">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基于高效的调度、备份、HA控制、在线迁移以及监控系统，为用户</w:t>
            </w:r>
            <w:r>
              <w:rPr>
                <w:rFonts w:hint="eastAsia" w:ascii="宋体" w:hAnsi="宋体" w:eastAsia="宋体" w:cs="宋体"/>
                <w:bCs/>
                <w:color w:val="auto"/>
                <w:sz w:val="21"/>
                <w:szCs w:val="21"/>
                <w:highlight w:val="none"/>
                <w:lang w:eastAsia="zh-CN"/>
              </w:rPr>
              <w:t>提供</w:t>
            </w:r>
            <w:r>
              <w:rPr>
                <w:rFonts w:hint="eastAsia" w:ascii="宋体" w:hAnsi="宋体" w:eastAsia="宋体" w:cs="宋体"/>
                <w:bCs/>
                <w:color w:val="auto"/>
                <w:sz w:val="21"/>
                <w:szCs w:val="21"/>
                <w:highlight w:val="none"/>
              </w:rPr>
              <w:t>专业的云数据库服务。</w:t>
            </w:r>
          </w:p>
        </w:tc>
      </w:tr>
      <w:tr w14:paraId="7DEE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32FA8A4B">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6EB43FF0">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支持关系型数据库的基本功能，并进行优化服务。</w:t>
            </w:r>
          </w:p>
        </w:tc>
      </w:tr>
      <w:tr w14:paraId="4BD3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6007C63A">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55637C9B">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支持SQL Server、MySQL等主流关系型数据库，内存不小于20T。</w:t>
            </w:r>
          </w:p>
        </w:tc>
      </w:tr>
      <w:tr w14:paraId="6FD1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6B9B2D20">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184B2E47">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单数据库实例内存可达96G，并发连接数可达24000。</w:t>
            </w:r>
          </w:p>
        </w:tc>
      </w:tr>
      <w:tr w14:paraId="1B63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7A698DA5">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62520D3E">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SQL Server单数据库实例可创建的数据库数量达20个，用户数达20个。</w:t>
            </w:r>
          </w:p>
        </w:tc>
      </w:tr>
      <w:tr w14:paraId="0EEE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3DE2292D">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3B221317">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MySQL单数据库实例可创建的数据库数量达200个，用户数达50个。</w:t>
            </w:r>
          </w:p>
        </w:tc>
      </w:tr>
      <w:tr w14:paraId="3A08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0E590153">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6996E216">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每份数据都保留两份并可实时切换。</w:t>
            </w:r>
          </w:p>
        </w:tc>
      </w:tr>
      <w:tr w14:paraId="0D96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13FCEB67">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6D14A707">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支持数据库在线升级、云内动态迁移、故障自动切换，实现业务秒级无缝切换，不中断用户服务。</w:t>
            </w:r>
          </w:p>
        </w:tc>
      </w:tr>
      <w:tr w14:paraId="4909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4" w:type="dxa"/>
            <w:vMerge w:val="restart"/>
            <w:tcBorders>
              <w:top w:val="single" w:color="auto" w:sz="4" w:space="0"/>
              <w:left w:val="single" w:color="auto" w:sz="4" w:space="0"/>
              <w:bottom w:val="single" w:color="auto" w:sz="4" w:space="0"/>
              <w:right w:val="single" w:color="auto" w:sz="4" w:space="0"/>
            </w:tcBorders>
            <w:vAlign w:val="center"/>
          </w:tcPr>
          <w:p w14:paraId="33B1E081">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扩展功能</w:t>
            </w:r>
          </w:p>
        </w:tc>
        <w:tc>
          <w:tcPr>
            <w:tcW w:w="7536" w:type="dxa"/>
            <w:tcBorders>
              <w:top w:val="single" w:color="auto" w:sz="4" w:space="0"/>
              <w:left w:val="single" w:color="auto" w:sz="4" w:space="0"/>
              <w:bottom w:val="single" w:color="auto" w:sz="4" w:space="0"/>
              <w:right w:val="single" w:color="auto" w:sz="4" w:space="0"/>
            </w:tcBorders>
            <w:vAlign w:val="center"/>
          </w:tcPr>
          <w:p w14:paraId="69EEE340">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按需开通，即开即用，按需计费，为用户提供方便的Web管理界面。</w:t>
            </w:r>
          </w:p>
        </w:tc>
      </w:tr>
      <w:tr w14:paraId="74F1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594835AB">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0467FDE9">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随着用户</w:t>
            </w:r>
            <w:r>
              <w:rPr>
                <w:rFonts w:hint="eastAsia" w:ascii="宋体" w:hAnsi="宋体" w:cs="宋体"/>
                <w:bCs/>
                <w:color w:val="auto"/>
                <w:sz w:val="21"/>
                <w:szCs w:val="21"/>
                <w:highlight w:val="none"/>
                <w:lang w:eastAsia="zh-CN"/>
              </w:rPr>
              <w:t>数量</w:t>
            </w:r>
            <w:r>
              <w:rPr>
                <w:rFonts w:hint="eastAsia" w:ascii="宋体" w:hAnsi="宋体" w:eastAsia="宋体" w:cs="宋体"/>
                <w:bCs/>
                <w:color w:val="auto"/>
                <w:sz w:val="21"/>
                <w:szCs w:val="21"/>
                <w:highlight w:val="none"/>
              </w:rPr>
              <w:t>和访问量的变化，可以弹性</w:t>
            </w:r>
            <w:r>
              <w:rPr>
                <w:rFonts w:hint="eastAsia" w:ascii="宋体" w:hAnsi="宋体" w:eastAsia="宋体" w:cs="宋体"/>
                <w:bCs/>
                <w:color w:val="auto"/>
                <w:sz w:val="21"/>
                <w:szCs w:val="21"/>
                <w:highlight w:val="none"/>
                <w:lang w:eastAsia="zh-CN"/>
              </w:rPr>
              <w:t>地</w:t>
            </w:r>
            <w:r>
              <w:rPr>
                <w:rFonts w:hint="eastAsia" w:ascii="宋体" w:hAnsi="宋体" w:eastAsia="宋体" w:cs="宋体"/>
                <w:bCs/>
                <w:color w:val="auto"/>
                <w:sz w:val="21"/>
                <w:szCs w:val="21"/>
                <w:highlight w:val="none"/>
              </w:rPr>
              <w:t>调整数据库的规格，包含内存、连接数、IOPS、存储容量等，调整时服务不间断。</w:t>
            </w:r>
          </w:p>
        </w:tc>
      </w:tr>
      <w:tr w14:paraId="75B9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7D52A73E">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72610588">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提供数据导入、导出工具，方便用户进行数据迁移。</w:t>
            </w:r>
          </w:p>
        </w:tc>
      </w:tr>
      <w:tr w14:paraId="30B7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2FD72A2D">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37CD62B7">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提供日志记录功能，包括错误日志、操作日志、访问日志等，可追查访问来源以及进行多维度的统计分析。</w:t>
            </w:r>
          </w:p>
        </w:tc>
      </w:tr>
      <w:tr w14:paraId="2B8D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579C945D">
            <w:pPr>
              <w:spacing w:line="360" w:lineRule="auto"/>
              <w:jc w:val="center"/>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6AF2F73C">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支持具备自主知识产权的国产数据库</w:t>
            </w:r>
            <w:r>
              <w:rPr>
                <w:rFonts w:hint="eastAsia" w:ascii="宋体" w:hAnsi="宋体" w:eastAsia="宋体" w:cs="宋体"/>
                <w:bCs/>
                <w:color w:val="auto"/>
                <w:sz w:val="21"/>
                <w:szCs w:val="21"/>
                <w:highlight w:val="none"/>
                <w:lang w:eastAsia="zh-CN"/>
              </w:rPr>
              <w:t>。</w:t>
            </w:r>
          </w:p>
        </w:tc>
      </w:tr>
      <w:tr w14:paraId="5AE7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64" w:type="dxa"/>
            <w:vMerge w:val="restart"/>
            <w:tcBorders>
              <w:top w:val="single" w:color="auto" w:sz="4" w:space="0"/>
              <w:left w:val="single" w:color="auto" w:sz="4" w:space="0"/>
              <w:bottom w:val="single" w:color="auto" w:sz="4" w:space="0"/>
              <w:right w:val="single" w:color="auto" w:sz="4" w:space="0"/>
            </w:tcBorders>
            <w:vAlign w:val="center"/>
          </w:tcPr>
          <w:p w14:paraId="600EE067">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安全性</w:t>
            </w:r>
          </w:p>
        </w:tc>
        <w:tc>
          <w:tcPr>
            <w:tcW w:w="7536" w:type="dxa"/>
            <w:tcBorders>
              <w:top w:val="single" w:color="auto" w:sz="4" w:space="0"/>
              <w:left w:val="single" w:color="auto" w:sz="4" w:space="0"/>
              <w:bottom w:val="single" w:color="auto" w:sz="4" w:space="0"/>
              <w:right w:val="single" w:color="auto" w:sz="4" w:space="0"/>
            </w:tcBorders>
            <w:vAlign w:val="center"/>
          </w:tcPr>
          <w:p w14:paraId="526EE351">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支持IP授权访问。</w:t>
            </w:r>
          </w:p>
        </w:tc>
      </w:tr>
      <w:tr w14:paraId="65D3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64" w:type="dxa"/>
            <w:vMerge w:val="continue"/>
            <w:tcBorders>
              <w:top w:val="single" w:color="auto" w:sz="4" w:space="0"/>
              <w:left w:val="single" w:color="auto" w:sz="4" w:space="0"/>
              <w:bottom w:val="single" w:color="auto" w:sz="4" w:space="0"/>
              <w:right w:val="single" w:color="auto" w:sz="4" w:space="0"/>
            </w:tcBorders>
            <w:vAlign w:val="center"/>
          </w:tcPr>
          <w:p w14:paraId="72DBD123">
            <w:pPr>
              <w:spacing w:line="360" w:lineRule="auto"/>
              <w:rPr>
                <w:rFonts w:hint="eastAsia" w:ascii="宋体" w:hAnsi="宋体" w:eastAsia="宋体" w:cs="宋体"/>
                <w:bCs/>
                <w:color w:val="auto"/>
                <w:sz w:val="21"/>
                <w:szCs w:val="21"/>
                <w:highlight w:val="none"/>
              </w:rPr>
            </w:pPr>
          </w:p>
        </w:tc>
        <w:tc>
          <w:tcPr>
            <w:tcW w:w="7536" w:type="dxa"/>
            <w:tcBorders>
              <w:top w:val="single" w:color="auto" w:sz="4" w:space="0"/>
              <w:left w:val="single" w:color="auto" w:sz="4" w:space="0"/>
              <w:bottom w:val="single" w:color="auto" w:sz="4" w:space="0"/>
              <w:right w:val="single" w:color="auto" w:sz="4" w:space="0"/>
            </w:tcBorders>
            <w:vAlign w:val="center"/>
          </w:tcPr>
          <w:p w14:paraId="0356A3BF">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云服务端提供加密用户身份验证，提供不同的访问权限控制。</w:t>
            </w:r>
          </w:p>
        </w:tc>
      </w:tr>
    </w:tbl>
    <w:p w14:paraId="7C8F77D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2.12.2 PostgreSQL数据库</w:t>
      </w:r>
    </w:p>
    <w:tbl>
      <w:tblPr>
        <w:tblStyle w:val="62"/>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50"/>
        <w:gridCol w:w="7531"/>
      </w:tblGrid>
      <w:tr w14:paraId="5F14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Align w:val="center"/>
          </w:tcPr>
          <w:p w14:paraId="183D0F69">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531" w:type="dxa"/>
            <w:vAlign w:val="center"/>
          </w:tcPr>
          <w:p w14:paraId="31909056">
            <w:pPr>
              <w:spacing w:line="360" w:lineRule="auto"/>
              <w:jc w:val="center"/>
              <w:rPr>
                <w:rFonts w:hint="eastAsia" w:ascii="宋体" w:hAnsi="宋体" w:eastAsia="宋体" w:cs="宋体"/>
                <w:b/>
                <w:bCs/>
                <w:color w:val="auto"/>
                <w:sz w:val="21"/>
                <w:szCs w:val="21"/>
                <w:highlight w:val="none"/>
                <w:lang w:eastAsia="zh-Hans"/>
              </w:rPr>
            </w:pPr>
            <w:r>
              <w:rPr>
                <w:rFonts w:hint="eastAsia" w:ascii="宋体" w:hAnsi="宋体" w:eastAsia="宋体" w:cs="宋体"/>
                <w:b/>
                <w:bCs/>
                <w:color w:val="auto"/>
                <w:sz w:val="21"/>
                <w:szCs w:val="21"/>
                <w:highlight w:val="none"/>
                <w:lang w:eastAsia="zh-Hans"/>
              </w:rPr>
              <w:t>规格要求</w:t>
            </w:r>
          </w:p>
        </w:tc>
      </w:tr>
      <w:tr w14:paraId="0356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restart"/>
            <w:vAlign w:val="center"/>
          </w:tcPr>
          <w:p w14:paraId="1CB8A4AE">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基本功能/性能</w:t>
            </w:r>
          </w:p>
        </w:tc>
        <w:tc>
          <w:tcPr>
            <w:tcW w:w="7531" w:type="dxa"/>
            <w:vAlign w:val="center"/>
          </w:tcPr>
          <w:p w14:paraId="3FFE3BB8">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主备实例部署</w:t>
            </w:r>
            <w:r>
              <w:rPr>
                <w:rFonts w:hint="eastAsia" w:ascii="宋体" w:hAnsi="宋体" w:eastAsia="宋体" w:cs="宋体"/>
                <w:bCs/>
                <w:color w:val="auto"/>
                <w:sz w:val="21"/>
                <w:szCs w:val="21"/>
                <w:highlight w:val="none"/>
                <w:lang w:eastAsia="zh-CN"/>
              </w:rPr>
              <w:t>。</w:t>
            </w:r>
          </w:p>
        </w:tc>
      </w:tr>
      <w:tr w14:paraId="3DC7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continue"/>
            <w:vAlign w:val="center"/>
          </w:tcPr>
          <w:p w14:paraId="54F40C1C">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2A6687A8">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重启、删除实例或集群</w:t>
            </w:r>
            <w:r>
              <w:rPr>
                <w:rFonts w:hint="eastAsia" w:ascii="宋体" w:hAnsi="宋体" w:eastAsia="宋体" w:cs="宋体"/>
                <w:bCs/>
                <w:color w:val="auto"/>
                <w:sz w:val="21"/>
                <w:szCs w:val="21"/>
                <w:highlight w:val="none"/>
                <w:lang w:eastAsia="zh-CN"/>
              </w:rPr>
              <w:t>。</w:t>
            </w:r>
          </w:p>
        </w:tc>
      </w:tr>
      <w:tr w14:paraId="3D7E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continue"/>
            <w:vAlign w:val="center"/>
          </w:tcPr>
          <w:p w14:paraId="71789A85">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15631DB7">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计算和存储容量扩展</w:t>
            </w:r>
          </w:p>
        </w:tc>
      </w:tr>
      <w:tr w14:paraId="15A6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continue"/>
            <w:vAlign w:val="center"/>
          </w:tcPr>
          <w:p w14:paraId="72E73FB8">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2FDDA06D">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日志管理</w:t>
            </w:r>
            <w:r>
              <w:rPr>
                <w:rFonts w:hint="eastAsia" w:ascii="宋体" w:hAnsi="宋体" w:eastAsia="宋体" w:cs="宋体"/>
                <w:bCs/>
                <w:color w:val="auto"/>
                <w:sz w:val="21"/>
                <w:szCs w:val="21"/>
                <w:highlight w:val="none"/>
                <w:lang w:eastAsia="zh-CN"/>
              </w:rPr>
              <w:t>。</w:t>
            </w:r>
          </w:p>
        </w:tc>
      </w:tr>
      <w:tr w14:paraId="2BEC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continue"/>
            <w:vAlign w:val="center"/>
          </w:tcPr>
          <w:p w14:paraId="27166D27">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79C3C8EB">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数据库</w:t>
            </w:r>
            <w:r>
              <w:rPr>
                <w:rFonts w:hint="eastAsia" w:ascii="宋体" w:hAnsi="宋体" w:eastAsia="宋体" w:cs="宋体"/>
                <w:bCs/>
                <w:color w:val="auto"/>
                <w:sz w:val="21"/>
                <w:szCs w:val="21"/>
                <w:highlight w:val="none"/>
                <w:lang w:eastAsia="zh-CN"/>
              </w:rPr>
              <w:t>引擎</w:t>
            </w:r>
            <w:r>
              <w:rPr>
                <w:rFonts w:hint="eastAsia" w:ascii="宋体" w:hAnsi="宋体" w:eastAsia="宋体" w:cs="宋体"/>
                <w:bCs/>
                <w:color w:val="auto"/>
                <w:sz w:val="21"/>
                <w:szCs w:val="21"/>
                <w:highlight w:val="none"/>
              </w:rPr>
              <w:t>参数配置</w:t>
            </w:r>
            <w:r>
              <w:rPr>
                <w:rFonts w:hint="eastAsia" w:ascii="宋体" w:hAnsi="宋体" w:eastAsia="宋体" w:cs="宋体"/>
                <w:bCs/>
                <w:color w:val="auto"/>
                <w:sz w:val="21"/>
                <w:szCs w:val="21"/>
                <w:highlight w:val="none"/>
                <w:lang w:eastAsia="zh-CN"/>
              </w:rPr>
              <w:t>。</w:t>
            </w:r>
          </w:p>
        </w:tc>
      </w:tr>
      <w:tr w14:paraId="65D0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Align w:val="center"/>
          </w:tcPr>
          <w:p w14:paraId="0927386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总体要求</w:t>
            </w:r>
          </w:p>
        </w:tc>
        <w:tc>
          <w:tcPr>
            <w:tcW w:w="7531" w:type="dxa"/>
            <w:vAlign w:val="center"/>
          </w:tcPr>
          <w:p w14:paraId="0F2E2B76">
            <w:pP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兼容社区开源版本， 支持NoSQL数据类型（JSON/XML/hstore），支持企业复杂查询SQL的OLTP业务场景，提供PostGIS地理信息引擎。</w:t>
            </w:r>
          </w:p>
        </w:tc>
      </w:tr>
      <w:tr w14:paraId="65EA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restart"/>
            <w:vAlign w:val="center"/>
          </w:tcPr>
          <w:p w14:paraId="12226E95">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功能要求</w:t>
            </w:r>
          </w:p>
          <w:p w14:paraId="057B2476">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0850D310">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支持规格的在线变更</w:t>
            </w:r>
            <w:r>
              <w:rPr>
                <w:rFonts w:hint="eastAsia" w:ascii="宋体" w:hAnsi="宋体" w:eastAsia="宋体" w:cs="宋体"/>
                <w:bCs/>
                <w:color w:val="auto"/>
                <w:sz w:val="21"/>
                <w:szCs w:val="21"/>
                <w:highlight w:val="none"/>
                <w:lang w:eastAsia="zh-CN"/>
              </w:rPr>
              <w:t>。</w:t>
            </w:r>
          </w:p>
        </w:tc>
      </w:tr>
      <w:tr w14:paraId="351A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continue"/>
            <w:vAlign w:val="center"/>
          </w:tcPr>
          <w:p w14:paraId="4DE32CB8">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6052A0B0">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完全兼容开源PG10版本</w:t>
            </w:r>
            <w:r>
              <w:rPr>
                <w:rFonts w:hint="eastAsia" w:ascii="宋体" w:hAnsi="宋体" w:eastAsia="宋体" w:cs="宋体"/>
                <w:bCs/>
                <w:color w:val="auto"/>
                <w:sz w:val="21"/>
                <w:szCs w:val="21"/>
                <w:highlight w:val="none"/>
                <w:lang w:eastAsia="zh-CN"/>
              </w:rPr>
              <w:t>。</w:t>
            </w:r>
          </w:p>
        </w:tc>
      </w:tr>
      <w:tr w14:paraId="2676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continue"/>
            <w:vAlign w:val="center"/>
          </w:tcPr>
          <w:p w14:paraId="2BF490C8">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52F20870">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支持实例的创建、重启、释放、备份、恢复等管理操作；支持实例的网络隔离</w:t>
            </w:r>
            <w:r>
              <w:rPr>
                <w:rFonts w:hint="eastAsia" w:ascii="宋体" w:hAnsi="宋体" w:eastAsia="宋体" w:cs="宋体"/>
                <w:bCs/>
                <w:color w:val="auto"/>
                <w:sz w:val="21"/>
                <w:szCs w:val="21"/>
                <w:highlight w:val="none"/>
                <w:lang w:eastAsia="zh-CN"/>
              </w:rPr>
              <w:t>。</w:t>
            </w:r>
          </w:p>
        </w:tc>
      </w:tr>
      <w:tr w14:paraId="7FD5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restart"/>
            <w:vAlign w:val="center"/>
          </w:tcPr>
          <w:p w14:paraId="0802587F">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可靠性</w:t>
            </w:r>
          </w:p>
        </w:tc>
        <w:tc>
          <w:tcPr>
            <w:tcW w:w="7531" w:type="dxa"/>
            <w:vAlign w:val="center"/>
          </w:tcPr>
          <w:p w14:paraId="0D31E6F5">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支持对资源进行监控</w:t>
            </w:r>
            <w:r>
              <w:rPr>
                <w:rFonts w:hint="eastAsia" w:ascii="宋体" w:hAnsi="宋体" w:eastAsia="宋体" w:cs="宋体"/>
                <w:bCs/>
                <w:color w:val="auto"/>
                <w:sz w:val="21"/>
                <w:szCs w:val="21"/>
                <w:highlight w:val="none"/>
                <w:lang w:eastAsia="zh-CN"/>
              </w:rPr>
              <w:t>。</w:t>
            </w:r>
          </w:p>
        </w:tc>
      </w:tr>
      <w:tr w14:paraId="1CB4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continue"/>
            <w:vAlign w:val="center"/>
          </w:tcPr>
          <w:p w14:paraId="719DAC7A">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3B5A8A57">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支持实例的手动和自动备份</w:t>
            </w:r>
            <w:r>
              <w:rPr>
                <w:rFonts w:hint="eastAsia" w:ascii="宋体" w:hAnsi="宋体" w:eastAsia="宋体" w:cs="宋体"/>
                <w:bCs/>
                <w:color w:val="auto"/>
                <w:sz w:val="21"/>
                <w:szCs w:val="21"/>
                <w:highlight w:val="none"/>
                <w:lang w:eastAsia="zh-CN"/>
              </w:rPr>
              <w:t>。</w:t>
            </w:r>
          </w:p>
        </w:tc>
      </w:tr>
      <w:tr w14:paraId="660E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continue"/>
            <w:vAlign w:val="center"/>
          </w:tcPr>
          <w:p w14:paraId="345B1023">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1B410453">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支持高可用，异步复制机制；支持自动手动切换主备实例</w:t>
            </w:r>
            <w:r>
              <w:rPr>
                <w:rFonts w:hint="eastAsia" w:ascii="宋体" w:hAnsi="宋体" w:eastAsia="宋体" w:cs="宋体"/>
                <w:bCs/>
                <w:color w:val="auto"/>
                <w:sz w:val="21"/>
                <w:szCs w:val="21"/>
                <w:highlight w:val="none"/>
                <w:lang w:eastAsia="zh-CN"/>
              </w:rPr>
              <w:t>。</w:t>
            </w:r>
          </w:p>
        </w:tc>
      </w:tr>
      <w:tr w14:paraId="4F1E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restart"/>
            <w:vAlign w:val="center"/>
          </w:tcPr>
          <w:p w14:paraId="6D149868">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安全性</w:t>
            </w:r>
          </w:p>
        </w:tc>
        <w:tc>
          <w:tcPr>
            <w:tcW w:w="7531" w:type="dxa"/>
            <w:vAlign w:val="center"/>
          </w:tcPr>
          <w:p w14:paraId="63F1CCC4">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支持白名单设置，提供灵活的安全访问管理能力</w:t>
            </w:r>
            <w:r>
              <w:rPr>
                <w:rFonts w:hint="eastAsia" w:ascii="宋体" w:hAnsi="宋体" w:eastAsia="宋体" w:cs="宋体"/>
                <w:bCs/>
                <w:color w:val="auto"/>
                <w:sz w:val="21"/>
                <w:szCs w:val="21"/>
                <w:highlight w:val="none"/>
                <w:lang w:eastAsia="zh-CN"/>
              </w:rPr>
              <w:t>。</w:t>
            </w:r>
          </w:p>
        </w:tc>
      </w:tr>
      <w:tr w14:paraId="02B1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Merge w:val="continue"/>
            <w:vAlign w:val="center"/>
          </w:tcPr>
          <w:p w14:paraId="66900D8E">
            <w:pPr>
              <w:spacing w:line="360" w:lineRule="auto"/>
              <w:jc w:val="center"/>
              <w:rPr>
                <w:rFonts w:hint="eastAsia" w:ascii="宋体" w:hAnsi="宋体" w:eastAsia="宋体" w:cs="宋体"/>
                <w:bCs/>
                <w:color w:val="auto"/>
                <w:sz w:val="21"/>
                <w:szCs w:val="21"/>
                <w:highlight w:val="none"/>
              </w:rPr>
            </w:pPr>
          </w:p>
        </w:tc>
        <w:tc>
          <w:tcPr>
            <w:tcW w:w="7531" w:type="dxa"/>
            <w:vAlign w:val="center"/>
          </w:tcPr>
          <w:p w14:paraId="39415A96">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支持主备切换日志、慢日志、错误日志的管理</w:t>
            </w:r>
            <w:r>
              <w:rPr>
                <w:rFonts w:hint="eastAsia" w:ascii="宋体" w:hAnsi="宋体" w:eastAsia="宋体" w:cs="宋体"/>
                <w:bCs/>
                <w:color w:val="auto"/>
                <w:sz w:val="21"/>
                <w:szCs w:val="21"/>
                <w:highlight w:val="none"/>
                <w:lang w:eastAsia="zh-CN"/>
              </w:rPr>
              <w:t>。</w:t>
            </w:r>
          </w:p>
        </w:tc>
      </w:tr>
      <w:tr w14:paraId="3AC7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550" w:type="dxa"/>
            <w:vAlign w:val="center"/>
          </w:tcPr>
          <w:p w14:paraId="55A828BA">
            <w:pPr>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易用性</w:t>
            </w:r>
          </w:p>
        </w:tc>
        <w:tc>
          <w:tcPr>
            <w:tcW w:w="7531" w:type="dxa"/>
            <w:vAlign w:val="center"/>
          </w:tcPr>
          <w:p w14:paraId="46F7227A">
            <w:pPr>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支持参数修改</w:t>
            </w:r>
            <w:r>
              <w:rPr>
                <w:rFonts w:hint="eastAsia" w:ascii="宋体" w:hAnsi="宋体" w:eastAsia="宋体" w:cs="宋体"/>
                <w:bCs/>
                <w:color w:val="auto"/>
                <w:sz w:val="21"/>
                <w:szCs w:val="21"/>
                <w:highlight w:val="none"/>
                <w:lang w:eastAsia="zh-CN"/>
              </w:rPr>
              <w:t>。</w:t>
            </w:r>
          </w:p>
        </w:tc>
      </w:tr>
    </w:tbl>
    <w:p w14:paraId="6AD55BC5">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数据库备份</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7519"/>
      </w:tblGrid>
      <w:tr w14:paraId="6C51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1556" w:type="dxa"/>
            <w:vAlign w:val="center"/>
          </w:tcPr>
          <w:p w14:paraId="50D653FC">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指标项</w:t>
            </w:r>
          </w:p>
        </w:tc>
        <w:tc>
          <w:tcPr>
            <w:tcW w:w="7519" w:type="dxa"/>
            <w:vAlign w:val="center"/>
          </w:tcPr>
          <w:p w14:paraId="63CD5CF3">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规格要求</w:t>
            </w:r>
          </w:p>
        </w:tc>
      </w:tr>
      <w:tr w14:paraId="66E6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restart"/>
            <w:vAlign w:val="center"/>
          </w:tcPr>
          <w:p w14:paraId="2AD14D7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数据库</w:t>
            </w:r>
          </w:p>
          <w:p w14:paraId="6434DBB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数据备份</w:t>
            </w:r>
          </w:p>
        </w:tc>
        <w:tc>
          <w:tcPr>
            <w:tcW w:w="7519" w:type="dxa"/>
          </w:tcPr>
          <w:p w14:paraId="390B6D2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提供完善的备份、恢复机制，用户可按需备份并恢复到指定时间点</w:t>
            </w:r>
            <w:r>
              <w:rPr>
                <w:rFonts w:hint="eastAsia" w:ascii="宋体" w:hAnsi="宋体" w:eastAsia="宋体" w:cs="宋体"/>
                <w:color w:val="auto"/>
                <w:sz w:val="21"/>
                <w:szCs w:val="21"/>
                <w:highlight w:val="none"/>
                <w:lang w:eastAsia="zh-CN"/>
              </w:rPr>
              <w:t>。</w:t>
            </w:r>
          </w:p>
        </w:tc>
      </w:tr>
      <w:tr w14:paraId="1847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Merge w:val="continue"/>
            <w:vAlign w:val="center"/>
          </w:tcPr>
          <w:p w14:paraId="0E796056">
            <w:pPr>
              <w:spacing w:line="360" w:lineRule="auto"/>
              <w:jc w:val="center"/>
              <w:rPr>
                <w:rFonts w:hint="eastAsia" w:ascii="宋体" w:hAnsi="宋体" w:eastAsia="宋体" w:cs="宋体"/>
                <w:color w:val="auto"/>
                <w:sz w:val="21"/>
                <w:szCs w:val="21"/>
                <w:highlight w:val="none"/>
              </w:rPr>
            </w:pPr>
          </w:p>
        </w:tc>
        <w:tc>
          <w:tcPr>
            <w:tcW w:w="7519" w:type="dxa"/>
          </w:tcPr>
          <w:p w14:paraId="134F64F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备份恢复方式：</w:t>
            </w:r>
          </w:p>
          <w:p w14:paraId="17C934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回滚主节点：用户数据相关的误操作后可以通过回滚功能按时间点恢复数据。</w:t>
            </w:r>
          </w:p>
          <w:p w14:paraId="4D26249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修复备节点：在备节点出现不可修复的故障时自动新建备节点来降低风险。</w:t>
            </w:r>
          </w:p>
        </w:tc>
      </w:tr>
    </w:tbl>
    <w:p w14:paraId="785DE534">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 数据传输服务</w:t>
      </w:r>
    </w:p>
    <w:tbl>
      <w:tblPr>
        <w:tblStyle w:val="62"/>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7552"/>
      </w:tblGrid>
      <w:tr w14:paraId="7772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3B5B9D33">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w:t>
            </w:r>
          </w:p>
        </w:tc>
        <w:tc>
          <w:tcPr>
            <w:tcW w:w="7552" w:type="dxa"/>
            <w:tcBorders>
              <w:top w:val="single" w:color="auto" w:sz="4" w:space="0"/>
              <w:left w:val="single" w:color="auto" w:sz="4" w:space="0"/>
              <w:bottom w:val="single" w:color="auto" w:sz="4" w:space="0"/>
              <w:right w:val="single" w:color="auto" w:sz="4" w:space="0"/>
            </w:tcBorders>
            <w:vAlign w:val="center"/>
          </w:tcPr>
          <w:p w14:paraId="5A632AD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规格要求</w:t>
            </w:r>
          </w:p>
        </w:tc>
      </w:tr>
      <w:tr w14:paraId="49FB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15E419E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552" w:type="dxa"/>
            <w:tcBorders>
              <w:top w:val="single" w:color="auto" w:sz="4" w:space="0"/>
              <w:left w:val="single" w:color="auto" w:sz="4" w:space="0"/>
              <w:bottom w:val="single" w:color="auto" w:sz="4" w:space="0"/>
              <w:right w:val="single" w:color="auto" w:sz="4" w:space="0"/>
            </w:tcBorders>
            <w:vAlign w:val="center"/>
          </w:tcPr>
          <w:p w14:paraId="71D7779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数据传输服务提供了数据迁移、数据实时订阅及数据实时同步等多种数据传输能</w:t>
            </w:r>
            <w:r>
              <w:rPr>
                <w:rFonts w:hint="eastAsia" w:ascii="宋体" w:hAnsi="宋体" w:eastAsia="宋体" w:cs="宋体"/>
                <w:color w:val="auto"/>
                <w:sz w:val="21"/>
                <w:szCs w:val="21"/>
                <w:highlight w:val="none"/>
                <w:lang w:eastAsia="zh-Hans"/>
              </w:rPr>
              <w:t>力</w:t>
            </w:r>
            <w:r>
              <w:rPr>
                <w:rFonts w:hint="eastAsia" w:ascii="宋体" w:hAnsi="宋体" w:eastAsia="宋体" w:cs="宋体"/>
                <w:color w:val="auto"/>
                <w:sz w:val="21"/>
                <w:szCs w:val="21"/>
                <w:highlight w:val="none"/>
              </w:rPr>
              <w:t>。通过数据传输服务可实现不停服数据迁移、数据异地灾备、跨境数据同步、缓存更新等多种业务应</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场景，构建安全、可扩展、</w:t>
            </w:r>
            <w:r>
              <w:rPr>
                <w:rFonts w:hint="eastAsia" w:ascii="宋体" w:hAnsi="宋体" w:eastAsia="宋体" w:cs="宋体"/>
                <w:color w:val="auto"/>
                <w:sz w:val="21"/>
                <w:szCs w:val="21"/>
                <w:highlight w:val="none"/>
                <w:lang w:eastAsia="zh-Hans"/>
              </w:rPr>
              <w:t>高</w:t>
            </w:r>
            <w:r>
              <w:rPr>
                <w:rFonts w:hint="eastAsia" w:ascii="宋体" w:hAnsi="宋体" w:eastAsia="宋体" w:cs="宋体"/>
                <w:color w:val="auto"/>
                <w:sz w:val="21"/>
                <w:szCs w:val="21"/>
                <w:highlight w:val="none"/>
              </w:rPr>
              <w:t>可</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的数据架构。</w:t>
            </w:r>
          </w:p>
        </w:tc>
      </w:tr>
      <w:tr w14:paraId="7B6A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vMerge w:val="restart"/>
            <w:tcBorders>
              <w:top w:val="single" w:color="auto" w:sz="4" w:space="0"/>
              <w:left w:val="single" w:color="auto" w:sz="4" w:space="0"/>
              <w:right w:val="single" w:color="auto" w:sz="4" w:space="0"/>
            </w:tcBorders>
            <w:vAlign w:val="center"/>
          </w:tcPr>
          <w:p w14:paraId="3F1F5A2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552" w:type="dxa"/>
            <w:tcBorders>
              <w:top w:val="single" w:color="auto" w:sz="4" w:space="0"/>
              <w:left w:val="single" w:color="auto" w:sz="4" w:space="0"/>
              <w:bottom w:val="single" w:color="auto" w:sz="4" w:space="0"/>
              <w:right w:val="single" w:color="auto" w:sz="4" w:space="0"/>
            </w:tcBorders>
            <w:vAlign w:val="center"/>
          </w:tcPr>
          <w:p w14:paraId="328D76C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数据迁移</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持多种数据源之间的数据迁移</w:t>
            </w:r>
          </w:p>
          <w:p w14:paraId="457E13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数据迁移</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持的源实例类型包括：</w:t>
            </w:r>
          </w:p>
          <w:p w14:paraId="383E26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云数据库</w:t>
            </w:r>
            <w:r>
              <w:rPr>
                <w:rFonts w:hint="eastAsia" w:ascii="宋体" w:hAnsi="宋体" w:eastAsia="宋体" w:cs="宋体"/>
                <w:color w:val="auto"/>
                <w:sz w:val="21"/>
                <w:szCs w:val="21"/>
                <w:highlight w:val="none"/>
              </w:rPr>
              <w:t>实例</w:t>
            </w:r>
          </w:p>
          <w:p w14:paraId="2029A01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Oracle数据库</w:t>
            </w:r>
          </w:p>
          <w:p w14:paraId="26ADE7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本地自建数据库</w:t>
            </w:r>
          </w:p>
          <w:p w14:paraId="092D26B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数据迁移</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持的</w:t>
            </w:r>
            <w:r>
              <w:rPr>
                <w:rFonts w:hint="eastAsia" w:ascii="宋体" w:hAnsi="宋体" w:eastAsia="宋体" w:cs="宋体"/>
                <w:color w:val="auto"/>
                <w:sz w:val="21"/>
                <w:szCs w:val="21"/>
                <w:highlight w:val="none"/>
                <w:lang w:eastAsia="zh-Hans"/>
              </w:rPr>
              <w:t>目</w:t>
            </w:r>
            <w:r>
              <w:rPr>
                <w:rFonts w:hint="eastAsia" w:ascii="宋体" w:hAnsi="宋体" w:eastAsia="宋体" w:cs="宋体"/>
                <w:color w:val="auto"/>
                <w:sz w:val="21"/>
                <w:szCs w:val="21"/>
                <w:highlight w:val="none"/>
              </w:rPr>
              <w:t>标实例包括：</w:t>
            </w:r>
          </w:p>
          <w:p w14:paraId="3A324F3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云数据库</w:t>
            </w:r>
            <w:r>
              <w:rPr>
                <w:rFonts w:hint="eastAsia" w:ascii="宋体" w:hAnsi="宋体" w:eastAsia="宋体" w:cs="宋体"/>
                <w:color w:val="auto"/>
                <w:sz w:val="21"/>
                <w:szCs w:val="21"/>
                <w:highlight w:val="none"/>
              </w:rPr>
              <w:t>实例</w:t>
            </w:r>
          </w:p>
          <w:p w14:paraId="39FC7EF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分布式关系型数据库</w:t>
            </w:r>
            <w:r>
              <w:rPr>
                <w:rFonts w:hint="eastAsia" w:ascii="宋体" w:hAnsi="宋体" w:eastAsia="宋体" w:cs="宋体"/>
                <w:color w:val="auto"/>
                <w:sz w:val="21"/>
                <w:szCs w:val="21"/>
                <w:highlight w:val="none"/>
              </w:rPr>
              <w:t>实例</w:t>
            </w:r>
          </w:p>
        </w:tc>
      </w:tr>
      <w:tr w14:paraId="057A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vMerge w:val="continue"/>
            <w:tcBorders>
              <w:left w:val="single" w:color="auto" w:sz="4" w:space="0"/>
              <w:right w:val="single" w:color="auto" w:sz="4" w:space="0"/>
            </w:tcBorders>
            <w:vAlign w:val="center"/>
          </w:tcPr>
          <w:p w14:paraId="03209F7C">
            <w:pPr>
              <w:spacing w:line="360" w:lineRule="auto"/>
              <w:rPr>
                <w:rFonts w:hint="eastAsia" w:ascii="宋体" w:hAnsi="宋体" w:eastAsia="宋体" w:cs="宋体"/>
                <w:color w:val="auto"/>
                <w:sz w:val="21"/>
                <w:szCs w:val="21"/>
                <w:highlight w:val="none"/>
              </w:rPr>
            </w:pPr>
          </w:p>
        </w:tc>
        <w:tc>
          <w:tcPr>
            <w:tcW w:w="7552" w:type="dxa"/>
            <w:tcBorders>
              <w:top w:val="single" w:color="auto" w:sz="4" w:space="0"/>
              <w:left w:val="single" w:color="auto" w:sz="4" w:space="0"/>
              <w:bottom w:val="single" w:color="auto" w:sz="4" w:space="0"/>
              <w:right w:val="single" w:color="auto" w:sz="4" w:space="0"/>
            </w:tcBorders>
            <w:vAlign w:val="center"/>
          </w:tcPr>
          <w:p w14:paraId="77F56FC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数据实时同步功能旨在帮助</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实现两个数据源之间的数据实时同步</w:t>
            </w:r>
          </w:p>
          <w:p w14:paraId="07EA300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数据同步</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持的源实例类型包括：</w:t>
            </w:r>
          </w:p>
          <w:p w14:paraId="4D52B70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MySQL实例</w:t>
            </w:r>
          </w:p>
          <w:p w14:paraId="4822922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分布式关系型数据库实例</w:t>
            </w:r>
          </w:p>
          <w:p w14:paraId="096AFDB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数据同步</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持的</w:t>
            </w:r>
            <w:r>
              <w:rPr>
                <w:rFonts w:hint="eastAsia" w:ascii="宋体" w:hAnsi="宋体" w:eastAsia="宋体" w:cs="宋体"/>
                <w:color w:val="auto"/>
                <w:sz w:val="21"/>
                <w:szCs w:val="21"/>
                <w:highlight w:val="none"/>
                <w:lang w:eastAsia="zh-Hans"/>
              </w:rPr>
              <w:t>目</w:t>
            </w:r>
            <w:r>
              <w:rPr>
                <w:rFonts w:hint="eastAsia" w:ascii="宋体" w:hAnsi="宋体" w:eastAsia="宋体" w:cs="宋体"/>
                <w:color w:val="auto"/>
                <w:sz w:val="21"/>
                <w:szCs w:val="21"/>
                <w:highlight w:val="none"/>
              </w:rPr>
              <w:t>标实例包括：</w:t>
            </w:r>
          </w:p>
          <w:p w14:paraId="713606D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MySQL实例</w:t>
            </w:r>
          </w:p>
          <w:p w14:paraId="0FF6D0F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大数据计算服务</w:t>
            </w:r>
            <w:r>
              <w:rPr>
                <w:rFonts w:hint="eastAsia" w:ascii="宋体" w:hAnsi="宋体" w:eastAsia="宋体" w:cs="宋体"/>
                <w:color w:val="auto"/>
                <w:sz w:val="21"/>
                <w:szCs w:val="21"/>
                <w:highlight w:val="none"/>
              </w:rPr>
              <w:t>实例</w:t>
            </w:r>
          </w:p>
          <w:p w14:paraId="7BEC2A1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数据仓库</w:t>
            </w:r>
            <w:r>
              <w:rPr>
                <w:rFonts w:hint="eastAsia" w:ascii="宋体" w:hAnsi="宋体" w:eastAsia="宋体" w:cs="宋体"/>
                <w:color w:val="auto"/>
                <w:sz w:val="21"/>
                <w:szCs w:val="21"/>
                <w:highlight w:val="none"/>
              </w:rPr>
              <w:t>实例</w:t>
            </w:r>
          </w:p>
          <w:p w14:paraId="63C7883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实时数据分发平台</w:t>
            </w:r>
            <w:r>
              <w:rPr>
                <w:rFonts w:hint="eastAsia" w:ascii="宋体" w:hAnsi="宋体" w:eastAsia="宋体" w:cs="宋体"/>
                <w:color w:val="auto"/>
                <w:sz w:val="21"/>
                <w:szCs w:val="21"/>
                <w:highlight w:val="none"/>
              </w:rPr>
              <w:t>实例</w:t>
            </w:r>
          </w:p>
          <w:p w14:paraId="57740C7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分布式关系型数据库</w:t>
            </w:r>
            <w:r>
              <w:rPr>
                <w:rFonts w:hint="eastAsia" w:ascii="宋体" w:hAnsi="宋体" w:eastAsia="宋体" w:cs="宋体"/>
                <w:color w:val="auto"/>
                <w:sz w:val="21"/>
                <w:szCs w:val="21"/>
                <w:highlight w:val="none"/>
              </w:rPr>
              <w:t>实例</w:t>
            </w:r>
          </w:p>
        </w:tc>
      </w:tr>
      <w:tr w14:paraId="53DF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591" w:type="dxa"/>
            <w:vMerge w:val="continue"/>
            <w:tcBorders>
              <w:left w:val="single" w:color="auto" w:sz="4" w:space="0"/>
              <w:right w:val="single" w:color="auto" w:sz="4" w:space="0"/>
            </w:tcBorders>
            <w:vAlign w:val="center"/>
          </w:tcPr>
          <w:p w14:paraId="2ECDE1AE">
            <w:pPr>
              <w:spacing w:line="360" w:lineRule="auto"/>
              <w:rPr>
                <w:rFonts w:hint="eastAsia" w:ascii="宋体" w:hAnsi="宋体" w:eastAsia="宋体" w:cs="宋体"/>
                <w:color w:val="auto"/>
                <w:sz w:val="21"/>
                <w:szCs w:val="21"/>
                <w:highlight w:val="none"/>
              </w:rPr>
            </w:pPr>
          </w:p>
        </w:tc>
        <w:tc>
          <w:tcPr>
            <w:tcW w:w="7552" w:type="dxa"/>
            <w:tcBorders>
              <w:top w:val="single" w:color="auto" w:sz="4" w:space="0"/>
              <w:left w:val="single" w:color="auto" w:sz="4" w:space="0"/>
              <w:bottom w:val="single" w:color="auto" w:sz="4" w:space="0"/>
              <w:right w:val="single" w:color="auto" w:sz="4" w:space="0"/>
            </w:tcBorders>
            <w:vAlign w:val="center"/>
          </w:tcPr>
          <w:p w14:paraId="0C7AB3D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实时数据订阅功能旨在帮助</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eastAsia="zh-Hans"/>
              </w:rPr>
              <w:t>云数据库</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分布式关系型数据库</w:t>
            </w:r>
            <w:r>
              <w:rPr>
                <w:rFonts w:hint="eastAsia" w:ascii="宋体" w:hAnsi="宋体" w:eastAsia="宋体" w:cs="宋体"/>
                <w:color w:val="auto"/>
                <w:sz w:val="21"/>
                <w:szCs w:val="21"/>
                <w:highlight w:val="none"/>
              </w:rPr>
              <w:t>的实时增量数据，</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能够根据</w:t>
            </w:r>
            <w:r>
              <w:rPr>
                <w:rFonts w:hint="eastAsia" w:ascii="宋体" w:hAnsi="宋体" w:eastAsia="宋体" w:cs="宋体"/>
                <w:color w:val="auto"/>
                <w:sz w:val="21"/>
                <w:szCs w:val="21"/>
                <w:highlight w:val="none"/>
                <w:lang w:eastAsia="zh-Hans"/>
              </w:rPr>
              <w:t>自身</w:t>
            </w:r>
            <w:r>
              <w:rPr>
                <w:rFonts w:hint="eastAsia" w:ascii="宋体" w:hAnsi="宋体" w:eastAsia="宋体" w:cs="宋体"/>
                <w:color w:val="auto"/>
                <w:sz w:val="21"/>
                <w:szCs w:val="21"/>
                <w:highlight w:val="none"/>
              </w:rPr>
              <w:t>业务需求</w:t>
            </w:r>
            <w:r>
              <w:rPr>
                <w:rFonts w:hint="eastAsia" w:ascii="宋体" w:hAnsi="宋体" w:eastAsia="宋体" w:cs="宋体"/>
                <w:color w:val="auto"/>
                <w:sz w:val="21"/>
                <w:szCs w:val="21"/>
                <w:highlight w:val="none"/>
                <w:lang w:eastAsia="zh-Hans"/>
              </w:rPr>
              <w:t>自</w:t>
            </w:r>
            <w:r>
              <w:rPr>
                <w:rFonts w:hint="eastAsia" w:ascii="宋体" w:hAnsi="宋体" w:eastAsia="宋体" w:cs="宋体"/>
                <w:color w:val="auto"/>
                <w:sz w:val="21"/>
                <w:szCs w:val="21"/>
                <w:highlight w:val="none"/>
              </w:rPr>
              <w:t>由消费增量数据，例如实现缓存更新、业务异步解耦、异构数据源数据实时同步及含复杂ETL的数据实时同步等多种业务场景。</w:t>
            </w:r>
          </w:p>
          <w:p w14:paraId="2912ECD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实时数据订阅支持的数据源类型包括：</w:t>
            </w:r>
          </w:p>
          <w:p w14:paraId="30D40D6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云数据库</w:t>
            </w:r>
            <w:r>
              <w:rPr>
                <w:rFonts w:hint="eastAsia" w:ascii="宋体" w:hAnsi="宋体" w:eastAsia="宋体" w:cs="宋体"/>
                <w:color w:val="auto"/>
                <w:sz w:val="21"/>
                <w:szCs w:val="21"/>
                <w:highlight w:val="none"/>
              </w:rPr>
              <w:t xml:space="preserve"> For MySQL</w:t>
            </w:r>
          </w:p>
          <w:p w14:paraId="4E02E53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分布式关系型数据库</w:t>
            </w:r>
          </w:p>
        </w:tc>
      </w:tr>
      <w:tr w14:paraId="572A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vMerge w:val="restart"/>
            <w:tcBorders>
              <w:left w:val="single" w:color="auto" w:sz="4" w:space="0"/>
              <w:right w:val="single" w:color="auto" w:sz="4" w:space="0"/>
            </w:tcBorders>
            <w:vAlign w:val="center"/>
          </w:tcPr>
          <w:p w14:paraId="0ED612D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552" w:type="dxa"/>
            <w:tcBorders>
              <w:top w:val="single" w:color="auto" w:sz="4" w:space="0"/>
              <w:left w:val="single" w:color="auto" w:sz="4" w:space="0"/>
              <w:bottom w:val="single" w:color="auto" w:sz="4" w:space="0"/>
              <w:right w:val="single" w:color="auto" w:sz="4" w:space="0"/>
            </w:tcBorders>
            <w:vAlign w:val="center"/>
          </w:tcPr>
          <w:p w14:paraId="0715B8A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数据迁移支持多种迁移步骤：结构迁移、全量数据迁移及增量数据迁移。</w:t>
            </w:r>
          </w:p>
          <w:p w14:paraId="31C74A0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结构迁移：将源实例中的结构对象定义一键迁移</w:t>
            </w:r>
            <w:r>
              <w:rPr>
                <w:rFonts w:hint="eastAsia" w:ascii="宋体" w:hAnsi="宋体" w:eastAsia="宋体" w:cs="宋体"/>
                <w:color w:val="auto"/>
                <w:sz w:val="21"/>
                <w:szCs w:val="21"/>
                <w:highlight w:val="none"/>
                <w:lang w:eastAsia="zh-Hans"/>
              </w:rPr>
              <w:t>至目</w:t>
            </w:r>
            <w:r>
              <w:rPr>
                <w:rFonts w:hint="eastAsia" w:ascii="宋体" w:hAnsi="宋体" w:eastAsia="宋体" w:cs="宋体"/>
                <w:color w:val="auto"/>
                <w:sz w:val="21"/>
                <w:szCs w:val="21"/>
                <w:highlight w:val="none"/>
              </w:rPr>
              <w:t>标实例。</w:t>
            </w:r>
          </w:p>
          <w:p w14:paraId="14BF54D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全量数据迁移：将源实例中的历史存量数据迁移</w:t>
            </w:r>
            <w:r>
              <w:rPr>
                <w:rFonts w:hint="eastAsia" w:ascii="宋体" w:hAnsi="宋体" w:eastAsia="宋体" w:cs="宋体"/>
                <w:color w:val="auto"/>
                <w:sz w:val="21"/>
                <w:szCs w:val="21"/>
                <w:highlight w:val="none"/>
                <w:lang w:eastAsia="zh-Hans"/>
              </w:rPr>
              <w:t>至目</w:t>
            </w:r>
            <w:r>
              <w:rPr>
                <w:rFonts w:hint="eastAsia" w:ascii="宋体" w:hAnsi="宋体" w:eastAsia="宋体" w:cs="宋体"/>
                <w:color w:val="auto"/>
                <w:sz w:val="21"/>
                <w:szCs w:val="21"/>
                <w:highlight w:val="none"/>
              </w:rPr>
              <w:t>标实例。</w:t>
            </w:r>
          </w:p>
          <w:p w14:paraId="561970A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增量数据迁移：将迁移过程中源实例产生的增量数据实时同步到</w:t>
            </w:r>
            <w:r>
              <w:rPr>
                <w:rFonts w:hint="eastAsia" w:ascii="宋体" w:hAnsi="宋体" w:eastAsia="宋体" w:cs="宋体"/>
                <w:color w:val="auto"/>
                <w:sz w:val="21"/>
                <w:szCs w:val="21"/>
                <w:highlight w:val="none"/>
                <w:lang w:eastAsia="zh-Hans"/>
              </w:rPr>
              <w:t>目</w:t>
            </w:r>
            <w:r>
              <w:rPr>
                <w:rFonts w:hint="eastAsia" w:ascii="宋体" w:hAnsi="宋体" w:eastAsia="宋体" w:cs="宋体"/>
                <w:color w:val="auto"/>
                <w:sz w:val="21"/>
                <w:szCs w:val="21"/>
                <w:highlight w:val="none"/>
              </w:rPr>
              <w:t>标实例。结构迁移＋全量数据迁移＋增量数据迁移可以简单实现业务不停服迁移。</w:t>
            </w:r>
          </w:p>
        </w:tc>
      </w:tr>
      <w:tr w14:paraId="6579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vMerge w:val="continue"/>
            <w:tcBorders>
              <w:left w:val="single" w:color="auto" w:sz="4" w:space="0"/>
              <w:right w:val="single" w:color="auto" w:sz="4" w:space="0"/>
            </w:tcBorders>
            <w:vAlign w:val="center"/>
          </w:tcPr>
          <w:p w14:paraId="65EE56E0">
            <w:pPr>
              <w:spacing w:line="360" w:lineRule="auto"/>
              <w:jc w:val="center"/>
              <w:rPr>
                <w:rFonts w:hint="eastAsia" w:ascii="宋体" w:hAnsi="宋体" w:eastAsia="宋体" w:cs="宋体"/>
                <w:color w:val="auto"/>
                <w:sz w:val="21"/>
                <w:szCs w:val="21"/>
                <w:highlight w:val="none"/>
              </w:rPr>
            </w:pPr>
          </w:p>
        </w:tc>
        <w:tc>
          <w:tcPr>
            <w:tcW w:w="7552" w:type="dxa"/>
            <w:tcBorders>
              <w:top w:val="single" w:color="auto" w:sz="4" w:space="0"/>
              <w:left w:val="single" w:color="auto" w:sz="4" w:space="0"/>
              <w:bottom w:val="single" w:color="auto" w:sz="4" w:space="0"/>
              <w:right w:val="single" w:color="auto" w:sz="4" w:space="0"/>
            </w:tcBorders>
            <w:vAlign w:val="center"/>
          </w:tcPr>
          <w:p w14:paraId="18B9FD9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数据同步</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持多种特性，有效降低</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使</w:t>
            </w:r>
            <w:r>
              <w:rPr>
                <w:rFonts w:hint="eastAsia" w:ascii="宋体" w:hAnsi="宋体" w:eastAsia="宋体" w:cs="宋体"/>
                <w:color w:val="auto"/>
                <w:sz w:val="21"/>
                <w:szCs w:val="21"/>
                <w:highlight w:val="none"/>
                <w:lang w:eastAsia="zh-Hans"/>
              </w:rPr>
              <w:t>用门</w:t>
            </w:r>
            <w:r>
              <w:rPr>
                <w:rFonts w:hint="eastAsia" w:ascii="宋体" w:hAnsi="宋体" w:eastAsia="宋体" w:cs="宋体"/>
                <w:color w:val="auto"/>
                <w:sz w:val="21"/>
                <w:szCs w:val="21"/>
                <w:highlight w:val="none"/>
              </w:rPr>
              <w:t>槛，主要包括：</w:t>
            </w:r>
          </w:p>
          <w:p w14:paraId="46732CD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动态增减同步对象</w:t>
            </w:r>
          </w:p>
          <w:p w14:paraId="3B6B895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在数据同步过程中，</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可以随时增加或减少需要同步的对象。</w:t>
            </w:r>
          </w:p>
        </w:tc>
      </w:tr>
      <w:tr w14:paraId="54C7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91" w:type="dxa"/>
            <w:vMerge w:val="continue"/>
            <w:tcBorders>
              <w:left w:val="single" w:color="auto" w:sz="4" w:space="0"/>
              <w:right w:val="single" w:color="auto" w:sz="4" w:space="0"/>
            </w:tcBorders>
            <w:vAlign w:val="center"/>
          </w:tcPr>
          <w:p w14:paraId="6B2B60B2">
            <w:pPr>
              <w:spacing w:line="360" w:lineRule="auto"/>
              <w:jc w:val="center"/>
              <w:rPr>
                <w:rFonts w:hint="eastAsia" w:ascii="宋体" w:hAnsi="宋体" w:eastAsia="宋体" w:cs="宋体"/>
                <w:color w:val="auto"/>
                <w:sz w:val="21"/>
                <w:szCs w:val="21"/>
                <w:highlight w:val="none"/>
              </w:rPr>
            </w:pPr>
          </w:p>
        </w:tc>
        <w:tc>
          <w:tcPr>
            <w:tcW w:w="7552" w:type="dxa"/>
            <w:tcBorders>
              <w:top w:val="single" w:color="auto" w:sz="4" w:space="0"/>
              <w:left w:val="single" w:color="auto" w:sz="4" w:space="0"/>
              <w:bottom w:val="single" w:color="auto" w:sz="4" w:space="0"/>
              <w:right w:val="single" w:color="auto" w:sz="4" w:space="0"/>
            </w:tcBorders>
            <w:vAlign w:val="center"/>
          </w:tcPr>
          <w:p w14:paraId="637715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数据订阅支持多种特性，有效降低</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使用</w:t>
            </w:r>
            <w:r>
              <w:rPr>
                <w:rFonts w:hint="eastAsia" w:ascii="宋体" w:hAnsi="宋体" w:eastAsia="宋体" w:cs="宋体"/>
                <w:color w:val="auto"/>
                <w:sz w:val="21"/>
                <w:szCs w:val="21"/>
                <w:highlight w:val="none"/>
                <w:lang w:eastAsia="zh-Hans"/>
              </w:rPr>
              <w:t>门</w:t>
            </w:r>
            <w:r>
              <w:rPr>
                <w:rFonts w:hint="eastAsia" w:ascii="宋体" w:hAnsi="宋体" w:eastAsia="宋体" w:cs="宋体"/>
                <w:color w:val="auto"/>
                <w:sz w:val="21"/>
                <w:szCs w:val="21"/>
                <w:highlight w:val="none"/>
              </w:rPr>
              <w:t>槛，主要包括：</w:t>
            </w:r>
          </w:p>
          <w:p w14:paraId="3D507EB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动态增减订阅对象</w:t>
            </w:r>
          </w:p>
          <w:p w14:paraId="69A6726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在数据订阅过程中，</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可以随时增加或减少需要订阅的对象。</w:t>
            </w:r>
          </w:p>
          <w:p w14:paraId="48956C0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在线查看订阅数据</w:t>
            </w:r>
          </w:p>
          <w:p w14:paraId="4BD5B3C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数据传输控制台支持在线查看订阅通道中的增量数据。</w:t>
            </w:r>
          </w:p>
          <w:p w14:paraId="67E8AB7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修改消费时间点</w:t>
            </w:r>
          </w:p>
          <w:p w14:paraId="40F1256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数据订阅</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随时修改需要消费数据对应的时间点。</w:t>
            </w:r>
          </w:p>
        </w:tc>
      </w:tr>
      <w:tr w14:paraId="5C11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91" w:type="dxa"/>
            <w:tcBorders>
              <w:left w:val="single" w:color="auto" w:sz="4" w:space="0"/>
              <w:right w:val="single" w:color="auto" w:sz="4" w:space="0"/>
            </w:tcBorders>
            <w:vAlign w:val="center"/>
          </w:tcPr>
          <w:p w14:paraId="36E329A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安全性</w:t>
            </w:r>
          </w:p>
        </w:tc>
        <w:tc>
          <w:tcPr>
            <w:tcW w:w="7552" w:type="dxa"/>
            <w:tcBorders>
              <w:top w:val="single" w:color="auto" w:sz="4" w:space="0"/>
              <w:left w:val="single" w:color="auto" w:sz="4" w:space="0"/>
              <w:bottom w:val="single" w:color="auto" w:sz="4" w:space="0"/>
              <w:right w:val="single" w:color="auto" w:sz="4" w:space="0"/>
            </w:tcBorders>
            <w:vAlign w:val="center"/>
          </w:tcPr>
          <w:p w14:paraId="149104F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数据传输服务</w:t>
            </w:r>
            <w:r>
              <w:rPr>
                <w:rFonts w:hint="eastAsia" w:ascii="宋体" w:hAnsi="宋体" w:eastAsia="宋体" w:cs="宋体"/>
                <w:color w:val="auto"/>
                <w:sz w:val="21"/>
                <w:szCs w:val="21"/>
                <w:highlight w:val="none"/>
              </w:rPr>
              <w:t>底层为服务集群，集群内任何一个节点宕机或发生故障，控制中心都能够将这个节点上的所有任务快速切换到其他节点上。</w:t>
            </w:r>
          </w:p>
          <w:p w14:paraId="4346491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数据传输服务内部对部分传输链路提供7×24小时的数据准确性校验，快速发现并纠正传输数据，保证传输数据可靠性。</w:t>
            </w:r>
          </w:p>
          <w:p w14:paraId="6D26D68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数据传输服务各模块间采用安全传输协议及安全token认证，有效</w:t>
            </w: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rPr>
              <w:t>保证数据传输可靠性。</w:t>
            </w:r>
          </w:p>
        </w:tc>
      </w:tr>
      <w:tr w14:paraId="5815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91" w:type="dxa"/>
            <w:tcBorders>
              <w:left w:val="single" w:color="auto" w:sz="4" w:space="0"/>
              <w:right w:val="single" w:color="auto" w:sz="4" w:space="0"/>
            </w:tcBorders>
            <w:vAlign w:val="center"/>
          </w:tcPr>
          <w:p w14:paraId="7FA3F65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可靠性</w:t>
            </w:r>
          </w:p>
        </w:tc>
        <w:tc>
          <w:tcPr>
            <w:tcW w:w="7552" w:type="dxa"/>
            <w:tcBorders>
              <w:top w:val="single" w:color="auto" w:sz="4" w:space="0"/>
              <w:left w:val="single" w:color="auto" w:sz="4" w:space="0"/>
              <w:bottom w:val="single" w:color="auto" w:sz="4" w:space="0"/>
              <w:right w:val="single" w:color="auto" w:sz="4" w:space="0"/>
            </w:tcBorders>
            <w:vAlign w:val="center"/>
          </w:tcPr>
          <w:p w14:paraId="750DCD8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支持集群节点采用冗余架构，无单点故障，节点故障时任务的自动切换和恢复。</w:t>
            </w:r>
          </w:p>
        </w:tc>
      </w:tr>
    </w:tbl>
    <w:p w14:paraId="3AA38675">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 日志服务</w:t>
      </w:r>
    </w:p>
    <w:tbl>
      <w:tblPr>
        <w:tblStyle w:val="6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7540"/>
      </w:tblGrid>
      <w:tr w14:paraId="60E2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2" w:type="dxa"/>
            <w:tcBorders>
              <w:top w:val="single" w:color="auto" w:sz="4" w:space="0"/>
              <w:left w:val="single" w:color="auto" w:sz="4" w:space="0"/>
              <w:bottom w:val="single" w:color="auto" w:sz="4" w:space="0"/>
              <w:right w:val="single" w:color="auto" w:sz="4" w:space="0"/>
            </w:tcBorders>
            <w:vAlign w:val="center"/>
          </w:tcPr>
          <w:p w14:paraId="3663253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w:t>
            </w:r>
          </w:p>
        </w:tc>
        <w:tc>
          <w:tcPr>
            <w:tcW w:w="7540" w:type="dxa"/>
            <w:tcBorders>
              <w:top w:val="single" w:color="auto" w:sz="4" w:space="0"/>
              <w:left w:val="single" w:color="auto" w:sz="4" w:space="0"/>
              <w:bottom w:val="single" w:color="auto" w:sz="4" w:space="0"/>
              <w:right w:val="single" w:color="auto" w:sz="4" w:space="0"/>
            </w:tcBorders>
            <w:vAlign w:val="center"/>
          </w:tcPr>
          <w:p w14:paraId="61801AB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规格要求</w:t>
            </w:r>
          </w:p>
        </w:tc>
      </w:tr>
      <w:tr w14:paraId="00E4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2" w:type="dxa"/>
            <w:tcBorders>
              <w:top w:val="single" w:color="auto" w:sz="4" w:space="0"/>
              <w:left w:val="single" w:color="auto" w:sz="4" w:space="0"/>
              <w:bottom w:val="single" w:color="auto" w:sz="4" w:space="0"/>
              <w:right w:val="single" w:color="auto" w:sz="4" w:space="0"/>
            </w:tcBorders>
            <w:vAlign w:val="center"/>
          </w:tcPr>
          <w:p w14:paraId="4D529E2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基本功能</w:t>
            </w:r>
          </w:p>
        </w:tc>
        <w:tc>
          <w:tcPr>
            <w:tcW w:w="7540" w:type="dxa"/>
            <w:tcBorders>
              <w:top w:val="single" w:color="auto" w:sz="4" w:space="0"/>
              <w:left w:val="single" w:color="auto" w:sz="4" w:space="0"/>
              <w:bottom w:val="single" w:color="auto" w:sz="4" w:space="0"/>
              <w:right w:val="single" w:color="auto" w:sz="4" w:space="0"/>
            </w:tcBorders>
            <w:vAlign w:val="center"/>
          </w:tcPr>
          <w:p w14:paraId="349276F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（1）实时采集日志</w:t>
            </w:r>
          </w:p>
          <w:p w14:paraId="5507AD0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云日志服务提供实时日志采集功能，采集到的日志数据可以在云日志控制台以简单有序的方式展示、方便快捷的方式进行查询，并且可以长期存储。</w:t>
            </w:r>
          </w:p>
          <w:p w14:paraId="02CA63F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（2）日志查询与实时分析</w:t>
            </w:r>
          </w:p>
          <w:p w14:paraId="103A219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对采集的日志</w:t>
            </w:r>
            <w:r>
              <w:rPr>
                <w:rFonts w:hint="eastAsia" w:ascii="宋体" w:hAnsi="宋体" w:eastAsia="宋体" w:cs="宋体"/>
                <w:color w:val="auto"/>
                <w:sz w:val="21"/>
                <w:szCs w:val="21"/>
                <w:highlight w:val="none"/>
                <w:lang w:eastAsia="zh-CN"/>
              </w:rPr>
              <w:t>数据</w:t>
            </w:r>
            <w:r>
              <w:rPr>
                <w:rFonts w:hint="eastAsia" w:ascii="宋体" w:hAnsi="宋体" w:eastAsia="宋体" w:cs="宋体"/>
                <w:color w:val="auto"/>
                <w:sz w:val="21"/>
                <w:szCs w:val="21"/>
                <w:highlight w:val="none"/>
              </w:rPr>
              <w:t>，可以通过关键字查询等方式简单快速地进行查询，适用于日志实时分析、安全诊断分析等，通过日志数据分析，可以得出详细的运营数据。</w:t>
            </w:r>
          </w:p>
          <w:p w14:paraId="420295C5">
            <w:pPr>
              <w:keepNext/>
              <w:keepLines/>
              <w:tabs>
                <w:tab w:val="left" w:pos="1008"/>
              </w:tabs>
              <w:spacing w:line="360" w:lineRule="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（3）海量日志管理</w:t>
            </w:r>
          </w:p>
          <w:p w14:paraId="47B0EEEA">
            <w:pPr>
              <w:keepNext/>
              <w:keepLines/>
              <w:tabs>
                <w:tab w:val="left" w:pos="1008"/>
              </w:tabs>
              <w:spacing w:line="360" w:lineRule="auto"/>
              <w:outlineLvl w:val="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云日志服务支持每天百TB级日志的接入，十亿级日志秒级搜索</w:t>
            </w:r>
            <w:r>
              <w:rPr>
                <w:rFonts w:hint="eastAsia" w:ascii="宋体" w:hAnsi="宋体" w:eastAsia="宋体" w:cs="宋体"/>
                <w:color w:val="auto"/>
                <w:sz w:val="21"/>
                <w:szCs w:val="21"/>
                <w:highlight w:val="none"/>
                <w:lang w:eastAsia="zh-CN"/>
              </w:rPr>
              <w:t>。</w:t>
            </w:r>
          </w:p>
          <w:p w14:paraId="4A80D5B2">
            <w:pPr>
              <w:keepNext/>
              <w:keepLines/>
              <w:tabs>
                <w:tab w:val="left" w:pos="1008"/>
              </w:tabs>
              <w:spacing w:line="360" w:lineRule="auto"/>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（4）多种结构化解析</w:t>
            </w:r>
          </w:p>
          <w:p w14:paraId="091AE5EE">
            <w:pPr>
              <w:keepNext/>
              <w:keepLines/>
              <w:tabs>
                <w:tab w:val="left" w:pos="1008"/>
              </w:tabs>
              <w:spacing w:line="360" w:lineRule="auto"/>
              <w:outlineLvl w:val="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支持JSON、分隔符、正则格式结构化解析</w:t>
            </w:r>
            <w:r>
              <w:rPr>
                <w:rFonts w:hint="eastAsia" w:ascii="宋体" w:hAnsi="宋体" w:eastAsia="宋体" w:cs="宋体"/>
                <w:color w:val="auto"/>
                <w:sz w:val="21"/>
                <w:szCs w:val="21"/>
                <w:highlight w:val="none"/>
                <w:lang w:eastAsia="zh-CN"/>
              </w:rPr>
              <w:t>。</w:t>
            </w:r>
          </w:p>
        </w:tc>
      </w:tr>
    </w:tbl>
    <w:p w14:paraId="16492A68">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企业级分布式应用服务</w:t>
      </w:r>
    </w:p>
    <w:tbl>
      <w:tblPr>
        <w:tblStyle w:val="6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7546"/>
      </w:tblGrid>
      <w:tr w14:paraId="5B74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6A95465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w:t>
            </w:r>
          </w:p>
        </w:tc>
        <w:tc>
          <w:tcPr>
            <w:tcW w:w="7546" w:type="dxa"/>
            <w:tcBorders>
              <w:top w:val="single" w:color="auto" w:sz="4" w:space="0"/>
              <w:left w:val="single" w:color="auto" w:sz="4" w:space="0"/>
              <w:bottom w:val="single" w:color="auto" w:sz="4" w:space="0"/>
              <w:right w:val="single" w:color="auto" w:sz="4" w:space="0"/>
            </w:tcBorders>
            <w:vAlign w:val="center"/>
          </w:tcPr>
          <w:p w14:paraId="60B5296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规格要求</w:t>
            </w:r>
          </w:p>
        </w:tc>
      </w:tr>
      <w:tr w14:paraId="283E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0" w:type="dxa"/>
            <w:tcBorders>
              <w:top w:val="single" w:color="auto" w:sz="4" w:space="0"/>
              <w:left w:val="single" w:color="auto" w:sz="4" w:space="0"/>
              <w:bottom w:val="single" w:color="auto" w:sz="4" w:space="0"/>
              <w:right w:val="single" w:color="auto" w:sz="4" w:space="0"/>
            </w:tcBorders>
            <w:vAlign w:val="center"/>
          </w:tcPr>
          <w:p w14:paraId="0A1E330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546" w:type="dxa"/>
            <w:tcBorders>
              <w:top w:val="single" w:color="auto" w:sz="4" w:space="0"/>
              <w:left w:val="single" w:color="auto" w:sz="4" w:space="0"/>
              <w:bottom w:val="single" w:color="auto" w:sz="4" w:space="0"/>
              <w:right w:val="single" w:color="auto" w:sz="4" w:space="0"/>
            </w:tcBorders>
            <w:vAlign w:val="center"/>
          </w:tcPr>
          <w:p w14:paraId="2491CBA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提供应用开发、部署、监控、运维等全栈式解决方案，同时支持Dubbo、Spring Cloud 等微服务运行环境。</w:t>
            </w:r>
          </w:p>
        </w:tc>
      </w:tr>
      <w:tr w14:paraId="56B5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0" w:type="dxa"/>
            <w:vMerge w:val="restart"/>
            <w:tcBorders>
              <w:top w:val="single" w:color="auto" w:sz="4" w:space="0"/>
              <w:left w:val="single" w:color="auto" w:sz="4" w:space="0"/>
              <w:right w:val="single" w:color="auto" w:sz="4" w:space="0"/>
            </w:tcBorders>
            <w:vAlign w:val="center"/>
          </w:tcPr>
          <w:p w14:paraId="102ED9A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546" w:type="dxa"/>
            <w:tcBorders>
              <w:top w:val="single" w:color="auto" w:sz="4" w:space="0"/>
              <w:left w:val="single" w:color="auto" w:sz="4" w:space="0"/>
              <w:bottom w:val="single" w:color="auto" w:sz="4" w:space="0"/>
              <w:right w:val="single" w:color="auto" w:sz="4" w:space="0"/>
            </w:tcBorders>
            <w:vAlign w:val="center"/>
          </w:tcPr>
          <w:p w14:paraId="0D99AA7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涵盖了应用生命周期管理、运维管控等众多功能。</w:t>
            </w:r>
          </w:p>
        </w:tc>
      </w:tr>
      <w:tr w14:paraId="16C6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0" w:type="dxa"/>
            <w:vMerge w:val="continue"/>
            <w:tcBorders>
              <w:left w:val="single" w:color="auto" w:sz="4" w:space="0"/>
              <w:right w:val="single" w:color="auto" w:sz="4" w:space="0"/>
            </w:tcBorders>
            <w:vAlign w:val="center"/>
          </w:tcPr>
          <w:p w14:paraId="5CE980F7">
            <w:pPr>
              <w:spacing w:line="360" w:lineRule="auto"/>
              <w:rPr>
                <w:rFonts w:hint="eastAsia" w:ascii="宋体" w:hAnsi="宋体" w:eastAsia="宋体" w:cs="宋体"/>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7354224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弹性伸缩：弹性伸缩能够感知应用内各个实例的状态，并根据状态动态实现应用扩容、缩容。在保证服务质量的同时，提升应用的可用率。</w:t>
            </w:r>
          </w:p>
        </w:tc>
      </w:tr>
      <w:tr w14:paraId="134D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0" w:type="dxa"/>
            <w:vMerge w:val="continue"/>
            <w:tcBorders>
              <w:left w:val="single" w:color="auto" w:sz="4" w:space="0"/>
              <w:right w:val="single" w:color="auto" w:sz="4" w:space="0"/>
            </w:tcBorders>
            <w:vAlign w:val="center"/>
          </w:tcPr>
          <w:p w14:paraId="79E97997">
            <w:pPr>
              <w:spacing w:line="360" w:lineRule="auto"/>
              <w:rPr>
                <w:rFonts w:hint="eastAsia" w:ascii="宋体" w:hAnsi="宋体" w:eastAsia="宋体" w:cs="宋体"/>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286C5A4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限流降级：限流降级用于解决后端核心服务因压力过大造成系统反应过慢或者崩溃问题。</w:t>
            </w:r>
          </w:p>
        </w:tc>
      </w:tr>
      <w:tr w14:paraId="31FC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10" w:type="dxa"/>
            <w:vMerge w:val="continue"/>
            <w:tcBorders>
              <w:left w:val="single" w:color="auto" w:sz="4" w:space="0"/>
              <w:right w:val="single" w:color="auto" w:sz="4" w:space="0"/>
            </w:tcBorders>
            <w:vAlign w:val="center"/>
          </w:tcPr>
          <w:p w14:paraId="3463C470">
            <w:pPr>
              <w:spacing w:line="360" w:lineRule="auto"/>
              <w:rPr>
                <w:rFonts w:hint="eastAsia" w:ascii="宋体" w:hAnsi="宋体" w:eastAsia="宋体" w:cs="宋体"/>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612249E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健康检查：健康检查对容器与应用进行定时检查和汇报，然后将结果上报到控制台，可以了解集群环境下整个应用的运行状态，排查和定位问题。</w:t>
            </w:r>
          </w:p>
        </w:tc>
      </w:tr>
      <w:tr w14:paraId="43C7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0" w:type="dxa"/>
            <w:vMerge w:val="continue"/>
            <w:tcBorders>
              <w:left w:val="single" w:color="auto" w:sz="4" w:space="0"/>
              <w:right w:val="single" w:color="auto" w:sz="4" w:space="0"/>
            </w:tcBorders>
            <w:vAlign w:val="center"/>
          </w:tcPr>
          <w:p w14:paraId="44FC0BAE">
            <w:pPr>
              <w:spacing w:line="360" w:lineRule="auto"/>
              <w:rPr>
                <w:rFonts w:hint="eastAsia" w:ascii="宋体" w:hAnsi="宋体" w:eastAsia="宋体" w:cs="宋体"/>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035D0F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灰度发布：灰度发布包括对单个应用的灰度发布和全链路灰度发布。通过灰度发布实现应用新、旧版本的平滑过渡。</w:t>
            </w:r>
          </w:p>
        </w:tc>
      </w:tr>
      <w:tr w14:paraId="5EE7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0" w:type="dxa"/>
            <w:vMerge w:val="restart"/>
            <w:tcBorders>
              <w:left w:val="single" w:color="auto" w:sz="4" w:space="0"/>
              <w:right w:val="single" w:color="auto" w:sz="4" w:space="0"/>
            </w:tcBorders>
            <w:vAlign w:val="center"/>
          </w:tcPr>
          <w:p w14:paraId="60D933D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546" w:type="dxa"/>
            <w:tcBorders>
              <w:top w:val="single" w:color="auto" w:sz="4" w:space="0"/>
              <w:left w:val="single" w:color="auto" w:sz="4" w:space="0"/>
              <w:bottom w:val="single" w:color="auto" w:sz="4" w:space="0"/>
              <w:right w:val="single" w:color="auto" w:sz="4" w:space="0"/>
            </w:tcBorders>
            <w:vAlign w:val="center"/>
          </w:tcPr>
          <w:p w14:paraId="22AD0933">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生命周期管理操作</w:t>
            </w:r>
            <w:r>
              <w:rPr>
                <w:rFonts w:hint="eastAsia" w:ascii="宋体" w:hAnsi="宋体" w:eastAsia="宋体" w:cs="宋体"/>
                <w:color w:val="auto"/>
                <w:sz w:val="21"/>
                <w:szCs w:val="21"/>
                <w:highlight w:val="none"/>
                <w:lang w:eastAsia="zh-CN"/>
              </w:rPr>
              <w:t>：</w:t>
            </w:r>
          </w:p>
          <w:p w14:paraId="0CD4739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生命周期管理包括创建、部署、扩容、缩容、停止、删除等。因部署的集群类型不同，生命周期管理操作有些差异。</w:t>
            </w:r>
          </w:p>
        </w:tc>
      </w:tr>
      <w:tr w14:paraId="03D6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0" w:type="dxa"/>
            <w:vMerge w:val="continue"/>
            <w:tcBorders>
              <w:left w:val="single" w:color="auto" w:sz="4" w:space="0"/>
              <w:right w:val="single" w:color="auto" w:sz="4" w:space="0"/>
            </w:tcBorders>
            <w:vAlign w:val="center"/>
          </w:tcPr>
          <w:p w14:paraId="198D277B">
            <w:pPr>
              <w:spacing w:line="360" w:lineRule="auto"/>
              <w:rPr>
                <w:rFonts w:hint="eastAsia" w:ascii="宋体" w:hAnsi="宋体" w:eastAsia="宋体" w:cs="宋体"/>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2FA9F026">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应用监控</w:t>
            </w:r>
            <w:r>
              <w:rPr>
                <w:rFonts w:hint="eastAsia" w:ascii="宋体" w:hAnsi="宋体" w:eastAsia="宋体" w:cs="宋体"/>
                <w:color w:val="auto"/>
                <w:sz w:val="21"/>
                <w:szCs w:val="21"/>
                <w:highlight w:val="none"/>
                <w:lang w:eastAsia="zh-CN"/>
              </w:rPr>
              <w:t>：</w:t>
            </w:r>
          </w:p>
          <w:p w14:paraId="2B717A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在应用托管到企业级分布式应用后，可以对应用进行监控。包括基础监控、服务监控、日志和通知报警。</w:t>
            </w:r>
          </w:p>
        </w:tc>
      </w:tr>
      <w:tr w14:paraId="0F7D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10" w:type="dxa"/>
            <w:vMerge w:val="continue"/>
            <w:tcBorders>
              <w:left w:val="single" w:color="auto" w:sz="4" w:space="0"/>
              <w:right w:val="single" w:color="auto" w:sz="4" w:space="0"/>
            </w:tcBorders>
            <w:vAlign w:val="center"/>
          </w:tcPr>
          <w:p w14:paraId="7EAFFA86">
            <w:pPr>
              <w:spacing w:line="360" w:lineRule="auto"/>
              <w:rPr>
                <w:rFonts w:hint="eastAsia" w:ascii="宋体" w:hAnsi="宋体" w:eastAsia="宋体" w:cs="宋体"/>
                <w:color w:val="auto"/>
                <w:sz w:val="21"/>
                <w:szCs w:val="21"/>
                <w:highlight w:val="none"/>
              </w:rPr>
            </w:pPr>
          </w:p>
        </w:tc>
        <w:tc>
          <w:tcPr>
            <w:tcW w:w="7546" w:type="dxa"/>
            <w:tcBorders>
              <w:top w:val="single" w:color="auto" w:sz="4" w:space="0"/>
              <w:left w:val="single" w:color="auto" w:sz="4" w:space="0"/>
              <w:bottom w:val="single" w:color="auto" w:sz="4" w:space="0"/>
              <w:right w:val="single" w:color="auto" w:sz="4" w:space="0"/>
            </w:tcBorders>
            <w:vAlign w:val="center"/>
          </w:tcPr>
          <w:p w14:paraId="7CB4A85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应用诊断</w:t>
            </w:r>
            <w:r>
              <w:rPr>
                <w:rFonts w:hint="eastAsia" w:ascii="宋体" w:hAnsi="宋体" w:eastAsia="宋体" w:cs="宋体"/>
                <w:color w:val="auto"/>
                <w:sz w:val="21"/>
                <w:szCs w:val="21"/>
                <w:highlight w:val="none"/>
                <w:lang w:eastAsia="zh-CN"/>
              </w:rPr>
              <w:t>：</w:t>
            </w:r>
          </w:p>
          <w:p w14:paraId="765450B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 HSF 框架开发的应用部署并运行在容器（EDAS-Container）中。企业级分布式应用 提供了基于容器的诊断功能，提供相应数据来诊断应用运行问题。</w:t>
            </w:r>
          </w:p>
        </w:tc>
      </w:tr>
    </w:tbl>
    <w:p w14:paraId="0CBC9DA7">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 大数据计算服务</w:t>
      </w:r>
    </w:p>
    <w:tbl>
      <w:tblPr>
        <w:tblStyle w:val="62"/>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586"/>
        <w:gridCol w:w="7523"/>
      </w:tblGrid>
      <w:tr w14:paraId="1E30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86" w:type="dxa"/>
            <w:shd w:val="clear" w:color="auto" w:fill="FFFFFF"/>
            <w:vAlign w:val="center"/>
          </w:tcPr>
          <w:p w14:paraId="060153EE">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523" w:type="dxa"/>
            <w:shd w:val="clear" w:color="auto" w:fill="FFFFFF"/>
            <w:vAlign w:val="center"/>
          </w:tcPr>
          <w:p w14:paraId="57346C75">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规格服务</w:t>
            </w:r>
          </w:p>
        </w:tc>
      </w:tr>
      <w:tr w14:paraId="68F0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586" w:type="dxa"/>
            <w:vMerge w:val="restart"/>
            <w:shd w:val="clear" w:color="auto" w:fill="FFFFFF"/>
            <w:vAlign w:val="center"/>
          </w:tcPr>
          <w:p w14:paraId="726D046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523" w:type="dxa"/>
            <w:shd w:val="clear" w:color="auto" w:fill="FFFFFF"/>
            <w:vAlign w:val="center"/>
          </w:tcPr>
          <w:p w14:paraId="7683B30E">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提供完善的数据导入方案以及多种经典的分布式计算模型</w:t>
            </w:r>
            <w:r>
              <w:rPr>
                <w:rFonts w:hint="eastAsia" w:ascii="宋体" w:hAnsi="宋体" w:eastAsia="宋体" w:cs="宋体"/>
                <w:color w:val="auto"/>
                <w:sz w:val="21"/>
                <w:szCs w:val="21"/>
                <w:highlight w:val="none"/>
                <w:lang w:eastAsia="zh-CN"/>
              </w:rPr>
              <w:t>。</w:t>
            </w:r>
          </w:p>
        </w:tc>
      </w:tr>
      <w:tr w14:paraId="3F88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continue"/>
            <w:shd w:val="clear" w:color="auto" w:fill="FFFFFF"/>
            <w:vAlign w:val="center"/>
          </w:tcPr>
          <w:p w14:paraId="623071F0">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569486DF">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数据均以表格式存储，不暴露文件系统</w:t>
            </w:r>
            <w:r>
              <w:rPr>
                <w:rFonts w:hint="eastAsia" w:ascii="宋体" w:hAnsi="宋体" w:eastAsia="宋体" w:cs="宋体"/>
                <w:color w:val="auto"/>
                <w:sz w:val="21"/>
                <w:szCs w:val="21"/>
                <w:highlight w:val="none"/>
                <w:lang w:eastAsia="zh-CN"/>
              </w:rPr>
              <w:t>。</w:t>
            </w:r>
          </w:p>
        </w:tc>
      </w:tr>
      <w:tr w14:paraId="7E0B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continue"/>
            <w:shd w:val="clear" w:color="auto" w:fill="FFFFFF"/>
            <w:vAlign w:val="center"/>
          </w:tcPr>
          <w:p w14:paraId="660C9C78">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030A258C">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采用标准的SQL语法</w:t>
            </w:r>
            <w:r>
              <w:rPr>
                <w:rFonts w:hint="eastAsia" w:ascii="宋体" w:hAnsi="宋体" w:eastAsia="宋体" w:cs="宋体"/>
                <w:color w:val="auto"/>
                <w:sz w:val="21"/>
                <w:szCs w:val="21"/>
                <w:highlight w:val="none"/>
                <w:lang w:eastAsia="zh-CN"/>
              </w:rPr>
              <w:t>。</w:t>
            </w:r>
          </w:p>
        </w:tc>
      </w:tr>
      <w:tr w14:paraId="41B1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restart"/>
            <w:shd w:val="clear" w:color="auto" w:fill="FFFFFF"/>
            <w:vAlign w:val="center"/>
          </w:tcPr>
          <w:p w14:paraId="5CF11C7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523" w:type="dxa"/>
            <w:shd w:val="clear" w:color="auto" w:fill="FFFFFF"/>
            <w:vAlign w:val="center"/>
          </w:tcPr>
          <w:p w14:paraId="497CF91F">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提供完整RESTful API的方式提供离线数据处理服务，提供JAVA SDK，Python SDK等编程接口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支持JDBC接口等系列用户开发工具和接口</w:t>
            </w:r>
            <w:r>
              <w:rPr>
                <w:rFonts w:hint="eastAsia" w:ascii="宋体" w:hAnsi="宋体" w:eastAsia="宋体" w:cs="宋体"/>
                <w:color w:val="auto"/>
                <w:sz w:val="21"/>
                <w:szCs w:val="21"/>
                <w:highlight w:val="none"/>
                <w:lang w:eastAsia="zh-CN"/>
              </w:rPr>
              <w:t>。</w:t>
            </w:r>
          </w:p>
        </w:tc>
      </w:tr>
      <w:tr w14:paraId="5BE2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continue"/>
            <w:shd w:val="clear" w:color="auto" w:fill="FFFFFF"/>
            <w:vAlign w:val="center"/>
          </w:tcPr>
          <w:p w14:paraId="12F49AFB">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077DE8A9">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离线任务管理、监控告警的功能，任务运维管理支持两种模式可供用户选择，包括列表模式和DAG模式。监控告警是调度任务的监控保障系统，支持基线告警和自定义告警两种方式。当任务出现错误或者延迟产出的时候，系统会通过预定义的方式告知用户任务状态。用户可以按照自己定义的规则来配置告警规则</w:t>
            </w:r>
            <w:r>
              <w:rPr>
                <w:rFonts w:hint="eastAsia" w:ascii="宋体" w:hAnsi="宋体" w:eastAsia="宋体" w:cs="宋体"/>
                <w:color w:val="auto"/>
                <w:sz w:val="21"/>
                <w:szCs w:val="21"/>
                <w:highlight w:val="none"/>
                <w:lang w:eastAsia="zh-CN"/>
              </w:rPr>
              <w:t>。</w:t>
            </w:r>
          </w:p>
        </w:tc>
      </w:tr>
      <w:tr w14:paraId="793B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6" w:type="dxa"/>
            <w:vMerge w:val="continue"/>
            <w:shd w:val="clear" w:color="auto" w:fill="FFFFFF"/>
            <w:vAlign w:val="center"/>
          </w:tcPr>
          <w:p w14:paraId="0C8FD64E">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72FB8EBF">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支持MapReduce类型的分布式计算任务，支持DAG模式的作业处理方式</w:t>
            </w:r>
            <w:r>
              <w:rPr>
                <w:rFonts w:hint="eastAsia" w:ascii="宋体" w:hAnsi="宋体" w:eastAsia="宋体" w:cs="宋体"/>
                <w:color w:val="auto"/>
                <w:sz w:val="21"/>
                <w:szCs w:val="21"/>
                <w:highlight w:val="none"/>
                <w:lang w:eastAsia="zh-CN"/>
              </w:rPr>
              <w:t>。</w:t>
            </w:r>
          </w:p>
        </w:tc>
      </w:tr>
      <w:tr w14:paraId="1729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continue"/>
            <w:shd w:val="clear" w:color="auto" w:fill="FFFFFF"/>
            <w:vAlign w:val="center"/>
          </w:tcPr>
          <w:p w14:paraId="168A5A0A">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3255EC59">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支持作业优先级设置功能，可支持9级优先级设置，在作业任务资源分配优先级上进行细粒度控制</w:t>
            </w:r>
            <w:r>
              <w:rPr>
                <w:rFonts w:hint="eastAsia" w:ascii="宋体" w:hAnsi="宋体" w:eastAsia="宋体" w:cs="宋体"/>
                <w:color w:val="auto"/>
                <w:sz w:val="21"/>
                <w:szCs w:val="21"/>
                <w:highlight w:val="none"/>
                <w:lang w:eastAsia="zh-CN"/>
              </w:rPr>
              <w:t>。</w:t>
            </w:r>
          </w:p>
        </w:tc>
      </w:tr>
      <w:tr w14:paraId="4621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continue"/>
            <w:shd w:val="clear" w:color="auto" w:fill="FFFFFF"/>
            <w:vAlign w:val="center"/>
          </w:tcPr>
          <w:p w14:paraId="6375F0A3">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7C2601A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支持原生Apache Spark编程接口，用户可以使用Spark接口进行编程处理存储在大数据计算服务中的数据</w:t>
            </w:r>
            <w:r>
              <w:rPr>
                <w:rFonts w:hint="eastAsia" w:ascii="宋体" w:hAnsi="宋体" w:eastAsia="宋体" w:cs="宋体"/>
                <w:color w:val="auto"/>
                <w:sz w:val="21"/>
                <w:szCs w:val="21"/>
                <w:highlight w:val="none"/>
                <w:lang w:eastAsia="zh-CN"/>
              </w:rPr>
              <w:t>。</w:t>
            </w:r>
          </w:p>
        </w:tc>
      </w:tr>
      <w:tr w14:paraId="37AD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586" w:type="dxa"/>
            <w:vMerge w:val="continue"/>
            <w:shd w:val="clear" w:color="auto" w:fill="FFFFFF"/>
            <w:vAlign w:val="center"/>
          </w:tcPr>
          <w:p w14:paraId="379EAEBD">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10FC7DFE">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支持多种计算框架如SQL， MapReduce， Spark ，Graph</w:t>
            </w:r>
            <w:r>
              <w:rPr>
                <w:rFonts w:hint="eastAsia" w:ascii="宋体" w:hAnsi="宋体" w:eastAsia="宋体" w:cs="宋体"/>
                <w:color w:val="auto"/>
                <w:sz w:val="21"/>
                <w:szCs w:val="21"/>
                <w:highlight w:val="none"/>
                <w:lang w:eastAsia="zh-CN"/>
              </w:rPr>
              <w:t>。</w:t>
            </w:r>
          </w:p>
        </w:tc>
      </w:tr>
      <w:tr w14:paraId="1256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586" w:type="dxa"/>
            <w:vMerge w:val="restart"/>
            <w:shd w:val="clear" w:color="auto" w:fill="FFFFFF"/>
            <w:vAlign w:val="center"/>
          </w:tcPr>
          <w:p w14:paraId="58D522C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523" w:type="dxa"/>
            <w:shd w:val="clear" w:color="auto" w:fill="FFFFFF"/>
            <w:vAlign w:val="center"/>
          </w:tcPr>
          <w:p w14:paraId="0EACC0FC">
            <w:pPr>
              <w:spacing w:line="360" w:lineRule="auto"/>
              <w:jc w:val="left"/>
              <w:rPr>
                <w:rFonts w:hint="eastAsia" w:ascii="宋体" w:hAnsi="宋体" w:eastAsia="宋体" w:cs="宋体"/>
                <w:b/>
                <w:bCs/>
                <w:color w:val="auto"/>
                <w:kern w:val="0"/>
                <w:sz w:val="21"/>
                <w:szCs w:val="21"/>
                <w:highlight w:val="none"/>
                <w:u w:val="single"/>
                <w:lang w:eastAsia="zh-CN" w:bidi="ar"/>
              </w:rPr>
            </w:pPr>
            <w:r>
              <w:rPr>
                <w:rFonts w:hint="eastAsia" w:ascii="宋体" w:hAnsi="宋体" w:eastAsia="宋体" w:cs="宋体"/>
                <w:b/>
                <w:bCs/>
                <w:color w:val="auto"/>
                <w:kern w:val="0"/>
                <w:sz w:val="21"/>
                <w:szCs w:val="21"/>
                <w:highlight w:val="none"/>
                <w:u w:val="single"/>
                <w:lang w:bidi="ar"/>
              </w:rPr>
              <w:t>★单集群可支持项目空间不少于300PB数据量；单表可支持不少于10PB数据量</w:t>
            </w:r>
            <w:r>
              <w:rPr>
                <w:rFonts w:hint="eastAsia" w:ascii="宋体" w:hAnsi="宋体" w:eastAsia="宋体" w:cs="宋体"/>
                <w:b/>
                <w:bCs/>
                <w:color w:val="auto"/>
                <w:kern w:val="0"/>
                <w:sz w:val="21"/>
                <w:szCs w:val="21"/>
                <w:highlight w:val="none"/>
                <w:u w:val="single"/>
                <w:lang w:eastAsia="zh-CN" w:bidi="ar"/>
              </w:rPr>
              <w:t>，</w:t>
            </w:r>
            <w:r>
              <w:rPr>
                <w:rFonts w:hint="eastAsia" w:ascii="宋体" w:hAnsi="宋体" w:eastAsia="宋体" w:cs="宋体"/>
                <w:b/>
                <w:bCs/>
                <w:color w:val="auto"/>
                <w:kern w:val="0"/>
                <w:sz w:val="21"/>
                <w:szCs w:val="21"/>
                <w:highlight w:val="none"/>
                <w:u w:val="single"/>
                <w:lang w:bidi="ar"/>
              </w:rPr>
              <w:t xml:space="preserve"> 单表可支持超过50000个分区，需</w:t>
            </w:r>
            <w:r>
              <w:rPr>
                <w:rFonts w:hint="eastAsia" w:ascii="宋体" w:hAnsi="宋体" w:eastAsia="宋体" w:cs="宋体"/>
                <w:b/>
                <w:bCs/>
                <w:color w:val="auto"/>
                <w:kern w:val="0"/>
                <w:sz w:val="21"/>
                <w:szCs w:val="21"/>
                <w:highlight w:val="none"/>
                <w:u w:val="single"/>
                <w:lang w:eastAsia="zh-CN" w:bidi="ar"/>
              </w:rPr>
              <w:t>提供</w:t>
            </w:r>
            <w:r>
              <w:rPr>
                <w:rFonts w:hint="eastAsia" w:ascii="宋体" w:hAnsi="宋体" w:eastAsia="宋体" w:cs="宋体"/>
                <w:b/>
                <w:bCs/>
                <w:color w:val="auto"/>
                <w:kern w:val="0"/>
                <w:sz w:val="21"/>
                <w:szCs w:val="21"/>
                <w:highlight w:val="none"/>
                <w:u w:val="single"/>
                <w:lang w:bidi="ar"/>
              </w:rPr>
              <w:t>第三方机构测评报告</w:t>
            </w:r>
            <w:r>
              <w:rPr>
                <w:rFonts w:hint="eastAsia" w:ascii="宋体" w:hAnsi="宋体" w:eastAsia="宋体" w:cs="宋体"/>
                <w:b/>
                <w:bCs/>
                <w:color w:val="auto"/>
                <w:kern w:val="0"/>
                <w:sz w:val="21"/>
                <w:szCs w:val="21"/>
                <w:highlight w:val="none"/>
                <w:u w:val="single"/>
                <w:lang w:eastAsia="zh-CN" w:bidi="ar"/>
              </w:rPr>
              <w:t>。</w:t>
            </w:r>
          </w:p>
        </w:tc>
      </w:tr>
      <w:tr w14:paraId="25A7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continue"/>
            <w:shd w:val="clear" w:color="auto" w:fill="FFFFFF"/>
            <w:vAlign w:val="center"/>
          </w:tcPr>
          <w:p w14:paraId="0B22B1EF">
            <w:pPr>
              <w:spacing w:line="360" w:lineRule="auto"/>
              <w:rPr>
                <w:rFonts w:hint="eastAsia" w:ascii="宋体" w:hAnsi="宋体" w:eastAsia="宋体" w:cs="宋体"/>
                <w:color w:val="auto"/>
                <w:sz w:val="21"/>
                <w:szCs w:val="21"/>
                <w:highlight w:val="none"/>
              </w:rPr>
            </w:pPr>
          </w:p>
        </w:tc>
        <w:tc>
          <w:tcPr>
            <w:tcW w:w="7523" w:type="dxa"/>
            <w:shd w:val="clear" w:color="auto" w:fill="FFFFFF"/>
            <w:vAlign w:val="center"/>
          </w:tcPr>
          <w:p w14:paraId="26B569C3">
            <w:pPr>
              <w:spacing w:line="360" w:lineRule="auto"/>
              <w:jc w:val="left"/>
              <w:rPr>
                <w:rFonts w:hint="eastAsia" w:ascii="宋体" w:hAnsi="宋体" w:eastAsia="宋体" w:cs="宋体"/>
                <w:b/>
                <w:bCs/>
                <w:color w:val="auto"/>
                <w:kern w:val="0"/>
                <w:sz w:val="21"/>
                <w:szCs w:val="21"/>
                <w:highlight w:val="none"/>
                <w:u w:val="single"/>
                <w:lang w:eastAsia="zh-CN" w:bidi="ar"/>
              </w:rPr>
            </w:pPr>
            <w:r>
              <w:rPr>
                <w:rFonts w:hint="eastAsia" w:ascii="宋体" w:hAnsi="宋体" w:eastAsia="宋体" w:cs="宋体"/>
                <w:b/>
                <w:bCs/>
                <w:color w:val="auto"/>
                <w:kern w:val="0"/>
                <w:sz w:val="21"/>
                <w:szCs w:val="21"/>
                <w:highlight w:val="none"/>
                <w:u w:val="single"/>
                <w:lang w:bidi="ar"/>
              </w:rPr>
              <w:t>★支持超大规模的MapReduce计算，可支持最大Mapper个数不少于10万，最大Reduce个数不少于1000，最大Join个数不少于1万，需</w:t>
            </w:r>
            <w:r>
              <w:rPr>
                <w:rFonts w:hint="eastAsia" w:ascii="宋体" w:hAnsi="宋体" w:eastAsia="宋体" w:cs="宋体"/>
                <w:b/>
                <w:bCs/>
                <w:color w:val="auto"/>
                <w:kern w:val="0"/>
                <w:sz w:val="21"/>
                <w:szCs w:val="21"/>
                <w:highlight w:val="none"/>
                <w:u w:val="single"/>
                <w:lang w:eastAsia="zh-CN" w:bidi="ar"/>
              </w:rPr>
              <w:t>提供</w:t>
            </w:r>
            <w:r>
              <w:rPr>
                <w:rFonts w:hint="eastAsia" w:ascii="宋体" w:hAnsi="宋体" w:eastAsia="宋体" w:cs="宋体"/>
                <w:b/>
                <w:bCs/>
                <w:color w:val="auto"/>
                <w:kern w:val="0"/>
                <w:sz w:val="21"/>
                <w:szCs w:val="21"/>
                <w:highlight w:val="none"/>
                <w:u w:val="single"/>
                <w:lang w:bidi="ar"/>
              </w:rPr>
              <w:t>第三方机构测评报告</w:t>
            </w:r>
            <w:r>
              <w:rPr>
                <w:rFonts w:hint="eastAsia" w:ascii="宋体" w:hAnsi="宋体" w:eastAsia="宋体" w:cs="宋体"/>
                <w:b/>
                <w:bCs/>
                <w:color w:val="auto"/>
                <w:kern w:val="0"/>
                <w:sz w:val="21"/>
                <w:szCs w:val="21"/>
                <w:highlight w:val="none"/>
                <w:u w:val="single"/>
                <w:lang w:eastAsia="zh-CN" w:bidi="ar"/>
              </w:rPr>
              <w:t>。</w:t>
            </w:r>
          </w:p>
        </w:tc>
      </w:tr>
      <w:tr w14:paraId="4A15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6" w:type="dxa"/>
            <w:vMerge w:val="continue"/>
            <w:shd w:val="clear" w:color="auto" w:fill="FFFFFF"/>
            <w:vAlign w:val="center"/>
          </w:tcPr>
          <w:p w14:paraId="191C12D1">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6DEB45E6">
            <w:pPr>
              <w:spacing w:line="360" w:lineRule="auto"/>
              <w:jc w:val="left"/>
              <w:rPr>
                <w:rFonts w:hint="eastAsia" w:ascii="宋体" w:hAnsi="宋体" w:eastAsia="宋体" w:cs="宋体"/>
                <w:b/>
                <w:bCs/>
                <w:color w:val="auto"/>
                <w:kern w:val="0"/>
                <w:sz w:val="21"/>
                <w:szCs w:val="21"/>
                <w:highlight w:val="none"/>
                <w:u w:val="single"/>
                <w:lang w:eastAsia="zh-CN" w:bidi="ar"/>
              </w:rPr>
            </w:pPr>
            <w:r>
              <w:rPr>
                <w:rFonts w:hint="eastAsia" w:ascii="宋体" w:hAnsi="宋体" w:eastAsia="宋体" w:cs="宋体"/>
                <w:b/>
                <w:bCs/>
                <w:color w:val="auto"/>
                <w:kern w:val="0"/>
                <w:sz w:val="21"/>
                <w:szCs w:val="21"/>
                <w:highlight w:val="none"/>
                <w:u w:val="single"/>
                <w:lang w:bidi="ar"/>
              </w:rPr>
              <w:t>★最高可支持单表万亿条记录的多表关联分析；单个项目空间可支持不少于40000张表，需</w:t>
            </w:r>
            <w:r>
              <w:rPr>
                <w:rFonts w:hint="eastAsia" w:ascii="宋体" w:hAnsi="宋体" w:eastAsia="宋体" w:cs="宋体"/>
                <w:b/>
                <w:bCs/>
                <w:color w:val="auto"/>
                <w:kern w:val="0"/>
                <w:sz w:val="21"/>
                <w:szCs w:val="21"/>
                <w:highlight w:val="none"/>
                <w:u w:val="single"/>
                <w:lang w:eastAsia="zh-CN" w:bidi="ar"/>
              </w:rPr>
              <w:t>提供</w:t>
            </w:r>
            <w:r>
              <w:rPr>
                <w:rFonts w:hint="eastAsia" w:ascii="宋体" w:hAnsi="宋体" w:eastAsia="宋体" w:cs="宋体"/>
                <w:b/>
                <w:bCs/>
                <w:color w:val="auto"/>
                <w:kern w:val="0"/>
                <w:sz w:val="21"/>
                <w:szCs w:val="21"/>
                <w:highlight w:val="none"/>
                <w:u w:val="single"/>
                <w:lang w:bidi="ar"/>
              </w:rPr>
              <w:t>第三方机构测评报告</w:t>
            </w:r>
            <w:r>
              <w:rPr>
                <w:rFonts w:hint="eastAsia" w:ascii="宋体" w:hAnsi="宋体" w:eastAsia="宋体" w:cs="宋体"/>
                <w:b/>
                <w:bCs/>
                <w:color w:val="auto"/>
                <w:kern w:val="0"/>
                <w:sz w:val="21"/>
                <w:szCs w:val="21"/>
                <w:highlight w:val="none"/>
                <w:u w:val="single"/>
                <w:lang w:eastAsia="zh-CN" w:bidi="ar"/>
              </w:rPr>
              <w:t>。</w:t>
            </w:r>
          </w:p>
        </w:tc>
      </w:tr>
      <w:tr w14:paraId="70A1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restart"/>
            <w:shd w:val="clear" w:color="auto" w:fill="FFFFFF"/>
            <w:vAlign w:val="center"/>
          </w:tcPr>
          <w:p w14:paraId="0D43AFB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安全性</w:t>
            </w:r>
          </w:p>
        </w:tc>
        <w:tc>
          <w:tcPr>
            <w:tcW w:w="7523" w:type="dxa"/>
            <w:shd w:val="clear" w:color="auto" w:fill="FFFFFF"/>
            <w:vAlign w:val="center"/>
          </w:tcPr>
          <w:p w14:paraId="2F4784E9">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完善的沙箱机制可以限制MapReduce和UDF程序中对系统资源的访问，提高系统安全度</w:t>
            </w:r>
            <w:r>
              <w:rPr>
                <w:rFonts w:hint="eastAsia" w:ascii="宋体" w:hAnsi="宋体" w:eastAsia="宋体" w:cs="宋体"/>
                <w:color w:val="auto"/>
                <w:kern w:val="0"/>
                <w:sz w:val="21"/>
                <w:szCs w:val="21"/>
                <w:highlight w:val="none"/>
                <w:lang w:eastAsia="zh-CN" w:bidi="ar"/>
              </w:rPr>
              <w:t>。</w:t>
            </w:r>
          </w:p>
        </w:tc>
      </w:tr>
      <w:tr w14:paraId="1F18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continue"/>
            <w:shd w:val="clear" w:color="auto" w:fill="FFFFFF"/>
            <w:vAlign w:val="center"/>
          </w:tcPr>
          <w:p w14:paraId="7DC93E42">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0E0E2655">
            <w:pPr>
              <w:widowControl/>
              <w:spacing w:line="36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支持多粒度的数据授权访问，可针对单表（Table）或某一字段（Column）指定授权</w:t>
            </w:r>
            <w:r>
              <w:rPr>
                <w:rFonts w:hint="eastAsia" w:ascii="宋体" w:hAnsi="宋体" w:eastAsia="宋体" w:cs="宋体"/>
                <w:color w:val="auto"/>
                <w:kern w:val="0"/>
                <w:sz w:val="21"/>
                <w:szCs w:val="21"/>
                <w:highlight w:val="none"/>
                <w:lang w:eastAsia="zh-CN" w:bidi="ar"/>
              </w:rPr>
              <w:t>。</w:t>
            </w:r>
          </w:p>
        </w:tc>
      </w:tr>
      <w:tr w14:paraId="7420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continue"/>
            <w:shd w:val="clear" w:color="auto" w:fill="FFFFFF"/>
            <w:vAlign w:val="center"/>
          </w:tcPr>
          <w:p w14:paraId="614B0DE1">
            <w:pPr>
              <w:spacing w:line="360" w:lineRule="auto"/>
              <w:jc w:val="center"/>
              <w:rPr>
                <w:rFonts w:hint="eastAsia" w:ascii="宋体" w:hAnsi="宋体" w:eastAsia="宋体" w:cs="宋体"/>
                <w:color w:val="auto"/>
                <w:sz w:val="21"/>
                <w:szCs w:val="21"/>
                <w:highlight w:val="none"/>
              </w:rPr>
            </w:pPr>
          </w:p>
        </w:tc>
        <w:tc>
          <w:tcPr>
            <w:tcW w:w="7523" w:type="dxa"/>
            <w:shd w:val="clear" w:color="auto" w:fill="FFFFFF"/>
            <w:vAlign w:val="center"/>
          </w:tcPr>
          <w:p w14:paraId="3298F92F">
            <w:pPr>
              <w:widowControl/>
              <w:spacing w:line="36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具备完善的权限认证与隔离机制，保障用户数据的私密性</w:t>
            </w:r>
            <w:r>
              <w:rPr>
                <w:rFonts w:hint="eastAsia" w:ascii="宋体" w:hAnsi="宋体" w:eastAsia="宋体" w:cs="宋体"/>
                <w:color w:val="auto"/>
                <w:kern w:val="0"/>
                <w:sz w:val="21"/>
                <w:szCs w:val="21"/>
                <w:highlight w:val="none"/>
                <w:lang w:eastAsia="zh-CN" w:bidi="ar"/>
              </w:rPr>
              <w:t>。</w:t>
            </w:r>
          </w:p>
        </w:tc>
      </w:tr>
    </w:tbl>
    <w:p w14:paraId="03695C3F">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 实时计算</w:t>
      </w:r>
    </w:p>
    <w:tbl>
      <w:tblPr>
        <w:tblStyle w:val="62"/>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7458"/>
      </w:tblGrid>
      <w:tr w14:paraId="5BDD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54353F1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w:t>
            </w:r>
          </w:p>
        </w:tc>
        <w:tc>
          <w:tcPr>
            <w:tcW w:w="7458" w:type="dxa"/>
            <w:tcBorders>
              <w:top w:val="single" w:color="auto" w:sz="4" w:space="0"/>
              <w:left w:val="single" w:color="auto" w:sz="4" w:space="0"/>
              <w:bottom w:val="single" w:color="auto" w:sz="4" w:space="0"/>
              <w:right w:val="single" w:color="auto" w:sz="4" w:space="0"/>
            </w:tcBorders>
            <w:vAlign w:val="center"/>
          </w:tcPr>
          <w:p w14:paraId="1D48507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规格要求</w:t>
            </w:r>
          </w:p>
        </w:tc>
      </w:tr>
      <w:tr w14:paraId="1F71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14:paraId="20D3F48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458" w:type="dxa"/>
            <w:tcBorders>
              <w:top w:val="single" w:color="auto" w:sz="4" w:space="0"/>
              <w:left w:val="single" w:color="auto" w:sz="4" w:space="0"/>
              <w:bottom w:val="single" w:color="auto" w:sz="4" w:space="0"/>
              <w:right w:val="single" w:color="auto" w:sz="4" w:space="0"/>
            </w:tcBorders>
            <w:vAlign w:val="center"/>
          </w:tcPr>
          <w:p w14:paraId="3E5CB96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提供实时流数据计算服务的通用计算平台</w:t>
            </w:r>
            <w:r>
              <w:rPr>
                <w:rFonts w:hint="eastAsia" w:ascii="宋体" w:hAnsi="宋体" w:eastAsia="宋体" w:cs="宋体"/>
                <w:color w:val="auto"/>
                <w:sz w:val="21"/>
                <w:szCs w:val="21"/>
                <w:highlight w:val="none"/>
                <w:lang w:eastAsia="zh-CN"/>
              </w:rPr>
              <w:t>。</w:t>
            </w:r>
          </w:p>
        </w:tc>
      </w:tr>
      <w:tr w14:paraId="27F6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7" w:type="dxa"/>
            <w:vMerge w:val="restart"/>
            <w:tcBorders>
              <w:top w:val="single" w:color="auto" w:sz="4" w:space="0"/>
              <w:left w:val="single" w:color="auto" w:sz="4" w:space="0"/>
              <w:right w:val="single" w:color="auto" w:sz="4" w:space="0"/>
            </w:tcBorders>
            <w:vAlign w:val="center"/>
          </w:tcPr>
          <w:p w14:paraId="6EC9D59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458" w:type="dxa"/>
            <w:tcBorders>
              <w:top w:val="single" w:color="auto" w:sz="4" w:space="0"/>
              <w:left w:val="single" w:color="auto" w:sz="4" w:space="0"/>
              <w:bottom w:val="single" w:color="auto" w:sz="4" w:space="0"/>
              <w:right w:val="single" w:color="auto" w:sz="4" w:space="0"/>
            </w:tcBorders>
            <w:vAlign w:val="center"/>
          </w:tcPr>
          <w:p w14:paraId="22000AF6">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数据采集和存储：对接多种上游的流式存储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例如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Hans"/>
              </w:rPr>
              <w:t>实时数据分发服务</w:t>
            </w:r>
            <w:r>
              <w:rPr>
                <w:rFonts w:hint="eastAsia" w:ascii="宋体" w:hAnsi="宋体" w:eastAsia="宋体" w:cs="宋体"/>
                <w:color w:val="auto"/>
                <w:sz w:val="21"/>
                <w:szCs w:val="21"/>
                <w:highlight w:val="none"/>
              </w:rPr>
              <w:t>、LogService、IoTHub、</w:t>
            </w:r>
            <w:r>
              <w:rPr>
                <w:rFonts w:hint="eastAsia" w:ascii="宋体" w:hAnsi="宋体" w:eastAsia="宋体" w:cs="宋体"/>
                <w:color w:val="auto"/>
                <w:sz w:val="21"/>
                <w:szCs w:val="21"/>
                <w:highlight w:val="none"/>
                <w:lang w:eastAsia="zh-Hans"/>
              </w:rPr>
              <w:t>数据传输服务</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Hans"/>
              </w:rPr>
              <w:t>消息队列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可以不用进行数据采集、数据集成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即可享受现有的数据流式存储</w:t>
            </w:r>
            <w:r>
              <w:rPr>
                <w:rFonts w:hint="eastAsia" w:ascii="宋体" w:hAnsi="宋体" w:eastAsia="宋体" w:cs="宋体"/>
                <w:color w:val="auto"/>
                <w:sz w:val="21"/>
                <w:szCs w:val="21"/>
                <w:highlight w:val="none"/>
                <w:lang w:eastAsia="zh-CN"/>
              </w:rPr>
              <w:t>。</w:t>
            </w:r>
          </w:p>
          <w:p w14:paraId="2D9FC25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提供包括</w:t>
            </w:r>
            <w:r>
              <w:rPr>
                <w:rFonts w:hint="eastAsia" w:ascii="宋体" w:hAnsi="宋体" w:eastAsia="宋体" w:cs="宋体"/>
                <w:color w:val="auto"/>
                <w:sz w:val="21"/>
                <w:szCs w:val="21"/>
                <w:highlight w:val="none"/>
                <w:lang w:eastAsia="zh-Hans"/>
              </w:rPr>
              <w:t>关系型数据库</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数据仓库</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表存储</w:t>
            </w:r>
            <w:r>
              <w:rPr>
                <w:rFonts w:hint="eastAsia" w:ascii="宋体" w:hAnsi="宋体" w:eastAsia="宋体" w:cs="宋体"/>
                <w:color w:val="auto"/>
                <w:sz w:val="21"/>
                <w:szCs w:val="21"/>
                <w:highlight w:val="none"/>
                <w:u w:val="single"/>
                <w:lang w:eastAsia="zh-Hans"/>
              </w:rPr>
              <w:t>格</w:t>
            </w:r>
            <w:r>
              <w:rPr>
                <w:rFonts w:hint="eastAsia" w:ascii="宋体" w:hAnsi="宋体" w:eastAsia="宋体" w:cs="宋体"/>
                <w:color w:val="auto"/>
                <w:sz w:val="21"/>
                <w:szCs w:val="21"/>
                <w:highlight w:val="none"/>
              </w:rPr>
              <w:t>等数据存储系统的管理界面</w:t>
            </w:r>
            <w:r>
              <w:rPr>
                <w:rFonts w:hint="eastAsia" w:ascii="宋体" w:hAnsi="宋体" w:eastAsia="宋体" w:cs="宋体"/>
                <w:color w:val="auto"/>
                <w:sz w:val="21"/>
                <w:szCs w:val="21"/>
                <w:highlight w:val="none"/>
                <w:lang w:eastAsia="zh-CN"/>
              </w:rPr>
              <w:t>。</w:t>
            </w:r>
          </w:p>
        </w:tc>
      </w:tr>
      <w:tr w14:paraId="009B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87" w:type="dxa"/>
            <w:vMerge w:val="continue"/>
            <w:tcBorders>
              <w:left w:val="single" w:color="auto" w:sz="4" w:space="0"/>
              <w:right w:val="single" w:color="auto" w:sz="4" w:space="0"/>
            </w:tcBorders>
            <w:vAlign w:val="center"/>
          </w:tcPr>
          <w:p w14:paraId="0AEB2FFE">
            <w:pPr>
              <w:widowControl/>
              <w:spacing w:line="360" w:lineRule="auto"/>
              <w:jc w:val="left"/>
              <w:rPr>
                <w:rFonts w:hint="eastAsia" w:ascii="宋体" w:hAnsi="宋体" w:eastAsia="宋体" w:cs="宋体"/>
                <w:color w:val="auto"/>
                <w:sz w:val="21"/>
                <w:szCs w:val="21"/>
                <w:highlight w:val="none"/>
              </w:rPr>
            </w:pPr>
          </w:p>
        </w:tc>
        <w:tc>
          <w:tcPr>
            <w:tcW w:w="7458" w:type="dxa"/>
            <w:tcBorders>
              <w:top w:val="single" w:color="auto" w:sz="4" w:space="0"/>
              <w:left w:val="single" w:color="auto" w:sz="4" w:space="0"/>
              <w:bottom w:val="single" w:color="auto" w:sz="4" w:space="0"/>
              <w:right w:val="single" w:color="auto" w:sz="4" w:space="0"/>
            </w:tcBorders>
            <w:vAlign w:val="center"/>
          </w:tcPr>
          <w:p w14:paraId="29E0FEE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数据开发：提供全托管的在线开发平台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集成多种SQL辅助功能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eastAsia="zh-Hans"/>
              </w:rPr>
              <w:t>实时计算</w:t>
            </w:r>
            <w:r>
              <w:rPr>
                <w:rFonts w:hint="eastAsia" w:ascii="宋体" w:hAnsi="宋体" w:eastAsia="宋体" w:cs="宋体"/>
                <w:color w:val="auto"/>
                <w:sz w:val="21"/>
                <w:szCs w:val="21"/>
                <w:highlight w:val="none"/>
              </w:rPr>
              <w:t>语法检查、智能提示和语法高亮</w:t>
            </w:r>
            <w:r>
              <w:rPr>
                <w:rFonts w:hint="eastAsia" w:ascii="宋体" w:hAnsi="宋体" w:eastAsia="宋体" w:cs="宋体"/>
                <w:color w:val="auto"/>
                <w:sz w:val="21"/>
                <w:szCs w:val="21"/>
                <w:highlight w:val="none"/>
                <w:lang w:eastAsia="zh-CN"/>
              </w:rPr>
              <w:t>。</w:t>
            </w:r>
          </w:p>
        </w:tc>
      </w:tr>
      <w:tr w14:paraId="70D4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87" w:type="dxa"/>
            <w:vMerge w:val="continue"/>
            <w:tcBorders>
              <w:left w:val="single" w:color="auto" w:sz="4" w:space="0"/>
              <w:right w:val="single" w:color="auto" w:sz="4" w:space="0"/>
            </w:tcBorders>
            <w:vAlign w:val="center"/>
          </w:tcPr>
          <w:p w14:paraId="4330DD55">
            <w:pPr>
              <w:widowControl/>
              <w:spacing w:line="360" w:lineRule="auto"/>
              <w:jc w:val="left"/>
              <w:rPr>
                <w:rFonts w:hint="eastAsia" w:ascii="宋体" w:hAnsi="宋体" w:eastAsia="宋体" w:cs="宋体"/>
                <w:color w:val="auto"/>
                <w:sz w:val="21"/>
                <w:szCs w:val="21"/>
                <w:highlight w:val="none"/>
              </w:rPr>
            </w:pPr>
          </w:p>
        </w:tc>
        <w:tc>
          <w:tcPr>
            <w:tcW w:w="7458" w:type="dxa"/>
            <w:tcBorders>
              <w:top w:val="single" w:color="auto" w:sz="4" w:space="0"/>
              <w:left w:val="single" w:color="auto" w:sz="4" w:space="0"/>
              <w:bottom w:val="single" w:color="auto" w:sz="4" w:space="0"/>
              <w:right w:val="single" w:color="auto" w:sz="4" w:space="0"/>
            </w:tcBorders>
            <w:vAlign w:val="center"/>
          </w:tcPr>
          <w:p w14:paraId="5A3BF963">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数据运维：提供以下运维监控功能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作业状态、数据曲线、FailOver、CheckPoints、JobManager、TaskExecutor、血缘关系和属性参数</w:t>
            </w:r>
            <w:r>
              <w:rPr>
                <w:rFonts w:hint="eastAsia" w:ascii="宋体" w:hAnsi="宋体" w:eastAsia="宋体" w:cs="宋体"/>
                <w:color w:val="auto"/>
                <w:sz w:val="21"/>
                <w:szCs w:val="21"/>
                <w:highlight w:val="none"/>
                <w:lang w:eastAsia="zh-CN"/>
              </w:rPr>
              <w:t>。</w:t>
            </w:r>
          </w:p>
        </w:tc>
      </w:tr>
      <w:tr w14:paraId="4AA6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87" w:type="dxa"/>
            <w:vMerge w:val="continue"/>
            <w:tcBorders>
              <w:left w:val="single" w:color="auto" w:sz="4" w:space="0"/>
              <w:right w:val="single" w:color="auto" w:sz="4" w:space="0"/>
            </w:tcBorders>
            <w:vAlign w:val="center"/>
          </w:tcPr>
          <w:p w14:paraId="2DFAB4AE">
            <w:pPr>
              <w:widowControl/>
              <w:spacing w:line="360" w:lineRule="auto"/>
              <w:jc w:val="left"/>
              <w:rPr>
                <w:rFonts w:hint="eastAsia" w:ascii="宋体" w:hAnsi="宋体" w:eastAsia="宋体" w:cs="宋体"/>
                <w:color w:val="auto"/>
                <w:sz w:val="21"/>
                <w:szCs w:val="21"/>
                <w:highlight w:val="none"/>
              </w:rPr>
            </w:pPr>
          </w:p>
        </w:tc>
        <w:tc>
          <w:tcPr>
            <w:tcW w:w="7458" w:type="dxa"/>
            <w:tcBorders>
              <w:top w:val="single" w:color="auto" w:sz="4" w:space="0"/>
              <w:left w:val="single" w:color="auto" w:sz="4" w:space="0"/>
              <w:bottom w:val="single" w:color="auto" w:sz="4" w:space="0"/>
              <w:right w:val="single" w:color="auto" w:sz="4" w:space="0"/>
            </w:tcBorders>
            <w:vAlign w:val="center"/>
          </w:tcPr>
          <w:p w14:paraId="2053380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性能调优：支持手动和自动调优方式</w:t>
            </w:r>
            <w:r>
              <w:rPr>
                <w:rFonts w:hint="eastAsia" w:ascii="宋体" w:hAnsi="宋体" w:eastAsia="宋体" w:cs="宋体"/>
                <w:color w:val="auto"/>
                <w:sz w:val="21"/>
                <w:szCs w:val="21"/>
                <w:highlight w:val="none"/>
                <w:lang w:eastAsia="zh-CN"/>
              </w:rPr>
              <w:t>。</w:t>
            </w:r>
          </w:p>
        </w:tc>
      </w:tr>
      <w:tr w14:paraId="2A12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87" w:type="dxa"/>
            <w:vMerge w:val="continue"/>
            <w:tcBorders>
              <w:left w:val="single" w:color="auto" w:sz="4" w:space="0"/>
              <w:right w:val="single" w:color="auto" w:sz="4" w:space="0"/>
            </w:tcBorders>
            <w:vAlign w:val="center"/>
          </w:tcPr>
          <w:p w14:paraId="69C3855F">
            <w:pPr>
              <w:widowControl/>
              <w:spacing w:line="360" w:lineRule="auto"/>
              <w:jc w:val="left"/>
              <w:rPr>
                <w:rFonts w:hint="eastAsia" w:ascii="宋体" w:hAnsi="宋体" w:eastAsia="宋体" w:cs="宋体"/>
                <w:color w:val="auto"/>
                <w:sz w:val="21"/>
                <w:szCs w:val="21"/>
                <w:highlight w:val="none"/>
              </w:rPr>
            </w:pPr>
          </w:p>
        </w:tc>
        <w:tc>
          <w:tcPr>
            <w:tcW w:w="7458" w:type="dxa"/>
            <w:tcBorders>
              <w:top w:val="single" w:color="auto" w:sz="4" w:space="0"/>
              <w:left w:val="single" w:color="auto" w:sz="4" w:space="0"/>
              <w:bottom w:val="single" w:color="auto" w:sz="4" w:space="0"/>
              <w:right w:val="single" w:color="auto" w:sz="4" w:space="0"/>
            </w:tcBorders>
            <w:vAlign w:val="center"/>
          </w:tcPr>
          <w:p w14:paraId="364C84E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数据监控：对接云监控平台，提供实时监控服务</w:t>
            </w:r>
            <w:r>
              <w:rPr>
                <w:rFonts w:hint="eastAsia" w:ascii="宋体" w:hAnsi="宋体" w:eastAsia="宋体" w:cs="宋体"/>
                <w:color w:val="auto"/>
                <w:sz w:val="21"/>
                <w:szCs w:val="21"/>
                <w:highlight w:val="none"/>
                <w:lang w:eastAsia="zh-CN"/>
              </w:rPr>
              <w:t>。</w:t>
            </w:r>
          </w:p>
        </w:tc>
      </w:tr>
      <w:tr w14:paraId="2937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87" w:type="dxa"/>
            <w:vMerge w:val="restart"/>
            <w:tcBorders>
              <w:left w:val="single" w:color="auto" w:sz="4" w:space="0"/>
              <w:right w:val="single" w:color="auto" w:sz="4" w:space="0"/>
            </w:tcBorders>
            <w:vAlign w:val="center"/>
          </w:tcPr>
          <w:p w14:paraId="49770E79">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458" w:type="dxa"/>
            <w:tcBorders>
              <w:top w:val="single" w:color="auto" w:sz="4" w:space="0"/>
              <w:left w:val="single" w:color="auto" w:sz="4" w:space="0"/>
              <w:bottom w:val="single" w:color="auto" w:sz="4" w:space="0"/>
              <w:right w:val="single" w:color="auto" w:sz="4" w:space="0"/>
            </w:tcBorders>
            <w:vAlign w:val="center"/>
          </w:tcPr>
          <w:p w14:paraId="2DA2DDA8">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强大的实时处理能力：提供标准的StreamSQL，支持各类失败场景的自动恢复，支持多种内建的字符串、时间、统计等类型函数，精确的计算资源控制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彻底保证您的作业的隔离性</w:t>
            </w:r>
            <w:r>
              <w:rPr>
                <w:rFonts w:hint="eastAsia" w:ascii="宋体" w:hAnsi="宋体" w:eastAsia="宋体" w:cs="宋体"/>
                <w:color w:val="auto"/>
                <w:sz w:val="21"/>
                <w:szCs w:val="21"/>
                <w:highlight w:val="none"/>
                <w:lang w:eastAsia="zh-CN"/>
              </w:rPr>
              <w:t>。</w:t>
            </w:r>
          </w:p>
        </w:tc>
      </w:tr>
      <w:tr w14:paraId="4273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87" w:type="dxa"/>
            <w:vMerge w:val="continue"/>
            <w:tcBorders>
              <w:left w:val="single" w:color="auto" w:sz="4" w:space="0"/>
              <w:right w:val="single" w:color="auto" w:sz="4" w:space="0"/>
            </w:tcBorders>
            <w:vAlign w:val="center"/>
          </w:tcPr>
          <w:p w14:paraId="76261E64">
            <w:pPr>
              <w:widowControl/>
              <w:spacing w:line="360" w:lineRule="auto"/>
              <w:jc w:val="left"/>
              <w:rPr>
                <w:rFonts w:hint="eastAsia" w:ascii="宋体" w:hAnsi="宋体" w:eastAsia="宋体" w:cs="宋体"/>
                <w:color w:val="auto"/>
                <w:sz w:val="21"/>
                <w:szCs w:val="21"/>
                <w:highlight w:val="none"/>
              </w:rPr>
            </w:pPr>
          </w:p>
        </w:tc>
        <w:tc>
          <w:tcPr>
            <w:tcW w:w="7458" w:type="dxa"/>
            <w:tcBorders>
              <w:top w:val="single" w:color="auto" w:sz="4" w:space="0"/>
              <w:left w:val="single" w:color="auto" w:sz="4" w:space="0"/>
              <w:bottom w:val="single" w:color="auto" w:sz="4" w:space="0"/>
              <w:right w:val="single" w:color="auto" w:sz="4" w:space="0"/>
            </w:tcBorders>
            <w:vAlign w:val="center"/>
          </w:tcPr>
          <w:p w14:paraId="6561B987">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良好的流式开发体验：支持标准SQL，提供内建的字符串、时间、统计等各类计算函</w:t>
            </w:r>
            <w:r>
              <w:rPr>
                <w:rFonts w:hint="eastAsia" w:ascii="宋体" w:hAnsi="宋体" w:eastAsia="宋体" w:cs="宋体"/>
                <w:color w:val="auto"/>
                <w:sz w:val="21"/>
                <w:szCs w:val="21"/>
                <w:highlight w:val="none"/>
                <w:lang w:eastAsia="zh-CN"/>
              </w:rPr>
              <w:t>。</w:t>
            </w:r>
          </w:p>
        </w:tc>
      </w:tr>
      <w:tr w14:paraId="630B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87" w:type="dxa"/>
            <w:vMerge w:val="continue"/>
            <w:tcBorders>
              <w:left w:val="single" w:color="auto" w:sz="4" w:space="0"/>
              <w:right w:val="single" w:color="auto" w:sz="4" w:space="0"/>
            </w:tcBorders>
            <w:vAlign w:val="center"/>
          </w:tcPr>
          <w:p w14:paraId="474B39BD">
            <w:pPr>
              <w:widowControl/>
              <w:spacing w:line="360" w:lineRule="auto"/>
              <w:jc w:val="left"/>
              <w:rPr>
                <w:rFonts w:hint="eastAsia" w:ascii="宋体" w:hAnsi="宋体" w:eastAsia="宋体" w:cs="宋体"/>
                <w:color w:val="auto"/>
                <w:sz w:val="21"/>
                <w:szCs w:val="21"/>
                <w:highlight w:val="none"/>
              </w:rPr>
            </w:pPr>
          </w:p>
        </w:tc>
        <w:tc>
          <w:tcPr>
            <w:tcW w:w="7458" w:type="dxa"/>
            <w:tcBorders>
              <w:top w:val="single" w:color="auto" w:sz="4" w:space="0"/>
              <w:left w:val="single" w:color="auto" w:sz="4" w:space="0"/>
              <w:bottom w:val="single" w:color="auto" w:sz="4" w:space="0"/>
              <w:right w:val="single" w:color="auto" w:sz="4" w:space="0"/>
            </w:tcBorders>
            <w:vAlign w:val="center"/>
          </w:tcPr>
          <w:p w14:paraId="5F6534F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低廉的人力和集群成本：大量优化的SQL执行引擎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会产生比手写原生Storm任务更高效且更廉价的计算任务</w:t>
            </w:r>
            <w:r>
              <w:rPr>
                <w:rFonts w:hint="eastAsia" w:ascii="宋体" w:hAnsi="宋体" w:eastAsia="宋体" w:cs="宋体"/>
                <w:color w:val="auto"/>
                <w:sz w:val="21"/>
                <w:szCs w:val="21"/>
                <w:highlight w:val="none"/>
                <w:lang w:eastAsia="zh-CN"/>
              </w:rPr>
              <w:t>。</w:t>
            </w:r>
          </w:p>
        </w:tc>
      </w:tr>
    </w:tbl>
    <w:p w14:paraId="28ECE4C2">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 实时数据分发平台</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7454"/>
      </w:tblGrid>
      <w:tr w14:paraId="7F92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14:paraId="7FA5F3E0">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454" w:type="dxa"/>
            <w:tcBorders>
              <w:top w:val="single" w:color="auto" w:sz="4" w:space="0"/>
              <w:left w:val="single" w:color="auto" w:sz="4" w:space="0"/>
              <w:bottom w:val="single" w:color="auto" w:sz="4" w:space="0"/>
              <w:right w:val="single" w:color="auto" w:sz="4" w:space="0"/>
            </w:tcBorders>
            <w:vAlign w:val="center"/>
          </w:tcPr>
          <w:p w14:paraId="78916FF8">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190A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82" w:type="dxa"/>
            <w:vMerge w:val="restart"/>
            <w:tcBorders>
              <w:top w:val="single" w:color="auto" w:sz="4" w:space="0"/>
              <w:left w:val="single" w:color="auto" w:sz="4" w:space="0"/>
              <w:right w:val="single" w:color="auto" w:sz="4" w:space="0"/>
            </w:tcBorders>
            <w:vAlign w:val="center"/>
          </w:tcPr>
          <w:p w14:paraId="472998F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454" w:type="dxa"/>
            <w:tcBorders>
              <w:top w:val="single" w:color="auto" w:sz="4" w:space="0"/>
              <w:left w:val="single" w:color="auto" w:sz="4" w:space="0"/>
              <w:bottom w:val="single" w:color="auto" w:sz="4" w:space="0"/>
              <w:right w:val="single" w:color="auto" w:sz="4" w:space="0"/>
            </w:tcBorders>
            <w:vAlign w:val="center"/>
          </w:tcPr>
          <w:p w14:paraId="27BC432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提供对流式数据的发布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Publish</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、订阅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Subscribe</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及分发功能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让用户可以轻松构建基于流式数据的分析和应用</w:t>
            </w:r>
            <w:r>
              <w:rPr>
                <w:rFonts w:hint="eastAsia" w:ascii="宋体" w:hAnsi="宋体" w:eastAsia="宋体" w:cs="宋体"/>
                <w:color w:val="auto"/>
                <w:sz w:val="21"/>
                <w:szCs w:val="21"/>
                <w:highlight w:val="none"/>
                <w:lang w:eastAsia="zh-CN"/>
              </w:rPr>
              <w:t>。</w:t>
            </w:r>
          </w:p>
        </w:tc>
      </w:tr>
      <w:tr w14:paraId="00DB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82" w:type="dxa"/>
            <w:vMerge w:val="continue"/>
            <w:tcBorders>
              <w:left w:val="single" w:color="auto" w:sz="4" w:space="0"/>
              <w:right w:val="single" w:color="auto" w:sz="4" w:space="0"/>
            </w:tcBorders>
            <w:vAlign w:val="center"/>
          </w:tcPr>
          <w:p w14:paraId="03E6BFA5">
            <w:pPr>
              <w:spacing w:line="360" w:lineRule="auto"/>
              <w:jc w:val="center"/>
              <w:rPr>
                <w:rFonts w:hint="eastAsia" w:ascii="宋体" w:hAnsi="宋体" w:eastAsia="宋体" w:cs="宋体"/>
                <w:color w:val="auto"/>
                <w:sz w:val="21"/>
                <w:szCs w:val="21"/>
                <w:highlight w:val="none"/>
              </w:rPr>
            </w:pPr>
          </w:p>
        </w:tc>
        <w:tc>
          <w:tcPr>
            <w:tcW w:w="7454" w:type="dxa"/>
            <w:tcBorders>
              <w:top w:val="single" w:color="auto" w:sz="4" w:space="0"/>
              <w:left w:val="single" w:color="auto" w:sz="4" w:space="0"/>
              <w:bottom w:val="single" w:color="auto" w:sz="4" w:space="0"/>
              <w:right w:val="single" w:color="auto" w:sz="4" w:space="0"/>
            </w:tcBorders>
            <w:vAlign w:val="center"/>
          </w:tcPr>
          <w:p w14:paraId="752A1FB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支持各种流控策略。支持分布式资源调度，平台完全服务化。支持数据多副本，容忍单节点宕机。支持多集群容灾功能。支持在线热升级。支持数据生命周期设置。读写延时毫秒级别</w:t>
            </w:r>
            <w:r>
              <w:rPr>
                <w:rFonts w:hint="eastAsia" w:ascii="宋体" w:hAnsi="宋体" w:eastAsia="宋体" w:cs="宋体"/>
                <w:color w:val="auto"/>
                <w:sz w:val="21"/>
                <w:szCs w:val="21"/>
                <w:highlight w:val="none"/>
                <w:lang w:eastAsia="zh-CN"/>
              </w:rPr>
              <w:t>。</w:t>
            </w:r>
          </w:p>
        </w:tc>
      </w:tr>
      <w:tr w14:paraId="1B07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82" w:type="dxa"/>
            <w:vMerge w:val="continue"/>
            <w:tcBorders>
              <w:left w:val="single" w:color="auto" w:sz="4" w:space="0"/>
              <w:bottom w:val="single" w:color="auto" w:sz="4" w:space="0"/>
              <w:right w:val="single" w:color="auto" w:sz="4" w:space="0"/>
            </w:tcBorders>
            <w:vAlign w:val="center"/>
          </w:tcPr>
          <w:p w14:paraId="4F9BFE2B">
            <w:pPr>
              <w:spacing w:line="360" w:lineRule="auto"/>
              <w:jc w:val="center"/>
              <w:rPr>
                <w:rFonts w:hint="eastAsia" w:ascii="宋体" w:hAnsi="宋体" w:eastAsia="宋体" w:cs="宋体"/>
                <w:color w:val="auto"/>
                <w:sz w:val="21"/>
                <w:szCs w:val="21"/>
                <w:highlight w:val="none"/>
              </w:rPr>
            </w:pPr>
          </w:p>
        </w:tc>
        <w:tc>
          <w:tcPr>
            <w:tcW w:w="7454" w:type="dxa"/>
            <w:tcBorders>
              <w:top w:val="single" w:color="auto" w:sz="4" w:space="0"/>
              <w:left w:val="single" w:color="auto" w:sz="4" w:space="0"/>
              <w:bottom w:val="single" w:color="auto" w:sz="4" w:space="0"/>
              <w:right w:val="single" w:color="auto" w:sz="4" w:space="0"/>
            </w:tcBorders>
            <w:vAlign w:val="center"/>
          </w:tcPr>
          <w:p w14:paraId="68498CD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支持单机配额管理（1.可以设置每台机器允许的shard数目；2.可以设置每个shard的qps/rps/吞吐量的限制）</w:t>
            </w:r>
            <w:r>
              <w:rPr>
                <w:rFonts w:hint="eastAsia" w:ascii="宋体" w:hAnsi="宋体" w:eastAsia="宋体" w:cs="宋体"/>
                <w:color w:val="auto"/>
                <w:sz w:val="21"/>
                <w:szCs w:val="21"/>
                <w:highlight w:val="none"/>
                <w:lang w:eastAsia="zh-CN"/>
              </w:rPr>
              <w:t>。</w:t>
            </w:r>
          </w:p>
        </w:tc>
      </w:tr>
      <w:tr w14:paraId="75D9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82" w:type="dxa"/>
            <w:vMerge w:val="restart"/>
            <w:tcBorders>
              <w:top w:val="single" w:color="auto" w:sz="4" w:space="0"/>
              <w:left w:val="single" w:color="auto" w:sz="4" w:space="0"/>
              <w:right w:val="single" w:color="auto" w:sz="4" w:space="0"/>
            </w:tcBorders>
            <w:vAlign w:val="center"/>
          </w:tcPr>
          <w:p w14:paraId="3AE3A46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454" w:type="dxa"/>
            <w:tcBorders>
              <w:top w:val="single" w:color="auto" w:sz="4" w:space="0"/>
              <w:left w:val="single" w:color="auto" w:sz="4" w:space="0"/>
              <w:bottom w:val="single" w:color="auto" w:sz="4" w:space="0"/>
              <w:right w:val="single" w:color="auto" w:sz="4" w:space="0"/>
            </w:tcBorders>
            <w:vAlign w:val="center"/>
          </w:tcPr>
          <w:p w14:paraId="685D554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数据队列：单shard内数据保序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对Shard的读/写性能提供SLA的保障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单topic的性能以shard数为单位水平扩展</w:t>
            </w:r>
            <w:r>
              <w:rPr>
                <w:rFonts w:hint="eastAsia" w:ascii="宋体" w:hAnsi="宋体" w:eastAsia="宋体" w:cs="宋体"/>
                <w:color w:val="auto"/>
                <w:sz w:val="21"/>
                <w:szCs w:val="21"/>
                <w:highlight w:val="none"/>
                <w:lang w:eastAsia="zh-CN"/>
              </w:rPr>
              <w:t>。</w:t>
            </w:r>
          </w:p>
        </w:tc>
      </w:tr>
      <w:tr w14:paraId="5B58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82" w:type="dxa"/>
            <w:vMerge w:val="continue"/>
            <w:tcBorders>
              <w:left w:val="single" w:color="auto" w:sz="4" w:space="0"/>
              <w:right w:val="single" w:color="auto" w:sz="4" w:space="0"/>
            </w:tcBorders>
            <w:vAlign w:val="center"/>
          </w:tcPr>
          <w:p w14:paraId="1E443705">
            <w:pPr>
              <w:widowControl/>
              <w:spacing w:line="360" w:lineRule="auto"/>
              <w:jc w:val="center"/>
              <w:rPr>
                <w:rFonts w:hint="eastAsia" w:ascii="宋体" w:hAnsi="宋体" w:eastAsia="宋体" w:cs="宋体"/>
                <w:color w:val="auto"/>
                <w:sz w:val="21"/>
                <w:szCs w:val="21"/>
                <w:highlight w:val="none"/>
              </w:rPr>
            </w:pPr>
          </w:p>
        </w:tc>
        <w:tc>
          <w:tcPr>
            <w:tcW w:w="7454" w:type="dxa"/>
            <w:tcBorders>
              <w:top w:val="single" w:color="auto" w:sz="4" w:space="0"/>
              <w:left w:val="single" w:color="auto" w:sz="4" w:space="0"/>
              <w:bottom w:val="single" w:color="auto" w:sz="4" w:space="0"/>
              <w:right w:val="single" w:color="auto" w:sz="4" w:space="0"/>
            </w:tcBorders>
            <w:vAlign w:val="center"/>
          </w:tcPr>
          <w:p w14:paraId="1253D7C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点位存储：支持消费应用将消费点位保存到实时数据分发服务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保证消费应用在Failover后可以从保存的点位进行消费。</w:t>
            </w:r>
          </w:p>
        </w:tc>
      </w:tr>
      <w:tr w14:paraId="4747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82" w:type="dxa"/>
            <w:vMerge w:val="continue"/>
            <w:tcBorders>
              <w:left w:val="single" w:color="auto" w:sz="4" w:space="0"/>
              <w:right w:val="single" w:color="auto" w:sz="4" w:space="0"/>
            </w:tcBorders>
            <w:vAlign w:val="center"/>
          </w:tcPr>
          <w:p w14:paraId="0F2D240B">
            <w:pPr>
              <w:widowControl/>
              <w:spacing w:line="360" w:lineRule="auto"/>
              <w:jc w:val="center"/>
              <w:rPr>
                <w:rFonts w:hint="eastAsia" w:ascii="宋体" w:hAnsi="宋体" w:eastAsia="宋体" w:cs="宋体"/>
                <w:color w:val="auto"/>
                <w:sz w:val="21"/>
                <w:szCs w:val="21"/>
                <w:highlight w:val="none"/>
              </w:rPr>
            </w:pPr>
          </w:p>
        </w:tc>
        <w:tc>
          <w:tcPr>
            <w:tcW w:w="7454" w:type="dxa"/>
            <w:tcBorders>
              <w:top w:val="single" w:color="auto" w:sz="4" w:space="0"/>
              <w:left w:val="single" w:color="auto" w:sz="4" w:space="0"/>
              <w:bottom w:val="single" w:color="auto" w:sz="4" w:space="0"/>
              <w:right w:val="single" w:color="auto" w:sz="4" w:space="0"/>
            </w:tcBorders>
            <w:vAlign w:val="center"/>
          </w:tcPr>
          <w:p w14:paraId="1E0B425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数据同步：数据自动同步到政务云</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支持done功能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确认某一个时间点之前的数据已经全部同步完成</w:t>
            </w:r>
            <w:r>
              <w:rPr>
                <w:rFonts w:hint="eastAsia" w:ascii="宋体" w:hAnsi="宋体" w:eastAsia="宋体" w:cs="宋体"/>
                <w:color w:val="auto"/>
                <w:sz w:val="21"/>
                <w:szCs w:val="21"/>
                <w:highlight w:val="none"/>
                <w:lang w:eastAsia="zh-CN"/>
              </w:rPr>
              <w:t>。</w:t>
            </w:r>
          </w:p>
        </w:tc>
      </w:tr>
      <w:tr w14:paraId="38AE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582" w:type="dxa"/>
            <w:vMerge w:val="continue"/>
            <w:tcBorders>
              <w:left w:val="single" w:color="auto" w:sz="4" w:space="0"/>
              <w:right w:val="single" w:color="auto" w:sz="4" w:space="0"/>
            </w:tcBorders>
            <w:vAlign w:val="center"/>
          </w:tcPr>
          <w:p w14:paraId="392866AF">
            <w:pPr>
              <w:widowControl/>
              <w:spacing w:line="360" w:lineRule="auto"/>
              <w:jc w:val="center"/>
              <w:rPr>
                <w:rFonts w:hint="eastAsia" w:ascii="宋体" w:hAnsi="宋体" w:eastAsia="宋体" w:cs="宋体"/>
                <w:color w:val="auto"/>
                <w:sz w:val="21"/>
                <w:szCs w:val="21"/>
                <w:highlight w:val="none"/>
              </w:rPr>
            </w:pPr>
          </w:p>
        </w:tc>
        <w:tc>
          <w:tcPr>
            <w:tcW w:w="7454" w:type="dxa"/>
            <w:tcBorders>
              <w:top w:val="single" w:color="auto" w:sz="4" w:space="0"/>
              <w:left w:val="single" w:color="auto" w:sz="4" w:space="0"/>
              <w:bottom w:val="single" w:color="auto" w:sz="4" w:space="0"/>
              <w:right w:val="single" w:color="auto" w:sz="4" w:space="0"/>
            </w:tcBorders>
            <w:vAlign w:val="center"/>
          </w:tcPr>
          <w:p w14:paraId="75ED9AE6">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扩容缩容Merge/Splits：支持为Topic动态扩容/缩容，提供服务弹性伸缩功能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用户可根据实时的流量调整Shard数量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来应对突发性的流量增长或达到节约资源的目的</w:t>
            </w:r>
            <w:r>
              <w:rPr>
                <w:rFonts w:hint="eastAsia" w:ascii="宋体" w:hAnsi="宋体" w:eastAsia="宋体" w:cs="宋体"/>
                <w:color w:val="auto"/>
                <w:sz w:val="21"/>
                <w:szCs w:val="21"/>
                <w:highlight w:val="none"/>
                <w:lang w:eastAsia="zh-CN"/>
              </w:rPr>
              <w:t>。</w:t>
            </w:r>
          </w:p>
        </w:tc>
      </w:tr>
      <w:tr w14:paraId="48D5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582" w:type="dxa"/>
            <w:vMerge w:val="restart"/>
            <w:tcBorders>
              <w:left w:val="single" w:color="auto" w:sz="4" w:space="0"/>
              <w:right w:val="single" w:color="auto" w:sz="4" w:space="0"/>
            </w:tcBorders>
            <w:vAlign w:val="center"/>
          </w:tcPr>
          <w:p w14:paraId="23EB9E4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454" w:type="dxa"/>
            <w:tcBorders>
              <w:top w:val="single" w:color="auto" w:sz="4" w:space="0"/>
              <w:left w:val="single" w:color="auto" w:sz="4" w:space="0"/>
              <w:bottom w:val="single" w:color="auto" w:sz="4" w:space="0"/>
              <w:right w:val="single" w:color="auto" w:sz="4" w:space="0"/>
            </w:tcBorders>
            <w:vAlign w:val="center"/>
          </w:tcPr>
          <w:p w14:paraId="1E87D376">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高吞吐：</w:t>
            </w:r>
            <w:r>
              <w:rPr>
                <w:rFonts w:hint="eastAsia" w:ascii="宋体" w:hAnsi="宋体" w:eastAsia="宋体" w:cs="宋体"/>
                <w:color w:val="auto"/>
                <w:kern w:val="0"/>
                <w:sz w:val="21"/>
                <w:szCs w:val="21"/>
                <w:highlight w:val="none"/>
                <w:lang w:bidi="ar"/>
              </w:rPr>
              <w:t>支持每日TB级别的数据量写入；每个分片（Shard）最高支持每日8000万Record级别的数据量写入</w:t>
            </w:r>
            <w:r>
              <w:rPr>
                <w:rFonts w:hint="eastAsia" w:ascii="宋体" w:hAnsi="宋体" w:eastAsia="宋体" w:cs="宋体"/>
                <w:color w:val="auto"/>
                <w:kern w:val="0"/>
                <w:sz w:val="21"/>
                <w:szCs w:val="21"/>
                <w:highlight w:val="none"/>
                <w:lang w:eastAsia="zh-CN" w:bidi="ar"/>
              </w:rPr>
              <w:t>。</w:t>
            </w:r>
          </w:p>
        </w:tc>
      </w:tr>
      <w:tr w14:paraId="1B11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82" w:type="dxa"/>
            <w:vMerge w:val="continue"/>
            <w:tcBorders>
              <w:left w:val="single" w:color="auto" w:sz="4" w:space="0"/>
              <w:right w:val="single" w:color="auto" w:sz="4" w:space="0"/>
            </w:tcBorders>
            <w:vAlign w:val="center"/>
          </w:tcPr>
          <w:p w14:paraId="0B757B38">
            <w:pPr>
              <w:widowControl/>
              <w:spacing w:line="360" w:lineRule="auto"/>
              <w:jc w:val="left"/>
              <w:rPr>
                <w:rFonts w:hint="eastAsia" w:ascii="宋体" w:hAnsi="宋体" w:eastAsia="宋体" w:cs="宋体"/>
                <w:color w:val="auto"/>
                <w:sz w:val="21"/>
                <w:szCs w:val="21"/>
                <w:highlight w:val="none"/>
              </w:rPr>
            </w:pPr>
          </w:p>
        </w:tc>
        <w:tc>
          <w:tcPr>
            <w:tcW w:w="7454" w:type="dxa"/>
            <w:tcBorders>
              <w:top w:val="single" w:color="auto" w:sz="4" w:space="0"/>
              <w:left w:val="single" w:color="auto" w:sz="4" w:space="0"/>
              <w:bottom w:val="single" w:color="auto" w:sz="4" w:space="0"/>
              <w:right w:val="single" w:color="auto" w:sz="4" w:space="0"/>
            </w:tcBorders>
            <w:vAlign w:val="center"/>
          </w:tcPr>
          <w:p w14:paraId="51A98438">
            <w:pPr>
              <w:widowControl/>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可视化的权限管理，可视化的权限管理</w:t>
            </w:r>
            <w:r>
              <w:rPr>
                <w:rFonts w:hint="eastAsia" w:ascii="宋体" w:hAnsi="宋体" w:eastAsia="宋体" w:cs="宋体"/>
                <w:color w:val="auto"/>
                <w:kern w:val="0"/>
                <w:sz w:val="21"/>
                <w:szCs w:val="21"/>
                <w:highlight w:val="none"/>
                <w:lang w:eastAsia="zh-CN" w:bidi="ar"/>
              </w:rPr>
              <w:t>。</w:t>
            </w:r>
          </w:p>
        </w:tc>
      </w:tr>
      <w:tr w14:paraId="01DC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82" w:type="dxa"/>
            <w:vMerge w:val="continue"/>
            <w:tcBorders>
              <w:left w:val="single" w:color="auto" w:sz="4" w:space="0"/>
              <w:right w:val="single" w:color="auto" w:sz="4" w:space="0"/>
            </w:tcBorders>
            <w:vAlign w:val="center"/>
          </w:tcPr>
          <w:p w14:paraId="33696065">
            <w:pPr>
              <w:widowControl/>
              <w:spacing w:line="360" w:lineRule="auto"/>
              <w:jc w:val="left"/>
              <w:rPr>
                <w:rFonts w:hint="eastAsia" w:ascii="宋体" w:hAnsi="宋体" w:eastAsia="宋体" w:cs="宋体"/>
                <w:color w:val="auto"/>
                <w:sz w:val="21"/>
                <w:szCs w:val="21"/>
                <w:highlight w:val="none"/>
              </w:rPr>
            </w:pPr>
          </w:p>
        </w:tc>
        <w:tc>
          <w:tcPr>
            <w:tcW w:w="7454" w:type="dxa"/>
            <w:tcBorders>
              <w:top w:val="single" w:color="auto" w:sz="4" w:space="0"/>
              <w:left w:val="single" w:color="auto" w:sz="4" w:space="0"/>
              <w:bottom w:val="single" w:color="auto" w:sz="4" w:space="0"/>
              <w:right w:val="single" w:color="auto" w:sz="4" w:space="0"/>
            </w:tcBorders>
            <w:vAlign w:val="center"/>
          </w:tcPr>
          <w:p w14:paraId="5E9025C6">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实时性：通过实时数据分发服务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用户可以实时的收集通过各种方式生成的数据并进行实时的处理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对用户的业务产生快速的响应</w:t>
            </w:r>
            <w:r>
              <w:rPr>
                <w:rFonts w:hint="eastAsia" w:ascii="宋体" w:hAnsi="宋体" w:eastAsia="宋体" w:cs="宋体"/>
                <w:color w:val="auto"/>
                <w:sz w:val="21"/>
                <w:szCs w:val="21"/>
                <w:highlight w:val="none"/>
                <w:lang w:eastAsia="zh-CN"/>
              </w:rPr>
              <w:t>。</w:t>
            </w:r>
          </w:p>
        </w:tc>
      </w:tr>
      <w:tr w14:paraId="5A58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582" w:type="dxa"/>
            <w:vMerge w:val="continue"/>
            <w:tcBorders>
              <w:left w:val="single" w:color="auto" w:sz="4" w:space="0"/>
              <w:right w:val="single" w:color="auto" w:sz="4" w:space="0"/>
            </w:tcBorders>
            <w:vAlign w:val="center"/>
          </w:tcPr>
          <w:p w14:paraId="36062846">
            <w:pPr>
              <w:widowControl/>
              <w:spacing w:line="360" w:lineRule="auto"/>
              <w:jc w:val="left"/>
              <w:rPr>
                <w:rFonts w:hint="eastAsia" w:ascii="宋体" w:hAnsi="宋体" w:eastAsia="宋体" w:cs="宋体"/>
                <w:color w:val="auto"/>
                <w:sz w:val="21"/>
                <w:szCs w:val="21"/>
                <w:highlight w:val="none"/>
              </w:rPr>
            </w:pPr>
          </w:p>
        </w:tc>
        <w:tc>
          <w:tcPr>
            <w:tcW w:w="7454" w:type="dxa"/>
            <w:tcBorders>
              <w:top w:val="single" w:color="auto" w:sz="4" w:space="0"/>
              <w:left w:val="single" w:color="auto" w:sz="4" w:space="0"/>
              <w:bottom w:val="single" w:color="auto" w:sz="4" w:space="0"/>
              <w:right w:val="single" w:color="auto" w:sz="4" w:space="0"/>
            </w:tcBorders>
            <w:vAlign w:val="center"/>
          </w:tcPr>
          <w:p w14:paraId="38AAEFFC">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易用性：提供丰富的SDK包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包括C++、Java、Pyhon、Ruby、Go等语言，提供Restful API规范</w:t>
            </w:r>
            <w:r>
              <w:rPr>
                <w:rFonts w:hint="eastAsia" w:ascii="宋体" w:hAnsi="宋体" w:eastAsia="宋体" w:cs="宋体"/>
                <w:color w:val="auto"/>
                <w:sz w:val="21"/>
                <w:szCs w:val="21"/>
                <w:highlight w:val="none"/>
                <w:lang w:eastAsia="zh-CN"/>
              </w:rPr>
              <w:t>。</w:t>
            </w:r>
          </w:p>
        </w:tc>
      </w:tr>
      <w:tr w14:paraId="7863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582" w:type="dxa"/>
            <w:vMerge w:val="continue"/>
            <w:tcBorders>
              <w:left w:val="single" w:color="auto" w:sz="4" w:space="0"/>
              <w:right w:val="single" w:color="auto" w:sz="4" w:space="0"/>
            </w:tcBorders>
            <w:vAlign w:val="center"/>
          </w:tcPr>
          <w:p w14:paraId="401B1EB1">
            <w:pPr>
              <w:widowControl/>
              <w:spacing w:line="360" w:lineRule="auto"/>
              <w:jc w:val="left"/>
              <w:rPr>
                <w:rFonts w:hint="eastAsia" w:ascii="宋体" w:hAnsi="宋体" w:eastAsia="宋体" w:cs="宋体"/>
                <w:color w:val="auto"/>
                <w:sz w:val="21"/>
                <w:szCs w:val="21"/>
                <w:highlight w:val="none"/>
              </w:rPr>
            </w:pPr>
          </w:p>
        </w:tc>
        <w:tc>
          <w:tcPr>
            <w:tcW w:w="7454" w:type="dxa"/>
            <w:tcBorders>
              <w:top w:val="single" w:color="auto" w:sz="4" w:space="0"/>
              <w:left w:val="single" w:color="auto" w:sz="4" w:space="0"/>
              <w:bottom w:val="single" w:color="auto" w:sz="4" w:space="0"/>
              <w:right w:val="single" w:color="auto" w:sz="4" w:space="0"/>
            </w:tcBorders>
            <w:vAlign w:val="center"/>
          </w:tcPr>
          <w:p w14:paraId="11A549C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高可用、高安全：服务可用性不低于99.99%，数据持久性不低于99.99%，提供多种鉴权和授权机制及白名单、主子账号功能，提供企业级多层次安全防护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多用户资源隔离机制</w:t>
            </w:r>
            <w:r>
              <w:rPr>
                <w:rFonts w:hint="eastAsia" w:ascii="宋体" w:hAnsi="宋体" w:eastAsia="宋体" w:cs="宋体"/>
                <w:color w:val="auto"/>
                <w:sz w:val="21"/>
                <w:szCs w:val="21"/>
                <w:highlight w:val="none"/>
                <w:lang w:eastAsia="zh-CN"/>
              </w:rPr>
              <w:t>。</w:t>
            </w:r>
          </w:p>
        </w:tc>
      </w:tr>
    </w:tbl>
    <w:p w14:paraId="50A2D042">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 大数据开发治理平台</w:t>
      </w:r>
    </w:p>
    <w:tbl>
      <w:tblPr>
        <w:tblStyle w:val="62"/>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7439"/>
      </w:tblGrid>
      <w:tr w14:paraId="656E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14:paraId="54CFB10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w:t>
            </w:r>
          </w:p>
        </w:tc>
        <w:tc>
          <w:tcPr>
            <w:tcW w:w="7439" w:type="dxa"/>
            <w:tcBorders>
              <w:top w:val="single" w:color="auto" w:sz="4" w:space="0"/>
              <w:left w:val="single" w:color="auto" w:sz="4" w:space="0"/>
              <w:bottom w:val="single" w:color="auto" w:sz="4" w:space="0"/>
              <w:right w:val="single" w:color="auto" w:sz="4" w:space="0"/>
            </w:tcBorders>
            <w:vAlign w:val="center"/>
          </w:tcPr>
          <w:p w14:paraId="483BD6B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规格要求</w:t>
            </w:r>
          </w:p>
        </w:tc>
      </w:tr>
      <w:tr w14:paraId="174E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67" w:type="dxa"/>
            <w:tcBorders>
              <w:top w:val="single" w:color="auto" w:sz="4" w:space="0"/>
              <w:left w:val="single" w:color="auto" w:sz="4" w:space="0"/>
              <w:bottom w:val="single" w:color="auto" w:sz="4" w:space="0"/>
              <w:right w:val="single" w:color="auto" w:sz="4" w:space="0"/>
            </w:tcBorders>
            <w:vAlign w:val="center"/>
          </w:tcPr>
          <w:p w14:paraId="6CDEF6D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439" w:type="dxa"/>
            <w:tcBorders>
              <w:top w:val="single" w:color="auto" w:sz="4" w:space="0"/>
              <w:left w:val="single" w:color="auto" w:sz="4" w:space="0"/>
              <w:bottom w:val="single" w:color="auto" w:sz="4" w:space="0"/>
              <w:right w:val="single" w:color="auto" w:sz="4" w:space="0"/>
            </w:tcBorders>
            <w:vAlign w:val="center"/>
          </w:tcPr>
          <w:p w14:paraId="0287960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提供数据集成、开发、治理、服务、质量、安全等全套数据研发工作。</w:t>
            </w:r>
          </w:p>
        </w:tc>
      </w:tr>
      <w:tr w14:paraId="5868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67" w:type="dxa"/>
            <w:vMerge w:val="restart"/>
            <w:tcBorders>
              <w:top w:val="single" w:color="auto" w:sz="4" w:space="0"/>
              <w:left w:val="single" w:color="auto" w:sz="4" w:space="0"/>
              <w:right w:val="single" w:color="auto" w:sz="4" w:space="0"/>
            </w:tcBorders>
            <w:vAlign w:val="center"/>
          </w:tcPr>
          <w:p w14:paraId="2C0895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439" w:type="dxa"/>
            <w:tcBorders>
              <w:top w:val="single" w:color="auto" w:sz="4" w:space="0"/>
              <w:left w:val="single" w:color="auto" w:sz="4" w:space="0"/>
              <w:bottom w:val="single" w:color="auto" w:sz="4" w:space="0"/>
              <w:right w:val="single" w:color="auto" w:sz="4" w:space="0"/>
            </w:tcBorders>
            <w:vAlign w:val="center"/>
          </w:tcPr>
          <w:p w14:paraId="2AAB11F3">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万亿级数据JOIN，百万级并发Job，作业I/O可达PB级/天</w:t>
            </w:r>
            <w:r>
              <w:rPr>
                <w:rFonts w:hint="eastAsia" w:ascii="宋体" w:hAnsi="宋体" w:eastAsia="宋体" w:cs="宋体"/>
                <w:color w:val="auto"/>
                <w:sz w:val="21"/>
                <w:szCs w:val="21"/>
                <w:highlight w:val="none"/>
                <w:lang w:eastAsia="zh-CN"/>
              </w:rPr>
              <w:t>。</w:t>
            </w:r>
          </w:p>
        </w:tc>
      </w:tr>
      <w:tr w14:paraId="12A8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67" w:type="dxa"/>
            <w:vMerge w:val="continue"/>
            <w:tcBorders>
              <w:left w:val="single" w:color="auto" w:sz="4" w:space="0"/>
              <w:right w:val="single" w:color="auto" w:sz="4" w:space="0"/>
            </w:tcBorders>
            <w:vAlign w:val="center"/>
          </w:tcPr>
          <w:p w14:paraId="3DB2ED24">
            <w:pPr>
              <w:widowControl/>
              <w:spacing w:line="360" w:lineRule="auto"/>
              <w:jc w:val="left"/>
              <w:rPr>
                <w:rFonts w:hint="eastAsia" w:ascii="宋体" w:hAnsi="宋体" w:eastAsia="宋体" w:cs="宋体"/>
                <w:color w:val="auto"/>
                <w:sz w:val="21"/>
                <w:szCs w:val="21"/>
                <w:highlight w:val="none"/>
              </w:rPr>
            </w:pPr>
          </w:p>
        </w:tc>
        <w:tc>
          <w:tcPr>
            <w:tcW w:w="7439" w:type="dxa"/>
            <w:tcBorders>
              <w:top w:val="single" w:color="auto" w:sz="4" w:space="0"/>
              <w:left w:val="single" w:color="auto" w:sz="4" w:space="0"/>
              <w:bottom w:val="single" w:color="auto" w:sz="4" w:space="0"/>
              <w:right w:val="single" w:color="auto" w:sz="4" w:space="0"/>
            </w:tcBorders>
            <w:vAlign w:val="center"/>
          </w:tcPr>
          <w:p w14:paraId="1832EFE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离线调度支持百万级任务量，实时监控告警</w:t>
            </w:r>
            <w:r>
              <w:rPr>
                <w:rFonts w:hint="eastAsia" w:ascii="宋体" w:hAnsi="宋体" w:eastAsia="宋体" w:cs="宋体"/>
                <w:color w:val="auto"/>
                <w:sz w:val="21"/>
                <w:szCs w:val="21"/>
                <w:highlight w:val="none"/>
                <w:lang w:eastAsia="zh-CN"/>
              </w:rPr>
              <w:t>。</w:t>
            </w:r>
          </w:p>
        </w:tc>
      </w:tr>
      <w:tr w14:paraId="157E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567" w:type="dxa"/>
            <w:vMerge w:val="continue"/>
            <w:tcBorders>
              <w:left w:val="single" w:color="auto" w:sz="4" w:space="0"/>
              <w:right w:val="single" w:color="auto" w:sz="4" w:space="0"/>
            </w:tcBorders>
            <w:vAlign w:val="center"/>
          </w:tcPr>
          <w:p w14:paraId="66E833B5">
            <w:pPr>
              <w:widowControl/>
              <w:spacing w:line="360" w:lineRule="auto"/>
              <w:jc w:val="left"/>
              <w:rPr>
                <w:rFonts w:hint="eastAsia" w:ascii="宋体" w:hAnsi="宋体" w:eastAsia="宋体" w:cs="宋体"/>
                <w:color w:val="auto"/>
                <w:sz w:val="21"/>
                <w:szCs w:val="21"/>
                <w:highlight w:val="none"/>
              </w:rPr>
            </w:pPr>
          </w:p>
        </w:tc>
        <w:tc>
          <w:tcPr>
            <w:tcW w:w="7439" w:type="dxa"/>
            <w:tcBorders>
              <w:top w:val="single" w:color="auto" w:sz="4" w:space="0"/>
              <w:left w:val="single" w:color="auto" w:sz="4" w:space="0"/>
              <w:bottom w:val="single" w:color="auto" w:sz="4" w:space="0"/>
              <w:right w:val="single" w:color="auto" w:sz="4" w:space="0"/>
            </w:tcBorders>
            <w:vAlign w:val="center"/>
          </w:tcPr>
          <w:p w14:paraId="0F9A6757">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提供功能强大易用的SQL、MR引擎，兼容大部分标准SQL语法</w:t>
            </w:r>
            <w:r>
              <w:rPr>
                <w:rFonts w:hint="eastAsia" w:ascii="宋体" w:hAnsi="宋体" w:eastAsia="宋体" w:cs="宋体"/>
                <w:color w:val="auto"/>
                <w:sz w:val="21"/>
                <w:szCs w:val="21"/>
                <w:highlight w:val="none"/>
                <w:lang w:eastAsia="zh-CN"/>
              </w:rPr>
              <w:t>。</w:t>
            </w:r>
          </w:p>
        </w:tc>
      </w:tr>
      <w:tr w14:paraId="177F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67" w:type="dxa"/>
            <w:vMerge w:val="continue"/>
            <w:tcBorders>
              <w:left w:val="single" w:color="auto" w:sz="4" w:space="0"/>
              <w:right w:val="single" w:color="auto" w:sz="4" w:space="0"/>
            </w:tcBorders>
            <w:vAlign w:val="center"/>
          </w:tcPr>
          <w:p w14:paraId="366B6AA9">
            <w:pPr>
              <w:widowControl/>
              <w:spacing w:line="360" w:lineRule="auto"/>
              <w:jc w:val="left"/>
              <w:rPr>
                <w:rFonts w:hint="eastAsia" w:ascii="宋体" w:hAnsi="宋体" w:eastAsia="宋体" w:cs="宋体"/>
                <w:color w:val="auto"/>
                <w:sz w:val="21"/>
                <w:szCs w:val="21"/>
                <w:highlight w:val="none"/>
              </w:rPr>
            </w:pPr>
          </w:p>
        </w:tc>
        <w:tc>
          <w:tcPr>
            <w:tcW w:w="7439" w:type="dxa"/>
            <w:tcBorders>
              <w:top w:val="single" w:color="auto" w:sz="4" w:space="0"/>
              <w:left w:val="single" w:color="auto" w:sz="4" w:space="0"/>
              <w:bottom w:val="single" w:color="auto" w:sz="4" w:space="0"/>
              <w:right w:val="single" w:color="auto" w:sz="4" w:space="0"/>
            </w:tcBorders>
            <w:vAlign w:val="center"/>
          </w:tcPr>
          <w:p w14:paraId="311306E2">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采用三重备份、读写请求鉴权、应用沙箱、系统沙箱等多层次数据存储和访问安全机制保护您的数据，确保不丢失、不泄露、不被窃取</w:t>
            </w:r>
            <w:r>
              <w:rPr>
                <w:rFonts w:hint="eastAsia" w:ascii="宋体" w:hAnsi="宋体" w:eastAsia="宋体" w:cs="宋体"/>
                <w:color w:val="auto"/>
                <w:sz w:val="21"/>
                <w:szCs w:val="21"/>
                <w:highlight w:val="none"/>
                <w:lang w:eastAsia="zh-CN"/>
              </w:rPr>
              <w:t>。</w:t>
            </w:r>
          </w:p>
        </w:tc>
      </w:tr>
      <w:tr w14:paraId="76AD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67" w:type="dxa"/>
            <w:vMerge w:val="continue"/>
            <w:tcBorders>
              <w:left w:val="single" w:color="auto" w:sz="4" w:space="0"/>
              <w:right w:val="single" w:color="auto" w:sz="4" w:space="0"/>
            </w:tcBorders>
            <w:vAlign w:val="center"/>
          </w:tcPr>
          <w:p w14:paraId="0B7EA986">
            <w:pPr>
              <w:widowControl/>
              <w:spacing w:line="360" w:lineRule="auto"/>
              <w:jc w:val="left"/>
              <w:rPr>
                <w:rFonts w:hint="eastAsia" w:ascii="宋体" w:hAnsi="宋体" w:eastAsia="宋体" w:cs="宋体"/>
                <w:color w:val="auto"/>
                <w:sz w:val="21"/>
                <w:szCs w:val="21"/>
                <w:highlight w:val="none"/>
              </w:rPr>
            </w:pPr>
          </w:p>
        </w:tc>
        <w:tc>
          <w:tcPr>
            <w:tcW w:w="7439" w:type="dxa"/>
            <w:tcBorders>
              <w:top w:val="single" w:color="auto" w:sz="4" w:space="0"/>
              <w:left w:val="single" w:color="auto" w:sz="4" w:space="0"/>
              <w:bottom w:val="single" w:color="auto" w:sz="4" w:space="0"/>
              <w:right w:val="single" w:color="auto" w:sz="4" w:space="0"/>
            </w:tcBorders>
            <w:vAlign w:val="center"/>
          </w:tcPr>
          <w:p w14:paraId="0E2FA392">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提供数据从集成、加工、管理、监控、输出服务的全流程所有功能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提供可视化工作流程设计器功能</w:t>
            </w:r>
            <w:r>
              <w:rPr>
                <w:rFonts w:hint="eastAsia" w:ascii="宋体" w:hAnsi="宋体" w:eastAsia="宋体" w:cs="宋体"/>
                <w:color w:val="auto"/>
                <w:sz w:val="21"/>
                <w:szCs w:val="21"/>
                <w:highlight w:val="none"/>
                <w:lang w:eastAsia="zh-CN"/>
              </w:rPr>
              <w:t>。</w:t>
            </w:r>
          </w:p>
        </w:tc>
      </w:tr>
      <w:tr w14:paraId="03A6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67" w:type="dxa"/>
            <w:vMerge w:val="restart"/>
            <w:tcBorders>
              <w:left w:val="single" w:color="auto" w:sz="4" w:space="0"/>
              <w:right w:val="single" w:color="auto" w:sz="4" w:space="0"/>
            </w:tcBorders>
            <w:vAlign w:val="center"/>
          </w:tcPr>
          <w:p w14:paraId="08597A07">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439" w:type="dxa"/>
            <w:tcBorders>
              <w:top w:val="single" w:color="auto" w:sz="4" w:space="0"/>
              <w:left w:val="single" w:color="auto" w:sz="4" w:space="0"/>
              <w:bottom w:val="single" w:color="auto" w:sz="4" w:space="0"/>
              <w:right w:val="single" w:color="auto" w:sz="4" w:space="0"/>
            </w:tcBorders>
            <w:vAlign w:val="center"/>
          </w:tcPr>
          <w:p w14:paraId="0279A9E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支持400对异构数据源的离线同步，支持分钟、小时、天、周和月多种调度周期配置</w:t>
            </w:r>
            <w:r>
              <w:rPr>
                <w:rFonts w:hint="eastAsia" w:ascii="宋体" w:hAnsi="宋体" w:eastAsia="宋体" w:cs="宋体"/>
                <w:color w:val="auto"/>
                <w:sz w:val="21"/>
                <w:szCs w:val="21"/>
                <w:highlight w:val="none"/>
                <w:lang w:eastAsia="zh-CN"/>
              </w:rPr>
              <w:t>。</w:t>
            </w:r>
          </w:p>
        </w:tc>
      </w:tr>
      <w:tr w14:paraId="565B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67" w:type="dxa"/>
            <w:vMerge w:val="continue"/>
            <w:tcBorders>
              <w:left w:val="single" w:color="auto" w:sz="4" w:space="0"/>
              <w:right w:val="single" w:color="auto" w:sz="4" w:space="0"/>
            </w:tcBorders>
            <w:vAlign w:val="center"/>
          </w:tcPr>
          <w:p w14:paraId="372CE6BD">
            <w:pPr>
              <w:widowControl/>
              <w:spacing w:line="360" w:lineRule="auto"/>
              <w:jc w:val="left"/>
              <w:rPr>
                <w:rFonts w:hint="eastAsia" w:ascii="宋体" w:hAnsi="宋体" w:eastAsia="宋体" w:cs="宋体"/>
                <w:color w:val="auto"/>
                <w:sz w:val="21"/>
                <w:szCs w:val="21"/>
                <w:highlight w:val="none"/>
              </w:rPr>
            </w:pPr>
          </w:p>
        </w:tc>
        <w:tc>
          <w:tcPr>
            <w:tcW w:w="7439" w:type="dxa"/>
            <w:tcBorders>
              <w:top w:val="single" w:color="auto" w:sz="4" w:space="0"/>
              <w:left w:val="single" w:color="auto" w:sz="4" w:space="0"/>
              <w:bottom w:val="single" w:color="auto" w:sz="4" w:space="0"/>
              <w:right w:val="single" w:color="auto" w:sz="4" w:space="0"/>
            </w:tcBorders>
            <w:vAlign w:val="center"/>
          </w:tcPr>
          <w:p w14:paraId="17064F60">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多租户模型确保您的数据被安全隔离，以租户为单位进行统⼀的权限管控、数据管理、调度资源管理和成员管理工作</w:t>
            </w:r>
            <w:r>
              <w:rPr>
                <w:rFonts w:hint="eastAsia" w:ascii="宋体" w:hAnsi="宋体" w:eastAsia="宋体" w:cs="宋体"/>
                <w:color w:val="auto"/>
                <w:sz w:val="21"/>
                <w:szCs w:val="21"/>
                <w:highlight w:val="none"/>
                <w:lang w:eastAsia="zh-CN"/>
              </w:rPr>
              <w:t>。</w:t>
            </w:r>
          </w:p>
        </w:tc>
      </w:tr>
      <w:tr w14:paraId="0105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7" w:type="dxa"/>
            <w:vMerge w:val="continue"/>
            <w:tcBorders>
              <w:left w:val="single" w:color="auto" w:sz="4" w:space="0"/>
              <w:right w:val="single" w:color="auto" w:sz="4" w:space="0"/>
            </w:tcBorders>
            <w:vAlign w:val="center"/>
          </w:tcPr>
          <w:p w14:paraId="58085C19">
            <w:pPr>
              <w:widowControl/>
              <w:spacing w:line="360" w:lineRule="auto"/>
              <w:jc w:val="left"/>
              <w:rPr>
                <w:rFonts w:hint="eastAsia" w:ascii="宋体" w:hAnsi="宋体" w:eastAsia="宋体" w:cs="宋体"/>
                <w:color w:val="auto"/>
                <w:sz w:val="21"/>
                <w:szCs w:val="21"/>
                <w:highlight w:val="none"/>
              </w:rPr>
            </w:pPr>
          </w:p>
        </w:tc>
        <w:tc>
          <w:tcPr>
            <w:tcW w:w="7439" w:type="dxa"/>
            <w:tcBorders>
              <w:top w:val="single" w:color="auto" w:sz="4" w:space="0"/>
              <w:left w:val="single" w:color="auto" w:sz="4" w:space="0"/>
              <w:bottom w:val="single" w:color="auto" w:sz="4" w:space="0"/>
              <w:right w:val="single" w:color="auto" w:sz="4" w:space="0"/>
            </w:tcBorders>
            <w:vAlign w:val="center"/>
          </w:tcPr>
          <w:p w14:paraId="1D67352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支持多种异构数据源、离线数据、实时数据的质量校验、通知、管理</w:t>
            </w:r>
            <w:r>
              <w:rPr>
                <w:rFonts w:hint="eastAsia" w:ascii="宋体" w:hAnsi="宋体" w:eastAsia="宋体" w:cs="宋体"/>
                <w:color w:val="auto"/>
                <w:sz w:val="21"/>
                <w:szCs w:val="21"/>
                <w:highlight w:val="none"/>
                <w:lang w:eastAsia="zh-CN"/>
              </w:rPr>
              <w:t>。</w:t>
            </w:r>
          </w:p>
        </w:tc>
      </w:tr>
      <w:tr w14:paraId="3AC5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7" w:type="dxa"/>
            <w:vMerge w:val="continue"/>
            <w:tcBorders>
              <w:left w:val="single" w:color="auto" w:sz="4" w:space="0"/>
              <w:right w:val="single" w:color="auto" w:sz="4" w:space="0"/>
            </w:tcBorders>
            <w:vAlign w:val="center"/>
          </w:tcPr>
          <w:p w14:paraId="691B3CEC">
            <w:pPr>
              <w:widowControl/>
              <w:spacing w:line="360" w:lineRule="auto"/>
              <w:jc w:val="left"/>
              <w:rPr>
                <w:rFonts w:hint="eastAsia" w:ascii="宋体" w:hAnsi="宋体" w:eastAsia="宋体" w:cs="宋体"/>
                <w:color w:val="auto"/>
                <w:sz w:val="21"/>
                <w:szCs w:val="21"/>
                <w:highlight w:val="none"/>
              </w:rPr>
            </w:pPr>
          </w:p>
        </w:tc>
        <w:tc>
          <w:tcPr>
            <w:tcW w:w="7439" w:type="dxa"/>
            <w:tcBorders>
              <w:top w:val="single" w:color="auto" w:sz="4" w:space="0"/>
              <w:left w:val="single" w:color="auto" w:sz="4" w:space="0"/>
              <w:bottom w:val="single" w:color="auto" w:sz="4" w:space="0"/>
              <w:right w:val="single" w:color="auto" w:sz="4" w:space="0"/>
            </w:tcBorders>
            <w:vAlign w:val="center"/>
          </w:tcPr>
          <w:p w14:paraId="24A90873">
            <w:pPr>
              <w:spacing w:line="360" w:lineRule="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API访问及流量控制：支持对API服务灵活配置多种限流策略，包含API、APP、用户等不同粒度的流量控制能力。</w:t>
            </w:r>
          </w:p>
        </w:tc>
      </w:tr>
      <w:tr w14:paraId="3253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7" w:type="dxa"/>
            <w:vMerge w:val="continue"/>
            <w:tcBorders>
              <w:left w:val="single" w:color="auto" w:sz="4" w:space="0"/>
              <w:right w:val="single" w:color="auto" w:sz="4" w:space="0"/>
            </w:tcBorders>
            <w:vAlign w:val="center"/>
          </w:tcPr>
          <w:p w14:paraId="687ADA3C">
            <w:pPr>
              <w:widowControl/>
              <w:spacing w:line="360" w:lineRule="auto"/>
              <w:jc w:val="left"/>
              <w:rPr>
                <w:rFonts w:hint="eastAsia" w:ascii="宋体" w:hAnsi="宋体" w:eastAsia="宋体" w:cs="宋体"/>
                <w:color w:val="auto"/>
                <w:sz w:val="21"/>
                <w:szCs w:val="21"/>
                <w:highlight w:val="none"/>
              </w:rPr>
            </w:pPr>
          </w:p>
        </w:tc>
        <w:tc>
          <w:tcPr>
            <w:tcW w:w="7439" w:type="dxa"/>
            <w:tcBorders>
              <w:top w:val="single" w:color="auto" w:sz="4" w:space="0"/>
              <w:left w:val="single" w:color="auto" w:sz="4" w:space="0"/>
              <w:bottom w:val="single" w:color="auto" w:sz="4" w:space="0"/>
              <w:right w:val="single" w:color="auto" w:sz="4" w:space="0"/>
            </w:tcBorders>
            <w:vAlign w:val="center"/>
          </w:tcPr>
          <w:p w14:paraId="60418D7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Hans"/>
              </w:rPr>
              <w:t>API调用及鉴权：支持两种API调用时的鉴权方式，其一是通过AppCode进行简单身份认证，其二是通过AppKey和AppSecret进行加密签名身份认证，极大地保障了用户数据共享的安全性</w:t>
            </w:r>
            <w:r>
              <w:rPr>
                <w:rFonts w:hint="eastAsia" w:ascii="宋体" w:hAnsi="宋体" w:eastAsia="宋体" w:cs="宋体"/>
                <w:color w:val="auto"/>
                <w:sz w:val="21"/>
                <w:szCs w:val="21"/>
                <w:highlight w:val="none"/>
                <w:lang w:eastAsia="zh-CN"/>
              </w:rPr>
              <w:t>。</w:t>
            </w:r>
          </w:p>
        </w:tc>
      </w:tr>
      <w:tr w14:paraId="6960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7" w:type="dxa"/>
            <w:vMerge w:val="continue"/>
            <w:tcBorders>
              <w:left w:val="single" w:color="auto" w:sz="4" w:space="0"/>
              <w:right w:val="single" w:color="auto" w:sz="4" w:space="0"/>
            </w:tcBorders>
            <w:vAlign w:val="center"/>
          </w:tcPr>
          <w:p w14:paraId="00B6E170">
            <w:pPr>
              <w:widowControl/>
              <w:spacing w:line="360" w:lineRule="auto"/>
              <w:jc w:val="left"/>
              <w:rPr>
                <w:rFonts w:hint="eastAsia" w:ascii="宋体" w:hAnsi="宋体" w:eastAsia="宋体" w:cs="宋体"/>
                <w:color w:val="auto"/>
                <w:sz w:val="21"/>
                <w:szCs w:val="21"/>
                <w:highlight w:val="none"/>
              </w:rPr>
            </w:pPr>
          </w:p>
        </w:tc>
        <w:tc>
          <w:tcPr>
            <w:tcW w:w="7439" w:type="dxa"/>
            <w:tcBorders>
              <w:top w:val="single" w:color="auto" w:sz="4" w:space="0"/>
              <w:left w:val="single" w:color="auto" w:sz="4" w:space="0"/>
              <w:bottom w:val="single" w:color="auto" w:sz="4" w:space="0"/>
              <w:right w:val="single" w:color="auto" w:sz="4" w:space="0"/>
            </w:tcBorders>
            <w:vAlign w:val="center"/>
          </w:tcPr>
          <w:p w14:paraId="1AB43953">
            <w:pPr>
              <w:spacing w:line="360" w:lineRule="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Hans"/>
              </w:rPr>
              <w:t>丰富的数据源类型：支持常见关系型数据库：MySQL、SQL Server、PostgreSQL、Oracle；支持NoSQL数据库。</w:t>
            </w:r>
          </w:p>
        </w:tc>
      </w:tr>
    </w:tbl>
    <w:p w14:paraId="1C22B0AA">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消息队列</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7445"/>
      </w:tblGrid>
      <w:tr w14:paraId="0425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46" w:type="dxa"/>
            <w:tcBorders>
              <w:top w:val="single" w:color="auto" w:sz="4" w:space="0"/>
              <w:left w:val="single" w:color="auto" w:sz="4" w:space="0"/>
              <w:bottom w:val="single" w:color="auto" w:sz="4" w:space="0"/>
              <w:right w:val="single" w:color="auto" w:sz="4" w:space="0"/>
            </w:tcBorders>
            <w:vAlign w:val="center"/>
          </w:tcPr>
          <w:p w14:paraId="29D55285">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445" w:type="dxa"/>
            <w:tcBorders>
              <w:top w:val="single" w:color="auto" w:sz="4" w:space="0"/>
              <w:left w:val="single" w:color="auto" w:sz="4" w:space="0"/>
              <w:bottom w:val="single" w:color="auto" w:sz="4" w:space="0"/>
              <w:right w:val="single" w:color="auto" w:sz="4" w:space="0"/>
            </w:tcBorders>
            <w:vAlign w:val="center"/>
          </w:tcPr>
          <w:p w14:paraId="4C451B32">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4321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46" w:type="dxa"/>
            <w:tcBorders>
              <w:top w:val="single" w:color="auto" w:sz="4" w:space="0"/>
              <w:left w:val="single" w:color="auto" w:sz="4" w:space="0"/>
              <w:bottom w:val="single" w:color="auto" w:sz="4" w:space="0"/>
              <w:right w:val="single" w:color="auto" w:sz="4" w:space="0"/>
            </w:tcBorders>
            <w:vAlign w:val="center"/>
          </w:tcPr>
          <w:p w14:paraId="576ECF38">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445" w:type="dxa"/>
            <w:tcBorders>
              <w:top w:val="single" w:color="auto" w:sz="4" w:space="0"/>
              <w:left w:val="single" w:color="auto" w:sz="4" w:space="0"/>
              <w:bottom w:val="single" w:color="auto" w:sz="4" w:space="0"/>
              <w:right w:val="single" w:color="auto" w:sz="4" w:space="0"/>
            </w:tcBorders>
            <w:vAlign w:val="center"/>
          </w:tcPr>
          <w:p w14:paraId="699A2D4D">
            <w:pPr>
              <w:autoSpaceDE w:val="0"/>
              <w:autoSpaceDN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高可用分布式集群技术，提供消息订阅和发布、消息轨迹查询以及定时（延时）消息、资源统计等系列消息云服务，为分布式应用系统提供异步解耦、削峰填谷的能力，同时具备海量消息堆积、高吞吐、可靠重试等应用所需的特性。</w:t>
            </w:r>
          </w:p>
          <w:p w14:paraId="2432B82D">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TCP协议层面的接入方式，支持Java、C++、.NET编程语言，方便不同编程语言开发的应用快速接入消息队列MQ消息云服务。用户可以将应用部署在云服务器或者嵌入到移动端、物联网设备中与消息队列MQ建立连接进行消息收发。</w:t>
            </w:r>
          </w:p>
        </w:tc>
      </w:tr>
      <w:tr w14:paraId="2B80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46" w:type="dxa"/>
            <w:vMerge w:val="restart"/>
            <w:tcBorders>
              <w:top w:val="single" w:color="auto" w:sz="4" w:space="0"/>
              <w:left w:val="single" w:color="auto" w:sz="4" w:space="0"/>
              <w:right w:val="single" w:color="auto" w:sz="4" w:space="0"/>
            </w:tcBorders>
            <w:vAlign w:val="center"/>
          </w:tcPr>
          <w:p w14:paraId="0898E205">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445" w:type="dxa"/>
            <w:tcBorders>
              <w:top w:val="single" w:color="auto" w:sz="4" w:space="0"/>
              <w:left w:val="single" w:color="auto" w:sz="4" w:space="0"/>
              <w:bottom w:val="single" w:color="auto" w:sz="4" w:space="0"/>
              <w:right w:val="single" w:color="auto" w:sz="4" w:space="0"/>
            </w:tcBorders>
            <w:vAlign w:val="center"/>
          </w:tcPr>
          <w:p w14:paraId="185127D7">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协议接入</w:t>
            </w:r>
          </w:p>
          <w:p w14:paraId="6317A16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支持TCP协议：提供更为专业、可靠、稳定的TCP协议的Java、C/C++和.NET SDK接入。</w:t>
            </w:r>
          </w:p>
        </w:tc>
      </w:tr>
      <w:tr w14:paraId="41DE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46" w:type="dxa"/>
            <w:vMerge w:val="continue"/>
            <w:tcBorders>
              <w:left w:val="single" w:color="auto" w:sz="4" w:space="0"/>
              <w:right w:val="single" w:color="auto" w:sz="4" w:space="0"/>
            </w:tcBorders>
            <w:vAlign w:val="center"/>
          </w:tcPr>
          <w:p w14:paraId="6E1848B0">
            <w:pPr>
              <w:autoSpaceDE w:val="0"/>
              <w:autoSpaceDN w:val="0"/>
              <w:spacing w:line="360" w:lineRule="auto"/>
              <w:jc w:val="center"/>
              <w:rPr>
                <w:rFonts w:hint="eastAsia" w:ascii="宋体" w:hAnsi="宋体" w:eastAsia="宋体" w:cs="宋体"/>
                <w:color w:val="auto"/>
                <w:sz w:val="21"/>
                <w:szCs w:val="21"/>
                <w:highlight w:val="none"/>
              </w:rPr>
            </w:pPr>
          </w:p>
        </w:tc>
        <w:tc>
          <w:tcPr>
            <w:tcW w:w="7445" w:type="dxa"/>
            <w:tcBorders>
              <w:top w:val="single" w:color="auto" w:sz="4" w:space="0"/>
              <w:left w:val="single" w:color="auto" w:sz="4" w:space="0"/>
              <w:bottom w:val="single" w:color="auto" w:sz="4" w:space="0"/>
              <w:right w:val="single" w:color="auto" w:sz="4" w:space="0"/>
            </w:tcBorders>
            <w:vAlign w:val="center"/>
          </w:tcPr>
          <w:p w14:paraId="313101C6">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管理工具</w:t>
            </w:r>
          </w:p>
          <w:p w14:paraId="2B0086AC">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Web控制台：支持Topic管理、Group管理、消息查询、消息轨迹、资源报表。</w:t>
            </w:r>
          </w:p>
          <w:p w14:paraId="3D8099C3">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Open API：提供API允许将MQ管理⼯具集成到用户的控制台。</w:t>
            </w:r>
          </w:p>
          <w:p w14:paraId="6DB9F062">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mqadmin命令集：输出提供一套丰富的管理命令集，以命令方式对MQ服务进行管理。</w:t>
            </w:r>
          </w:p>
        </w:tc>
      </w:tr>
      <w:tr w14:paraId="47BE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546" w:type="dxa"/>
            <w:vMerge w:val="continue"/>
            <w:tcBorders>
              <w:left w:val="single" w:color="auto" w:sz="4" w:space="0"/>
              <w:right w:val="single" w:color="auto" w:sz="4" w:space="0"/>
            </w:tcBorders>
            <w:vAlign w:val="center"/>
          </w:tcPr>
          <w:p w14:paraId="4D162C5E">
            <w:pPr>
              <w:autoSpaceDE w:val="0"/>
              <w:autoSpaceDN w:val="0"/>
              <w:spacing w:line="360" w:lineRule="auto"/>
              <w:jc w:val="center"/>
              <w:rPr>
                <w:rFonts w:hint="eastAsia" w:ascii="宋体" w:hAnsi="宋体" w:eastAsia="宋体" w:cs="宋体"/>
                <w:color w:val="auto"/>
                <w:sz w:val="21"/>
                <w:szCs w:val="21"/>
                <w:highlight w:val="none"/>
              </w:rPr>
            </w:pPr>
          </w:p>
        </w:tc>
        <w:tc>
          <w:tcPr>
            <w:tcW w:w="7445" w:type="dxa"/>
            <w:tcBorders>
              <w:top w:val="single" w:color="auto" w:sz="4" w:space="0"/>
              <w:left w:val="single" w:color="auto" w:sz="4" w:space="0"/>
              <w:bottom w:val="single" w:color="auto" w:sz="4" w:space="0"/>
              <w:right w:val="single" w:color="auto" w:sz="4" w:space="0"/>
            </w:tcBorders>
            <w:vAlign w:val="center"/>
          </w:tcPr>
          <w:p w14:paraId="32E997DC">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消息类型</w:t>
            </w:r>
          </w:p>
          <w:p w14:paraId="251DC304">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普通消息：消息队列MQ中无特性的消息，区别于有特性的消息。</w:t>
            </w:r>
          </w:p>
          <w:p w14:paraId="003E10A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定时（延时）消息：允许消息生产者指定消息进行定时（延时）投递，最长支持40天。</w:t>
            </w:r>
          </w:p>
          <w:p w14:paraId="59E4BA1C">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事务消息：实现类似X/Open XA的分布事务功能，以达到事务最终一致性状态。</w:t>
            </w:r>
          </w:p>
          <w:p w14:paraId="25A93DB5">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顺序消息：允许消息消费者按照消息发送的顺序对消息进行消费。</w:t>
            </w:r>
          </w:p>
        </w:tc>
      </w:tr>
      <w:tr w14:paraId="784F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46" w:type="dxa"/>
            <w:vMerge w:val="restart"/>
            <w:tcBorders>
              <w:left w:val="single" w:color="auto" w:sz="4" w:space="0"/>
              <w:right w:val="single" w:color="auto" w:sz="4" w:space="0"/>
            </w:tcBorders>
            <w:vAlign w:val="center"/>
          </w:tcPr>
          <w:p w14:paraId="31B8B463">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445" w:type="dxa"/>
            <w:tcBorders>
              <w:top w:val="single" w:color="auto" w:sz="4" w:space="0"/>
              <w:left w:val="single" w:color="auto" w:sz="4" w:space="0"/>
              <w:bottom w:val="single" w:color="auto" w:sz="4" w:space="0"/>
              <w:right w:val="single" w:color="auto" w:sz="4" w:space="0"/>
            </w:tcBorders>
            <w:vAlign w:val="center"/>
          </w:tcPr>
          <w:p w14:paraId="4B6F93D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大消息：支持4MB大消息（包含消息属性）。</w:t>
            </w:r>
          </w:p>
        </w:tc>
      </w:tr>
      <w:tr w14:paraId="5E51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46" w:type="dxa"/>
            <w:vMerge w:val="continue"/>
            <w:tcBorders>
              <w:left w:val="single" w:color="auto" w:sz="4" w:space="0"/>
              <w:right w:val="single" w:color="auto" w:sz="4" w:space="0"/>
            </w:tcBorders>
            <w:vAlign w:val="center"/>
          </w:tcPr>
          <w:p w14:paraId="39B1031E">
            <w:pPr>
              <w:autoSpaceDE w:val="0"/>
              <w:autoSpaceDN w:val="0"/>
              <w:spacing w:line="360" w:lineRule="auto"/>
              <w:jc w:val="left"/>
              <w:rPr>
                <w:rFonts w:hint="eastAsia" w:ascii="宋体" w:hAnsi="宋体" w:eastAsia="宋体" w:cs="宋体"/>
                <w:color w:val="auto"/>
                <w:sz w:val="21"/>
                <w:szCs w:val="21"/>
                <w:highlight w:val="none"/>
              </w:rPr>
            </w:pPr>
          </w:p>
        </w:tc>
        <w:tc>
          <w:tcPr>
            <w:tcW w:w="7445" w:type="dxa"/>
            <w:tcBorders>
              <w:top w:val="single" w:color="auto" w:sz="4" w:space="0"/>
              <w:left w:val="single" w:color="auto" w:sz="4" w:space="0"/>
              <w:bottom w:val="single" w:color="auto" w:sz="4" w:space="0"/>
              <w:right w:val="single" w:color="auto" w:sz="4" w:space="0"/>
            </w:tcBorders>
            <w:vAlign w:val="center"/>
          </w:tcPr>
          <w:p w14:paraId="7656BF21">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消息查询：提供了三种消息查询的方式，分别是按Message ID、Message Key以及Topic查询。</w:t>
            </w:r>
          </w:p>
        </w:tc>
      </w:tr>
      <w:tr w14:paraId="7DA3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46" w:type="dxa"/>
            <w:vMerge w:val="continue"/>
            <w:tcBorders>
              <w:left w:val="single" w:color="auto" w:sz="4" w:space="0"/>
              <w:right w:val="single" w:color="auto" w:sz="4" w:space="0"/>
            </w:tcBorders>
            <w:vAlign w:val="center"/>
          </w:tcPr>
          <w:p w14:paraId="15E4EA4E">
            <w:pPr>
              <w:autoSpaceDE w:val="0"/>
              <w:autoSpaceDN w:val="0"/>
              <w:spacing w:line="360" w:lineRule="auto"/>
              <w:jc w:val="left"/>
              <w:rPr>
                <w:rFonts w:hint="eastAsia" w:ascii="宋体" w:hAnsi="宋体" w:eastAsia="宋体" w:cs="宋体"/>
                <w:color w:val="auto"/>
                <w:sz w:val="21"/>
                <w:szCs w:val="21"/>
                <w:highlight w:val="none"/>
              </w:rPr>
            </w:pPr>
          </w:p>
        </w:tc>
        <w:tc>
          <w:tcPr>
            <w:tcW w:w="7445" w:type="dxa"/>
            <w:tcBorders>
              <w:top w:val="single" w:color="auto" w:sz="4" w:space="0"/>
              <w:left w:val="single" w:color="auto" w:sz="4" w:space="0"/>
              <w:bottom w:val="single" w:color="auto" w:sz="4" w:space="0"/>
              <w:right w:val="single" w:color="auto" w:sz="4" w:space="0"/>
            </w:tcBorders>
            <w:vAlign w:val="center"/>
          </w:tcPr>
          <w:p w14:paraId="106362C2">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运维管控：支持mqadmin命令集、Open API运维管理⼯具，方便管控平台集成以及统一运维。</w:t>
            </w:r>
          </w:p>
        </w:tc>
      </w:tr>
    </w:tbl>
    <w:p w14:paraId="071201F4">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分布式关系型数据库</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7446"/>
      </w:tblGrid>
      <w:tr w14:paraId="7AC8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0" w:type="auto"/>
            <w:vAlign w:val="center"/>
          </w:tcPr>
          <w:p w14:paraId="6116A965">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446" w:type="dxa"/>
            <w:vAlign w:val="center"/>
          </w:tcPr>
          <w:p w14:paraId="4150A468">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263B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0" w:type="auto"/>
            <w:vMerge w:val="restart"/>
            <w:vAlign w:val="center"/>
          </w:tcPr>
          <w:p w14:paraId="32B8DAE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基本功能/性能</w:t>
            </w:r>
          </w:p>
        </w:tc>
        <w:tc>
          <w:tcPr>
            <w:tcW w:w="7446" w:type="dxa"/>
            <w:vAlign w:val="center"/>
          </w:tcPr>
          <w:p w14:paraId="73CDFC05">
            <w:pPr>
              <w:spacing w:line="360" w:lineRule="auto"/>
              <w:jc w:val="left"/>
              <w:rPr>
                <w:rFonts w:hint="eastAsia" w:ascii="宋体" w:hAnsi="宋体" w:eastAsia="宋体" w:cs="宋体"/>
                <w:strike/>
                <w:color w:val="auto"/>
                <w:sz w:val="21"/>
                <w:szCs w:val="21"/>
                <w:highlight w:val="none"/>
                <w:lang w:eastAsia="zh-CN"/>
              </w:rPr>
            </w:pPr>
            <w:r>
              <w:rPr>
                <w:rFonts w:hint="eastAsia" w:ascii="宋体" w:hAnsi="宋体" w:eastAsia="宋体" w:cs="宋体"/>
                <w:color w:val="auto"/>
                <w:sz w:val="21"/>
                <w:szCs w:val="21"/>
                <w:highlight w:val="none"/>
              </w:rPr>
              <w:t>兼容MYSQL协议和语法，支持自动化水平拆分</w:t>
            </w:r>
            <w:r>
              <w:rPr>
                <w:rFonts w:hint="eastAsia" w:ascii="宋体" w:hAnsi="宋体" w:eastAsia="宋体" w:cs="宋体"/>
                <w:color w:val="auto"/>
                <w:sz w:val="21"/>
                <w:szCs w:val="21"/>
                <w:highlight w:val="none"/>
                <w:lang w:eastAsia="zh-CN"/>
              </w:rPr>
              <w:t>。</w:t>
            </w:r>
          </w:p>
        </w:tc>
      </w:tr>
      <w:tr w14:paraId="3FBB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Merge w:val="continue"/>
            <w:vAlign w:val="center"/>
          </w:tcPr>
          <w:p w14:paraId="2F88C36C">
            <w:pPr>
              <w:spacing w:line="360" w:lineRule="auto"/>
              <w:jc w:val="center"/>
              <w:rPr>
                <w:rFonts w:hint="eastAsia" w:ascii="宋体" w:hAnsi="宋体" w:eastAsia="宋体" w:cs="宋体"/>
                <w:color w:val="auto"/>
                <w:sz w:val="21"/>
                <w:szCs w:val="21"/>
                <w:highlight w:val="none"/>
              </w:rPr>
            </w:pPr>
          </w:p>
        </w:tc>
        <w:tc>
          <w:tcPr>
            <w:tcW w:w="7446" w:type="dxa"/>
            <w:vAlign w:val="center"/>
          </w:tcPr>
          <w:p w14:paraId="62C972A4">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支持在线平滑扩缩容，服务能力线性扩展，透明读写分离</w:t>
            </w:r>
            <w:r>
              <w:rPr>
                <w:rFonts w:hint="eastAsia" w:ascii="宋体" w:hAnsi="宋体" w:eastAsia="宋体" w:cs="宋体"/>
                <w:color w:val="auto"/>
                <w:sz w:val="21"/>
                <w:szCs w:val="21"/>
                <w:highlight w:val="none"/>
                <w:lang w:eastAsia="zh-CN"/>
              </w:rPr>
              <w:t>。</w:t>
            </w:r>
          </w:p>
        </w:tc>
      </w:tr>
      <w:tr w14:paraId="46A0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0" w:type="auto"/>
            <w:vMerge w:val="continue"/>
            <w:vAlign w:val="center"/>
          </w:tcPr>
          <w:p w14:paraId="7548F656">
            <w:pPr>
              <w:spacing w:line="360" w:lineRule="auto"/>
              <w:jc w:val="center"/>
              <w:rPr>
                <w:rFonts w:hint="eastAsia" w:ascii="宋体" w:hAnsi="宋体" w:eastAsia="宋体" w:cs="宋体"/>
                <w:color w:val="auto"/>
                <w:sz w:val="21"/>
                <w:szCs w:val="21"/>
                <w:highlight w:val="none"/>
              </w:rPr>
            </w:pPr>
          </w:p>
        </w:tc>
        <w:tc>
          <w:tcPr>
            <w:tcW w:w="7446" w:type="dxa"/>
            <w:vAlign w:val="center"/>
          </w:tcPr>
          <w:p w14:paraId="36A610D2">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客户端支持：兼容数据库登录协议，支持Workbench，Navicat， SQLyog等客户端</w:t>
            </w:r>
            <w:r>
              <w:rPr>
                <w:rFonts w:hint="eastAsia" w:ascii="宋体" w:hAnsi="宋体" w:eastAsia="宋体" w:cs="宋体"/>
                <w:color w:val="auto"/>
                <w:sz w:val="21"/>
                <w:szCs w:val="21"/>
                <w:highlight w:val="none"/>
                <w:lang w:eastAsia="zh-CN"/>
              </w:rPr>
              <w:t>。</w:t>
            </w:r>
          </w:p>
        </w:tc>
      </w:tr>
      <w:tr w14:paraId="36BA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0" w:type="auto"/>
            <w:vMerge w:val="continue"/>
            <w:vAlign w:val="center"/>
          </w:tcPr>
          <w:p w14:paraId="02DC738C">
            <w:pPr>
              <w:spacing w:line="360" w:lineRule="auto"/>
              <w:jc w:val="center"/>
              <w:rPr>
                <w:rFonts w:hint="eastAsia" w:ascii="宋体" w:hAnsi="宋体" w:eastAsia="宋体" w:cs="宋体"/>
                <w:color w:val="auto"/>
                <w:sz w:val="21"/>
                <w:szCs w:val="21"/>
                <w:highlight w:val="none"/>
              </w:rPr>
            </w:pPr>
          </w:p>
        </w:tc>
        <w:tc>
          <w:tcPr>
            <w:tcW w:w="7446" w:type="dxa"/>
            <w:vAlign w:val="center"/>
          </w:tcPr>
          <w:p w14:paraId="57F500E7">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提供的分布式数据库事务套件，实现最终一致性事务支持</w:t>
            </w:r>
            <w:r>
              <w:rPr>
                <w:rFonts w:hint="eastAsia" w:ascii="宋体" w:hAnsi="宋体" w:eastAsia="宋体" w:cs="宋体"/>
                <w:color w:val="auto"/>
                <w:sz w:val="21"/>
                <w:szCs w:val="21"/>
                <w:highlight w:val="none"/>
                <w:lang w:eastAsia="zh-CN"/>
              </w:rPr>
              <w:t>。</w:t>
            </w:r>
          </w:p>
        </w:tc>
      </w:tr>
      <w:tr w14:paraId="0D95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0" w:type="auto"/>
            <w:vMerge w:val="continue"/>
            <w:vAlign w:val="center"/>
          </w:tcPr>
          <w:p w14:paraId="3A302A19">
            <w:pPr>
              <w:spacing w:line="360" w:lineRule="auto"/>
              <w:jc w:val="center"/>
              <w:rPr>
                <w:rFonts w:hint="eastAsia" w:ascii="宋体" w:hAnsi="宋体" w:eastAsia="宋体" w:cs="宋体"/>
                <w:color w:val="auto"/>
                <w:sz w:val="21"/>
                <w:szCs w:val="21"/>
                <w:highlight w:val="none"/>
              </w:rPr>
            </w:pPr>
          </w:p>
        </w:tc>
        <w:tc>
          <w:tcPr>
            <w:tcW w:w="7446" w:type="dxa"/>
            <w:vAlign w:val="center"/>
          </w:tcPr>
          <w:p w14:paraId="67CA2C31">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支持外部数据源的增量和全量导入，帮助用户实现数据库平滑上云</w:t>
            </w:r>
            <w:r>
              <w:rPr>
                <w:rFonts w:hint="eastAsia" w:ascii="宋体" w:hAnsi="宋体" w:eastAsia="宋体" w:cs="宋体"/>
                <w:color w:val="auto"/>
                <w:sz w:val="21"/>
                <w:szCs w:val="21"/>
                <w:highlight w:val="none"/>
                <w:lang w:eastAsia="zh-CN"/>
              </w:rPr>
              <w:t>。</w:t>
            </w:r>
          </w:p>
        </w:tc>
      </w:tr>
      <w:tr w14:paraId="5F87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0" w:type="auto"/>
            <w:vMerge w:val="continue"/>
            <w:vAlign w:val="center"/>
          </w:tcPr>
          <w:p w14:paraId="35A27352">
            <w:pPr>
              <w:spacing w:line="360" w:lineRule="auto"/>
              <w:jc w:val="center"/>
              <w:rPr>
                <w:rFonts w:hint="eastAsia" w:ascii="宋体" w:hAnsi="宋体" w:eastAsia="宋体" w:cs="宋体"/>
                <w:color w:val="auto"/>
                <w:sz w:val="21"/>
                <w:szCs w:val="21"/>
                <w:highlight w:val="none"/>
              </w:rPr>
            </w:pPr>
          </w:p>
        </w:tc>
        <w:tc>
          <w:tcPr>
            <w:tcW w:w="7446" w:type="dxa"/>
            <w:vAlign w:val="center"/>
          </w:tcPr>
          <w:p w14:paraId="14D8303E">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支持分库分表按照逻辑库表导出</w:t>
            </w:r>
            <w:r>
              <w:rPr>
                <w:rFonts w:hint="eastAsia" w:ascii="宋体" w:hAnsi="宋体" w:eastAsia="宋体" w:cs="宋体"/>
                <w:color w:val="auto"/>
                <w:sz w:val="21"/>
                <w:szCs w:val="21"/>
                <w:highlight w:val="none"/>
                <w:lang w:eastAsia="zh-CN"/>
              </w:rPr>
              <w:t>。</w:t>
            </w:r>
          </w:p>
        </w:tc>
      </w:tr>
      <w:tr w14:paraId="043C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0" w:type="auto"/>
            <w:vMerge w:val="continue"/>
            <w:vAlign w:val="center"/>
          </w:tcPr>
          <w:p w14:paraId="7BE2852E">
            <w:pPr>
              <w:spacing w:line="360" w:lineRule="auto"/>
              <w:jc w:val="center"/>
              <w:rPr>
                <w:rFonts w:hint="eastAsia" w:ascii="宋体" w:hAnsi="宋体" w:eastAsia="宋体" w:cs="宋体"/>
                <w:color w:val="auto"/>
                <w:sz w:val="21"/>
                <w:szCs w:val="21"/>
                <w:highlight w:val="none"/>
              </w:rPr>
            </w:pPr>
          </w:p>
        </w:tc>
        <w:tc>
          <w:tcPr>
            <w:tcW w:w="7446" w:type="dxa"/>
            <w:vAlign w:val="center"/>
          </w:tcPr>
          <w:p w14:paraId="62BF19F5">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提供show slow，show node show datasource trace等丰富命令帮助迅速定位慢SQL问题</w:t>
            </w:r>
            <w:r>
              <w:rPr>
                <w:rFonts w:hint="eastAsia" w:ascii="宋体" w:hAnsi="宋体" w:eastAsia="宋体" w:cs="宋体"/>
                <w:color w:val="auto"/>
                <w:sz w:val="21"/>
                <w:szCs w:val="21"/>
                <w:highlight w:val="none"/>
                <w:lang w:eastAsia="zh-CN"/>
              </w:rPr>
              <w:t>。</w:t>
            </w:r>
          </w:p>
        </w:tc>
      </w:tr>
      <w:tr w14:paraId="71F7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0" w:type="auto"/>
            <w:vMerge w:val="continue"/>
            <w:vAlign w:val="center"/>
          </w:tcPr>
          <w:p w14:paraId="7BF9C6D6">
            <w:pPr>
              <w:spacing w:line="360" w:lineRule="auto"/>
              <w:jc w:val="center"/>
              <w:rPr>
                <w:rFonts w:hint="eastAsia" w:ascii="宋体" w:hAnsi="宋体" w:eastAsia="宋体" w:cs="宋体"/>
                <w:color w:val="auto"/>
                <w:sz w:val="21"/>
                <w:szCs w:val="21"/>
                <w:highlight w:val="none"/>
              </w:rPr>
            </w:pPr>
          </w:p>
        </w:tc>
        <w:tc>
          <w:tcPr>
            <w:tcW w:w="7446" w:type="dxa"/>
            <w:vAlign w:val="center"/>
          </w:tcPr>
          <w:p w14:paraId="28FE389B">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支持自动化数据拆分，支持字符串，日期，数字的多种拆分方案</w:t>
            </w:r>
            <w:r>
              <w:rPr>
                <w:rFonts w:hint="eastAsia" w:ascii="宋体" w:hAnsi="宋体" w:eastAsia="宋体" w:cs="宋体"/>
                <w:color w:val="auto"/>
                <w:sz w:val="21"/>
                <w:szCs w:val="21"/>
                <w:highlight w:val="none"/>
                <w:lang w:eastAsia="zh-CN"/>
              </w:rPr>
              <w:t>。</w:t>
            </w:r>
          </w:p>
        </w:tc>
      </w:tr>
      <w:tr w14:paraId="6E02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0" w:type="auto"/>
            <w:vMerge w:val="continue"/>
            <w:vAlign w:val="center"/>
          </w:tcPr>
          <w:p w14:paraId="3F11D86B">
            <w:pPr>
              <w:spacing w:line="360" w:lineRule="auto"/>
              <w:jc w:val="center"/>
              <w:rPr>
                <w:rFonts w:hint="eastAsia" w:ascii="宋体" w:hAnsi="宋体" w:eastAsia="宋体" w:cs="宋体"/>
                <w:color w:val="auto"/>
                <w:sz w:val="21"/>
                <w:szCs w:val="21"/>
                <w:highlight w:val="none"/>
              </w:rPr>
            </w:pPr>
          </w:p>
        </w:tc>
        <w:tc>
          <w:tcPr>
            <w:tcW w:w="7446" w:type="dxa"/>
            <w:vAlign w:val="center"/>
          </w:tcPr>
          <w:p w14:paraId="4C28E3AD">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提供完整的数据库运维监控系统，对数据库IOPS、TPS、CPU实时监控</w:t>
            </w:r>
            <w:r>
              <w:rPr>
                <w:rFonts w:hint="eastAsia" w:ascii="宋体" w:hAnsi="宋体" w:eastAsia="宋体" w:cs="宋体"/>
                <w:color w:val="auto"/>
                <w:sz w:val="21"/>
                <w:szCs w:val="21"/>
                <w:highlight w:val="none"/>
                <w:lang w:eastAsia="zh-CN"/>
              </w:rPr>
              <w:t>。</w:t>
            </w:r>
          </w:p>
        </w:tc>
      </w:tr>
      <w:tr w14:paraId="202B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0" w:type="auto"/>
            <w:vMerge w:val="restart"/>
            <w:vAlign w:val="center"/>
          </w:tcPr>
          <w:p w14:paraId="5B49F88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服务安全</w:t>
            </w:r>
          </w:p>
        </w:tc>
        <w:tc>
          <w:tcPr>
            <w:tcW w:w="7446" w:type="dxa"/>
            <w:vAlign w:val="center"/>
          </w:tcPr>
          <w:p w14:paraId="7260AD67">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采用分布式集群服务，无服务单点故障</w:t>
            </w:r>
            <w:r>
              <w:rPr>
                <w:rFonts w:hint="eastAsia" w:ascii="宋体" w:hAnsi="宋体" w:eastAsia="宋体" w:cs="宋体"/>
                <w:color w:val="auto"/>
                <w:sz w:val="21"/>
                <w:szCs w:val="21"/>
                <w:highlight w:val="none"/>
                <w:lang w:eastAsia="zh-CN"/>
              </w:rPr>
              <w:t>。</w:t>
            </w:r>
          </w:p>
        </w:tc>
      </w:tr>
      <w:tr w14:paraId="0222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0" w:type="auto"/>
            <w:vMerge w:val="continue"/>
            <w:vAlign w:val="center"/>
          </w:tcPr>
          <w:p w14:paraId="2FABFAB7">
            <w:pPr>
              <w:spacing w:line="360" w:lineRule="auto"/>
              <w:jc w:val="center"/>
              <w:rPr>
                <w:rFonts w:hint="eastAsia" w:ascii="宋体" w:hAnsi="宋体" w:eastAsia="宋体" w:cs="宋体"/>
                <w:color w:val="auto"/>
                <w:sz w:val="21"/>
                <w:szCs w:val="21"/>
                <w:highlight w:val="none"/>
              </w:rPr>
            </w:pPr>
          </w:p>
        </w:tc>
        <w:tc>
          <w:tcPr>
            <w:tcW w:w="7446" w:type="dxa"/>
            <w:vAlign w:val="center"/>
          </w:tcPr>
          <w:p w14:paraId="66248BCD">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支持存储层关系型数据库白名单自动维护，通过白名单保证访问安全</w:t>
            </w:r>
            <w:r>
              <w:rPr>
                <w:rFonts w:hint="eastAsia" w:ascii="宋体" w:hAnsi="宋体" w:eastAsia="宋体" w:cs="宋体"/>
                <w:color w:val="auto"/>
                <w:sz w:val="21"/>
                <w:szCs w:val="21"/>
                <w:highlight w:val="none"/>
                <w:lang w:eastAsia="zh-CN"/>
              </w:rPr>
              <w:t>。</w:t>
            </w:r>
          </w:p>
        </w:tc>
      </w:tr>
    </w:tbl>
    <w:p w14:paraId="461146B2">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 分布式任务调度</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455"/>
      </w:tblGrid>
      <w:tr w14:paraId="5961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14:paraId="5B567091">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指标项</w:t>
            </w:r>
          </w:p>
        </w:tc>
        <w:tc>
          <w:tcPr>
            <w:tcW w:w="7455" w:type="dxa"/>
            <w:tcBorders>
              <w:top w:val="single" w:color="auto" w:sz="4" w:space="0"/>
              <w:left w:val="nil"/>
              <w:bottom w:val="single" w:color="auto" w:sz="4" w:space="0"/>
              <w:right w:val="single" w:color="auto" w:sz="4" w:space="0"/>
            </w:tcBorders>
            <w:vAlign w:val="center"/>
          </w:tcPr>
          <w:p w14:paraId="3D153D20">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规格要求</w:t>
            </w:r>
          </w:p>
        </w:tc>
      </w:tr>
      <w:tr w14:paraId="1715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3" w:type="dxa"/>
            <w:tcBorders>
              <w:top w:val="single" w:color="auto" w:sz="4" w:space="0"/>
              <w:left w:val="single" w:color="auto" w:sz="4" w:space="0"/>
              <w:bottom w:val="single" w:color="auto" w:sz="4" w:space="0"/>
              <w:right w:val="single" w:color="auto" w:sz="4" w:space="0"/>
            </w:tcBorders>
            <w:vAlign w:val="center"/>
          </w:tcPr>
          <w:p w14:paraId="58862C57">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服务标准</w:t>
            </w:r>
          </w:p>
        </w:tc>
        <w:tc>
          <w:tcPr>
            <w:tcW w:w="7455" w:type="dxa"/>
            <w:tcBorders>
              <w:top w:val="single" w:color="auto" w:sz="4" w:space="0"/>
              <w:left w:val="nil"/>
              <w:bottom w:val="single" w:color="auto" w:sz="4" w:space="0"/>
              <w:right w:val="single" w:color="auto" w:sz="4" w:space="0"/>
            </w:tcBorders>
            <w:vAlign w:val="center"/>
          </w:tcPr>
          <w:p w14:paraId="67E79EB5">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基于Akka架构，提供定时、工作流任务编排、分布式批量调度等功能，具有高可靠、海量任务、秒级调度能力。</w:t>
            </w:r>
          </w:p>
        </w:tc>
      </w:tr>
      <w:tr w14:paraId="7FCA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3" w:type="dxa"/>
            <w:vMerge w:val="restart"/>
            <w:tcBorders>
              <w:top w:val="nil"/>
              <w:left w:val="single" w:color="auto" w:sz="4" w:space="0"/>
              <w:bottom w:val="single" w:color="auto" w:sz="4" w:space="0"/>
              <w:right w:val="single" w:color="auto" w:sz="4" w:space="0"/>
            </w:tcBorders>
            <w:vAlign w:val="center"/>
          </w:tcPr>
          <w:p w14:paraId="5167ECF6">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服务特性</w:t>
            </w:r>
          </w:p>
        </w:tc>
        <w:tc>
          <w:tcPr>
            <w:tcW w:w="7455" w:type="dxa"/>
            <w:tcBorders>
              <w:top w:val="single" w:color="auto" w:sz="4" w:space="0"/>
              <w:left w:val="nil"/>
              <w:bottom w:val="single" w:color="auto" w:sz="4" w:space="0"/>
              <w:right w:val="single" w:color="auto" w:sz="4" w:space="0"/>
            </w:tcBorders>
            <w:vAlign w:val="center"/>
          </w:tcPr>
          <w:p w14:paraId="31590425">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多种调度任务类型：在定时调度和工作流调度中支持基于多语言的多种任务类型。</w:t>
            </w:r>
          </w:p>
          <w:p w14:paraId="099CC3E6">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Java：可以在用户进程中执行，也可以通过上传JAR包动态加载。</w:t>
            </w:r>
          </w:p>
          <w:p w14:paraId="2A339984">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Shell：前端直接写Shell脚本。</w:t>
            </w:r>
          </w:p>
          <w:p w14:paraId="0F2014F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Python：前端直接写Python脚本，需要Python环境。</w:t>
            </w:r>
          </w:p>
          <w:p w14:paraId="7AF88B4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Go：前端直接写Go脚本，需要Go环境。</w:t>
            </w:r>
          </w:p>
          <w:p w14:paraId="071A43C5">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HTTP：HTTP任务无需依赖Client，在控制台配置</w:t>
            </w:r>
            <w:r>
              <w:rPr>
                <w:rFonts w:hint="eastAsia" w:ascii="宋体" w:hAnsi="宋体" w:cs="宋体"/>
                <w:color w:val="auto"/>
                <w:sz w:val="21"/>
                <w:szCs w:val="21"/>
                <w:highlight w:val="none"/>
                <w:lang w:eastAsia="zh-CN" w:bidi="ar"/>
              </w:rPr>
              <w:t>完成</w:t>
            </w:r>
            <w:r>
              <w:rPr>
                <w:rFonts w:hint="eastAsia" w:ascii="宋体" w:hAnsi="宋体" w:eastAsia="宋体" w:cs="宋体"/>
                <w:color w:val="auto"/>
                <w:sz w:val="21"/>
                <w:szCs w:val="21"/>
                <w:highlight w:val="none"/>
                <w:lang w:bidi="ar"/>
              </w:rPr>
              <w:t>即可使用。</w:t>
            </w:r>
          </w:p>
          <w:p w14:paraId="0D5C35C8">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自定义：可以自定义任务类型，然后实现一个Plugin即可。</w:t>
            </w:r>
          </w:p>
          <w:p w14:paraId="28BEFDEA">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执行：支持多种执行方式和主流的分布式编程模型。</w:t>
            </w:r>
          </w:p>
        </w:tc>
      </w:tr>
      <w:tr w14:paraId="733C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3" w:type="dxa"/>
            <w:vMerge w:val="continue"/>
            <w:tcBorders>
              <w:top w:val="nil"/>
              <w:left w:val="single" w:color="auto" w:sz="4" w:space="0"/>
              <w:bottom w:val="single" w:color="auto" w:sz="4" w:space="0"/>
              <w:right w:val="single" w:color="auto" w:sz="4" w:space="0"/>
            </w:tcBorders>
            <w:vAlign w:val="center"/>
          </w:tcPr>
          <w:p w14:paraId="19EF9EAC">
            <w:pPr>
              <w:spacing w:line="360" w:lineRule="auto"/>
              <w:rPr>
                <w:rFonts w:hint="eastAsia" w:ascii="宋体" w:hAnsi="宋体" w:eastAsia="宋体" w:cs="宋体"/>
                <w:color w:val="auto"/>
                <w:sz w:val="21"/>
                <w:szCs w:val="21"/>
                <w:highlight w:val="none"/>
              </w:rPr>
            </w:pPr>
          </w:p>
        </w:tc>
        <w:tc>
          <w:tcPr>
            <w:tcW w:w="7455" w:type="dxa"/>
            <w:tcBorders>
              <w:top w:val="single" w:color="auto" w:sz="4" w:space="0"/>
              <w:left w:val="nil"/>
              <w:bottom w:val="single" w:color="auto" w:sz="4" w:space="0"/>
              <w:right w:val="single" w:color="auto" w:sz="4" w:space="0"/>
            </w:tcBorders>
            <w:vAlign w:val="center"/>
          </w:tcPr>
          <w:p w14:paraId="50AD6AC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多种执行方式</w:t>
            </w:r>
          </w:p>
          <w:p w14:paraId="7D5B1CB8">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单机：随机挑选一台机器执行。</w:t>
            </w:r>
          </w:p>
          <w:p w14:paraId="0747E143">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广播：所有机器同时执行且等待全部结束。</w:t>
            </w:r>
          </w:p>
          <w:p w14:paraId="18994FA2">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并行计算：map/mapreduce模型，1~300个子任务，有子任务列表。</w:t>
            </w:r>
          </w:p>
          <w:p w14:paraId="56CF29BA">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内存网格：map/mapreduce模型，50,000以下子任务，无子任务列表，基于内存计算，比网格计算快。</w:t>
            </w:r>
          </w:p>
          <w:p w14:paraId="4A9196D1">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网格计算：map/mapreduce模型，1000,000以下子任务，无子任务列表，基于文件H2计算。</w:t>
            </w:r>
          </w:p>
          <w:p w14:paraId="511FE241">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分片运行：类似elastic-job模型，控制台配置分片参数，可以将分片平均分给多个客户端执行。支持多语言版本。</w:t>
            </w:r>
          </w:p>
          <w:p w14:paraId="7C3583D6">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分布式编程模型</w:t>
            </w:r>
          </w:p>
          <w:p w14:paraId="2733646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Map模型：类似于Hadoop MapReduce里的Map。只要实现一个 Map方法，简单几行代码就可以将海量数据分发到多台机器上执行。</w:t>
            </w:r>
          </w:p>
          <w:p w14:paraId="256A012E">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MapReduce模型：MapReduce模型是Map模型的扩展，废弃了postProcess方法，新增Reduce接口，需要实现 MapReduceJobProcessor。</w:t>
            </w:r>
          </w:p>
        </w:tc>
      </w:tr>
      <w:tr w14:paraId="6176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583" w:type="dxa"/>
            <w:vMerge w:val="continue"/>
            <w:tcBorders>
              <w:top w:val="nil"/>
              <w:left w:val="single" w:color="auto" w:sz="4" w:space="0"/>
              <w:bottom w:val="single" w:color="auto" w:sz="4" w:space="0"/>
              <w:right w:val="single" w:color="auto" w:sz="4" w:space="0"/>
            </w:tcBorders>
            <w:vAlign w:val="center"/>
          </w:tcPr>
          <w:p w14:paraId="1A5C47C7">
            <w:pPr>
              <w:spacing w:line="360" w:lineRule="auto"/>
              <w:rPr>
                <w:rFonts w:hint="eastAsia" w:ascii="宋体" w:hAnsi="宋体" w:eastAsia="宋体" w:cs="宋体"/>
                <w:color w:val="auto"/>
                <w:sz w:val="21"/>
                <w:szCs w:val="21"/>
                <w:highlight w:val="none"/>
              </w:rPr>
            </w:pPr>
          </w:p>
        </w:tc>
        <w:tc>
          <w:tcPr>
            <w:tcW w:w="7455" w:type="dxa"/>
            <w:tcBorders>
              <w:top w:val="single" w:color="auto" w:sz="4" w:space="0"/>
              <w:left w:val="nil"/>
              <w:bottom w:val="single" w:color="auto" w:sz="4" w:space="0"/>
              <w:right w:val="single" w:color="auto" w:sz="4" w:space="0"/>
            </w:tcBorders>
            <w:vAlign w:val="center"/>
          </w:tcPr>
          <w:p w14:paraId="014AF656">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运维能力</w:t>
            </w:r>
          </w:p>
          <w:p w14:paraId="1BCBADD3">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数据大盘：</w:t>
            </w:r>
          </w:p>
          <w:p w14:paraId="51267877">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控制台提供了执行记录大盘和执行列表，可以看到每个任务的执行历史，并提供操作。</w:t>
            </w:r>
          </w:p>
          <w:p w14:paraId="7429E31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查看日志：</w:t>
            </w:r>
          </w:p>
          <w:p w14:paraId="67B765E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每次执行的调度任务都可以在详情中查看运行日志。如果任务执行失败，前端直接就能看到错误日志，非常方便。</w:t>
            </w:r>
          </w:p>
          <w:p w14:paraId="5F2675E5">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原地重跑：</w:t>
            </w:r>
          </w:p>
          <w:p w14:paraId="3484C851">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任务失败，修改完代码发布后，可以立即重新执行。</w:t>
            </w:r>
          </w:p>
          <w:p w14:paraId="6BD2E3F1">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标记成功：</w:t>
            </w:r>
          </w:p>
          <w:p w14:paraId="09E5D68C">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任务失败，如果后台把数据处理修正了，重新执行又需要几个小时，可以直接将任务标记为成功。</w:t>
            </w:r>
          </w:p>
          <w:p w14:paraId="6B98C4A7">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停止调度任务：</w:t>
            </w:r>
          </w:p>
          <w:p w14:paraId="48511571">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实现JobProcessor的kill() 接口，可以在前端停止正在运行的任务，甚至子任务。</w:t>
            </w:r>
          </w:p>
          <w:p w14:paraId="3EEA89D6">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数据时间：</w:t>
            </w:r>
          </w:p>
          <w:p w14:paraId="4E59C6E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可以处理有数据状态的任务，在创建任务的时候设置调度时间，而实际上处理的数据时间可能和任务执行时间不一致，可以配置时间偏移，调度时间 + 时间偏移即数据时间。例如一个任务是每天00:30运行，但是实际上要处理前一天的数据，就可以向前偏移一个小时。调度时间不变，执行的时候通过context.getDataTime() 获得的就是前一天23:30。</w:t>
            </w:r>
          </w:p>
          <w:p w14:paraId="567D83B7">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重刷数据：</w:t>
            </w:r>
          </w:p>
          <w:p w14:paraId="77449DFC">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通过重刷数据功能，可以重刷某些任务/工作流的数据（只支持天级别），每个实例都是不同的数据时间。</w:t>
            </w:r>
          </w:p>
          <w:p w14:paraId="56628C89">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失败自动重试：</w:t>
            </w:r>
          </w:p>
          <w:p w14:paraId="1962C563">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实例失败自动重试：在任务管理的高级配置中，可以配置实例失败重试次数和重试间隔，例如重试3次，每次间隔30秒。如果重试3次仍旧失败，该实例状态才会变为失败，并发送报警。</w:t>
            </w:r>
          </w:p>
          <w:p w14:paraId="4C90C38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子任务失败自动重试：如果是分布式任务（并行计算/内网网格/网格计算），子任务需支持失败自动重试和重试间隔，支持通过任务管理的高级配置进行配置。</w:t>
            </w:r>
          </w:p>
          <w:p w14:paraId="4BBE9F7E">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报警监控：失败报警、超时报警；</w:t>
            </w:r>
          </w:p>
          <w:p w14:paraId="51163C12">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报警方式：</w:t>
            </w:r>
            <w:r>
              <w:rPr>
                <w:rFonts w:hint="eastAsia" w:ascii="宋体" w:hAnsi="宋体" w:eastAsia="宋体" w:cs="宋体"/>
                <w:color w:val="auto"/>
                <w:sz w:val="21"/>
                <w:szCs w:val="21"/>
                <w:highlight w:val="none"/>
                <w:lang w:eastAsia="zh-CN" w:bidi="ar"/>
              </w:rPr>
              <w:t>钉钉（浙政钉）</w:t>
            </w:r>
            <w:r>
              <w:rPr>
                <w:rFonts w:hint="eastAsia" w:ascii="宋体" w:hAnsi="宋体" w:eastAsia="宋体" w:cs="宋体"/>
                <w:color w:val="auto"/>
                <w:sz w:val="21"/>
                <w:szCs w:val="21"/>
                <w:highlight w:val="none"/>
                <w:lang w:bidi="ar"/>
              </w:rPr>
              <w:t>、短信</w:t>
            </w:r>
          </w:p>
        </w:tc>
      </w:tr>
      <w:tr w14:paraId="0CCD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3" w:type="dxa"/>
            <w:vMerge w:val="restart"/>
            <w:tcBorders>
              <w:top w:val="nil"/>
              <w:left w:val="single" w:color="auto" w:sz="4" w:space="0"/>
              <w:bottom w:val="single" w:color="auto" w:sz="4" w:space="0"/>
              <w:right w:val="single" w:color="auto" w:sz="4" w:space="0"/>
            </w:tcBorders>
            <w:vAlign w:val="center"/>
          </w:tcPr>
          <w:p w14:paraId="506E450B">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服务能力</w:t>
            </w:r>
          </w:p>
        </w:tc>
        <w:tc>
          <w:tcPr>
            <w:tcW w:w="7455" w:type="dxa"/>
            <w:tcBorders>
              <w:top w:val="single" w:color="auto" w:sz="4" w:space="0"/>
              <w:left w:val="nil"/>
              <w:bottom w:val="single" w:color="auto" w:sz="4" w:space="0"/>
              <w:right w:val="single" w:color="auto" w:sz="4" w:space="0"/>
            </w:tcBorders>
            <w:vAlign w:val="center"/>
          </w:tcPr>
          <w:p w14:paraId="495B386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高可靠</w:t>
            </w:r>
          </w:p>
          <w:p w14:paraId="1B674366">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通过主备机制、消息At-least-once delivery、定期轮检等多种手段，保证任务调度和运行的高可靠。</w:t>
            </w:r>
          </w:p>
        </w:tc>
      </w:tr>
      <w:tr w14:paraId="52C56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3" w:type="dxa"/>
            <w:vMerge w:val="continue"/>
            <w:tcBorders>
              <w:top w:val="nil"/>
              <w:left w:val="single" w:color="auto" w:sz="4" w:space="0"/>
              <w:bottom w:val="single" w:color="auto" w:sz="4" w:space="0"/>
              <w:right w:val="single" w:color="auto" w:sz="4" w:space="0"/>
            </w:tcBorders>
            <w:vAlign w:val="center"/>
          </w:tcPr>
          <w:p w14:paraId="3B79309E">
            <w:pPr>
              <w:spacing w:line="360" w:lineRule="auto"/>
              <w:rPr>
                <w:rFonts w:hint="eastAsia" w:ascii="宋体" w:hAnsi="宋体" w:eastAsia="宋体" w:cs="宋体"/>
                <w:color w:val="auto"/>
                <w:sz w:val="21"/>
                <w:szCs w:val="21"/>
                <w:highlight w:val="none"/>
              </w:rPr>
            </w:pPr>
          </w:p>
        </w:tc>
        <w:tc>
          <w:tcPr>
            <w:tcW w:w="7455" w:type="dxa"/>
            <w:tcBorders>
              <w:top w:val="single" w:color="auto" w:sz="4" w:space="0"/>
              <w:left w:val="nil"/>
              <w:bottom w:val="single" w:color="auto" w:sz="4" w:space="0"/>
              <w:right w:val="single" w:color="auto" w:sz="4" w:space="0"/>
            </w:tcBorders>
            <w:vAlign w:val="center"/>
          </w:tcPr>
          <w:p w14:paraId="7E0B128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高性能</w:t>
            </w:r>
          </w:p>
          <w:p w14:paraId="238BA646">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通过分布式的架构和Akka异步特性，支持海量任务和秒级别调度。</w:t>
            </w:r>
          </w:p>
        </w:tc>
      </w:tr>
      <w:tr w14:paraId="6649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83" w:type="dxa"/>
            <w:vMerge w:val="continue"/>
            <w:tcBorders>
              <w:top w:val="nil"/>
              <w:left w:val="single" w:color="auto" w:sz="4" w:space="0"/>
              <w:bottom w:val="single" w:color="auto" w:sz="4" w:space="0"/>
              <w:right w:val="single" w:color="auto" w:sz="4" w:space="0"/>
            </w:tcBorders>
            <w:vAlign w:val="center"/>
          </w:tcPr>
          <w:p w14:paraId="6CDD565C">
            <w:pPr>
              <w:spacing w:line="360" w:lineRule="auto"/>
              <w:rPr>
                <w:rFonts w:hint="eastAsia" w:ascii="宋体" w:hAnsi="宋体" w:eastAsia="宋体" w:cs="宋体"/>
                <w:color w:val="auto"/>
                <w:sz w:val="21"/>
                <w:szCs w:val="21"/>
                <w:highlight w:val="none"/>
              </w:rPr>
            </w:pPr>
          </w:p>
        </w:tc>
        <w:tc>
          <w:tcPr>
            <w:tcW w:w="7455" w:type="dxa"/>
            <w:tcBorders>
              <w:top w:val="single" w:color="auto" w:sz="4" w:space="0"/>
              <w:left w:val="nil"/>
              <w:bottom w:val="single" w:color="auto" w:sz="4" w:space="0"/>
              <w:right w:val="single" w:color="auto" w:sz="4" w:space="0"/>
            </w:tcBorders>
            <w:vAlign w:val="center"/>
          </w:tcPr>
          <w:p w14:paraId="441D101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丰富的调度和计算场景</w:t>
            </w:r>
          </w:p>
          <w:p w14:paraId="7EC74985">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支持定时调度、API调度、任务编排；支持单机、广播、分布式计算多种计算模型。</w:t>
            </w:r>
          </w:p>
        </w:tc>
      </w:tr>
      <w:tr w14:paraId="093B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83" w:type="dxa"/>
            <w:vMerge w:val="continue"/>
            <w:tcBorders>
              <w:top w:val="nil"/>
              <w:left w:val="single" w:color="auto" w:sz="4" w:space="0"/>
              <w:bottom w:val="single" w:color="auto" w:sz="4" w:space="0"/>
              <w:right w:val="single" w:color="auto" w:sz="4" w:space="0"/>
            </w:tcBorders>
            <w:vAlign w:val="center"/>
          </w:tcPr>
          <w:p w14:paraId="09B93E92">
            <w:pPr>
              <w:spacing w:line="360" w:lineRule="auto"/>
              <w:rPr>
                <w:rFonts w:hint="eastAsia" w:ascii="宋体" w:hAnsi="宋体" w:eastAsia="宋体" w:cs="宋体"/>
                <w:color w:val="auto"/>
                <w:sz w:val="21"/>
                <w:szCs w:val="21"/>
                <w:highlight w:val="none"/>
              </w:rPr>
            </w:pPr>
          </w:p>
        </w:tc>
        <w:tc>
          <w:tcPr>
            <w:tcW w:w="7455" w:type="dxa"/>
            <w:tcBorders>
              <w:top w:val="single" w:color="auto" w:sz="4" w:space="0"/>
              <w:left w:val="nil"/>
              <w:bottom w:val="single" w:color="auto" w:sz="4" w:space="0"/>
              <w:right w:val="single" w:color="auto" w:sz="4" w:space="0"/>
            </w:tcBorders>
            <w:vAlign w:val="center"/>
          </w:tcPr>
          <w:p w14:paraId="3E8F4731">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简单易用</w:t>
            </w:r>
          </w:p>
          <w:p w14:paraId="6C569899">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接入简单，提供易用运维工具，如前端可以查看执行记录和运行日志，支持原地重跑、重刷数据等操作。</w:t>
            </w:r>
          </w:p>
        </w:tc>
      </w:tr>
    </w:tbl>
    <w:p w14:paraId="04C54EBF">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 容器服务</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7463"/>
      </w:tblGrid>
      <w:tr w14:paraId="0E41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7A427F44">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指标项</w:t>
            </w:r>
          </w:p>
        </w:tc>
        <w:tc>
          <w:tcPr>
            <w:tcW w:w="7463" w:type="dxa"/>
            <w:tcBorders>
              <w:top w:val="single" w:color="auto" w:sz="4" w:space="0"/>
              <w:left w:val="nil"/>
              <w:bottom w:val="single" w:color="auto" w:sz="4" w:space="0"/>
              <w:right w:val="single" w:color="auto" w:sz="4" w:space="0"/>
            </w:tcBorders>
            <w:vAlign w:val="center"/>
          </w:tcPr>
          <w:p w14:paraId="776C6800">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规格要求</w:t>
            </w:r>
          </w:p>
        </w:tc>
      </w:tr>
      <w:tr w14:paraId="7555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tcBorders>
              <w:top w:val="single" w:color="auto" w:sz="4" w:space="0"/>
              <w:left w:val="single" w:color="auto" w:sz="4" w:space="0"/>
              <w:bottom w:val="single" w:color="auto" w:sz="4" w:space="0"/>
              <w:right w:val="single" w:color="auto" w:sz="4" w:space="0"/>
            </w:tcBorders>
            <w:vAlign w:val="center"/>
          </w:tcPr>
          <w:p w14:paraId="77E1BDE7">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服务标准</w:t>
            </w:r>
          </w:p>
        </w:tc>
        <w:tc>
          <w:tcPr>
            <w:tcW w:w="7463" w:type="dxa"/>
            <w:tcBorders>
              <w:top w:val="single" w:color="auto" w:sz="4" w:space="0"/>
              <w:left w:val="nil"/>
              <w:bottom w:val="single" w:color="auto" w:sz="4" w:space="0"/>
              <w:right w:val="single" w:color="auto" w:sz="4" w:space="0"/>
            </w:tcBorders>
            <w:vAlign w:val="center"/>
          </w:tcPr>
          <w:p w14:paraId="71B2C4BA">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容器服务（Container Service）是一种高性能可伸缩的容器管理服务，支持企业级Kubernetes容器化应用的生命周期管理。</w:t>
            </w:r>
          </w:p>
          <w:p w14:paraId="04767DB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容器服务简化集群的搭建和扩容等运维工作，整合虚拟化、存储、网络和安全能力，打造云端最佳的 Kubernetes 容器化应用运行环境。</w:t>
            </w:r>
          </w:p>
        </w:tc>
      </w:tr>
      <w:tr w14:paraId="71F8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vMerge w:val="restart"/>
            <w:tcBorders>
              <w:top w:val="nil"/>
              <w:left w:val="single" w:color="auto" w:sz="4" w:space="0"/>
              <w:bottom w:val="single" w:color="auto" w:sz="4" w:space="0"/>
              <w:right w:val="single" w:color="auto" w:sz="4" w:space="0"/>
            </w:tcBorders>
            <w:vAlign w:val="center"/>
          </w:tcPr>
          <w:p w14:paraId="1C30A516">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服务特性</w:t>
            </w:r>
          </w:p>
        </w:tc>
        <w:tc>
          <w:tcPr>
            <w:tcW w:w="7463" w:type="dxa"/>
            <w:tcBorders>
              <w:top w:val="single" w:color="auto" w:sz="4" w:space="0"/>
              <w:left w:val="nil"/>
              <w:bottom w:val="single" w:color="auto" w:sz="4" w:space="0"/>
              <w:right w:val="single" w:color="auto" w:sz="4" w:space="0"/>
            </w:tcBorders>
            <w:vAlign w:val="center"/>
          </w:tcPr>
          <w:p w14:paraId="689C4DA9">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集群管理：</w:t>
            </w:r>
          </w:p>
          <w:p w14:paraId="225A7A72">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通过控制台10分钟一键创建经典Dedicated Kubernetes集群。</w:t>
            </w:r>
          </w:p>
          <w:p w14:paraId="14D0E891">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提供容器优化的OS镜像，提供稳定测试和安全加固的Kuberntes和Docker版本。</w:t>
            </w:r>
          </w:p>
          <w:p w14:paraId="0DD87EE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支持多集群管理，支持集群升级和伸缩。</w:t>
            </w:r>
          </w:p>
        </w:tc>
      </w:tr>
      <w:tr w14:paraId="6EBC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vMerge w:val="continue"/>
            <w:tcBorders>
              <w:top w:val="nil"/>
              <w:left w:val="single" w:color="auto" w:sz="4" w:space="0"/>
              <w:bottom w:val="single" w:color="auto" w:sz="4" w:space="0"/>
              <w:right w:val="single" w:color="auto" w:sz="4" w:space="0"/>
            </w:tcBorders>
            <w:vAlign w:val="center"/>
          </w:tcPr>
          <w:p w14:paraId="4E3DFF97">
            <w:pPr>
              <w:spacing w:line="360" w:lineRule="auto"/>
              <w:rPr>
                <w:rFonts w:hint="eastAsia" w:ascii="宋体" w:hAnsi="宋体" w:eastAsia="宋体" w:cs="宋体"/>
                <w:color w:val="auto"/>
                <w:sz w:val="21"/>
                <w:szCs w:val="21"/>
                <w:highlight w:val="none"/>
              </w:rPr>
            </w:pPr>
          </w:p>
        </w:tc>
        <w:tc>
          <w:tcPr>
            <w:tcW w:w="7463" w:type="dxa"/>
            <w:tcBorders>
              <w:top w:val="single" w:color="auto" w:sz="4" w:space="0"/>
              <w:left w:val="nil"/>
              <w:bottom w:val="single" w:color="auto" w:sz="4" w:space="0"/>
              <w:right w:val="single" w:color="auto" w:sz="4" w:space="0"/>
            </w:tcBorders>
            <w:vAlign w:val="center"/>
          </w:tcPr>
          <w:p w14:paraId="4BAD2EA4">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一站式容器生命周期管理：</w:t>
            </w:r>
          </w:p>
          <w:p w14:paraId="7C9906C7">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网络</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提供优化的高性能专有网络/CNI网络插件，性能需优于普通网络方案20%。</w:t>
            </w:r>
          </w:p>
          <w:p w14:paraId="3CA48B8D">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支持容器访问策略和流控限制。</w:t>
            </w:r>
          </w:p>
          <w:p w14:paraId="37087915">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存储</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支持云盘、对象存储，提供标准的FlexVolume驱动。支持存储卷动态创建，迁移。</w:t>
            </w:r>
          </w:p>
          <w:p w14:paraId="7E9E4C83">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日志</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支持高性能日志自动采集和云日志服务集成。</w:t>
            </w:r>
          </w:p>
          <w:p w14:paraId="385376AD">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支持和第三方开源日志解决方案集成。</w:t>
            </w:r>
          </w:p>
          <w:p w14:paraId="34441F0E">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监控</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支持容器级别和VM级别的监控。可以和第三方开源监控解决方案进行集成。</w:t>
            </w:r>
          </w:p>
          <w:p w14:paraId="065350B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权限</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支持集群级别的RAM授权管理。</w:t>
            </w:r>
          </w:p>
          <w:p w14:paraId="74BC7FD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支持应用级别的权限配置管理。</w:t>
            </w:r>
          </w:p>
          <w:p w14:paraId="1528BF2D">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应用管理</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支持灰度发布，支持蓝绿发布。</w:t>
            </w:r>
          </w:p>
          <w:p w14:paraId="273B9F6C">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支持应用监控，应用弹性伸缩。</w:t>
            </w:r>
          </w:p>
        </w:tc>
      </w:tr>
      <w:tr w14:paraId="2A58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591" w:type="dxa"/>
            <w:vMerge w:val="continue"/>
            <w:tcBorders>
              <w:top w:val="nil"/>
              <w:left w:val="single" w:color="auto" w:sz="4" w:space="0"/>
              <w:bottom w:val="single" w:color="auto" w:sz="4" w:space="0"/>
              <w:right w:val="single" w:color="auto" w:sz="4" w:space="0"/>
            </w:tcBorders>
            <w:vAlign w:val="center"/>
          </w:tcPr>
          <w:p w14:paraId="338653F9">
            <w:pPr>
              <w:spacing w:line="360" w:lineRule="auto"/>
              <w:rPr>
                <w:rFonts w:hint="eastAsia" w:ascii="宋体" w:hAnsi="宋体" w:eastAsia="宋体" w:cs="宋体"/>
                <w:color w:val="auto"/>
                <w:sz w:val="21"/>
                <w:szCs w:val="21"/>
                <w:highlight w:val="none"/>
              </w:rPr>
            </w:pPr>
          </w:p>
        </w:tc>
        <w:tc>
          <w:tcPr>
            <w:tcW w:w="7463" w:type="dxa"/>
            <w:tcBorders>
              <w:top w:val="single" w:color="auto" w:sz="4" w:space="0"/>
              <w:left w:val="nil"/>
              <w:bottom w:val="single" w:color="auto" w:sz="4" w:space="0"/>
              <w:right w:val="single" w:color="auto" w:sz="4" w:space="0"/>
            </w:tcBorders>
            <w:vAlign w:val="center"/>
          </w:tcPr>
          <w:p w14:paraId="156AECA2">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高可用调度策略，打通上下游交付流程</w:t>
            </w:r>
          </w:p>
          <w:p w14:paraId="4F928E05">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支持服务级别的亲和性策略和横向扩展。</w:t>
            </w:r>
          </w:p>
          <w:p w14:paraId="231859AA">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支持跨可用区高可用和灾难恢复。</w:t>
            </w:r>
          </w:p>
          <w:p w14:paraId="3B65E19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支持集群和应用管理的 OpenAPI，轻松对接持续集成和私有部署系统。</w:t>
            </w:r>
          </w:p>
        </w:tc>
      </w:tr>
      <w:tr w14:paraId="65D4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vMerge w:val="restart"/>
            <w:tcBorders>
              <w:top w:val="nil"/>
              <w:left w:val="single" w:color="auto" w:sz="4" w:space="0"/>
              <w:bottom w:val="single" w:color="auto" w:sz="4" w:space="0"/>
              <w:right w:val="single" w:color="auto" w:sz="4" w:space="0"/>
            </w:tcBorders>
            <w:vAlign w:val="center"/>
          </w:tcPr>
          <w:p w14:paraId="0E824F82">
            <w:pPr>
              <w:autoSpaceDE w:val="0"/>
              <w:autoSpaceDN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服务能力</w:t>
            </w:r>
          </w:p>
        </w:tc>
        <w:tc>
          <w:tcPr>
            <w:tcW w:w="7463" w:type="dxa"/>
            <w:tcBorders>
              <w:top w:val="single" w:color="auto" w:sz="4" w:space="0"/>
              <w:left w:val="nil"/>
              <w:bottom w:val="single" w:color="auto" w:sz="4" w:space="0"/>
              <w:right w:val="single" w:color="auto" w:sz="4" w:space="0"/>
            </w:tcBorders>
            <w:vAlign w:val="center"/>
          </w:tcPr>
          <w:p w14:paraId="1F1A25B4">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负载均衡：支持创建负载均衡实例（公网、内网）。</w:t>
            </w:r>
          </w:p>
          <w:p w14:paraId="398A70FA">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容器服务的 负载均衡方案支持原生的高可用负载均衡，可以自动完成网络配置的修改和更新。</w:t>
            </w:r>
          </w:p>
        </w:tc>
      </w:tr>
      <w:tr w14:paraId="3E39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vMerge w:val="continue"/>
            <w:tcBorders>
              <w:top w:val="nil"/>
              <w:left w:val="single" w:color="auto" w:sz="4" w:space="0"/>
              <w:bottom w:val="single" w:color="auto" w:sz="4" w:space="0"/>
              <w:right w:val="single" w:color="auto" w:sz="4" w:space="0"/>
            </w:tcBorders>
            <w:vAlign w:val="center"/>
          </w:tcPr>
          <w:p w14:paraId="1B358900">
            <w:pPr>
              <w:spacing w:line="360" w:lineRule="auto"/>
              <w:rPr>
                <w:rFonts w:hint="eastAsia" w:ascii="宋体" w:hAnsi="宋体" w:eastAsia="宋体" w:cs="宋体"/>
                <w:color w:val="auto"/>
                <w:sz w:val="21"/>
                <w:szCs w:val="21"/>
                <w:highlight w:val="none"/>
              </w:rPr>
            </w:pPr>
          </w:p>
        </w:tc>
        <w:tc>
          <w:tcPr>
            <w:tcW w:w="7463" w:type="dxa"/>
            <w:tcBorders>
              <w:top w:val="single" w:color="auto" w:sz="4" w:space="0"/>
              <w:left w:val="nil"/>
              <w:bottom w:val="single" w:color="auto" w:sz="4" w:space="0"/>
              <w:right w:val="single" w:color="auto" w:sz="4" w:space="0"/>
            </w:tcBorders>
            <w:vAlign w:val="center"/>
          </w:tcPr>
          <w:p w14:paraId="407C444D">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存储：集成云盘、文件存储NAS、块存储EBS，提供标准的FlexVolume驱动。</w:t>
            </w:r>
          </w:p>
        </w:tc>
      </w:tr>
      <w:tr w14:paraId="6FD8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91" w:type="dxa"/>
            <w:vMerge w:val="continue"/>
            <w:tcBorders>
              <w:top w:val="nil"/>
              <w:left w:val="single" w:color="auto" w:sz="4" w:space="0"/>
              <w:bottom w:val="single" w:color="auto" w:sz="4" w:space="0"/>
              <w:right w:val="single" w:color="auto" w:sz="4" w:space="0"/>
            </w:tcBorders>
            <w:vAlign w:val="center"/>
          </w:tcPr>
          <w:p w14:paraId="51570A16">
            <w:pPr>
              <w:spacing w:line="360" w:lineRule="auto"/>
              <w:rPr>
                <w:rFonts w:hint="eastAsia" w:ascii="宋体" w:hAnsi="宋体" w:eastAsia="宋体" w:cs="宋体"/>
                <w:color w:val="auto"/>
                <w:sz w:val="21"/>
                <w:szCs w:val="21"/>
                <w:highlight w:val="none"/>
              </w:rPr>
            </w:pPr>
          </w:p>
        </w:tc>
        <w:tc>
          <w:tcPr>
            <w:tcW w:w="7463" w:type="dxa"/>
            <w:tcBorders>
              <w:top w:val="single" w:color="auto" w:sz="4" w:space="0"/>
              <w:left w:val="nil"/>
              <w:bottom w:val="single" w:color="auto" w:sz="4" w:space="0"/>
              <w:right w:val="single" w:color="auto" w:sz="4" w:space="0"/>
            </w:tcBorders>
            <w:vAlign w:val="center"/>
          </w:tcPr>
          <w:p w14:paraId="1FE6C887">
            <w:pPr>
              <w:autoSpaceDE w:val="0"/>
              <w:autoSpaceDN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 镜像仓库：高可用，支持</w:t>
            </w:r>
            <w:r>
              <w:rPr>
                <w:rFonts w:hint="eastAsia" w:ascii="宋体" w:hAnsi="宋体" w:cs="宋体"/>
                <w:color w:val="auto"/>
                <w:sz w:val="21"/>
                <w:szCs w:val="21"/>
                <w:highlight w:val="none"/>
                <w:lang w:val="en-US" w:eastAsia="zh-CN" w:bidi="ar"/>
              </w:rPr>
              <w:t>高</w:t>
            </w:r>
            <w:r>
              <w:rPr>
                <w:rFonts w:hint="eastAsia" w:ascii="宋体" w:hAnsi="宋体" w:eastAsia="宋体" w:cs="宋体"/>
                <w:color w:val="auto"/>
                <w:sz w:val="21"/>
                <w:szCs w:val="21"/>
                <w:highlight w:val="none"/>
                <w:lang w:bidi="ar"/>
              </w:rPr>
              <w:t>并发；支持镜像加速；支持p2p分发</w:t>
            </w:r>
            <w:r>
              <w:rPr>
                <w:rFonts w:hint="eastAsia" w:ascii="宋体" w:hAnsi="宋体" w:eastAsia="宋体" w:cs="宋体"/>
                <w:color w:val="auto"/>
                <w:sz w:val="21"/>
                <w:szCs w:val="21"/>
                <w:highlight w:val="none"/>
                <w:lang w:eastAsia="zh-CN" w:bidi="ar"/>
              </w:rPr>
              <w:t>。</w:t>
            </w:r>
          </w:p>
        </w:tc>
      </w:tr>
      <w:tr w14:paraId="1284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91" w:type="dxa"/>
            <w:vMerge w:val="continue"/>
            <w:tcBorders>
              <w:top w:val="nil"/>
              <w:left w:val="single" w:color="auto" w:sz="4" w:space="0"/>
              <w:bottom w:val="single" w:color="auto" w:sz="4" w:space="0"/>
              <w:right w:val="single" w:color="auto" w:sz="4" w:space="0"/>
            </w:tcBorders>
            <w:vAlign w:val="center"/>
          </w:tcPr>
          <w:p w14:paraId="57FAA221">
            <w:pPr>
              <w:spacing w:line="360" w:lineRule="auto"/>
              <w:rPr>
                <w:rFonts w:hint="eastAsia" w:ascii="宋体" w:hAnsi="宋体" w:eastAsia="宋体" w:cs="宋体"/>
                <w:color w:val="auto"/>
                <w:sz w:val="21"/>
                <w:szCs w:val="21"/>
                <w:highlight w:val="none"/>
              </w:rPr>
            </w:pPr>
          </w:p>
        </w:tc>
        <w:tc>
          <w:tcPr>
            <w:tcW w:w="7463" w:type="dxa"/>
            <w:tcBorders>
              <w:top w:val="single" w:color="auto" w:sz="4" w:space="0"/>
              <w:left w:val="nil"/>
              <w:bottom w:val="single" w:color="auto" w:sz="4" w:space="0"/>
              <w:right w:val="single" w:color="auto" w:sz="4" w:space="0"/>
            </w:tcBorders>
            <w:vAlign w:val="center"/>
          </w:tcPr>
          <w:p w14:paraId="79A6585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稳定：每个Linux版本，每个Kubernetes版本需经过严格测试之后才能提供给用户。</w:t>
            </w:r>
          </w:p>
        </w:tc>
      </w:tr>
    </w:tbl>
    <w:p w14:paraId="7F556CB0">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 应用实时监控服务</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7492"/>
      </w:tblGrid>
      <w:tr w14:paraId="4BCE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092AAC53">
            <w:pPr>
              <w:adjustRightIn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492" w:type="dxa"/>
            <w:tcBorders>
              <w:top w:val="single" w:color="auto" w:sz="4" w:space="0"/>
              <w:left w:val="single" w:color="auto" w:sz="4" w:space="0"/>
              <w:bottom w:val="single" w:color="auto" w:sz="4" w:space="0"/>
              <w:right w:val="single" w:color="auto" w:sz="4" w:space="0"/>
            </w:tcBorders>
            <w:vAlign w:val="center"/>
          </w:tcPr>
          <w:p w14:paraId="1E1C3889">
            <w:pPr>
              <w:adjustRightIn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规格要求</w:t>
            </w:r>
          </w:p>
        </w:tc>
      </w:tr>
      <w:tr w14:paraId="3AD7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3BC13A4F">
            <w:pPr>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492" w:type="dxa"/>
            <w:tcBorders>
              <w:top w:val="single" w:color="auto" w:sz="4" w:space="0"/>
              <w:left w:val="single" w:color="auto" w:sz="4" w:space="0"/>
              <w:bottom w:val="single" w:color="auto" w:sz="4" w:space="0"/>
              <w:right w:val="single" w:color="auto" w:sz="4" w:space="0"/>
            </w:tcBorders>
            <w:vAlign w:val="center"/>
          </w:tcPr>
          <w:p w14:paraId="240CD1E9">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基于前端、应</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、业务</w:t>
            </w:r>
            <w:r>
              <w:rPr>
                <w:rFonts w:hint="eastAsia" w:ascii="宋体" w:hAnsi="宋体" w:eastAsia="宋体" w:cs="宋体"/>
                <w:color w:val="auto"/>
                <w:sz w:val="21"/>
                <w:szCs w:val="21"/>
                <w:highlight w:val="none"/>
                <w:lang w:eastAsia="zh-Hans"/>
              </w:rPr>
              <w:t>自</w:t>
            </w:r>
            <w:r>
              <w:rPr>
                <w:rFonts w:hint="eastAsia" w:ascii="宋体" w:hAnsi="宋体" w:eastAsia="宋体" w:cs="宋体"/>
                <w:color w:val="auto"/>
                <w:sz w:val="21"/>
                <w:szCs w:val="21"/>
                <w:highlight w:val="none"/>
              </w:rPr>
              <w:t>定义等维度，迅速便捷地为企业构建秒级响应的业务监控能</w:t>
            </w:r>
            <w:r>
              <w:rPr>
                <w:rFonts w:hint="eastAsia" w:ascii="宋体" w:hAnsi="宋体" w:eastAsia="宋体" w:cs="宋体"/>
                <w:color w:val="auto"/>
                <w:sz w:val="21"/>
                <w:szCs w:val="21"/>
                <w:highlight w:val="none"/>
                <w:lang w:eastAsia="zh-Hans"/>
              </w:rPr>
              <w:t>力</w:t>
            </w:r>
            <w:r>
              <w:rPr>
                <w:rFonts w:hint="eastAsia" w:ascii="宋体" w:hAnsi="宋体" w:eastAsia="宋体" w:cs="宋体"/>
                <w:color w:val="auto"/>
                <w:sz w:val="21"/>
                <w:szCs w:val="21"/>
                <w:highlight w:val="none"/>
              </w:rPr>
              <w:t>。</w:t>
            </w:r>
          </w:p>
        </w:tc>
      </w:tr>
      <w:tr w14:paraId="48F2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9" w:type="dxa"/>
            <w:vMerge w:val="restart"/>
            <w:tcBorders>
              <w:top w:val="single" w:color="auto" w:sz="4" w:space="0"/>
              <w:left w:val="single" w:color="auto" w:sz="4" w:space="0"/>
              <w:right w:val="single" w:color="auto" w:sz="4" w:space="0"/>
            </w:tcBorders>
            <w:vAlign w:val="center"/>
          </w:tcPr>
          <w:p w14:paraId="21E87405">
            <w:pPr>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服务特性</w:t>
            </w:r>
          </w:p>
        </w:tc>
        <w:tc>
          <w:tcPr>
            <w:tcW w:w="7492" w:type="dxa"/>
            <w:tcBorders>
              <w:top w:val="single" w:color="auto" w:sz="4" w:space="0"/>
              <w:left w:val="single" w:color="auto" w:sz="4" w:space="0"/>
              <w:bottom w:val="single" w:color="auto" w:sz="4" w:space="0"/>
              <w:right w:val="single" w:color="auto" w:sz="4" w:space="0"/>
            </w:tcBorders>
            <w:vAlign w:val="center"/>
          </w:tcPr>
          <w:p w14:paraId="01F180F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业务实时监控服务提供数据接</w:t>
            </w:r>
            <w:r>
              <w:rPr>
                <w:rFonts w:hint="eastAsia" w:ascii="宋体" w:hAnsi="宋体" w:eastAsia="宋体" w:cs="宋体"/>
                <w:color w:val="auto"/>
                <w:sz w:val="21"/>
                <w:szCs w:val="21"/>
                <w:highlight w:val="none"/>
                <w:lang w:eastAsia="zh-Hans"/>
              </w:rPr>
              <w:t>入</w:t>
            </w:r>
            <w:r>
              <w:rPr>
                <w:rFonts w:hint="eastAsia" w:ascii="宋体" w:hAnsi="宋体" w:eastAsia="宋体" w:cs="宋体"/>
                <w:color w:val="auto"/>
                <w:sz w:val="21"/>
                <w:szCs w:val="21"/>
                <w:highlight w:val="none"/>
              </w:rPr>
              <w:t>、数据计算、数据存储、大盘</w:t>
            </w:r>
            <w:r>
              <w:rPr>
                <w:rFonts w:hint="eastAsia" w:ascii="宋体" w:hAnsi="宋体" w:eastAsia="宋体" w:cs="宋体"/>
                <w:color w:val="auto"/>
                <w:sz w:val="21"/>
                <w:szCs w:val="21"/>
                <w:highlight w:val="none"/>
                <w:lang w:eastAsia="zh-Hans"/>
              </w:rPr>
              <w:t>展示</w:t>
            </w:r>
            <w:r>
              <w:rPr>
                <w:rFonts w:hint="eastAsia" w:ascii="宋体" w:hAnsi="宋体" w:eastAsia="宋体" w:cs="宋体"/>
                <w:color w:val="auto"/>
                <w:sz w:val="21"/>
                <w:szCs w:val="21"/>
                <w:highlight w:val="none"/>
              </w:rPr>
              <w:t>和报警，以及下游API对接等一系列监控定制功能</w:t>
            </w:r>
            <w:r>
              <w:rPr>
                <w:rFonts w:hint="eastAsia" w:ascii="宋体" w:hAnsi="宋体" w:eastAsia="宋体" w:cs="宋体"/>
                <w:b/>
                <w:bCs/>
                <w:color w:val="auto"/>
                <w:kern w:val="0"/>
                <w:sz w:val="21"/>
                <w:szCs w:val="21"/>
                <w:highlight w:val="none"/>
              </w:rPr>
              <w:t>。</w:t>
            </w:r>
          </w:p>
        </w:tc>
      </w:tr>
      <w:tr w14:paraId="22BF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9" w:type="dxa"/>
            <w:vMerge w:val="continue"/>
            <w:tcBorders>
              <w:left w:val="single" w:color="auto" w:sz="4" w:space="0"/>
              <w:right w:val="single" w:color="auto" w:sz="4" w:space="0"/>
            </w:tcBorders>
            <w:vAlign w:val="center"/>
          </w:tcPr>
          <w:p w14:paraId="71201B27">
            <w:pPr>
              <w:widowControl/>
              <w:spacing w:line="360" w:lineRule="auto"/>
              <w:jc w:val="left"/>
              <w:rPr>
                <w:rFonts w:hint="eastAsia" w:ascii="宋体" w:hAnsi="宋体" w:eastAsia="宋体" w:cs="宋体"/>
                <w:color w:val="auto"/>
                <w:sz w:val="21"/>
                <w:szCs w:val="21"/>
                <w:highlight w:val="none"/>
              </w:rPr>
            </w:pPr>
          </w:p>
        </w:tc>
        <w:tc>
          <w:tcPr>
            <w:tcW w:w="7492" w:type="dxa"/>
            <w:tcBorders>
              <w:top w:val="single" w:color="auto" w:sz="4" w:space="0"/>
              <w:left w:val="single" w:color="auto" w:sz="4" w:space="0"/>
              <w:bottom w:val="single" w:color="auto" w:sz="4" w:space="0"/>
              <w:right w:val="single" w:color="auto" w:sz="4" w:space="0"/>
            </w:tcBorders>
            <w:vAlign w:val="center"/>
          </w:tcPr>
          <w:p w14:paraId="64FEAC5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可接入多种数据源</w:t>
            </w:r>
          </w:p>
          <w:p w14:paraId="7483A3EE">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云服务器Log：可从 云服务器 </w:t>
            </w:r>
            <w:r>
              <w:rPr>
                <w:rFonts w:hint="eastAsia" w:ascii="宋体" w:hAnsi="宋体" w:eastAsia="宋体" w:cs="宋体"/>
                <w:color w:val="auto"/>
                <w:sz w:val="21"/>
                <w:szCs w:val="21"/>
                <w:highlight w:val="none"/>
                <w:lang w:eastAsia="zh-Hans"/>
              </w:rPr>
              <w:t>日</w:t>
            </w:r>
            <w:r>
              <w:rPr>
                <w:rFonts w:hint="eastAsia" w:ascii="宋体" w:hAnsi="宋体" w:eastAsia="宋体" w:cs="宋体"/>
                <w:color w:val="auto"/>
                <w:sz w:val="21"/>
                <w:szCs w:val="21"/>
                <w:highlight w:val="none"/>
              </w:rPr>
              <w:t>志抓取</w:t>
            </w:r>
            <w:r>
              <w:rPr>
                <w:rFonts w:hint="eastAsia" w:ascii="宋体" w:hAnsi="宋体" w:eastAsia="宋体" w:cs="宋体"/>
                <w:color w:val="auto"/>
                <w:sz w:val="21"/>
                <w:szCs w:val="21"/>
                <w:highlight w:val="none"/>
                <w:lang w:eastAsia="zh-Hans"/>
              </w:rPr>
              <w:t>日</w:t>
            </w:r>
            <w:r>
              <w:rPr>
                <w:rFonts w:hint="eastAsia" w:ascii="宋体" w:hAnsi="宋体" w:eastAsia="宋体" w:cs="宋体"/>
                <w:color w:val="auto"/>
                <w:sz w:val="21"/>
                <w:szCs w:val="21"/>
                <w:highlight w:val="none"/>
              </w:rPr>
              <w:t>志进</w:t>
            </w:r>
            <w:r>
              <w:rPr>
                <w:rFonts w:hint="eastAsia" w:ascii="宋体" w:hAnsi="宋体" w:eastAsia="宋体" w:cs="宋体"/>
                <w:color w:val="auto"/>
                <w:sz w:val="21"/>
                <w:szCs w:val="21"/>
                <w:highlight w:val="none"/>
                <w:lang w:eastAsia="zh-Hans"/>
              </w:rPr>
              <w:t>行</w:t>
            </w:r>
            <w:r>
              <w:rPr>
                <w:rFonts w:hint="eastAsia" w:ascii="宋体" w:hAnsi="宋体" w:eastAsia="宋体" w:cs="宋体"/>
                <w:color w:val="auto"/>
                <w:sz w:val="21"/>
                <w:szCs w:val="21"/>
                <w:highlight w:val="none"/>
              </w:rPr>
              <w:t>统计；</w:t>
            </w:r>
          </w:p>
          <w:p w14:paraId="2776BC3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Loghub：可拉取</w:t>
            </w:r>
            <w:r>
              <w:rPr>
                <w:rFonts w:hint="eastAsia" w:ascii="宋体" w:hAnsi="宋体" w:eastAsia="宋体" w:cs="宋体"/>
                <w:color w:val="auto"/>
                <w:sz w:val="21"/>
                <w:szCs w:val="21"/>
                <w:highlight w:val="none"/>
                <w:lang w:eastAsia="zh-Hans"/>
              </w:rPr>
              <w:t>云日</w:t>
            </w:r>
            <w:r>
              <w:rPr>
                <w:rFonts w:hint="eastAsia" w:ascii="宋体" w:hAnsi="宋体" w:eastAsia="宋体" w:cs="宋体"/>
                <w:color w:val="auto"/>
                <w:sz w:val="21"/>
                <w:szCs w:val="21"/>
                <w:highlight w:val="none"/>
              </w:rPr>
              <w:t>志服务的 Loghub 数据；</w:t>
            </w:r>
          </w:p>
          <w:p w14:paraId="113462A7">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MQ：可从MQ Topic中直接读取数据；</w:t>
            </w:r>
          </w:p>
          <w:p w14:paraId="3C020274">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SDK：可通过在程序中接入SDK 中来推送数据。</w:t>
            </w:r>
          </w:p>
        </w:tc>
      </w:tr>
      <w:tr w14:paraId="277B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19" w:type="dxa"/>
            <w:vMerge w:val="continue"/>
            <w:tcBorders>
              <w:left w:val="single" w:color="auto" w:sz="4" w:space="0"/>
              <w:right w:val="single" w:color="auto" w:sz="4" w:space="0"/>
            </w:tcBorders>
            <w:vAlign w:val="center"/>
          </w:tcPr>
          <w:p w14:paraId="59A3C678">
            <w:pPr>
              <w:widowControl/>
              <w:spacing w:line="360" w:lineRule="auto"/>
              <w:jc w:val="left"/>
              <w:rPr>
                <w:rFonts w:hint="eastAsia" w:ascii="宋体" w:hAnsi="宋体" w:eastAsia="宋体" w:cs="宋体"/>
                <w:color w:val="auto"/>
                <w:sz w:val="21"/>
                <w:szCs w:val="21"/>
                <w:highlight w:val="none"/>
              </w:rPr>
            </w:pPr>
          </w:p>
        </w:tc>
        <w:tc>
          <w:tcPr>
            <w:tcW w:w="7492" w:type="dxa"/>
            <w:tcBorders>
              <w:top w:val="single" w:color="auto" w:sz="4" w:space="0"/>
              <w:left w:val="single" w:color="auto" w:sz="4" w:space="0"/>
              <w:bottom w:val="single" w:color="auto" w:sz="4" w:space="0"/>
              <w:right w:val="single" w:color="auto" w:sz="4" w:space="0"/>
            </w:tcBorders>
            <w:vAlign w:val="center"/>
          </w:tcPr>
          <w:p w14:paraId="19B58F9C">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可对接各类下游</w:t>
            </w:r>
            <w:r>
              <w:rPr>
                <w:rFonts w:hint="eastAsia" w:ascii="宋体" w:hAnsi="宋体" w:eastAsia="宋体" w:cs="宋体"/>
                <w:color w:val="auto"/>
                <w:sz w:val="21"/>
                <w:szCs w:val="21"/>
                <w:highlight w:val="none"/>
                <w:lang w:eastAsia="zh-Hans"/>
              </w:rPr>
              <w:t>应用</w:t>
            </w:r>
          </w:p>
          <w:p w14:paraId="1A79FAA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持对接其他</w:t>
            </w:r>
            <w:r>
              <w:rPr>
                <w:rFonts w:hint="eastAsia" w:ascii="宋体" w:hAnsi="宋体" w:eastAsia="宋体" w:cs="宋体"/>
                <w:color w:val="auto"/>
                <w:sz w:val="21"/>
                <w:szCs w:val="21"/>
                <w:highlight w:val="none"/>
                <w:lang w:eastAsia="zh-Hans"/>
              </w:rPr>
              <w:t>大</w:t>
            </w:r>
            <w:r>
              <w:rPr>
                <w:rFonts w:hint="eastAsia" w:ascii="宋体" w:hAnsi="宋体" w:eastAsia="宋体" w:cs="宋体"/>
                <w:color w:val="auto"/>
                <w:sz w:val="21"/>
                <w:szCs w:val="21"/>
                <w:highlight w:val="none"/>
              </w:rPr>
              <w:t>屏</w:t>
            </w:r>
            <w:r>
              <w:rPr>
                <w:rFonts w:hint="eastAsia" w:ascii="宋体" w:hAnsi="宋体" w:eastAsia="宋体" w:cs="宋体"/>
                <w:color w:val="auto"/>
                <w:sz w:val="21"/>
                <w:szCs w:val="21"/>
                <w:highlight w:val="none"/>
                <w:lang w:eastAsia="zh-Hans"/>
              </w:rPr>
              <w:t>展示工</w:t>
            </w:r>
            <w:r>
              <w:rPr>
                <w:rFonts w:hint="eastAsia" w:ascii="宋体" w:hAnsi="宋体" w:eastAsia="宋体" w:cs="宋体"/>
                <w:color w:val="auto"/>
                <w:sz w:val="21"/>
                <w:szCs w:val="21"/>
                <w:highlight w:val="none"/>
              </w:rPr>
              <w:t>具，例如 数据可视化工具；</w:t>
            </w:r>
          </w:p>
          <w:p w14:paraId="4F53B693">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持对接 Java、Python、Perl、C# 等API。</w:t>
            </w:r>
          </w:p>
        </w:tc>
      </w:tr>
      <w:tr w14:paraId="3010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9" w:type="dxa"/>
            <w:vMerge w:val="continue"/>
            <w:tcBorders>
              <w:left w:val="single" w:color="auto" w:sz="4" w:space="0"/>
              <w:right w:val="single" w:color="auto" w:sz="4" w:space="0"/>
            </w:tcBorders>
            <w:vAlign w:val="center"/>
          </w:tcPr>
          <w:p w14:paraId="0DB0E763">
            <w:pPr>
              <w:widowControl/>
              <w:spacing w:line="360" w:lineRule="auto"/>
              <w:jc w:val="left"/>
              <w:rPr>
                <w:rFonts w:hint="eastAsia" w:ascii="宋体" w:hAnsi="宋体" w:eastAsia="宋体" w:cs="宋体"/>
                <w:color w:val="auto"/>
                <w:sz w:val="21"/>
                <w:szCs w:val="21"/>
                <w:highlight w:val="none"/>
              </w:rPr>
            </w:pPr>
          </w:p>
        </w:tc>
        <w:tc>
          <w:tcPr>
            <w:tcW w:w="7492" w:type="dxa"/>
            <w:tcBorders>
              <w:top w:val="single" w:color="auto" w:sz="4" w:space="0"/>
              <w:left w:val="single" w:color="auto" w:sz="4" w:space="0"/>
              <w:bottom w:val="single" w:color="auto" w:sz="4" w:space="0"/>
              <w:right w:val="single" w:color="auto" w:sz="4" w:space="0"/>
            </w:tcBorders>
            <w:vAlign w:val="center"/>
          </w:tcPr>
          <w:p w14:paraId="1885465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数据存储</w:t>
            </w:r>
          </w:p>
          <w:p w14:paraId="2CC080ED">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异步聚合数据；</w:t>
            </w:r>
          </w:p>
          <w:p w14:paraId="3DEAF8CC">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智能分级存储策略；</w:t>
            </w:r>
          </w:p>
          <w:p w14:paraId="7D28EF5B">
            <w:pPr>
              <w:autoSpaceDE w:val="0"/>
              <w:autoSpaceDN w:val="0"/>
              <w:spacing w:line="360" w:lineRule="auto"/>
              <w:ind w:left="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支持最多三级的智能下钻索引。</w:t>
            </w:r>
          </w:p>
          <w:p w14:paraId="1B88CB34">
            <w:pPr>
              <w:autoSpaceDE w:val="0"/>
              <w:autoSpaceDN w:val="0"/>
              <w:spacing w:line="360" w:lineRule="auto"/>
              <w:ind w:left="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支持事件集搜索。</w:t>
            </w:r>
          </w:p>
        </w:tc>
      </w:tr>
      <w:tr w14:paraId="3F9F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9" w:type="dxa"/>
            <w:vMerge w:val="continue"/>
            <w:tcBorders>
              <w:left w:val="single" w:color="auto" w:sz="4" w:space="0"/>
              <w:right w:val="single" w:color="auto" w:sz="4" w:space="0"/>
            </w:tcBorders>
            <w:vAlign w:val="center"/>
          </w:tcPr>
          <w:p w14:paraId="18E4E5F1">
            <w:pPr>
              <w:widowControl/>
              <w:spacing w:line="360" w:lineRule="auto"/>
              <w:jc w:val="left"/>
              <w:rPr>
                <w:rFonts w:hint="eastAsia" w:ascii="宋体" w:hAnsi="宋体" w:eastAsia="宋体" w:cs="宋体"/>
                <w:color w:val="auto"/>
                <w:sz w:val="21"/>
                <w:szCs w:val="21"/>
                <w:highlight w:val="none"/>
              </w:rPr>
            </w:pPr>
          </w:p>
        </w:tc>
        <w:tc>
          <w:tcPr>
            <w:tcW w:w="7492" w:type="dxa"/>
            <w:tcBorders>
              <w:top w:val="single" w:color="auto" w:sz="4" w:space="0"/>
              <w:left w:val="single" w:color="auto" w:sz="4" w:space="0"/>
              <w:bottom w:val="single" w:color="auto" w:sz="4" w:space="0"/>
              <w:right w:val="single" w:color="auto" w:sz="4" w:space="0"/>
            </w:tcBorders>
            <w:vAlign w:val="center"/>
          </w:tcPr>
          <w:p w14:paraId="5B99BEB6">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可定制的报警</w:t>
            </w:r>
          </w:p>
          <w:p w14:paraId="68829591">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可设置根据指定</w:t>
            </w:r>
            <w:r>
              <w:rPr>
                <w:rFonts w:hint="eastAsia" w:ascii="宋体" w:hAnsi="宋体" w:eastAsia="宋体" w:cs="宋体"/>
                <w:color w:val="auto"/>
                <w:sz w:val="21"/>
                <w:szCs w:val="21"/>
                <w:highlight w:val="none"/>
                <w:lang w:eastAsia="zh-Hans"/>
              </w:rPr>
              <w:t>长</w:t>
            </w:r>
            <w:r>
              <w:rPr>
                <w:rFonts w:hint="eastAsia" w:ascii="宋体" w:hAnsi="宋体" w:eastAsia="宋体" w:cs="宋体"/>
                <w:color w:val="auto"/>
                <w:sz w:val="21"/>
                <w:szCs w:val="21"/>
                <w:highlight w:val="none"/>
              </w:rPr>
              <w:t>度时间内的平均值、总和、最</w:t>
            </w:r>
            <w:r>
              <w:rPr>
                <w:rFonts w:hint="eastAsia" w:ascii="宋体" w:hAnsi="宋体" w:eastAsia="宋体" w:cs="宋体"/>
                <w:color w:val="auto"/>
                <w:sz w:val="21"/>
                <w:szCs w:val="21"/>
                <w:highlight w:val="none"/>
                <w:lang w:eastAsia="zh-Hans"/>
              </w:rPr>
              <w:t>大</w:t>
            </w:r>
            <w:r>
              <w:rPr>
                <w:rFonts w:hint="eastAsia" w:ascii="宋体" w:hAnsi="宋体" w:eastAsia="宋体" w:cs="宋体"/>
                <w:color w:val="auto"/>
                <w:sz w:val="21"/>
                <w:szCs w:val="21"/>
                <w:highlight w:val="none"/>
              </w:rPr>
              <w:t>值或最小值报警；</w:t>
            </w:r>
          </w:p>
          <w:p w14:paraId="5782F56D">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支持自</w:t>
            </w:r>
            <w:r>
              <w:rPr>
                <w:rFonts w:hint="eastAsia" w:ascii="宋体" w:hAnsi="宋体" w:eastAsia="宋体" w:cs="宋体"/>
                <w:color w:val="auto"/>
                <w:sz w:val="21"/>
                <w:szCs w:val="21"/>
                <w:highlight w:val="none"/>
              </w:rPr>
              <w:t>定义报警内容，以及邮件、短信、</w:t>
            </w:r>
            <w:r>
              <w:rPr>
                <w:rFonts w:hint="eastAsia" w:ascii="宋体" w:hAnsi="宋体" w:eastAsia="宋体" w:cs="宋体"/>
                <w:color w:val="auto"/>
                <w:sz w:val="21"/>
                <w:szCs w:val="21"/>
                <w:highlight w:val="none"/>
                <w:lang w:eastAsia="zh-CN"/>
              </w:rPr>
              <w:t>钉钉（浙政钉）</w:t>
            </w:r>
            <w:r>
              <w:rPr>
                <w:rFonts w:hint="eastAsia" w:ascii="宋体" w:hAnsi="宋体" w:eastAsia="宋体" w:cs="宋体"/>
                <w:color w:val="auto"/>
                <w:sz w:val="21"/>
                <w:szCs w:val="21"/>
                <w:highlight w:val="none"/>
              </w:rPr>
              <w:t>等多种报警</w:t>
            </w:r>
            <w:r>
              <w:rPr>
                <w:rFonts w:hint="eastAsia" w:ascii="宋体" w:hAnsi="宋体" w:eastAsia="宋体" w:cs="宋体"/>
                <w:color w:val="auto"/>
                <w:sz w:val="21"/>
                <w:szCs w:val="21"/>
                <w:highlight w:val="none"/>
                <w:lang w:eastAsia="zh-Hans"/>
              </w:rPr>
              <w:t>方</w:t>
            </w:r>
            <w:r>
              <w:rPr>
                <w:rFonts w:hint="eastAsia" w:ascii="宋体" w:hAnsi="宋体" w:eastAsia="宋体" w:cs="宋体"/>
                <w:color w:val="auto"/>
                <w:sz w:val="21"/>
                <w:szCs w:val="21"/>
                <w:highlight w:val="none"/>
              </w:rPr>
              <w:t>式。</w:t>
            </w:r>
          </w:p>
        </w:tc>
      </w:tr>
      <w:tr w14:paraId="013C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9" w:type="dxa"/>
            <w:vMerge w:val="continue"/>
            <w:tcBorders>
              <w:left w:val="single" w:color="auto" w:sz="4" w:space="0"/>
              <w:right w:val="single" w:color="auto" w:sz="4" w:space="0"/>
            </w:tcBorders>
            <w:vAlign w:val="center"/>
          </w:tcPr>
          <w:p w14:paraId="08D45E56">
            <w:pPr>
              <w:widowControl/>
              <w:spacing w:line="360" w:lineRule="auto"/>
              <w:jc w:val="left"/>
              <w:rPr>
                <w:rFonts w:hint="eastAsia" w:ascii="宋体" w:hAnsi="宋体" w:eastAsia="宋体" w:cs="宋体"/>
                <w:color w:val="auto"/>
                <w:sz w:val="21"/>
                <w:szCs w:val="21"/>
                <w:highlight w:val="none"/>
              </w:rPr>
            </w:pPr>
          </w:p>
        </w:tc>
        <w:tc>
          <w:tcPr>
            <w:tcW w:w="7492" w:type="dxa"/>
            <w:tcBorders>
              <w:top w:val="single" w:color="auto" w:sz="4" w:space="0"/>
              <w:left w:val="single" w:color="auto" w:sz="4" w:space="0"/>
              <w:bottom w:val="single" w:color="auto" w:sz="4" w:space="0"/>
              <w:right w:val="single" w:color="auto" w:sz="4" w:space="0"/>
            </w:tcBorders>
            <w:vAlign w:val="center"/>
          </w:tcPr>
          <w:p w14:paraId="2CE45E34">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持多种业务场景</w:t>
            </w:r>
          </w:p>
          <w:p w14:paraId="23F29EDF">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支持自</w:t>
            </w:r>
            <w:r>
              <w:rPr>
                <w:rFonts w:hint="eastAsia" w:ascii="宋体" w:hAnsi="宋体" w:eastAsia="宋体" w:cs="宋体"/>
                <w:color w:val="auto"/>
                <w:sz w:val="21"/>
                <w:szCs w:val="21"/>
                <w:highlight w:val="none"/>
              </w:rPr>
              <w:t>定义业务场景，可监控</w:t>
            </w:r>
            <w:r>
              <w:rPr>
                <w:rFonts w:hint="eastAsia" w:ascii="宋体" w:hAnsi="宋体" w:eastAsia="宋体" w:cs="宋体"/>
                <w:color w:val="auto"/>
                <w:sz w:val="21"/>
                <w:szCs w:val="21"/>
                <w:highlight w:val="none"/>
                <w:lang w:eastAsia="zh-Hans"/>
              </w:rPr>
              <w:t>自</w:t>
            </w:r>
            <w:r>
              <w:rPr>
                <w:rFonts w:hint="eastAsia" w:ascii="宋体" w:hAnsi="宋体" w:eastAsia="宋体" w:cs="宋体"/>
                <w:color w:val="auto"/>
                <w:sz w:val="21"/>
                <w:szCs w:val="21"/>
                <w:highlight w:val="none"/>
              </w:rPr>
              <w:t>定义的业务指标，例如 Nginx 负载、程序异常等、电商销售业务事件等。</w:t>
            </w:r>
          </w:p>
          <w:p w14:paraId="508B6B1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持前端监控场景，可监控</w:t>
            </w:r>
            <w:r>
              <w:rPr>
                <w:rFonts w:hint="eastAsia" w:ascii="宋体" w:hAnsi="宋体" w:eastAsia="宋体" w:cs="宋体"/>
                <w:color w:val="auto"/>
                <w:sz w:val="21"/>
                <w:szCs w:val="21"/>
                <w:highlight w:val="none"/>
                <w:lang w:eastAsia="zh-Hans"/>
              </w:rPr>
              <w:t>页面</w:t>
            </w:r>
            <w:r>
              <w:rPr>
                <w:rFonts w:hint="eastAsia" w:ascii="宋体" w:hAnsi="宋体" w:eastAsia="宋体" w:cs="宋体"/>
                <w:color w:val="auto"/>
                <w:sz w:val="21"/>
                <w:szCs w:val="21"/>
                <w:highlight w:val="none"/>
              </w:rPr>
              <w:t>性能、JS 错误、API 调</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等指标。</w:t>
            </w:r>
          </w:p>
          <w:p w14:paraId="4627A8F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持应</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监控场景，可监控</w:t>
            </w:r>
            <w:r>
              <w:rPr>
                <w:rFonts w:hint="eastAsia" w:ascii="宋体" w:hAnsi="宋体" w:eastAsia="宋体" w:cs="宋体"/>
                <w:color w:val="auto"/>
                <w:sz w:val="21"/>
                <w:szCs w:val="21"/>
                <w:highlight w:val="none"/>
                <w:lang w:eastAsia="zh-Hans"/>
              </w:rPr>
              <w:t>调用</w:t>
            </w:r>
            <w:r>
              <w:rPr>
                <w:rFonts w:hint="eastAsia" w:ascii="宋体" w:hAnsi="宋体" w:eastAsia="宋体" w:cs="宋体"/>
                <w:color w:val="auto"/>
                <w:sz w:val="21"/>
                <w:szCs w:val="21"/>
                <w:highlight w:val="none"/>
              </w:rPr>
              <w:t>异常，查询调用链，并结合事件集进</w:t>
            </w:r>
            <w:r>
              <w:rPr>
                <w:rFonts w:hint="eastAsia" w:ascii="宋体" w:hAnsi="宋体" w:eastAsia="宋体" w:cs="宋体"/>
                <w:color w:val="auto"/>
                <w:sz w:val="21"/>
                <w:szCs w:val="21"/>
                <w:highlight w:val="none"/>
                <w:lang w:eastAsia="zh-Hans"/>
              </w:rPr>
              <w:t>行</w:t>
            </w:r>
            <w:r>
              <w:rPr>
                <w:rFonts w:hint="eastAsia" w:ascii="宋体" w:hAnsi="宋体" w:eastAsia="宋体" w:cs="宋体"/>
                <w:color w:val="auto"/>
                <w:sz w:val="21"/>
                <w:szCs w:val="21"/>
                <w:highlight w:val="none"/>
              </w:rPr>
              <w:t>全息排查。</w:t>
            </w:r>
          </w:p>
        </w:tc>
      </w:tr>
      <w:tr w14:paraId="2FF8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9" w:type="dxa"/>
            <w:vMerge w:val="restart"/>
            <w:tcBorders>
              <w:left w:val="single" w:color="auto" w:sz="4" w:space="0"/>
              <w:right w:val="single" w:color="auto" w:sz="4" w:space="0"/>
            </w:tcBorders>
            <w:vAlign w:val="center"/>
          </w:tcPr>
          <w:p w14:paraId="607D516E">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服务能力</w:t>
            </w:r>
          </w:p>
        </w:tc>
        <w:tc>
          <w:tcPr>
            <w:tcW w:w="7492" w:type="dxa"/>
            <w:tcBorders>
              <w:top w:val="single" w:color="auto" w:sz="4" w:space="0"/>
              <w:left w:val="single" w:color="auto" w:sz="4" w:space="0"/>
              <w:bottom w:val="single" w:color="auto" w:sz="4" w:space="0"/>
              <w:right w:val="single" w:color="auto" w:sz="4" w:space="0"/>
            </w:tcBorders>
            <w:vAlign w:val="center"/>
          </w:tcPr>
          <w:p w14:paraId="402D2D3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w:t>
            </w:r>
            <w:r>
              <w:rPr>
                <w:rFonts w:hint="eastAsia" w:ascii="宋体" w:hAnsi="宋体" w:eastAsia="宋体" w:cs="宋体"/>
                <w:color w:val="auto"/>
                <w:sz w:val="21"/>
                <w:szCs w:val="21"/>
                <w:highlight w:val="none"/>
                <w:lang w:eastAsia="zh-Hans"/>
              </w:rPr>
              <w:t>方</w:t>
            </w:r>
            <w:r>
              <w:rPr>
                <w:rFonts w:hint="eastAsia" w:ascii="宋体" w:hAnsi="宋体" w:eastAsia="宋体" w:cs="宋体"/>
                <w:color w:val="auto"/>
                <w:sz w:val="21"/>
                <w:szCs w:val="21"/>
                <w:highlight w:val="none"/>
              </w:rPr>
              <w:t>位的前端监控功能</w:t>
            </w:r>
          </w:p>
          <w:p w14:paraId="6B848B3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高</w:t>
            </w:r>
            <w:r>
              <w:rPr>
                <w:rFonts w:hint="eastAsia" w:ascii="宋体" w:hAnsi="宋体" w:eastAsia="宋体" w:cs="宋体"/>
                <w:color w:val="auto"/>
                <w:sz w:val="21"/>
                <w:szCs w:val="21"/>
                <w:highlight w:val="none"/>
              </w:rPr>
              <w:t>时效性：实时感知</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实际访问</w:t>
            </w:r>
            <w:r>
              <w:rPr>
                <w:rFonts w:hint="eastAsia" w:ascii="宋体" w:hAnsi="宋体" w:eastAsia="宋体" w:cs="宋体"/>
                <w:color w:val="auto"/>
                <w:sz w:val="21"/>
                <w:szCs w:val="21"/>
                <w:highlight w:val="none"/>
                <w:lang w:eastAsia="zh-Hans"/>
              </w:rPr>
              <w:t>网</w:t>
            </w:r>
            <w:r>
              <w:rPr>
                <w:rFonts w:hint="eastAsia" w:ascii="宋体" w:hAnsi="宋体" w:eastAsia="宋体" w:cs="宋体"/>
                <w:color w:val="auto"/>
                <w:sz w:val="21"/>
                <w:szCs w:val="21"/>
                <w:highlight w:val="none"/>
              </w:rPr>
              <w:t>站的响应时间和错误率；</w:t>
            </w:r>
          </w:p>
          <w:p w14:paraId="5EC71CC3">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多维度监控分析：基于地区、运营商、浏览器等多维的</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访问速度和错误分析；</w:t>
            </w:r>
          </w:p>
          <w:p w14:paraId="03129ACA">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Hans"/>
              </w:rPr>
              <w:t>页面</w:t>
            </w:r>
            <w:r>
              <w:rPr>
                <w:rFonts w:hint="eastAsia" w:ascii="宋体" w:hAnsi="宋体" w:eastAsia="宋体" w:cs="宋体"/>
                <w:color w:val="auto"/>
                <w:sz w:val="21"/>
                <w:szCs w:val="21"/>
                <w:highlight w:val="none"/>
              </w:rPr>
              <w:t>异常监控：监控和诊断应</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Hans"/>
              </w:rPr>
              <w:t>大</w:t>
            </w:r>
            <w:r>
              <w:rPr>
                <w:rFonts w:hint="eastAsia" w:ascii="宋体" w:hAnsi="宋体" w:eastAsia="宋体" w:cs="宋体"/>
                <w:color w:val="auto"/>
                <w:sz w:val="21"/>
                <w:szCs w:val="21"/>
                <w:highlight w:val="none"/>
              </w:rPr>
              <w:t>量异步数据调用的性能和成功率。</w:t>
            </w:r>
          </w:p>
        </w:tc>
      </w:tr>
      <w:tr w14:paraId="7265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19" w:type="dxa"/>
            <w:vMerge w:val="continue"/>
            <w:tcBorders>
              <w:left w:val="single" w:color="auto" w:sz="4" w:space="0"/>
              <w:right w:val="single" w:color="auto" w:sz="4" w:space="0"/>
            </w:tcBorders>
            <w:vAlign w:val="center"/>
          </w:tcPr>
          <w:p w14:paraId="7DF8B9C0">
            <w:pPr>
              <w:widowControl/>
              <w:spacing w:line="360" w:lineRule="auto"/>
              <w:jc w:val="left"/>
              <w:rPr>
                <w:rFonts w:hint="eastAsia" w:ascii="宋体" w:hAnsi="宋体" w:eastAsia="宋体" w:cs="宋体"/>
                <w:color w:val="auto"/>
                <w:sz w:val="21"/>
                <w:szCs w:val="21"/>
                <w:highlight w:val="none"/>
              </w:rPr>
            </w:pPr>
          </w:p>
        </w:tc>
        <w:tc>
          <w:tcPr>
            <w:tcW w:w="7492" w:type="dxa"/>
            <w:tcBorders>
              <w:top w:val="single" w:color="auto" w:sz="4" w:space="0"/>
              <w:left w:val="single" w:color="auto" w:sz="4" w:space="0"/>
              <w:bottom w:val="single" w:color="auto" w:sz="4" w:space="0"/>
              <w:right w:val="single" w:color="auto" w:sz="4" w:space="0"/>
            </w:tcBorders>
            <w:vAlign w:val="center"/>
          </w:tcPr>
          <w:p w14:paraId="7DEF83A2">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支持第三方组件或业务的日志或命令接口的用户自定义的监控类Metrics统计。</w:t>
            </w:r>
          </w:p>
        </w:tc>
      </w:tr>
      <w:tr w14:paraId="37F2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619" w:type="dxa"/>
            <w:vMerge w:val="continue"/>
            <w:tcBorders>
              <w:left w:val="single" w:color="auto" w:sz="4" w:space="0"/>
              <w:right w:val="single" w:color="auto" w:sz="4" w:space="0"/>
            </w:tcBorders>
            <w:vAlign w:val="center"/>
          </w:tcPr>
          <w:p w14:paraId="65C31A1A">
            <w:pPr>
              <w:widowControl/>
              <w:spacing w:line="360" w:lineRule="auto"/>
              <w:jc w:val="left"/>
              <w:rPr>
                <w:rFonts w:hint="eastAsia" w:ascii="宋体" w:hAnsi="宋体" w:eastAsia="宋体" w:cs="宋体"/>
                <w:color w:val="auto"/>
                <w:sz w:val="21"/>
                <w:szCs w:val="21"/>
                <w:highlight w:val="none"/>
              </w:rPr>
            </w:pPr>
          </w:p>
        </w:tc>
        <w:tc>
          <w:tcPr>
            <w:tcW w:w="7492" w:type="dxa"/>
            <w:tcBorders>
              <w:top w:val="single" w:color="auto" w:sz="4" w:space="0"/>
              <w:left w:val="single" w:color="auto" w:sz="4" w:space="0"/>
              <w:bottom w:val="single" w:color="auto" w:sz="4" w:space="0"/>
              <w:right w:val="single" w:color="auto" w:sz="4" w:space="0"/>
            </w:tcBorders>
            <w:vAlign w:val="center"/>
          </w:tcPr>
          <w:p w14:paraId="49C4160D">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高</w:t>
            </w:r>
            <w:r>
              <w:rPr>
                <w:rFonts w:hint="eastAsia" w:ascii="宋体" w:hAnsi="宋体" w:eastAsia="宋体" w:cs="宋体"/>
                <w:color w:val="auto"/>
                <w:sz w:val="21"/>
                <w:szCs w:val="21"/>
                <w:highlight w:val="none"/>
              </w:rPr>
              <w:t>效易</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的应</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监控</w:t>
            </w:r>
          </w:p>
          <w:p w14:paraId="01E40E6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应</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拓扑的我发现：通过对RPC调</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信息进</w:t>
            </w:r>
            <w:r>
              <w:rPr>
                <w:rFonts w:hint="eastAsia" w:ascii="宋体" w:hAnsi="宋体" w:eastAsia="宋体" w:cs="宋体"/>
                <w:color w:val="auto"/>
                <w:sz w:val="21"/>
                <w:szCs w:val="21"/>
                <w:highlight w:val="none"/>
                <w:lang w:eastAsia="zh-Hans"/>
              </w:rPr>
              <w:t>行</w:t>
            </w:r>
            <w:r>
              <w:rPr>
                <w:rFonts w:hint="eastAsia" w:ascii="宋体" w:hAnsi="宋体" w:eastAsia="宋体" w:cs="宋体"/>
                <w:color w:val="auto"/>
                <w:sz w:val="21"/>
                <w:szCs w:val="21"/>
                <w:highlight w:val="none"/>
              </w:rPr>
              <w:t>动态分析、智能计算，</w:t>
            </w:r>
            <w:r>
              <w:rPr>
                <w:rFonts w:hint="eastAsia" w:ascii="宋体" w:hAnsi="宋体" w:eastAsia="宋体" w:cs="宋体"/>
                <w:color w:val="auto"/>
                <w:sz w:val="21"/>
                <w:szCs w:val="21"/>
                <w:highlight w:val="none"/>
                <w:lang w:eastAsia="zh-Hans"/>
              </w:rPr>
              <w:t>自</w:t>
            </w:r>
            <w:r>
              <w:rPr>
                <w:rFonts w:hint="eastAsia" w:ascii="宋体" w:hAnsi="宋体" w:eastAsia="宋体" w:cs="宋体"/>
                <w:color w:val="auto"/>
                <w:sz w:val="21"/>
                <w:szCs w:val="21"/>
                <w:highlight w:val="none"/>
              </w:rPr>
              <w:t>动</w:t>
            </w:r>
            <w:r>
              <w:rPr>
                <w:rFonts w:hint="eastAsia" w:ascii="宋体" w:hAnsi="宋体" w:eastAsia="宋体" w:cs="宋体"/>
                <w:color w:val="auto"/>
                <w:sz w:val="21"/>
                <w:szCs w:val="21"/>
                <w:highlight w:val="none"/>
                <w:lang w:eastAsia="zh-Hans"/>
              </w:rPr>
              <w:t>生</w:t>
            </w:r>
            <w:r>
              <w:rPr>
                <w:rFonts w:hint="eastAsia" w:ascii="宋体" w:hAnsi="宋体" w:eastAsia="宋体" w:cs="宋体"/>
                <w:color w:val="auto"/>
                <w:sz w:val="21"/>
                <w:szCs w:val="21"/>
                <w:highlight w:val="none"/>
              </w:rPr>
              <w:t>成分布式</w:t>
            </w:r>
            <w:r>
              <w:rPr>
                <w:rFonts w:hint="eastAsia" w:ascii="宋体" w:hAnsi="宋体" w:eastAsia="宋体" w:cs="宋体"/>
                <w:color w:val="auto"/>
                <w:sz w:val="21"/>
                <w:szCs w:val="21"/>
                <w:highlight w:val="none"/>
                <w:lang w:eastAsia="zh-Hans"/>
              </w:rPr>
              <w:t>应用</w:t>
            </w:r>
            <w:r>
              <w:rPr>
                <w:rFonts w:hint="eastAsia" w:ascii="宋体" w:hAnsi="宋体" w:eastAsia="宋体" w:cs="宋体"/>
                <w:color w:val="auto"/>
                <w:sz w:val="21"/>
                <w:szCs w:val="21"/>
                <w:highlight w:val="none"/>
              </w:rPr>
              <w:t>间调</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关系；</w:t>
            </w:r>
          </w:p>
          <w:p w14:paraId="17DA2AD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常</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诊断场景的指标下钻分析：根据</w:t>
            </w:r>
            <w:r>
              <w:rPr>
                <w:rFonts w:hint="eastAsia" w:ascii="宋体" w:hAnsi="宋体" w:eastAsia="宋体" w:cs="宋体"/>
                <w:color w:val="auto"/>
                <w:sz w:val="21"/>
                <w:szCs w:val="21"/>
                <w:highlight w:val="none"/>
                <w:lang w:eastAsia="zh-Hans"/>
              </w:rPr>
              <w:t>应用</w:t>
            </w:r>
            <w:r>
              <w:rPr>
                <w:rFonts w:hint="eastAsia" w:ascii="宋体" w:hAnsi="宋体" w:eastAsia="宋体" w:cs="宋体"/>
                <w:color w:val="auto"/>
                <w:sz w:val="21"/>
                <w:szCs w:val="21"/>
                <w:highlight w:val="none"/>
              </w:rPr>
              <w:t>响应时间、请求数、错误率等指标下钻分析，按应</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、事务、数据库多维度查看；</w:t>
            </w:r>
          </w:p>
          <w:p w14:paraId="21024DA9">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异常事务和慢事务捕捉：基于调用事务（Trace）的超时和异常分析，并有效</w:t>
            </w:r>
            <w:r>
              <w:rPr>
                <w:rFonts w:hint="eastAsia" w:ascii="宋体" w:hAnsi="宋体" w:eastAsia="宋体" w:cs="宋体"/>
                <w:color w:val="auto"/>
                <w:sz w:val="21"/>
                <w:szCs w:val="21"/>
                <w:highlight w:val="none"/>
                <w:lang w:eastAsia="zh-CN"/>
              </w:rPr>
              <w:t>自动</w:t>
            </w:r>
            <w:r>
              <w:rPr>
                <w:rFonts w:hint="eastAsia" w:ascii="宋体" w:hAnsi="宋体" w:eastAsia="宋体" w:cs="宋体"/>
                <w:color w:val="auto"/>
                <w:sz w:val="21"/>
                <w:szCs w:val="21"/>
                <w:highlight w:val="none"/>
              </w:rPr>
              <w:t>关联到对应的接口调</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，如 SQL、MQ等；</w:t>
            </w:r>
          </w:p>
          <w:p w14:paraId="0FB7359D">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事务快照查询：智能收集基于调</w:t>
            </w:r>
            <w:r>
              <w:rPr>
                <w:rFonts w:hint="eastAsia" w:ascii="宋体" w:hAnsi="宋体" w:eastAsia="宋体" w:cs="宋体"/>
                <w:color w:val="auto"/>
                <w:sz w:val="21"/>
                <w:szCs w:val="21"/>
                <w:highlight w:val="none"/>
                <w:lang w:eastAsia="zh-Hans"/>
              </w:rPr>
              <w:t>用</w:t>
            </w:r>
            <w:r>
              <w:rPr>
                <w:rFonts w:hint="eastAsia" w:ascii="宋体" w:hAnsi="宋体" w:eastAsia="宋体" w:cs="宋体"/>
                <w:color w:val="auto"/>
                <w:sz w:val="21"/>
                <w:szCs w:val="21"/>
                <w:highlight w:val="none"/>
              </w:rPr>
              <w:t>链（Trace）的问题事务，通过排查详细明细数据明确异常或错误来源。</w:t>
            </w:r>
          </w:p>
        </w:tc>
      </w:tr>
      <w:tr w14:paraId="3780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19" w:type="dxa"/>
            <w:vMerge w:val="continue"/>
            <w:tcBorders>
              <w:left w:val="single" w:color="auto" w:sz="4" w:space="0"/>
              <w:right w:val="single" w:color="auto" w:sz="4" w:space="0"/>
            </w:tcBorders>
            <w:vAlign w:val="center"/>
          </w:tcPr>
          <w:p w14:paraId="2BCC76E5">
            <w:pPr>
              <w:widowControl/>
              <w:spacing w:line="360" w:lineRule="auto"/>
              <w:jc w:val="left"/>
              <w:rPr>
                <w:rFonts w:hint="eastAsia" w:ascii="宋体" w:hAnsi="宋体" w:eastAsia="宋体" w:cs="宋体"/>
                <w:color w:val="auto"/>
                <w:sz w:val="21"/>
                <w:szCs w:val="21"/>
                <w:highlight w:val="none"/>
              </w:rPr>
            </w:pPr>
          </w:p>
        </w:tc>
        <w:tc>
          <w:tcPr>
            <w:tcW w:w="7492" w:type="dxa"/>
            <w:tcBorders>
              <w:top w:val="single" w:color="auto" w:sz="4" w:space="0"/>
              <w:left w:val="single" w:color="auto" w:sz="4" w:space="0"/>
              <w:bottom w:val="single" w:color="auto" w:sz="4" w:space="0"/>
              <w:right w:val="single" w:color="auto" w:sz="4" w:space="0"/>
            </w:tcBorders>
            <w:vAlign w:val="center"/>
          </w:tcPr>
          <w:p w14:paraId="60015A37">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功能丰富的</w:t>
            </w:r>
            <w:r>
              <w:rPr>
                <w:rFonts w:hint="eastAsia" w:ascii="宋体" w:hAnsi="宋体" w:eastAsia="宋体" w:cs="宋体"/>
                <w:color w:val="auto"/>
                <w:sz w:val="21"/>
                <w:szCs w:val="21"/>
                <w:highlight w:val="none"/>
                <w:lang w:eastAsia="zh-Hans"/>
              </w:rPr>
              <w:t>自</w:t>
            </w:r>
            <w:r>
              <w:rPr>
                <w:rFonts w:hint="eastAsia" w:ascii="宋体" w:hAnsi="宋体" w:eastAsia="宋体" w:cs="宋体"/>
                <w:color w:val="auto"/>
                <w:sz w:val="21"/>
                <w:szCs w:val="21"/>
                <w:highlight w:val="none"/>
              </w:rPr>
              <w:t>定义监控</w:t>
            </w:r>
          </w:p>
          <w:p w14:paraId="5885FE7A">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丰富的数据源：支持各类实时数据源，如</w:t>
            </w:r>
            <w:r>
              <w:rPr>
                <w:rFonts w:hint="eastAsia" w:ascii="宋体" w:hAnsi="宋体" w:eastAsia="宋体" w:cs="宋体"/>
                <w:color w:val="auto"/>
                <w:sz w:val="21"/>
                <w:szCs w:val="21"/>
                <w:highlight w:val="none"/>
                <w:lang w:eastAsia="zh-Hans"/>
              </w:rPr>
              <w:t>日</w:t>
            </w:r>
            <w:r>
              <w:rPr>
                <w:rFonts w:hint="eastAsia" w:ascii="宋体" w:hAnsi="宋体" w:eastAsia="宋体" w:cs="宋体"/>
                <w:color w:val="auto"/>
                <w:sz w:val="21"/>
                <w:szCs w:val="21"/>
                <w:highlight w:val="none"/>
              </w:rPr>
              <w:t>志、SDK、MQ、Loghub等；</w:t>
            </w:r>
          </w:p>
          <w:p w14:paraId="180F6354">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灵活的实时计算和存储编排：</w:t>
            </w:r>
            <w:r>
              <w:rPr>
                <w:rFonts w:hint="eastAsia" w:ascii="宋体" w:hAnsi="宋体" w:eastAsia="宋体" w:cs="宋体"/>
                <w:color w:val="auto"/>
                <w:sz w:val="21"/>
                <w:szCs w:val="21"/>
                <w:highlight w:val="none"/>
                <w:lang w:eastAsia="zh-Hans"/>
              </w:rPr>
              <w:t>支</w:t>
            </w:r>
            <w:r>
              <w:rPr>
                <w:rFonts w:hint="eastAsia" w:ascii="宋体" w:hAnsi="宋体" w:eastAsia="宋体" w:cs="宋体"/>
                <w:color w:val="auto"/>
                <w:sz w:val="21"/>
                <w:szCs w:val="21"/>
                <w:highlight w:val="none"/>
              </w:rPr>
              <w:t>持</w:t>
            </w:r>
            <w:r>
              <w:rPr>
                <w:rFonts w:hint="eastAsia" w:ascii="宋体" w:hAnsi="宋体" w:eastAsia="宋体" w:cs="宋体"/>
                <w:color w:val="auto"/>
                <w:sz w:val="21"/>
                <w:szCs w:val="21"/>
                <w:highlight w:val="none"/>
                <w:lang w:eastAsia="zh-Hans"/>
              </w:rPr>
              <w:t>用户</w:t>
            </w:r>
            <w:r>
              <w:rPr>
                <w:rFonts w:hint="eastAsia" w:ascii="宋体" w:hAnsi="宋体" w:eastAsia="宋体" w:cs="宋体"/>
                <w:color w:val="auto"/>
                <w:sz w:val="21"/>
                <w:szCs w:val="21"/>
                <w:highlight w:val="none"/>
              </w:rPr>
              <w:t>根据指定维度和计算</w:t>
            </w:r>
            <w:r>
              <w:rPr>
                <w:rFonts w:hint="eastAsia" w:ascii="宋体" w:hAnsi="宋体" w:eastAsia="宋体" w:cs="宋体"/>
                <w:color w:val="auto"/>
                <w:sz w:val="21"/>
                <w:szCs w:val="21"/>
                <w:highlight w:val="none"/>
                <w:lang w:eastAsia="zh-Hans"/>
              </w:rPr>
              <w:t>方</w:t>
            </w:r>
            <w:r>
              <w:rPr>
                <w:rFonts w:hint="eastAsia" w:ascii="宋体" w:hAnsi="宋体" w:eastAsia="宋体" w:cs="宋体"/>
                <w:color w:val="auto"/>
                <w:sz w:val="21"/>
                <w:szCs w:val="21"/>
                <w:highlight w:val="none"/>
              </w:rPr>
              <w:t>式</w:t>
            </w:r>
            <w:r>
              <w:rPr>
                <w:rFonts w:hint="eastAsia" w:ascii="宋体" w:hAnsi="宋体" w:eastAsia="宋体" w:cs="宋体"/>
                <w:color w:val="auto"/>
                <w:sz w:val="21"/>
                <w:szCs w:val="21"/>
                <w:highlight w:val="none"/>
                <w:lang w:eastAsia="zh-Hans"/>
              </w:rPr>
              <w:t>自行</w:t>
            </w:r>
            <w:r>
              <w:rPr>
                <w:rFonts w:hint="eastAsia" w:ascii="宋体" w:hAnsi="宋体" w:eastAsia="宋体" w:cs="宋体"/>
                <w:color w:val="auto"/>
                <w:sz w:val="21"/>
                <w:szCs w:val="21"/>
                <w:highlight w:val="none"/>
              </w:rPr>
              <w:t>编排实时计算和存储</w:t>
            </w:r>
            <w:r>
              <w:rPr>
                <w:rFonts w:hint="eastAsia" w:ascii="宋体" w:hAnsi="宋体" w:eastAsia="宋体" w:cs="宋体"/>
                <w:color w:val="auto"/>
                <w:sz w:val="21"/>
                <w:szCs w:val="21"/>
                <w:highlight w:val="none"/>
                <w:lang w:eastAsia="zh-Hans"/>
              </w:rPr>
              <w:t>方</w:t>
            </w:r>
            <w:r>
              <w:rPr>
                <w:rFonts w:hint="eastAsia" w:ascii="宋体" w:hAnsi="宋体" w:eastAsia="宋体" w:cs="宋体"/>
                <w:color w:val="auto"/>
                <w:sz w:val="21"/>
                <w:szCs w:val="21"/>
                <w:highlight w:val="none"/>
              </w:rPr>
              <w:t>式；</w:t>
            </w:r>
          </w:p>
          <w:p w14:paraId="3C9186D0">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灵活的报警和</w:t>
            </w:r>
            <w:r>
              <w:rPr>
                <w:rFonts w:hint="eastAsia" w:ascii="宋体" w:hAnsi="宋体" w:eastAsia="宋体" w:cs="宋体"/>
                <w:color w:val="auto"/>
                <w:sz w:val="21"/>
                <w:szCs w:val="21"/>
                <w:highlight w:val="none"/>
                <w:lang w:eastAsia="zh-Hans"/>
              </w:rPr>
              <w:t>大</w:t>
            </w:r>
            <w:r>
              <w:rPr>
                <w:rFonts w:hint="eastAsia" w:ascii="宋体" w:hAnsi="宋体" w:eastAsia="宋体" w:cs="宋体"/>
                <w:color w:val="auto"/>
                <w:sz w:val="21"/>
                <w:szCs w:val="21"/>
                <w:highlight w:val="none"/>
              </w:rPr>
              <w:t>盘对接：监控数据集可快速对接业务实时监控服务报警和</w:t>
            </w:r>
            <w:r>
              <w:rPr>
                <w:rFonts w:hint="eastAsia" w:ascii="宋体" w:hAnsi="宋体" w:eastAsia="宋体" w:cs="宋体"/>
                <w:color w:val="auto"/>
                <w:sz w:val="21"/>
                <w:szCs w:val="21"/>
                <w:highlight w:val="none"/>
                <w:lang w:eastAsia="zh-Hans"/>
              </w:rPr>
              <w:t>大</w:t>
            </w:r>
            <w:r>
              <w:rPr>
                <w:rFonts w:hint="eastAsia" w:ascii="宋体" w:hAnsi="宋体" w:eastAsia="宋体" w:cs="宋体"/>
                <w:color w:val="auto"/>
                <w:sz w:val="21"/>
                <w:szCs w:val="21"/>
                <w:highlight w:val="none"/>
              </w:rPr>
              <w:t>盘平台，以提供各类场景的监控</w:t>
            </w:r>
            <w:r>
              <w:rPr>
                <w:rFonts w:hint="eastAsia" w:ascii="宋体" w:hAnsi="宋体" w:eastAsia="宋体" w:cs="宋体"/>
                <w:color w:val="auto"/>
                <w:sz w:val="21"/>
                <w:szCs w:val="21"/>
                <w:highlight w:val="none"/>
                <w:lang w:eastAsia="zh-Hans"/>
              </w:rPr>
              <w:t>能力</w:t>
            </w:r>
            <w:r>
              <w:rPr>
                <w:rFonts w:hint="eastAsia" w:ascii="宋体" w:hAnsi="宋体" w:eastAsia="宋体" w:cs="宋体"/>
                <w:color w:val="auto"/>
                <w:sz w:val="21"/>
                <w:szCs w:val="21"/>
                <w:highlight w:val="none"/>
              </w:rPr>
              <w:t>；</w:t>
            </w:r>
          </w:p>
          <w:p w14:paraId="1B482D8B">
            <w:pPr>
              <w:autoSpaceDE w:val="0"/>
              <w:autoSpaceDN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大量丰富的参考场景模板，如 Nginx 监控、异常监控、电商监控等。</w:t>
            </w:r>
          </w:p>
        </w:tc>
      </w:tr>
    </w:tbl>
    <w:p w14:paraId="1CCDCA73">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  API网关服务</w:t>
      </w:r>
    </w:p>
    <w:tbl>
      <w:tblPr>
        <w:tblStyle w:val="62"/>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7522"/>
      </w:tblGrid>
      <w:tr w14:paraId="1D0F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14:paraId="2F3D3503">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指标项</w:t>
            </w:r>
          </w:p>
        </w:tc>
        <w:tc>
          <w:tcPr>
            <w:tcW w:w="7522" w:type="dxa"/>
            <w:vAlign w:val="center"/>
          </w:tcPr>
          <w:p w14:paraId="42696C33">
            <w:pPr>
              <w:autoSpaceDE w:val="0"/>
              <w:autoSpaceDN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规格要求</w:t>
            </w:r>
          </w:p>
        </w:tc>
      </w:tr>
      <w:tr w14:paraId="6F7E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14:paraId="0E397E7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tc>
        <w:tc>
          <w:tcPr>
            <w:tcW w:w="7522" w:type="dxa"/>
            <w:vAlign w:val="center"/>
          </w:tcPr>
          <w:p w14:paraId="2D9EEC8B">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提供防攻击、防重放、请求加密、身份认证、权限管理、流量控制等多重手段保证API安全，降低API开放风险。 提供API定义、发布、下线等全生命周期管理，提升API管理、迭代的效率。</w:t>
            </w:r>
          </w:p>
        </w:tc>
      </w:tr>
      <w:tr w14:paraId="3FDB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14:paraId="3DA1C994">
            <w:pPr>
              <w:widowControl/>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API生命</w:t>
            </w:r>
          </w:p>
          <w:p w14:paraId="0F07F855">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周期管理</w:t>
            </w:r>
          </w:p>
        </w:tc>
        <w:tc>
          <w:tcPr>
            <w:tcW w:w="7522" w:type="dxa"/>
            <w:vAlign w:val="center"/>
          </w:tcPr>
          <w:p w14:paraId="1A958BCA">
            <w:pPr>
              <w:widowControl/>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支持包括API发布、API测试、API下线等生命周期管理功能。</w:t>
            </w:r>
          </w:p>
          <w:p w14:paraId="5DBBC7CC">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支持API日常管理、API版本管理、API快速回滚等维护功能。</w:t>
            </w:r>
          </w:p>
        </w:tc>
      </w:tr>
      <w:tr w14:paraId="3B4F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14:paraId="7A6E71AC">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安全防护</w:t>
            </w:r>
          </w:p>
          <w:p w14:paraId="0F9CC672">
            <w:pPr>
              <w:spacing w:line="360" w:lineRule="auto"/>
              <w:jc w:val="center"/>
              <w:rPr>
                <w:rFonts w:hint="eastAsia" w:ascii="宋体" w:hAnsi="宋体" w:eastAsia="宋体" w:cs="宋体"/>
                <w:color w:val="auto"/>
                <w:sz w:val="21"/>
                <w:szCs w:val="21"/>
                <w:highlight w:val="none"/>
              </w:rPr>
            </w:pPr>
          </w:p>
        </w:tc>
        <w:tc>
          <w:tcPr>
            <w:tcW w:w="7522" w:type="dxa"/>
            <w:vAlign w:val="center"/>
          </w:tcPr>
          <w:p w14:paraId="67B3E2C6">
            <w:pPr>
              <w:widowControl/>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支持多种认证方式。</w:t>
            </w:r>
          </w:p>
          <w:p w14:paraId="7EB66A02">
            <w:pPr>
              <w:widowControl/>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支持HTTPS协议，支持SSL加密。 防攻击、防注入、请求防重放、请求防篡改。</w:t>
            </w:r>
          </w:p>
        </w:tc>
      </w:tr>
      <w:tr w14:paraId="01B6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0" w:type="dxa"/>
            <w:vAlign w:val="center"/>
          </w:tcPr>
          <w:p w14:paraId="1B58887F">
            <w:pPr>
              <w:widowControl/>
              <w:spacing w:line="360" w:lineRule="auto"/>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丰富的插件</w:t>
            </w:r>
          </w:p>
          <w:p w14:paraId="74FF0B94">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功能</w:t>
            </w:r>
          </w:p>
        </w:tc>
        <w:tc>
          <w:tcPr>
            <w:tcW w:w="7522" w:type="dxa"/>
            <w:vAlign w:val="center"/>
          </w:tcPr>
          <w:p w14:paraId="26B2B0D7">
            <w:pPr>
              <w:widowControl/>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通过插件功能，使API具备插拔式的功能扩展 网关提供了丰富的插件种类：流量控制，IP访问控制，后端签名，JWT鉴权，跨域资源访问（CORS），缓存，后端路由，访问控制，断路器，错误码映射。</w:t>
            </w:r>
          </w:p>
        </w:tc>
      </w:tr>
      <w:tr w14:paraId="54E7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14:paraId="15F37A01">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自动化工具</w:t>
            </w:r>
          </w:p>
        </w:tc>
        <w:tc>
          <w:tcPr>
            <w:tcW w:w="7522" w:type="dxa"/>
            <w:vAlign w:val="center"/>
          </w:tcPr>
          <w:p w14:paraId="7FA54186">
            <w:pPr>
              <w:widowControl/>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自动生成API文档，提供多种语言的SDK示例；</w:t>
            </w:r>
          </w:p>
          <w:p w14:paraId="46D1AEB3">
            <w:pPr>
              <w:widowControl/>
              <w:spacing w:line="36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提供可视化界面调试工具，快速测试，快速上线</w:t>
            </w:r>
            <w:r>
              <w:rPr>
                <w:rFonts w:hint="eastAsia" w:ascii="宋体" w:hAnsi="宋体" w:eastAsia="宋体" w:cs="宋体"/>
                <w:color w:val="auto"/>
                <w:kern w:val="0"/>
                <w:sz w:val="21"/>
                <w:szCs w:val="21"/>
                <w:highlight w:val="none"/>
                <w:lang w:eastAsia="zh-CN" w:bidi="ar"/>
              </w:rPr>
              <w:t>。</w:t>
            </w:r>
          </w:p>
        </w:tc>
      </w:tr>
      <w:tr w14:paraId="42BF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14:paraId="20CACBB6">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监控报警</w:t>
            </w:r>
          </w:p>
        </w:tc>
        <w:tc>
          <w:tcPr>
            <w:tcW w:w="7522" w:type="dxa"/>
            <w:vAlign w:val="center"/>
          </w:tcPr>
          <w:p w14:paraId="56E80DE5">
            <w:pPr>
              <w:widowControl/>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提供可视化的API实时监控，包括：调用量、响应时间、错误率等。</w:t>
            </w:r>
          </w:p>
          <w:p w14:paraId="6B36E6DA">
            <w:pPr>
              <w:widowControl/>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配置API报警，以便实时掌握API运行情况 结合SLS，提供API全量日志查询</w:t>
            </w:r>
          </w:p>
        </w:tc>
      </w:tr>
      <w:tr w14:paraId="022B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650" w:type="dxa"/>
            <w:vAlign w:val="center"/>
          </w:tcPr>
          <w:p w14:paraId="218C44A1">
            <w:pPr>
              <w:keepNext/>
              <w:keepLines/>
              <w:widowControl/>
              <w:shd w:val="clear" w:color="auto" w:fill="FFFFFF"/>
              <w:tabs>
                <w:tab w:val="left" w:pos="432"/>
              </w:tabs>
              <w:adjustRightInd/>
              <w:spacing w:line="360" w:lineRule="auto"/>
              <w:jc w:val="center"/>
              <w:outlineLvl w:val="1"/>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灵活的权限</w:t>
            </w:r>
          </w:p>
          <w:p w14:paraId="129E4F12">
            <w:pPr>
              <w:keepNext/>
              <w:keepLines/>
              <w:widowControl/>
              <w:shd w:val="clear" w:color="auto" w:fill="FFFFFF"/>
              <w:tabs>
                <w:tab w:val="left" w:pos="432"/>
              </w:tabs>
              <w:adjustRightInd/>
              <w:spacing w:line="360" w:lineRule="auto"/>
              <w:jc w:val="center"/>
              <w:outlineLvl w:val="1"/>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控制</w:t>
            </w:r>
          </w:p>
        </w:tc>
        <w:tc>
          <w:tcPr>
            <w:tcW w:w="7522" w:type="dxa"/>
            <w:vAlign w:val="center"/>
          </w:tcPr>
          <w:p w14:paraId="46C78032">
            <w:pPr>
              <w:widowControl/>
              <w:tabs>
                <w:tab w:val="left" w:pos="720"/>
              </w:tabs>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您以APP作为请求API的身份，网关支持针对APP的权限控制。</w:t>
            </w:r>
          </w:p>
          <w:p w14:paraId="6106ACB8">
            <w:pPr>
              <w:widowControl/>
              <w:tabs>
                <w:tab w:val="left" w:pos="720"/>
              </w:tabs>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只有已经获得授权的APP才能请求相应的API。</w:t>
            </w:r>
          </w:p>
          <w:p w14:paraId="212457F1">
            <w:pPr>
              <w:widowControl/>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API提供者可以主动授权某个APP调用某个API的权限。</w:t>
            </w:r>
          </w:p>
        </w:tc>
      </w:tr>
    </w:tbl>
    <w:p w14:paraId="7DF4F07E">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 操作系统</w:t>
      </w:r>
    </w:p>
    <w:p w14:paraId="1836C689">
      <w:pPr>
        <w:pStyle w:val="982"/>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由于CentOS Linux的停服，为响应省市要求，</w:t>
      </w:r>
      <w:bookmarkEnd w:id="39"/>
      <w:r>
        <w:rPr>
          <w:rFonts w:hint="eastAsia" w:ascii="宋体" w:hAnsi="宋体" w:eastAsia="宋体" w:cs="宋体"/>
          <w:color w:val="auto"/>
          <w:sz w:val="21"/>
          <w:szCs w:val="21"/>
          <w:highlight w:val="none"/>
        </w:rPr>
        <w:t>供应商需承诺提供非CentOS的</w:t>
      </w:r>
      <w:r>
        <w:rPr>
          <w:rFonts w:hint="eastAsia" w:ascii="宋体" w:hAnsi="宋体" w:eastAsia="宋体" w:cs="宋体"/>
          <w:bCs/>
          <w:color w:val="auto"/>
          <w:sz w:val="21"/>
          <w:szCs w:val="21"/>
          <w:highlight w:val="none"/>
        </w:rPr>
        <w:t>符合规范的</w:t>
      </w:r>
      <w:r>
        <w:rPr>
          <w:rFonts w:hint="eastAsia" w:ascii="宋体" w:hAnsi="宋体" w:eastAsia="宋体" w:cs="宋体"/>
          <w:color w:val="auto"/>
          <w:sz w:val="21"/>
          <w:szCs w:val="21"/>
          <w:highlight w:val="none"/>
        </w:rPr>
        <w:t>主流操作系统，并配合原部署CentOS系统上的建设单位进行操作系统替换工作。</w:t>
      </w:r>
    </w:p>
    <w:p w14:paraId="1439AB5E">
      <w:pPr>
        <w:pStyle w:val="4"/>
        <w:widowControl/>
        <w:numPr>
          <w:ilvl w:val="0"/>
          <w:numId w:val="5"/>
        </w:numPr>
        <w:tabs>
          <w:tab w:val="clear" w:pos="900"/>
        </w:tabs>
        <w:adjustRightInd/>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云安全服务</w:t>
      </w:r>
    </w:p>
    <w:p w14:paraId="572D2A50">
      <w:pPr>
        <w:pStyle w:val="15"/>
        <w:spacing w:line="360" w:lineRule="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本项目云平台</w:t>
      </w:r>
      <w:r>
        <w:rPr>
          <w:rFonts w:hint="eastAsia" w:ascii="宋体" w:hAnsi="宋体" w:eastAsia="宋体" w:cs="宋体"/>
          <w:snapToGrid/>
          <w:color w:val="auto"/>
          <w:kern w:val="2"/>
          <w:sz w:val="21"/>
          <w:szCs w:val="21"/>
          <w:highlight w:val="none"/>
          <w:lang w:val="en-US" w:eastAsia="zh-CN"/>
        </w:rPr>
        <w:t>须符合国家</w:t>
      </w:r>
      <w:r>
        <w:rPr>
          <w:rFonts w:hint="eastAsia" w:hAnsi="宋体" w:cs="宋体"/>
          <w:snapToGrid/>
          <w:color w:val="auto"/>
          <w:kern w:val="2"/>
          <w:sz w:val="21"/>
          <w:szCs w:val="21"/>
          <w:highlight w:val="none"/>
          <w:lang w:val="en-US" w:eastAsia="zh-CN"/>
        </w:rPr>
        <w:t>的</w:t>
      </w:r>
      <w:r>
        <w:rPr>
          <w:rFonts w:hint="eastAsia" w:ascii="宋体" w:hAnsi="宋体" w:eastAsia="宋体" w:cs="宋体"/>
          <w:snapToGrid/>
          <w:color w:val="auto"/>
          <w:kern w:val="2"/>
          <w:sz w:val="21"/>
          <w:szCs w:val="21"/>
          <w:highlight w:val="none"/>
          <w:lang w:val="en-US" w:eastAsia="zh-CN"/>
        </w:rPr>
        <w:t>相关标准和规范，</w:t>
      </w:r>
      <w:r>
        <w:rPr>
          <w:rFonts w:hint="eastAsia" w:ascii="宋体" w:hAnsi="宋体" w:eastAsia="宋体" w:cs="宋体"/>
          <w:snapToGrid/>
          <w:color w:val="auto"/>
          <w:kern w:val="2"/>
          <w:sz w:val="21"/>
          <w:szCs w:val="21"/>
          <w:highlight w:val="none"/>
        </w:rPr>
        <w:t>满足安全通用要求和云计算安全扩展要求进行设备配置，如防火墙、主机杀毒软件、日志审计系统、堡垒机、数据库审计、漏洞扫描、WEB应用防火墙以及入侵检测等产品。</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7525"/>
      </w:tblGrid>
      <w:tr w14:paraId="5614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4F987F8C">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指标项</w:t>
            </w:r>
          </w:p>
        </w:tc>
        <w:tc>
          <w:tcPr>
            <w:tcW w:w="7525" w:type="dxa"/>
            <w:vAlign w:val="center"/>
          </w:tcPr>
          <w:p w14:paraId="5CCB522D">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详细技术要求</w:t>
            </w:r>
          </w:p>
        </w:tc>
      </w:tr>
      <w:tr w14:paraId="0E56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0A30F54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资质要求</w:t>
            </w:r>
          </w:p>
        </w:tc>
        <w:tc>
          <w:tcPr>
            <w:tcW w:w="7525" w:type="dxa"/>
            <w:vAlign w:val="center"/>
          </w:tcPr>
          <w:p w14:paraId="5D1CEFAE">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投标的云平台应满足等级保护三级要求</w:t>
            </w:r>
            <w:r>
              <w:rPr>
                <w:rFonts w:hint="eastAsia" w:ascii="宋体" w:hAnsi="宋体" w:eastAsia="宋体" w:cs="宋体"/>
                <w:color w:val="auto"/>
                <w:sz w:val="21"/>
                <w:szCs w:val="21"/>
                <w:highlight w:val="none"/>
                <w:lang w:eastAsia="zh-CN"/>
              </w:rPr>
              <w:t>。</w:t>
            </w:r>
          </w:p>
        </w:tc>
      </w:tr>
      <w:tr w14:paraId="00CD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4AAE665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Web应用防火墙</w:t>
            </w:r>
          </w:p>
        </w:tc>
        <w:tc>
          <w:tcPr>
            <w:tcW w:w="7525" w:type="dxa"/>
            <w:vAlign w:val="center"/>
          </w:tcPr>
          <w:p w14:paraId="454C9F79">
            <w:pPr>
              <w:pStyle w:val="981"/>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以网站或应用系统为核心，通过对HTTP或HTTPS的Web攻击行为进行分析并拦截，有效</w:t>
            </w: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rPr>
              <w:t>降低网站安全风险。主要部署在网站服务器的前方。</w:t>
            </w:r>
          </w:p>
          <w:p w14:paraId="4B178699">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Web应用防火墙系统可以有效地缓解网站及Web应用系统面临如0WASP TOP 10中定义的常见威胁；可以快速地应对恶意攻击者对Web业务带来的冲击。让网站免遭Web攻击侵扰并对网站代码进行合理加固。</w:t>
            </w:r>
          </w:p>
        </w:tc>
      </w:tr>
      <w:tr w14:paraId="06A9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2FB97D3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数据库审计</w:t>
            </w:r>
          </w:p>
        </w:tc>
        <w:tc>
          <w:tcPr>
            <w:tcW w:w="7525" w:type="dxa"/>
            <w:vAlign w:val="center"/>
          </w:tcPr>
          <w:p w14:paraId="52E9153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数据库深度报文协议解析技术、DPI和DFI动态流检测技术等，将数据库的各种操作，解析还原成原始的数据库语句，通过匹配预置的安全规则，智能分析和监控访问者的各种操作，进行实时威胁预警，并对事件统计分析记录，多重身份定位，有效支持电子取证。</w:t>
            </w:r>
          </w:p>
        </w:tc>
      </w:tr>
      <w:tr w14:paraId="4AB7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27870F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运维审计</w:t>
            </w:r>
          </w:p>
        </w:tc>
        <w:tc>
          <w:tcPr>
            <w:tcW w:w="7525" w:type="dxa"/>
            <w:vAlign w:val="center"/>
          </w:tcPr>
          <w:p w14:paraId="58BAC25C">
            <w:pPr>
              <w:pStyle w:val="981"/>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集账号、认证、授权、审计为一体，实现</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企业IT中心的网络设备、数据库、安全设备、主机系统、中间件等资源统一运维管理和审计。对运维人员整个操作过程处于可管、可控、可见、可审。</w:t>
            </w:r>
          </w:p>
          <w:p w14:paraId="0F26D93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支持H5页面展示当前操作用户的登录名作为水印，防止通过截屏方式造成的数据泄露。</w:t>
            </w:r>
          </w:p>
        </w:tc>
      </w:tr>
      <w:tr w14:paraId="67FB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2DCD56F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日志审计</w:t>
            </w:r>
          </w:p>
        </w:tc>
        <w:tc>
          <w:tcPr>
            <w:tcW w:w="7525" w:type="dxa"/>
            <w:vAlign w:val="center"/>
          </w:tcPr>
          <w:p w14:paraId="01446EAA">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大数据技术和智能分析方法，集日志采集与存储、日志归一化、交互式分析、关联分析、仪表板、报表统计、告警管理等功能于一身，实现网络设备、安全设备、操作系统、云服务器、数据库、中间件及应用系统等的日志、警报信息的全面采集、存储、分析和展示，全面满足对日志的安全合规管理要求和审计分析需求。</w:t>
            </w:r>
          </w:p>
        </w:tc>
      </w:tr>
      <w:tr w14:paraId="1BED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21C3D07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漏洞扫描</w:t>
            </w:r>
          </w:p>
        </w:tc>
        <w:tc>
          <w:tcPr>
            <w:tcW w:w="7525" w:type="dxa"/>
            <w:vAlign w:val="center"/>
          </w:tcPr>
          <w:p w14:paraId="7EB4652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基于漏洞知识库，通过采集信息、执行漏洞检测脚本对指定的云服务器、应用程序、数据库、WEB服务、网络设备、安全设备的安全脆弱性进行检测，发现可被利用漏洞、不安全配置并实时预警。</w:t>
            </w:r>
          </w:p>
        </w:tc>
      </w:tr>
      <w:tr w14:paraId="25F9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4572364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网页防篡改</w:t>
            </w:r>
          </w:p>
        </w:tc>
        <w:tc>
          <w:tcPr>
            <w:tcW w:w="7525" w:type="dxa"/>
            <w:vAlign w:val="center"/>
          </w:tcPr>
          <w:p w14:paraId="41A83C1A">
            <w:pPr>
              <w:pStyle w:val="981"/>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通过文件系统驱动技术以及进程内嵌技术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防止黑客对网站攻击的首要目标网站主页内容进行侵袭，保证网页内容安全性的网页防篡改系统。防篡改要具备如下功能：</w:t>
            </w:r>
          </w:p>
          <w:p w14:paraId="528E8982">
            <w:pPr>
              <w:pStyle w:val="981"/>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（1）支持主流系统</w:t>
            </w:r>
          </w:p>
          <w:p w14:paraId="1EB69750">
            <w:pPr>
              <w:pStyle w:val="981"/>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支持所有主流的操作系统</w:t>
            </w:r>
          </w:p>
          <w:p w14:paraId="3FC5B2CC">
            <w:pPr>
              <w:pStyle w:val="981"/>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（2）支持常用的Web系统</w:t>
            </w:r>
          </w:p>
          <w:p w14:paraId="4B9F1CE2">
            <w:pPr>
              <w:pStyle w:val="981"/>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支持常用的Web系统，包括：IIS、Apache、SunONE、Weblogic、WebSphere、resin等。</w:t>
            </w:r>
          </w:p>
          <w:p w14:paraId="4753862E">
            <w:pPr>
              <w:pStyle w:val="981"/>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（3）支持多种数据库系统</w:t>
            </w:r>
          </w:p>
          <w:p w14:paraId="1653128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保护所有常用的数据库系统，包括：SQL Server、Oracle、MySQL、Access等。</w:t>
            </w:r>
          </w:p>
        </w:tc>
      </w:tr>
      <w:tr w14:paraId="39FA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Merge w:val="restart"/>
            <w:vAlign w:val="center"/>
          </w:tcPr>
          <w:p w14:paraId="6C23953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虚拟主机</w:t>
            </w:r>
          </w:p>
          <w:p w14:paraId="138BC30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安全防护</w:t>
            </w:r>
          </w:p>
        </w:tc>
        <w:tc>
          <w:tcPr>
            <w:tcW w:w="7525" w:type="dxa"/>
            <w:vAlign w:val="center"/>
          </w:tcPr>
          <w:p w14:paraId="53F99BAD">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支持监听端口、账号信息、运行进程、软件版本等资产指纹识别</w:t>
            </w:r>
            <w:r>
              <w:rPr>
                <w:rFonts w:hint="eastAsia" w:ascii="宋体" w:hAnsi="宋体" w:eastAsia="宋体" w:cs="宋体"/>
                <w:color w:val="auto"/>
                <w:sz w:val="21"/>
                <w:szCs w:val="21"/>
                <w:highlight w:val="none"/>
                <w:lang w:eastAsia="zh-CN"/>
              </w:rPr>
              <w:t>。</w:t>
            </w:r>
          </w:p>
        </w:tc>
      </w:tr>
      <w:tr w14:paraId="3E13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Merge w:val="continue"/>
            <w:vAlign w:val="center"/>
          </w:tcPr>
          <w:p w14:paraId="0B9040E3">
            <w:pPr>
              <w:spacing w:line="360" w:lineRule="auto"/>
              <w:jc w:val="center"/>
              <w:rPr>
                <w:rFonts w:hint="eastAsia" w:ascii="宋体" w:hAnsi="宋体" w:eastAsia="宋体" w:cs="宋体"/>
                <w:color w:val="auto"/>
                <w:sz w:val="21"/>
                <w:szCs w:val="21"/>
                <w:highlight w:val="none"/>
              </w:rPr>
            </w:pPr>
          </w:p>
        </w:tc>
        <w:tc>
          <w:tcPr>
            <w:tcW w:w="7525" w:type="dxa"/>
            <w:vAlign w:val="center"/>
          </w:tcPr>
          <w:p w14:paraId="5771EE6E">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异常登录检测：能检测出系统的异常登录事件，支持异地登录、非法IP登录、非法时间登录、非法账号</w:t>
            </w:r>
            <w:r>
              <w:rPr>
                <w:rFonts w:hint="eastAsia" w:ascii="宋体" w:hAnsi="宋体" w:eastAsia="宋体" w:cs="宋体"/>
                <w:color w:val="auto"/>
                <w:sz w:val="21"/>
                <w:szCs w:val="21"/>
                <w:highlight w:val="none"/>
                <w:lang w:eastAsia="zh-CN"/>
              </w:rPr>
              <w:t>登录</w:t>
            </w:r>
            <w:r>
              <w:rPr>
                <w:rFonts w:hint="eastAsia" w:ascii="宋体" w:hAnsi="宋体" w:eastAsia="宋体" w:cs="宋体"/>
                <w:color w:val="auto"/>
                <w:sz w:val="21"/>
                <w:szCs w:val="21"/>
                <w:highlight w:val="none"/>
              </w:rPr>
              <w:t>提醒</w:t>
            </w:r>
            <w:r>
              <w:rPr>
                <w:rFonts w:hint="eastAsia" w:ascii="宋体" w:hAnsi="宋体" w:eastAsia="宋体" w:cs="宋体"/>
                <w:color w:val="auto"/>
                <w:sz w:val="21"/>
                <w:szCs w:val="21"/>
                <w:highlight w:val="none"/>
                <w:lang w:eastAsia="zh-CN"/>
              </w:rPr>
              <w:t>。</w:t>
            </w:r>
          </w:p>
        </w:tc>
      </w:tr>
      <w:tr w14:paraId="3DA9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Merge w:val="continue"/>
            <w:vAlign w:val="center"/>
          </w:tcPr>
          <w:p w14:paraId="1EAE33E0">
            <w:pPr>
              <w:spacing w:line="360" w:lineRule="auto"/>
              <w:jc w:val="center"/>
              <w:rPr>
                <w:rFonts w:hint="eastAsia" w:ascii="宋体" w:hAnsi="宋体" w:eastAsia="宋体" w:cs="宋体"/>
                <w:color w:val="auto"/>
                <w:sz w:val="21"/>
                <w:szCs w:val="21"/>
                <w:highlight w:val="none"/>
              </w:rPr>
            </w:pPr>
          </w:p>
        </w:tc>
        <w:tc>
          <w:tcPr>
            <w:tcW w:w="7525" w:type="dxa"/>
            <w:vAlign w:val="center"/>
          </w:tcPr>
          <w:p w14:paraId="57F47E07">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入侵检测：基于对主机进程、网络、文件原始行为数据进行多维算法关联分析，支持反弹shell、Java执行异常CMD命令、bash异常下载、异常进程启动、异常指令执行等主机异常行为告警</w:t>
            </w:r>
            <w:r>
              <w:rPr>
                <w:rFonts w:hint="eastAsia" w:ascii="宋体" w:hAnsi="宋体" w:eastAsia="宋体" w:cs="宋体"/>
                <w:color w:val="auto"/>
                <w:sz w:val="21"/>
                <w:szCs w:val="21"/>
                <w:highlight w:val="none"/>
                <w:lang w:eastAsia="zh-CN"/>
              </w:rPr>
              <w:t>。</w:t>
            </w:r>
          </w:p>
        </w:tc>
      </w:tr>
      <w:tr w14:paraId="76C5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Merge w:val="continue"/>
            <w:vAlign w:val="center"/>
          </w:tcPr>
          <w:p w14:paraId="392E5685">
            <w:pPr>
              <w:spacing w:line="360" w:lineRule="auto"/>
              <w:jc w:val="center"/>
              <w:rPr>
                <w:rFonts w:hint="eastAsia" w:ascii="宋体" w:hAnsi="宋体" w:eastAsia="宋体" w:cs="宋体"/>
                <w:color w:val="auto"/>
                <w:sz w:val="21"/>
                <w:szCs w:val="21"/>
                <w:highlight w:val="none"/>
              </w:rPr>
            </w:pPr>
          </w:p>
        </w:tc>
        <w:tc>
          <w:tcPr>
            <w:tcW w:w="7525" w:type="dxa"/>
            <w:vAlign w:val="center"/>
          </w:tcPr>
          <w:p w14:paraId="5BAAC75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支持登录弱口令、Tomcat、Redis等基线检查</w:t>
            </w:r>
            <w:r>
              <w:rPr>
                <w:rFonts w:hint="eastAsia" w:ascii="宋体" w:hAnsi="宋体" w:eastAsia="宋体" w:cs="宋体"/>
                <w:color w:val="auto"/>
                <w:sz w:val="21"/>
                <w:szCs w:val="21"/>
                <w:highlight w:val="none"/>
                <w:lang w:eastAsia="zh-CN"/>
              </w:rPr>
              <w:t>。</w:t>
            </w:r>
          </w:p>
        </w:tc>
      </w:tr>
      <w:tr w14:paraId="104B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Merge w:val="restart"/>
            <w:vAlign w:val="center"/>
          </w:tcPr>
          <w:p w14:paraId="63C8D97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态势感知</w:t>
            </w:r>
          </w:p>
        </w:tc>
        <w:tc>
          <w:tcPr>
            <w:tcW w:w="7525" w:type="dxa"/>
            <w:vAlign w:val="center"/>
          </w:tcPr>
          <w:p w14:paraId="180A6DDD">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提供政务云平台内容高级威胁检测能力。</w:t>
            </w:r>
          </w:p>
        </w:tc>
      </w:tr>
      <w:tr w14:paraId="3683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Merge w:val="continue"/>
            <w:vAlign w:val="center"/>
          </w:tcPr>
          <w:p w14:paraId="401BE609">
            <w:pPr>
              <w:spacing w:line="360" w:lineRule="auto"/>
              <w:jc w:val="center"/>
              <w:rPr>
                <w:rFonts w:hint="eastAsia" w:ascii="宋体" w:hAnsi="宋体" w:eastAsia="宋体" w:cs="宋体"/>
                <w:color w:val="auto"/>
                <w:sz w:val="21"/>
                <w:szCs w:val="21"/>
                <w:highlight w:val="none"/>
              </w:rPr>
            </w:pPr>
          </w:p>
        </w:tc>
        <w:tc>
          <w:tcPr>
            <w:tcW w:w="7525" w:type="dxa"/>
            <w:vAlign w:val="center"/>
          </w:tcPr>
          <w:p w14:paraId="7E5E4EB3">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基于APT事件发现、跟踪成果，通过威胁情报、文件虚拟执行、智能规则引擎、机器学习等技术，提供检测和发现高级网络攻击和新型网络攻击</w:t>
            </w:r>
            <w:r>
              <w:rPr>
                <w:rFonts w:hint="eastAsia" w:ascii="宋体" w:hAnsi="宋体" w:eastAsia="宋体" w:cs="宋体"/>
                <w:color w:val="auto"/>
                <w:kern w:val="0"/>
                <w:sz w:val="21"/>
                <w:szCs w:val="21"/>
                <w:highlight w:val="none"/>
                <w:lang w:eastAsia="zh-CN" w:bidi="ar"/>
              </w:rPr>
              <w:t>。</w:t>
            </w:r>
          </w:p>
        </w:tc>
      </w:tr>
      <w:tr w14:paraId="034D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Merge w:val="continue"/>
            <w:vAlign w:val="center"/>
          </w:tcPr>
          <w:p w14:paraId="7E33C918">
            <w:pPr>
              <w:spacing w:line="360" w:lineRule="auto"/>
              <w:jc w:val="center"/>
              <w:rPr>
                <w:rFonts w:hint="eastAsia" w:ascii="宋体" w:hAnsi="宋体" w:eastAsia="宋体" w:cs="宋体"/>
                <w:color w:val="auto"/>
                <w:sz w:val="21"/>
                <w:szCs w:val="21"/>
                <w:highlight w:val="none"/>
              </w:rPr>
            </w:pPr>
          </w:p>
        </w:tc>
        <w:tc>
          <w:tcPr>
            <w:tcW w:w="7525" w:type="dxa"/>
            <w:vAlign w:val="center"/>
          </w:tcPr>
          <w:p w14:paraId="6BC740D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支持安全类型：APT攻击、勒索软件、远控木马、僵尸网络、窃密木马、间谍软件、网络蠕虫、邮件钓鱼等高级攻击，并基于可视化技术，清晰</w:t>
            </w:r>
            <w:r>
              <w:rPr>
                <w:rFonts w:hint="eastAsia" w:ascii="宋体" w:hAnsi="宋体" w:eastAsia="宋体" w:cs="宋体"/>
                <w:color w:val="auto"/>
                <w:kern w:val="0"/>
                <w:sz w:val="21"/>
                <w:szCs w:val="21"/>
                <w:highlight w:val="none"/>
                <w:lang w:eastAsia="zh-CN" w:bidi="ar"/>
              </w:rPr>
              <w:t>地</w:t>
            </w:r>
            <w:r>
              <w:rPr>
                <w:rFonts w:hint="eastAsia" w:ascii="宋体" w:hAnsi="宋体" w:eastAsia="宋体" w:cs="宋体"/>
                <w:color w:val="auto"/>
                <w:kern w:val="0"/>
                <w:sz w:val="21"/>
                <w:szCs w:val="21"/>
                <w:highlight w:val="none"/>
                <w:lang w:bidi="ar"/>
              </w:rPr>
              <w:t>展示网络中的威胁</w:t>
            </w:r>
            <w:r>
              <w:rPr>
                <w:rFonts w:hint="eastAsia" w:ascii="宋体" w:hAnsi="宋体" w:eastAsia="宋体" w:cs="宋体"/>
                <w:color w:val="auto"/>
                <w:kern w:val="0"/>
                <w:sz w:val="21"/>
                <w:szCs w:val="21"/>
                <w:highlight w:val="none"/>
                <w:lang w:eastAsia="zh-CN" w:bidi="ar"/>
              </w:rPr>
              <w:t>。</w:t>
            </w:r>
          </w:p>
        </w:tc>
      </w:tr>
      <w:tr w14:paraId="5252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Merge w:val="restart"/>
            <w:vAlign w:val="center"/>
          </w:tcPr>
          <w:p w14:paraId="47C87B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流量监控</w:t>
            </w:r>
          </w:p>
        </w:tc>
        <w:tc>
          <w:tcPr>
            <w:tcW w:w="7525" w:type="dxa"/>
            <w:vAlign w:val="center"/>
          </w:tcPr>
          <w:p w14:paraId="56169F46">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对政务云平台的网络流量进行解码还原出真实流量，提取网络层、传输层和应用层的头部信息、重要负载信息，通过加密通道传送到分析平台进行统一处理。</w:t>
            </w:r>
          </w:p>
        </w:tc>
      </w:tr>
      <w:tr w14:paraId="414D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Merge w:val="continue"/>
            <w:vAlign w:val="center"/>
          </w:tcPr>
          <w:p w14:paraId="1C97AE48">
            <w:pPr>
              <w:spacing w:line="360" w:lineRule="auto"/>
              <w:jc w:val="center"/>
              <w:rPr>
                <w:rFonts w:hint="eastAsia" w:ascii="宋体" w:hAnsi="宋体" w:eastAsia="宋体" w:cs="宋体"/>
                <w:color w:val="auto"/>
                <w:sz w:val="21"/>
                <w:szCs w:val="21"/>
                <w:highlight w:val="none"/>
              </w:rPr>
            </w:pPr>
          </w:p>
        </w:tc>
        <w:tc>
          <w:tcPr>
            <w:tcW w:w="7525" w:type="dxa"/>
            <w:vAlign w:val="center"/>
          </w:tcPr>
          <w:p w14:paraId="4ACB266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采用自主知识产权的协议分析模块，支持IPv4/IPv6网络环境下，HTTP（网页）、SMTP/POP3（邮件）等主流协议的高性能分析。</w:t>
            </w:r>
          </w:p>
        </w:tc>
      </w:tr>
      <w:tr w14:paraId="7E4B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693B222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堡垒机</w:t>
            </w:r>
          </w:p>
        </w:tc>
        <w:tc>
          <w:tcPr>
            <w:tcW w:w="7525" w:type="dxa"/>
            <w:vAlign w:val="center"/>
          </w:tcPr>
          <w:p w14:paraId="53C0E3A0">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提供政务云平台的统一登录运维堡垒机服务，通过堡垒机（运维审计）来实现合规需求，对账号进行统一管理，对资产授权和认证进行集中管控，并让工作人员与资产分离，对工作人员和资产实施严格的访问控制，能够自行阻断越权访问，可以覆盖全部资产的同时还能对工作人员的操作进行控制和审计，保障服务器管理安全。</w:t>
            </w:r>
          </w:p>
          <w:p w14:paraId="065821DE">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堡垒机支持实名认证功能，系统用户操作需要进行实名认证。</w:t>
            </w:r>
          </w:p>
          <w:p w14:paraId="14E85142">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堡垒机支持对数据导出的管控功能。</w:t>
            </w:r>
          </w:p>
        </w:tc>
      </w:tr>
      <w:tr w14:paraId="0923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5036819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基于零信任技术的应用接入安全防护服务</w:t>
            </w:r>
          </w:p>
        </w:tc>
        <w:tc>
          <w:tcPr>
            <w:tcW w:w="7525" w:type="dxa"/>
            <w:vAlign w:val="center"/>
          </w:tcPr>
          <w:p w14:paraId="1E1BF260">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面向政务系统IT远程运维场景，提供业务系统安全接入与防护服务，实现对于用户与设备身份的可信识别、主机沙箱数据安全、权限精细化管控、动态访问控制等，实现应用和设备的端口、地址等隐藏。</w:t>
            </w:r>
          </w:p>
          <w:p w14:paraId="5A00A5C9">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要求提供350（及以上）个用户授权。</w:t>
            </w:r>
          </w:p>
          <w:p w14:paraId="142F2144">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支持分布式部署，网关节点支持集群模式，并可动态扩展，保障节点的高可用性。</w:t>
            </w:r>
          </w:p>
          <w:p w14:paraId="21ACEFEC">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支持HA高可用部署，控制节点支持主</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从模式，设备之间实时同步会话、用户、配置等信息，保障节点的高可用性。</w:t>
            </w:r>
          </w:p>
          <w:p w14:paraId="1918F4AD">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支持PC客户端和移动客户端使用。</w:t>
            </w:r>
          </w:p>
          <w:p w14:paraId="28FED3D0">
            <w:pPr>
              <w:spacing w:line="360" w:lineRule="auto"/>
              <w:jc w:val="left"/>
              <w:rPr>
                <w:rFonts w:hint="eastAsia" w:ascii="宋体" w:hAnsi="宋体" w:eastAsia="宋体" w:cs="宋体"/>
                <w:b/>
                <w:bCs/>
                <w:color w:val="auto"/>
                <w:kern w:val="0"/>
                <w:sz w:val="21"/>
                <w:szCs w:val="21"/>
                <w:highlight w:val="none"/>
                <w:u w:val="single"/>
                <w:lang w:bidi="ar"/>
              </w:rPr>
            </w:pPr>
            <w:r>
              <w:rPr>
                <w:rFonts w:hint="eastAsia" w:ascii="宋体" w:hAnsi="宋体" w:eastAsia="宋体" w:cs="宋体"/>
                <w:b/>
                <w:bCs/>
                <w:color w:val="auto"/>
                <w:kern w:val="0"/>
                <w:sz w:val="21"/>
                <w:szCs w:val="21"/>
                <w:highlight w:val="none"/>
                <w:u w:val="single"/>
                <w:lang w:bidi="ar"/>
              </w:rPr>
              <w:t>★客户端支持展示应用工作台和应用分组，并且应支持针对应用配置命令行执行程序，方便IT人员运维管理，如：执行SSH指令或配置并拉起本机C/S应用。同时系统应支持对应用进行分组与应用组排序功能。（提供功能截图并盖原厂公章</w:t>
            </w:r>
            <w:r>
              <w:rPr>
                <w:rFonts w:hint="eastAsia" w:ascii="宋体" w:hAnsi="宋体" w:eastAsia="宋体" w:cs="宋体"/>
                <w:b/>
                <w:bCs/>
                <w:color w:val="auto"/>
                <w:kern w:val="0"/>
                <w:sz w:val="21"/>
                <w:szCs w:val="21"/>
                <w:highlight w:val="none"/>
                <w:u w:val="single"/>
                <w:lang w:eastAsia="zh-CN" w:bidi="ar"/>
              </w:rPr>
              <w:t>）</w:t>
            </w:r>
          </w:p>
          <w:p w14:paraId="4B59BA79">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支持设定风险阈值，对异常事件能做静态验证、冻结账号等操作，可以调节冻结账号的时间，并且能够支持邮件告警、</w:t>
            </w:r>
            <w:r>
              <w:rPr>
                <w:rFonts w:hint="eastAsia" w:ascii="宋体" w:hAnsi="宋体" w:eastAsia="宋体" w:cs="宋体"/>
                <w:color w:val="auto"/>
                <w:kern w:val="0"/>
                <w:sz w:val="21"/>
                <w:szCs w:val="21"/>
                <w:highlight w:val="none"/>
                <w:lang w:eastAsia="zh-CN" w:bidi="ar"/>
              </w:rPr>
              <w:t>钉钉（浙政钉）</w:t>
            </w:r>
            <w:r>
              <w:rPr>
                <w:rFonts w:hint="eastAsia" w:ascii="宋体" w:hAnsi="宋体" w:eastAsia="宋体" w:cs="宋体"/>
                <w:color w:val="auto"/>
                <w:kern w:val="0"/>
                <w:sz w:val="21"/>
                <w:szCs w:val="21"/>
                <w:highlight w:val="none"/>
                <w:lang w:bidi="ar"/>
              </w:rPr>
              <w:t>告警、</w:t>
            </w:r>
            <w:r>
              <w:rPr>
                <w:rFonts w:hint="eastAsia" w:ascii="宋体" w:hAnsi="宋体" w:eastAsia="宋体" w:cs="宋体"/>
                <w:color w:val="auto"/>
                <w:kern w:val="0"/>
                <w:sz w:val="21"/>
                <w:szCs w:val="21"/>
                <w:highlight w:val="none"/>
                <w:lang w:eastAsia="zh-CN" w:bidi="ar"/>
              </w:rPr>
              <w:t>短信</w:t>
            </w:r>
            <w:r>
              <w:rPr>
                <w:rFonts w:hint="eastAsia" w:ascii="宋体" w:hAnsi="宋体" w:eastAsia="宋体" w:cs="宋体"/>
                <w:color w:val="auto"/>
                <w:kern w:val="0"/>
                <w:sz w:val="21"/>
                <w:szCs w:val="21"/>
                <w:highlight w:val="none"/>
                <w:lang w:bidi="ar"/>
              </w:rPr>
              <w:t>告警等多种通知方式。敏感数据的审计策略应</w:t>
            </w:r>
            <w:r>
              <w:rPr>
                <w:rFonts w:hint="eastAsia" w:ascii="宋体" w:hAnsi="宋体" w:eastAsia="宋体" w:cs="宋体"/>
                <w:color w:val="auto"/>
                <w:kern w:val="0"/>
                <w:sz w:val="21"/>
                <w:szCs w:val="21"/>
                <w:highlight w:val="none"/>
                <w:lang w:eastAsia="zh-CN" w:bidi="ar"/>
              </w:rPr>
              <w:t>能够</w:t>
            </w:r>
            <w:r>
              <w:rPr>
                <w:rFonts w:hint="eastAsia" w:ascii="宋体" w:hAnsi="宋体" w:eastAsia="宋体" w:cs="宋体"/>
                <w:color w:val="auto"/>
                <w:kern w:val="0"/>
                <w:sz w:val="21"/>
                <w:szCs w:val="21"/>
                <w:highlight w:val="none"/>
                <w:lang w:bidi="ar"/>
              </w:rPr>
              <w:t>支持全局全应用或者作用于某应用。</w:t>
            </w:r>
          </w:p>
          <w:p w14:paraId="4A7D0E04">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服务期内提供基础运维、运营、平台使用培训、咨询等服务。</w:t>
            </w:r>
          </w:p>
        </w:tc>
      </w:tr>
      <w:tr w14:paraId="5D14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424894F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基于零信任技术的核心数据可信访问服务</w:t>
            </w:r>
          </w:p>
        </w:tc>
        <w:tc>
          <w:tcPr>
            <w:tcW w:w="7525" w:type="dxa"/>
            <w:vAlign w:val="center"/>
          </w:tcPr>
          <w:p w14:paraId="19A23669">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面向政务系统数据安全运维开发场景，提供核心数据可信访问服务，以数据资源为中心，通过构建面向用户的数据资源访问关系，将数据使用权和所有权分离，打造虚拟隔离的数据资源安全边界，实现数据安全管控和隔离。</w:t>
            </w:r>
          </w:p>
          <w:p w14:paraId="67E6A114">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可实现基于沙箱的虚拟应用技术，集成chrome、firefox、dbeaver等应用访问数据资源服务器。支持在线下载应用，包含各类研发工具、数据库工具、远程浏览器等应用。</w:t>
            </w:r>
          </w:p>
          <w:p w14:paraId="708723CB">
            <w:pPr>
              <w:spacing w:line="360" w:lineRule="auto"/>
              <w:jc w:val="left"/>
              <w:rPr>
                <w:rFonts w:hint="eastAsia" w:ascii="宋体" w:hAnsi="宋体" w:eastAsia="宋体" w:cs="宋体"/>
                <w:b/>
                <w:bCs/>
                <w:color w:val="auto"/>
                <w:kern w:val="0"/>
                <w:sz w:val="21"/>
                <w:szCs w:val="21"/>
                <w:highlight w:val="none"/>
                <w:u w:val="single"/>
                <w:lang w:bidi="ar"/>
              </w:rPr>
            </w:pPr>
            <w:r>
              <w:rPr>
                <w:rFonts w:hint="eastAsia" w:ascii="宋体" w:hAnsi="宋体" w:eastAsia="宋体" w:cs="宋体"/>
                <w:b/>
                <w:bCs/>
                <w:color w:val="auto"/>
                <w:kern w:val="0"/>
                <w:sz w:val="21"/>
                <w:szCs w:val="21"/>
                <w:highlight w:val="none"/>
                <w:u w:val="single"/>
                <w:lang w:bidi="ar"/>
              </w:rPr>
              <w:t>★支持主流数据开发运维相关应用，数量不低于30种（提供功能截图并盖原厂公章</w:t>
            </w:r>
            <w:r>
              <w:rPr>
                <w:rFonts w:hint="eastAsia" w:ascii="宋体" w:hAnsi="宋体" w:eastAsia="宋体" w:cs="宋体"/>
                <w:b/>
                <w:bCs/>
                <w:color w:val="auto"/>
                <w:kern w:val="0"/>
                <w:sz w:val="21"/>
                <w:szCs w:val="21"/>
                <w:highlight w:val="none"/>
                <w:u w:val="single"/>
                <w:lang w:eastAsia="zh-CN" w:bidi="ar"/>
              </w:rPr>
              <w:t>）</w:t>
            </w:r>
          </w:p>
          <w:p w14:paraId="4FE6FB72">
            <w:pPr>
              <w:spacing w:line="360" w:lineRule="auto"/>
              <w:jc w:val="left"/>
              <w:rPr>
                <w:rFonts w:hint="eastAsia" w:ascii="宋体" w:hAnsi="宋体" w:eastAsia="宋体" w:cs="宋体"/>
                <w:b/>
                <w:bCs/>
                <w:color w:val="auto"/>
                <w:kern w:val="0"/>
                <w:sz w:val="21"/>
                <w:szCs w:val="21"/>
                <w:highlight w:val="none"/>
                <w:u w:val="single"/>
                <w:lang w:bidi="ar"/>
              </w:rPr>
            </w:pPr>
            <w:r>
              <w:rPr>
                <w:rFonts w:hint="eastAsia" w:ascii="宋体" w:hAnsi="宋体" w:eastAsia="宋体" w:cs="宋体"/>
                <w:b/>
                <w:bCs/>
                <w:color w:val="auto"/>
                <w:kern w:val="0"/>
                <w:sz w:val="21"/>
                <w:szCs w:val="21"/>
                <w:highlight w:val="none"/>
                <w:u w:val="single"/>
                <w:lang w:bidi="ar"/>
              </w:rPr>
              <w:t>★支持敏感词检测等能力，实时监测敏感信息使用情况。（提供功能截图并盖原厂公章</w:t>
            </w:r>
            <w:r>
              <w:rPr>
                <w:rFonts w:hint="eastAsia" w:ascii="宋体" w:hAnsi="宋体" w:eastAsia="宋体" w:cs="宋体"/>
                <w:b/>
                <w:bCs/>
                <w:color w:val="auto"/>
                <w:kern w:val="0"/>
                <w:sz w:val="21"/>
                <w:szCs w:val="21"/>
                <w:highlight w:val="none"/>
                <w:u w:val="single"/>
                <w:lang w:eastAsia="zh-CN" w:bidi="ar"/>
              </w:rPr>
              <w:t>）</w:t>
            </w:r>
          </w:p>
          <w:p w14:paraId="277FCAB7">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审计内容包含用户、行为、文件名、时间及敏感内容等，并可对实际审计文件进行下载。</w:t>
            </w:r>
          </w:p>
          <w:p w14:paraId="76452A89">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支持对SSH和telnet做文本审计。</w:t>
            </w:r>
          </w:p>
          <w:p w14:paraId="2688BCD2">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支持对复制粘贴内容进行审计，并记录复制粘贴内容。</w:t>
            </w:r>
          </w:p>
          <w:p w14:paraId="32FD9E8C">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支持对连接行为、打印、文本输入、复制粘贴、数据库操作及浏览记录进行审计。</w:t>
            </w:r>
          </w:p>
          <w:p w14:paraId="2CE6D1DF">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需满足最大用户数量不少于350个、最大虚拟环境数不少于150个。</w:t>
            </w:r>
          </w:p>
          <w:p w14:paraId="74DD827C">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服务期内提供基础运维、运营、平台使用培训、咨询等服务。</w:t>
            </w:r>
          </w:p>
        </w:tc>
      </w:tr>
      <w:tr w14:paraId="45FF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6948CF8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互联网IP地址</w:t>
            </w:r>
          </w:p>
        </w:tc>
        <w:tc>
          <w:tcPr>
            <w:tcW w:w="7525" w:type="dxa"/>
            <w:vAlign w:val="center"/>
          </w:tcPr>
          <w:p w14:paraId="0570E8F3">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配备400个公网IP。</w:t>
            </w:r>
          </w:p>
        </w:tc>
      </w:tr>
      <w:tr w14:paraId="7DA3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128E84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互联网出口</w:t>
            </w:r>
          </w:p>
        </w:tc>
        <w:tc>
          <w:tcPr>
            <w:tcW w:w="7525" w:type="dxa"/>
            <w:vAlign w:val="center"/>
          </w:tcPr>
          <w:p w14:paraId="1502CC7B">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为杭州余杭区政务云平台提供互联网接入线路，提供出口互联网带宽10G。</w:t>
            </w:r>
          </w:p>
        </w:tc>
      </w:tr>
      <w:tr w14:paraId="7AE6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vAlign w:val="center"/>
          </w:tcPr>
          <w:p w14:paraId="11B9C86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专线链路服务</w:t>
            </w:r>
          </w:p>
        </w:tc>
        <w:tc>
          <w:tcPr>
            <w:tcW w:w="7525" w:type="dxa"/>
            <w:vAlign w:val="center"/>
          </w:tcPr>
          <w:p w14:paraId="422413CB">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u w:val="single"/>
                <w:lang w:bidi="ar"/>
              </w:rPr>
              <w:t>★提供链路采用裸光纤方式，按照相关建设规范实现政务云机房要与余杭区数据资源管理局机房链接，提供链路纤芯不少于24芯，并采用双路由保护，采用安全防护技术</w:t>
            </w:r>
            <w:r>
              <w:rPr>
                <w:rFonts w:hint="eastAsia" w:ascii="宋体" w:hAnsi="宋体" w:eastAsia="宋体" w:cs="宋体"/>
                <w:b/>
                <w:bCs/>
                <w:color w:val="auto"/>
                <w:kern w:val="0"/>
                <w:sz w:val="21"/>
                <w:szCs w:val="21"/>
                <w:highlight w:val="none"/>
                <w:u w:val="single"/>
                <w:lang w:eastAsia="zh-CN" w:bidi="ar"/>
              </w:rPr>
              <w:t>（</w:t>
            </w:r>
            <w:r>
              <w:rPr>
                <w:rFonts w:hint="eastAsia" w:ascii="宋体" w:hAnsi="宋体" w:eastAsia="宋体" w:cs="宋体"/>
                <w:b/>
                <w:bCs/>
                <w:color w:val="auto"/>
                <w:kern w:val="0"/>
                <w:sz w:val="21"/>
                <w:szCs w:val="21"/>
                <w:highlight w:val="none"/>
                <w:u w:val="single"/>
                <w:lang w:val="en-US" w:eastAsia="zh-CN" w:bidi="ar"/>
              </w:rPr>
              <w:t>包括添置2台防火墙</w:t>
            </w:r>
            <w:r>
              <w:rPr>
                <w:rFonts w:hint="eastAsia" w:ascii="宋体" w:hAnsi="宋体" w:eastAsia="宋体" w:cs="宋体"/>
                <w:b/>
                <w:bCs/>
                <w:color w:val="auto"/>
                <w:kern w:val="0"/>
                <w:sz w:val="21"/>
                <w:szCs w:val="21"/>
                <w:highlight w:val="none"/>
                <w:u w:val="single"/>
                <w:lang w:eastAsia="zh-CN" w:bidi="ar"/>
              </w:rPr>
              <w:t>）</w:t>
            </w:r>
            <w:r>
              <w:rPr>
                <w:rFonts w:hint="eastAsia" w:ascii="宋体" w:hAnsi="宋体" w:eastAsia="宋体" w:cs="宋体"/>
                <w:b/>
                <w:bCs/>
                <w:color w:val="auto"/>
                <w:kern w:val="0"/>
                <w:sz w:val="21"/>
                <w:szCs w:val="21"/>
                <w:highlight w:val="none"/>
                <w:u w:val="single"/>
                <w:lang w:bidi="ar"/>
              </w:rPr>
              <w:t>，实现与政务云平台的逻辑隔离（提供技术佐证材料）。</w:t>
            </w:r>
          </w:p>
        </w:tc>
      </w:tr>
    </w:tbl>
    <w:p w14:paraId="78F9534B">
      <w:pPr>
        <w:pStyle w:val="4"/>
        <w:widowControl/>
        <w:numPr>
          <w:ilvl w:val="0"/>
          <w:numId w:val="5"/>
        </w:numPr>
        <w:tabs>
          <w:tab w:val="clear" w:pos="900"/>
        </w:tabs>
        <w:adjustRightInd/>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运维服务要求</w:t>
      </w:r>
    </w:p>
    <w:p w14:paraId="680CE343">
      <w:pPr>
        <w:pStyle w:val="981"/>
        <w:ind w:firstLine="40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运维工作，基于余杭区数字政务安全运维标准化体系平台，完成各项运维工作的标准化管理流程，从问题发现、问题反馈、协同处理、问题跟进、处理反馈、工单归档等几个维度，全面细致的将各类工作落实到每一步。</w:t>
      </w:r>
    </w:p>
    <w:p w14:paraId="19187768">
      <w:pPr>
        <w:pStyle w:val="983"/>
        <w:ind w:left="0" w:firstLine="420"/>
        <w:rPr>
          <w:rFonts w:hint="eastAsia" w:ascii="宋体" w:hAnsi="宋体" w:eastAsia="宋体" w:cs="宋体"/>
          <w:b/>
          <w:bCs/>
          <w:color w:val="auto"/>
          <w:sz w:val="21"/>
          <w:szCs w:val="21"/>
          <w:highlight w:val="none"/>
        </w:rPr>
      </w:pPr>
      <w:bookmarkStart w:id="40" w:name="_Toc169712183"/>
      <w:r>
        <w:rPr>
          <w:rFonts w:hint="eastAsia" w:ascii="宋体" w:hAnsi="宋体" w:eastAsia="宋体" w:cs="宋体"/>
          <w:b/>
          <w:bCs/>
          <w:color w:val="auto"/>
          <w:sz w:val="21"/>
          <w:szCs w:val="21"/>
          <w:highlight w:val="none"/>
        </w:rPr>
        <w:t>4.1 平台运维服务</w:t>
      </w:r>
      <w:bookmarkEnd w:id="40"/>
    </w:p>
    <w:p w14:paraId="23375AEF">
      <w:pPr>
        <w:pStyle w:val="560"/>
        <w:widowControl w:val="0"/>
        <w:numPr>
          <w:ilvl w:val="0"/>
          <w:numId w:val="6"/>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负责提供云技术咨询和方案优化，配合使用单位完成应用系统上线、下线和迁移工作。</w:t>
      </w:r>
    </w:p>
    <w:p w14:paraId="1ACEFB6E">
      <w:pPr>
        <w:pStyle w:val="560"/>
        <w:widowControl w:val="0"/>
        <w:numPr>
          <w:ilvl w:val="0"/>
          <w:numId w:val="6"/>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负责政务云平台的日常巡检、维护工作，负责各个组件的安全和问题处理。</w:t>
      </w:r>
    </w:p>
    <w:p w14:paraId="2C85BEE6">
      <w:pPr>
        <w:pStyle w:val="560"/>
        <w:widowControl w:val="0"/>
        <w:numPr>
          <w:ilvl w:val="0"/>
          <w:numId w:val="6"/>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提供派驻政务云平台的运维人员3人。</w:t>
      </w:r>
    </w:p>
    <w:p w14:paraId="4D07069E">
      <w:pPr>
        <w:pStyle w:val="560"/>
        <w:widowControl w:val="0"/>
        <w:numPr>
          <w:ilvl w:val="0"/>
          <w:numId w:val="6"/>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负责协助法定节假日、重大活动保障任务。</w:t>
      </w:r>
    </w:p>
    <w:p w14:paraId="317BC55D">
      <w:pPr>
        <w:pStyle w:val="560"/>
        <w:widowControl w:val="0"/>
        <w:numPr>
          <w:ilvl w:val="0"/>
          <w:numId w:val="6"/>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负责对项目资产进行统计，包括软硬件、云上应用等资产的更新统计并定期更新。</w:t>
      </w:r>
    </w:p>
    <w:p w14:paraId="545BBE09">
      <w:pPr>
        <w:pStyle w:val="560"/>
        <w:widowControl w:val="0"/>
        <w:numPr>
          <w:ilvl w:val="0"/>
          <w:numId w:val="6"/>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负责对高风险安全组策略进行整改。</w:t>
      </w:r>
    </w:p>
    <w:p w14:paraId="08AD94C4">
      <w:pPr>
        <w:pStyle w:val="560"/>
        <w:widowControl w:val="0"/>
        <w:numPr>
          <w:ilvl w:val="0"/>
          <w:numId w:val="6"/>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负责配合对所有云资源进行堡垒机覆盖。</w:t>
      </w:r>
    </w:p>
    <w:p w14:paraId="30E48411">
      <w:pPr>
        <w:pStyle w:val="560"/>
        <w:widowControl w:val="0"/>
        <w:numPr>
          <w:ilvl w:val="0"/>
          <w:numId w:val="6"/>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负责对网络状态进行安全监测。</w:t>
      </w:r>
    </w:p>
    <w:p w14:paraId="38CC209E">
      <w:pPr>
        <w:pStyle w:val="560"/>
        <w:widowControl w:val="0"/>
        <w:numPr>
          <w:ilvl w:val="0"/>
          <w:numId w:val="6"/>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根据采购人安全审计要求，提供相关产品实时的操作记录、安全日志。</w:t>
      </w:r>
    </w:p>
    <w:p w14:paraId="4A2DFECD">
      <w:pPr>
        <w:pStyle w:val="983"/>
        <w:ind w:left="0" w:firstLine="420"/>
        <w:rPr>
          <w:rFonts w:hint="eastAsia" w:ascii="宋体" w:hAnsi="宋体" w:eastAsia="宋体" w:cs="宋体"/>
          <w:b/>
          <w:bCs/>
          <w:color w:val="auto"/>
          <w:sz w:val="21"/>
          <w:szCs w:val="21"/>
          <w:highlight w:val="none"/>
        </w:rPr>
      </w:pPr>
      <w:bookmarkStart w:id="41" w:name="_Toc169712184"/>
      <w:r>
        <w:rPr>
          <w:rFonts w:hint="eastAsia" w:ascii="宋体" w:hAnsi="宋体" w:eastAsia="宋体" w:cs="宋体"/>
          <w:b/>
          <w:bCs/>
          <w:color w:val="auto"/>
          <w:sz w:val="21"/>
          <w:szCs w:val="21"/>
          <w:highlight w:val="none"/>
        </w:rPr>
        <w:t>4.2 云资源运营平台服务</w:t>
      </w:r>
      <w:bookmarkEnd w:id="41"/>
    </w:p>
    <w:p w14:paraId="5A5EF3EC">
      <w:pPr>
        <w:pStyle w:val="560"/>
        <w:widowControl w:val="0"/>
        <w:numPr>
          <w:ilvl w:val="0"/>
          <w:numId w:val="7"/>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根据资源管理办法完成电子政务云平台资源统一管理，包括账号、组织、产品的统一管理，可进行资源和成本分析。</w:t>
      </w:r>
    </w:p>
    <w:p w14:paraId="065A24F4">
      <w:pPr>
        <w:pStyle w:val="560"/>
        <w:widowControl w:val="0"/>
        <w:numPr>
          <w:ilvl w:val="0"/>
          <w:numId w:val="7"/>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支持产品自动化开通，多产品对接IRS平台进行回流开通；支持用户查看当前部门账单信息：</w:t>
      </w:r>
    </w:p>
    <w:p w14:paraId="3FAC6603">
      <w:pPr>
        <w:pStyle w:val="560"/>
        <w:widowControl w:val="0"/>
        <w:numPr>
          <w:ilvl w:val="0"/>
          <w:numId w:val="7"/>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实现资源使用率大盘，可按部门、应用、实例维度展示资源利用率情况；</w:t>
      </w:r>
    </w:p>
    <w:p w14:paraId="341B791B">
      <w:pPr>
        <w:pStyle w:val="560"/>
        <w:widowControl w:val="0"/>
        <w:numPr>
          <w:ilvl w:val="0"/>
          <w:numId w:val="7"/>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支持部门清单，支持产品清单，支持项目清单，支持运营分析。</w:t>
      </w:r>
    </w:p>
    <w:p w14:paraId="094CB2EB">
      <w:pPr>
        <w:pStyle w:val="983"/>
        <w:ind w:left="0" w:firstLine="420"/>
        <w:rPr>
          <w:rFonts w:hint="eastAsia" w:ascii="宋体" w:hAnsi="宋体" w:eastAsia="宋体" w:cs="宋体"/>
          <w:b/>
          <w:bCs/>
          <w:color w:val="auto"/>
          <w:sz w:val="21"/>
          <w:szCs w:val="21"/>
          <w:highlight w:val="none"/>
        </w:rPr>
      </w:pPr>
      <w:bookmarkStart w:id="42" w:name="_Toc169712185"/>
      <w:r>
        <w:rPr>
          <w:rFonts w:hint="eastAsia" w:ascii="宋体" w:hAnsi="宋体" w:eastAsia="宋体" w:cs="宋体"/>
          <w:b/>
          <w:bCs/>
          <w:color w:val="auto"/>
          <w:sz w:val="21"/>
          <w:szCs w:val="21"/>
          <w:highlight w:val="none"/>
        </w:rPr>
        <w:t>4.3 安全驻场服务</w:t>
      </w:r>
      <w:bookmarkEnd w:id="42"/>
    </w:p>
    <w:p w14:paraId="23F0A0A5">
      <w:pPr>
        <w:pStyle w:val="560"/>
        <w:widowControl w:val="0"/>
        <w:numPr>
          <w:ilvl w:val="0"/>
          <w:numId w:val="8"/>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根据项目建设实施需求，驻点用户现场，提供政务云项目安全相关的保障服务，提供3人现场驻场服务。</w:t>
      </w:r>
    </w:p>
    <w:p w14:paraId="6F58AF20">
      <w:pPr>
        <w:pStyle w:val="560"/>
        <w:widowControl w:val="0"/>
        <w:numPr>
          <w:ilvl w:val="0"/>
          <w:numId w:val="8"/>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重保期间额外提供2人现场安全服务，包括隐患事件的监测、研判、处置等安全服务。</w:t>
      </w:r>
    </w:p>
    <w:p w14:paraId="17091410">
      <w:pPr>
        <w:pStyle w:val="560"/>
        <w:widowControl w:val="0"/>
        <w:numPr>
          <w:ilvl w:val="0"/>
          <w:numId w:val="8"/>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配合采购人落实好省、市主管部门关于云平台服务的相关工作。</w:t>
      </w:r>
    </w:p>
    <w:p w14:paraId="532C6BBE">
      <w:pPr>
        <w:pStyle w:val="560"/>
        <w:widowControl w:val="0"/>
        <w:numPr>
          <w:ilvl w:val="0"/>
          <w:numId w:val="8"/>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配合采购人</w:t>
      </w:r>
      <w:r>
        <w:rPr>
          <w:rFonts w:hint="eastAsia" w:ascii="宋体" w:hAnsi="宋体" w:eastAsia="宋体" w:cs="宋体"/>
          <w:color w:val="auto"/>
          <w:sz w:val="21"/>
          <w:szCs w:val="21"/>
          <w:highlight w:val="none"/>
          <w:lang w:val="en-US" w:eastAsia="zh-CN"/>
        </w:rPr>
        <w:t>做好一体化考核中涉及的</w:t>
      </w:r>
      <w:r>
        <w:rPr>
          <w:rFonts w:hint="eastAsia" w:ascii="宋体" w:hAnsi="宋体" w:eastAsia="宋体" w:cs="宋体"/>
          <w:color w:val="auto"/>
          <w:sz w:val="21"/>
          <w:szCs w:val="21"/>
          <w:highlight w:val="none"/>
        </w:rPr>
        <w:t>相关工作。</w:t>
      </w:r>
    </w:p>
    <w:p w14:paraId="7CB8B5FA">
      <w:pPr>
        <w:pStyle w:val="983"/>
        <w:ind w:left="0" w:firstLine="420"/>
        <w:rPr>
          <w:rFonts w:hint="eastAsia" w:ascii="宋体" w:hAnsi="宋体" w:eastAsia="宋体" w:cs="宋体"/>
          <w:b/>
          <w:bCs/>
          <w:color w:val="auto"/>
          <w:sz w:val="21"/>
          <w:szCs w:val="21"/>
          <w:highlight w:val="none"/>
          <w:lang w:bidi="ar"/>
        </w:rPr>
      </w:pPr>
      <w:bookmarkStart w:id="43" w:name="_Toc169712186"/>
      <w:r>
        <w:rPr>
          <w:rFonts w:hint="eastAsia" w:ascii="宋体" w:hAnsi="宋体" w:eastAsia="宋体" w:cs="宋体"/>
          <w:b/>
          <w:bCs/>
          <w:color w:val="auto"/>
          <w:sz w:val="21"/>
          <w:szCs w:val="21"/>
          <w:highlight w:val="none"/>
        </w:rPr>
        <w:t xml:space="preserve">4.4 </w:t>
      </w:r>
      <w:r>
        <w:rPr>
          <w:rFonts w:hint="eastAsia" w:ascii="宋体" w:hAnsi="宋体" w:eastAsia="宋体" w:cs="宋体"/>
          <w:b/>
          <w:bCs/>
          <w:color w:val="auto"/>
          <w:sz w:val="21"/>
          <w:szCs w:val="21"/>
          <w:highlight w:val="none"/>
          <w:lang w:bidi="ar"/>
        </w:rPr>
        <w:t>云上应用安全服务</w:t>
      </w:r>
      <w:bookmarkEnd w:id="43"/>
    </w:p>
    <w:p w14:paraId="035690CB">
      <w:pPr>
        <w:pStyle w:val="560"/>
        <w:widowControl w:val="0"/>
        <w:numPr>
          <w:ilvl w:val="0"/>
          <w:numId w:val="9"/>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根据采购人要求，按需</w:t>
      </w:r>
      <w:r>
        <w:rPr>
          <w:rFonts w:hint="eastAsia" w:ascii="宋体" w:hAnsi="宋体" w:eastAsia="宋体" w:cs="宋体"/>
          <w:color w:val="auto"/>
          <w:sz w:val="21"/>
          <w:szCs w:val="21"/>
          <w:highlight w:val="none"/>
          <w:lang w:bidi="ar"/>
        </w:rPr>
        <w:t>开展云上服务器、数据库等云资源的高危漏洞、高危端口、弱口令扫描，并出具扫描结果报告；</w:t>
      </w:r>
    </w:p>
    <w:p w14:paraId="5295259C">
      <w:pPr>
        <w:pStyle w:val="560"/>
        <w:widowControl w:val="0"/>
        <w:numPr>
          <w:ilvl w:val="0"/>
          <w:numId w:val="9"/>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根据采购人要求，按需</w:t>
      </w:r>
      <w:r>
        <w:rPr>
          <w:rFonts w:hint="eastAsia" w:ascii="宋体" w:hAnsi="宋体" w:eastAsia="宋体" w:cs="宋体"/>
          <w:color w:val="auto"/>
          <w:sz w:val="21"/>
          <w:szCs w:val="21"/>
          <w:highlight w:val="none"/>
          <w:lang w:bidi="ar"/>
        </w:rPr>
        <w:t>开展云上应用系统渗透测试（不少于6个应用系统），并提供测试报告。</w:t>
      </w:r>
    </w:p>
    <w:p w14:paraId="3414CBFA">
      <w:pPr>
        <w:pStyle w:val="983"/>
        <w:ind w:left="0" w:firstLine="42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4.5 </w:t>
      </w:r>
      <w:bookmarkStart w:id="44" w:name="_Toc169712187"/>
      <w:r>
        <w:rPr>
          <w:rFonts w:hint="eastAsia" w:ascii="宋体" w:hAnsi="宋体" w:eastAsia="宋体" w:cs="宋体"/>
          <w:b/>
          <w:bCs/>
          <w:color w:val="auto"/>
          <w:sz w:val="21"/>
          <w:szCs w:val="21"/>
          <w:highlight w:val="none"/>
        </w:rPr>
        <w:t>定制化服务</w:t>
      </w:r>
      <w:bookmarkEnd w:id="44"/>
    </w:p>
    <w:p w14:paraId="107F35B3">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 IRS对接服务</w:t>
      </w:r>
    </w:p>
    <w:p w14:paraId="61518568">
      <w:pPr>
        <w:pStyle w:val="560"/>
        <w:widowControl w:val="0"/>
        <w:numPr>
          <w:ilvl w:val="0"/>
          <w:numId w:val="10"/>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做好云资源内跑及IRS工单审核处理闭环。</w:t>
      </w:r>
    </w:p>
    <w:p w14:paraId="02C0A237">
      <w:pPr>
        <w:pStyle w:val="560"/>
        <w:widowControl w:val="0"/>
        <w:numPr>
          <w:ilvl w:val="0"/>
          <w:numId w:val="10"/>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IRS 云资源告警巡检及告警处理。</w:t>
      </w:r>
    </w:p>
    <w:p w14:paraId="52B6DE3D">
      <w:pPr>
        <w:pStyle w:val="560"/>
        <w:widowControl w:val="0"/>
        <w:numPr>
          <w:ilvl w:val="0"/>
          <w:numId w:val="10"/>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IRS变配、上架、下架应答及处理。</w:t>
      </w:r>
    </w:p>
    <w:p w14:paraId="1ACC4177">
      <w:pPr>
        <w:pStyle w:val="560"/>
        <w:widowControl w:val="0"/>
        <w:numPr>
          <w:ilvl w:val="0"/>
          <w:numId w:val="10"/>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IRS云实例地区、部门、应用的周使用率核实上传。</w:t>
      </w:r>
    </w:p>
    <w:p w14:paraId="5A596F89">
      <w:pPr>
        <w:pStyle w:val="560"/>
        <w:widowControl w:val="0"/>
        <w:numPr>
          <w:ilvl w:val="0"/>
          <w:numId w:val="10"/>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IRS云实例每周核实上传情况。</w:t>
      </w:r>
    </w:p>
    <w:p w14:paraId="21F78804">
      <w:pPr>
        <w:pStyle w:val="560"/>
        <w:widowControl w:val="0"/>
        <w:numPr>
          <w:ilvl w:val="0"/>
          <w:numId w:val="10"/>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IRS自动开通时效情况核查。</w:t>
      </w:r>
    </w:p>
    <w:p w14:paraId="4CE8FE02">
      <w:pPr>
        <w:pStyle w:val="560"/>
        <w:widowControl w:val="0"/>
        <w:numPr>
          <w:ilvl w:val="0"/>
          <w:numId w:val="10"/>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IRS应用与云资源关联关系维护。</w:t>
      </w:r>
    </w:p>
    <w:p w14:paraId="54BFD05A">
      <w:pPr>
        <w:pStyle w:val="560"/>
        <w:widowControl w:val="0"/>
        <w:numPr>
          <w:ilvl w:val="0"/>
          <w:numId w:val="10"/>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配合市局下发的IRS任务，进行IRS问题数据矫正。</w:t>
      </w:r>
    </w:p>
    <w:p w14:paraId="2BF906FD">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4.5.2 网络及安全运维服务</w:t>
      </w:r>
    </w:p>
    <w:p w14:paraId="3BFC3CAD">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协助采购人对日常的维护工作，确保云平台现网的高可靠运行以及故障及时处理。</w:t>
      </w:r>
    </w:p>
    <w:p w14:paraId="74DAED9A">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协助采购人对网络巡检，主动挖掘现网的问题，优化网络配置</w:t>
      </w:r>
      <w:r>
        <w:rPr>
          <w:rFonts w:hint="eastAsia" w:ascii="宋体" w:hAnsi="宋体" w:eastAsia="宋体" w:cs="宋体"/>
          <w:color w:val="auto"/>
          <w:sz w:val="21"/>
          <w:szCs w:val="21"/>
          <w:highlight w:val="none"/>
          <w:lang w:eastAsia="zh-CN"/>
        </w:rPr>
        <w:t>。</w:t>
      </w:r>
    </w:p>
    <w:p w14:paraId="0E8482A9">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负责云平台版本升级工作，保障云平台处于稳定的版本运行。</w:t>
      </w:r>
    </w:p>
    <w:p w14:paraId="1C7E2033">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负责跟进云平台日常安全检查，负责升级云盾组件规则库，负责云平台日常安全设备巡检，负责安全设备升级和备份。</w:t>
      </w:r>
    </w:p>
    <w:p w14:paraId="128649AA">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协助采购人做好网络攻击分析，每日问题通报至相关单位并督促72小时内解决闭环。</w:t>
      </w:r>
    </w:p>
    <w:p w14:paraId="30E26328">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协助采购人做好云平台暴露面梳理，按照各个单位映射需求进行增减，系统下架时第一时间删除。</w:t>
      </w:r>
    </w:p>
    <w:p w14:paraId="65129065">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协助采购人做好云平台安全应急预案制定及演练，并根据演练结果处置相关隐患问题，完善应急预案。</w:t>
      </w:r>
    </w:p>
    <w:p w14:paraId="42A93615">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负责云平台VPN、堡垒机工单处理。</w:t>
      </w:r>
    </w:p>
    <w:p w14:paraId="6738523A">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协助云平台业务面向公网上线，互联网映射变更配置接入，waf防护配置接入以及日常防护策略的变更。</w:t>
      </w:r>
    </w:p>
    <w:p w14:paraId="49DBF3D7">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负责云平台出口防火墙策略优化。</w:t>
      </w:r>
    </w:p>
    <w:p w14:paraId="7164E3A3">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负责对云平台日常安全相关问题答疑，包括waf相关业务连通性问题。</w:t>
      </w:r>
    </w:p>
    <w:p w14:paraId="39D38883">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处理对云平台访问控制规则的评估、审批以及变更工作。</w:t>
      </w:r>
    </w:p>
    <w:p w14:paraId="5556BBB5">
      <w:pPr>
        <w:pStyle w:val="560"/>
        <w:widowControl w:val="0"/>
        <w:numPr>
          <w:ilvl w:val="0"/>
          <w:numId w:val="11"/>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协助采购人做好重大活动保障护网行动，攻防演练等，并生成护网、攻防演练报告。</w:t>
      </w:r>
    </w:p>
    <w:p w14:paraId="1528C37F">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4.5.3 7*24小时技术服务</w:t>
      </w:r>
    </w:p>
    <w:p w14:paraId="3ACEFC7F">
      <w:pPr>
        <w:pStyle w:val="981"/>
        <w:ind w:firstLine="613" w:firstLineChars="2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提供7*24小时服务委办单的</w:t>
      </w:r>
      <w:r>
        <w:rPr>
          <w:rFonts w:hint="eastAsia" w:ascii="宋体" w:hAnsi="宋体" w:eastAsia="宋体" w:cs="宋体"/>
          <w:color w:val="auto"/>
          <w:sz w:val="21"/>
          <w:szCs w:val="21"/>
          <w:highlight w:val="none"/>
          <w:lang w:eastAsia="zh-CN"/>
        </w:rPr>
        <w:t>钉钉（浙政钉）</w:t>
      </w:r>
      <w:r>
        <w:rPr>
          <w:rFonts w:hint="eastAsia" w:ascii="宋体" w:hAnsi="宋体" w:eastAsia="宋体" w:cs="宋体"/>
          <w:color w:val="auto"/>
          <w:sz w:val="21"/>
          <w:szCs w:val="21"/>
          <w:highlight w:val="none"/>
        </w:rPr>
        <w:t>群的上云业务沟通，积极响应各个局办云上系统群内相关问题并做好闭环处理。</w:t>
      </w:r>
    </w:p>
    <w:p w14:paraId="381F005F">
      <w:pPr>
        <w:pStyle w:val="584"/>
        <w:keepNext/>
        <w:keepLines/>
        <w:numPr>
          <w:ilvl w:val="4"/>
          <w:numId w:val="0"/>
        </w:numPr>
        <w:spacing w:before="120" w:beforeLines="0" w:after="120"/>
        <w:ind w:left="905" w:hanging="425"/>
        <w:jc w:val="left"/>
        <w:outlineLvl w:val="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4.5.4 综合驻场技术服务</w:t>
      </w:r>
    </w:p>
    <w:p w14:paraId="003B30CC">
      <w:pPr>
        <w:pStyle w:val="560"/>
        <w:widowControl w:val="0"/>
        <w:numPr>
          <w:ilvl w:val="0"/>
          <w:numId w:val="12"/>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运维标准化流程搭建服务：配合搭建浙政钉流程中心的大运维一体化标准服务，包括表单、流程搭建，将采购人要求的线下流程转为线上化。</w:t>
      </w:r>
    </w:p>
    <w:p w14:paraId="17D254CB">
      <w:pPr>
        <w:pStyle w:val="560"/>
        <w:widowControl w:val="0"/>
        <w:numPr>
          <w:ilvl w:val="0"/>
          <w:numId w:val="12"/>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协助采购人完成云平台相关的数据统计、材料上报、安全跟踪、会议跟进以及采购人布置的其他统筹协调等工作。</w:t>
      </w:r>
    </w:p>
    <w:p w14:paraId="49880C30">
      <w:pPr>
        <w:pStyle w:val="560"/>
        <w:widowControl w:val="0"/>
        <w:numPr>
          <w:ilvl w:val="0"/>
          <w:numId w:val="12"/>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对接各单位针对云资源业务疑难问题进行解答。</w:t>
      </w:r>
    </w:p>
    <w:p w14:paraId="35AF4BF7">
      <w:pPr>
        <w:pStyle w:val="560"/>
        <w:widowControl w:val="0"/>
        <w:numPr>
          <w:ilvl w:val="0"/>
          <w:numId w:val="12"/>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协助采购人做好云资源降配优化整改工作，定期清理低频、僵尸应用。</w:t>
      </w:r>
    </w:p>
    <w:p w14:paraId="2AA4CF1E">
      <w:pPr>
        <w:pStyle w:val="560"/>
        <w:widowControl w:val="0"/>
        <w:numPr>
          <w:ilvl w:val="0"/>
          <w:numId w:val="12"/>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协助采购人制定vpn/堡垒机管理办法，动态管理并定期、清理不常用账号。</w:t>
      </w:r>
    </w:p>
    <w:p w14:paraId="0ABD2C5E">
      <w:pPr>
        <w:pStyle w:val="560"/>
        <w:widowControl w:val="0"/>
        <w:numPr>
          <w:ilvl w:val="0"/>
          <w:numId w:val="12"/>
        </w:numPr>
        <w:autoSpaceDE/>
        <w:autoSpaceDN/>
        <w:adjustRightInd/>
        <w:snapToGrid/>
        <w:spacing w:before="24" w:after="24" w:line="360" w:lineRule="auto"/>
        <w:ind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协助采购人对云平台资源使用情况进行归集分析，根据资源的使用情况输出《整改通知单》，协助采购人推动云资源高效使用。</w:t>
      </w:r>
    </w:p>
    <w:p w14:paraId="3E72C552">
      <w:pPr>
        <w:pStyle w:val="983"/>
        <w:ind w:left="0" w:firstLine="422" w:firstLineChars="200"/>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4.6应急预案</w:t>
      </w:r>
    </w:p>
    <w:p w14:paraId="5FC9027E">
      <w:pPr>
        <w:widowControl/>
        <w:numPr>
          <w:ilvl w:val="0"/>
          <w:numId w:val="13"/>
        </w:numPr>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制定相关应急预案，包括但不限于中断或严重影响业务的故障，如宕机、数据丢失、业务中断等、进行快速响应和处理，在最短时间内恢复业务系统，将损失降到最低，并做好应急演练台账。</w:t>
      </w:r>
    </w:p>
    <w:p w14:paraId="5710CC45">
      <w:pPr>
        <w:widowControl/>
        <w:numPr>
          <w:ilvl w:val="0"/>
          <w:numId w:val="13"/>
        </w:numPr>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每年提供</w:t>
      </w:r>
      <w:r>
        <w:rPr>
          <w:rFonts w:hint="eastAsia" w:ascii="宋体" w:hAnsi="宋体" w:cs="宋体"/>
          <w:color w:val="auto"/>
          <w:kern w:val="0"/>
          <w:sz w:val="21"/>
          <w:szCs w:val="21"/>
          <w:highlight w:val="none"/>
          <w:lang w:val="en-US" w:eastAsia="zh-CN" w:bidi="ar"/>
        </w:rPr>
        <w:t>不少于两次</w:t>
      </w:r>
      <w:r>
        <w:rPr>
          <w:rFonts w:hint="eastAsia" w:ascii="宋体" w:hAnsi="宋体" w:eastAsia="宋体" w:cs="宋体"/>
          <w:color w:val="auto"/>
          <w:kern w:val="0"/>
          <w:sz w:val="21"/>
          <w:szCs w:val="21"/>
          <w:highlight w:val="none"/>
          <w:lang w:val="en-US" w:eastAsia="zh-CN" w:bidi="ar"/>
        </w:rPr>
        <w:t>应急演练并完成应急演练的闭环整改。</w:t>
      </w:r>
    </w:p>
    <w:p w14:paraId="5D40E8AB">
      <w:pPr>
        <w:pStyle w:val="983"/>
        <w:spacing w:line="360" w:lineRule="auto"/>
        <w:ind w:left="0" w:firstLine="422" w:firstLineChars="200"/>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4.7 其他工作</w:t>
      </w:r>
    </w:p>
    <w:p w14:paraId="23D7E92A">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（1）根据采购人要求输出相关管理办法、规范制度等文件，参与相关课题研究，并保障理论成果输出，确保成果转化和学术推广。相关知识产权归采购人所有。</w:t>
      </w:r>
    </w:p>
    <w:p w14:paraId="56C1E449">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（2）积极配合采购人参与相关行业评比活动，包括提供支持性材料和技术保障等。相关知识产权归采购人所有。</w:t>
      </w:r>
    </w:p>
    <w:p w14:paraId="5B7F1FE7">
      <w:pPr>
        <w:widowControl/>
        <w:spacing w:line="360" w:lineRule="auto"/>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rPr>
        <w:t>采购人安排的其他相关的运维工作要求。</w:t>
      </w:r>
    </w:p>
    <w:p w14:paraId="4990673D">
      <w:pPr>
        <w:pStyle w:val="4"/>
        <w:widowControl/>
        <w:numPr>
          <w:ilvl w:val="0"/>
          <w:numId w:val="5"/>
        </w:numPr>
        <w:tabs>
          <w:tab w:val="clear" w:pos="900"/>
        </w:tabs>
        <w:adjustRightInd/>
        <w:ind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迁移服务要求</w:t>
      </w:r>
    </w:p>
    <w:p w14:paraId="4F77205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本次项目</w:t>
      </w:r>
      <w:r>
        <w:rPr>
          <w:rFonts w:hint="eastAsia" w:ascii="宋体" w:hAnsi="宋体" w:eastAsia="宋体" w:cs="宋体"/>
          <w:color w:val="auto"/>
          <w:kern w:val="0"/>
          <w:sz w:val="21"/>
          <w:szCs w:val="21"/>
          <w:highlight w:val="none"/>
          <w:lang w:eastAsia="zh-CN"/>
        </w:rPr>
        <w:t>涉及的</w:t>
      </w:r>
      <w:r>
        <w:rPr>
          <w:rFonts w:hint="eastAsia" w:ascii="宋体" w:hAnsi="宋体" w:eastAsia="宋体" w:cs="宋体"/>
          <w:color w:val="auto"/>
          <w:kern w:val="0"/>
          <w:sz w:val="21"/>
          <w:szCs w:val="21"/>
          <w:highlight w:val="none"/>
        </w:rPr>
        <w:t>云上应用系统迁移服务包括以下</w:t>
      </w:r>
      <w:r>
        <w:rPr>
          <w:rFonts w:hint="eastAsia" w:ascii="宋体" w:hAnsi="宋体" w:eastAsia="宋体" w:cs="宋体"/>
          <w:color w:val="auto"/>
          <w:kern w:val="0"/>
          <w:sz w:val="21"/>
          <w:szCs w:val="21"/>
          <w:highlight w:val="none"/>
          <w:lang w:eastAsia="zh-CN"/>
        </w:rPr>
        <w:t>两项</w:t>
      </w:r>
      <w:r>
        <w:rPr>
          <w:rFonts w:hint="eastAsia" w:ascii="宋体" w:hAnsi="宋体" w:eastAsia="宋体" w:cs="宋体"/>
          <w:color w:val="auto"/>
          <w:kern w:val="0"/>
          <w:sz w:val="21"/>
          <w:szCs w:val="21"/>
          <w:highlight w:val="none"/>
        </w:rPr>
        <w:t>内容：</w:t>
      </w:r>
    </w:p>
    <w:p w14:paraId="669DE6A6">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（1）从当前在用的政务云迁移到本次采购服务的政务云上，要求在合同签订之日起</w:t>
      </w:r>
      <w:r>
        <w:rPr>
          <w:rFonts w:hint="eastAsia" w:ascii="宋体" w:hAnsi="宋体" w:eastAsia="宋体" w:cs="宋体"/>
          <w:color w:val="auto"/>
          <w:kern w:val="0"/>
          <w:sz w:val="21"/>
          <w:szCs w:val="21"/>
          <w:highlight w:val="none"/>
          <w:lang w:val="en-US" w:eastAsia="zh-CN"/>
        </w:rPr>
        <w:t>70天</w:t>
      </w:r>
      <w:r>
        <w:rPr>
          <w:rFonts w:hint="eastAsia" w:ascii="宋体" w:hAnsi="宋体" w:eastAsia="宋体" w:cs="宋体"/>
          <w:color w:val="auto"/>
          <w:kern w:val="0"/>
          <w:sz w:val="21"/>
          <w:szCs w:val="21"/>
          <w:highlight w:val="none"/>
        </w:rPr>
        <w:t>内完成；</w:t>
      </w:r>
    </w:p>
    <w:p w14:paraId="3D3EDC3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（2）未来从本次采购服务的政务云迁移至杭州市要求的信创政务云环境。</w:t>
      </w:r>
    </w:p>
    <w:p w14:paraId="27F3B05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若存在政务云平台迁移情况的，投标人须提供保障迁移工作完成的可行性说明材料，保证现有系统可以无缝迁移到新平台上，且不会对应用产生影响。原服务提供商将配合中标人完成数据的迁移工作，其余迁移工作须中标人独立解决。注：采购人提出迁移需求，中标人应于指定时限内制定本项目涉及的云平台上应用系统完整迁移方案，并落实迁移工作，保证系统无缝迁移到指定平台，且不会对应用产生影响。</w:t>
      </w:r>
    </w:p>
    <w:p w14:paraId="3E39EB2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未来迁移至杭州市要求的信创政务云环境时，中标人需配合采购人对业务系统进行调查摸底，根据实际情况制定迁移方案，配合各业务部门做好应用迁移工作，确保平稳过渡、顺利迁移，注：采购人提出迁移需求，中标人应于指定时限内制定完整的信创政务云迁移方案，并落实迁移工作，保证系统无缝迁移到指定平台，且不会对应用产生影响。</w:t>
      </w:r>
    </w:p>
    <w:p w14:paraId="10EACF50">
      <w:pPr>
        <w:pStyle w:val="23"/>
        <w:widowControl/>
        <w:numPr>
          <w:ilvl w:val="1"/>
          <w:numId w:val="2"/>
        </w:numPr>
        <w:adjustRightInd/>
        <w:spacing w:before="100" w:after="100"/>
        <w:ind w:firstLine="422" w:firstLineChars="200"/>
        <w:jc w:val="left"/>
        <w:outlineLvl w:val="1"/>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服务、培训与验收</w:t>
      </w:r>
    </w:p>
    <w:p w14:paraId="48A7B8AA">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1.实施地点：由采购人指定</w:t>
      </w:r>
    </w:p>
    <w:p w14:paraId="31A8F4D2">
      <w:pPr>
        <w:tabs>
          <w:tab w:val="left" w:pos="0"/>
        </w:tabs>
        <w:spacing w:line="360" w:lineRule="auto"/>
        <w:ind w:firstLine="482"/>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sz w:val="21"/>
          <w:szCs w:val="21"/>
          <w:highlight w:val="none"/>
          <w:u w:val="single"/>
        </w:rPr>
        <w:t>▲</w:t>
      </w:r>
      <w:r>
        <w:rPr>
          <w:rFonts w:hint="eastAsia" w:ascii="宋体" w:hAnsi="宋体" w:eastAsia="宋体" w:cs="宋体"/>
          <w:b/>
          <w:color w:val="auto"/>
          <w:kern w:val="0"/>
          <w:sz w:val="21"/>
          <w:szCs w:val="21"/>
          <w:highlight w:val="none"/>
          <w:u w:val="single"/>
        </w:rPr>
        <w:t>2.服务要求：</w:t>
      </w:r>
    </w:p>
    <w:p w14:paraId="2BDCE7EE">
      <w:pPr>
        <w:tabs>
          <w:tab w:val="left" w:pos="0"/>
        </w:tabs>
        <w:spacing w:line="360" w:lineRule="auto"/>
        <w:ind w:firstLine="482"/>
        <w:rPr>
          <w:rFonts w:hint="eastAsia" w:ascii="宋体" w:hAnsi="宋体" w:eastAsia="宋体" w:cs="宋体"/>
          <w:b/>
          <w:color w:val="auto"/>
          <w:sz w:val="21"/>
          <w:szCs w:val="21"/>
          <w:highlight w:val="none"/>
          <w:u w:val="single"/>
        </w:rPr>
      </w:pPr>
      <w:r>
        <w:rPr>
          <w:rFonts w:hint="eastAsia" w:ascii="宋体" w:hAnsi="宋体" w:eastAsia="宋体" w:cs="宋体"/>
          <w:b/>
          <w:color w:val="auto"/>
          <w:kern w:val="0"/>
          <w:sz w:val="21"/>
          <w:szCs w:val="21"/>
          <w:highlight w:val="none"/>
          <w:u w:val="single"/>
        </w:rPr>
        <w:t>2.1服务期：二年（具体以合同签订为准）</w:t>
      </w:r>
      <w:r>
        <w:rPr>
          <w:rFonts w:hint="eastAsia" w:ascii="宋体" w:hAnsi="宋体" w:eastAsia="宋体" w:cs="宋体"/>
          <w:b/>
          <w:color w:val="auto"/>
          <w:sz w:val="21"/>
          <w:szCs w:val="21"/>
          <w:highlight w:val="none"/>
          <w:u w:val="single"/>
        </w:rPr>
        <w:t>。</w:t>
      </w:r>
    </w:p>
    <w:p w14:paraId="4ACD0448">
      <w:pPr>
        <w:tabs>
          <w:tab w:val="left" w:pos="0"/>
        </w:tabs>
        <w:spacing w:line="360" w:lineRule="auto"/>
        <w:ind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2.2服务费结算：投标人根据招标文件所要求的服务期为24个月进行投标报价，中标合同签订后，按实际服务月数和月服务单价结算应付的合同款项，同时扣除乙方应向甲方支付的违约金。</w:t>
      </w:r>
    </w:p>
    <w:p w14:paraId="02893B62">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2.3服务响应</w:t>
      </w:r>
    </w:p>
    <w:p w14:paraId="7B4EDDA9">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a.投标人应具有完善的服务保障体系，配备有足够的专业技术人员。</w:t>
      </w:r>
    </w:p>
    <w:p w14:paraId="3505BB8A">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b.投标人应明确说明此次投标的服务策略，提供此次投标的服务计划（服务内容、等级、相关服务指标、服务组织机构及人员安排情况及其联络信息）。</w:t>
      </w:r>
    </w:p>
    <w:p w14:paraId="0F807A37">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c.在服务期内供应商必须为最终用户提供技术服务热线（7*24小时），负责解答用户在云平台使用中遇到的问题，并及时提出解决问题的建议和操作方法。技术服务热线支持应是中文服务。</w:t>
      </w:r>
    </w:p>
    <w:p w14:paraId="0AE5F41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d.在服务期内，供应商应提供7*24小时的技术支持服务，对故障1小时内响应。  </w:t>
      </w:r>
    </w:p>
    <w:p w14:paraId="6AC4D8C5">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e.在服务期内，供应商应按月提供云平台各业务系统资源使用情况报表并对相应资源进行实时动态调整。</w:t>
      </w:r>
    </w:p>
    <w:p w14:paraId="3207F02B">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3.培训要求：</w:t>
      </w:r>
    </w:p>
    <w:p w14:paraId="082EB9FA">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按照采购人要求开展安全培训，每年不少于两次，每次培训规模不低于 10 人，每次不少于半天。</w:t>
      </w:r>
    </w:p>
    <w:p w14:paraId="2DA2656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投标人需列出项目培训方案的详细计划，包括培训内容、时间、地点、人次，重点对相应应用的操作、使用投标人须保证所提</w:t>
      </w:r>
      <w:r>
        <w:rPr>
          <w:rFonts w:hint="eastAsia" w:ascii="宋体" w:hAnsi="宋体" w:eastAsia="宋体" w:cs="宋体"/>
          <w:color w:val="auto"/>
          <w:kern w:val="0"/>
          <w:sz w:val="21"/>
          <w:szCs w:val="21"/>
          <w:highlight w:val="none"/>
          <w:lang w:eastAsia="zh-CN"/>
        </w:rPr>
        <w:t>供的</w:t>
      </w:r>
      <w:r>
        <w:rPr>
          <w:rFonts w:hint="eastAsia" w:ascii="宋体" w:hAnsi="宋体" w:eastAsia="宋体" w:cs="宋体"/>
          <w:color w:val="auto"/>
          <w:kern w:val="0"/>
          <w:sz w:val="21"/>
          <w:szCs w:val="21"/>
          <w:highlight w:val="none"/>
        </w:rPr>
        <w:t>产品具有合法的版权或使用权，本项目采购的产品，如在本项目范围内使用过程中出现版权或使用权纠纷，应由中标人负责，采购人不承担责任。</w:t>
      </w:r>
    </w:p>
    <w:p w14:paraId="16D197DA">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4.驻场要求：</w:t>
      </w:r>
    </w:p>
    <w:p w14:paraId="30838B80">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服务期内，服务方安排3名驻场人员专人专项提供云平台、安全等服务。驻场人员应对云平台产品做日常的监控、巡检、告警和异常处理，对云上安全做相关协助，对云平台的日常安全事件进行处理，做好云平台的安全防护，协助采购人做云上安全故障定位，给出相关安全建议等，对云平台进行整体维护管理。对采购人的云平台使用满意度负责，优化流程规范提升服务质量。</w:t>
      </w:r>
    </w:p>
    <w:p w14:paraId="07DB6ED4">
      <w:pPr>
        <w:spacing w:line="360" w:lineRule="auto"/>
        <w:ind w:left="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5.验收要求：</w:t>
      </w:r>
    </w:p>
    <w:p w14:paraId="5B974A98">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验收主体：余杭区数据资源管理局。</w:t>
      </w:r>
    </w:p>
    <w:p w14:paraId="3207DF2E">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采购人在中标人提供服务的过程中，有权不定期对服务内容和质量进行检查考核。中标人应当配合进行。</w:t>
      </w:r>
    </w:p>
    <w:p w14:paraId="0594B6FF">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验收时间：分二次验收，中标人提供服务时间满12个月进行阶段性验收，满24个月时进行终验。</w:t>
      </w:r>
    </w:p>
    <w:p w14:paraId="4DB3454F">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验收程序：中标人向采购人提出验收申请，采购人按验收方案组织履约验收。中标人应将项目执行过程及时记录、收集、整理，向采购人递交验收申请资料。验收时提供的材料如下</w:t>
      </w:r>
      <w:r>
        <w:rPr>
          <w:rFonts w:hint="eastAsia" w:ascii="宋体" w:hAnsi="宋体" w:eastAsia="宋体" w:cs="宋体"/>
          <w:color w:val="auto"/>
          <w:kern w:val="0"/>
          <w:sz w:val="21"/>
          <w:szCs w:val="21"/>
          <w:highlight w:val="none"/>
          <w:lang w:eastAsia="zh-CN"/>
        </w:rPr>
        <w:t>：</w:t>
      </w:r>
    </w:p>
    <w:p w14:paraId="26EB60C1">
      <w:pPr>
        <w:tabs>
          <w:tab w:val="left" w:pos="0"/>
        </w:tabs>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1）阶段性验收提供如下材料；</w:t>
      </w:r>
    </w:p>
    <w:p w14:paraId="56A22978">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项目需求分析；</w:t>
      </w:r>
    </w:p>
    <w:p w14:paraId="45BA7A26">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实施方案；</w:t>
      </w:r>
    </w:p>
    <w:p w14:paraId="5A8550F7">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运维保障方案；</w:t>
      </w:r>
    </w:p>
    <w:p w14:paraId="3555EA4F">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项目阶段总结及建议；</w:t>
      </w:r>
    </w:p>
    <w:p w14:paraId="0761DC3B">
      <w:pPr>
        <w:tabs>
          <w:tab w:val="left" w:pos="0"/>
        </w:tabs>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2）终验。项目的工作内容及成果文档的提交应覆盖以下内容，电子文档是成果不可分割的部分。项目应在验收时分别提供如下材料：</w:t>
      </w:r>
    </w:p>
    <w:p w14:paraId="3CB4C827">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项目需求分析；</w:t>
      </w:r>
    </w:p>
    <w:p w14:paraId="35A9F099">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实施方案；</w:t>
      </w:r>
    </w:p>
    <w:p w14:paraId="6CCEB68D">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运维保障方案；</w:t>
      </w:r>
    </w:p>
    <w:p w14:paraId="62A22751">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培训内容及成果；</w:t>
      </w:r>
    </w:p>
    <w:p w14:paraId="1F6EAED0">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项目总结及建议；</w:t>
      </w:r>
    </w:p>
    <w:p w14:paraId="7CBE7BAA">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验收内容：中标人实际完成的情况是否符合采购文件要求和中标人在投标响应文件中的商务、技术承诺。</w:t>
      </w:r>
    </w:p>
    <w:p w14:paraId="70F1D6BF">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验收标准：中标人已经按采购文件要求和中标人在投标响应文件中的商务、技术承诺完成项目执行。</w:t>
      </w:r>
    </w:p>
    <w:p w14:paraId="7CE4EEBA">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验收时中标人应在现场，验收完毕后</w:t>
      </w:r>
      <w:r>
        <w:rPr>
          <w:rFonts w:hint="eastAsia" w:ascii="宋体" w:hAnsi="宋体" w:cs="宋体"/>
          <w:color w:val="auto"/>
          <w:kern w:val="0"/>
          <w:sz w:val="21"/>
          <w:szCs w:val="21"/>
          <w:highlight w:val="none"/>
          <w:lang w:eastAsia="zh-CN"/>
        </w:rPr>
        <w:t>做出</w:t>
      </w:r>
      <w:r>
        <w:rPr>
          <w:rFonts w:hint="eastAsia" w:ascii="宋体" w:hAnsi="宋体" w:eastAsia="宋体" w:cs="宋体"/>
          <w:color w:val="auto"/>
          <w:kern w:val="0"/>
          <w:sz w:val="21"/>
          <w:szCs w:val="21"/>
          <w:highlight w:val="none"/>
        </w:rPr>
        <w:t>验收结果报告。</w:t>
      </w:r>
    </w:p>
    <w:p w14:paraId="5C69ED10">
      <w:pPr>
        <w:tabs>
          <w:tab w:val="left" w:pos="0"/>
        </w:tabs>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14:paraId="4118CD23">
      <w:pPr>
        <w:tabs>
          <w:tab w:val="left" w:pos="0"/>
        </w:tabs>
        <w:snapToGrid w:val="0"/>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6.中标人对数据没有任何的处置权和使用权。</w:t>
      </w:r>
    </w:p>
    <w:p w14:paraId="1FDC6ACD">
      <w:pPr>
        <w:pStyle w:val="23"/>
        <w:widowControl/>
        <w:numPr>
          <w:ilvl w:val="1"/>
          <w:numId w:val="2"/>
        </w:numPr>
        <w:adjustRightInd/>
        <w:spacing w:before="100" w:after="100"/>
        <w:ind w:firstLine="422" w:firstLineChars="200"/>
        <w:jc w:val="left"/>
        <w:outlineLvl w:val="1"/>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安全考核要求</w:t>
      </w:r>
    </w:p>
    <w:p w14:paraId="2D2F2FED">
      <w:pPr>
        <w:spacing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（一）考核要求</w:t>
      </w:r>
    </w:p>
    <w:p w14:paraId="797CBF7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采购人根据项目中标人提供的服务情况</w:t>
      </w:r>
      <w:r>
        <w:rPr>
          <w:rFonts w:hint="eastAsia" w:ascii="宋体" w:hAnsi="宋体" w:eastAsia="宋体" w:cs="宋体"/>
          <w:color w:val="auto"/>
          <w:kern w:val="0"/>
          <w:sz w:val="21"/>
          <w:szCs w:val="21"/>
          <w:highlight w:val="none"/>
          <w:lang w:eastAsia="zh-CN" w:bidi="ar"/>
        </w:rPr>
        <w:t>进行</w:t>
      </w:r>
      <w:r>
        <w:rPr>
          <w:rFonts w:hint="eastAsia" w:ascii="宋体" w:hAnsi="宋体" w:eastAsia="宋体" w:cs="宋体"/>
          <w:color w:val="auto"/>
          <w:kern w:val="0"/>
          <w:sz w:val="21"/>
          <w:szCs w:val="21"/>
          <w:highlight w:val="none"/>
          <w:lang w:bidi="ar"/>
        </w:rPr>
        <w:t>网络数据安全方面的考核，具体要求如下：</w:t>
      </w:r>
    </w:p>
    <w:p w14:paraId="2E51C52A">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1.中标人应按照《中华人民共和国网络安全法</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中华人民共和国数据安全法</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bidi="ar"/>
        </w:rPr>
        <w:t>中华人民共和国个人信息保护法》等法律法规及规章制度的要求，履行网络和数据安全保护义务。</w:t>
      </w:r>
    </w:p>
    <w:p w14:paraId="663E698D">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2.本项目所涉及的中标人工作人员均需签订《保密承诺书》，且中标人应对项目涉及工作人员进行背景审查，存在泄密风险的中标人工作人员不得接触项目。中标人应做好人员保密教育工作。</w:t>
      </w:r>
    </w:p>
    <w:p w14:paraId="099864CF">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中标人应当采取技术措施和其他必要措施，确保其网络和数据安全，防止出现信息泄露、毁损、丢失等风险。在发生或者可能发生信息泄露、毁损、丢失等情况时，应当立即采取补救措施，并将相关情况及时告知采购人。</w:t>
      </w:r>
    </w:p>
    <w:p w14:paraId="02E6FD60">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4.项目中所包含的建设、运营、运维的信息系统、应用、数据库等，中标人开通相关账号、权限等必须经过采购人审批允许，不得私开账号、擅自更改权限等。</w:t>
      </w:r>
    </w:p>
    <w:p w14:paraId="3ED6BF75">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5.中标人应合理使用操作账号，严禁中标人存在多名工作人员</w:t>
      </w:r>
      <w:r>
        <w:rPr>
          <w:rFonts w:hint="eastAsia" w:ascii="宋体" w:hAnsi="宋体" w:eastAsia="宋体" w:cs="宋体"/>
          <w:color w:val="auto"/>
          <w:sz w:val="21"/>
          <w:szCs w:val="21"/>
          <w:highlight w:val="none"/>
        </w:rPr>
        <w:t>（2人及以上）</w:t>
      </w:r>
      <w:r>
        <w:rPr>
          <w:rFonts w:hint="eastAsia" w:ascii="宋体" w:hAnsi="宋体" w:eastAsia="宋体" w:cs="宋体"/>
          <w:color w:val="auto"/>
          <w:sz w:val="21"/>
          <w:szCs w:val="21"/>
          <w:highlight w:val="none"/>
          <w:lang w:bidi="ar"/>
        </w:rPr>
        <w:t>共用一个操作账号的情形，同时操作账号应采用高强度的密码，中标人应妥善保管密码并定期更新账号密码。</w:t>
      </w:r>
    </w:p>
    <w:p w14:paraId="64D2437E">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6.未经采购人允许，中标人不得对项目云资源私开端口，不得利用项目资源进行与该项目无关的工作，不得将政务外网和互联网私自打通。</w:t>
      </w:r>
    </w:p>
    <w:p w14:paraId="68A0C8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应严格按照相关要求收集、归集、存储、加工、传输、共享、开放、利用数据资源。做好数据落地相应的数据保护工作，严格执行数据安全技术标准和安全管理措施，避免相关数据出现篡改、破坏、泄露、丢失、非法利用等风险。</w:t>
      </w:r>
    </w:p>
    <w:p w14:paraId="073692E1">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8.中标人应认真组织开展各项数据处理活动，查找项目数据安全隐患和漏洞，对薄弱环节和潜在威胁采取有力措施并进行及时整改，避免和消除数据安全风险，履行数据安全保护义务。</w:t>
      </w:r>
    </w:p>
    <w:p w14:paraId="0ADDBD97">
      <w:pPr>
        <w:spacing w:line="360" w:lineRule="auto"/>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中标人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采购人报告。</w:t>
      </w:r>
    </w:p>
    <w:p w14:paraId="34873A3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10.中标人应及时响应、处置采购人布置的安全工作，对其主管的系统、组件、云资源等所属安全事件、隐患及时发现、阻断、排查、处置、溯源（包括但不限于攻防演练等相关活动中发现的）。</w:t>
      </w:r>
    </w:p>
    <w:p w14:paraId="0FEA6F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项目中所建设的系统、提供的基础设施服务等，中标人应无偿提供操作、告警等安全日志以及资产清单，并且按照规范要求与采购人审计平台实现对接，并且提供相关解析服务（如日志字典等）供采购人进行安全审计。</w:t>
      </w:r>
    </w:p>
    <w:p w14:paraId="7E2600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12.中标人派驻的驻场人员应按照采购人要求办理入场、离场等手续，并且遵守采购人劳动、工作纪律，按照采购人要求的工作时间进行出勤。</w:t>
      </w:r>
    </w:p>
    <w:p w14:paraId="3BBA81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中标人应配合采购人对项目涉及的资源、系统等常态化安全漏洞扫描，并且及时修复漏洞。</w:t>
      </w:r>
    </w:p>
    <w:p w14:paraId="3E12D07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14.中标人应配合采购人完成项目中所建设、运营的应用系统、服务等的网络数据安全检查，并且按要求及时完成检查中发现问题的整改。</w:t>
      </w:r>
    </w:p>
    <w:p w14:paraId="69AAD8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15.未经采购人允许，中标人不得擅自将项目中涉及的数据拷贝、转移出指定数据区域外进行开发、调试等，包括不限于中标人公司、第三方公司的服务器等。</w:t>
      </w:r>
    </w:p>
    <w:p w14:paraId="414CF6E9">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16．每次通报后，中标人应当及时解决并向采购人提交整改报告并根据整改报告内容进行及时整改。</w:t>
      </w:r>
    </w:p>
    <w:p w14:paraId="5F6F7BE5">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17.中标人在项目中所承建信息系统的开发、测试环境，不允许出现采购人及项目相关的标识名称，并且在项目建成后及时下架测试环境。</w:t>
      </w:r>
    </w:p>
    <w:p w14:paraId="680EC997">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18.中标人应承担在项目运维期中的安全责任，履行运维期的项目、应用系统、云资源的安全义务。</w:t>
      </w:r>
    </w:p>
    <w:p w14:paraId="387AA1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19.中标人驻场人员应在重要活动、会议期间，根据采购人安全保障要求，参与重保值班值守工作。</w:t>
      </w:r>
    </w:p>
    <w:p w14:paraId="01F417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20.中标人应按照采购人业务要求，围绕项目内容，提供采购人所需要的业务相关进展及数据，最迟须在24小时内提供准确的信息。</w:t>
      </w:r>
    </w:p>
    <w:p w14:paraId="689C22E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21.中标人在项目中所建设、运营的应用系统、应用服务等涉及鉴权登录的，应使用浙政钉/浙里办扫码方式，若使用账号口令方式的，需要经采购人允许后，并且采用二次验证的方式。</w:t>
      </w:r>
    </w:p>
    <w:p w14:paraId="21E1CE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22.中标人驻场人员原则上需按照采购人要求，专人专项开展项目中约定的驻场工作，未经采购人允许，不得同时参与其他项目，不得从事项目中已单独支付费用的其他工作。</w:t>
      </w:r>
    </w:p>
    <w:p w14:paraId="0F4A5F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（二）安全部分违约责任</w:t>
      </w:r>
    </w:p>
    <w:p w14:paraId="4692D3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1.由于中标人原因，受到国家级安全问题通报的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造成特别重大事故的，每通报一个问题或发生一次事故，每次扣除合同总价的0.5%。</w:t>
      </w:r>
    </w:p>
    <w:p w14:paraId="00E2FE8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2.由于中标人原因，受到省级安全问题通报的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造成重大事故的，每通报一个问题或发生一次事故，每次扣合同总价的0.25%。</w:t>
      </w:r>
    </w:p>
    <w:p w14:paraId="32F156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3.由于中标人原因，受到市级安全问题通报的</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造成较大事故（一般事故）的，每通报一个问题或发生一次事故，每次扣除合同总价的0.125%。</w:t>
      </w:r>
    </w:p>
    <w:p w14:paraId="5ADF4B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4.中标人未按照采购人要求及时处置所属安全事件、隐患的，每通报一个问题或发生一次事故，每次扣除合同总价的0.125%。</w:t>
      </w:r>
    </w:p>
    <w:p w14:paraId="57C503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存在多名（2人及以上）工作人员共用一个操作账户的，或所主管的系统、云资源等账号出现弱口令的（强口令需至少包含数字、大小写字母、特殊字符等，且无明显规律），每出现1次，每次扣除合同总价的0.05%。</w:t>
      </w:r>
    </w:p>
    <w:p w14:paraId="361B31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未经采购人审批允许，中标人不得私开账号、擅自更改权限，不得对项目云资源私开端口，不得利用项目资源进行与该项目无关的工作，不得将政务外网和互联网私自打通的。每出现一次，扣除合同总价的0.125%。</w:t>
      </w:r>
    </w:p>
    <w:p w14:paraId="4E4AC0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7.中标人发现数据安全缺陷、漏洞等风险时，未立即采取补救措施的；或发生</w:t>
      </w:r>
      <w:r>
        <w:rPr>
          <w:rFonts w:hint="eastAsia" w:ascii="宋体" w:hAnsi="宋体" w:eastAsia="宋体" w:cs="宋体"/>
          <w:color w:val="auto"/>
          <w:sz w:val="21"/>
          <w:szCs w:val="21"/>
          <w:highlight w:val="none"/>
          <w:lang w:eastAsia="zh-CN"/>
        </w:rPr>
        <w:t>网络数据安全事件</w:t>
      </w:r>
      <w:r>
        <w:rPr>
          <w:rFonts w:hint="eastAsia" w:ascii="宋体" w:hAnsi="宋体" w:eastAsia="宋体" w:cs="宋体"/>
          <w:color w:val="auto"/>
          <w:sz w:val="21"/>
          <w:szCs w:val="21"/>
          <w:highlight w:val="none"/>
        </w:rPr>
        <w:t>时，未立即采取处置措施的；相关情况未第一时间向采购人报告的；每出现一次，每次扣除合同总价的0.125%。</w:t>
      </w:r>
    </w:p>
    <w:p w14:paraId="1CDD12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8.若中标人未按</w:t>
      </w:r>
      <w:r>
        <w:rPr>
          <w:rFonts w:hint="eastAsia" w:ascii="宋体" w:hAnsi="宋体" w:eastAsia="宋体" w:cs="宋体"/>
          <w:color w:val="auto"/>
          <w:sz w:val="21"/>
          <w:szCs w:val="21"/>
          <w:highlight w:val="none"/>
          <w:lang w:val="en-US" w:eastAsia="zh-CN"/>
        </w:rPr>
        <w:t>月做好云平台的安全审计工作，如制定审计计划、信息收集、风险评估、审计测试、问题记录与分析、整改建议等内容</w:t>
      </w:r>
      <w:r>
        <w:rPr>
          <w:rFonts w:hint="eastAsia" w:ascii="宋体" w:hAnsi="宋体" w:eastAsia="宋体" w:cs="宋体"/>
          <w:color w:val="auto"/>
          <w:sz w:val="21"/>
          <w:szCs w:val="21"/>
          <w:highlight w:val="none"/>
        </w:rPr>
        <w:t>，每发现一次，每次</w:t>
      </w:r>
      <w:r>
        <w:rPr>
          <w:rFonts w:hint="eastAsia" w:ascii="宋体" w:hAnsi="宋体" w:eastAsia="宋体" w:cs="宋体"/>
          <w:color w:val="auto"/>
          <w:sz w:val="21"/>
          <w:szCs w:val="21"/>
          <w:highlight w:val="none"/>
          <w:lang w:eastAsia="zh-CN"/>
        </w:rPr>
        <w:t>从合同金额扣除不少于10000元，具体视情况严重性判定，总额不超过合同总价的0.125%</w:t>
      </w:r>
      <w:r>
        <w:rPr>
          <w:rFonts w:hint="eastAsia" w:ascii="宋体" w:hAnsi="宋体" w:eastAsia="宋体" w:cs="宋体"/>
          <w:color w:val="auto"/>
          <w:sz w:val="21"/>
          <w:szCs w:val="21"/>
          <w:highlight w:val="none"/>
        </w:rPr>
        <w:t>。</w:t>
      </w:r>
    </w:p>
    <w:p w14:paraId="095B7C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中标人拒不配合网络数据安全检查或经检查后拒不进行整改的，每出现一次，扣除合同总价的0.125%。</w:t>
      </w:r>
    </w:p>
    <w:p w14:paraId="5F92298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10.项目结束后，中标人未按约删除其在项目过程中获取的数据资料并擅自使用或许可他人使用的，须承担项目合同总金额10%的违约金处罚，若给甲方造成损失的，还须承担赔偿责任。</w:t>
      </w:r>
    </w:p>
    <w:p w14:paraId="418253E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11.中标人未配合采购人对项目涉及的资源、系统等常态化安全漏洞扫描，或未及时修复漏洞的，每出现一次，扣除合同总价的0.125%。</w:t>
      </w:r>
    </w:p>
    <w:p w14:paraId="59C15E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中标人未配合采购人完成项目中所建设、运营的应用系统、服务等的网络数据安全检查，并且按要求及时完成检查中发现问题的整改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每出现一次，扣除合同总价的0.125%。</w:t>
      </w:r>
    </w:p>
    <w:p w14:paraId="604B53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中标人未按照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杭州市信息技术服务外包网络安全管理办法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杭委网</w:t>
      </w:r>
      <w:r>
        <w:rPr>
          <w:rFonts w:hint="eastAsia" w:ascii="宋体" w:hAnsi="宋体" w:cs="宋体"/>
          <w:color w:val="auto"/>
          <w:sz w:val="21"/>
          <w:szCs w:val="21"/>
          <w:highlight w:val="none"/>
          <w:lang w:val="en-US" w:eastAsia="zh-CN"/>
        </w:rPr>
        <w:t>〔2022〕2号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签订《保密承诺书》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办理入场、离场手续</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的，出现1人次，扣除合同总价的0.01%。</w:t>
      </w:r>
    </w:p>
    <w:p w14:paraId="280AEB5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14．中标人派驻的驻场人员</w:t>
      </w:r>
      <w:r>
        <w:rPr>
          <w:rFonts w:hint="eastAsia" w:ascii="宋体" w:hAnsi="宋体" w:eastAsia="宋体" w:cs="宋体"/>
          <w:color w:val="auto"/>
          <w:sz w:val="21"/>
          <w:szCs w:val="21"/>
          <w:highlight w:val="none"/>
          <w:lang w:eastAsia="zh-CN"/>
        </w:rPr>
        <w:t>未按照管理规范进行出勤</w:t>
      </w:r>
      <w:r>
        <w:rPr>
          <w:rFonts w:hint="eastAsia" w:ascii="宋体" w:hAnsi="宋体" w:eastAsia="宋体" w:cs="宋体"/>
          <w:color w:val="auto"/>
          <w:sz w:val="21"/>
          <w:szCs w:val="21"/>
          <w:highlight w:val="none"/>
        </w:rPr>
        <w:t>，每出现1人次从合同金额扣除</w:t>
      </w:r>
      <w:r>
        <w:rPr>
          <w:rFonts w:hint="eastAsia" w:ascii="宋体" w:hAnsi="宋体" w:eastAsia="宋体" w:cs="宋体"/>
          <w:color w:val="auto"/>
          <w:sz w:val="21"/>
          <w:szCs w:val="21"/>
          <w:highlight w:val="none"/>
          <w:lang w:val="en-US" w:eastAsia="zh-CN"/>
        </w:rPr>
        <w:t>不少于2000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，具体视情况严重性判定，总额不超过合同总价的0.125%</w:t>
      </w:r>
      <w:r>
        <w:rPr>
          <w:rFonts w:hint="eastAsia" w:ascii="宋体" w:hAnsi="宋体" w:eastAsia="宋体" w:cs="宋体"/>
          <w:color w:val="auto"/>
          <w:sz w:val="21"/>
          <w:szCs w:val="21"/>
          <w:highlight w:val="none"/>
        </w:rPr>
        <w:t>。。</w:t>
      </w:r>
    </w:p>
    <w:p w14:paraId="668CD64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中标人不得擅自将项目中涉及的数据拷贝、转移出指定数据区域外进行开发、调试等，包括不限于中标人公司、第三方公司的服务器等，每出现一次，扣除合同总价的0.125%。</w:t>
      </w:r>
    </w:p>
    <w:p w14:paraId="6EAED2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每次通报后，若中标人未及时提供整改报告的；或未根据通报内容及时进行整改的，每出现一次，扣除合同总价的0.125%。</w:t>
      </w:r>
    </w:p>
    <w:p w14:paraId="5C6A790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中标人在项目中所承建信息系统的开发、测试环境，出现采购人及项目相关的标识名称，或在项目建成后未及时下架测试环境，每出现一次，扣除合同总价的0.125%。</w:t>
      </w:r>
    </w:p>
    <w:p w14:paraId="4B60F0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 在重要活动、会议期间，中标人未按照采购人安全保障要求，安排保障人员参与重保值班值守工作，每出现一人次天，</w:t>
      </w:r>
      <w:r>
        <w:rPr>
          <w:rFonts w:hint="eastAsia" w:ascii="宋体" w:hAnsi="宋体" w:eastAsia="宋体" w:cs="宋体"/>
          <w:color w:val="auto"/>
          <w:sz w:val="21"/>
          <w:szCs w:val="21"/>
          <w:highlight w:val="none"/>
          <w:lang w:eastAsia="zh-CN"/>
        </w:rPr>
        <w:t>从合同金额扣除不少于10000元，具体视情况严重性判定，总额不超过合同总价的0.125%</w:t>
      </w:r>
      <w:r>
        <w:rPr>
          <w:rFonts w:hint="eastAsia" w:ascii="宋体" w:hAnsi="宋体" w:eastAsia="宋体" w:cs="宋体"/>
          <w:color w:val="auto"/>
          <w:sz w:val="21"/>
          <w:szCs w:val="21"/>
          <w:highlight w:val="none"/>
        </w:rPr>
        <w:t>。</w:t>
      </w:r>
    </w:p>
    <w:p w14:paraId="27D7C1A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 中标人未按照采购人业务要求，围绕项目内容，未及时提供采购人所需要的业务相关进展及数据，每出现一次，</w:t>
      </w:r>
      <w:r>
        <w:rPr>
          <w:rFonts w:hint="eastAsia" w:ascii="宋体" w:hAnsi="宋体" w:eastAsia="宋体" w:cs="宋体"/>
          <w:color w:val="auto"/>
          <w:sz w:val="21"/>
          <w:szCs w:val="21"/>
          <w:highlight w:val="none"/>
          <w:lang w:eastAsia="zh-CN"/>
        </w:rPr>
        <w:t>从合同金额扣除不少于10000元，具体视情况严重性判定，总额不超过合同总价的0.125%</w:t>
      </w:r>
      <w:r>
        <w:rPr>
          <w:rFonts w:hint="eastAsia" w:ascii="宋体" w:hAnsi="宋体" w:eastAsia="宋体" w:cs="宋体"/>
          <w:color w:val="auto"/>
          <w:sz w:val="21"/>
          <w:szCs w:val="21"/>
          <w:highlight w:val="none"/>
        </w:rPr>
        <w:t>。</w:t>
      </w:r>
    </w:p>
    <w:p w14:paraId="29A734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 中标人在项目中所建设、运营的应用系统、应用服务等涉及鉴权登录的，未使用浙政钉/浙里办扫码方式、二次验证的方式的，每发现一次，</w:t>
      </w:r>
      <w:r>
        <w:rPr>
          <w:rFonts w:hint="eastAsia" w:ascii="宋体" w:hAnsi="宋体" w:eastAsia="宋体" w:cs="宋体"/>
          <w:color w:val="auto"/>
          <w:sz w:val="21"/>
          <w:szCs w:val="21"/>
          <w:highlight w:val="none"/>
          <w:lang w:eastAsia="zh-CN"/>
        </w:rPr>
        <w:t>从合同金额扣除不少于10000元，具体视情况严重性判定，总额不超过合同总价的0.125%</w:t>
      </w:r>
      <w:r>
        <w:rPr>
          <w:rFonts w:hint="eastAsia" w:ascii="宋体" w:hAnsi="宋体" w:eastAsia="宋体" w:cs="宋体"/>
          <w:color w:val="auto"/>
          <w:sz w:val="21"/>
          <w:szCs w:val="21"/>
          <w:highlight w:val="none"/>
        </w:rPr>
        <w:t>。</w:t>
      </w:r>
    </w:p>
    <w:p w14:paraId="6CDDFA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中标人应当按照合同约定开展工作，并严格遵守《中华人民共和国网络安全法》《中华人民共和国数据安全法》《中华人民共和国个人信息保护法》等法律法规和规章制度，对于中标人不履行合同义务或者履行合同义务不符合约定的，应当承担相应责任。</w:t>
      </w:r>
    </w:p>
    <w:p w14:paraId="28E25CE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22.除上述情况外，若出现其他</w:t>
      </w:r>
      <w:r>
        <w:rPr>
          <w:rFonts w:hint="eastAsia" w:ascii="宋体" w:hAnsi="宋体" w:eastAsia="宋体" w:cs="宋体"/>
          <w:color w:val="auto"/>
          <w:sz w:val="21"/>
          <w:szCs w:val="21"/>
          <w:highlight w:val="none"/>
        </w:rPr>
        <w:t>安全事件、隐患给采购人造成损失的，</w:t>
      </w:r>
      <w:r>
        <w:rPr>
          <w:rFonts w:hint="eastAsia" w:ascii="宋体" w:hAnsi="宋体" w:eastAsia="宋体" w:cs="宋体"/>
          <w:color w:val="auto"/>
          <w:sz w:val="21"/>
          <w:szCs w:val="21"/>
          <w:highlight w:val="none"/>
          <w:lang w:val="en-US" w:eastAsia="zh-CN"/>
        </w:rPr>
        <w:t>视情节中标人</w:t>
      </w:r>
      <w:r>
        <w:rPr>
          <w:rFonts w:hint="eastAsia" w:ascii="宋体" w:hAnsi="宋体" w:eastAsia="宋体" w:cs="宋体"/>
          <w:color w:val="auto"/>
          <w:sz w:val="21"/>
          <w:szCs w:val="21"/>
          <w:highlight w:val="none"/>
        </w:rPr>
        <w:t>承担赔偿</w:t>
      </w:r>
      <w:r>
        <w:rPr>
          <w:rFonts w:hint="eastAsia" w:ascii="宋体" w:hAnsi="宋体" w:eastAsia="宋体" w:cs="宋体"/>
          <w:color w:val="auto"/>
          <w:sz w:val="21"/>
          <w:szCs w:val="21"/>
          <w:highlight w:val="none"/>
          <w:lang w:val="en-US" w:eastAsia="zh-CN"/>
        </w:rPr>
        <w:t>责任，</w:t>
      </w:r>
      <w:r>
        <w:rPr>
          <w:rFonts w:hint="eastAsia" w:ascii="宋体" w:hAnsi="宋体" w:eastAsia="宋体" w:cs="宋体"/>
          <w:color w:val="auto"/>
          <w:sz w:val="21"/>
          <w:szCs w:val="21"/>
          <w:highlight w:val="none"/>
        </w:rPr>
        <w:t>每出现一次，扣除合同总价的0.</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val="en-US" w:eastAsia="zh-CN"/>
        </w:rPr>
        <w:t>以上。</w:t>
      </w:r>
    </w:p>
    <w:p w14:paraId="3B32CE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（三）服务部分违约责任</w:t>
      </w:r>
    </w:p>
    <w:p w14:paraId="54B887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1.由于中标人原因，涉及服务被社会媒体曝光、收到多方投诉情况，出现1次，每次扣除合同总价的0.5%。 </w:t>
      </w:r>
    </w:p>
    <w:p w14:paraId="3693C08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2.未经采购人授权，中标人擅自将服务系统的操作管理权限、账号、视频影像资料、数据及分析应用成果、电脑截图或照片等泄露外传。出现1次，每次扣除不</w:t>
      </w:r>
      <w:r>
        <w:rPr>
          <w:rFonts w:hint="eastAsia" w:ascii="宋体" w:hAnsi="宋体" w:eastAsia="宋体" w:cs="宋体"/>
          <w:color w:val="auto"/>
          <w:sz w:val="21"/>
          <w:szCs w:val="21"/>
          <w:highlight w:val="none"/>
          <w:lang w:eastAsia="zh-CN"/>
        </w:rPr>
        <w:t>超过</w:t>
      </w:r>
      <w:r>
        <w:rPr>
          <w:rFonts w:hint="eastAsia" w:ascii="宋体" w:hAnsi="宋体" w:eastAsia="宋体" w:cs="宋体"/>
          <w:color w:val="auto"/>
          <w:sz w:val="21"/>
          <w:szCs w:val="21"/>
          <w:highlight w:val="none"/>
        </w:rPr>
        <w:t>合同总价的0.5%。</w:t>
      </w:r>
    </w:p>
    <w:p w14:paraId="57D68D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3.根据一体化智能化公共数据平台考核指标的要求，中标人需配合采购人进行服务的完善。未按一体化智能化公共数据平台考核指标进行或完成服务完善的，出现一次，每次扣除合同总价的0.125%。</w:t>
      </w:r>
    </w:p>
    <w:p w14:paraId="516733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4.中标人未按照采购人相关要求及时梳理更新资产信息，各类服务的IP、账号等资产信息欠缺、归属不清晰，每发生一次，</w:t>
      </w:r>
      <w:r>
        <w:rPr>
          <w:rFonts w:hint="eastAsia" w:ascii="宋体" w:hAnsi="宋体" w:eastAsia="宋体" w:cs="宋体"/>
          <w:color w:val="auto"/>
          <w:sz w:val="21"/>
          <w:szCs w:val="21"/>
          <w:highlight w:val="none"/>
          <w:lang w:eastAsia="zh-CN"/>
        </w:rPr>
        <w:t>从合同金额扣除不少于10000元，具体视情况严重性判定，总额不超过合同总价的0.125%</w:t>
      </w:r>
      <w:r>
        <w:rPr>
          <w:rFonts w:hint="eastAsia" w:ascii="宋体" w:hAnsi="宋体" w:eastAsia="宋体" w:cs="宋体"/>
          <w:color w:val="auto"/>
          <w:sz w:val="21"/>
          <w:szCs w:val="21"/>
          <w:highlight w:val="none"/>
        </w:rPr>
        <w:t>。</w:t>
      </w:r>
    </w:p>
    <w:p w14:paraId="435717D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5.中标人需定期排查并汇报安全监控、使用率插件的使用情况，如未完成的，出现一次，</w:t>
      </w:r>
      <w:r>
        <w:rPr>
          <w:rFonts w:hint="eastAsia" w:ascii="宋体" w:hAnsi="宋体" w:eastAsia="宋体" w:cs="宋体"/>
          <w:color w:val="auto"/>
          <w:sz w:val="21"/>
          <w:szCs w:val="21"/>
          <w:highlight w:val="none"/>
          <w:lang w:eastAsia="zh-CN"/>
        </w:rPr>
        <w:t>从合同金额扣除不少于10000元，具体视情况严重性判定，总额不超过合同总价的0.125%</w:t>
      </w:r>
      <w:r>
        <w:rPr>
          <w:rFonts w:hint="eastAsia" w:ascii="宋体" w:hAnsi="宋体" w:eastAsia="宋体" w:cs="宋体"/>
          <w:color w:val="auto"/>
          <w:sz w:val="21"/>
          <w:szCs w:val="21"/>
          <w:highlight w:val="none"/>
        </w:rPr>
        <w:t>。</w:t>
      </w:r>
    </w:p>
    <w:p w14:paraId="717431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6.由于中标人原因，造成云服务无法正常提供的，第一次发生，扣除合同总价的0.5%，云服务无法恢复超过1小时未解决的，每超过1小时扣除合同总价的0.5%，直至云服务正常恢复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不足一小时的按实际时间折算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。之后再发生，每次扣除比例为前一次扣除比例的2倍。</w:t>
      </w:r>
    </w:p>
    <w:p w14:paraId="7F7A46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7.中标人应根据招标文件或合同在规定时间内提交的文档资料、工作台账、领导交办的文档资料等，应按时完成。如未完成的，出现1次，每次扣除合同总价的0.125%。</w:t>
      </w:r>
    </w:p>
    <w:p w14:paraId="7BF03A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8.中标人派驻的驻场人员</w:t>
      </w:r>
      <w:r>
        <w:rPr>
          <w:rFonts w:hint="eastAsia" w:ascii="宋体" w:hAnsi="宋体" w:eastAsia="宋体" w:cs="宋体"/>
          <w:color w:val="auto"/>
          <w:sz w:val="21"/>
          <w:szCs w:val="21"/>
          <w:highlight w:val="none"/>
          <w:lang w:eastAsia="zh-CN"/>
        </w:rPr>
        <w:t>未按照管理规范进行出勤</w:t>
      </w:r>
      <w:r>
        <w:rPr>
          <w:rFonts w:hint="eastAsia" w:ascii="宋体" w:hAnsi="宋体" w:eastAsia="宋体" w:cs="宋体"/>
          <w:color w:val="auto"/>
          <w:sz w:val="21"/>
          <w:szCs w:val="21"/>
          <w:highlight w:val="none"/>
        </w:rPr>
        <w:t>，每出现1人次从合同金额扣除</w:t>
      </w:r>
      <w:r>
        <w:rPr>
          <w:rFonts w:hint="eastAsia" w:ascii="宋体" w:hAnsi="宋体" w:eastAsia="宋体" w:cs="宋体"/>
          <w:color w:val="auto"/>
          <w:sz w:val="21"/>
          <w:szCs w:val="21"/>
          <w:highlight w:val="none"/>
          <w:lang w:val="en-US" w:eastAsia="zh-CN"/>
        </w:rPr>
        <w:t>不少于2000</w:t>
      </w:r>
      <w:r>
        <w:rPr>
          <w:rFonts w:hint="eastAsia" w:ascii="宋体" w:hAnsi="宋体" w:eastAsia="宋体" w:cs="宋体"/>
          <w:color w:val="auto"/>
          <w:sz w:val="21"/>
          <w:szCs w:val="21"/>
          <w:highlight w:val="none"/>
        </w:rPr>
        <w:t>元。中标人驻场人员服务响应未满足要求的，每发生1人次，扣款</w:t>
      </w:r>
      <w:r>
        <w:rPr>
          <w:rFonts w:hint="eastAsia" w:ascii="宋体" w:hAnsi="宋体" w:eastAsia="宋体" w:cs="宋体"/>
          <w:color w:val="auto"/>
          <w:sz w:val="21"/>
          <w:szCs w:val="21"/>
          <w:highlight w:val="none"/>
          <w:lang w:val="en-US" w:eastAsia="zh-CN"/>
        </w:rPr>
        <w:t>不少于2000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。具体视情况严重性判定，总额不超过合同总价的0.125%</w:t>
      </w:r>
      <w:r>
        <w:rPr>
          <w:rFonts w:hint="eastAsia" w:ascii="宋体" w:hAnsi="宋体" w:eastAsia="宋体" w:cs="宋体"/>
          <w:color w:val="auto"/>
          <w:sz w:val="21"/>
          <w:szCs w:val="21"/>
          <w:highlight w:val="none"/>
        </w:rPr>
        <w:t>。</w:t>
      </w:r>
    </w:p>
    <w:p w14:paraId="67257EE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9.中标人应根据采购人要求，在指定时限内，将云资源信息及对应计费信息同步至统一的云管平台，逾期未同步或同步信息错误的，采购人有权扣除该部分资源在信息未同步或同步信息错误期间产生的费用。</w:t>
      </w:r>
    </w:p>
    <w:p w14:paraId="2F34144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人应该对所提供的云平台及时进行版本升级保障，在云平台原厂已发布新版本且浙江省内政务云平台中已有对应版本实装先例的条件下，若采购人提出要求后3个月内无法完成升级，采购人有权扣除该平台上所有云资源在采购人提出要求超过3个月之日起至平台最终完成升级期间所产生的费用。期间若由于版本未升级给采购人造成损失的，还须承担赔偿责任。</w:t>
      </w:r>
    </w:p>
    <w:p w14:paraId="20EA4A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11.若发生扣款事由，采购人在通知中标人后可直接进行扣款，最终解释权归采购人所有。除因第11、12条发生的扣款外，服务部分当年累计扣款不超过合同总价的20%。</w:t>
      </w:r>
    </w:p>
    <w:p w14:paraId="3A93969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12.中标人驻场人员或专人专职人员未按照合同约定或未经采购人允许，同时参与其他项目工作或本项目中已单独支付服务费的相关工作，出现第一次，扣除</w:t>
      </w:r>
      <w:r>
        <w:rPr>
          <w:rFonts w:hint="eastAsia" w:ascii="宋体" w:hAnsi="宋体" w:eastAsia="宋体" w:cs="宋体"/>
          <w:color w:val="auto"/>
          <w:sz w:val="21"/>
          <w:szCs w:val="21"/>
          <w:highlight w:val="none"/>
          <w:lang w:val="en-US" w:eastAsia="zh-CN"/>
        </w:rPr>
        <w:t>不少于</w:t>
      </w:r>
      <w:r>
        <w:rPr>
          <w:rFonts w:hint="eastAsia" w:ascii="宋体" w:hAnsi="宋体" w:eastAsia="宋体" w:cs="宋体"/>
          <w:color w:val="auto"/>
          <w:sz w:val="21"/>
          <w:szCs w:val="21"/>
          <w:highlight w:val="none"/>
        </w:rPr>
        <w:t>10000元，</w:t>
      </w:r>
      <w:r>
        <w:rPr>
          <w:rFonts w:hint="eastAsia" w:ascii="宋体" w:hAnsi="宋体" w:eastAsia="宋体" w:cs="宋体"/>
          <w:color w:val="auto"/>
          <w:sz w:val="21"/>
          <w:szCs w:val="21"/>
          <w:highlight w:val="none"/>
          <w:lang w:eastAsia="zh-CN"/>
        </w:rPr>
        <w:t>具体视情况严重性判定，总额不超过合同总价的0.125%</w:t>
      </w:r>
      <w:r>
        <w:rPr>
          <w:rFonts w:hint="eastAsia" w:ascii="宋体" w:hAnsi="宋体" w:eastAsia="宋体" w:cs="宋体"/>
          <w:color w:val="auto"/>
          <w:sz w:val="21"/>
          <w:szCs w:val="21"/>
          <w:highlight w:val="none"/>
        </w:rPr>
        <w:t>。并要求中标人恢复专人专职服务；之后再出现，每次扣除金额为上一次扣除金额的2倍，并要求中标人恢复专人专职服务。</w:t>
      </w:r>
    </w:p>
    <w:p w14:paraId="0BA155A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13.按照投标文件承诺时间完成迁移工作，</w:t>
      </w:r>
      <w:r>
        <w:rPr>
          <w:rFonts w:hint="eastAsia" w:ascii="宋体" w:hAnsi="宋体" w:eastAsia="宋体" w:cs="宋体"/>
          <w:color w:val="auto"/>
          <w:kern w:val="0"/>
          <w:sz w:val="21"/>
          <w:szCs w:val="21"/>
          <w:highlight w:val="none"/>
        </w:rPr>
        <w:t>迁移工作时间以</w:t>
      </w:r>
      <w:r>
        <w:rPr>
          <w:rFonts w:hint="eastAsia" w:ascii="宋体" w:hAnsi="宋体" w:eastAsia="宋体" w:cs="宋体"/>
          <w:color w:val="auto"/>
          <w:kern w:val="0"/>
          <w:sz w:val="21"/>
          <w:szCs w:val="21"/>
          <w:highlight w:val="none"/>
          <w:lang w:val="en-US" w:eastAsia="zh-CN"/>
        </w:rPr>
        <w:t>合同签订时间开始计算，</w:t>
      </w:r>
      <w:r>
        <w:rPr>
          <w:rFonts w:hint="eastAsia" w:ascii="宋体" w:hAnsi="宋体" w:eastAsia="宋体" w:cs="宋体"/>
          <w:color w:val="auto"/>
          <w:kern w:val="0"/>
          <w:sz w:val="21"/>
          <w:szCs w:val="21"/>
          <w:highlight w:val="none"/>
        </w:rPr>
        <w:t>若存在超期，每天扣款</w:t>
      </w:r>
      <w:r>
        <w:rPr>
          <w:rFonts w:hint="eastAsia" w:ascii="宋体" w:hAnsi="宋体" w:eastAsia="宋体" w:cs="宋体"/>
          <w:color w:val="auto"/>
          <w:kern w:val="0"/>
          <w:sz w:val="21"/>
          <w:szCs w:val="21"/>
          <w:highlight w:val="none"/>
          <w:lang w:val="en-US" w:eastAsia="zh-CN"/>
        </w:rPr>
        <w:t>合同金额</w:t>
      </w:r>
      <w:r>
        <w:rPr>
          <w:rFonts w:hint="eastAsia" w:ascii="宋体" w:hAnsi="宋体" w:eastAsia="宋体" w:cs="宋体"/>
          <w:color w:val="auto"/>
          <w:kern w:val="0"/>
          <w:sz w:val="21"/>
          <w:szCs w:val="21"/>
          <w:highlight w:val="none"/>
        </w:rPr>
        <w:t>的0.2%</w:t>
      </w:r>
      <w:r>
        <w:rPr>
          <w:rFonts w:hint="eastAsia" w:ascii="宋体" w:hAnsi="宋体" w:eastAsia="宋体" w:cs="宋体"/>
          <w:color w:val="auto"/>
          <w:kern w:val="0"/>
          <w:sz w:val="21"/>
          <w:szCs w:val="21"/>
          <w:highlight w:val="none"/>
          <w:lang w:eastAsia="zh-CN"/>
        </w:rPr>
        <w:t>。</w:t>
      </w:r>
    </w:p>
    <w:p w14:paraId="2D0C78A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14.除上述情况外，若出现其他</w:t>
      </w:r>
      <w:r>
        <w:rPr>
          <w:rFonts w:hint="eastAsia" w:ascii="宋体" w:hAnsi="宋体" w:eastAsia="宋体" w:cs="宋体"/>
          <w:color w:val="auto"/>
          <w:sz w:val="21"/>
          <w:szCs w:val="21"/>
          <w:highlight w:val="none"/>
        </w:rPr>
        <w:t>安全事件、隐患给采购人造成损失的，</w:t>
      </w:r>
      <w:r>
        <w:rPr>
          <w:rFonts w:hint="eastAsia" w:ascii="宋体" w:hAnsi="宋体" w:eastAsia="宋体" w:cs="宋体"/>
          <w:color w:val="auto"/>
          <w:sz w:val="21"/>
          <w:szCs w:val="21"/>
          <w:highlight w:val="none"/>
          <w:lang w:val="en-US" w:eastAsia="zh-CN"/>
        </w:rPr>
        <w:t>视情节中标人</w:t>
      </w:r>
      <w:r>
        <w:rPr>
          <w:rFonts w:hint="eastAsia" w:ascii="宋体" w:hAnsi="宋体" w:eastAsia="宋体" w:cs="宋体"/>
          <w:color w:val="auto"/>
          <w:sz w:val="21"/>
          <w:szCs w:val="21"/>
          <w:highlight w:val="none"/>
        </w:rPr>
        <w:t>承担赔偿</w:t>
      </w:r>
      <w:r>
        <w:rPr>
          <w:rFonts w:hint="eastAsia" w:ascii="宋体" w:hAnsi="宋体" w:eastAsia="宋体" w:cs="宋体"/>
          <w:color w:val="auto"/>
          <w:sz w:val="21"/>
          <w:szCs w:val="21"/>
          <w:highlight w:val="none"/>
          <w:lang w:val="en-US" w:eastAsia="zh-CN"/>
        </w:rPr>
        <w:t>责任，</w:t>
      </w:r>
      <w:r>
        <w:rPr>
          <w:rFonts w:hint="eastAsia" w:ascii="宋体" w:hAnsi="宋体" w:eastAsia="宋体" w:cs="宋体"/>
          <w:color w:val="auto"/>
          <w:sz w:val="21"/>
          <w:szCs w:val="21"/>
          <w:highlight w:val="none"/>
        </w:rPr>
        <w:t>每出现一次，扣除合同总价的0.</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val="en-US" w:eastAsia="zh-CN"/>
        </w:rPr>
        <w:t>以上。</w:t>
      </w:r>
    </w:p>
    <w:p w14:paraId="5E3F3C3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因安全及服务原因进行扣款的，除特别约定，扣款金额在云资源实际发生费用（不超过</w:t>
      </w:r>
      <w:r>
        <w:rPr>
          <w:rFonts w:hint="eastAsia" w:ascii="宋体" w:hAnsi="宋体" w:eastAsia="宋体" w:cs="宋体"/>
          <w:color w:val="auto"/>
          <w:sz w:val="21"/>
          <w:szCs w:val="21"/>
          <w:highlight w:val="none"/>
          <w:lang w:val="en-US" w:eastAsia="zh-CN"/>
        </w:rPr>
        <w:t>合同金额</w:t>
      </w:r>
      <w:r>
        <w:rPr>
          <w:rFonts w:hint="eastAsia" w:ascii="宋体" w:hAnsi="宋体" w:eastAsia="宋体" w:cs="宋体"/>
          <w:color w:val="auto"/>
          <w:sz w:val="21"/>
          <w:szCs w:val="21"/>
          <w:highlight w:val="none"/>
        </w:rPr>
        <w:t>）的基础上扣除。即：合同实际支付金额=最终结算金额（不超过项目合同金额）-安全及服务扣款。</w:t>
      </w:r>
    </w:p>
    <w:p w14:paraId="0EB10163">
      <w:pPr>
        <w:pStyle w:val="23"/>
        <w:widowControl/>
        <w:numPr>
          <w:ilvl w:val="1"/>
          <w:numId w:val="2"/>
        </w:numPr>
        <w:adjustRightInd/>
        <w:spacing w:before="100" w:after="100"/>
        <w:ind w:firstLine="422" w:firstLineChars="200"/>
        <w:jc w:val="left"/>
        <w:outlineLvl w:val="1"/>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其他</w:t>
      </w:r>
    </w:p>
    <w:p w14:paraId="6AC1B2C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kern w:val="0"/>
          <w:sz w:val="21"/>
          <w:szCs w:val="21"/>
          <w:highlight w:val="none"/>
        </w:rPr>
        <w:t>投标人对于云平台服务结构</w:t>
      </w:r>
      <w:r>
        <w:rPr>
          <w:rFonts w:hint="eastAsia" w:ascii="宋体" w:hAnsi="宋体" w:cs="宋体"/>
          <w:color w:val="auto"/>
          <w:kern w:val="0"/>
          <w:sz w:val="21"/>
          <w:szCs w:val="21"/>
          <w:highlight w:val="none"/>
          <w:lang w:eastAsia="zh-CN"/>
        </w:rPr>
        <w:t>框架</w:t>
      </w:r>
      <w:r>
        <w:rPr>
          <w:rFonts w:hint="eastAsia" w:ascii="宋体" w:hAnsi="宋体" w:eastAsia="宋体" w:cs="宋体"/>
          <w:color w:val="auto"/>
          <w:kern w:val="0"/>
          <w:sz w:val="21"/>
          <w:szCs w:val="21"/>
          <w:highlight w:val="none"/>
          <w:lang w:eastAsia="zh-CN"/>
        </w:rPr>
        <w:t>进行设计</w:t>
      </w:r>
      <w:r>
        <w:rPr>
          <w:rFonts w:hint="eastAsia" w:ascii="宋体" w:hAnsi="宋体" w:eastAsia="宋体" w:cs="宋体"/>
          <w:color w:val="auto"/>
          <w:kern w:val="0"/>
          <w:sz w:val="21"/>
          <w:szCs w:val="21"/>
          <w:highlight w:val="none"/>
        </w:rPr>
        <w:t>和规划；充分考虑对具体提供过程中可能遇到的问题及其应对措施；对重点、难点技术环节有先进、合理的建议。</w:t>
      </w:r>
    </w:p>
    <w:p w14:paraId="57F008D5">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投标人根据采购需求提供组织实施方案。提供培训、质量保证措施、应急预案等。</w:t>
      </w:r>
    </w:p>
    <w:p w14:paraId="53CF75E8">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投标人具有完备的管理组织、项目实施规范和管理制度，有完善的质量管理体系，并能有效实施。</w:t>
      </w:r>
    </w:p>
    <w:p w14:paraId="47892CE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人员要求：</w:t>
      </w:r>
      <w:r>
        <w:rPr>
          <w:rFonts w:hint="eastAsia" w:ascii="宋体" w:hAnsi="宋体" w:eastAsia="宋体" w:cs="宋体"/>
          <w:color w:val="auto"/>
          <w:sz w:val="21"/>
          <w:szCs w:val="21"/>
          <w:highlight w:val="none"/>
        </w:rPr>
        <w:t>根据情况要求组建项目团队，具体要求详见评分办法。</w:t>
      </w:r>
    </w:p>
    <w:p w14:paraId="0DDB374D">
      <w:pPr>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w:t>
      </w:r>
      <w:r>
        <w:rPr>
          <w:rFonts w:hint="eastAsia" w:ascii="宋体" w:hAnsi="宋体" w:eastAsia="宋体" w:cs="宋体"/>
          <w:color w:val="auto"/>
          <w:sz w:val="21"/>
          <w:szCs w:val="21"/>
          <w:highlight w:val="none"/>
        </w:rPr>
        <w:t>.</w:t>
      </w:r>
      <w:r>
        <w:rPr>
          <w:rFonts w:hint="eastAsia" w:ascii="宋体" w:hAnsi="宋体" w:eastAsia="宋体" w:cs="宋体"/>
          <w:snapToGrid w:val="0"/>
          <w:color w:val="auto"/>
          <w:kern w:val="0"/>
          <w:sz w:val="21"/>
          <w:szCs w:val="21"/>
          <w:highlight w:val="none"/>
        </w:rPr>
        <w:t>招标文件第四部分评分办法中评审因素相应的</w:t>
      </w:r>
      <w:r>
        <w:rPr>
          <w:rFonts w:hint="eastAsia" w:ascii="宋体" w:hAnsi="宋体" w:cs="宋体"/>
          <w:snapToGrid w:val="0"/>
          <w:color w:val="auto"/>
          <w:kern w:val="0"/>
          <w:sz w:val="21"/>
          <w:szCs w:val="21"/>
          <w:highlight w:val="none"/>
          <w:lang w:eastAsia="zh-CN"/>
        </w:rPr>
        <w:t>其他</w:t>
      </w:r>
      <w:r>
        <w:rPr>
          <w:rFonts w:hint="eastAsia" w:ascii="宋体" w:hAnsi="宋体" w:eastAsia="宋体" w:cs="宋体"/>
          <w:snapToGrid w:val="0"/>
          <w:color w:val="auto"/>
          <w:kern w:val="0"/>
          <w:sz w:val="21"/>
          <w:szCs w:val="21"/>
          <w:highlight w:val="none"/>
        </w:rPr>
        <w:t>要求及第五部分采购合同中相应的其他要求。</w:t>
      </w:r>
    </w:p>
    <w:p w14:paraId="7AA57B67">
      <w:pPr>
        <w:pStyle w:val="23"/>
        <w:widowControl/>
        <w:numPr>
          <w:ilvl w:val="1"/>
          <w:numId w:val="2"/>
        </w:numPr>
        <w:adjustRightInd/>
        <w:spacing w:before="100" w:after="100"/>
        <w:ind w:firstLine="422" w:firstLineChars="200"/>
        <w:jc w:val="left"/>
        <w:outlineLvl w:val="1"/>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商务要求</w:t>
      </w:r>
    </w:p>
    <w:p w14:paraId="5B11AC5E">
      <w:pPr>
        <w:pStyle w:val="23"/>
        <w:numPr>
          <w:ilvl w:val="255"/>
          <w:numId w:val="0"/>
        </w:numPr>
        <w:snapToGrid w:val="0"/>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1.</w:t>
      </w:r>
      <w:r>
        <w:rPr>
          <w:rFonts w:hint="eastAsia" w:ascii="宋体" w:hAnsi="宋体" w:eastAsia="宋体" w:cs="宋体"/>
          <w:b/>
          <w:bCs/>
          <w:color w:val="auto"/>
          <w:sz w:val="21"/>
          <w:szCs w:val="21"/>
          <w:highlight w:val="none"/>
        </w:rPr>
        <w:t>投标报价</w:t>
      </w:r>
    </w:p>
    <w:p w14:paraId="514A2AAE">
      <w:pPr>
        <w:pStyle w:val="23"/>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rPr>
        <w:t>按单价乘以实际数量进行结算</w:t>
      </w:r>
      <w:r>
        <w:rPr>
          <w:rFonts w:hint="eastAsia" w:ascii="宋体" w:hAnsi="宋体" w:eastAsia="宋体" w:cs="宋体"/>
          <w:color w:val="auto"/>
          <w:sz w:val="21"/>
          <w:szCs w:val="21"/>
          <w:highlight w:val="none"/>
        </w:rPr>
        <w:t>。报价时填报费率（%）。例如报价为</w:t>
      </w:r>
      <w:r>
        <w:rPr>
          <w:rFonts w:hint="eastAsia"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0%，即合同中，各指标综合单价=</w:t>
      </w:r>
      <w:r>
        <w:rPr>
          <w:rFonts w:hint="eastAsia" w:ascii="宋体" w:hAnsi="宋体" w:eastAsia="宋体" w:cs="宋体"/>
          <w:color w:val="auto"/>
          <w:sz w:val="21"/>
          <w:szCs w:val="21"/>
          <w:highlight w:val="none"/>
          <w:lang w:val="en-US"/>
        </w:rPr>
        <w:t>8</w:t>
      </w:r>
      <w:r>
        <w:rPr>
          <w:rFonts w:hint="eastAsia" w:ascii="宋体" w:hAnsi="宋体" w:eastAsia="宋体" w:cs="宋体"/>
          <w:color w:val="auto"/>
          <w:sz w:val="21"/>
          <w:szCs w:val="21"/>
          <w:highlight w:val="none"/>
        </w:rPr>
        <w:t>0%×各指标最高限价。合同款根据各指标综合单价及服务套数、服务时间核算合同价格，</w:t>
      </w:r>
      <w:r>
        <w:rPr>
          <w:rFonts w:hint="eastAsia" w:ascii="宋体" w:hAnsi="宋体" w:eastAsia="宋体" w:cs="宋体"/>
          <w:color w:val="auto"/>
          <w:sz w:val="21"/>
          <w:szCs w:val="21"/>
          <w:highlight w:val="none"/>
          <w:lang w:val="en-US"/>
        </w:rPr>
        <w:t>除此之外</w:t>
      </w:r>
      <w:r>
        <w:rPr>
          <w:rFonts w:hint="eastAsia" w:ascii="宋体" w:hAnsi="宋体" w:eastAsia="宋体" w:cs="宋体"/>
          <w:color w:val="auto"/>
          <w:sz w:val="21"/>
          <w:szCs w:val="21"/>
          <w:highlight w:val="none"/>
        </w:rPr>
        <w:t>不再支付其他任何费用。</w:t>
      </w:r>
    </w:p>
    <w:p w14:paraId="018BDD2B">
      <w:pPr>
        <w:pStyle w:val="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rPr>
        <w:t>标项</w:t>
      </w:r>
      <w:r>
        <w:rPr>
          <w:rFonts w:hint="eastAsia" w:ascii="宋体" w:hAnsi="宋体" w:eastAsia="宋体" w:cs="宋体"/>
          <w:color w:val="auto"/>
          <w:sz w:val="21"/>
          <w:szCs w:val="21"/>
          <w:highlight w:val="none"/>
        </w:rPr>
        <w:t>合同支付金额的上限为</w:t>
      </w:r>
      <w:r>
        <w:rPr>
          <w:rFonts w:hint="eastAsia" w:ascii="宋体" w:hAnsi="宋体" w:eastAsia="宋体" w:cs="宋体"/>
          <w:color w:val="auto"/>
          <w:sz w:val="21"/>
          <w:szCs w:val="21"/>
          <w:highlight w:val="none"/>
          <w:lang w:val="en-US"/>
        </w:rPr>
        <w:t>投标总价</w:t>
      </w:r>
      <w:r>
        <w:rPr>
          <w:rFonts w:hint="eastAsia" w:ascii="宋体" w:hAnsi="宋体" w:eastAsia="宋体" w:cs="宋体"/>
          <w:color w:val="auto"/>
          <w:sz w:val="21"/>
          <w:szCs w:val="21"/>
          <w:highlight w:val="none"/>
        </w:rPr>
        <w:t>。中标人有义务提醒采购人该项目总价的实时统计情况，以免工作量超限价。</w:t>
      </w:r>
    </w:p>
    <w:p w14:paraId="310C14DC">
      <w:pPr>
        <w:pStyle w:val="23"/>
        <w:snapToGrid w:val="0"/>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2.</w:t>
      </w:r>
      <w:r>
        <w:rPr>
          <w:rFonts w:hint="eastAsia" w:ascii="宋体" w:hAnsi="宋体" w:eastAsia="宋体" w:cs="宋体"/>
          <w:b/>
          <w:bCs/>
          <w:color w:val="auto"/>
          <w:sz w:val="21"/>
          <w:szCs w:val="21"/>
          <w:highlight w:val="none"/>
        </w:rPr>
        <w:t>履约保证金</w:t>
      </w:r>
    </w:p>
    <w:p w14:paraId="1D016D0D">
      <w:pPr>
        <w:pStyle w:val="23"/>
        <w:snapToGrid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无。如有违约，从应付合同款中扣除。</w:t>
      </w:r>
    </w:p>
    <w:p w14:paraId="17B0BCFF">
      <w:pPr>
        <w:pStyle w:val="23"/>
        <w:snapToGrid w:val="0"/>
        <w:ind w:firstLine="422" w:firstLineChars="200"/>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rPr>
        <w:t>3.</w:t>
      </w:r>
      <w:r>
        <w:rPr>
          <w:rFonts w:hint="eastAsia" w:ascii="宋体" w:hAnsi="宋体" w:eastAsia="宋体" w:cs="宋体"/>
          <w:b/>
          <w:bCs/>
          <w:color w:val="auto"/>
          <w:sz w:val="21"/>
          <w:szCs w:val="21"/>
          <w:highlight w:val="none"/>
        </w:rPr>
        <w:t>付款方式</w:t>
      </w:r>
    </w:p>
    <w:p w14:paraId="3A95BFF2">
      <w:pPr>
        <w:pStyle w:val="23"/>
        <w:snapToGrid w:val="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详见合同条款。</w:t>
      </w:r>
    </w:p>
    <w:p w14:paraId="584C4FC4">
      <w:pPr>
        <w:pStyle w:val="23"/>
        <w:widowControl/>
        <w:numPr>
          <w:ilvl w:val="1"/>
          <w:numId w:val="2"/>
        </w:numPr>
        <w:adjustRightInd/>
        <w:spacing w:before="100" w:after="100"/>
        <w:ind w:firstLine="422" w:firstLineChars="200"/>
        <w:jc w:val="left"/>
        <w:outlineLvl w:val="1"/>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说明</w:t>
      </w:r>
    </w:p>
    <w:p w14:paraId="0C3ED540">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本章中所有带▲的内容是采购人提出的实质性要求，投标文件响应内容若不满足实质性要求，该投标文件将被评标委员会认定为无效。本章中所有带★的内容的是采购人提出的关键条款，投标人需按招标文件要求提供相应佐证材料，若未提供视为负偏离。</w:t>
      </w:r>
    </w:p>
    <w:p w14:paraId="32531452">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2.如技术要求中未特别注明需执行的国家相关标准、行业标准、地方标准或者其他标准、规范，则统一执行最新标准、规范。</w:t>
      </w:r>
    </w:p>
    <w:p w14:paraId="640FD84A">
      <w:pPr>
        <w:pStyle w:val="23"/>
        <w:widowControl/>
        <w:numPr>
          <w:ilvl w:val="1"/>
          <w:numId w:val="2"/>
        </w:numPr>
        <w:adjustRightInd/>
        <w:spacing w:before="100" w:after="100"/>
        <w:ind w:firstLine="422" w:firstLineChars="200"/>
        <w:jc w:val="left"/>
        <w:outlineLvl w:val="1"/>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rPr>
        <w:t>项目演示</w:t>
      </w:r>
    </w:p>
    <w:p w14:paraId="05E5037F">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需提供本项目系统演示及讲解视频，演示视频时间控制在15分钟以内，视频格式要求为MP4等常用格式，以U盘为存储介质邮寄方式送至采购代理机构。以响应文件解密时间先后次序为准，系统演示单独密封并标记供应商全称、相关联系人及其联系方式、项目名称、项目编号、“系统演示”字样。</w:t>
      </w:r>
    </w:p>
    <w:p w14:paraId="7F01B6CF">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2.演示顺序以响应文件解密时间先后次序为准。</w:t>
      </w:r>
    </w:p>
    <w:p w14:paraId="76F78134">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3.演示内容详见评标办法。</w:t>
      </w:r>
    </w:p>
    <w:p w14:paraId="49B78D13">
      <w:pPr>
        <w:adjustRightInd/>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snapToGrid w:val="0"/>
          <w:color w:val="auto"/>
          <w:kern w:val="0"/>
          <w:sz w:val="21"/>
          <w:szCs w:val="21"/>
          <w:highlight w:val="none"/>
        </w:rPr>
        <w:t>演示视频递交截止时间：同投标截止时间，未提供或逾期送达将会造成不利评审。</w:t>
      </w:r>
    </w:p>
    <w:p w14:paraId="233E170B">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snapToGrid w:val="0"/>
          <w:color w:val="auto"/>
          <w:kern w:val="0"/>
          <w:sz w:val="21"/>
          <w:szCs w:val="21"/>
          <w:highlight w:val="none"/>
        </w:rPr>
        <w:t>邮寄地址：</w:t>
      </w:r>
      <w:r>
        <w:rPr>
          <w:rFonts w:hint="eastAsia" w:ascii="宋体" w:hAnsi="宋体" w:eastAsia="宋体" w:cs="宋体"/>
          <w:color w:val="auto"/>
          <w:sz w:val="21"/>
          <w:szCs w:val="21"/>
          <w:highlight w:val="none"/>
        </w:rPr>
        <w:t>杭州市文晖路42号现代置业大厦西楼17层1704室</w:t>
      </w:r>
      <w:r>
        <w:rPr>
          <w:rFonts w:hint="eastAsia" w:ascii="宋体" w:hAnsi="宋体" w:eastAsia="宋体" w:cs="宋体"/>
          <w:snapToGrid w:val="0"/>
          <w:color w:val="auto"/>
          <w:kern w:val="0"/>
          <w:sz w:val="21"/>
          <w:szCs w:val="21"/>
          <w:highlight w:val="none"/>
        </w:rPr>
        <w:t>；收件人：何颖楹 ；联系电话：15700073181。</w:t>
      </w:r>
    </w:p>
    <w:p w14:paraId="7D25B31B">
      <w:pPr>
        <w:rPr>
          <w:color w:val="auto"/>
          <w:highlight w:val="none"/>
        </w:rPr>
      </w:pPr>
      <w:r>
        <w:rPr>
          <w:rFonts w:hint="eastAsia"/>
          <w:color w:val="auto"/>
          <w:highlight w:val="none"/>
        </w:rPr>
        <w:br w:type="page"/>
      </w:r>
    </w:p>
    <w:p w14:paraId="58F1AED8">
      <w:pPr>
        <w:pStyle w:val="2"/>
        <w:rPr>
          <w:color w:val="auto"/>
          <w:highlight w:val="none"/>
        </w:rPr>
      </w:pPr>
      <w:bookmarkStart w:id="45" w:name="_Toc29694"/>
      <w:r>
        <w:rPr>
          <w:rFonts w:hint="eastAsia"/>
          <w:color w:val="auto"/>
          <w:highlight w:val="none"/>
        </w:rPr>
        <w:t xml:space="preserve">第四部分 </w:t>
      </w:r>
      <w:bookmarkStart w:id="46" w:name="_Toc184308099"/>
      <w:bookmarkEnd w:id="46"/>
      <w:bookmarkStart w:id="47" w:name="_Toc184312067"/>
      <w:bookmarkEnd w:id="47"/>
      <w:bookmarkStart w:id="48" w:name="_Toc184314424"/>
      <w:bookmarkEnd w:id="48"/>
      <w:bookmarkStart w:id="49" w:name="_Toc184308091"/>
      <w:bookmarkEnd w:id="49"/>
      <w:bookmarkStart w:id="50" w:name="_Toc184310281"/>
      <w:bookmarkEnd w:id="50"/>
      <w:bookmarkStart w:id="51" w:name="_Toc184314454"/>
      <w:bookmarkEnd w:id="51"/>
      <w:bookmarkStart w:id="52" w:name="_Toc184308096"/>
      <w:bookmarkEnd w:id="52"/>
      <w:bookmarkStart w:id="53" w:name="_Toc184310338"/>
      <w:bookmarkEnd w:id="53"/>
      <w:bookmarkStart w:id="54" w:name="_Toc184313271"/>
      <w:bookmarkEnd w:id="54"/>
      <w:bookmarkStart w:id="55" w:name="_Toc184312069"/>
      <w:bookmarkEnd w:id="55"/>
      <w:bookmarkStart w:id="56" w:name="_Toc184310326"/>
      <w:bookmarkEnd w:id="56"/>
      <w:bookmarkStart w:id="57" w:name="_Toc184308095"/>
      <w:bookmarkEnd w:id="57"/>
      <w:bookmarkStart w:id="58" w:name="_Toc184310273"/>
      <w:bookmarkEnd w:id="58"/>
      <w:bookmarkStart w:id="59" w:name="_Toc184310321"/>
      <w:bookmarkEnd w:id="59"/>
      <w:bookmarkStart w:id="60" w:name="_Toc184310302"/>
      <w:bookmarkEnd w:id="60"/>
      <w:bookmarkStart w:id="61" w:name="_Toc184312138"/>
      <w:bookmarkEnd w:id="61"/>
      <w:bookmarkStart w:id="62" w:name="_Toc184314468"/>
      <w:bookmarkEnd w:id="62"/>
      <w:bookmarkStart w:id="63" w:name="_Toc184313306"/>
      <w:bookmarkEnd w:id="63"/>
      <w:bookmarkStart w:id="64" w:name="_Toc184314443"/>
      <w:bookmarkEnd w:id="64"/>
      <w:bookmarkStart w:id="65" w:name="_Toc184313285"/>
      <w:bookmarkEnd w:id="65"/>
      <w:bookmarkStart w:id="66" w:name="_Toc184312082"/>
      <w:bookmarkEnd w:id="66"/>
      <w:bookmarkStart w:id="67" w:name="_Toc184308108"/>
      <w:bookmarkEnd w:id="67"/>
      <w:bookmarkStart w:id="68" w:name="_Toc184312073"/>
      <w:bookmarkEnd w:id="68"/>
      <w:bookmarkStart w:id="69" w:name="_Toc184313259"/>
      <w:bookmarkEnd w:id="69"/>
      <w:bookmarkStart w:id="70" w:name="_Toc184313281"/>
      <w:bookmarkEnd w:id="70"/>
      <w:bookmarkStart w:id="71" w:name="_Toc184314459"/>
      <w:bookmarkEnd w:id="71"/>
      <w:bookmarkStart w:id="72" w:name="_Toc184308082"/>
      <w:bookmarkEnd w:id="72"/>
      <w:bookmarkStart w:id="73" w:name="_Toc184308067"/>
      <w:bookmarkEnd w:id="73"/>
      <w:bookmarkStart w:id="74" w:name="_Toc184308084"/>
      <w:bookmarkEnd w:id="74"/>
      <w:bookmarkStart w:id="75" w:name="_Toc184313245"/>
      <w:bookmarkEnd w:id="75"/>
      <w:bookmarkStart w:id="76" w:name="_Toc184308106"/>
      <w:bookmarkEnd w:id="76"/>
      <w:bookmarkStart w:id="77" w:name="_Toc184313265"/>
      <w:bookmarkEnd w:id="77"/>
      <w:bookmarkStart w:id="78" w:name="_Toc184312086"/>
      <w:bookmarkEnd w:id="78"/>
      <w:bookmarkStart w:id="79" w:name="_Toc184308078"/>
      <w:bookmarkEnd w:id="79"/>
      <w:bookmarkStart w:id="80" w:name="_Toc184310276"/>
      <w:bookmarkEnd w:id="80"/>
      <w:bookmarkStart w:id="81" w:name="_Toc184308059"/>
      <w:bookmarkEnd w:id="81"/>
      <w:bookmarkStart w:id="82" w:name="_Toc184312089"/>
      <w:bookmarkEnd w:id="82"/>
      <w:bookmarkStart w:id="83" w:name="_Toc184314456"/>
      <w:bookmarkEnd w:id="83"/>
      <w:bookmarkStart w:id="84" w:name="_Toc184313302"/>
      <w:bookmarkEnd w:id="84"/>
      <w:bookmarkStart w:id="85" w:name="_Toc184308105"/>
      <w:bookmarkEnd w:id="85"/>
      <w:bookmarkStart w:id="86" w:name="_Toc184310287"/>
      <w:bookmarkEnd w:id="86"/>
      <w:bookmarkStart w:id="87" w:name="_Toc184314429"/>
      <w:bookmarkEnd w:id="87"/>
      <w:bookmarkStart w:id="88" w:name="_Toc184310291"/>
      <w:bookmarkEnd w:id="88"/>
      <w:bookmarkStart w:id="89" w:name="_Toc184314474"/>
      <w:bookmarkEnd w:id="89"/>
      <w:bookmarkStart w:id="90" w:name="_Toc184308070"/>
      <w:bookmarkEnd w:id="90"/>
      <w:bookmarkStart w:id="91" w:name="_Toc184310330"/>
      <w:bookmarkEnd w:id="91"/>
      <w:bookmarkStart w:id="92" w:name="_Toc184314466"/>
      <w:bookmarkEnd w:id="92"/>
      <w:bookmarkStart w:id="93" w:name="_Toc184310295"/>
      <w:bookmarkEnd w:id="93"/>
      <w:bookmarkStart w:id="94" w:name="_Toc184312076"/>
      <w:bookmarkEnd w:id="94"/>
      <w:bookmarkStart w:id="95" w:name="_Toc184313307"/>
      <w:bookmarkEnd w:id="95"/>
      <w:bookmarkStart w:id="96" w:name="_Toc184308051"/>
      <w:bookmarkEnd w:id="96"/>
      <w:bookmarkStart w:id="97" w:name="_Toc184312127"/>
      <w:bookmarkEnd w:id="97"/>
      <w:bookmarkStart w:id="98" w:name="_Toc184308074"/>
      <w:bookmarkEnd w:id="98"/>
      <w:bookmarkStart w:id="99" w:name="_Toc184312121"/>
      <w:bookmarkEnd w:id="99"/>
      <w:bookmarkStart w:id="100" w:name="_Toc184308043"/>
      <w:bookmarkEnd w:id="100"/>
      <w:bookmarkStart w:id="101" w:name="_Toc184310289"/>
      <w:bookmarkEnd w:id="101"/>
      <w:bookmarkStart w:id="102" w:name="_Toc184308102"/>
      <w:bookmarkEnd w:id="102"/>
      <w:bookmarkStart w:id="103" w:name="_Toc184312070"/>
      <w:bookmarkEnd w:id="103"/>
      <w:bookmarkStart w:id="104" w:name="_Toc184314433"/>
      <w:bookmarkEnd w:id="104"/>
      <w:bookmarkStart w:id="105" w:name="_Toc184313269"/>
      <w:bookmarkEnd w:id="105"/>
      <w:bookmarkStart w:id="106" w:name="_Toc184313241"/>
      <w:bookmarkEnd w:id="106"/>
      <w:bookmarkStart w:id="107" w:name="_Toc184313244"/>
      <w:bookmarkEnd w:id="107"/>
      <w:bookmarkStart w:id="108" w:name="_Toc184308036"/>
      <w:bookmarkEnd w:id="108"/>
      <w:bookmarkStart w:id="109" w:name="_Toc184313304"/>
      <w:bookmarkEnd w:id="109"/>
      <w:bookmarkStart w:id="110" w:name="_Toc184313247"/>
      <w:bookmarkEnd w:id="110"/>
      <w:bookmarkStart w:id="111" w:name="_Toc184312120"/>
      <w:bookmarkEnd w:id="111"/>
      <w:bookmarkStart w:id="112" w:name="_Toc184312135"/>
      <w:bookmarkEnd w:id="112"/>
      <w:bookmarkStart w:id="113" w:name="_Toc184314412"/>
      <w:bookmarkEnd w:id="113"/>
      <w:bookmarkStart w:id="114" w:name="_Toc184310300"/>
      <w:bookmarkEnd w:id="114"/>
      <w:bookmarkStart w:id="115" w:name="_Toc184308060"/>
      <w:bookmarkEnd w:id="115"/>
      <w:bookmarkStart w:id="116" w:name="_Toc184310314"/>
      <w:bookmarkEnd w:id="116"/>
      <w:bookmarkStart w:id="117" w:name="_Toc184312078"/>
      <w:bookmarkEnd w:id="117"/>
      <w:bookmarkStart w:id="118" w:name="_Toc184308045"/>
      <w:bookmarkEnd w:id="118"/>
      <w:bookmarkStart w:id="119" w:name="_Toc184308077"/>
      <w:bookmarkEnd w:id="119"/>
      <w:bookmarkStart w:id="120" w:name="_Toc184313295"/>
      <w:bookmarkEnd w:id="120"/>
      <w:bookmarkStart w:id="121" w:name="_Toc184312095"/>
      <w:bookmarkEnd w:id="121"/>
      <w:bookmarkStart w:id="122" w:name="_Toc184308038"/>
      <w:bookmarkEnd w:id="122"/>
      <w:bookmarkStart w:id="123" w:name="_Toc184313240"/>
      <w:bookmarkEnd w:id="123"/>
      <w:bookmarkStart w:id="124" w:name="_Toc184312090"/>
      <w:bookmarkEnd w:id="124"/>
      <w:bookmarkStart w:id="125" w:name="_Toc184313246"/>
      <w:bookmarkEnd w:id="125"/>
      <w:bookmarkStart w:id="126" w:name="_Toc184312106"/>
      <w:bookmarkEnd w:id="126"/>
      <w:bookmarkStart w:id="127" w:name="_Toc184310319"/>
      <w:bookmarkEnd w:id="127"/>
      <w:bookmarkStart w:id="128" w:name="_Toc184310322"/>
      <w:bookmarkEnd w:id="128"/>
      <w:bookmarkStart w:id="129" w:name="_Toc184312118"/>
      <w:bookmarkEnd w:id="129"/>
      <w:bookmarkStart w:id="130" w:name="_Toc184310280"/>
      <w:bookmarkEnd w:id="130"/>
      <w:bookmarkStart w:id="131" w:name="_Toc184312139"/>
      <w:bookmarkEnd w:id="131"/>
      <w:bookmarkStart w:id="132" w:name="_Toc184312096"/>
      <w:bookmarkEnd w:id="132"/>
      <w:bookmarkStart w:id="133" w:name="_Toc184312109"/>
      <w:bookmarkEnd w:id="133"/>
      <w:bookmarkStart w:id="134" w:name="_Toc184313264"/>
      <w:bookmarkEnd w:id="134"/>
      <w:bookmarkStart w:id="135" w:name="_Toc184313257"/>
      <w:bookmarkEnd w:id="135"/>
      <w:bookmarkStart w:id="136" w:name="_Toc184308100"/>
      <w:bookmarkEnd w:id="136"/>
      <w:bookmarkStart w:id="137" w:name="_Toc184310308"/>
      <w:bookmarkEnd w:id="137"/>
      <w:bookmarkStart w:id="138" w:name="_Toc184314446"/>
      <w:bookmarkEnd w:id="138"/>
      <w:bookmarkStart w:id="139" w:name="_Toc184308040"/>
      <w:bookmarkEnd w:id="139"/>
      <w:bookmarkStart w:id="140" w:name="_Toc184308104"/>
      <w:bookmarkEnd w:id="140"/>
      <w:bookmarkStart w:id="141" w:name="_Toc184314453"/>
      <w:bookmarkEnd w:id="141"/>
      <w:bookmarkStart w:id="142" w:name="_Toc184308054"/>
      <w:bookmarkEnd w:id="142"/>
      <w:bookmarkStart w:id="143" w:name="_Toc184310292"/>
      <w:bookmarkEnd w:id="143"/>
      <w:bookmarkStart w:id="144" w:name="_Toc184313273"/>
      <w:bookmarkEnd w:id="144"/>
      <w:bookmarkStart w:id="145" w:name="_Toc184312080"/>
      <w:bookmarkEnd w:id="145"/>
      <w:bookmarkStart w:id="146" w:name="_Toc184314482"/>
      <w:bookmarkEnd w:id="146"/>
      <w:bookmarkStart w:id="147" w:name="_Toc184314418"/>
      <w:bookmarkEnd w:id="147"/>
      <w:bookmarkStart w:id="148" w:name="_Toc184313258"/>
      <w:bookmarkEnd w:id="148"/>
      <w:bookmarkStart w:id="149" w:name="_Toc184314458"/>
      <w:bookmarkEnd w:id="149"/>
      <w:bookmarkStart w:id="150" w:name="_Toc184312097"/>
      <w:bookmarkEnd w:id="150"/>
      <w:bookmarkStart w:id="151" w:name="_Toc184310318"/>
      <w:bookmarkEnd w:id="151"/>
      <w:bookmarkStart w:id="152" w:name="_Toc184313275"/>
      <w:bookmarkEnd w:id="152"/>
      <w:bookmarkStart w:id="153" w:name="_Toc184313268"/>
      <w:bookmarkEnd w:id="153"/>
      <w:bookmarkStart w:id="154" w:name="_Toc184310305"/>
      <w:bookmarkEnd w:id="154"/>
      <w:bookmarkStart w:id="155" w:name="_Toc184310340"/>
      <w:bookmarkEnd w:id="155"/>
      <w:bookmarkStart w:id="156" w:name="_Toc184310306"/>
      <w:bookmarkEnd w:id="156"/>
      <w:bookmarkStart w:id="157" w:name="_Toc184310277"/>
      <w:bookmarkEnd w:id="157"/>
      <w:bookmarkStart w:id="158" w:name="_Toc184314438"/>
      <w:bookmarkEnd w:id="158"/>
      <w:bookmarkStart w:id="159" w:name="_Toc184310328"/>
      <w:bookmarkEnd w:id="159"/>
      <w:bookmarkStart w:id="160" w:name="_Toc184308088"/>
      <w:bookmarkEnd w:id="160"/>
      <w:bookmarkStart w:id="161" w:name="_Toc184314476"/>
      <w:bookmarkEnd w:id="161"/>
      <w:bookmarkStart w:id="162" w:name="_Toc184313255"/>
      <w:bookmarkEnd w:id="162"/>
      <w:bookmarkStart w:id="163" w:name="_Toc184313289"/>
      <w:bookmarkEnd w:id="163"/>
      <w:bookmarkStart w:id="164" w:name="_Toc184314471"/>
      <w:bookmarkEnd w:id="164"/>
      <w:bookmarkStart w:id="165" w:name="_Toc184314452"/>
      <w:bookmarkEnd w:id="165"/>
      <w:bookmarkStart w:id="166" w:name="_Toc184310325"/>
      <w:bookmarkEnd w:id="166"/>
      <w:bookmarkStart w:id="167" w:name="_Toc184308050"/>
      <w:bookmarkEnd w:id="167"/>
      <w:bookmarkStart w:id="168" w:name="_Toc184308069"/>
      <w:bookmarkEnd w:id="168"/>
      <w:bookmarkStart w:id="169" w:name="_Toc184314437"/>
      <w:bookmarkEnd w:id="169"/>
      <w:bookmarkStart w:id="170" w:name="_Toc184308056"/>
      <w:bookmarkEnd w:id="170"/>
      <w:bookmarkStart w:id="171" w:name="_Toc184314467"/>
      <w:bookmarkEnd w:id="171"/>
      <w:bookmarkStart w:id="172" w:name="_Toc184314477"/>
      <w:bookmarkEnd w:id="172"/>
      <w:bookmarkStart w:id="173" w:name="_Toc184310332"/>
      <w:bookmarkEnd w:id="173"/>
      <w:bookmarkStart w:id="174" w:name="_Toc184314430"/>
      <w:bookmarkEnd w:id="174"/>
      <w:bookmarkStart w:id="175" w:name="_Toc184310304"/>
      <w:bookmarkEnd w:id="175"/>
      <w:bookmarkStart w:id="176" w:name="_Toc184310284"/>
      <w:bookmarkEnd w:id="176"/>
      <w:bookmarkStart w:id="177" w:name="_Toc184312114"/>
      <w:bookmarkEnd w:id="177"/>
      <w:bookmarkStart w:id="178" w:name="_Toc184308092"/>
      <w:bookmarkEnd w:id="178"/>
      <w:bookmarkStart w:id="179" w:name="_Toc184313252"/>
      <w:bookmarkEnd w:id="179"/>
      <w:bookmarkStart w:id="180" w:name="_Toc184310311"/>
      <w:bookmarkEnd w:id="180"/>
      <w:bookmarkStart w:id="181" w:name="_Toc184313262"/>
      <w:bookmarkEnd w:id="181"/>
      <w:bookmarkStart w:id="182" w:name="_Toc184308041"/>
      <w:bookmarkEnd w:id="182"/>
      <w:bookmarkStart w:id="183" w:name="_Toc184313248"/>
      <w:bookmarkEnd w:id="183"/>
      <w:bookmarkStart w:id="184" w:name="_Toc184308049"/>
      <w:bookmarkEnd w:id="184"/>
      <w:bookmarkStart w:id="185" w:name="_Toc184313277"/>
      <w:bookmarkEnd w:id="185"/>
      <w:bookmarkStart w:id="186" w:name="_Toc184312099"/>
      <w:bookmarkEnd w:id="186"/>
      <w:bookmarkStart w:id="187" w:name="_Toc184312129"/>
      <w:bookmarkEnd w:id="187"/>
      <w:bookmarkStart w:id="188" w:name="_Toc184310299"/>
      <w:bookmarkEnd w:id="188"/>
      <w:bookmarkStart w:id="189" w:name="_Toc184312116"/>
      <w:bookmarkEnd w:id="189"/>
      <w:bookmarkStart w:id="190" w:name="_Toc184308044"/>
      <w:bookmarkEnd w:id="190"/>
      <w:bookmarkStart w:id="191" w:name="_Toc184308058"/>
      <w:bookmarkEnd w:id="191"/>
      <w:bookmarkStart w:id="192" w:name="_Toc184312094"/>
      <w:bookmarkEnd w:id="192"/>
      <w:bookmarkStart w:id="193" w:name="_Toc184310316"/>
      <w:bookmarkEnd w:id="193"/>
      <w:bookmarkStart w:id="194" w:name="_Toc184310279"/>
      <w:bookmarkEnd w:id="194"/>
      <w:bookmarkStart w:id="195" w:name="_Toc184314478"/>
      <w:bookmarkEnd w:id="195"/>
      <w:bookmarkStart w:id="196" w:name="_Toc184312130"/>
      <w:bookmarkEnd w:id="196"/>
      <w:bookmarkStart w:id="197" w:name="_Toc184308097"/>
      <w:bookmarkEnd w:id="197"/>
      <w:bookmarkStart w:id="198" w:name="_Toc184310285"/>
      <w:bookmarkEnd w:id="198"/>
      <w:bookmarkStart w:id="199" w:name="_Toc184312123"/>
      <w:bookmarkEnd w:id="199"/>
      <w:bookmarkStart w:id="200" w:name="_Toc184308063"/>
      <w:bookmarkEnd w:id="200"/>
      <w:bookmarkStart w:id="201" w:name="_Toc184308094"/>
      <w:bookmarkEnd w:id="201"/>
      <w:bookmarkStart w:id="202" w:name="_Toc184310283"/>
      <w:bookmarkEnd w:id="202"/>
      <w:bookmarkStart w:id="203" w:name="_Toc184313303"/>
      <w:bookmarkEnd w:id="203"/>
      <w:bookmarkStart w:id="204" w:name="_Toc184312124"/>
      <w:bookmarkEnd w:id="204"/>
      <w:bookmarkStart w:id="205" w:name="_Toc184310315"/>
      <w:bookmarkEnd w:id="205"/>
      <w:bookmarkStart w:id="206" w:name="_Toc184314480"/>
      <w:bookmarkEnd w:id="206"/>
      <w:bookmarkStart w:id="207" w:name="_Toc184310296"/>
      <w:bookmarkEnd w:id="207"/>
      <w:bookmarkStart w:id="208" w:name="_Toc184313278"/>
      <w:bookmarkEnd w:id="208"/>
      <w:bookmarkStart w:id="209" w:name="_Toc184310272"/>
      <w:bookmarkEnd w:id="209"/>
      <w:bookmarkStart w:id="210" w:name="_Toc184314470"/>
      <w:bookmarkEnd w:id="210"/>
      <w:bookmarkStart w:id="211" w:name="_Toc184314450"/>
      <w:bookmarkEnd w:id="211"/>
      <w:bookmarkStart w:id="212" w:name="_Toc184312085"/>
      <w:bookmarkEnd w:id="212"/>
      <w:bookmarkStart w:id="213" w:name="_Toc184312105"/>
      <w:bookmarkEnd w:id="213"/>
      <w:bookmarkStart w:id="214" w:name="_Toc184308068"/>
      <w:bookmarkEnd w:id="214"/>
      <w:bookmarkStart w:id="215" w:name="_Toc184308048"/>
      <w:bookmarkEnd w:id="215"/>
      <w:bookmarkStart w:id="216" w:name="_Toc184314448"/>
      <w:bookmarkEnd w:id="216"/>
      <w:bookmarkStart w:id="217" w:name="_Toc184308090"/>
      <w:bookmarkEnd w:id="217"/>
      <w:bookmarkStart w:id="218" w:name="_Toc184314473"/>
      <w:bookmarkEnd w:id="218"/>
      <w:bookmarkStart w:id="219" w:name="_Toc184312108"/>
      <w:bookmarkEnd w:id="219"/>
      <w:bookmarkStart w:id="220" w:name="_Toc184314422"/>
      <w:bookmarkEnd w:id="220"/>
      <w:bookmarkStart w:id="221" w:name="_Toc184313290"/>
      <w:bookmarkEnd w:id="221"/>
      <w:bookmarkStart w:id="222" w:name="_Toc184313283"/>
      <w:bookmarkEnd w:id="222"/>
      <w:bookmarkStart w:id="223" w:name="_Toc184312128"/>
      <w:bookmarkEnd w:id="223"/>
      <w:bookmarkStart w:id="224" w:name="_Toc184310275"/>
      <w:bookmarkEnd w:id="224"/>
      <w:bookmarkStart w:id="225" w:name="_Toc184313292"/>
      <w:bookmarkEnd w:id="225"/>
      <w:bookmarkStart w:id="226" w:name="_Toc184313287"/>
      <w:bookmarkEnd w:id="226"/>
      <w:bookmarkStart w:id="227" w:name="_Toc184312133"/>
      <w:bookmarkEnd w:id="227"/>
      <w:bookmarkStart w:id="228" w:name="_Toc184312122"/>
      <w:bookmarkEnd w:id="228"/>
      <w:bookmarkStart w:id="229" w:name="_Toc184312083"/>
      <w:bookmarkEnd w:id="229"/>
      <w:bookmarkStart w:id="230" w:name="_Toc184310274"/>
      <w:bookmarkEnd w:id="230"/>
      <w:bookmarkStart w:id="231" w:name="_Toc184310336"/>
      <w:bookmarkEnd w:id="231"/>
      <w:bookmarkStart w:id="232" w:name="_Toc184314436"/>
      <w:bookmarkEnd w:id="232"/>
      <w:bookmarkStart w:id="233" w:name="_Toc184314479"/>
      <w:bookmarkEnd w:id="233"/>
      <w:bookmarkStart w:id="234" w:name="_Toc184308047"/>
      <w:bookmarkEnd w:id="234"/>
      <w:bookmarkStart w:id="235" w:name="_Toc184312134"/>
      <w:bookmarkEnd w:id="235"/>
      <w:bookmarkStart w:id="236" w:name="_Toc184313250"/>
      <w:bookmarkEnd w:id="236"/>
      <w:bookmarkStart w:id="237" w:name="_Toc184308107"/>
      <w:bookmarkEnd w:id="237"/>
      <w:bookmarkStart w:id="238" w:name="_Toc184314413"/>
      <w:bookmarkEnd w:id="238"/>
      <w:bookmarkStart w:id="239" w:name="_Toc184314414"/>
      <w:bookmarkEnd w:id="239"/>
      <w:bookmarkStart w:id="240" w:name="_Toc184312104"/>
      <w:bookmarkEnd w:id="240"/>
      <w:bookmarkStart w:id="241" w:name="_Toc184308061"/>
      <w:bookmarkEnd w:id="241"/>
      <w:bookmarkStart w:id="242" w:name="_Toc184310293"/>
      <w:bookmarkEnd w:id="242"/>
      <w:bookmarkStart w:id="243" w:name="_Toc184314434"/>
      <w:bookmarkEnd w:id="243"/>
      <w:bookmarkStart w:id="244" w:name="_Toc184313288"/>
      <w:bookmarkEnd w:id="244"/>
      <w:bookmarkStart w:id="245" w:name="_Toc184308072"/>
      <w:bookmarkEnd w:id="245"/>
      <w:bookmarkStart w:id="246" w:name="_Toc184312071"/>
      <w:bookmarkEnd w:id="246"/>
      <w:bookmarkStart w:id="247" w:name="_Toc184312136"/>
      <w:bookmarkEnd w:id="247"/>
      <w:bookmarkStart w:id="248" w:name="_Toc184313267"/>
      <w:bookmarkEnd w:id="248"/>
      <w:bookmarkStart w:id="249" w:name="_Toc184308087"/>
      <w:bookmarkEnd w:id="249"/>
      <w:bookmarkStart w:id="250" w:name="_Toc184313256"/>
      <w:bookmarkEnd w:id="250"/>
      <w:bookmarkStart w:id="251" w:name="_Toc184314441"/>
      <w:bookmarkEnd w:id="251"/>
      <w:bookmarkStart w:id="252" w:name="_Toc184312131"/>
      <w:bookmarkEnd w:id="252"/>
      <w:bookmarkStart w:id="253" w:name="_Toc184308083"/>
      <w:bookmarkEnd w:id="253"/>
      <w:bookmarkStart w:id="254" w:name="_Toc184313238"/>
      <w:bookmarkEnd w:id="254"/>
      <w:bookmarkStart w:id="255" w:name="_Toc184308098"/>
      <w:bookmarkEnd w:id="255"/>
      <w:bookmarkStart w:id="256" w:name="_Toc184310344"/>
      <w:bookmarkEnd w:id="256"/>
      <w:bookmarkStart w:id="257" w:name="_Toc184313305"/>
      <w:bookmarkEnd w:id="257"/>
      <w:bookmarkStart w:id="258" w:name="_Toc184308065"/>
      <w:bookmarkEnd w:id="258"/>
      <w:bookmarkStart w:id="259" w:name="_Toc184313254"/>
      <w:bookmarkEnd w:id="259"/>
      <w:bookmarkStart w:id="260" w:name="_Toc184313274"/>
      <w:bookmarkEnd w:id="260"/>
      <w:bookmarkStart w:id="261" w:name="_Toc184313266"/>
      <w:bookmarkEnd w:id="261"/>
      <w:bookmarkStart w:id="262" w:name="_Toc184310278"/>
      <w:bookmarkEnd w:id="262"/>
      <w:bookmarkStart w:id="263" w:name="_Toc184310310"/>
      <w:bookmarkEnd w:id="263"/>
      <w:bookmarkStart w:id="264" w:name="_Toc184314460"/>
      <w:bookmarkEnd w:id="264"/>
      <w:bookmarkStart w:id="265" w:name="_Toc184314410"/>
      <w:bookmarkEnd w:id="265"/>
      <w:bookmarkStart w:id="266" w:name="_Toc184312112"/>
      <w:bookmarkEnd w:id="266"/>
      <w:bookmarkStart w:id="267" w:name="_Toc184308080"/>
      <w:bookmarkEnd w:id="267"/>
      <w:bookmarkStart w:id="268" w:name="_Toc184312077"/>
      <w:bookmarkEnd w:id="268"/>
      <w:bookmarkStart w:id="269" w:name="_Toc184313249"/>
      <w:bookmarkEnd w:id="269"/>
      <w:bookmarkStart w:id="270" w:name="_Toc184312079"/>
      <w:bookmarkEnd w:id="270"/>
      <w:bookmarkStart w:id="271" w:name="_Toc184310286"/>
      <w:bookmarkEnd w:id="271"/>
      <w:bookmarkStart w:id="272" w:name="_Toc184313299"/>
      <w:bookmarkEnd w:id="272"/>
      <w:bookmarkStart w:id="273" w:name="_Toc184310324"/>
      <w:bookmarkEnd w:id="273"/>
      <w:bookmarkStart w:id="274" w:name="_Toc184313293"/>
      <w:bookmarkEnd w:id="274"/>
      <w:bookmarkStart w:id="275" w:name="_Toc184314431"/>
      <w:bookmarkEnd w:id="275"/>
      <w:bookmarkStart w:id="276" w:name="_Toc184308066"/>
      <w:bookmarkEnd w:id="276"/>
      <w:bookmarkStart w:id="277" w:name="_Toc184314469"/>
      <w:bookmarkEnd w:id="277"/>
      <w:bookmarkStart w:id="278" w:name="_Toc184308089"/>
      <w:bookmarkEnd w:id="278"/>
      <w:bookmarkStart w:id="279" w:name="_Toc184310290"/>
      <w:bookmarkEnd w:id="279"/>
      <w:bookmarkStart w:id="280" w:name="_Toc184312075"/>
      <w:bookmarkEnd w:id="280"/>
      <w:bookmarkStart w:id="281" w:name="_Toc184313301"/>
      <w:bookmarkEnd w:id="281"/>
      <w:bookmarkStart w:id="282" w:name="_Toc184312084"/>
      <w:bookmarkEnd w:id="282"/>
      <w:bookmarkStart w:id="283" w:name="_Toc184312132"/>
      <w:bookmarkEnd w:id="283"/>
      <w:bookmarkStart w:id="284" w:name="_Toc184313239"/>
      <w:bookmarkEnd w:id="284"/>
      <w:bookmarkStart w:id="285" w:name="_Toc184313260"/>
      <w:bookmarkEnd w:id="285"/>
      <w:bookmarkStart w:id="286" w:name="_Toc184308064"/>
      <w:bookmarkEnd w:id="286"/>
      <w:bookmarkStart w:id="287" w:name="_Toc184312100"/>
      <w:bookmarkEnd w:id="287"/>
      <w:bookmarkStart w:id="288" w:name="_Toc184314445"/>
      <w:bookmarkEnd w:id="288"/>
      <w:bookmarkStart w:id="289" w:name="_Toc184312091"/>
      <w:bookmarkEnd w:id="289"/>
      <w:bookmarkStart w:id="290" w:name="_Toc184313298"/>
      <w:bookmarkEnd w:id="290"/>
      <w:bookmarkStart w:id="291" w:name="_Toc184312102"/>
      <w:bookmarkEnd w:id="291"/>
      <w:bookmarkStart w:id="292" w:name="_Toc184314457"/>
      <w:bookmarkEnd w:id="292"/>
      <w:bookmarkStart w:id="293" w:name="_Toc184312087"/>
      <w:bookmarkEnd w:id="293"/>
      <w:bookmarkStart w:id="294" w:name="_Toc184308057"/>
      <w:bookmarkEnd w:id="294"/>
      <w:bookmarkStart w:id="295" w:name="_Toc184310317"/>
      <w:bookmarkEnd w:id="295"/>
      <w:bookmarkStart w:id="296" w:name="_Toc184313280"/>
      <w:bookmarkEnd w:id="296"/>
      <w:bookmarkStart w:id="297" w:name="_Toc184314417"/>
      <w:bookmarkEnd w:id="297"/>
      <w:bookmarkStart w:id="298" w:name="_Toc184314442"/>
      <w:bookmarkEnd w:id="298"/>
      <w:bookmarkStart w:id="299" w:name="_Toc184308055"/>
      <w:bookmarkEnd w:id="299"/>
      <w:bookmarkStart w:id="300" w:name="_Toc184312117"/>
      <w:bookmarkEnd w:id="300"/>
      <w:bookmarkStart w:id="301" w:name="_Toc184313279"/>
      <w:bookmarkEnd w:id="301"/>
      <w:bookmarkStart w:id="302" w:name="_Toc184310333"/>
      <w:bookmarkEnd w:id="302"/>
      <w:bookmarkStart w:id="303" w:name="_Toc184310288"/>
      <w:bookmarkEnd w:id="303"/>
      <w:bookmarkStart w:id="304" w:name="_Toc184310337"/>
      <w:bookmarkEnd w:id="304"/>
      <w:bookmarkStart w:id="305" w:name="_Toc184310343"/>
      <w:bookmarkEnd w:id="305"/>
      <w:bookmarkStart w:id="306" w:name="_Toc184310327"/>
      <w:bookmarkEnd w:id="306"/>
      <w:bookmarkStart w:id="307" w:name="_Toc184312125"/>
      <w:bookmarkEnd w:id="307"/>
      <w:bookmarkStart w:id="308" w:name="_Toc184314462"/>
      <w:bookmarkEnd w:id="308"/>
      <w:bookmarkStart w:id="309" w:name="_Toc184310297"/>
      <w:bookmarkEnd w:id="309"/>
      <w:bookmarkStart w:id="310" w:name="_Toc184313297"/>
      <w:bookmarkEnd w:id="310"/>
      <w:bookmarkStart w:id="311" w:name="_Toc184314447"/>
      <w:bookmarkEnd w:id="311"/>
      <w:bookmarkStart w:id="312" w:name="_Toc184313296"/>
      <w:bookmarkEnd w:id="312"/>
      <w:bookmarkStart w:id="313" w:name="_Toc184312137"/>
      <w:bookmarkEnd w:id="313"/>
      <w:bookmarkStart w:id="314" w:name="_Toc184312111"/>
      <w:bookmarkEnd w:id="314"/>
      <w:bookmarkStart w:id="315" w:name="_Toc184314461"/>
      <w:bookmarkEnd w:id="315"/>
      <w:bookmarkStart w:id="316" w:name="_Toc184310303"/>
      <w:bookmarkEnd w:id="316"/>
      <w:bookmarkStart w:id="317" w:name="_Toc184314465"/>
      <w:bookmarkEnd w:id="317"/>
      <w:bookmarkStart w:id="318" w:name="_Toc184314415"/>
      <w:bookmarkEnd w:id="318"/>
      <w:bookmarkStart w:id="319" w:name="_Toc184312093"/>
      <w:bookmarkEnd w:id="319"/>
      <w:bookmarkStart w:id="320" w:name="_Toc184310334"/>
      <w:bookmarkEnd w:id="320"/>
      <w:bookmarkStart w:id="321" w:name="_Toc184314427"/>
      <w:bookmarkEnd w:id="321"/>
      <w:bookmarkStart w:id="322" w:name="_Toc184310335"/>
      <w:bookmarkEnd w:id="322"/>
      <w:bookmarkStart w:id="323" w:name="_Toc184312088"/>
      <w:bookmarkEnd w:id="323"/>
      <w:bookmarkStart w:id="324" w:name="_Toc184312092"/>
      <w:bookmarkEnd w:id="324"/>
      <w:bookmarkStart w:id="325" w:name="_Toc184312126"/>
      <w:bookmarkEnd w:id="325"/>
      <w:bookmarkStart w:id="326" w:name="_Toc184310320"/>
      <w:bookmarkEnd w:id="326"/>
      <w:bookmarkStart w:id="327" w:name="_Toc184313294"/>
      <w:bookmarkEnd w:id="327"/>
      <w:bookmarkStart w:id="328" w:name="_Toc184308053"/>
      <w:bookmarkEnd w:id="328"/>
      <w:bookmarkStart w:id="329" w:name="_Toc184313272"/>
      <w:bookmarkEnd w:id="329"/>
      <w:bookmarkStart w:id="330" w:name="_Toc184312101"/>
      <w:bookmarkEnd w:id="330"/>
      <w:bookmarkStart w:id="331" w:name="_Toc184310339"/>
      <w:bookmarkEnd w:id="331"/>
      <w:bookmarkStart w:id="332" w:name="_Toc184308093"/>
      <w:bookmarkEnd w:id="332"/>
      <w:bookmarkStart w:id="333" w:name="_Toc184308086"/>
      <w:bookmarkEnd w:id="333"/>
      <w:bookmarkStart w:id="334" w:name="_Toc184310312"/>
      <w:bookmarkEnd w:id="334"/>
      <w:bookmarkStart w:id="335" w:name="_Toc184313251"/>
      <w:bookmarkEnd w:id="335"/>
      <w:bookmarkStart w:id="336" w:name="_Toc184308103"/>
      <w:bookmarkEnd w:id="336"/>
      <w:bookmarkStart w:id="337" w:name="_Toc184314428"/>
      <w:bookmarkEnd w:id="337"/>
      <w:bookmarkStart w:id="338" w:name="_Toc184313270"/>
      <w:bookmarkEnd w:id="338"/>
      <w:bookmarkStart w:id="339" w:name="_Toc184312115"/>
      <w:bookmarkEnd w:id="339"/>
      <w:bookmarkStart w:id="340" w:name="_Toc184313282"/>
      <w:bookmarkEnd w:id="340"/>
      <w:bookmarkStart w:id="341" w:name="_Toc184314435"/>
      <w:bookmarkEnd w:id="341"/>
      <w:bookmarkStart w:id="342" w:name="_Toc184314451"/>
      <w:bookmarkEnd w:id="342"/>
      <w:bookmarkStart w:id="343" w:name="_Toc184314432"/>
      <w:bookmarkEnd w:id="343"/>
      <w:bookmarkStart w:id="344" w:name="_Toc184312072"/>
      <w:bookmarkEnd w:id="344"/>
      <w:bookmarkStart w:id="345" w:name="_Toc184310282"/>
      <w:bookmarkEnd w:id="345"/>
      <w:bookmarkStart w:id="346" w:name="_Toc184314449"/>
      <w:bookmarkEnd w:id="346"/>
      <w:bookmarkStart w:id="347" w:name="_Toc184308101"/>
      <w:bookmarkEnd w:id="347"/>
      <w:bookmarkStart w:id="348" w:name="_Toc184314426"/>
      <w:bookmarkEnd w:id="348"/>
      <w:bookmarkStart w:id="349" w:name="_Toc184313309"/>
      <w:bookmarkEnd w:id="349"/>
      <w:bookmarkStart w:id="350" w:name="_Toc184313276"/>
      <w:bookmarkEnd w:id="350"/>
      <w:bookmarkStart w:id="351" w:name="_Toc184308071"/>
      <w:bookmarkEnd w:id="351"/>
      <w:bookmarkStart w:id="352" w:name="_Toc184308037"/>
      <w:bookmarkEnd w:id="352"/>
      <w:bookmarkStart w:id="353" w:name="_Toc184310307"/>
      <w:bookmarkEnd w:id="353"/>
      <w:bookmarkStart w:id="354" w:name="_Toc184314455"/>
      <w:bookmarkEnd w:id="354"/>
      <w:bookmarkStart w:id="355" w:name="_Toc184312068"/>
      <w:bookmarkEnd w:id="355"/>
      <w:bookmarkStart w:id="356" w:name="_Toc184314425"/>
      <w:bookmarkEnd w:id="356"/>
      <w:bookmarkStart w:id="357" w:name="_Toc184313286"/>
      <w:bookmarkEnd w:id="357"/>
      <w:bookmarkStart w:id="358" w:name="_Toc184310301"/>
      <w:bookmarkEnd w:id="358"/>
      <w:bookmarkStart w:id="359" w:name="_Toc184308052"/>
      <w:bookmarkEnd w:id="359"/>
      <w:bookmarkStart w:id="360" w:name="_Toc184313263"/>
      <w:bookmarkEnd w:id="360"/>
      <w:bookmarkStart w:id="361" w:name="_Toc184314464"/>
      <w:bookmarkEnd w:id="361"/>
      <w:bookmarkStart w:id="362" w:name="_Toc184312113"/>
      <w:bookmarkEnd w:id="362"/>
      <w:bookmarkStart w:id="363" w:name="_Toc184308073"/>
      <w:bookmarkEnd w:id="363"/>
      <w:bookmarkStart w:id="364" w:name="_Toc184313253"/>
      <w:bookmarkEnd w:id="364"/>
      <w:bookmarkStart w:id="365" w:name="_Toc184314481"/>
      <w:bookmarkEnd w:id="365"/>
      <w:bookmarkStart w:id="366" w:name="_Toc184310331"/>
      <w:bookmarkEnd w:id="366"/>
      <w:bookmarkStart w:id="367" w:name="_Toc184310298"/>
      <w:bookmarkEnd w:id="367"/>
      <w:bookmarkStart w:id="368" w:name="_Toc184310294"/>
      <w:bookmarkEnd w:id="368"/>
      <w:bookmarkStart w:id="369" w:name="_Toc184310342"/>
      <w:bookmarkEnd w:id="369"/>
      <w:bookmarkStart w:id="370" w:name="_Toc184312107"/>
      <w:bookmarkEnd w:id="370"/>
      <w:bookmarkStart w:id="371" w:name="_Toc184312119"/>
      <w:bookmarkEnd w:id="371"/>
      <w:bookmarkStart w:id="372" w:name="_Toc184313291"/>
      <w:bookmarkEnd w:id="372"/>
      <w:bookmarkStart w:id="373" w:name="_Toc184308085"/>
      <w:bookmarkEnd w:id="373"/>
      <w:bookmarkStart w:id="374" w:name="_Toc184313310"/>
      <w:bookmarkEnd w:id="374"/>
      <w:bookmarkStart w:id="375" w:name="_Toc184310309"/>
      <w:bookmarkEnd w:id="375"/>
      <w:bookmarkStart w:id="376" w:name="_Toc184312103"/>
      <w:bookmarkEnd w:id="376"/>
      <w:bookmarkStart w:id="377" w:name="_Toc184314463"/>
      <w:bookmarkEnd w:id="377"/>
      <w:bookmarkStart w:id="378" w:name="_Toc184308039"/>
      <w:bookmarkEnd w:id="378"/>
      <w:bookmarkStart w:id="379" w:name="_Toc184312098"/>
      <w:bookmarkEnd w:id="379"/>
      <w:bookmarkStart w:id="380" w:name="_Toc184308042"/>
      <w:bookmarkEnd w:id="380"/>
      <w:bookmarkStart w:id="381" w:name="_Toc184314416"/>
      <w:bookmarkEnd w:id="381"/>
      <w:bookmarkStart w:id="382" w:name="_Toc184312081"/>
      <w:bookmarkEnd w:id="382"/>
      <w:bookmarkStart w:id="383" w:name="_Toc184310313"/>
      <w:bookmarkEnd w:id="383"/>
      <w:bookmarkStart w:id="384" w:name="_Toc184313243"/>
      <w:bookmarkEnd w:id="384"/>
      <w:bookmarkStart w:id="385" w:name="_Toc184314439"/>
      <w:bookmarkEnd w:id="385"/>
      <w:bookmarkStart w:id="386" w:name="_Toc184310341"/>
      <w:bookmarkEnd w:id="386"/>
      <w:bookmarkStart w:id="387" w:name="_Toc184313308"/>
      <w:bookmarkEnd w:id="387"/>
      <w:bookmarkStart w:id="388" w:name="_Toc184313261"/>
      <w:bookmarkEnd w:id="388"/>
      <w:bookmarkStart w:id="389" w:name="_Toc184308046"/>
      <w:bookmarkEnd w:id="389"/>
      <w:bookmarkStart w:id="390" w:name="_Toc184308075"/>
      <w:bookmarkEnd w:id="390"/>
      <w:bookmarkStart w:id="391" w:name="_Toc184313284"/>
      <w:bookmarkEnd w:id="391"/>
      <w:bookmarkStart w:id="392" w:name="_Toc184310329"/>
      <w:bookmarkEnd w:id="392"/>
      <w:bookmarkStart w:id="393" w:name="_Toc184314440"/>
      <w:bookmarkEnd w:id="393"/>
      <w:bookmarkStart w:id="394" w:name="_Toc184314420"/>
      <w:bookmarkEnd w:id="394"/>
      <w:bookmarkStart w:id="395" w:name="_Toc184312074"/>
      <w:bookmarkEnd w:id="395"/>
      <w:bookmarkStart w:id="396" w:name="_Toc184314475"/>
      <w:bookmarkEnd w:id="396"/>
      <w:bookmarkStart w:id="397" w:name="_Toc184314423"/>
      <w:bookmarkEnd w:id="397"/>
      <w:bookmarkStart w:id="398" w:name="_Toc184308081"/>
      <w:bookmarkEnd w:id="398"/>
      <w:bookmarkStart w:id="399" w:name="_Toc184314472"/>
      <w:bookmarkEnd w:id="399"/>
      <w:bookmarkStart w:id="400" w:name="_Toc184314419"/>
      <w:bookmarkEnd w:id="400"/>
      <w:bookmarkStart w:id="401" w:name="_Toc184310323"/>
      <w:bookmarkEnd w:id="401"/>
      <w:bookmarkStart w:id="402" w:name="_Toc184312110"/>
      <w:bookmarkEnd w:id="402"/>
      <w:bookmarkStart w:id="403" w:name="_Toc184314444"/>
      <w:bookmarkEnd w:id="403"/>
      <w:bookmarkStart w:id="404" w:name="_Toc184313300"/>
      <w:bookmarkEnd w:id="404"/>
      <w:bookmarkStart w:id="405" w:name="_Toc184308079"/>
      <w:bookmarkEnd w:id="405"/>
      <w:bookmarkStart w:id="406" w:name="_Toc184314411"/>
      <w:bookmarkEnd w:id="406"/>
      <w:bookmarkStart w:id="407" w:name="_Toc184308062"/>
      <w:bookmarkEnd w:id="407"/>
      <w:bookmarkStart w:id="408" w:name="_Toc184308076"/>
      <w:bookmarkEnd w:id="408"/>
      <w:bookmarkStart w:id="409" w:name="_Toc184314421"/>
      <w:bookmarkEnd w:id="409"/>
      <w:bookmarkStart w:id="410" w:name="_Toc184313242"/>
      <w:bookmarkEnd w:id="410"/>
      <w:r>
        <w:rPr>
          <w:rFonts w:hint="eastAsia"/>
          <w:color w:val="auto"/>
          <w:highlight w:val="none"/>
        </w:rPr>
        <w:t>评标办法</w:t>
      </w:r>
      <w:bookmarkEnd w:id="45"/>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4726"/>
        <w:gridCol w:w="742"/>
        <w:gridCol w:w="1215"/>
        <w:gridCol w:w="1215"/>
      </w:tblGrid>
      <w:tr w14:paraId="297E41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0" w:type="dxa"/>
            <w:tcBorders>
              <w:tl2br w:val="nil"/>
              <w:tr2bl w:val="nil"/>
            </w:tcBorders>
            <w:vAlign w:val="center"/>
          </w:tcPr>
          <w:p w14:paraId="43E34193">
            <w:pPr>
              <w:widowControl/>
              <w:adjustRightIn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评标因素</w:t>
            </w:r>
          </w:p>
        </w:tc>
        <w:tc>
          <w:tcPr>
            <w:tcW w:w="4726" w:type="dxa"/>
            <w:tcBorders>
              <w:tl2br w:val="nil"/>
              <w:tr2bl w:val="nil"/>
            </w:tcBorders>
            <w:vAlign w:val="center"/>
          </w:tcPr>
          <w:p w14:paraId="61D38797">
            <w:pPr>
              <w:widowControl/>
              <w:adjustRightIn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评标标准</w:t>
            </w:r>
          </w:p>
        </w:tc>
        <w:tc>
          <w:tcPr>
            <w:tcW w:w="742" w:type="dxa"/>
            <w:tcBorders>
              <w:tl2br w:val="nil"/>
              <w:tr2bl w:val="nil"/>
            </w:tcBorders>
            <w:vAlign w:val="center"/>
          </w:tcPr>
          <w:p w14:paraId="7CE30F93">
            <w:pPr>
              <w:widowControl/>
              <w:adjustRightIn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最高分值</w:t>
            </w:r>
          </w:p>
        </w:tc>
        <w:tc>
          <w:tcPr>
            <w:tcW w:w="1215" w:type="dxa"/>
            <w:tcBorders>
              <w:tl2br w:val="nil"/>
              <w:tr2bl w:val="nil"/>
            </w:tcBorders>
            <w:vAlign w:val="center"/>
          </w:tcPr>
          <w:p w14:paraId="29F6F6D4">
            <w:pPr>
              <w:widowControl/>
              <w:adjustRightIn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主观分/客观分属性</w:t>
            </w:r>
          </w:p>
        </w:tc>
        <w:tc>
          <w:tcPr>
            <w:tcW w:w="1215" w:type="dxa"/>
            <w:tcBorders>
              <w:tl2br w:val="nil"/>
              <w:tr2bl w:val="nil"/>
            </w:tcBorders>
            <w:vAlign w:val="center"/>
          </w:tcPr>
          <w:p w14:paraId="54F87B46">
            <w:pPr>
              <w:widowControl/>
              <w:adjustRightIn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投标文件中评标标准相应的商务技术资料目录*</w:t>
            </w:r>
          </w:p>
        </w:tc>
      </w:tr>
      <w:tr w14:paraId="634D4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0" w:type="dxa"/>
            <w:tcBorders>
              <w:tl2br w:val="nil"/>
              <w:tr2bl w:val="nil"/>
            </w:tcBorders>
            <w:vAlign w:val="center"/>
          </w:tcPr>
          <w:p w14:paraId="2E56514A">
            <w:pPr>
              <w:widowControl/>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w:t>
            </w:r>
          </w:p>
        </w:tc>
        <w:tc>
          <w:tcPr>
            <w:tcW w:w="4726" w:type="dxa"/>
            <w:tcBorders>
              <w:tl2br w:val="nil"/>
              <w:tr2bl w:val="nil"/>
            </w:tcBorders>
            <w:vAlign w:val="center"/>
          </w:tcPr>
          <w:p w14:paraId="64AA9E83">
            <w:pPr>
              <w:widowControl/>
              <w:adjustRightInd/>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投标人具有类似政务云服务类项目的案例合同的每个得1分，最高得1分，否则不得分。（需提供合同复印件并加盖投标人公章，否则不得分）</w:t>
            </w:r>
          </w:p>
        </w:tc>
        <w:tc>
          <w:tcPr>
            <w:tcW w:w="742" w:type="dxa"/>
            <w:tcBorders>
              <w:tl2br w:val="nil"/>
              <w:tr2bl w:val="nil"/>
            </w:tcBorders>
            <w:vAlign w:val="center"/>
          </w:tcPr>
          <w:p w14:paraId="48DC7CE9">
            <w:pPr>
              <w:widowControl/>
              <w:adjustRightIn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1</w:t>
            </w:r>
          </w:p>
        </w:tc>
        <w:tc>
          <w:tcPr>
            <w:tcW w:w="1215" w:type="dxa"/>
            <w:tcBorders>
              <w:tl2br w:val="nil"/>
              <w:tr2bl w:val="nil"/>
            </w:tcBorders>
            <w:vAlign w:val="center"/>
          </w:tcPr>
          <w:p w14:paraId="69D417BD">
            <w:pPr>
              <w:widowControl/>
              <w:adjustRightIn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215" w:type="dxa"/>
            <w:tcBorders>
              <w:tl2br w:val="nil"/>
              <w:tr2bl w:val="nil"/>
            </w:tcBorders>
            <w:vAlign w:val="center"/>
          </w:tcPr>
          <w:p w14:paraId="349059DA">
            <w:pPr>
              <w:widowControl/>
              <w:adjustRightInd/>
              <w:spacing w:line="360" w:lineRule="auto"/>
              <w:jc w:val="center"/>
              <w:rPr>
                <w:rFonts w:hint="eastAsia" w:ascii="宋体" w:hAnsi="宋体" w:eastAsia="宋体" w:cs="宋体"/>
                <w:b/>
                <w:bCs/>
                <w:color w:val="auto"/>
                <w:kern w:val="0"/>
                <w:sz w:val="21"/>
                <w:szCs w:val="21"/>
                <w:highlight w:val="none"/>
              </w:rPr>
            </w:pPr>
          </w:p>
        </w:tc>
      </w:tr>
      <w:tr w14:paraId="6F842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0" w:type="dxa"/>
            <w:tcBorders>
              <w:tl2br w:val="nil"/>
              <w:tr2bl w:val="nil"/>
            </w:tcBorders>
            <w:vAlign w:val="center"/>
          </w:tcPr>
          <w:p w14:paraId="02ADFFFB">
            <w:pPr>
              <w:widowControl/>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政务云平台规模</w:t>
            </w:r>
          </w:p>
        </w:tc>
        <w:tc>
          <w:tcPr>
            <w:tcW w:w="4726" w:type="dxa"/>
            <w:tcBorders>
              <w:tl2br w:val="nil"/>
              <w:tr2bl w:val="nil"/>
            </w:tcBorders>
            <w:vAlign w:val="center"/>
          </w:tcPr>
          <w:p w14:paraId="10D556E6">
            <w:pPr>
              <w:widowControl/>
              <w:adjustRightInd/>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lang w:val="zh-CN"/>
              </w:rPr>
              <w:t>余杭区政务云平台规模需满足：CPU物理核数不低于9000核且虚拟核数不低于14000核、内存不低于70TB、存储不低于6000TB。</w:t>
            </w:r>
            <w:r>
              <w:rPr>
                <w:rFonts w:hint="eastAsia" w:ascii="宋体" w:hAnsi="宋体" w:eastAsia="宋体" w:cs="宋体"/>
                <w:color w:val="auto"/>
                <w:kern w:val="0"/>
                <w:sz w:val="21"/>
                <w:szCs w:val="21"/>
                <w:highlight w:val="none"/>
              </w:rPr>
              <w:t>若存在平台切换</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投标人所投的云平台</w:t>
            </w:r>
            <w:r>
              <w:rPr>
                <w:rFonts w:hint="eastAsia" w:ascii="宋体" w:hAnsi="宋体" w:eastAsia="宋体" w:cs="宋体"/>
                <w:color w:val="auto"/>
                <w:kern w:val="0"/>
                <w:sz w:val="21"/>
                <w:szCs w:val="21"/>
                <w:highlight w:val="none"/>
                <w:lang w:val="zh-CN"/>
              </w:rPr>
              <w:t>需提供</w:t>
            </w:r>
            <w:r>
              <w:rPr>
                <w:rFonts w:hint="eastAsia" w:ascii="宋体" w:hAnsi="宋体" w:eastAsia="宋体" w:cs="宋体"/>
                <w:color w:val="auto"/>
                <w:kern w:val="0"/>
                <w:sz w:val="21"/>
                <w:szCs w:val="21"/>
                <w:highlight w:val="none"/>
              </w:rPr>
              <w:t>和余杭区政务云现有规模需求匹配的</w:t>
            </w:r>
            <w:r>
              <w:rPr>
                <w:rFonts w:hint="eastAsia" w:ascii="宋体" w:hAnsi="宋体" w:eastAsia="宋体" w:cs="宋体"/>
                <w:color w:val="auto"/>
                <w:kern w:val="0"/>
                <w:sz w:val="21"/>
                <w:szCs w:val="21"/>
                <w:highlight w:val="none"/>
                <w:lang w:val="zh-CN"/>
              </w:rPr>
              <w:t>空余可用资源证明，完全满足得6分，空余可用资源各项指标均满足70%以上得3分，否则不得分。</w:t>
            </w:r>
          </w:p>
        </w:tc>
        <w:tc>
          <w:tcPr>
            <w:tcW w:w="742" w:type="dxa"/>
            <w:tcBorders>
              <w:tl2br w:val="nil"/>
              <w:tr2bl w:val="nil"/>
            </w:tcBorders>
            <w:vAlign w:val="center"/>
          </w:tcPr>
          <w:p w14:paraId="7861F656">
            <w:pPr>
              <w:widowControl/>
              <w:adjustRightIn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6</w:t>
            </w:r>
          </w:p>
        </w:tc>
        <w:tc>
          <w:tcPr>
            <w:tcW w:w="1215" w:type="dxa"/>
            <w:tcBorders>
              <w:tl2br w:val="nil"/>
              <w:tr2bl w:val="nil"/>
            </w:tcBorders>
            <w:vAlign w:val="center"/>
          </w:tcPr>
          <w:p w14:paraId="5A735A98">
            <w:pPr>
              <w:widowControl/>
              <w:adjustRightInd/>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215" w:type="dxa"/>
            <w:tcBorders>
              <w:tl2br w:val="nil"/>
              <w:tr2bl w:val="nil"/>
            </w:tcBorders>
            <w:vAlign w:val="center"/>
          </w:tcPr>
          <w:p w14:paraId="36C40CE7">
            <w:pPr>
              <w:widowControl/>
              <w:adjustRightInd/>
              <w:spacing w:line="360" w:lineRule="auto"/>
              <w:jc w:val="center"/>
              <w:rPr>
                <w:rFonts w:hint="eastAsia" w:ascii="宋体" w:hAnsi="宋体" w:eastAsia="宋体" w:cs="宋体"/>
                <w:b/>
                <w:bCs/>
                <w:color w:val="auto"/>
                <w:kern w:val="0"/>
                <w:sz w:val="21"/>
                <w:szCs w:val="21"/>
                <w:highlight w:val="none"/>
              </w:rPr>
            </w:pPr>
          </w:p>
        </w:tc>
      </w:tr>
      <w:tr w14:paraId="0D7609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0" w:type="dxa"/>
            <w:tcBorders>
              <w:tl2br w:val="nil"/>
              <w:tr2bl w:val="nil"/>
            </w:tcBorders>
            <w:vAlign w:val="center"/>
          </w:tcPr>
          <w:p w14:paraId="029A69CF">
            <w:pPr>
              <w:widowControl/>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政务云平台等保要求</w:t>
            </w:r>
          </w:p>
        </w:tc>
        <w:tc>
          <w:tcPr>
            <w:tcW w:w="4726" w:type="dxa"/>
            <w:tcBorders>
              <w:tl2br w:val="nil"/>
              <w:tr2bl w:val="nil"/>
            </w:tcBorders>
            <w:vAlign w:val="center"/>
          </w:tcPr>
          <w:p w14:paraId="75C915EB">
            <w:pPr>
              <w:widowControl/>
              <w:adjustRightIn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投标人需提供所投政务云平台满足等保三级测评的证明材料，并承诺在服务期内持续满足等保三级测评，满足得2分，不满足不得分</w:t>
            </w:r>
            <w:r>
              <w:rPr>
                <w:rFonts w:hint="eastAsia" w:ascii="宋体" w:hAnsi="宋体" w:eastAsia="宋体" w:cs="宋体"/>
                <w:color w:val="auto"/>
                <w:kern w:val="0"/>
                <w:sz w:val="21"/>
                <w:szCs w:val="21"/>
                <w:highlight w:val="none"/>
                <w:lang w:eastAsia="zh-CN"/>
              </w:rPr>
              <w:t>。</w:t>
            </w:r>
          </w:p>
          <w:p w14:paraId="1569170C">
            <w:pPr>
              <w:widowControl/>
              <w:adjustRightInd/>
              <w:spacing w:line="360" w:lineRule="auto"/>
              <w:jc w:val="left"/>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en-US" w:eastAsia="zh-CN"/>
              </w:rPr>
              <w:t>注：提供等保三级测评证明材料及承诺函，缺漏项不得分。</w:t>
            </w:r>
          </w:p>
        </w:tc>
        <w:tc>
          <w:tcPr>
            <w:tcW w:w="742" w:type="dxa"/>
            <w:tcBorders>
              <w:tl2br w:val="nil"/>
              <w:tr2bl w:val="nil"/>
            </w:tcBorders>
            <w:vAlign w:val="center"/>
          </w:tcPr>
          <w:p w14:paraId="021D43CC">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15" w:type="dxa"/>
            <w:tcBorders>
              <w:tl2br w:val="nil"/>
              <w:tr2bl w:val="nil"/>
            </w:tcBorders>
            <w:vAlign w:val="center"/>
          </w:tcPr>
          <w:p w14:paraId="1E203FA8">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215" w:type="dxa"/>
            <w:tcBorders>
              <w:tl2br w:val="nil"/>
              <w:tr2bl w:val="nil"/>
            </w:tcBorders>
            <w:vAlign w:val="center"/>
          </w:tcPr>
          <w:p w14:paraId="41756D3A">
            <w:pPr>
              <w:widowControl/>
              <w:adjustRightInd/>
              <w:spacing w:line="360" w:lineRule="auto"/>
              <w:jc w:val="center"/>
              <w:rPr>
                <w:rFonts w:hint="eastAsia" w:ascii="宋体" w:hAnsi="宋体" w:eastAsia="宋体" w:cs="宋体"/>
                <w:b/>
                <w:bCs/>
                <w:color w:val="auto"/>
                <w:kern w:val="0"/>
                <w:sz w:val="21"/>
                <w:szCs w:val="21"/>
                <w:highlight w:val="none"/>
              </w:rPr>
            </w:pPr>
          </w:p>
        </w:tc>
      </w:tr>
      <w:tr w14:paraId="64089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0" w:type="dxa"/>
            <w:tcBorders>
              <w:tl2br w:val="nil"/>
              <w:tr2bl w:val="nil"/>
            </w:tcBorders>
            <w:vAlign w:val="center"/>
          </w:tcPr>
          <w:p w14:paraId="4A369AEC">
            <w:pPr>
              <w:widowControl/>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政务云平台成熟度</w:t>
            </w:r>
          </w:p>
        </w:tc>
        <w:tc>
          <w:tcPr>
            <w:tcW w:w="4726" w:type="dxa"/>
            <w:tcBorders>
              <w:tl2br w:val="nil"/>
              <w:tr2bl w:val="nil"/>
            </w:tcBorders>
            <w:vAlign w:val="center"/>
          </w:tcPr>
          <w:p w14:paraId="29A71103">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投标人所投政务云平台满足：</w:t>
            </w:r>
          </w:p>
          <w:p w14:paraId="57921014">
            <w:pPr>
              <w:widowControl/>
              <w:numPr>
                <w:ilvl w:val="0"/>
                <w:numId w:val="14"/>
              </w:numPr>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经受过实际应用的检验；</w:t>
            </w:r>
          </w:p>
          <w:p w14:paraId="46CBF343">
            <w:pPr>
              <w:widowControl/>
              <w:numPr>
                <w:ilvl w:val="0"/>
                <w:numId w:val="14"/>
              </w:numPr>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已具备国内自主知识产权</w:t>
            </w:r>
            <w:r>
              <w:rPr>
                <w:rFonts w:hint="eastAsia" w:ascii="宋体" w:hAnsi="宋体" w:eastAsia="宋体" w:cs="宋体"/>
                <w:color w:val="auto"/>
                <w:kern w:val="0"/>
                <w:sz w:val="21"/>
                <w:szCs w:val="21"/>
                <w:highlight w:val="none"/>
                <w:lang w:eastAsia="zh-CN"/>
              </w:rPr>
              <w:t>。</w:t>
            </w:r>
          </w:p>
          <w:p w14:paraId="310AAE74">
            <w:pPr>
              <w:widowControl/>
              <w:adjustRightInd/>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每满足一项得0.5分，本项最高得1分，投标时提供</w:t>
            </w:r>
            <w:r>
              <w:rPr>
                <w:rFonts w:hint="eastAsia" w:ascii="宋体" w:hAnsi="宋体" w:eastAsia="宋体" w:cs="宋体"/>
                <w:color w:val="auto"/>
                <w:kern w:val="0"/>
                <w:sz w:val="21"/>
                <w:szCs w:val="21"/>
                <w:highlight w:val="none"/>
                <w:lang w:val="en-US" w:eastAsia="zh-CN"/>
              </w:rPr>
              <w:t>相关</w:t>
            </w:r>
            <w:r>
              <w:rPr>
                <w:rFonts w:hint="eastAsia" w:ascii="宋体" w:hAnsi="宋体" w:eastAsia="宋体" w:cs="宋体"/>
                <w:color w:val="auto"/>
                <w:kern w:val="0"/>
                <w:sz w:val="21"/>
                <w:szCs w:val="21"/>
                <w:highlight w:val="none"/>
              </w:rPr>
              <w:t>证明材料</w:t>
            </w:r>
            <w:r>
              <w:rPr>
                <w:rFonts w:hint="eastAsia" w:ascii="宋体" w:hAnsi="宋体" w:eastAsia="宋体" w:cs="宋体"/>
                <w:color w:val="auto"/>
                <w:kern w:val="0"/>
                <w:sz w:val="21"/>
                <w:szCs w:val="21"/>
                <w:highlight w:val="none"/>
                <w:lang w:eastAsia="zh-CN"/>
              </w:rPr>
              <w:t>。</w:t>
            </w:r>
          </w:p>
        </w:tc>
        <w:tc>
          <w:tcPr>
            <w:tcW w:w="742" w:type="dxa"/>
            <w:tcBorders>
              <w:tl2br w:val="nil"/>
              <w:tr2bl w:val="nil"/>
            </w:tcBorders>
            <w:vAlign w:val="center"/>
          </w:tcPr>
          <w:p w14:paraId="6958B65F">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15" w:type="dxa"/>
            <w:tcBorders>
              <w:tl2br w:val="nil"/>
              <w:tr2bl w:val="nil"/>
            </w:tcBorders>
            <w:vAlign w:val="center"/>
          </w:tcPr>
          <w:p w14:paraId="65C25495">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215" w:type="dxa"/>
            <w:tcBorders>
              <w:tl2br w:val="nil"/>
              <w:tr2bl w:val="nil"/>
            </w:tcBorders>
            <w:vAlign w:val="center"/>
          </w:tcPr>
          <w:p w14:paraId="0411FA8B">
            <w:pPr>
              <w:widowControl/>
              <w:adjustRightInd/>
              <w:spacing w:line="360" w:lineRule="auto"/>
              <w:jc w:val="center"/>
              <w:rPr>
                <w:rFonts w:hint="eastAsia" w:ascii="宋体" w:hAnsi="宋体" w:eastAsia="宋体" w:cs="宋体"/>
                <w:b/>
                <w:bCs/>
                <w:color w:val="auto"/>
                <w:kern w:val="0"/>
                <w:sz w:val="21"/>
                <w:szCs w:val="21"/>
                <w:highlight w:val="none"/>
              </w:rPr>
            </w:pPr>
          </w:p>
        </w:tc>
      </w:tr>
      <w:tr w14:paraId="14CD48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0" w:type="dxa"/>
            <w:tcBorders>
              <w:tl2br w:val="nil"/>
              <w:tr2bl w:val="nil"/>
            </w:tcBorders>
            <w:vAlign w:val="center"/>
          </w:tcPr>
          <w:p w14:paraId="59BE140D">
            <w:pPr>
              <w:widowControl/>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技术符合性</w:t>
            </w:r>
          </w:p>
        </w:tc>
        <w:tc>
          <w:tcPr>
            <w:tcW w:w="4726" w:type="dxa"/>
            <w:tcBorders>
              <w:tl2br w:val="nil"/>
              <w:tr2bl w:val="nil"/>
            </w:tcBorders>
            <w:vAlign w:val="center"/>
          </w:tcPr>
          <w:p w14:paraId="5E979CD0">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投标人所提供的用于本项目的产品满足招标文件第三部分 采购需求第七条“技术要求”的情况。</w:t>
            </w:r>
            <w:r>
              <w:rPr>
                <w:rFonts w:hint="eastAsia" w:ascii="宋体" w:hAnsi="宋体" w:eastAsia="宋体" w:cs="宋体"/>
                <w:color w:val="auto"/>
                <w:sz w:val="21"/>
                <w:szCs w:val="21"/>
                <w:highlight w:val="none"/>
              </w:rPr>
              <w:t>一般技术指标负偏离每一项扣减1分；标注★的关键条款需要根据招标文件要求提供相关证明材料，未提供佐证材料或材料不符视为负偏离，如有负偏离，每项扣2分，扣完为止。</w:t>
            </w:r>
          </w:p>
          <w:p w14:paraId="4050C73E">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注：所有标注“★”的重要技术指标项若招标文件有要求提供相关证明材料需按招标文件要求提供相应证明材料作为评审依据，未提供不得分，证明材料的有效性</w:t>
            </w:r>
            <w:r>
              <w:rPr>
                <w:rFonts w:hint="eastAsia" w:ascii="宋体" w:hAnsi="宋体" w:eastAsia="宋体" w:cs="宋体"/>
                <w:color w:val="auto"/>
                <w:kern w:val="0"/>
                <w:sz w:val="21"/>
                <w:szCs w:val="21"/>
                <w:highlight w:val="none"/>
                <w:lang w:eastAsia="zh-CN"/>
              </w:rPr>
              <w:t>由</w:t>
            </w:r>
            <w:r>
              <w:rPr>
                <w:rFonts w:hint="eastAsia" w:ascii="宋体" w:hAnsi="宋体" w:eastAsia="宋体" w:cs="宋体"/>
                <w:color w:val="auto"/>
                <w:kern w:val="0"/>
                <w:sz w:val="21"/>
                <w:szCs w:val="21"/>
                <w:highlight w:val="none"/>
              </w:rPr>
              <w:t>评审委员会评定。</w:t>
            </w:r>
          </w:p>
        </w:tc>
        <w:tc>
          <w:tcPr>
            <w:tcW w:w="742" w:type="dxa"/>
            <w:tcBorders>
              <w:tl2br w:val="nil"/>
              <w:tr2bl w:val="nil"/>
            </w:tcBorders>
            <w:vAlign w:val="center"/>
          </w:tcPr>
          <w:p w14:paraId="51D3D1F5">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215" w:type="dxa"/>
            <w:tcBorders>
              <w:tl2br w:val="nil"/>
              <w:tr2bl w:val="nil"/>
            </w:tcBorders>
            <w:vAlign w:val="center"/>
          </w:tcPr>
          <w:p w14:paraId="226130ED">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215" w:type="dxa"/>
            <w:tcBorders>
              <w:tl2br w:val="nil"/>
              <w:tr2bl w:val="nil"/>
            </w:tcBorders>
            <w:vAlign w:val="center"/>
          </w:tcPr>
          <w:p w14:paraId="50D83325">
            <w:pPr>
              <w:widowControl/>
              <w:adjustRightInd/>
              <w:spacing w:line="360" w:lineRule="auto"/>
              <w:jc w:val="center"/>
              <w:rPr>
                <w:rFonts w:hint="eastAsia" w:ascii="宋体" w:hAnsi="宋体" w:eastAsia="宋体" w:cs="宋体"/>
                <w:b/>
                <w:bCs/>
                <w:color w:val="auto"/>
                <w:kern w:val="0"/>
                <w:sz w:val="21"/>
                <w:szCs w:val="21"/>
                <w:highlight w:val="none"/>
              </w:rPr>
            </w:pPr>
          </w:p>
        </w:tc>
      </w:tr>
      <w:tr w14:paraId="3F3FA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0" w:type="dxa"/>
            <w:tcBorders>
              <w:tl2br w:val="nil"/>
              <w:tr2bl w:val="nil"/>
            </w:tcBorders>
            <w:vAlign w:val="center"/>
          </w:tcPr>
          <w:p w14:paraId="6369D138">
            <w:pPr>
              <w:widowControl/>
              <w:adjustRightIn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政务云平台服务能力</w:t>
            </w:r>
          </w:p>
        </w:tc>
        <w:tc>
          <w:tcPr>
            <w:tcW w:w="4726" w:type="dxa"/>
            <w:tcBorders>
              <w:tl2br w:val="nil"/>
              <w:tr2bl w:val="nil"/>
            </w:tcBorders>
            <w:vAlign w:val="center"/>
          </w:tcPr>
          <w:p w14:paraId="692DAA76">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投标人所投政务云平台具备以下服务能力：1）云服务器；2）块存储；3）负载均衡；4）对象存储；5）专有网络；6）NAT网关；7）大数据开发治理平台；8）</w:t>
            </w:r>
            <w:r>
              <w:rPr>
                <w:rFonts w:hint="eastAsia" w:ascii="宋体" w:hAnsi="宋体" w:eastAsia="宋体" w:cs="宋体"/>
                <w:color w:val="auto"/>
                <w:kern w:val="0"/>
                <w:sz w:val="21"/>
                <w:szCs w:val="21"/>
                <w:highlight w:val="none"/>
                <w:lang w:bidi="ar"/>
              </w:rPr>
              <w:t>云安全防护；</w:t>
            </w:r>
            <w:r>
              <w:rPr>
                <w:rFonts w:hint="eastAsia" w:ascii="宋体" w:hAnsi="宋体" w:eastAsia="宋体" w:cs="宋体"/>
                <w:color w:val="auto"/>
                <w:kern w:val="0"/>
                <w:sz w:val="21"/>
                <w:szCs w:val="21"/>
                <w:highlight w:val="none"/>
              </w:rPr>
              <w:t>以上8款产品需提供政务云平台界面截图</w:t>
            </w:r>
            <w:r>
              <w:rPr>
                <w:rFonts w:hint="eastAsia" w:ascii="宋体" w:hAnsi="宋体" w:eastAsia="宋体" w:cs="宋体"/>
                <w:color w:val="auto"/>
                <w:kern w:val="0"/>
                <w:sz w:val="21"/>
                <w:szCs w:val="21"/>
                <w:highlight w:val="none"/>
                <w:lang w:val="en-US" w:eastAsia="zh-CN"/>
              </w:rPr>
              <w:t>及</w:t>
            </w:r>
            <w:r>
              <w:rPr>
                <w:rFonts w:hint="eastAsia" w:ascii="宋体" w:hAnsi="宋体" w:eastAsia="宋体" w:cs="宋体"/>
                <w:color w:val="auto"/>
                <w:kern w:val="0"/>
                <w:sz w:val="21"/>
                <w:szCs w:val="21"/>
                <w:highlight w:val="none"/>
              </w:rPr>
              <w:t>服务说明等证明材料。每提供一款符合需求的产品得1分，最高得8分。未提供证明材料</w:t>
            </w:r>
            <w:r>
              <w:rPr>
                <w:rFonts w:hint="eastAsia" w:ascii="宋体" w:hAnsi="宋体" w:eastAsia="宋体" w:cs="宋体"/>
                <w:color w:val="auto"/>
                <w:kern w:val="0"/>
                <w:sz w:val="21"/>
                <w:szCs w:val="21"/>
                <w:highlight w:val="none"/>
                <w:lang w:val="en-US" w:eastAsia="zh-CN"/>
              </w:rPr>
              <w:t>或材料缺漏项</w:t>
            </w:r>
            <w:r>
              <w:rPr>
                <w:rFonts w:hint="eastAsia" w:ascii="宋体" w:hAnsi="宋体" w:eastAsia="宋体" w:cs="宋体"/>
                <w:color w:val="auto"/>
                <w:kern w:val="0"/>
                <w:sz w:val="21"/>
                <w:szCs w:val="21"/>
                <w:highlight w:val="none"/>
              </w:rPr>
              <w:t>的不得分。</w:t>
            </w:r>
          </w:p>
        </w:tc>
        <w:tc>
          <w:tcPr>
            <w:tcW w:w="742" w:type="dxa"/>
            <w:tcBorders>
              <w:tl2br w:val="nil"/>
              <w:tr2bl w:val="nil"/>
            </w:tcBorders>
            <w:vAlign w:val="center"/>
          </w:tcPr>
          <w:p w14:paraId="105D5F52">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215" w:type="dxa"/>
            <w:tcBorders>
              <w:tl2br w:val="nil"/>
              <w:tr2bl w:val="nil"/>
            </w:tcBorders>
            <w:vAlign w:val="center"/>
          </w:tcPr>
          <w:p w14:paraId="566F4CAB">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215" w:type="dxa"/>
            <w:tcBorders>
              <w:tl2br w:val="nil"/>
              <w:tr2bl w:val="nil"/>
            </w:tcBorders>
            <w:vAlign w:val="center"/>
          </w:tcPr>
          <w:p w14:paraId="7C0A5128">
            <w:pPr>
              <w:widowControl/>
              <w:adjustRightInd/>
              <w:spacing w:line="360" w:lineRule="auto"/>
              <w:jc w:val="center"/>
              <w:rPr>
                <w:rFonts w:hint="eastAsia" w:ascii="宋体" w:hAnsi="宋体" w:eastAsia="宋体" w:cs="宋体"/>
                <w:b/>
                <w:bCs/>
                <w:color w:val="auto"/>
                <w:kern w:val="0"/>
                <w:sz w:val="21"/>
                <w:szCs w:val="21"/>
                <w:highlight w:val="none"/>
              </w:rPr>
            </w:pPr>
          </w:p>
        </w:tc>
      </w:tr>
      <w:tr w14:paraId="7FE7E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20" w:type="dxa"/>
            <w:tcBorders>
              <w:tl2br w:val="nil"/>
              <w:tr2bl w:val="nil"/>
            </w:tcBorders>
            <w:vAlign w:val="center"/>
          </w:tcPr>
          <w:p w14:paraId="4C573E22">
            <w:pPr>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项目需求分析</w:t>
            </w:r>
          </w:p>
        </w:tc>
        <w:tc>
          <w:tcPr>
            <w:tcW w:w="4726" w:type="dxa"/>
            <w:tcBorders>
              <w:tl2br w:val="nil"/>
              <w:tr2bl w:val="nil"/>
            </w:tcBorders>
            <w:vAlign w:val="center"/>
          </w:tcPr>
          <w:p w14:paraId="1CC876DA">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针对本项目的需求分析是否明确、合理、有针对性以及业务熟悉程度进行评分。分析详尽、业务熟悉、针对性强且合理的得5分；基本合理、针对性一般、业务基本熟悉的得3分；分析不全面或合理性有欠缺的得1分；未提供或完全不符的，不得分。</w:t>
            </w:r>
          </w:p>
        </w:tc>
        <w:tc>
          <w:tcPr>
            <w:tcW w:w="742" w:type="dxa"/>
            <w:tcBorders>
              <w:tl2br w:val="nil"/>
              <w:tr2bl w:val="nil"/>
            </w:tcBorders>
            <w:vAlign w:val="center"/>
          </w:tcPr>
          <w:p w14:paraId="488EA93E">
            <w:pPr>
              <w:pStyle w:val="784"/>
              <w:widowControl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rPr>
              <w:t>5</w:t>
            </w:r>
          </w:p>
        </w:tc>
        <w:tc>
          <w:tcPr>
            <w:tcW w:w="1215" w:type="dxa"/>
            <w:tcBorders>
              <w:tl2br w:val="nil"/>
              <w:tr2bl w:val="nil"/>
            </w:tcBorders>
            <w:vAlign w:val="center"/>
          </w:tcPr>
          <w:p w14:paraId="6B08DD56">
            <w:pPr>
              <w:pStyle w:val="784"/>
              <w:widowControl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rPr>
              <w:t>主观分</w:t>
            </w:r>
          </w:p>
        </w:tc>
        <w:tc>
          <w:tcPr>
            <w:tcW w:w="1215" w:type="dxa"/>
            <w:tcBorders>
              <w:tl2br w:val="nil"/>
              <w:tr2bl w:val="nil"/>
            </w:tcBorders>
            <w:vAlign w:val="center"/>
          </w:tcPr>
          <w:p w14:paraId="40AC60DC">
            <w:pPr>
              <w:widowControl/>
              <w:adjustRightInd/>
              <w:spacing w:line="360" w:lineRule="auto"/>
              <w:jc w:val="center"/>
              <w:rPr>
                <w:rFonts w:hint="eastAsia" w:ascii="宋体" w:hAnsi="宋体" w:eastAsia="宋体" w:cs="宋体"/>
                <w:color w:val="auto"/>
                <w:kern w:val="0"/>
                <w:sz w:val="21"/>
                <w:szCs w:val="21"/>
                <w:highlight w:val="none"/>
              </w:rPr>
            </w:pPr>
          </w:p>
        </w:tc>
      </w:tr>
      <w:tr w14:paraId="2EE8A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20" w:type="dxa"/>
            <w:tcBorders>
              <w:tl2br w:val="nil"/>
              <w:tr2bl w:val="nil"/>
            </w:tcBorders>
            <w:vAlign w:val="center"/>
          </w:tcPr>
          <w:p w14:paraId="0034F98A">
            <w:pPr>
              <w:pStyle w:val="784"/>
              <w:widowControl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重难点分析</w:t>
            </w:r>
          </w:p>
        </w:tc>
        <w:tc>
          <w:tcPr>
            <w:tcW w:w="4726" w:type="dxa"/>
            <w:tcBorders>
              <w:tl2br w:val="nil"/>
              <w:tr2bl w:val="nil"/>
            </w:tcBorders>
            <w:vAlign w:val="center"/>
          </w:tcPr>
          <w:p w14:paraId="44677338">
            <w:pPr>
              <w:pStyle w:val="784"/>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重难点分析</w:t>
            </w:r>
          </w:p>
          <w:p w14:paraId="708B4172">
            <w:pPr>
              <w:pStyle w:val="784"/>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TW"/>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TW"/>
              </w:rPr>
              <w:t>）投标人结合项目需求情况及</w:t>
            </w:r>
            <w:r>
              <w:rPr>
                <w:rFonts w:hint="eastAsia" w:ascii="宋体" w:hAnsi="宋体" w:eastAsia="宋体" w:cs="宋体"/>
                <w:color w:val="auto"/>
                <w:sz w:val="21"/>
                <w:szCs w:val="21"/>
                <w:highlight w:val="none"/>
              </w:rPr>
              <w:t>服务内容</w:t>
            </w:r>
            <w:r>
              <w:rPr>
                <w:rFonts w:hint="eastAsia" w:ascii="宋体" w:hAnsi="宋体" w:eastAsia="宋体" w:cs="宋体"/>
                <w:color w:val="auto"/>
                <w:sz w:val="21"/>
                <w:szCs w:val="21"/>
                <w:highlight w:val="none"/>
                <w:lang w:val="zh-TW"/>
              </w:rPr>
              <w:t>等</w:t>
            </w:r>
            <w:r>
              <w:rPr>
                <w:rFonts w:hint="eastAsia" w:ascii="宋体" w:hAnsi="宋体" w:eastAsia="宋体" w:cs="宋体"/>
                <w:color w:val="auto"/>
                <w:sz w:val="21"/>
                <w:szCs w:val="21"/>
                <w:highlight w:val="none"/>
              </w:rPr>
              <w:t>进行分析</w:t>
            </w:r>
            <w:r>
              <w:rPr>
                <w:rFonts w:hint="eastAsia" w:ascii="宋体" w:hAnsi="宋体" w:eastAsia="宋体" w:cs="宋体"/>
                <w:color w:val="auto"/>
                <w:sz w:val="21"/>
                <w:szCs w:val="21"/>
                <w:highlight w:val="none"/>
                <w:lang w:val="zh-TW"/>
              </w:rPr>
              <w:t>，提出针对本项目的理解描述及难点分析，</w:t>
            </w:r>
            <w:r>
              <w:rPr>
                <w:rFonts w:hint="eastAsia" w:ascii="宋体" w:hAnsi="宋体" w:eastAsia="宋体" w:cs="宋体"/>
                <w:bCs/>
                <w:color w:val="auto"/>
                <w:sz w:val="21"/>
                <w:szCs w:val="21"/>
                <w:highlight w:val="none"/>
              </w:rPr>
              <w:t>具有针对性、符合本项目实际需求得3分，针对性一般、基本符合项目实际得2分，</w:t>
            </w:r>
            <w:r>
              <w:rPr>
                <w:rFonts w:hint="eastAsia" w:ascii="宋体" w:hAnsi="宋体" w:eastAsia="宋体" w:cs="宋体"/>
                <w:color w:val="auto"/>
                <w:sz w:val="21"/>
                <w:szCs w:val="21"/>
                <w:highlight w:val="none"/>
              </w:rPr>
              <w:t>内容缺失、无针对性的得1分，不提供不得分。</w:t>
            </w:r>
          </w:p>
          <w:p w14:paraId="3A6A74D1">
            <w:pPr>
              <w:pStyle w:val="784"/>
              <w:widowControl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（2）针对重难点</w:t>
            </w:r>
            <w:r>
              <w:rPr>
                <w:rFonts w:hint="eastAsia" w:ascii="宋体" w:hAnsi="宋体" w:eastAsia="宋体" w:cs="宋体"/>
                <w:color w:val="auto"/>
                <w:sz w:val="21"/>
                <w:szCs w:val="21"/>
                <w:highlight w:val="none"/>
                <w:lang w:val="zh-TW"/>
              </w:rPr>
              <w:t>提供了对应完善解决方案的得</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TW"/>
              </w:rPr>
              <w:t>分；解决方案</w:t>
            </w:r>
            <w:r>
              <w:rPr>
                <w:rFonts w:hint="eastAsia" w:ascii="宋体" w:hAnsi="宋体" w:eastAsia="宋体" w:cs="宋体"/>
                <w:color w:val="auto"/>
                <w:sz w:val="21"/>
                <w:szCs w:val="21"/>
                <w:highlight w:val="none"/>
              </w:rPr>
              <w:t>基本合理可行</w:t>
            </w:r>
            <w:r>
              <w:rPr>
                <w:rFonts w:hint="eastAsia" w:ascii="宋体" w:hAnsi="宋体" w:eastAsia="宋体" w:cs="宋体"/>
                <w:color w:val="auto"/>
                <w:sz w:val="21"/>
                <w:szCs w:val="21"/>
                <w:highlight w:val="none"/>
                <w:lang w:val="zh-TW"/>
              </w:rPr>
              <w:t>得</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TW"/>
              </w:rPr>
              <w:t>分</w:t>
            </w:r>
            <w:r>
              <w:rPr>
                <w:rFonts w:hint="eastAsia" w:ascii="宋体" w:hAnsi="宋体" w:eastAsia="宋体" w:cs="宋体"/>
                <w:bCs/>
                <w:color w:val="auto"/>
                <w:sz w:val="21"/>
                <w:szCs w:val="21"/>
                <w:highlight w:val="none"/>
              </w:rPr>
              <w:t>，其余不得分。</w:t>
            </w:r>
          </w:p>
        </w:tc>
        <w:tc>
          <w:tcPr>
            <w:tcW w:w="742" w:type="dxa"/>
            <w:tcBorders>
              <w:tl2br w:val="nil"/>
              <w:tr2bl w:val="nil"/>
            </w:tcBorders>
            <w:vAlign w:val="center"/>
          </w:tcPr>
          <w:p w14:paraId="38D6019A">
            <w:pPr>
              <w:pStyle w:val="784"/>
              <w:widowControl w:val="0"/>
              <w:spacing w:line="360" w:lineRule="auto"/>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w:t>
            </w:r>
          </w:p>
        </w:tc>
        <w:tc>
          <w:tcPr>
            <w:tcW w:w="1215" w:type="dxa"/>
            <w:tcBorders>
              <w:tl2br w:val="nil"/>
              <w:tr2bl w:val="nil"/>
            </w:tcBorders>
            <w:vAlign w:val="center"/>
          </w:tcPr>
          <w:p w14:paraId="6F44119C">
            <w:pPr>
              <w:pStyle w:val="784"/>
              <w:widowControl w:val="0"/>
              <w:spacing w:line="360" w:lineRule="auto"/>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主观分</w:t>
            </w:r>
          </w:p>
        </w:tc>
        <w:tc>
          <w:tcPr>
            <w:tcW w:w="1215" w:type="dxa"/>
            <w:tcBorders>
              <w:tl2br w:val="nil"/>
              <w:tr2bl w:val="nil"/>
            </w:tcBorders>
            <w:vAlign w:val="center"/>
          </w:tcPr>
          <w:p w14:paraId="5E67E1A7">
            <w:pPr>
              <w:widowControl/>
              <w:adjustRightInd/>
              <w:spacing w:line="360" w:lineRule="auto"/>
              <w:jc w:val="center"/>
              <w:rPr>
                <w:rFonts w:hint="eastAsia" w:ascii="宋体" w:hAnsi="宋体" w:eastAsia="宋体" w:cs="宋体"/>
                <w:color w:val="auto"/>
                <w:kern w:val="0"/>
                <w:sz w:val="21"/>
                <w:szCs w:val="21"/>
                <w:highlight w:val="none"/>
              </w:rPr>
            </w:pPr>
          </w:p>
        </w:tc>
      </w:tr>
      <w:tr w14:paraId="396D39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0" w:type="dxa"/>
            <w:tcBorders>
              <w:tl2br w:val="nil"/>
              <w:tr2bl w:val="nil"/>
            </w:tcBorders>
            <w:vAlign w:val="center"/>
          </w:tcPr>
          <w:p w14:paraId="45AC1637">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机房托管服务</w:t>
            </w:r>
          </w:p>
        </w:tc>
        <w:tc>
          <w:tcPr>
            <w:tcW w:w="4726" w:type="dxa"/>
            <w:tcBorders>
              <w:tl2br w:val="nil"/>
              <w:tr2bl w:val="nil"/>
            </w:tcBorders>
            <w:vAlign w:val="center"/>
          </w:tcPr>
          <w:p w14:paraId="3A06704D">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需提供机房位置、图纸、规模、设施、配套相关说明材料，根据机房的整体情况、位置便利性等进行评分；满足项目要求、设备配套齐全、位置便利的得4分；基本满足项</w:t>
            </w:r>
            <w:r>
              <w:rPr>
                <w:rFonts w:hint="eastAsia" w:ascii="宋体" w:hAnsi="宋体" w:cs="宋体"/>
                <w:color w:val="auto"/>
                <w:kern w:val="0"/>
                <w:sz w:val="21"/>
                <w:szCs w:val="21"/>
                <w:highlight w:val="none"/>
                <w:lang w:val="en-US" w:eastAsia="zh-CN"/>
              </w:rPr>
              <w:t>目</w:t>
            </w:r>
            <w:r>
              <w:rPr>
                <w:rFonts w:hint="eastAsia" w:ascii="宋体" w:hAnsi="宋体" w:eastAsia="宋体" w:cs="宋体"/>
                <w:color w:val="auto"/>
                <w:kern w:val="0"/>
                <w:sz w:val="21"/>
                <w:szCs w:val="21"/>
                <w:highlight w:val="none"/>
              </w:rPr>
              <w:t>要求或设备配套基本齐全或位置便利性一般的得2分；内容缺失较多的得1分；其余不得分。</w:t>
            </w:r>
          </w:p>
        </w:tc>
        <w:tc>
          <w:tcPr>
            <w:tcW w:w="742" w:type="dxa"/>
            <w:tcBorders>
              <w:tl2br w:val="nil"/>
              <w:tr2bl w:val="nil"/>
            </w:tcBorders>
            <w:vAlign w:val="center"/>
          </w:tcPr>
          <w:p w14:paraId="71E823B5">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215" w:type="dxa"/>
            <w:tcBorders>
              <w:tl2br w:val="nil"/>
              <w:tr2bl w:val="nil"/>
            </w:tcBorders>
            <w:vAlign w:val="center"/>
          </w:tcPr>
          <w:p w14:paraId="668A356D">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215" w:type="dxa"/>
            <w:tcBorders>
              <w:tl2br w:val="nil"/>
              <w:tr2bl w:val="nil"/>
            </w:tcBorders>
            <w:vAlign w:val="center"/>
          </w:tcPr>
          <w:p w14:paraId="7306F562">
            <w:pPr>
              <w:widowControl/>
              <w:adjustRightInd/>
              <w:spacing w:line="360" w:lineRule="auto"/>
              <w:jc w:val="center"/>
              <w:rPr>
                <w:rFonts w:hint="eastAsia" w:ascii="宋体" w:hAnsi="宋体" w:eastAsia="宋体" w:cs="宋体"/>
                <w:color w:val="auto"/>
                <w:kern w:val="0"/>
                <w:sz w:val="21"/>
                <w:szCs w:val="21"/>
                <w:highlight w:val="none"/>
              </w:rPr>
            </w:pPr>
          </w:p>
        </w:tc>
      </w:tr>
      <w:tr w14:paraId="47DC1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0" w:type="dxa"/>
            <w:tcBorders>
              <w:tl2br w:val="nil"/>
              <w:tr2bl w:val="nil"/>
            </w:tcBorders>
            <w:vAlign w:val="center"/>
          </w:tcPr>
          <w:p w14:paraId="092570F0">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云基础资源服务方案</w:t>
            </w:r>
          </w:p>
        </w:tc>
        <w:tc>
          <w:tcPr>
            <w:tcW w:w="4726" w:type="dxa"/>
            <w:tcBorders>
              <w:tl2br w:val="nil"/>
              <w:tr2bl w:val="nil"/>
            </w:tcBorders>
            <w:vAlign w:val="center"/>
          </w:tcPr>
          <w:p w14:paraId="3A47E093">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eastAsia="zh-CN"/>
              </w:rPr>
              <w:t>内容翔实</w:t>
            </w:r>
            <w:r>
              <w:rPr>
                <w:rFonts w:hint="eastAsia" w:ascii="宋体" w:hAnsi="宋体" w:eastAsia="宋体" w:cs="宋体"/>
                <w:color w:val="auto"/>
                <w:kern w:val="0"/>
                <w:sz w:val="21"/>
                <w:szCs w:val="21"/>
                <w:highlight w:val="none"/>
              </w:rPr>
              <w:t>，科学合理，逻辑缜密，具有针对性，可实施性强的得5分；方案</w:t>
            </w:r>
            <w:r>
              <w:rPr>
                <w:rFonts w:hint="eastAsia" w:ascii="宋体" w:hAnsi="宋体" w:eastAsia="宋体" w:cs="宋体"/>
                <w:color w:val="auto"/>
                <w:kern w:val="0"/>
                <w:sz w:val="21"/>
                <w:szCs w:val="21"/>
                <w:highlight w:val="none"/>
                <w:lang w:eastAsia="zh-CN"/>
              </w:rPr>
              <w:t>内容翔实</w:t>
            </w:r>
            <w:r>
              <w:rPr>
                <w:rFonts w:hint="eastAsia" w:ascii="宋体" w:hAnsi="宋体" w:eastAsia="宋体" w:cs="宋体"/>
                <w:color w:val="auto"/>
                <w:kern w:val="0"/>
                <w:sz w:val="21"/>
                <w:szCs w:val="21"/>
                <w:highlight w:val="none"/>
              </w:rPr>
              <w:t>，科学合理，针对性一般的得4分；方案内容基本合理，针对性、可实施性一般的得3分；方案不够科学合理，针对性或可实施性差得2分；方案内容缺失严重，无针对性的得1分；未提供相关描述不得分。</w:t>
            </w:r>
          </w:p>
        </w:tc>
        <w:tc>
          <w:tcPr>
            <w:tcW w:w="742" w:type="dxa"/>
            <w:tcBorders>
              <w:tl2br w:val="nil"/>
              <w:tr2bl w:val="nil"/>
            </w:tcBorders>
            <w:vAlign w:val="center"/>
          </w:tcPr>
          <w:p w14:paraId="6A2A2F40">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15" w:type="dxa"/>
            <w:tcBorders>
              <w:tl2br w:val="nil"/>
              <w:tr2bl w:val="nil"/>
            </w:tcBorders>
            <w:vAlign w:val="center"/>
          </w:tcPr>
          <w:p w14:paraId="1BDB807F">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215" w:type="dxa"/>
            <w:tcBorders>
              <w:tl2br w:val="nil"/>
              <w:tr2bl w:val="nil"/>
            </w:tcBorders>
            <w:vAlign w:val="center"/>
          </w:tcPr>
          <w:p w14:paraId="7BABFA6D">
            <w:pPr>
              <w:widowControl/>
              <w:adjustRightInd/>
              <w:spacing w:line="360" w:lineRule="auto"/>
              <w:jc w:val="center"/>
              <w:rPr>
                <w:rFonts w:hint="eastAsia" w:ascii="宋体" w:hAnsi="宋体" w:eastAsia="宋体" w:cs="宋体"/>
                <w:color w:val="auto"/>
                <w:kern w:val="0"/>
                <w:sz w:val="21"/>
                <w:szCs w:val="21"/>
                <w:highlight w:val="none"/>
              </w:rPr>
            </w:pPr>
          </w:p>
        </w:tc>
      </w:tr>
      <w:tr w14:paraId="2BCAC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0" w:type="dxa"/>
            <w:tcBorders>
              <w:tl2br w:val="nil"/>
              <w:tr2bl w:val="nil"/>
            </w:tcBorders>
            <w:vAlign w:val="center"/>
          </w:tcPr>
          <w:p w14:paraId="12E2E79C">
            <w:pPr>
              <w:widowControl/>
              <w:adjustRightIn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云安全服务方案</w:t>
            </w:r>
          </w:p>
        </w:tc>
        <w:tc>
          <w:tcPr>
            <w:tcW w:w="4726" w:type="dxa"/>
            <w:tcBorders>
              <w:tl2br w:val="nil"/>
              <w:tr2bl w:val="nil"/>
            </w:tcBorders>
            <w:vAlign w:val="center"/>
          </w:tcPr>
          <w:p w14:paraId="30647C46">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eastAsia="zh-CN"/>
              </w:rPr>
              <w:t>内容翔实</w:t>
            </w:r>
            <w:r>
              <w:rPr>
                <w:rFonts w:hint="eastAsia" w:ascii="宋体" w:hAnsi="宋体" w:eastAsia="宋体" w:cs="宋体"/>
                <w:color w:val="auto"/>
                <w:kern w:val="0"/>
                <w:sz w:val="21"/>
                <w:szCs w:val="21"/>
                <w:highlight w:val="none"/>
              </w:rPr>
              <w:t>，科学合理，逻辑缜密，具有针对性，可实施性强的得3分；方案内容基本合理，针对性、可实施性一般的得2分；方案不够科学合理，针对性或可实施性差得1分；其余不得分。</w:t>
            </w:r>
          </w:p>
        </w:tc>
        <w:tc>
          <w:tcPr>
            <w:tcW w:w="742" w:type="dxa"/>
            <w:tcBorders>
              <w:tl2br w:val="nil"/>
              <w:tr2bl w:val="nil"/>
            </w:tcBorders>
            <w:vAlign w:val="center"/>
          </w:tcPr>
          <w:p w14:paraId="25B7680D">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15" w:type="dxa"/>
            <w:tcBorders>
              <w:tl2br w:val="nil"/>
              <w:tr2bl w:val="nil"/>
            </w:tcBorders>
            <w:vAlign w:val="center"/>
          </w:tcPr>
          <w:p w14:paraId="7AC6CF56">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215" w:type="dxa"/>
            <w:tcBorders>
              <w:tl2br w:val="nil"/>
              <w:tr2bl w:val="nil"/>
            </w:tcBorders>
            <w:vAlign w:val="center"/>
          </w:tcPr>
          <w:p w14:paraId="44748ABD">
            <w:pPr>
              <w:widowControl/>
              <w:adjustRightInd/>
              <w:spacing w:line="360" w:lineRule="auto"/>
              <w:jc w:val="center"/>
              <w:rPr>
                <w:rFonts w:hint="eastAsia" w:ascii="宋体" w:hAnsi="宋体" w:eastAsia="宋体" w:cs="宋体"/>
                <w:color w:val="auto"/>
                <w:kern w:val="0"/>
                <w:sz w:val="21"/>
                <w:szCs w:val="21"/>
                <w:highlight w:val="none"/>
              </w:rPr>
            </w:pPr>
          </w:p>
        </w:tc>
      </w:tr>
      <w:tr w14:paraId="7BBAF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0" w:type="dxa"/>
            <w:tcBorders>
              <w:tl2br w:val="nil"/>
              <w:tr2bl w:val="nil"/>
            </w:tcBorders>
            <w:vAlign w:val="center"/>
          </w:tcPr>
          <w:p w14:paraId="7EF6DD67">
            <w:pPr>
              <w:widowControl/>
              <w:adjustRightIn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运维服务方案</w:t>
            </w:r>
          </w:p>
        </w:tc>
        <w:tc>
          <w:tcPr>
            <w:tcW w:w="4726" w:type="dxa"/>
            <w:tcBorders>
              <w:tl2br w:val="nil"/>
              <w:tr2bl w:val="nil"/>
            </w:tcBorders>
            <w:vAlign w:val="center"/>
          </w:tcPr>
          <w:p w14:paraId="2EA0FCA7">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eastAsia="zh-CN"/>
              </w:rPr>
              <w:t>内容翔实</w:t>
            </w:r>
            <w:r>
              <w:rPr>
                <w:rFonts w:hint="eastAsia" w:ascii="宋体" w:hAnsi="宋体" w:eastAsia="宋体" w:cs="宋体"/>
                <w:color w:val="auto"/>
                <w:kern w:val="0"/>
                <w:sz w:val="21"/>
                <w:szCs w:val="21"/>
                <w:highlight w:val="none"/>
              </w:rPr>
              <w:t>，科学合理，逻辑缜密，具有针对性，可实施性强的得3分；方案内容基本合理，针对性、可实施性一般的得2分；方案不够科学合理，针对性或可实施性差得1分；其余不得分。</w:t>
            </w:r>
          </w:p>
        </w:tc>
        <w:tc>
          <w:tcPr>
            <w:tcW w:w="742" w:type="dxa"/>
            <w:tcBorders>
              <w:tl2br w:val="nil"/>
              <w:tr2bl w:val="nil"/>
            </w:tcBorders>
            <w:vAlign w:val="center"/>
          </w:tcPr>
          <w:p w14:paraId="2C9A6B6A">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15" w:type="dxa"/>
            <w:tcBorders>
              <w:tl2br w:val="nil"/>
              <w:tr2bl w:val="nil"/>
            </w:tcBorders>
            <w:vAlign w:val="center"/>
          </w:tcPr>
          <w:p w14:paraId="23CC71A5">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215" w:type="dxa"/>
            <w:tcBorders>
              <w:tl2br w:val="nil"/>
              <w:tr2bl w:val="nil"/>
            </w:tcBorders>
            <w:vAlign w:val="center"/>
          </w:tcPr>
          <w:p w14:paraId="36834EC6">
            <w:pPr>
              <w:widowControl/>
              <w:adjustRightInd/>
              <w:spacing w:line="360" w:lineRule="auto"/>
              <w:jc w:val="center"/>
              <w:rPr>
                <w:rFonts w:hint="eastAsia" w:ascii="宋体" w:hAnsi="宋体" w:eastAsia="宋体" w:cs="宋体"/>
                <w:color w:val="auto"/>
                <w:kern w:val="0"/>
                <w:sz w:val="21"/>
                <w:szCs w:val="21"/>
                <w:highlight w:val="none"/>
              </w:rPr>
            </w:pPr>
          </w:p>
        </w:tc>
      </w:tr>
      <w:tr w14:paraId="1E2FE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20" w:type="dxa"/>
            <w:tcBorders>
              <w:tl2br w:val="nil"/>
              <w:tr2bl w:val="nil"/>
            </w:tcBorders>
            <w:vAlign w:val="center"/>
          </w:tcPr>
          <w:p w14:paraId="22460BD9">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平台迁移</w:t>
            </w:r>
          </w:p>
        </w:tc>
        <w:tc>
          <w:tcPr>
            <w:tcW w:w="4726" w:type="dxa"/>
            <w:tcBorders>
              <w:tl2br w:val="nil"/>
              <w:tr2bl w:val="nil"/>
            </w:tcBorders>
            <w:vAlign w:val="center"/>
          </w:tcPr>
          <w:p w14:paraId="1CB542A6">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备将业务从现有政务云平台不间断迁移到所投云平台的能力和托管设备迁移的能力，要求提供可行性说明材料。根据项目实施的合理性、时效性及潜在风险进行评分。内容合理、时效性高、风险小、有针对性的得5分；内容基本合理、时效性一般、存在风险、针对性一般的得3分；内容偏差较大或时效性低或风险大或无针对性的得1分；未提供不得分。</w:t>
            </w:r>
          </w:p>
        </w:tc>
        <w:tc>
          <w:tcPr>
            <w:tcW w:w="742" w:type="dxa"/>
            <w:tcBorders>
              <w:tl2br w:val="nil"/>
              <w:tr2bl w:val="nil"/>
            </w:tcBorders>
            <w:vAlign w:val="center"/>
          </w:tcPr>
          <w:p w14:paraId="1F96577F">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215" w:type="dxa"/>
            <w:tcBorders>
              <w:tl2br w:val="nil"/>
              <w:tr2bl w:val="nil"/>
            </w:tcBorders>
            <w:vAlign w:val="center"/>
          </w:tcPr>
          <w:p w14:paraId="4F838CE4">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215" w:type="dxa"/>
            <w:tcBorders>
              <w:tl2br w:val="nil"/>
              <w:tr2bl w:val="nil"/>
            </w:tcBorders>
            <w:vAlign w:val="center"/>
          </w:tcPr>
          <w:p w14:paraId="2A19C2D5">
            <w:pPr>
              <w:widowControl/>
              <w:adjustRightInd/>
              <w:spacing w:line="360" w:lineRule="auto"/>
              <w:jc w:val="center"/>
              <w:rPr>
                <w:rFonts w:hint="eastAsia" w:ascii="宋体" w:hAnsi="宋体" w:eastAsia="宋体" w:cs="宋体"/>
                <w:color w:val="auto"/>
                <w:kern w:val="0"/>
                <w:sz w:val="21"/>
                <w:szCs w:val="21"/>
                <w:highlight w:val="none"/>
              </w:rPr>
            </w:pPr>
          </w:p>
        </w:tc>
      </w:tr>
      <w:tr w14:paraId="1743C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20" w:type="dxa"/>
            <w:tcBorders>
              <w:tl2br w:val="nil"/>
              <w:tr2bl w:val="nil"/>
            </w:tcBorders>
            <w:vAlign w:val="center"/>
          </w:tcPr>
          <w:p w14:paraId="525CD574">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平台迁移时间承诺</w:t>
            </w:r>
          </w:p>
        </w:tc>
        <w:tc>
          <w:tcPr>
            <w:tcW w:w="4726" w:type="dxa"/>
            <w:tcBorders>
              <w:tl2br w:val="nil"/>
              <w:tr2bl w:val="nil"/>
            </w:tcBorders>
            <w:vAlign w:val="center"/>
          </w:tcPr>
          <w:p w14:paraId="0BE5EDFA">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若存在政务云平台迁移情况的，需提供迁移工作时间承诺函，承诺在30天内完成迁移工作的得3分，承诺在45天内完成迁移工作的得2分，承诺在60天内完成迁移工作的得1分，其他不得分。</w:t>
            </w:r>
          </w:p>
          <w:p w14:paraId="3D1C821B">
            <w:pPr>
              <w:widowControl/>
              <w:adjustRightInd/>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注：提供承诺函，格式自拟。</w:t>
            </w:r>
          </w:p>
        </w:tc>
        <w:tc>
          <w:tcPr>
            <w:tcW w:w="742" w:type="dxa"/>
            <w:tcBorders>
              <w:tl2br w:val="nil"/>
              <w:tr2bl w:val="nil"/>
            </w:tcBorders>
            <w:vAlign w:val="center"/>
          </w:tcPr>
          <w:p w14:paraId="13206A22">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15" w:type="dxa"/>
            <w:tcBorders>
              <w:tl2br w:val="nil"/>
              <w:tr2bl w:val="nil"/>
            </w:tcBorders>
            <w:vAlign w:val="center"/>
          </w:tcPr>
          <w:p w14:paraId="47611770">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215" w:type="dxa"/>
            <w:tcBorders>
              <w:tl2br w:val="nil"/>
              <w:tr2bl w:val="nil"/>
            </w:tcBorders>
            <w:vAlign w:val="center"/>
          </w:tcPr>
          <w:p w14:paraId="5E203A8F">
            <w:pPr>
              <w:widowControl/>
              <w:adjustRightInd/>
              <w:spacing w:line="360" w:lineRule="auto"/>
              <w:jc w:val="center"/>
              <w:rPr>
                <w:rFonts w:hint="eastAsia" w:ascii="宋体" w:hAnsi="宋体" w:eastAsia="宋体" w:cs="宋体"/>
                <w:color w:val="auto"/>
                <w:kern w:val="0"/>
                <w:sz w:val="21"/>
                <w:szCs w:val="21"/>
                <w:highlight w:val="none"/>
              </w:rPr>
            </w:pPr>
          </w:p>
        </w:tc>
      </w:tr>
      <w:tr w14:paraId="06B1C4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 w:type="dxa"/>
            <w:tcBorders>
              <w:tl2br w:val="nil"/>
              <w:tr2bl w:val="nil"/>
            </w:tcBorders>
            <w:vAlign w:val="center"/>
          </w:tcPr>
          <w:p w14:paraId="5DD8E3F0">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组织实施方案</w:t>
            </w:r>
          </w:p>
        </w:tc>
        <w:tc>
          <w:tcPr>
            <w:tcW w:w="4726" w:type="dxa"/>
            <w:tcBorders>
              <w:tl2br w:val="nil"/>
              <w:tr2bl w:val="nil"/>
            </w:tcBorders>
            <w:vAlign w:val="center"/>
          </w:tcPr>
          <w:p w14:paraId="36E961E2">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提供的组织实施方案具有完备的管理组织、项目实施规范和管理制度；具有完善的质量管理体系，并能有效实施，视为方案科学、完整、合理。总体方案科学、完整、合理，完全满足采购人要求的得2分，内容基本完善合理的得1分；内容偏差较大或内容缺失较多或无内容的不得分。</w:t>
            </w:r>
          </w:p>
        </w:tc>
        <w:tc>
          <w:tcPr>
            <w:tcW w:w="742" w:type="dxa"/>
            <w:tcBorders>
              <w:tl2br w:val="nil"/>
              <w:tr2bl w:val="nil"/>
            </w:tcBorders>
            <w:vAlign w:val="center"/>
          </w:tcPr>
          <w:p w14:paraId="392305D5">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15" w:type="dxa"/>
            <w:tcBorders>
              <w:tl2br w:val="nil"/>
              <w:tr2bl w:val="nil"/>
            </w:tcBorders>
            <w:vAlign w:val="center"/>
          </w:tcPr>
          <w:p w14:paraId="490C764D">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215" w:type="dxa"/>
            <w:tcBorders>
              <w:tl2br w:val="nil"/>
              <w:tr2bl w:val="nil"/>
            </w:tcBorders>
            <w:vAlign w:val="center"/>
          </w:tcPr>
          <w:p w14:paraId="5EF04C64">
            <w:pPr>
              <w:widowControl/>
              <w:adjustRightInd/>
              <w:spacing w:line="360" w:lineRule="auto"/>
              <w:jc w:val="center"/>
              <w:rPr>
                <w:rFonts w:hint="eastAsia" w:ascii="宋体" w:hAnsi="宋体" w:eastAsia="宋体" w:cs="宋体"/>
                <w:color w:val="auto"/>
                <w:kern w:val="0"/>
                <w:sz w:val="21"/>
                <w:szCs w:val="21"/>
                <w:highlight w:val="none"/>
              </w:rPr>
            </w:pPr>
          </w:p>
        </w:tc>
      </w:tr>
      <w:tr w14:paraId="61137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0" w:type="dxa"/>
            <w:tcBorders>
              <w:tl2br w:val="nil"/>
              <w:tr2bl w:val="nil"/>
            </w:tcBorders>
            <w:vAlign w:val="center"/>
          </w:tcPr>
          <w:p w14:paraId="7480E026">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应急预案</w:t>
            </w:r>
          </w:p>
        </w:tc>
        <w:tc>
          <w:tcPr>
            <w:tcW w:w="4726" w:type="dxa"/>
            <w:tcBorders>
              <w:tl2br w:val="nil"/>
              <w:tr2bl w:val="nil"/>
            </w:tcBorders>
            <w:vAlign w:val="center"/>
          </w:tcPr>
          <w:p w14:paraId="5B1AE3EF">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eastAsia="zh-CN"/>
              </w:rPr>
              <w:t>内容翔实</w:t>
            </w:r>
            <w:r>
              <w:rPr>
                <w:rFonts w:hint="eastAsia" w:ascii="宋体" w:hAnsi="宋体" w:eastAsia="宋体" w:cs="宋体"/>
                <w:color w:val="auto"/>
                <w:kern w:val="0"/>
                <w:sz w:val="21"/>
                <w:szCs w:val="21"/>
                <w:highlight w:val="none"/>
              </w:rPr>
              <w:t>，科学合理，逻辑缜密，具有针对性，可实施性强的得2分；方案内容基本合理，针对性、可实施性一般的得1分；方案不够科学合理，针对性、可实施性差或无内容的不得分。</w:t>
            </w:r>
          </w:p>
        </w:tc>
        <w:tc>
          <w:tcPr>
            <w:tcW w:w="742" w:type="dxa"/>
            <w:tcBorders>
              <w:tl2br w:val="nil"/>
              <w:tr2bl w:val="nil"/>
            </w:tcBorders>
            <w:vAlign w:val="center"/>
          </w:tcPr>
          <w:p w14:paraId="3BE01A4E">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15" w:type="dxa"/>
            <w:tcBorders>
              <w:tl2br w:val="nil"/>
              <w:tr2bl w:val="nil"/>
            </w:tcBorders>
            <w:vAlign w:val="center"/>
          </w:tcPr>
          <w:p w14:paraId="322E3B1C">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215" w:type="dxa"/>
            <w:tcBorders>
              <w:tl2br w:val="nil"/>
              <w:tr2bl w:val="nil"/>
            </w:tcBorders>
            <w:vAlign w:val="center"/>
          </w:tcPr>
          <w:p w14:paraId="35028B70">
            <w:pPr>
              <w:widowControl/>
              <w:adjustRightInd/>
              <w:spacing w:line="360" w:lineRule="auto"/>
              <w:jc w:val="center"/>
              <w:rPr>
                <w:rFonts w:hint="eastAsia" w:ascii="宋体" w:hAnsi="宋体" w:eastAsia="宋体" w:cs="宋体"/>
                <w:color w:val="auto"/>
                <w:kern w:val="0"/>
                <w:sz w:val="21"/>
                <w:szCs w:val="21"/>
                <w:highlight w:val="none"/>
              </w:rPr>
            </w:pPr>
          </w:p>
        </w:tc>
      </w:tr>
      <w:tr w14:paraId="54874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120" w:type="dxa"/>
            <w:tcBorders>
              <w:tl2br w:val="nil"/>
              <w:tr2bl w:val="nil"/>
            </w:tcBorders>
            <w:vAlign w:val="center"/>
          </w:tcPr>
          <w:p w14:paraId="5C554E1F">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项目团队</w:t>
            </w:r>
          </w:p>
        </w:tc>
        <w:tc>
          <w:tcPr>
            <w:tcW w:w="4726" w:type="dxa"/>
            <w:tcBorders>
              <w:tl2br w:val="nil"/>
              <w:tr2bl w:val="nil"/>
            </w:tcBorders>
            <w:vAlign w:val="center"/>
          </w:tcPr>
          <w:p w14:paraId="55F08398">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1、投标人拟派项目经理（项目负责人）同时具有高级工程师及以上职称证书（信息技术专业）、</w:t>
            </w:r>
            <w:r>
              <w:rPr>
                <w:rFonts w:hint="eastAsia" w:ascii="宋体" w:hAnsi="宋体" w:eastAsia="宋体" w:cs="宋体"/>
                <w:color w:val="auto"/>
                <w:sz w:val="21"/>
                <w:szCs w:val="21"/>
                <w:highlight w:val="none"/>
              </w:rPr>
              <w:t>人社部门颁发的</w:t>
            </w:r>
            <w:r>
              <w:rPr>
                <w:rFonts w:hint="eastAsia" w:ascii="宋体" w:hAnsi="宋体" w:eastAsia="宋体" w:cs="宋体"/>
                <w:color w:val="auto"/>
                <w:kern w:val="0"/>
                <w:sz w:val="21"/>
                <w:szCs w:val="21"/>
                <w:highlight w:val="none"/>
              </w:rPr>
              <w:t>信息系统项目管理师（高级）、</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"https://baike.baidu.com/item/%E4%BA%BA%E4%BA%8B%E9%83%A8/2280100?fromModule=lemma_inlink" \t "https://baike.baidu.com/item/%E4%B8%AD%E5%8D%8E%E4%BA%BA%E6%B0%91%E5%85%B1%E5%92%8C%E5%9B%BD%E9%80%9A%E4%BF%A1%E4%B8%93%E4%B8%9A%E6%8A%80%E6%9C%AF%E4%BA%BA%E5%91%98%E8%81%8C%E4%B8%9A%E6%B0%B4%E5%B9%B3%E8%AF%81%E4%B9%A6/_blank"</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人社部</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与</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"https://baike.baidu.com/item/%E4%BF%A1%E6%81%AF%E4%BA%A7%E4%B8%9A%E9%83%A8/2212317?fromModule=lemma_inlink" \t "https://baike.baidu.com/item/%E4%B8%AD%E5%8D%8E%E4%BA%BA%E6%B0%91%E5%85%B1%E5%92%8C%E5%9B%BD%E9%80%9A%E4%BF%A1%E4%B8%93%E4%B8%9A%E6%8A%80%E6%9C%AF%E4%BA%BA%E5%91%98%E8%81%8C%E4%B8%9A%E6%B0%B4%E5%B9%B3%E8%AF%81%E4%B9%A6/_blank"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工信部</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联合颁发通信专业技术人员（中级及以上）的得2分，否则不得分。需提供社保证明，并提供相应证书复印件加盖投标人公章，不提供不得分。</w:t>
            </w:r>
          </w:p>
          <w:p w14:paraId="6C7AC0A1">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2、投标人拟派项目技术负责人同时具有</w:t>
            </w:r>
            <w:r>
              <w:rPr>
                <w:rFonts w:hint="eastAsia" w:ascii="宋体" w:hAnsi="宋体" w:eastAsia="宋体" w:cs="宋体"/>
                <w:color w:val="auto"/>
                <w:sz w:val="21"/>
                <w:szCs w:val="21"/>
                <w:highlight w:val="none"/>
              </w:rPr>
              <w:t>人社部门颁发的</w:t>
            </w:r>
            <w:r>
              <w:rPr>
                <w:rFonts w:hint="eastAsia" w:ascii="宋体" w:hAnsi="宋体" w:eastAsia="宋体" w:cs="宋体"/>
                <w:color w:val="auto"/>
                <w:kern w:val="0"/>
                <w:sz w:val="21"/>
                <w:szCs w:val="21"/>
                <w:highlight w:val="none"/>
              </w:rPr>
              <w:t>网络规划设计师证书、</w:t>
            </w:r>
            <w:r>
              <w:rPr>
                <w:rFonts w:hint="eastAsia" w:ascii="宋体" w:hAnsi="宋体" w:eastAsia="宋体" w:cs="宋体"/>
                <w:color w:val="auto"/>
                <w:sz w:val="21"/>
                <w:szCs w:val="21"/>
                <w:highlight w:val="none"/>
              </w:rPr>
              <w:t>人社部门颁发的</w:t>
            </w:r>
            <w:r>
              <w:rPr>
                <w:rFonts w:hint="eastAsia" w:ascii="宋体" w:hAnsi="宋体" w:eastAsia="宋体" w:cs="宋体"/>
                <w:color w:val="auto"/>
                <w:kern w:val="0"/>
                <w:sz w:val="21"/>
                <w:szCs w:val="21"/>
                <w:highlight w:val="none"/>
              </w:rPr>
              <w:t>信息安全工程师（或中国信息安全测评中心颁发的CISP注册信息安全工程师证书）的得2分，否则不得分。需提供社保证明，并提供相应证书复印件加盖投标人公章，不提供不得分。</w:t>
            </w:r>
          </w:p>
          <w:p w14:paraId="4BF31998">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3、投标人项目组成员中（除项目经理及项目技术负责人外）：具备相关专业高级工程师5人及以上且具有</w:t>
            </w:r>
            <w:r>
              <w:rPr>
                <w:rFonts w:hint="eastAsia" w:ascii="宋体" w:hAnsi="宋体" w:eastAsia="宋体" w:cs="宋体"/>
                <w:color w:val="auto"/>
                <w:sz w:val="21"/>
                <w:szCs w:val="21"/>
                <w:highlight w:val="none"/>
              </w:rPr>
              <w:t>人社部门颁发的</w:t>
            </w:r>
            <w:r>
              <w:rPr>
                <w:rFonts w:hint="eastAsia" w:ascii="宋体" w:hAnsi="宋体" w:eastAsia="宋体" w:cs="宋体"/>
                <w:color w:val="auto"/>
                <w:kern w:val="0"/>
                <w:sz w:val="21"/>
                <w:szCs w:val="21"/>
                <w:highlight w:val="none"/>
              </w:rPr>
              <w:t>信息系统项目管理师（高级）不少于8人的得3分；具备相关专业高级工程师2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4人且具有</w:t>
            </w:r>
            <w:r>
              <w:rPr>
                <w:rFonts w:hint="eastAsia" w:ascii="宋体" w:hAnsi="宋体" w:eastAsia="宋体" w:cs="宋体"/>
                <w:color w:val="auto"/>
                <w:sz w:val="21"/>
                <w:szCs w:val="21"/>
                <w:highlight w:val="none"/>
              </w:rPr>
              <w:t>人社部门颁发的</w:t>
            </w:r>
            <w:r>
              <w:rPr>
                <w:rFonts w:hint="eastAsia" w:ascii="宋体" w:hAnsi="宋体" w:eastAsia="宋体" w:cs="宋体"/>
                <w:color w:val="auto"/>
                <w:kern w:val="0"/>
                <w:sz w:val="21"/>
                <w:szCs w:val="21"/>
                <w:highlight w:val="none"/>
              </w:rPr>
              <w:t>信息系统项目管理师（高级）5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7人的得2分；具备相关专业高级工程师1人且具有</w:t>
            </w:r>
            <w:r>
              <w:rPr>
                <w:rFonts w:hint="eastAsia" w:ascii="宋体" w:hAnsi="宋体" w:eastAsia="宋体" w:cs="宋体"/>
                <w:color w:val="auto"/>
                <w:sz w:val="21"/>
                <w:szCs w:val="21"/>
                <w:highlight w:val="none"/>
              </w:rPr>
              <w:t>人社部门颁发的</w:t>
            </w:r>
            <w:r>
              <w:rPr>
                <w:rFonts w:hint="eastAsia" w:ascii="宋体" w:hAnsi="宋体" w:eastAsia="宋体" w:cs="宋体"/>
                <w:color w:val="auto"/>
                <w:kern w:val="0"/>
                <w:sz w:val="21"/>
                <w:szCs w:val="21"/>
                <w:highlight w:val="none"/>
              </w:rPr>
              <w:t>信息系统项目管理师（高级）2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4人得1分，其余不得分。本项最高得3分，需提供社保证明，并提供相应证书复印件加盖投标人公章，不提供不得分。（一人多证的可重复计分）</w:t>
            </w:r>
          </w:p>
        </w:tc>
        <w:tc>
          <w:tcPr>
            <w:tcW w:w="742" w:type="dxa"/>
            <w:tcBorders>
              <w:tl2br w:val="nil"/>
              <w:tr2bl w:val="nil"/>
            </w:tcBorders>
            <w:vAlign w:val="center"/>
          </w:tcPr>
          <w:p w14:paraId="392F6AD9">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215" w:type="dxa"/>
            <w:tcBorders>
              <w:tl2br w:val="nil"/>
              <w:tr2bl w:val="nil"/>
            </w:tcBorders>
            <w:vAlign w:val="center"/>
          </w:tcPr>
          <w:p w14:paraId="6CC3CE06">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215" w:type="dxa"/>
            <w:tcBorders>
              <w:tl2br w:val="nil"/>
              <w:tr2bl w:val="nil"/>
            </w:tcBorders>
            <w:vAlign w:val="center"/>
          </w:tcPr>
          <w:p w14:paraId="7EBC32E8">
            <w:pPr>
              <w:widowControl/>
              <w:adjustRightInd/>
              <w:spacing w:line="360" w:lineRule="auto"/>
              <w:jc w:val="center"/>
              <w:rPr>
                <w:rFonts w:hint="eastAsia" w:ascii="宋体" w:hAnsi="宋体" w:eastAsia="宋体" w:cs="宋体"/>
                <w:color w:val="auto"/>
                <w:kern w:val="0"/>
                <w:sz w:val="21"/>
                <w:szCs w:val="21"/>
                <w:highlight w:val="none"/>
              </w:rPr>
            </w:pPr>
          </w:p>
        </w:tc>
      </w:tr>
      <w:tr w14:paraId="008BC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120" w:type="dxa"/>
            <w:tcBorders>
              <w:tl2br w:val="nil"/>
              <w:tr2bl w:val="nil"/>
            </w:tcBorders>
            <w:vAlign w:val="center"/>
          </w:tcPr>
          <w:p w14:paraId="7FB2E2C6">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团队岗位配置等</w:t>
            </w:r>
          </w:p>
        </w:tc>
        <w:tc>
          <w:tcPr>
            <w:tcW w:w="4726" w:type="dxa"/>
            <w:tcBorders>
              <w:tl2br w:val="nil"/>
              <w:tr2bl w:val="nil"/>
            </w:tcBorders>
          </w:tcPr>
          <w:p w14:paraId="52A2CDDB">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团队人员岗位配置合理、相关工作经验丰富的得3分；岗位配置基本合理或基本具有相关工作经验的得2分；岗位分工不明或不具备相关工作经验的得1分；其余不得分。需提供相关佐证材料加盖投标人公章，不提供不得分。</w:t>
            </w:r>
          </w:p>
        </w:tc>
        <w:tc>
          <w:tcPr>
            <w:tcW w:w="742" w:type="dxa"/>
            <w:tcBorders>
              <w:tl2br w:val="nil"/>
              <w:tr2bl w:val="nil"/>
            </w:tcBorders>
            <w:vAlign w:val="center"/>
          </w:tcPr>
          <w:p w14:paraId="742CB312">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15" w:type="dxa"/>
            <w:tcBorders>
              <w:tl2br w:val="nil"/>
              <w:tr2bl w:val="nil"/>
            </w:tcBorders>
            <w:vAlign w:val="center"/>
          </w:tcPr>
          <w:p w14:paraId="78213556">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215" w:type="dxa"/>
            <w:tcBorders>
              <w:tl2br w:val="nil"/>
              <w:tr2bl w:val="nil"/>
            </w:tcBorders>
            <w:vAlign w:val="center"/>
          </w:tcPr>
          <w:p w14:paraId="16C627B6">
            <w:pPr>
              <w:widowControl/>
              <w:adjustRightInd/>
              <w:spacing w:line="360" w:lineRule="auto"/>
              <w:jc w:val="center"/>
              <w:rPr>
                <w:rFonts w:hint="eastAsia" w:ascii="宋体" w:hAnsi="宋体" w:eastAsia="宋体" w:cs="宋体"/>
                <w:color w:val="auto"/>
                <w:kern w:val="0"/>
                <w:sz w:val="21"/>
                <w:szCs w:val="21"/>
                <w:highlight w:val="none"/>
              </w:rPr>
            </w:pPr>
          </w:p>
        </w:tc>
      </w:tr>
      <w:tr w14:paraId="0D2F09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20" w:type="dxa"/>
            <w:tcBorders>
              <w:tl2br w:val="nil"/>
              <w:tr2bl w:val="nil"/>
            </w:tcBorders>
            <w:vAlign w:val="center"/>
          </w:tcPr>
          <w:p w14:paraId="47C0506E">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项目演示</w:t>
            </w:r>
          </w:p>
        </w:tc>
        <w:tc>
          <w:tcPr>
            <w:tcW w:w="4726" w:type="dxa"/>
            <w:tcBorders>
              <w:tl2br w:val="nil"/>
              <w:tr2bl w:val="nil"/>
            </w:tcBorders>
            <w:vAlign w:val="center"/>
          </w:tcPr>
          <w:p w14:paraId="2BE8547E">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投标平台服务能力演示，投标人演示以下产品的操作：</w:t>
            </w:r>
          </w:p>
          <w:p w14:paraId="34E1C5EA">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（1）云服务器相关功能演示：</w:t>
            </w:r>
            <w:r>
              <w:rPr>
                <w:rFonts w:hint="eastAsia" w:ascii="宋体" w:hAnsi="宋体" w:eastAsia="宋体" w:cs="宋体"/>
                <w:color w:val="auto"/>
                <w:sz w:val="21"/>
                <w:szCs w:val="21"/>
                <w:highlight w:val="none"/>
                <w:lang w:val="zh-TW"/>
              </w:rPr>
              <w:t>产品功能完善、</w:t>
            </w:r>
            <w:r>
              <w:rPr>
                <w:rFonts w:hint="eastAsia" w:ascii="宋体" w:hAnsi="宋体" w:eastAsia="宋体" w:cs="宋体"/>
                <w:color w:val="auto"/>
                <w:sz w:val="21"/>
                <w:szCs w:val="21"/>
                <w:highlight w:val="none"/>
              </w:rPr>
              <w:t>可行、界面划分清晰</w:t>
            </w:r>
            <w:r>
              <w:rPr>
                <w:rFonts w:hint="eastAsia" w:ascii="宋体" w:hAnsi="宋体" w:eastAsia="宋体" w:cs="宋体"/>
                <w:color w:val="auto"/>
                <w:sz w:val="21"/>
                <w:szCs w:val="21"/>
                <w:highlight w:val="none"/>
                <w:lang w:val="zh-TW"/>
              </w:rPr>
              <w:t>得</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TW"/>
              </w:rPr>
              <w:t>分；产品功能</w:t>
            </w:r>
            <w:r>
              <w:rPr>
                <w:rFonts w:hint="eastAsia" w:ascii="宋体" w:hAnsi="宋体" w:eastAsia="宋体" w:cs="宋体"/>
                <w:color w:val="auto"/>
                <w:sz w:val="21"/>
                <w:szCs w:val="21"/>
                <w:highlight w:val="none"/>
              </w:rPr>
              <w:t>缺失、功能界面划分不清晰的得1分</w:t>
            </w:r>
            <w:r>
              <w:rPr>
                <w:rFonts w:hint="eastAsia" w:ascii="宋体" w:hAnsi="宋体" w:eastAsia="宋体" w:cs="宋体"/>
                <w:color w:val="auto"/>
                <w:sz w:val="21"/>
                <w:szCs w:val="21"/>
                <w:highlight w:val="none"/>
                <w:lang w:val="zh-TW"/>
              </w:rPr>
              <w:t>，未演示或演示不成功不得分。</w:t>
            </w:r>
          </w:p>
          <w:p w14:paraId="76B9B1FE">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（2）负载均衡相关功能演示：</w:t>
            </w:r>
            <w:r>
              <w:rPr>
                <w:rFonts w:hint="eastAsia" w:ascii="宋体" w:hAnsi="宋体" w:eastAsia="宋体" w:cs="宋体"/>
                <w:color w:val="auto"/>
                <w:sz w:val="21"/>
                <w:szCs w:val="21"/>
                <w:highlight w:val="none"/>
                <w:lang w:val="zh-TW"/>
              </w:rPr>
              <w:t>产品功能完善、</w:t>
            </w:r>
            <w:r>
              <w:rPr>
                <w:rFonts w:hint="eastAsia" w:ascii="宋体" w:hAnsi="宋体" w:eastAsia="宋体" w:cs="宋体"/>
                <w:color w:val="auto"/>
                <w:sz w:val="21"/>
                <w:szCs w:val="21"/>
                <w:highlight w:val="none"/>
              </w:rPr>
              <w:t>可行、界面划分清晰</w:t>
            </w:r>
            <w:r>
              <w:rPr>
                <w:rFonts w:hint="eastAsia" w:ascii="宋体" w:hAnsi="宋体" w:eastAsia="宋体" w:cs="宋体"/>
                <w:color w:val="auto"/>
                <w:sz w:val="21"/>
                <w:szCs w:val="21"/>
                <w:highlight w:val="none"/>
                <w:lang w:val="zh-TW"/>
              </w:rPr>
              <w:t>得</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TW"/>
              </w:rPr>
              <w:t>分；产品功能</w:t>
            </w:r>
            <w:r>
              <w:rPr>
                <w:rFonts w:hint="eastAsia" w:ascii="宋体" w:hAnsi="宋体" w:eastAsia="宋体" w:cs="宋体"/>
                <w:color w:val="auto"/>
                <w:sz w:val="21"/>
                <w:szCs w:val="21"/>
                <w:highlight w:val="none"/>
              </w:rPr>
              <w:t>缺失、功能界面划分不清晰的得1分</w:t>
            </w:r>
            <w:r>
              <w:rPr>
                <w:rFonts w:hint="eastAsia" w:ascii="宋体" w:hAnsi="宋体" w:eastAsia="宋体" w:cs="宋体"/>
                <w:color w:val="auto"/>
                <w:sz w:val="21"/>
                <w:szCs w:val="21"/>
                <w:highlight w:val="none"/>
                <w:lang w:val="zh-TW"/>
              </w:rPr>
              <w:t>，未演示或演示不成功不得分。</w:t>
            </w:r>
          </w:p>
          <w:p w14:paraId="0E3117F2">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（3）对象存储相关功能演示：</w:t>
            </w:r>
            <w:r>
              <w:rPr>
                <w:rFonts w:hint="eastAsia" w:ascii="宋体" w:hAnsi="宋体" w:eastAsia="宋体" w:cs="宋体"/>
                <w:color w:val="auto"/>
                <w:sz w:val="21"/>
                <w:szCs w:val="21"/>
                <w:highlight w:val="none"/>
                <w:lang w:val="zh-TW"/>
              </w:rPr>
              <w:t>产品功能完善、</w:t>
            </w:r>
            <w:r>
              <w:rPr>
                <w:rFonts w:hint="eastAsia" w:ascii="宋体" w:hAnsi="宋体" w:eastAsia="宋体" w:cs="宋体"/>
                <w:color w:val="auto"/>
                <w:sz w:val="21"/>
                <w:szCs w:val="21"/>
                <w:highlight w:val="none"/>
              </w:rPr>
              <w:t>可行、界面划分清晰</w:t>
            </w:r>
            <w:r>
              <w:rPr>
                <w:rFonts w:hint="eastAsia" w:ascii="宋体" w:hAnsi="宋体" w:eastAsia="宋体" w:cs="宋体"/>
                <w:color w:val="auto"/>
                <w:sz w:val="21"/>
                <w:szCs w:val="21"/>
                <w:highlight w:val="none"/>
                <w:lang w:val="zh-TW"/>
              </w:rPr>
              <w:t>得</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TW"/>
              </w:rPr>
              <w:t>分；产品功能</w:t>
            </w:r>
            <w:r>
              <w:rPr>
                <w:rFonts w:hint="eastAsia" w:ascii="宋体" w:hAnsi="宋体" w:eastAsia="宋体" w:cs="宋体"/>
                <w:color w:val="auto"/>
                <w:sz w:val="21"/>
                <w:szCs w:val="21"/>
                <w:highlight w:val="none"/>
              </w:rPr>
              <w:t>缺失、功能界面划分不清晰的得1分</w:t>
            </w:r>
            <w:r>
              <w:rPr>
                <w:rFonts w:hint="eastAsia" w:ascii="宋体" w:hAnsi="宋体" w:eastAsia="宋体" w:cs="宋体"/>
                <w:color w:val="auto"/>
                <w:sz w:val="21"/>
                <w:szCs w:val="21"/>
                <w:highlight w:val="none"/>
                <w:lang w:val="zh-TW"/>
              </w:rPr>
              <w:t>，未演示或演示不成功不得分。</w:t>
            </w:r>
          </w:p>
          <w:p w14:paraId="170A4338">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（4）基于零信任技术的应用接入安全防护服务相关功能（包含但不限于：1、风险阈值设定；2、对异常事件的静态验证、冻结账号操作；3、可调节冻结账号的时间；4、支持邮件告警、</w:t>
            </w:r>
            <w:r>
              <w:rPr>
                <w:rFonts w:hint="eastAsia" w:ascii="宋体" w:hAnsi="宋体" w:eastAsia="宋体" w:cs="宋体"/>
                <w:color w:val="auto"/>
                <w:kern w:val="0"/>
                <w:sz w:val="21"/>
                <w:szCs w:val="21"/>
                <w:highlight w:val="none"/>
                <w:lang w:eastAsia="zh-CN"/>
              </w:rPr>
              <w:t>钉钉（浙政钉）</w:t>
            </w:r>
            <w:r>
              <w:rPr>
                <w:rFonts w:hint="eastAsia" w:ascii="宋体" w:hAnsi="宋体" w:eastAsia="宋体" w:cs="宋体"/>
                <w:color w:val="auto"/>
                <w:kern w:val="0"/>
                <w:sz w:val="21"/>
                <w:szCs w:val="21"/>
                <w:highlight w:val="none"/>
              </w:rPr>
              <w:t>告警、</w:t>
            </w:r>
            <w:r>
              <w:rPr>
                <w:rFonts w:hint="eastAsia" w:ascii="宋体" w:hAnsi="宋体" w:eastAsia="宋体" w:cs="宋体"/>
                <w:color w:val="auto"/>
                <w:kern w:val="0"/>
                <w:sz w:val="21"/>
                <w:szCs w:val="21"/>
                <w:highlight w:val="none"/>
                <w:lang w:eastAsia="zh-CN"/>
              </w:rPr>
              <w:t>短信</w:t>
            </w:r>
            <w:r>
              <w:rPr>
                <w:rFonts w:hint="eastAsia" w:ascii="宋体" w:hAnsi="宋体" w:eastAsia="宋体" w:cs="宋体"/>
                <w:color w:val="auto"/>
                <w:kern w:val="0"/>
                <w:sz w:val="21"/>
                <w:szCs w:val="21"/>
                <w:highlight w:val="none"/>
              </w:rPr>
              <w:t>告警等多种通知方式；5、敏感数据的审计策略支持全局全应用或者作用于某应用）演示：产品功能完善、可行、界面划分清晰得2分；产品功能缺失、功能界面划分不清晰的得1分，未演示或演示不成功不得分。</w:t>
            </w:r>
          </w:p>
          <w:p w14:paraId="308D60FB">
            <w:pPr>
              <w:widowControl/>
              <w:adjustRightInd/>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基于零信任技术的核心数据可信访问服务（包含但不限于：1、基于沙箱的虚拟应用技术，可集成chrome、firefox、wps、IDEA、dbeaver等应用访问数据资源服务器；2、数据安全盘功能：支持对每个运维开发人员即时创建独立的安全数据盘，安全数据盘大小可配置，数据下载需审批；3、数据流转控制功能：支持对核心研发数据的下载、流转、复制等权限进行严格控制，不影响数据使用。）功能演示：产品功能完善、可行、界面划分清晰得2分；产品功能缺失、功能界面划分不清晰的得1分，未演示或演示不成功不得分。</w:t>
            </w:r>
          </w:p>
        </w:tc>
        <w:tc>
          <w:tcPr>
            <w:tcW w:w="742" w:type="dxa"/>
            <w:tcBorders>
              <w:tl2br w:val="nil"/>
              <w:tr2bl w:val="nil"/>
            </w:tcBorders>
            <w:vAlign w:val="center"/>
          </w:tcPr>
          <w:p w14:paraId="17FC760C">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215" w:type="dxa"/>
            <w:tcBorders>
              <w:tl2br w:val="nil"/>
              <w:tr2bl w:val="nil"/>
            </w:tcBorders>
            <w:vAlign w:val="center"/>
          </w:tcPr>
          <w:p w14:paraId="1B3D4FD8">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主观分</w:t>
            </w:r>
          </w:p>
        </w:tc>
        <w:tc>
          <w:tcPr>
            <w:tcW w:w="1215" w:type="dxa"/>
            <w:tcBorders>
              <w:tl2br w:val="nil"/>
              <w:tr2bl w:val="nil"/>
            </w:tcBorders>
            <w:vAlign w:val="center"/>
          </w:tcPr>
          <w:p w14:paraId="2CD7602D">
            <w:pPr>
              <w:widowControl/>
              <w:adjustRightInd/>
              <w:spacing w:line="360" w:lineRule="auto"/>
              <w:jc w:val="center"/>
              <w:rPr>
                <w:rFonts w:hint="eastAsia" w:ascii="宋体" w:hAnsi="宋体" w:eastAsia="宋体" w:cs="宋体"/>
                <w:color w:val="auto"/>
                <w:kern w:val="0"/>
                <w:sz w:val="21"/>
                <w:szCs w:val="21"/>
                <w:highlight w:val="none"/>
              </w:rPr>
            </w:pPr>
          </w:p>
        </w:tc>
      </w:tr>
      <w:tr w14:paraId="52C6F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20" w:type="dxa"/>
            <w:tcBorders>
              <w:tl2br w:val="nil"/>
              <w:tr2bl w:val="nil"/>
            </w:tcBorders>
            <w:vAlign w:val="center"/>
          </w:tcPr>
          <w:p w14:paraId="08F6DEF1">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tc>
        <w:tc>
          <w:tcPr>
            <w:tcW w:w="4726" w:type="dxa"/>
            <w:tcBorders>
              <w:tl2br w:val="nil"/>
              <w:tr2bl w:val="nil"/>
            </w:tcBorders>
            <w:vAlign w:val="center"/>
          </w:tcPr>
          <w:p w14:paraId="0547D285">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有效投标报价的最低价作为评标基准价，其最低报价为满分；按［投标报价得分=（评标基准价/投标报价）*10］的计算公式计算。</w:t>
            </w:r>
          </w:p>
          <w:p w14:paraId="6223B95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评标过程中，不得去掉报价中的最高报价和最低报价。</w:t>
            </w:r>
          </w:p>
          <w:p w14:paraId="08748989">
            <w:pPr>
              <w:widowControl/>
              <w:adjustRightIn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因落实政府采购政策需要进行价格调整的，以调整后的价格计算评标基准价和投标报价。</w:t>
            </w:r>
          </w:p>
        </w:tc>
        <w:tc>
          <w:tcPr>
            <w:tcW w:w="742" w:type="dxa"/>
            <w:tcBorders>
              <w:tl2br w:val="nil"/>
              <w:tr2bl w:val="nil"/>
            </w:tcBorders>
            <w:vAlign w:val="center"/>
          </w:tcPr>
          <w:p w14:paraId="4AE3E6BB">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215" w:type="dxa"/>
            <w:tcBorders>
              <w:tl2br w:val="nil"/>
              <w:tr2bl w:val="nil"/>
            </w:tcBorders>
            <w:vAlign w:val="center"/>
          </w:tcPr>
          <w:p w14:paraId="7DC19B8A">
            <w:pPr>
              <w:widowControl/>
              <w:adjustRightInd/>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客观分</w:t>
            </w:r>
          </w:p>
        </w:tc>
        <w:tc>
          <w:tcPr>
            <w:tcW w:w="1215" w:type="dxa"/>
            <w:tcBorders>
              <w:tl2br w:val="nil"/>
              <w:tr2bl w:val="nil"/>
            </w:tcBorders>
            <w:vAlign w:val="center"/>
          </w:tcPr>
          <w:p w14:paraId="0A262EE3">
            <w:pPr>
              <w:widowControl/>
              <w:adjustRightInd/>
              <w:spacing w:line="360" w:lineRule="auto"/>
              <w:jc w:val="center"/>
              <w:rPr>
                <w:rFonts w:hint="eastAsia" w:ascii="宋体" w:hAnsi="宋体" w:eastAsia="宋体" w:cs="宋体"/>
                <w:color w:val="auto"/>
                <w:kern w:val="0"/>
                <w:sz w:val="21"/>
                <w:szCs w:val="21"/>
                <w:highlight w:val="none"/>
              </w:rPr>
            </w:pPr>
          </w:p>
        </w:tc>
      </w:tr>
    </w:tbl>
    <w:p w14:paraId="1DDC9E2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w:t>
      </w:r>
    </w:p>
    <w:p w14:paraId="351E2A8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1.投标人编制投标文件（商务技术文件部分）时，建议按此目录（序号和内容）提供评标标准相应的商务技术资料。</w:t>
      </w:r>
    </w:p>
    <w:p w14:paraId="1F3C275E">
      <w:pPr>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p w14:paraId="588010F0">
      <w:pPr>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1D7CFFFF">
      <w:pPr>
        <w:pStyle w:val="3"/>
        <w:rPr>
          <w:rFonts w:hint="eastAsia"/>
          <w:color w:val="auto"/>
          <w:szCs w:val="21"/>
          <w:highlight w:val="none"/>
        </w:rPr>
      </w:pPr>
      <w:r>
        <w:rPr>
          <w:rFonts w:hint="eastAsia"/>
          <w:color w:val="auto"/>
          <w:szCs w:val="21"/>
          <w:highlight w:val="none"/>
        </w:rPr>
        <w:t>一、评标方法</w:t>
      </w:r>
    </w:p>
    <w:p w14:paraId="71E718CD">
      <w:pPr>
        <w:adjustRightInd/>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综合评分法，是指投标文件满足招标文件全部实质性要求，且按照评审因素的量化指标评审得分最高的投标人为中标候选人的评标方法。</w:t>
      </w:r>
    </w:p>
    <w:p w14:paraId="0CCE64BC">
      <w:pPr>
        <w:pStyle w:val="3"/>
        <w:rPr>
          <w:rFonts w:hint="eastAsia"/>
          <w:color w:val="auto"/>
          <w:szCs w:val="21"/>
          <w:highlight w:val="none"/>
        </w:rPr>
      </w:pPr>
      <w:r>
        <w:rPr>
          <w:rFonts w:hint="eastAsia"/>
          <w:color w:val="auto"/>
          <w:szCs w:val="21"/>
          <w:highlight w:val="none"/>
        </w:rPr>
        <w:t>二、评标标准</w:t>
      </w:r>
    </w:p>
    <w:p w14:paraId="408E52FF">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2.评标标准：</w:t>
      </w:r>
      <w:r>
        <w:rPr>
          <w:rFonts w:hint="eastAsia" w:ascii="宋体" w:hAnsi="宋体" w:cs="宋体"/>
          <w:color w:val="auto"/>
          <w:kern w:val="0"/>
          <w:szCs w:val="21"/>
          <w:highlight w:val="none"/>
        </w:rPr>
        <w:t>见评标办法前附表。</w:t>
      </w:r>
    </w:p>
    <w:p w14:paraId="31B4D3D3">
      <w:pPr>
        <w:pStyle w:val="3"/>
        <w:rPr>
          <w:rFonts w:hint="eastAsia"/>
          <w:color w:val="auto"/>
          <w:szCs w:val="21"/>
          <w:highlight w:val="none"/>
        </w:rPr>
      </w:pPr>
      <w:r>
        <w:rPr>
          <w:rFonts w:hint="eastAsia"/>
          <w:color w:val="auto"/>
          <w:szCs w:val="21"/>
          <w:highlight w:val="none"/>
        </w:rPr>
        <w:t>三、评标程序</w:t>
      </w:r>
    </w:p>
    <w:p w14:paraId="054BE35F">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3.1符合性审查。评标委员会应当对符合资格的投标人的投标文件进行符合性审查，以确定其是否满足招标文件的实质性要求。不满足招标文件的实质性要求的，投标无效。</w:t>
      </w:r>
    </w:p>
    <w:p w14:paraId="5915C3AC">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3.2 比较与评价。评标委员会应当按照招标文件中规定的评标方法和标准，对符合性审查合格的投标文件进行商务和技术评估，综合比较与评价。</w:t>
      </w:r>
    </w:p>
    <w:p w14:paraId="515B8A84">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3.3汇总商务技术得分。评标委员会各成员应当独立对每个投标人的商务和技术文件进行评价，并汇总商务技术得分情况。</w:t>
      </w:r>
    </w:p>
    <w:p w14:paraId="2951D45D">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3.4报价评审。</w:t>
      </w:r>
    </w:p>
    <w:p w14:paraId="2EDE9B9E">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3.4.1投标文件报价出现前后不一致的，按照下列规定修正：</w:t>
      </w:r>
    </w:p>
    <w:p w14:paraId="5205AEB3">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3.4.1.1投标文件中开标一览表</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报价表</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内容与投标文件中相应内容不一致的，以开标一览表</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报价表</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为准</w:t>
      </w:r>
      <w:r>
        <w:rPr>
          <w:rFonts w:hint="eastAsia" w:ascii="宋体" w:hAnsi="宋体" w:cs="宋体"/>
          <w:bCs/>
          <w:color w:val="auto"/>
          <w:kern w:val="0"/>
          <w:szCs w:val="21"/>
          <w:highlight w:val="none"/>
          <w:lang w:eastAsia="zh-CN"/>
        </w:rPr>
        <w:t>；</w:t>
      </w:r>
    </w:p>
    <w:p w14:paraId="1ECE58C5">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3.4.1.2大写金额和小写金额不一致的，以大写金额为准</w:t>
      </w:r>
      <w:r>
        <w:rPr>
          <w:rFonts w:hint="eastAsia" w:ascii="宋体" w:hAnsi="宋体" w:cs="宋体"/>
          <w:bCs/>
          <w:color w:val="auto"/>
          <w:kern w:val="0"/>
          <w:szCs w:val="21"/>
          <w:highlight w:val="none"/>
          <w:lang w:eastAsia="zh-CN"/>
        </w:rPr>
        <w:t>；</w:t>
      </w:r>
    </w:p>
    <w:p w14:paraId="22CDC529">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3.4.1.3单价金额小数点或者百分比有明显错位的，以开标一览表的总价为准，并修改单价</w:t>
      </w:r>
      <w:r>
        <w:rPr>
          <w:rFonts w:hint="eastAsia" w:ascii="宋体" w:hAnsi="宋体" w:cs="宋体"/>
          <w:bCs/>
          <w:color w:val="auto"/>
          <w:kern w:val="0"/>
          <w:szCs w:val="21"/>
          <w:highlight w:val="none"/>
          <w:lang w:eastAsia="zh-CN"/>
        </w:rPr>
        <w:t>；</w:t>
      </w:r>
    </w:p>
    <w:p w14:paraId="2DD3250C">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3.4.1.4总价金额与按单价汇总金额不一致的，以单价金额计算结果为准。</w:t>
      </w:r>
    </w:p>
    <w:p w14:paraId="56693F77">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F7DB05D">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3.4.2投标文件出现不是唯一的、有选择性投标报价的，投标无效。</w:t>
      </w:r>
    </w:p>
    <w:p w14:paraId="5A59C75D">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3.4.3投标报价超过招标文件中规定的预算金额或者最高限价的，投标无效。</w:t>
      </w:r>
    </w:p>
    <w:p w14:paraId="44356F61">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投标人不能证明其报价合理性的，评标委员会应当将其作为无效投标处理。</w:t>
      </w:r>
    </w:p>
    <w:p w14:paraId="7AFE19CB">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614B5B0">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4E3A4A3">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E2F1ABE">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B21DE9">
      <w:pPr>
        <w:pStyle w:val="3"/>
        <w:rPr>
          <w:rFonts w:hint="eastAsia"/>
          <w:color w:val="auto"/>
          <w:szCs w:val="21"/>
          <w:highlight w:val="none"/>
        </w:rPr>
      </w:pPr>
      <w:r>
        <w:rPr>
          <w:rFonts w:hint="eastAsia"/>
          <w:color w:val="auto"/>
          <w:szCs w:val="21"/>
          <w:highlight w:val="none"/>
        </w:rPr>
        <w:t>四、评标中的其他事项</w:t>
      </w:r>
    </w:p>
    <w:p w14:paraId="2DC0C028">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DB67651">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4.2投标无效。有下列情形之一的，投标无效：</w:t>
      </w:r>
    </w:p>
    <w:p w14:paraId="3BA29794">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4.2.1投标人不具备招标文件中规定的资格要求的（投标人未提供有效的资格文件的，视为投标人不具备招标文件中规定的资格要求）；</w:t>
      </w:r>
    </w:p>
    <w:p w14:paraId="181F7BEA">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4.2.2投标文件未按照招标文件要求签署、盖章的；</w:t>
      </w:r>
    </w:p>
    <w:p w14:paraId="1773F6AA">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14:paraId="359E855D">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4.2.4投标文件含有采购人不能接受的附加条件的；</w:t>
      </w:r>
    </w:p>
    <w:p w14:paraId="7E9F55A5">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4.2.5投标文件中承诺的投标有效期少于招标文件中载明的投标有效期的；</w:t>
      </w:r>
    </w:p>
    <w:p w14:paraId="155415F1">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4.2.6投标文件出现不是唯一的、有选择性投标报价的</w:t>
      </w:r>
      <w:r>
        <w:rPr>
          <w:rFonts w:hint="eastAsia" w:ascii="宋体" w:hAnsi="宋体" w:cs="宋体"/>
          <w:bCs/>
          <w:color w:val="auto"/>
          <w:kern w:val="0"/>
          <w:szCs w:val="21"/>
          <w:highlight w:val="none"/>
          <w:lang w:eastAsia="zh-CN"/>
        </w:rPr>
        <w:t>；</w:t>
      </w:r>
    </w:p>
    <w:p w14:paraId="3603EC54">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4.2.7投标报价超过招标文件中规定的预算金额或者最高限价的</w:t>
      </w:r>
      <w:r>
        <w:rPr>
          <w:rFonts w:hint="eastAsia" w:ascii="宋体" w:hAnsi="宋体" w:cs="宋体"/>
          <w:bCs/>
          <w:color w:val="auto"/>
          <w:kern w:val="0"/>
          <w:szCs w:val="21"/>
          <w:highlight w:val="none"/>
          <w:lang w:eastAsia="zh-CN"/>
        </w:rPr>
        <w:t>；</w:t>
      </w:r>
    </w:p>
    <w:p w14:paraId="63A12011">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bCs/>
          <w:color w:val="auto"/>
          <w:kern w:val="0"/>
          <w:szCs w:val="21"/>
          <w:highlight w:val="none"/>
          <w:lang w:eastAsia="zh-CN"/>
        </w:rPr>
        <w:t>；</w:t>
      </w:r>
    </w:p>
    <w:p w14:paraId="14B688D3">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4.2.9投标人对根据修正原则修正后的报价不确认的；</w:t>
      </w:r>
    </w:p>
    <w:p w14:paraId="2E2ED4F7">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4.2.10投标人提供虚假材料投标的；</w:t>
      </w:r>
    </w:p>
    <w:p w14:paraId="1C1B5124">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4.2.11投标人有恶意串通、妨碍其他投标人的竞争行为、损害采购人或者其他投标人的合法权益情形的；</w:t>
      </w:r>
    </w:p>
    <w:p w14:paraId="24B2D113">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4.2.12投标人仅提交备份投标文件，未在电子交易平台传输递交投标文件的，投标无效；</w:t>
      </w:r>
    </w:p>
    <w:p w14:paraId="64C497FC">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4.2.13 投标文件不满足招标文件的</w:t>
      </w:r>
      <w:r>
        <w:rPr>
          <w:rFonts w:hint="eastAsia" w:ascii="宋体" w:hAnsi="宋体" w:cs="宋体"/>
          <w:bCs/>
          <w:color w:val="auto"/>
          <w:kern w:val="0"/>
          <w:szCs w:val="21"/>
          <w:highlight w:val="none"/>
          <w:lang w:eastAsia="zh-CN"/>
        </w:rPr>
        <w:t>其他</w:t>
      </w:r>
      <w:r>
        <w:rPr>
          <w:rFonts w:hint="eastAsia" w:ascii="宋体" w:hAnsi="宋体" w:cs="宋体"/>
          <w:bCs/>
          <w:color w:val="auto"/>
          <w:kern w:val="0"/>
          <w:szCs w:val="21"/>
          <w:highlight w:val="none"/>
        </w:rPr>
        <w:t>实质性要求的；</w:t>
      </w:r>
    </w:p>
    <w:p w14:paraId="1CE7DD31">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4.2.14</w:t>
      </w:r>
      <w:r>
        <w:rPr>
          <w:rFonts w:hint="eastAsia" w:ascii="宋体" w:hAnsi="宋体" w:cs="宋体"/>
          <w:bCs/>
          <w:color w:val="auto"/>
          <w:kern w:val="0"/>
          <w:szCs w:val="21"/>
          <w:highlight w:val="none"/>
          <w:lang w:eastAsia="zh-CN"/>
        </w:rPr>
        <w:t>法律、法规</w:t>
      </w:r>
      <w:r>
        <w:rPr>
          <w:rFonts w:hint="eastAsia" w:ascii="宋体" w:hAnsi="宋体" w:cs="宋体"/>
          <w:bCs/>
          <w:color w:val="auto"/>
          <w:kern w:val="0"/>
          <w:szCs w:val="21"/>
          <w:highlight w:val="none"/>
        </w:rPr>
        <w:t>、规章（适用本市的）及省级以上规范性文件（适用本市的）规定的其他无效情形。</w:t>
      </w:r>
    </w:p>
    <w:p w14:paraId="3787DC67">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说明：上述4.2.11中情形，除政府采购法律法规规定的恶意串通、视同串通投标情形外，还包括下列情形：</w:t>
      </w:r>
    </w:p>
    <w:p w14:paraId="4AF6C1B2">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（1）不同供应商的电子投标（响应）文件上传计算机的网卡MAC地址、IP地址、CPU序列号和硬盘序列号等硬件信息相同的；</w:t>
      </w:r>
    </w:p>
    <w:p w14:paraId="706F478C">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（2）不同供应商的投标（响应）文件由同一电子设备编制、打印加密或者上传；</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文件署名、文件作者为同一人或同一单位但无法做出合理解释的</w:t>
      </w:r>
      <w:r>
        <w:rPr>
          <w:rFonts w:hint="eastAsia" w:ascii="宋体" w:hAnsi="宋体" w:cs="宋体"/>
          <w:bCs/>
          <w:color w:val="auto"/>
          <w:kern w:val="0"/>
          <w:szCs w:val="21"/>
          <w:highlight w:val="none"/>
          <w:lang w:eastAsia="zh-CN"/>
        </w:rPr>
        <w:t>）</w:t>
      </w:r>
    </w:p>
    <w:p w14:paraId="7B1E387B">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（3）不同供应商的投标（响应）文件由同一电子设备打印、复印；</w:t>
      </w:r>
    </w:p>
    <w:p w14:paraId="45960511">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（4）不同供应商联系人为同一人或不同联系人的联系电话一致的；（再研究）</w:t>
      </w:r>
    </w:p>
    <w:p w14:paraId="075DFB48">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（5）不同供应商的投标（响应）文件的内容存在两处以上细节错误一致；</w:t>
      </w:r>
    </w:p>
    <w:p w14:paraId="58EA0DEB">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（6）不同供应商的法定代表人、委托代理人、</w:t>
      </w:r>
      <w:r>
        <w:rPr>
          <w:rFonts w:hint="eastAsia" w:ascii="宋体" w:hAnsi="宋体" w:cs="宋体"/>
          <w:bCs/>
          <w:color w:val="auto"/>
          <w:kern w:val="0"/>
          <w:szCs w:val="21"/>
          <w:highlight w:val="none"/>
          <w:lang w:eastAsia="zh-CN"/>
        </w:rPr>
        <w:t>项目经理</w:t>
      </w:r>
      <w:r>
        <w:rPr>
          <w:rFonts w:hint="eastAsia" w:ascii="宋体" w:hAnsi="宋体" w:cs="宋体"/>
          <w:bCs/>
          <w:color w:val="auto"/>
          <w:kern w:val="0"/>
          <w:szCs w:val="21"/>
          <w:highlight w:val="none"/>
        </w:rPr>
        <w:t>、项目负责人等由同一个单位缴纳社会保险或者领取报酬的；</w:t>
      </w:r>
    </w:p>
    <w:p w14:paraId="66276ECD">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5.废标。根据《中华人民共和国政府采购法》第三十六条之规定，在采购中，出现下列情形之一的，应予废标：</w:t>
      </w:r>
    </w:p>
    <w:p w14:paraId="4FF01394">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5.1符合专业条件的供应商或者对招标文件</w:t>
      </w:r>
      <w:r>
        <w:rPr>
          <w:rFonts w:hint="eastAsia" w:ascii="宋体" w:hAnsi="宋体" w:cs="宋体"/>
          <w:bCs/>
          <w:color w:val="auto"/>
          <w:kern w:val="0"/>
          <w:szCs w:val="21"/>
          <w:highlight w:val="none"/>
          <w:lang w:eastAsia="zh-CN"/>
        </w:rPr>
        <w:t>做</w:t>
      </w:r>
      <w:r>
        <w:rPr>
          <w:rFonts w:hint="eastAsia" w:ascii="宋体" w:hAnsi="宋体" w:cs="宋体"/>
          <w:bCs/>
          <w:color w:val="auto"/>
          <w:kern w:val="0"/>
          <w:szCs w:val="21"/>
          <w:highlight w:val="none"/>
        </w:rPr>
        <w:t>实质响应的供应商不足3家的；</w:t>
      </w:r>
    </w:p>
    <w:p w14:paraId="7500E961">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5.2出现影响采购公正的违法、违规行为的；</w:t>
      </w:r>
    </w:p>
    <w:p w14:paraId="669E2E3E">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5.3投标人的报价均超过了采购预算，采购人不能支付的；</w:t>
      </w:r>
    </w:p>
    <w:p w14:paraId="39230B9B">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5.4因重大变故，采购任务取消的。</w:t>
      </w:r>
    </w:p>
    <w:p w14:paraId="465E0B06">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废标后，采购代理机构应当将废标理由通知所有投标人。</w:t>
      </w:r>
    </w:p>
    <w:p w14:paraId="7D444A10">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9C8D4D2">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7.重新开展采购。有政府采购法第七十一条、第七十二条规定的违法行为之一，影响或者可能影响中标、成交结果的，依照下列规定处理：</w:t>
      </w:r>
    </w:p>
    <w:p w14:paraId="6AE1DDC7">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7.1未确定中标或者中标人的，终止本次政府采购活动，重新开展政府采购活动。</w:t>
      </w:r>
    </w:p>
    <w:p w14:paraId="7FAA5D9A">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0BB0EB31">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7.3政府采购合同已签订但尚未履行的，撤销合同，从合格的中标或者成交候选人中另行确定中标或者中标人；没有合格的中标或者成交候选人的，重新开展政府采购活动。</w:t>
      </w:r>
    </w:p>
    <w:p w14:paraId="5A333A6E">
      <w:pPr>
        <w:adjustRightInd/>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kern w:val="0"/>
          <w:szCs w:val="21"/>
          <w:highlight w:val="none"/>
        </w:rPr>
        <w:t>7.4政府采购合同已经履行，给采购人、供应商造成损失的，由责任人承担赔偿责任。</w:t>
      </w:r>
    </w:p>
    <w:p w14:paraId="28A0B114">
      <w:pPr>
        <w:adjustRightInd/>
        <w:spacing w:line="360" w:lineRule="auto"/>
        <w:ind w:firstLine="411" w:firstLineChars="196"/>
        <w:rPr>
          <w:rFonts w:hint="eastAsia" w:ascii="宋体" w:hAnsi="宋体" w:cs="宋体"/>
          <w:b/>
          <w:color w:val="auto"/>
          <w:szCs w:val="21"/>
          <w:highlight w:val="none"/>
        </w:rPr>
      </w:pPr>
      <w:r>
        <w:rPr>
          <w:rFonts w:hint="eastAsia" w:ascii="宋体" w:hAnsi="宋体" w:cs="宋体"/>
          <w:bCs/>
          <w:color w:val="auto"/>
          <w:kern w:val="0"/>
          <w:szCs w:val="21"/>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32"/>
      <w:bookmarkStart w:id="411" w:name="第五部分"/>
      <w:bookmarkStart w:id="412" w:name="_Toc86217003"/>
      <w:r>
        <w:rPr>
          <w:rFonts w:hint="eastAsia" w:ascii="宋体" w:hAnsi="宋体" w:cs="宋体"/>
          <w:b/>
          <w:color w:val="auto"/>
          <w:szCs w:val="21"/>
          <w:highlight w:val="none"/>
        </w:rPr>
        <w:br w:type="page"/>
      </w:r>
    </w:p>
    <w:p w14:paraId="1923838D">
      <w:pPr>
        <w:pStyle w:val="2"/>
        <w:rPr>
          <w:color w:val="auto"/>
          <w:highlight w:val="none"/>
        </w:rPr>
      </w:pPr>
      <w:bookmarkStart w:id="413" w:name="_Toc2146"/>
      <w:r>
        <w:rPr>
          <w:rFonts w:hint="eastAsia"/>
          <w:color w:val="auto"/>
          <w:highlight w:val="none"/>
        </w:rPr>
        <w:t>第五部分 拟签订的合同文本</w:t>
      </w:r>
      <w:bookmarkEnd w:id="413"/>
    </w:p>
    <w:p w14:paraId="58BA799D">
      <w:pPr>
        <w:rPr>
          <w:rFonts w:hint="eastAsia" w:ascii="宋体" w:hAnsi="宋体" w:cs="宋体"/>
          <w:color w:val="auto"/>
          <w:sz w:val="24"/>
          <w:highlight w:val="none"/>
          <w:u w:val="single"/>
        </w:rPr>
      </w:pPr>
      <w:r>
        <w:rPr>
          <w:rFonts w:hint="eastAsia" w:ascii="宋体" w:hAnsi="宋体" w:cs="宋体"/>
          <w:color w:val="auto"/>
          <w:sz w:val="24"/>
          <w:highlight w:val="none"/>
        </w:rPr>
        <w:t>合同编号：</w:t>
      </w:r>
    </w:p>
    <w:p w14:paraId="7D9F205D">
      <w:pPr>
        <w:spacing w:line="480" w:lineRule="auto"/>
        <w:jc w:val="center"/>
        <w:rPr>
          <w:rFonts w:hint="eastAsia" w:ascii="宋体" w:hAnsi="宋体" w:cs="宋体"/>
          <w:b/>
          <w:color w:val="auto"/>
          <w:sz w:val="28"/>
          <w:szCs w:val="28"/>
          <w:highlight w:val="none"/>
        </w:rPr>
      </w:pPr>
    </w:p>
    <w:p w14:paraId="21A2EB08">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007DD5D">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（服务类）</w:t>
      </w:r>
    </w:p>
    <w:p w14:paraId="3BA25DCE">
      <w:pPr>
        <w:pStyle w:val="702"/>
        <w:rPr>
          <w:rFonts w:hint="eastAsia" w:ascii="宋体" w:hAnsi="宋体" w:cs="宋体"/>
          <w:color w:val="auto"/>
          <w:szCs w:val="24"/>
          <w:highlight w:val="none"/>
        </w:rPr>
      </w:pPr>
    </w:p>
    <w:p w14:paraId="28E1A5B1">
      <w:pPr>
        <w:pStyle w:val="702"/>
        <w:jc w:val="center"/>
        <w:rPr>
          <w:rFonts w:hint="eastAsia" w:ascii="宋体" w:hAnsi="宋体" w:cs="宋体"/>
          <w:color w:val="auto"/>
          <w:szCs w:val="24"/>
          <w:highlight w:val="none"/>
        </w:rPr>
      </w:pPr>
    </w:p>
    <w:p w14:paraId="02F1C31C">
      <w:pPr>
        <w:pStyle w:val="702"/>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4B5D3F32">
      <w:pPr>
        <w:pStyle w:val="702"/>
        <w:rPr>
          <w:rFonts w:hint="eastAsia" w:ascii="宋体" w:hAnsi="宋体" w:cs="宋体"/>
          <w:color w:val="auto"/>
          <w:szCs w:val="24"/>
          <w:highlight w:val="none"/>
        </w:rPr>
      </w:pPr>
    </w:p>
    <w:p w14:paraId="6541BFF9">
      <w:pPr>
        <w:spacing w:before="120" w:line="22" w:lineRule="atLeast"/>
        <w:rPr>
          <w:rFonts w:hint="eastAsia" w:ascii="宋体" w:hAnsi="宋体" w:cs="宋体"/>
          <w:color w:val="auto"/>
          <w:sz w:val="24"/>
          <w:highlight w:val="none"/>
        </w:rPr>
      </w:pPr>
    </w:p>
    <w:p w14:paraId="15506B2F">
      <w:pPr>
        <w:spacing w:before="120" w:line="22" w:lineRule="atLeast"/>
        <w:ind w:left="960"/>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58995C28">
      <w:pPr>
        <w:spacing w:before="120" w:line="22" w:lineRule="atLeast"/>
        <w:ind w:left="960"/>
        <w:rPr>
          <w:rFonts w:hint="eastAsia" w:ascii="宋体" w:hAnsi="宋体" w:cs="宋体"/>
          <w:color w:val="auto"/>
          <w:szCs w:val="21"/>
          <w:highlight w:val="none"/>
          <w:u w:val="single"/>
        </w:rPr>
      </w:pPr>
      <w:r>
        <w:rPr>
          <w:rFonts w:hint="eastAsia" w:ascii="宋体" w:hAnsi="宋体" w:cs="宋体"/>
          <w:color w:val="auto"/>
          <w:szCs w:val="21"/>
          <w:highlight w:val="none"/>
        </w:rPr>
        <w:t>标项名称：</w:t>
      </w:r>
      <w:r>
        <w:rPr>
          <w:rFonts w:hint="eastAsia" w:ascii="宋体" w:hAnsi="宋体" w:cs="宋体"/>
          <w:color w:val="auto"/>
          <w:szCs w:val="21"/>
          <w:highlight w:val="none"/>
          <w:u w:val="single"/>
        </w:rPr>
        <w:t xml:space="preserve">                                   </w:t>
      </w:r>
    </w:p>
    <w:p w14:paraId="76EC8BCB">
      <w:pPr>
        <w:pStyle w:val="24"/>
        <w:rPr>
          <w:rFonts w:hint="eastAsia"/>
          <w:color w:val="auto"/>
          <w:highlight w:val="none"/>
        </w:rPr>
      </w:pPr>
    </w:p>
    <w:p w14:paraId="66DD3E74">
      <w:pPr>
        <w:pStyle w:val="599"/>
        <w:spacing w:before="120" w:line="22" w:lineRule="atLeast"/>
        <w:rPr>
          <w:rFonts w:hint="eastAsia" w:ascii="宋体" w:hAnsi="宋体" w:eastAsia="宋体" w:cs="宋体"/>
          <w:color w:val="auto"/>
          <w:sz w:val="21"/>
          <w:szCs w:val="21"/>
          <w:highlight w:val="none"/>
        </w:rPr>
      </w:pPr>
    </w:p>
    <w:p w14:paraId="13F10E52">
      <w:pPr>
        <w:pStyle w:val="599"/>
        <w:spacing w:before="120" w:line="22" w:lineRule="atLeast"/>
        <w:rPr>
          <w:rFonts w:hint="eastAsia" w:ascii="宋体" w:hAnsi="宋体" w:eastAsia="宋体" w:cs="宋体"/>
          <w:color w:val="auto"/>
          <w:sz w:val="21"/>
          <w:szCs w:val="21"/>
          <w:highlight w:val="none"/>
        </w:rPr>
      </w:pPr>
    </w:p>
    <w:p w14:paraId="09FF6690">
      <w:pPr>
        <w:rPr>
          <w:rFonts w:hint="eastAsia" w:ascii="宋体" w:hAnsi="宋体" w:cs="宋体"/>
          <w:color w:val="auto"/>
          <w:szCs w:val="21"/>
          <w:highlight w:val="none"/>
        </w:rPr>
      </w:pPr>
    </w:p>
    <w:p w14:paraId="089F092D">
      <w:pPr>
        <w:spacing w:before="120" w:line="22" w:lineRule="atLeast"/>
        <w:ind w:left="960"/>
        <w:rPr>
          <w:rFonts w:hint="eastAsia" w:ascii="宋体" w:hAnsi="宋体" w:cs="宋体"/>
          <w:color w:val="auto"/>
          <w:szCs w:val="21"/>
          <w:highlight w:val="none"/>
          <w:u w:val="singl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 xml:space="preserve">                                       </w:t>
      </w:r>
    </w:p>
    <w:p w14:paraId="4B348B7A">
      <w:pPr>
        <w:spacing w:before="120" w:line="22" w:lineRule="atLeast"/>
        <w:rPr>
          <w:rFonts w:hint="eastAsia" w:ascii="宋体" w:hAnsi="宋体" w:cs="宋体"/>
          <w:color w:val="auto"/>
          <w:szCs w:val="21"/>
          <w:highlight w:val="none"/>
        </w:rPr>
      </w:pPr>
    </w:p>
    <w:p w14:paraId="1B64A186">
      <w:pPr>
        <w:spacing w:before="120" w:line="22" w:lineRule="atLeast"/>
        <w:ind w:left="960"/>
        <w:rPr>
          <w:rFonts w:hint="eastAsia" w:ascii="宋体" w:hAnsi="宋体" w:cs="宋体"/>
          <w:color w:val="auto"/>
          <w:szCs w:val="21"/>
          <w:highlight w:val="none"/>
          <w:u w:val="singl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                                       </w:t>
      </w:r>
    </w:p>
    <w:p w14:paraId="7EDF12F2">
      <w:pPr>
        <w:spacing w:before="120" w:line="22" w:lineRule="atLeast"/>
        <w:rPr>
          <w:rFonts w:hint="eastAsia" w:ascii="宋体" w:hAnsi="宋体" w:cs="宋体"/>
          <w:color w:val="auto"/>
          <w:szCs w:val="21"/>
          <w:highlight w:val="none"/>
        </w:rPr>
      </w:pPr>
    </w:p>
    <w:p w14:paraId="43D8991F">
      <w:pPr>
        <w:spacing w:before="120" w:line="22" w:lineRule="atLeas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签订地：</w:t>
      </w:r>
      <w:r>
        <w:rPr>
          <w:rFonts w:hint="eastAsia" w:ascii="宋体" w:hAnsi="宋体" w:cs="宋体"/>
          <w:color w:val="auto"/>
          <w:szCs w:val="21"/>
          <w:highlight w:val="none"/>
          <w:u w:val="single"/>
        </w:rPr>
        <w:t xml:space="preserve">                                     </w:t>
      </w:r>
    </w:p>
    <w:p w14:paraId="42DD95FD">
      <w:pPr>
        <w:spacing w:before="120" w:line="22" w:lineRule="atLeast"/>
        <w:rPr>
          <w:rFonts w:hint="eastAsia" w:ascii="宋体" w:hAnsi="宋体" w:cs="宋体"/>
          <w:color w:val="auto"/>
          <w:szCs w:val="21"/>
          <w:highlight w:val="none"/>
        </w:rPr>
      </w:pPr>
    </w:p>
    <w:p w14:paraId="27055DC9">
      <w:pPr>
        <w:spacing w:before="120" w:line="22" w:lineRule="atLeas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签订日期：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25486FB">
      <w:pPr>
        <w:widowControl/>
        <w:jc w:val="left"/>
        <w:rPr>
          <w:rFonts w:hint="eastAsia" w:ascii="宋体" w:hAnsi="宋体" w:cs="宋体"/>
          <w:color w:val="auto"/>
          <w:kern w:val="0"/>
          <w:sz w:val="24"/>
          <w:highlight w:val="none"/>
        </w:rPr>
        <w:sectPr>
          <w:headerReference r:id="rId9" w:type="default"/>
          <w:footerReference r:id="rId10" w:type="default"/>
          <w:pgSz w:w="11907" w:h="16840"/>
          <w:pgMar w:top="680" w:right="1417" w:bottom="471" w:left="1417" w:header="851" w:footer="851" w:gutter="0"/>
          <w:cols w:space="720" w:num="1"/>
        </w:sectPr>
      </w:pPr>
    </w:p>
    <w:p w14:paraId="5F0FC2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杭州市余杭区数据资源管理局</w:t>
      </w:r>
      <w:r>
        <w:rPr>
          <w:rFonts w:hint="eastAsia" w:ascii="宋体" w:hAnsi="宋体" w:cs="宋体"/>
          <w:color w:val="auto"/>
          <w:szCs w:val="21"/>
          <w:highlight w:val="none"/>
        </w:rPr>
        <w:t>以</w:t>
      </w:r>
      <w:r>
        <w:rPr>
          <w:rFonts w:hint="eastAsia" w:ascii="宋体" w:hAnsi="宋体" w:cs="宋体"/>
          <w:color w:val="auto"/>
          <w:szCs w:val="21"/>
          <w:highlight w:val="none"/>
          <w:u w:val="single"/>
        </w:rPr>
        <w:t>公开招标</w:t>
      </w:r>
      <w:r>
        <w:rPr>
          <w:rFonts w:hint="eastAsia" w:ascii="宋体" w:hAnsi="宋体" w:cs="宋体"/>
          <w:color w:val="auto"/>
          <w:szCs w:val="21"/>
          <w:highlight w:val="none"/>
        </w:rPr>
        <w:t>对</w:t>
      </w:r>
      <w:r>
        <w:rPr>
          <w:rFonts w:hint="eastAsia" w:ascii="宋体" w:hAnsi="宋体" w:cs="宋体"/>
          <w:color w:val="auto"/>
          <w:szCs w:val="21"/>
          <w:highlight w:val="none"/>
          <w:u w:val="single"/>
        </w:rPr>
        <w:t>余杭区政务云平台项目</w:t>
      </w:r>
      <w:r>
        <w:rPr>
          <w:rFonts w:hint="eastAsia" w:ascii="宋体" w:hAnsi="宋体" w:cs="宋体"/>
          <w:color w:val="auto"/>
          <w:szCs w:val="21"/>
          <w:highlight w:val="none"/>
        </w:rPr>
        <w:t>进行了采购。经</w:t>
      </w:r>
      <w:r>
        <w:rPr>
          <w:rFonts w:hint="eastAsia" w:ascii="宋体" w:hAnsi="宋体" w:cs="宋体"/>
          <w:color w:val="auto"/>
          <w:szCs w:val="21"/>
          <w:highlight w:val="none"/>
          <w:u w:val="single"/>
        </w:rPr>
        <w:t>余杭区政务云平台项目评审小组</w:t>
      </w:r>
      <w:r>
        <w:rPr>
          <w:rFonts w:hint="eastAsia" w:ascii="宋体" w:hAnsi="宋体" w:cs="宋体"/>
          <w:color w:val="auto"/>
          <w:szCs w:val="21"/>
          <w:highlight w:val="none"/>
        </w:rPr>
        <w:t>评定，</w:t>
      </w:r>
      <w:r>
        <w:rPr>
          <w:rFonts w:hint="eastAsia" w:ascii="宋体" w:hAnsi="宋体" w:cs="宋体"/>
          <w:color w:val="auto"/>
          <w:szCs w:val="21"/>
          <w:highlight w:val="none"/>
          <w:u w:val="single"/>
        </w:rPr>
        <w:t>（中标供应商名称）</w:t>
      </w:r>
      <w:r>
        <w:rPr>
          <w:rFonts w:hint="eastAsia" w:ascii="宋体" w:hAnsi="宋体" w:cs="宋体"/>
          <w:color w:val="auto"/>
          <w:szCs w:val="21"/>
          <w:highlight w:val="none"/>
        </w:rPr>
        <w:t>为该项目</w:t>
      </w:r>
      <w:r>
        <w:rPr>
          <w:rFonts w:hint="eastAsia" w:ascii="宋体" w:hAnsi="宋体" w:cs="宋体"/>
          <w:color w:val="auto"/>
          <w:szCs w:val="21"/>
          <w:highlight w:val="none"/>
          <w:u w:val="single"/>
        </w:rPr>
        <w:t xml:space="preserve">  （标项名称）  </w:t>
      </w:r>
      <w:r>
        <w:rPr>
          <w:rFonts w:hint="eastAsia" w:ascii="宋体" w:hAnsi="宋体" w:cs="宋体"/>
          <w:color w:val="auto"/>
          <w:szCs w:val="21"/>
          <w:highlight w:val="none"/>
        </w:rPr>
        <w:t>中标供应商。现于中标通知书发出之日起三十日内，按照招标文件确定的事项签订本合同。</w:t>
      </w:r>
    </w:p>
    <w:p w14:paraId="4B7F84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根据《中华人民共和国民法典》《中华人民共和国政府采购法》等相关法律法规之规定，按照平等、自愿、公平</w:t>
      </w:r>
      <w:r>
        <w:rPr>
          <w:rFonts w:hint="eastAsia" w:ascii="宋体" w:hAnsi="宋体" w:cs="宋体"/>
          <w:color w:val="auto"/>
          <w:szCs w:val="21"/>
          <w:highlight w:val="none"/>
        </w:rPr>
        <w:t>和</w:t>
      </w:r>
      <w:r>
        <w:rPr>
          <w:rFonts w:hint="eastAsia" w:ascii="宋体" w:hAnsi="宋体" w:cs="宋体"/>
          <w:color w:val="auto"/>
          <w:szCs w:val="21"/>
          <w:highlight w:val="none"/>
          <w:lang w:val="zh-CN"/>
        </w:rPr>
        <w:t>诚实信用的原则，经</w:t>
      </w:r>
      <w:r>
        <w:rPr>
          <w:rFonts w:hint="eastAsia" w:ascii="宋体" w:hAnsi="宋体" w:cs="宋体"/>
          <w:color w:val="auto"/>
          <w:szCs w:val="21"/>
          <w:highlight w:val="none"/>
          <w:u w:val="single"/>
        </w:rPr>
        <w:t>杭州市余杭区数据资源管理局</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lang w:val="zh-CN"/>
        </w:rPr>
        <w:t>以下简称：甲方）和</w:t>
      </w:r>
      <w:r>
        <w:rPr>
          <w:rFonts w:hint="eastAsia" w:ascii="宋体" w:hAnsi="宋体" w:cs="宋体"/>
          <w:color w:val="auto"/>
          <w:szCs w:val="21"/>
          <w:highlight w:val="none"/>
          <w:u w:val="single"/>
        </w:rPr>
        <w:t>（中标供应商名称）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lang w:val="zh-CN"/>
        </w:rPr>
        <w:t>以下简称：乙方）协商一致，约定以下合同</w:t>
      </w:r>
      <w:r>
        <w:rPr>
          <w:rFonts w:hint="eastAsia" w:ascii="宋体" w:hAnsi="宋体" w:cs="宋体"/>
          <w:color w:val="auto"/>
          <w:szCs w:val="21"/>
          <w:highlight w:val="none"/>
        </w:rPr>
        <w:t>条款，以兹共同遵守、全面履行。</w:t>
      </w:r>
    </w:p>
    <w:p w14:paraId="6398EC72">
      <w:pPr>
        <w:pStyle w:val="4"/>
        <w:rPr>
          <w:color w:val="auto"/>
          <w:szCs w:val="21"/>
          <w:highlight w:val="none"/>
        </w:rPr>
      </w:pPr>
      <w:r>
        <w:rPr>
          <w:rFonts w:hint="eastAsia"/>
          <w:color w:val="auto"/>
          <w:szCs w:val="21"/>
          <w:highlight w:val="none"/>
        </w:rPr>
        <w:t>1.1合同组成部分</w:t>
      </w:r>
    </w:p>
    <w:p w14:paraId="7678B5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下列文件为本合同的组成部分，并构成一个整体，需综合解释、相互补充。如果下列文件内容出现不一致的情形，那么在保证按照招标文件确定的事项的前提下，组成本合同的多</w:t>
      </w:r>
      <w:r>
        <w:rPr>
          <w:rFonts w:hint="eastAsia" w:ascii="宋体" w:hAnsi="宋体" w:cs="宋体"/>
          <w:color w:val="auto"/>
          <w:szCs w:val="21"/>
          <w:highlight w:val="none"/>
          <w:lang w:eastAsia="zh-CN"/>
        </w:rPr>
        <w:t>份文件</w:t>
      </w:r>
      <w:r>
        <w:rPr>
          <w:rFonts w:hint="eastAsia" w:ascii="宋体" w:hAnsi="宋体" w:cs="宋体"/>
          <w:color w:val="auto"/>
          <w:szCs w:val="21"/>
          <w:highlight w:val="none"/>
        </w:rPr>
        <w:t>的优先适用顺序如下：</w:t>
      </w:r>
    </w:p>
    <w:p w14:paraId="1A6213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1.1.1本合同及其补充合同、变更协议；</w:t>
      </w:r>
    </w:p>
    <w:p w14:paraId="15C204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1.1.2中标通知书；</w:t>
      </w:r>
    </w:p>
    <w:p w14:paraId="1FC036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1.1.3招标文件（含澄清或者修改文件）；</w:t>
      </w:r>
    </w:p>
    <w:p w14:paraId="5DCF90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1.1.4投标文件（含澄清或者说明文件）；</w:t>
      </w:r>
    </w:p>
    <w:p w14:paraId="2C06EC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1.1.5其他相关招标文件。</w:t>
      </w:r>
    </w:p>
    <w:p w14:paraId="47DD5FD5">
      <w:pPr>
        <w:pStyle w:val="4"/>
        <w:rPr>
          <w:color w:val="auto"/>
          <w:szCs w:val="21"/>
          <w:highlight w:val="none"/>
        </w:rPr>
      </w:pPr>
      <w:bookmarkStart w:id="414" w:name="_Toc24300"/>
      <w:bookmarkStart w:id="415" w:name="_Toc21295"/>
      <w:bookmarkStart w:id="416" w:name="_Toc27126"/>
      <w:r>
        <w:rPr>
          <w:rFonts w:hint="eastAsia"/>
          <w:color w:val="auto"/>
          <w:szCs w:val="21"/>
          <w:highlight w:val="none"/>
        </w:rPr>
        <w:t>1.2</w:t>
      </w:r>
      <w:bookmarkEnd w:id="414"/>
      <w:bookmarkEnd w:id="415"/>
      <w:bookmarkEnd w:id="416"/>
      <w:r>
        <w:rPr>
          <w:rFonts w:hint="eastAsia"/>
          <w:color w:val="auto"/>
          <w:szCs w:val="21"/>
          <w:highlight w:val="none"/>
        </w:rPr>
        <w:t>标的</w:t>
      </w:r>
    </w:p>
    <w:p w14:paraId="7A672F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1.2.1服务内容：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EF7EE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1.2.2服务标准：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47FAB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1.2.3技术保障：</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80F194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1.2.4服务人员组成：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C0273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1.2.5合同</w:t>
      </w:r>
      <w:r>
        <w:rPr>
          <w:rFonts w:hint="eastAsia" w:ascii="宋体" w:hAnsi="宋体" w:cs="宋体"/>
          <w:color w:val="auto"/>
          <w:szCs w:val="21"/>
          <w:highlight w:val="none"/>
          <w:u w:val="single"/>
        </w:rPr>
        <w:t>否</w:t>
      </w:r>
      <w:r>
        <w:rPr>
          <w:rFonts w:hint="eastAsia" w:ascii="宋体" w:hAnsi="宋体" w:cs="宋体"/>
          <w:color w:val="auto"/>
          <w:szCs w:val="21"/>
          <w:highlight w:val="none"/>
        </w:rPr>
        <w:t>（是/否）涉及货物。若涉及货物</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，则：</w:t>
      </w:r>
    </w:p>
    <w:p w14:paraId="2DC9E5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1.2.5.1货物名称、品牌、规格型号、花色：</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89416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1.2.5.2货物数量：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64FB4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1.2.5.3货物质量：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B1BA272">
      <w:pPr>
        <w:pStyle w:val="4"/>
        <w:rPr>
          <w:color w:val="auto"/>
          <w:szCs w:val="21"/>
          <w:highlight w:val="none"/>
        </w:rPr>
      </w:pPr>
      <w:r>
        <w:rPr>
          <w:rFonts w:hint="eastAsia"/>
          <w:color w:val="auto"/>
          <w:szCs w:val="21"/>
          <w:highlight w:val="none"/>
        </w:rPr>
        <w:t>1.3 价款</w:t>
      </w:r>
    </w:p>
    <w:p w14:paraId="28BA40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本合同总价（含税）为：￥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43BE1F6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明细附后：</w:t>
      </w:r>
    </w:p>
    <w:p w14:paraId="0CFB691E">
      <w:pPr>
        <w:spacing w:line="360" w:lineRule="auto"/>
        <w:ind w:firstLine="422" w:firstLineChars="200"/>
        <w:rPr>
          <w:rFonts w:hint="eastAsia" w:ascii="宋体" w:hAnsi="宋体" w:cs="宋体"/>
          <w:b/>
          <w:bCs/>
          <w:color w:val="auto"/>
          <w:szCs w:val="21"/>
          <w:highlight w:val="none"/>
        </w:rPr>
      </w:pPr>
    </w:p>
    <w:p w14:paraId="5884B298">
      <w:pPr>
        <w:spacing w:line="360" w:lineRule="auto"/>
        <w:ind w:firstLine="422" w:firstLineChars="200"/>
        <w:outlineLvl w:val="0"/>
        <w:rPr>
          <w:rFonts w:hint="eastAsia" w:ascii="宋体" w:hAnsi="宋体" w:cs="宋体"/>
          <w:b/>
          <w:color w:val="auto"/>
          <w:szCs w:val="21"/>
          <w:highlight w:val="none"/>
        </w:rPr>
      </w:pPr>
      <w:bookmarkStart w:id="417" w:name="_Toc10496"/>
      <w:r>
        <w:rPr>
          <w:rFonts w:hint="eastAsia" w:ascii="宋体" w:hAnsi="宋体" w:cs="宋体"/>
          <w:b/>
          <w:color w:val="auto"/>
          <w:szCs w:val="21"/>
          <w:highlight w:val="none"/>
        </w:rPr>
        <w:t>1.4履约保证金</w:t>
      </w:r>
      <w:bookmarkEnd w:id="417"/>
    </w:p>
    <w:p w14:paraId="194FE1BC">
      <w:pPr>
        <w:spacing w:line="360" w:lineRule="auto"/>
        <w:ind w:firstLine="420" w:firstLineChars="200"/>
        <w:rPr>
          <w:color w:val="auto"/>
          <w:highlight w:val="none"/>
        </w:rPr>
      </w:pPr>
      <w:r>
        <w:rPr>
          <w:rFonts w:hint="eastAsia"/>
          <w:color w:val="auto"/>
          <w:szCs w:val="21"/>
          <w:highlight w:val="none"/>
        </w:rPr>
        <w:t>乙方</w:t>
      </w:r>
      <w:r>
        <w:rPr>
          <w:rFonts w:hint="eastAsia"/>
          <w:color w:val="auto"/>
          <w:szCs w:val="21"/>
          <w:highlight w:val="none"/>
          <w:u w:val="single"/>
        </w:rPr>
        <w:t xml:space="preserve">  否  </w:t>
      </w:r>
      <w:r>
        <w:rPr>
          <w:rFonts w:hint="eastAsia"/>
          <w:color w:val="auto"/>
          <w:szCs w:val="21"/>
          <w:highlight w:val="none"/>
        </w:rPr>
        <w:t>（是/否）需要支付履约保证金。</w:t>
      </w:r>
    </w:p>
    <w:p w14:paraId="14A7E61A">
      <w:pPr>
        <w:spacing w:line="360" w:lineRule="auto"/>
        <w:ind w:firstLine="422" w:firstLineChars="200"/>
        <w:outlineLvl w:val="0"/>
        <w:rPr>
          <w:rFonts w:hint="eastAsia" w:ascii="宋体" w:hAnsi="宋体" w:cs="宋体"/>
          <w:b/>
          <w:color w:val="auto"/>
          <w:szCs w:val="21"/>
          <w:highlight w:val="none"/>
        </w:rPr>
      </w:pPr>
      <w:bookmarkStart w:id="418" w:name="_Toc5938"/>
      <w:r>
        <w:rPr>
          <w:rFonts w:hint="eastAsia" w:ascii="宋体" w:hAnsi="宋体" w:cs="宋体"/>
          <w:b/>
          <w:color w:val="auto"/>
          <w:szCs w:val="21"/>
          <w:highlight w:val="none"/>
        </w:rPr>
        <w:t>1.5预付款</w:t>
      </w:r>
      <w:bookmarkEnd w:id="418"/>
    </w:p>
    <w:p w14:paraId="7CCB1BC4">
      <w:pPr>
        <w:pStyle w:val="958"/>
        <w:spacing w:before="0" w:beforeAutospacing="0" w:after="0" w:afterAutospacing="0" w:line="360" w:lineRule="auto"/>
        <w:ind w:firstLine="480"/>
        <w:rPr>
          <w:rFonts w:hint="eastAsia"/>
          <w:color w:val="auto"/>
          <w:sz w:val="21"/>
          <w:szCs w:val="21"/>
          <w:highlight w:val="none"/>
        </w:rPr>
      </w:pPr>
      <w:r>
        <w:rPr>
          <w:rFonts w:hint="eastAsia"/>
          <w:color w:val="auto"/>
          <w:sz w:val="21"/>
          <w:szCs w:val="21"/>
          <w:highlight w:val="none"/>
        </w:rPr>
        <w:t>甲方</w:t>
      </w:r>
      <w:r>
        <w:rPr>
          <w:rFonts w:hint="eastAsia"/>
          <w:color w:val="auto"/>
          <w:sz w:val="21"/>
          <w:szCs w:val="21"/>
          <w:highlight w:val="none"/>
          <w:u w:val="single"/>
        </w:rPr>
        <w:t>是</w:t>
      </w:r>
      <w:r>
        <w:rPr>
          <w:rFonts w:hint="eastAsia"/>
          <w:color w:val="auto"/>
          <w:sz w:val="21"/>
          <w:szCs w:val="21"/>
          <w:highlight w:val="none"/>
        </w:rPr>
        <w:t>（是/否）需要支付预付款。若需要支付预付款的，则：</w:t>
      </w:r>
    </w:p>
    <w:p w14:paraId="597216E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1.5.1预付款比例、支付方式、时间详见</w:t>
      </w:r>
      <w:r>
        <w:rPr>
          <w:rFonts w:hint="eastAsia" w:ascii="宋体" w:hAnsi="宋体" w:cs="宋体"/>
          <w:b/>
          <w:i/>
          <w:color w:val="auto"/>
          <w:szCs w:val="21"/>
          <w:highlight w:val="none"/>
          <w:u w:val="single"/>
        </w:rPr>
        <w:t>合同专用条款</w:t>
      </w:r>
      <w:r>
        <w:rPr>
          <w:rFonts w:hint="eastAsia" w:ascii="宋体" w:hAnsi="宋体" w:cs="宋体"/>
          <w:color w:val="auto"/>
          <w:kern w:val="0"/>
          <w:szCs w:val="21"/>
          <w:highlight w:val="none"/>
        </w:rPr>
        <w:t>；</w:t>
      </w:r>
    </w:p>
    <w:p w14:paraId="0473E198">
      <w:pPr>
        <w:pStyle w:val="958"/>
        <w:spacing w:before="0" w:beforeAutospacing="0" w:after="0" w:afterAutospacing="0" w:line="360" w:lineRule="auto"/>
        <w:ind w:firstLine="480"/>
        <w:rPr>
          <w:rFonts w:hint="eastAsia"/>
          <w:color w:val="auto"/>
          <w:sz w:val="21"/>
          <w:szCs w:val="21"/>
          <w:highlight w:val="none"/>
        </w:rPr>
      </w:pPr>
      <w:r>
        <w:rPr>
          <w:rFonts w:hint="eastAsia"/>
          <w:color w:val="auto"/>
          <w:sz w:val="21"/>
          <w:szCs w:val="21"/>
          <w:highlight w:val="none"/>
        </w:rPr>
        <w:t>1.5.2预付款的扣回方式详见</w:t>
      </w:r>
      <w:r>
        <w:rPr>
          <w:rFonts w:hint="eastAsia"/>
          <w:b/>
          <w:i/>
          <w:color w:val="auto"/>
          <w:sz w:val="21"/>
          <w:szCs w:val="21"/>
          <w:highlight w:val="none"/>
          <w:u w:val="single"/>
        </w:rPr>
        <w:t>合同专用条款</w:t>
      </w:r>
      <w:r>
        <w:rPr>
          <w:rFonts w:hint="eastAsia"/>
          <w:color w:val="auto"/>
          <w:sz w:val="21"/>
          <w:szCs w:val="21"/>
          <w:highlight w:val="none"/>
        </w:rPr>
        <w:t>；</w:t>
      </w:r>
    </w:p>
    <w:p w14:paraId="67E319AA">
      <w:pPr>
        <w:pStyle w:val="958"/>
        <w:spacing w:before="0" w:beforeAutospacing="0" w:after="0" w:afterAutospacing="0" w:line="360" w:lineRule="auto"/>
        <w:ind w:firstLine="480"/>
        <w:rPr>
          <w:rFonts w:hint="eastAsia"/>
          <w:color w:val="auto"/>
          <w:sz w:val="21"/>
          <w:szCs w:val="21"/>
          <w:highlight w:val="none"/>
          <w:u w:val="single"/>
        </w:rPr>
      </w:pPr>
      <w:r>
        <w:rPr>
          <w:rFonts w:hint="eastAsia"/>
          <w:color w:val="auto"/>
          <w:sz w:val="21"/>
          <w:szCs w:val="21"/>
          <w:highlight w:val="none"/>
        </w:rPr>
        <w:t>1.5.3预付款的担保措施详见</w:t>
      </w:r>
      <w:r>
        <w:rPr>
          <w:rFonts w:hint="eastAsia"/>
          <w:b/>
          <w:i/>
          <w:color w:val="auto"/>
          <w:sz w:val="21"/>
          <w:szCs w:val="21"/>
          <w:highlight w:val="none"/>
          <w:u w:val="single"/>
        </w:rPr>
        <w:t>合同专用条款</w:t>
      </w:r>
      <w:r>
        <w:rPr>
          <w:rFonts w:hint="eastAsia"/>
          <w:color w:val="auto"/>
          <w:sz w:val="21"/>
          <w:szCs w:val="21"/>
          <w:highlight w:val="none"/>
        </w:rPr>
        <w:t>。</w:t>
      </w:r>
    </w:p>
    <w:p w14:paraId="27D4DC12">
      <w:pPr>
        <w:pStyle w:val="958"/>
        <w:spacing w:before="0" w:beforeAutospacing="0" w:after="0" w:afterAutospacing="0" w:line="360" w:lineRule="auto"/>
        <w:ind w:firstLine="480"/>
        <w:rPr>
          <w:rFonts w:hint="eastAsia"/>
          <w:b/>
          <w:bCs/>
          <w:color w:val="auto"/>
          <w:sz w:val="21"/>
          <w:szCs w:val="21"/>
          <w:highlight w:val="none"/>
        </w:rPr>
      </w:pPr>
      <w:r>
        <w:rPr>
          <w:rFonts w:hint="eastAsia"/>
          <w:b/>
          <w:bCs/>
          <w:color w:val="auto"/>
          <w:sz w:val="21"/>
          <w:szCs w:val="21"/>
          <w:highlight w:val="none"/>
        </w:rPr>
        <w:t>1.6资金支付</w:t>
      </w:r>
    </w:p>
    <w:p w14:paraId="1135D890">
      <w:pPr>
        <w:pStyle w:val="958"/>
        <w:spacing w:before="0" w:beforeAutospacing="0" w:after="0" w:afterAutospacing="0" w:line="360" w:lineRule="auto"/>
        <w:ind w:firstLine="480"/>
        <w:rPr>
          <w:rFonts w:hint="eastAsia"/>
          <w:color w:val="auto"/>
          <w:sz w:val="21"/>
          <w:szCs w:val="21"/>
          <w:highlight w:val="none"/>
        </w:rPr>
      </w:pPr>
      <w:r>
        <w:rPr>
          <w:rFonts w:hint="eastAsia"/>
          <w:color w:val="auto"/>
          <w:sz w:val="21"/>
          <w:szCs w:val="21"/>
          <w:highlight w:val="none"/>
        </w:rPr>
        <w:t>1.6.1甲方应严格履行合同，及时组织上线运行签字确认，上线运行使用情况确认合格后及时一次性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5D4EA22">
      <w:pPr>
        <w:spacing w:line="360" w:lineRule="auto"/>
        <w:ind w:firstLine="420" w:firstLineChars="200"/>
        <w:outlineLvl w:val="0"/>
        <w:rPr>
          <w:rFonts w:hint="eastAsia" w:ascii="宋体" w:hAnsi="宋体" w:cs="宋体"/>
          <w:color w:val="auto"/>
          <w:szCs w:val="21"/>
          <w:highlight w:val="none"/>
        </w:rPr>
      </w:pPr>
      <w:bookmarkStart w:id="419" w:name="_Toc24613"/>
      <w:r>
        <w:rPr>
          <w:rFonts w:hint="eastAsia" w:ascii="宋体" w:hAnsi="宋体" w:cs="宋体"/>
          <w:color w:val="auto"/>
          <w:szCs w:val="21"/>
          <w:highlight w:val="none"/>
        </w:rPr>
        <w:t>1.6.2资金支付的方式、时间和条件详见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bookmarkEnd w:id="419"/>
    </w:p>
    <w:p w14:paraId="2472D085">
      <w:pPr>
        <w:spacing w:line="360" w:lineRule="auto"/>
        <w:ind w:firstLine="422" w:firstLineChars="200"/>
        <w:outlineLvl w:val="0"/>
        <w:rPr>
          <w:rFonts w:hint="eastAsia" w:ascii="宋体" w:hAnsi="宋体" w:cs="宋体"/>
          <w:b/>
          <w:color w:val="auto"/>
          <w:szCs w:val="21"/>
          <w:highlight w:val="none"/>
        </w:rPr>
      </w:pPr>
      <w:bookmarkStart w:id="420" w:name="_Toc32676"/>
      <w:r>
        <w:rPr>
          <w:rFonts w:hint="eastAsia" w:ascii="宋体" w:hAnsi="宋体" w:cs="宋体"/>
          <w:b/>
          <w:color w:val="auto"/>
          <w:szCs w:val="21"/>
          <w:highlight w:val="none"/>
        </w:rPr>
        <w:t>1.7履行期限、地点和方式</w:t>
      </w:r>
      <w:bookmarkEnd w:id="420"/>
    </w:p>
    <w:p w14:paraId="234106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1.7.1服务交付（实施）的时间（期限）：</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6343F5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1.7.2服务交付（实施）的地点（地域范围）：</w:t>
      </w:r>
      <w:r>
        <w:rPr>
          <w:rFonts w:hint="eastAsia" w:ascii="宋体" w:hAnsi="宋体" w:cs="宋体"/>
          <w:b/>
          <w:i/>
          <w:color w:val="auto"/>
          <w:szCs w:val="21"/>
          <w:highlight w:val="none"/>
          <w:u w:val="single"/>
        </w:rPr>
        <w:t>合同专用条款；</w:t>
      </w:r>
    </w:p>
    <w:p w14:paraId="5CDF0C33">
      <w:pPr>
        <w:spacing w:line="360" w:lineRule="auto"/>
        <w:ind w:firstLine="420" w:firstLineChars="200"/>
        <w:outlineLvl w:val="0"/>
        <w:rPr>
          <w:rFonts w:hint="eastAsia" w:ascii="宋体" w:hAnsi="宋体" w:cs="宋体"/>
          <w:color w:val="auto"/>
          <w:szCs w:val="21"/>
          <w:highlight w:val="none"/>
        </w:rPr>
      </w:pPr>
      <w:bookmarkStart w:id="421" w:name="_Toc21332"/>
      <w:r>
        <w:rPr>
          <w:rFonts w:hint="eastAsia" w:ascii="宋体" w:hAnsi="宋体" w:cs="宋体"/>
          <w:color w:val="auto"/>
          <w:szCs w:val="21"/>
          <w:highlight w:val="none"/>
        </w:rPr>
        <w:t>1.7.3服务交付（实施）的方式：</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bookmarkEnd w:id="421"/>
    </w:p>
    <w:p w14:paraId="32085E69">
      <w:pPr>
        <w:spacing w:line="360" w:lineRule="auto"/>
        <w:ind w:firstLine="420" w:firstLineChars="200"/>
        <w:outlineLvl w:val="0"/>
        <w:rPr>
          <w:rFonts w:hint="eastAsia" w:ascii="宋体" w:hAnsi="宋体" w:cs="宋体"/>
          <w:color w:val="auto"/>
          <w:szCs w:val="21"/>
          <w:highlight w:val="none"/>
        </w:rPr>
      </w:pPr>
      <w:bookmarkStart w:id="422" w:name="_Toc7725"/>
      <w:r>
        <w:rPr>
          <w:rFonts w:hint="eastAsia" w:ascii="宋体" w:hAnsi="宋体" w:cs="宋体"/>
          <w:color w:val="auto"/>
          <w:szCs w:val="21"/>
          <w:highlight w:val="none"/>
        </w:rPr>
        <w:t>1.</w:t>
      </w:r>
      <w:r>
        <w:rPr>
          <w:rFonts w:hint="eastAsia" w:ascii="宋体" w:hAnsi="宋体" w:cs="宋体"/>
          <w:bCs/>
          <w:color w:val="auto"/>
          <w:szCs w:val="21"/>
          <w:highlight w:val="none"/>
        </w:rPr>
        <w:t>7.4若服务涉及货物的，则货物的：</w:t>
      </w:r>
      <w:bookmarkEnd w:id="422"/>
    </w:p>
    <w:p w14:paraId="76116EF9">
      <w:pPr>
        <w:spacing w:line="360" w:lineRule="auto"/>
        <w:ind w:firstLine="420" w:firstLineChars="200"/>
        <w:rPr>
          <w:rFonts w:hint="eastAsia" w:ascii="宋体" w:hAnsi="宋体" w:cs="宋体"/>
          <w:color w:val="auto"/>
          <w:szCs w:val="21"/>
          <w:highlight w:val="none"/>
          <w:u w:val="single"/>
        </w:rPr>
      </w:pPr>
      <w:bookmarkStart w:id="423" w:name="_Toc8772"/>
      <w:bookmarkStart w:id="424" w:name="_Toc11108"/>
      <w:bookmarkStart w:id="425" w:name="_Toc3625"/>
      <w:bookmarkStart w:id="426" w:name="_Toc4760"/>
      <w:bookmarkStart w:id="427" w:name="_Toc31421"/>
      <w:r>
        <w:rPr>
          <w:rFonts w:hint="eastAsia" w:ascii="宋体" w:hAnsi="宋体" w:cs="宋体"/>
          <w:bCs/>
          <w:color w:val="auto"/>
          <w:szCs w:val="21"/>
          <w:highlight w:val="none"/>
        </w:rPr>
        <w:t>1.</w:t>
      </w:r>
      <w:bookmarkEnd w:id="423"/>
      <w:bookmarkEnd w:id="424"/>
      <w:bookmarkEnd w:id="425"/>
      <w:bookmarkEnd w:id="426"/>
      <w:bookmarkEnd w:id="427"/>
      <w:r>
        <w:rPr>
          <w:rFonts w:hint="eastAsia" w:ascii="宋体" w:hAnsi="宋体" w:cs="宋体"/>
          <w:bCs/>
          <w:color w:val="auto"/>
          <w:szCs w:val="21"/>
          <w:highlight w:val="none"/>
        </w:rPr>
        <w:t>7.4.</w:t>
      </w:r>
      <w:r>
        <w:rPr>
          <w:rFonts w:hint="eastAsia" w:ascii="宋体" w:hAnsi="宋体" w:cs="宋体"/>
          <w:color w:val="auto"/>
          <w:szCs w:val="21"/>
          <w:highlight w:val="none"/>
        </w:rPr>
        <w:t>1交付期限：详见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58862F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1.7.4.2交付地点：</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04F285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1.7.4.3交付方式：</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489F63C7">
      <w:pPr>
        <w:spacing w:line="360" w:lineRule="auto"/>
        <w:ind w:firstLine="422" w:firstLineChars="200"/>
        <w:outlineLvl w:val="0"/>
        <w:rPr>
          <w:rFonts w:hint="eastAsia" w:ascii="宋体" w:hAnsi="宋体" w:cs="宋体"/>
          <w:color w:val="auto"/>
          <w:szCs w:val="21"/>
          <w:highlight w:val="none"/>
          <w:u w:val="single"/>
        </w:rPr>
      </w:pPr>
      <w:bookmarkStart w:id="428" w:name="_Toc5778"/>
      <w:bookmarkStart w:id="429" w:name="_Toc24662"/>
      <w:bookmarkStart w:id="430" w:name="_Toc2375"/>
      <w:bookmarkStart w:id="431" w:name="_Toc3079"/>
      <w:bookmarkStart w:id="432" w:name="_Toc8586"/>
      <w:bookmarkStart w:id="433" w:name="_Toc5698"/>
      <w:r>
        <w:rPr>
          <w:rFonts w:hint="eastAsia" w:ascii="宋体" w:hAnsi="宋体" w:cs="宋体"/>
          <w:b/>
          <w:color w:val="auto"/>
          <w:szCs w:val="21"/>
          <w:highlight w:val="none"/>
        </w:rPr>
        <w:t>1.8违约责任</w:t>
      </w:r>
      <w:bookmarkEnd w:id="428"/>
      <w:bookmarkEnd w:id="429"/>
      <w:bookmarkEnd w:id="430"/>
      <w:bookmarkEnd w:id="431"/>
      <w:bookmarkEnd w:id="432"/>
      <w:bookmarkEnd w:id="433"/>
    </w:p>
    <w:p w14:paraId="2A4D29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Cs w:val="21"/>
          <w:highlight w:val="none"/>
          <w:u w:val="single"/>
        </w:rPr>
        <w:t>0.5</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20</w:t>
      </w:r>
      <w:r>
        <w:rPr>
          <w:rFonts w:hint="eastAsia" w:ascii="宋体" w:hAnsi="宋体" w:cs="宋体"/>
          <w:color w:val="auto"/>
          <w:szCs w:val="21"/>
          <w:highlight w:val="none"/>
        </w:rPr>
        <w:t>%；迟延履行的违约金计算数额达到前述最高限额之日起，甲方有权在要求乙方支付违约金的同时，书面通知乙方解除本合同；</w:t>
      </w:r>
    </w:p>
    <w:p w14:paraId="28834B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Cs w:val="21"/>
          <w:highlight w:val="none"/>
          <w:u w:val="single"/>
        </w:rPr>
        <w:t>0.5</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20</w:t>
      </w:r>
      <w:r>
        <w:rPr>
          <w:rFonts w:hint="eastAsia" w:ascii="宋体" w:hAnsi="宋体" w:cs="宋体"/>
          <w:color w:val="auto"/>
          <w:szCs w:val="21"/>
          <w:highlight w:val="none"/>
        </w:rPr>
        <w:t>%；迟延交付货物的违约金计算数额达到前述最高限额之日起，甲方有权在要求乙方支付违约金的同时，书面通知乙方解除本合同；</w:t>
      </w:r>
    </w:p>
    <w:p w14:paraId="10CED3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Cs w:val="21"/>
          <w:highlight w:val="none"/>
          <w:u w:val="single"/>
        </w:rPr>
        <w:t>0.05</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5</w:t>
      </w:r>
      <w:r>
        <w:rPr>
          <w:rFonts w:hint="eastAsia" w:ascii="宋体" w:hAnsi="宋体" w:cs="宋体"/>
          <w:color w:val="auto"/>
          <w:szCs w:val="21"/>
          <w:highlight w:val="none"/>
        </w:rPr>
        <w:t>%；迟延付款的违约金计算数额达到前述最高限额之日起，乙方有权在要求甲方支付违约金的同时，书面通知甲方解除本合同；</w:t>
      </w:r>
    </w:p>
    <w:p w14:paraId="1CDC2D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27B88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14DF8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9D2509E">
      <w:pPr>
        <w:spacing w:line="360" w:lineRule="auto"/>
        <w:ind w:left="-420" w:leftChars="-200" w:right="-420" w:rightChars="-200" w:firstLine="630" w:firstLineChars="300"/>
        <w:rPr>
          <w:rFonts w:hint="eastAsia" w:ascii="宋体" w:hAnsi="宋体" w:cs="宋体"/>
          <w:color w:val="auto"/>
          <w:szCs w:val="21"/>
          <w:highlight w:val="none"/>
        </w:rPr>
      </w:pPr>
      <w:r>
        <w:rPr>
          <w:rFonts w:hint="eastAsia" w:ascii="宋体" w:hAnsi="宋体" w:cs="宋体"/>
          <w:color w:val="auto"/>
          <w:szCs w:val="21"/>
          <w:highlight w:val="none"/>
        </w:rPr>
        <w:t>1.8.7违约责任</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另有约定的，从其约定。</w:t>
      </w:r>
      <w:bookmarkStart w:id="434" w:name="_Toc18683"/>
      <w:bookmarkStart w:id="435" w:name="_Toc26807"/>
      <w:bookmarkStart w:id="436" w:name="_Toc30329"/>
      <w:bookmarkStart w:id="437" w:name="_Toc32454"/>
      <w:bookmarkStart w:id="438" w:name="_Toc9497"/>
    </w:p>
    <w:p w14:paraId="19A4B6FD">
      <w:pPr>
        <w:spacing w:line="360" w:lineRule="auto"/>
        <w:ind w:left="-420" w:leftChars="-200" w:right="-420" w:rightChars="-200" w:firstLine="632" w:firstLineChars="300"/>
        <w:rPr>
          <w:rFonts w:hint="eastAsia" w:ascii="宋体" w:hAnsi="宋体" w:cs="宋体"/>
          <w:b/>
          <w:color w:val="auto"/>
          <w:szCs w:val="21"/>
          <w:highlight w:val="none"/>
        </w:rPr>
      </w:pPr>
      <w:r>
        <w:rPr>
          <w:rFonts w:hint="eastAsia" w:ascii="宋体" w:hAnsi="宋体" w:cs="宋体"/>
          <w:b/>
          <w:color w:val="auto"/>
          <w:szCs w:val="21"/>
          <w:highlight w:val="none"/>
        </w:rPr>
        <w:t>1.9合同争议的解决</w:t>
      </w:r>
      <w:bookmarkEnd w:id="434"/>
      <w:bookmarkEnd w:id="435"/>
      <w:bookmarkEnd w:id="436"/>
      <w:bookmarkEnd w:id="437"/>
      <w:bookmarkEnd w:id="438"/>
    </w:p>
    <w:p w14:paraId="559DA91A">
      <w:pPr>
        <w:spacing w:line="360" w:lineRule="auto"/>
        <w:ind w:left="-61" w:leftChars="-29" w:right="-420" w:rightChars="-200" w:firstLine="210" w:firstLineChars="100"/>
        <w:rPr>
          <w:rFonts w:hint="eastAsia" w:ascii="宋体" w:hAnsi="宋体" w:cs="宋体"/>
          <w:color w:val="auto"/>
          <w:szCs w:val="21"/>
          <w:highlight w:val="none"/>
        </w:rPr>
      </w:pPr>
      <w:r>
        <w:rPr>
          <w:rFonts w:hint="eastAsia" w:ascii="宋体" w:hAnsi="宋体" w:cs="宋体"/>
          <w:color w:val="auto"/>
          <w:szCs w:val="21"/>
          <w:highlight w:val="none"/>
        </w:rPr>
        <w:t>本合同履行过程中发生的任何争议，双方当事人均可通过和解或者调解解决；不愿和解、调解或者和解、调解不成的，可以选择以下第</w:t>
      </w:r>
      <w:r>
        <w:rPr>
          <w:rFonts w:hint="eastAsia" w:ascii="宋体" w:hAnsi="宋体" w:cs="宋体"/>
          <w:b/>
          <w:bCs/>
          <w:color w:val="auto"/>
          <w:szCs w:val="21"/>
          <w:highlight w:val="none"/>
          <w:u w:val="single"/>
        </w:rPr>
        <w:t>1.9.2条款</w:t>
      </w:r>
      <w:r>
        <w:rPr>
          <w:rFonts w:hint="eastAsia" w:ascii="宋体" w:hAnsi="宋体" w:cs="宋体"/>
          <w:color w:val="auto"/>
          <w:szCs w:val="21"/>
          <w:highlight w:val="none"/>
        </w:rPr>
        <w:t>规定的方式解决：</w:t>
      </w:r>
    </w:p>
    <w:p w14:paraId="5AA518CA">
      <w:pPr>
        <w:spacing w:line="360" w:lineRule="auto"/>
        <w:ind w:left="-420" w:leftChars="-200" w:right="-420" w:rightChars="-200" w:firstLine="525" w:firstLineChars="250"/>
        <w:rPr>
          <w:rFonts w:hint="eastAsia" w:ascii="宋体" w:hAnsi="宋体" w:cs="宋体"/>
          <w:color w:val="auto"/>
          <w:szCs w:val="21"/>
          <w:highlight w:val="none"/>
        </w:rPr>
      </w:pPr>
      <w:r>
        <w:rPr>
          <w:rFonts w:hint="eastAsia" w:ascii="宋体" w:hAnsi="宋体" w:cs="宋体"/>
          <w:color w:val="auto"/>
          <w:szCs w:val="21"/>
          <w:highlight w:val="none"/>
        </w:rPr>
        <w:t>1.9.1将争议提交</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仲裁委员会依申请仲裁时其现行有效的仲裁规则裁决；</w:t>
      </w:r>
    </w:p>
    <w:p w14:paraId="2C75E870">
      <w:pPr>
        <w:spacing w:line="360" w:lineRule="auto"/>
        <w:ind w:left="-420" w:leftChars="-200" w:right="-420" w:rightChars="-200" w:firstLine="525" w:firstLineChars="250"/>
        <w:rPr>
          <w:rFonts w:hint="eastAsia" w:ascii="宋体" w:hAnsi="宋体" w:cs="宋体"/>
          <w:color w:val="auto"/>
          <w:szCs w:val="21"/>
          <w:highlight w:val="none"/>
        </w:rPr>
      </w:pPr>
      <w:r>
        <w:rPr>
          <w:rFonts w:hint="eastAsia" w:ascii="宋体" w:hAnsi="宋体" w:cs="宋体"/>
          <w:color w:val="auto"/>
          <w:szCs w:val="21"/>
          <w:highlight w:val="none"/>
        </w:rPr>
        <w:t>1.9.2向</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人民法院起诉。</w:t>
      </w:r>
    </w:p>
    <w:p w14:paraId="02A3B0C7">
      <w:pPr>
        <w:spacing w:line="360" w:lineRule="auto"/>
        <w:ind w:firstLine="211" w:firstLineChars="100"/>
        <w:outlineLvl w:val="0"/>
        <w:rPr>
          <w:rFonts w:hint="eastAsia" w:ascii="宋体" w:hAnsi="宋体" w:cs="宋体"/>
          <w:b/>
          <w:color w:val="auto"/>
          <w:szCs w:val="21"/>
          <w:highlight w:val="none"/>
        </w:rPr>
      </w:pPr>
      <w:bookmarkStart w:id="439" w:name="_Toc26227"/>
      <w:bookmarkStart w:id="440" w:name="_Toc12273"/>
      <w:bookmarkStart w:id="441" w:name="_Toc15827"/>
      <w:bookmarkStart w:id="442" w:name="_Toc23784"/>
      <w:bookmarkStart w:id="443" w:name="_Toc16417"/>
      <w:bookmarkStart w:id="444" w:name="_Toc25220"/>
      <w:r>
        <w:rPr>
          <w:rFonts w:hint="eastAsia" w:ascii="宋体" w:hAnsi="宋体" w:cs="宋体"/>
          <w:b/>
          <w:color w:val="auto"/>
          <w:szCs w:val="21"/>
          <w:highlight w:val="none"/>
        </w:rPr>
        <w:t>2.0 合同生效</w:t>
      </w:r>
      <w:bookmarkEnd w:id="439"/>
      <w:bookmarkEnd w:id="440"/>
      <w:bookmarkEnd w:id="441"/>
      <w:bookmarkEnd w:id="442"/>
      <w:bookmarkEnd w:id="443"/>
      <w:bookmarkEnd w:id="444"/>
    </w:p>
    <w:p w14:paraId="639FA43F">
      <w:pPr>
        <w:spacing w:line="360" w:lineRule="auto"/>
        <w:ind w:firstLine="420" w:firstLineChars="200"/>
        <w:rPr>
          <w:color w:val="auto"/>
          <w:highlight w:val="none"/>
          <w:lang w:val="zh-CN"/>
        </w:rPr>
      </w:pPr>
      <w:r>
        <w:rPr>
          <w:rFonts w:hint="eastAsia" w:ascii="宋体" w:hAnsi="宋体" w:cs="宋体"/>
          <w:color w:val="auto"/>
          <w:szCs w:val="21"/>
          <w:highlight w:val="none"/>
        </w:rPr>
        <w:t>本合同自双方当事人盖章签字时生效。</w:t>
      </w:r>
    </w:p>
    <w:p w14:paraId="48571717">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b/>
          <w:color w:val="auto"/>
          <w:szCs w:val="21"/>
          <w:highlight w:val="none"/>
          <w:lang w:val="zh-CN"/>
        </w:rPr>
        <w:t>甲方</w:t>
      </w:r>
      <w:r>
        <w:rPr>
          <w:rFonts w:hint="eastAsia" w:ascii="宋体" w:hAnsi="宋体" w:cs="宋体"/>
          <w:color w:val="auto"/>
          <w:szCs w:val="21"/>
          <w:highlight w:val="none"/>
          <w:lang w:val="zh-CN"/>
        </w:rPr>
        <w:t xml:space="preserve">：                             </w:t>
      </w:r>
      <w:r>
        <w:rPr>
          <w:rFonts w:hint="eastAsia" w:ascii="宋体" w:hAnsi="宋体" w:cs="宋体"/>
          <w:b/>
          <w:color w:val="auto"/>
          <w:szCs w:val="21"/>
          <w:highlight w:val="none"/>
          <w:lang w:val="zh-CN"/>
        </w:rPr>
        <w:t xml:space="preserve">      乙方</w:t>
      </w:r>
      <w:r>
        <w:rPr>
          <w:rFonts w:hint="eastAsia" w:ascii="宋体" w:hAnsi="宋体" w:cs="宋体"/>
          <w:color w:val="auto"/>
          <w:szCs w:val="21"/>
          <w:highlight w:val="none"/>
          <w:lang w:val="zh-CN"/>
        </w:rPr>
        <w:t>：</w:t>
      </w:r>
    </w:p>
    <w:p w14:paraId="16F36F4D">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统一社会信用代码：                        统一社会信用代码或身份证号码：</w:t>
      </w:r>
    </w:p>
    <w:p w14:paraId="0D995AAF">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住所：                                   住所：</w:t>
      </w:r>
    </w:p>
    <w:p w14:paraId="4A72B583">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法定代表人或                             法定代表人</w:t>
      </w:r>
    </w:p>
    <w:p w14:paraId="49D6F156">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授权代表（签字）：                        或授权代表（签字）： </w:t>
      </w:r>
    </w:p>
    <w:p w14:paraId="3C080A07">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联系人：                                 联系人：</w:t>
      </w:r>
    </w:p>
    <w:p w14:paraId="46FFED3D">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约定送达地址：                           约定送达地址：</w:t>
      </w:r>
    </w:p>
    <w:p w14:paraId="4C6AC62E">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邮政编码：                               邮政编码：</w:t>
      </w:r>
    </w:p>
    <w:p w14:paraId="0A5F746C">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电话：                                    电话： </w:t>
      </w:r>
    </w:p>
    <w:p w14:paraId="017FB9E3">
      <w:pPr>
        <w:autoSpaceDE w:val="0"/>
        <w:autoSpaceDN w:val="0"/>
        <w:spacing w:line="360" w:lineRule="auto"/>
        <w:rPr>
          <w:rFonts w:hint="eastAsia" w:ascii="宋体" w:hAnsi="宋体" w:cs="宋体"/>
          <w:color w:val="auto"/>
          <w:szCs w:val="21"/>
          <w:highlight w:val="none"/>
          <w:lang w:val="zh-CN"/>
        </w:rPr>
      </w:pPr>
      <w:r>
        <w:rPr>
          <w:rFonts w:hint="eastAsia" w:ascii="宋体" w:hAnsi="宋体" w:cs="宋体"/>
          <w:color w:val="auto"/>
          <w:szCs w:val="21"/>
          <w:highlight w:val="none"/>
          <w:lang w:val="zh-CN"/>
        </w:rPr>
        <w:t>传真：                                    传真：</w:t>
      </w:r>
    </w:p>
    <w:p w14:paraId="58F829D4">
      <w:pPr>
        <w:autoSpaceDE w:val="0"/>
        <w:autoSpaceDN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zh-CN"/>
        </w:rPr>
        <w:t>电子邮箱：                               电子邮箱：</w:t>
      </w:r>
    </w:p>
    <w:p w14:paraId="28016D2C">
      <w:pPr>
        <w:autoSpaceDE w:val="0"/>
        <w:autoSpaceDN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开户银行：                               开户银行： </w:t>
      </w:r>
    </w:p>
    <w:p w14:paraId="5FE541D2">
      <w:pPr>
        <w:autoSpaceDE w:val="0"/>
        <w:autoSpaceDN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开户名称：                               开户名称： </w:t>
      </w:r>
    </w:p>
    <w:p w14:paraId="75BD5069">
      <w:pPr>
        <w:autoSpaceDE w:val="0"/>
        <w:autoSpaceDN w:val="0"/>
        <w:spacing w:line="360" w:lineRule="auto"/>
        <w:rPr>
          <w:rFonts w:hint="eastAsia" w:ascii="宋体" w:hAnsi="宋体" w:cs="宋体"/>
          <w:b/>
          <w:color w:val="auto"/>
          <w:sz w:val="24"/>
          <w:highlight w:val="none"/>
        </w:rPr>
      </w:pPr>
      <w:r>
        <w:rPr>
          <w:rFonts w:hint="eastAsia" w:ascii="宋体" w:hAnsi="宋体" w:cs="宋体"/>
          <w:color w:val="auto"/>
          <w:szCs w:val="21"/>
          <w:highlight w:val="none"/>
        </w:rPr>
        <w:t>开户账号：</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开户账号：</w:t>
      </w:r>
      <w:bookmarkStart w:id="445" w:name="_Toc331685783"/>
      <w:r>
        <w:rPr>
          <w:rFonts w:hint="eastAsia" w:ascii="宋体" w:hAnsi="宋体" w:cs="宋体"/>
          <w:b/>
          <w:color w:val="auto"/>
          <w:highlight w:val="none"/>
        </w:rPr>
        <w:br w:type="page"/>
      </w:r>
    </w:p>
    <w:p w14:paraId="698A0564">
      <w:pPr>
        <w:pStyle w:val="702"/>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bookmarkEnd w:id="445"/>
    </w:p>
    <w:p w14:paraId="01B60DBE">
      <w:pPr>
        <w:pStyle w:val="4"/>
        <w:rPr>
          <w:color w:val="auto"/>
          <w:highlight w:val="none"/>
        </w:rPr>
      </w:pPr>
      <w:r>
        <w:rPr>
          <w:rFonts w:hint="eastAsia"/>
          <w:color w:val="auto"/>
          <w:highlight w:val="none"/>
        </w:rPr>
        <w:t>2.1定义</w:t>
      </w:r>
    </w:p>
    <w:p w14:paraId="1EC750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本合同中的下列词语应按以下内容进行解释：</w:t>
      </w:r>
    </w:p>
    <w:p w14:paraId="19CAE2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2.1.1“合同”系指采购人和中标或成交供应商签订的载明双方当事人所达成的协议，并包括所有的附件、附录和构成合同的其他文件。</w:t>
      </w:r>
    </w:p>
    <w:p w14:paraId="45A7A5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2.1.2“合同价”系指根据合同约定，中标或成交供应商在完全履行合同义务后，采购人应支付给中标或成交供应商的价格。</w:t>
      </w:r>
    </w:p>
    <w:p w14:paraId="3E36CD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2.1.3“服务”系指中标或成交供应商根据合同约定应向采购人履行的除货物和工程以外的其他政府采购对象，包括采购人自身需要的服务和向社会公众提供的公共服务。</w:t>
      </w:r>
    </w:p>
    <w:p w14:paraId="4E33F88D">
      <w:pPr>
        <w:spacing w:line="360" w:lineRule="auto"/>
        <w:ind w:firstLine="420" w:firstLineChars="200"/>
        <w:rPr>
          <w:rFonts w:hint="eastAsia" w:ascii="宋体" w:hAnsi="宋体" w:cs="宋体"/>
          <w:color w:val="auto"/>
          <w:szCs w:val="21"/>
          <w:highlight w:val="none"/>
        </w:rPr>
      </w:pPr>
      <w:bookmarkStart w:id="446" w:name="_Ref467378840"/>
      <w:r>
        <w:rPr>
          <w:rFonts w:hint="eastAsia" w:ascii="宋体" w:hAnsi="宋体" w:cs="宋体"/>
          <w:color w:val="auto"/>
          <w:szCs w:val="21"/>
          <w:highlight w:val="none"/>
        </w:rPr>
        <w:t>2.1.4“甲方”系指与中标或成交供应商签署合同的采购人</w:t>
      </w:r>
      <w:bookmarkEnd w:id="446"/>
      <w:r>
        <w:rPr>
          <w:rFonts w:hint="eastAsia" w:ascii="宋体" w:hAnsi="宋体" w:cs="宋体"/>
          <w:color w:val="auto"/>
          <w:szCs w:val="21"/>
          <w:highlight w:val="none"/>
        </w:rPr>
        <w:t>；采购人委托采购代理机构代表其与乙方签订合同的，采购人的授权委托书作为合同附件。</w:t>
      </w:r>
    </w:p>
    <w:p w14:paraId="2DF113B2">
      <w:pPr>
        <w:spacing w:line="360" w:lineRule="auto"/>
        <w:ind w:firstLine="420" w:firstLineChars="200"/>
        <w:rPr>
          <w:rFonts w:hint="eastAsia" w:ascii="宋体" w:hAnsi="宋体" w:cs="宋体"/>
          <w:color w:val="auto"/>
          <w:szCs w:val="21"/>
          <w:highlight w:val="none"/>
        </w:rPr>
      </w:pPr>
      <w:bookmarkStart w:id="447" w:name="_Ref467379400"/>
      <w:r>
        <w:rPr>
          <w:rFonts w:hint="eastAsia" w:ascii="宋体" w:hAnsi="宋体" w:cs="宋体"/>
          <w:color w:val="auto"/>
          <w:szCs w:val="21"/>
          <w:highlight w:val="none"/>
        </w:rPr>
        <w:t>2.1.5“乙方”系指根据合同约定提供服务的中标或成交供应商</w:t>
      </w:r>
      <w:bookmarkEnd w:id="447"/>
      <w:r>
        <w:rPr>
          <w:rFonts w:hint="eastAsia" w:ascii="宋体" w:hAnsi="宋体" w:cs="宋体"/>
          <w:color w:val="auto"/>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6E3D812">
      <w:pPr>
        <w:spacing w:line="360" w:lineRule="auto"/>
        <w:ind w:firstLine="420" w:firstLineChars="200"/>
        <w:rPr>
          <w:rFonts w:hint="eastAsia" w:ascii="宋体" w:hAnsi="宋体" w:cs="宋体"/>
          <w:color w:val="auto"/>
          <w:szCs w:val="21"/>
          <w:highlight w:val="none"/>
        </w:rPr>
      </w:pPr>
      <w:bookmarkStart w:id="448" w:name="_Ref467379436"/>
      <w:r>
        <w:rPr>
          <w:rFonts w:hint="eastAsia" w:ascii="宋体" w:hAnsi="宋体" w:cs="宋体"/>
          <w:color w:val="auto"/>
          <w:szCs w:val="21"/>
          <w:highlight w:val="none"/>
        </w:rPr>
        <w:t>2.1.6“现场”系指合同约定提供服务的地点。</w:t>
      </w:r>
      <w:bookmarkEnd w:id="448"/>
    </w:p>
    <w:p w14:paraId="17CCCDD8">
      <w:pPr>
        <w:pStyle w:val="4"/>
        <w:rPr>
          <w:color w:val="auto"/>
          <w:highlight w:val="none"/>
        </w:rPr>
      </w:pPr>
      <w:bookmarkStart w:id="449" w:name="_Toc279701241"/>
      <w:bookmarkStart w:id="450" w:name="_Toc32504"/>
      <w:bookmarkStart w:id="451" w:name="_Toc259093670"/>
      <w:bookmarkStart w:id="452" w:name="_Toc13336"/>
      <w:bookmarkStart w:id="453" w:name="_Toc487900350"/>
      <w:bookmarkStart w:id="454" w:name="_Toc27635"/>
      <w:r>
        <w:rPr>
          <w:rFonts w:hint="eastAsia"/>
          <w:color w:val="auto"/>
          <w:highlight w:val="none"/>
        </w:rPr>
        <w:t>2.2技术规范</w:t>
      </w:r>
      <w:bookmarkEnd w:id="449"/>
      <w:bookmarkEnd w:id="450"/>
      <w:bookmarkEnd w:id="451"/>
      <w:bookmarkEnd w:id="452"/>
      <w:bookmarkEnd w:id="453"/>
      <w:bookmarkEnd w:id="454"/>
    </w:p>
    <w:p w14:paraId="53DE61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服务所应遵守的技术规范应与采购文件规定的技术规范和技术规范附件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如果有的话</w:t>
      </w:r>
      <w:r>
        <w:rPr>
          <w:rFonts w:hint="eastAsia" w:ascii="宋体" w:hAnsi="宋体" w:cs="宋体"/>
          <w:color w:val="auto"/>
          <w:szCs w:val="21"/>
          <w:highlight w:val="none"/>
          <w:lang w:eastAsia="zh-CN"/>
        </w:rPr>
        <w:t>）</w:t>
      </w:r>
      <w:r>
        <w:rPr>
          <w:rFonts w:hint="eastAsia" w:ascii="宋体" w:hAnsi="宋体" w:cs="宋体"/>
          <w:color w:val="auto"/>
          <w:szCs w:val="21"/>
          <w:highlight w:val="none"/>
        </w:rPr>
        <w:t>及其技术规范偏差表</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如果被甲方接受的话</w:t>
      </w:r>
      <w:r>
        <w:rPr>
          <w:rFonts w:hint="eastAsia" w:ascii="宋体" w:hAnsi="宋体" w:cs="宋体"/>
          <w:color w:val="auto"/>
          <w:szCs w:val="21"/>
          <w:highlight w:val="none"/>
          <w:lang w:eastAsia="zh-CN"/>
        </w:rPr>
        <w:t>）</w:t>
      </w:r>
      <w:r>
        <w:rPr>
          <w:rFonts w:hint="eastAsia" w:ascii="宋体" w:hAnsi="宋体" w:cs="宋体"/>
          <w:color w:val="auto"/>
          <w:szCs w:val="21"/>
          <w:highlight w:val="none"/>
        </w:rPr>
        <w:t>相一致；如果采购文件中没有技术规范的相应说明，那么应以国家有关部门最新颁布的相应标准和规范为准。</w:t>
      </w:r>
    </w:p>
    <w:p w14:paraId="0C0EA590">
      <w:pPr>
        <w:pStyle w:val="4"/>
        <w:rPr>
          <w:color w:val="auto"/>
          <w:highlight w:val="none"/>
        </w:rPr>
      </w:pPr>
      <w:bookmarkStart w:id="455" w:name="_Toc31634"/>
      <w:bookmarkStart w:id="456" w:name="_Toc259093671"/>
      <w:bookmarkStart w:id="457" w:name="_Toc279701242"/>
      <w:bookmarkStart w:id="458" w:name="_Toc9829"/>
      <w:bookmarkStart w:id="459" w:name="_Toc27853"/>
      <w:bookmarkStart w:id="460" w:name="_Toc487900351"/>
      <w:r>
        <w:rPr>
          <w:rFonts w:hint="eastAsia"/>
          <w:color w:val="auto"/>
          <w:highlight w:val="none"/>
        </w:rPr>
        <w:t>2.3知识产权</w:t>
      </w:r>
      <w:bookmarkEnd w:id="455"/>
      <w:bookmarkEnd w:id="456"/>
      <w:bookmarkEnd w:id="457"/>
      <w:bookmarkEnd w:id="458"/>
      <w:bookmarkEnd w:id="459"/>
      <w:bookmarkEnd w:id="460"/>
    </w:p>
    <w:p w14:paraId="70F5BA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39D9A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2.3.2合同涉及技术成果的归属和收益的分成办法的，详见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14:paraId="7FC11CBD">
      <w:pPr>
        <w:pStyle w:val="4"/>
        <w:rPr>
          <w:color w:val="auto"/>
          <w:highlight w:val="none"/>
        </w:rPr>
      </w:pPr>
      <w:bookmarkStart w:id="461" w:name="_Ref467378541"/>
      <w:bookmarkStart w:id="462" w:name="_Toc259093674"/>
      <w:bookmarkStart w:id="463" w:name="_Ref467379527"/>
      <w:bookmarkStart w:id="464" w:name="_Toc279701245"/>
      <w:bookmarkStart w:id="465" w:name="_Toc487900354"/>
      <w:bookmarkStart w:id="466" w:name="_Ref467379542"/>
      <w:bookmarkStart w:id="467" w:name="_Ref467378591"/>
      <w:bookmarkStart w:id="468" w:name="_Ref467379536"/>
      <w:bookmarkStart w:id="469" w:name="_Toc19074"/>
      <w:bookmarkStart w:id="470" w:name="_Toc30272"/>
      <w:bookmarkStart w:id="471" w:name="_Toc26182"/>
      <w:r>
        <w:rPr>
          <w:rFonts w:hint="eastAsia"/>
          <w:color w:val="auto"/>
          <w:highlight w:val="none"/>
        </w:rPr>
        <w:t>2.</w:t>
      </w:r>
      <w:bookmarkEnd w:id="461"/>
      <w:bookmarkEnd w:id="462"/>
      <w:bookmarkEnd w:id="463"/>
      <w:bookmarkEnd w:id="464"/>
      <w:bookmarkEnd w:id="465"/>
      <w:bookmarkEnd w:id="466"/>
      <w:bookmarkEnd w:id="467"/>
      <w:bookmarkEnd w:id="468"/>
      <w:r>
        <w:rPr>
          <w:rFonts w:hint="eastAsia"/>
          <w:color w:val="auto"/>
          <w:highlight w:val="none"/>
        </w:rPr>
        <w:t>4履约检查和问题反馈</w:t>
      </w:r>
      <w:bookmarkEnd w:id="469"/>
      <w:bookmarkEnd w:id="470"/>
      <w:bookmarkEnd w:id="471"/>
    </w:p>
    <w:p w14:paraId="0A945D8C">
      <w:pPr>
        <w:spacing w:line="360" w:lineRule="auto"/>
        <w:ind w:firstLine="420" w:firstLineChars="200"/>
        <w:rPr>
          <w:rFonts w:hint="eastAsia" w:ascii="宋体" w:hAnsi="宋体" w:cs="宋体"/>
          <w:color w:val="auto"/>
          <w:szCs w:val="21"/>
          <w:highlight w:val="none"/>
        </w:rPr>
      </w:pPr>
      <w:bookmarkStart w:id="472" w:name="_Ref467379657"/>
      <w:r>
        <w:rPr>
          <w:rFonts w:hint="eastAsia" w:ascii="宋体" w:hAnsi="宋体" w:cs="宋体"/>
          <w:color w:val="auto"/>
          <w:szCs w:val="21"/>
          <w:highlight w:val="none"/>
        </w:rPr>
        <w:t>2.</w:t>
      </w:r>
      <w:bookmarkEnd w:id="472"/>
      <w:bookmarkStart w:id="473" w:name="_Toc186431854"/>
      <w:bookmarkStart w:id="474" w:name="_Ref467379807"/>
      <w:bookmarkStart w:id="475" w:name="_Toc279701247"/>
      <w:bookmarkStart w:id="476" w:name="_Toc487900357"/>
      <w:bookmarkStart w:id="477" w:name="_Toc259093676"/>
      <w:bookmarkStart w:id="478" w:name="_Ref467379793"/>
      <w:r>
        <w:rPr>
          <w:rFonts w:hint="eastAsia" w:ascii="宋体" w:hAnsi="宋体" w:cs="宋体"/>
          <w:color w:val="auto"/>
          <w:szCs w:val="21"/>
          <w:highlight w:val="none"/>
        </w:rPr>
        <w:t>4.1甲方有权在其认为必要时，对乙方是否能够按照合同约定提供服务进行履约检查，以确保乙方所提供的服务能够依约满足甲方之项目需求，但不得因履约检查妨碍乙方的正常工作，乙方应予积极配合；</w:t>
      </w:r>
    </w:p>
    <w:p w14:paraId="19B344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2.4.2合同履行期间，甲方有权将履行过程中出现的问题反馈给乙方，双方当事人应以书面形式约定需要完善和改进的内容</w:t>
      </w:r>
      <w:bookmarkEnd w:id="473"/>
      <w:bookmarkStart w:id="479" w:name="_Toc186431855"/>
      <w:r>
        <w:rPr>
          <w:rFonts w:hint="eastAsia" w:ascii="宋体" w:hAnsi="宋体" w:cs="宋体"/>
          <w:color w:val="auto"/>
          <w:szCs w:val="21"/>
          <w:highlight w:val="none"/>
        </w:rPr>
        <w:t>。</w:t>
      </w:r>
    </w:p>
    <w:p w14:paraId="23BCE801">
      <w:pPr>
        <w:pStyle w:val="4"/>
        <w:rPr>
          <w:color w:val="auto"/>
          <w:highlight w:val="none"/>
        </w:rPr>
      </w:pPr>
      <w:bookmarkStart w:id="480" w:name="_Toc22011"/>
      <w:bookmarkStart w:id="481" w:name="_Toc26555"/>
      <w:bookmarkStart w:id="482" w:name="_Toc15447"/>
      <w:bookmarkStart w:id="483" w:name="_Toc32670"/>
      <w:bookmarkStart w:id="484" w:name="_Toc31233"/>
      <w:r>
        <w:rPr>
          <w:rFonts w:hint="eastAsia"/>
          <w:color w:val="auto"/>
          <w:highlight w:val="none"/>
        </w:rPr>
        <w:t>2.5结算方式和付款条件</w:t>
      </w:r>
      <w:bookmarkEnd w:id="480"/>
      <w:bookmarkEnd w:id="481"/>
      <w:bookmarkEnd w:id="482"/>
      <w:bookmarkEnd w:id="483"/>
      <w:bookmarkEnd w:id="484"/>
    </w:p>
    <w:p w14:paraId="31BCDF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bookmarkEnd w:id="474"/>
    <w:bookmarkEnd w:id="475"/>
    <w:bookmarkEnd w:id="476"/>
    <w:bookmarkEnd w:id="477"/>
    <w:bookmarkEnd w:id="478"/>
    <w:bookmarkEnd w:id="479"/>
    <w:p w14:paraId="1E605434">
      <w:pPr>
        <w:pStyle w:val="4"/>
        <w:rPr>
          <w:color w:val="auto"/>
          <w:highlight w:val="none"/>
        </w:rPr>
      </w:pPr>
      <w:bookmarkStart w:id="485" w:name="_Toc487900358"/>
      <w:bookmarkStart w:id="486" w:name="_Ref467379923"/>
      <w:bookmarkStart w:id="487" w:name="_Ref467379852"/>
      <w:bookmarkStart w:id="488" w:name="_Toc259093677"/>
      <w:bookmarkStart w:id="489" w:name="_Ref467379863"/>
      <w:bookmarkStart w:id="490" w:name="_Toc279701248"/>
      <w:bookmarkStart w:id="491" w:name="_Toc16110"/>
      <w:bookmarkStart w:id="492" w:name="_Toc774"/>
      <w:bookmarkStart w:id="493" w:name="_Toc3225"/>
      <w:r>
        <w:rPr>
          <w:rFonts w:hint="eastAsia"/>
          <w:color w:val="auto"/>
          <w:highlight w:val="none"/>
        </w:rPr>
        <w:t>2.6技术资料</w:t>
      </w:r>
      <w:bookmarkEnd w:id="485"/>
      <w:bookmarkEnd w:id="486"/>
      <w:bookmarkEnd w:id="487"/>
      <w:bookmarkEnd w:id="488"/>
      <w:bookmarkEnd w:id="489"/>
      <w:bookmarkEnd w:id="490"/>
      <w:r>
        <w:rPr>
          <w:rFonts w:hint="eastAsia"/>
          <w:color w:val="auto"/>
          <w:highlight w:val="none"/>
        </w:rPr>
        <w:t>和保密义务</w:t>
      </w:r>
      <w:bookmarkEnd w:id="491"/>
      <w:bookmarkEnd w:id="492"/>
      <w:bookmarkEnd w:id="493"/>
    </w:p>
    <w:p w14:paraId="6F2F81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2.6.1乙方有权依据合同约定和项目需要，向甲方了解有关情况，调阅有关资料等，甲方应予积极配合；</w:t>
      </w:r>
    </w:p>
    <w:p w14:paraId="52BA22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2.6.2乙方有义务妥善保管和保护由甲方提供的前款信息和资料等；</w:t>
      </w:r>
    </w:p>
    <w:p w14:paraId="01BC83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52D41CC">
      <w:pPr>
        <w:pStyle w:val="4"/>
        <w:rPr>
          <w:color w:val="auto"/>
          <w:highlight w:val="none"/>
        </w:rPr>
      </w:pPr>
      <w:bookmarkStart w:id="494" w:name="_Toc7860"/>
      <w:r>
        <w:rPr>
          <w:rFonts w:hint="eastAsia"/>
          <w:color w:val="auto"/>
          <w:highlight w:val="none"/>
        </w:rPr>
        <w:t>2.7质量保证</w:t>
      </w:r>
      <w:bookmarkEnd w:id="494"/>
    </w:p>
    <w:p w14:paraId="02245D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2.7.1乙方应建立和完善履行合同的内部质量保证体系，并提供相关内部规章制度给甲方，以便甲方进行监督检查；</w:t>
      </w:r>
    </w:p>
    <w:p w14:paraId="2A07AD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2.7.2乙方应保证履行合同的人员数量和素质、软件和硬件设备的配置、场地、环境和设施等满足全面履行合同的要求，并应接受甲方的监督检查。</w:t>
      </w:r>
    </w:p>
    <w:p w14:paraId="5392AABD">
      <w:pPr>
        <w:pStyle w:val="4"/>
        <w:rPr>
          <w:color w:val="auto"/>
          <w:highlight w:val="none"/>
        </w:rPr>
      </w:pPr>
      <w:bookmarkStart w:id="495" w:name="_Toc17244"/>
      <w:bookmarkStart w:id="496" w:name="_Toc279701252"/>
      <w:bookmarkStart w:id="497" w:name="_Toc259093681"/>
      <w:bookmarkStart w:id="498" w:name="_Toc487900362"/>
      <w:r>
        <w:rPr>
          <w:rFonts w:hint="eastAsia"/>
          <w:color w:val="auto"/>
          <w:highlight w:val="none"/>
        </w:rPr>
        <w:t>2.8</w:t>
      </w:r>
      <w:bookmarkEnd w:id="495"/>
      <w:bookmarkStart w:id="499" w:name="_Toc14055"/>
      <w:r>
        <w:rPr>
          <w:rFonts w:hint="eastAsia"/>
          <w:color w:val="auto"/>
          <w:highlight w:val="none"/>
        </w:rPr>
        <w:t>延迟</w:t>
      </w:r>
      <w:bookmarkEnd w:id="496"/>
      <w:bookmarkEnd w:id="497"/>
      <w:bookmarkEnd w:id="498"/>
      <w:bookmarkEnd w:id="499"/>
      <w:r>
        <w:rPr>
          <w:rFonts w:hint="eastAsia"/>
          <w:color w:val="auto"/>
          <w:highlight w:val="none"/>
        </w:rPr>
        <w:t>履行</w:t>
      </w:r>
    </w:p>
    <w:p w14:paraId="57966A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2D09561">
      <w:pPr>
        <w:pStyle w:val="4"/>
        <w:rPr>
          <w:color w:val="auto"/>
          <w:highlight w:val="none"/>
        </w:rPr>
      </w:pPr>
      <w:bookmarkStart w:id="500" w:name="_Toc7502"/>
      <w:bookmarkStart w:id="501" w:name="_Toc259093683"/>
      <w:bookmarkStart w:id="502" w:name="_Toc279701254"/>
      <w:bookmarkStart w:id="503" w:name="_Toc487900364"/>
      <w:bookmarkStart w:id="504" w:name="_Ref467378121"/>
      <w:r>
        <w:rPr>
          <w:rFonts w:hint="eastAsia"/>
          <w:color w:val="auto"/>
          <w:highlight w:val="none"/>
        </w:rPr>
        <w:t>2.9合同变更</w:t>
      </w:r>
      <w:bookmarkEnd w:id="500"/>
    </w:p>
    <w:p w14:paraId="1E0326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合同继续履行将损害国家利益和社会公共利益的，双方当事人应当以书面形式变更合同。有过错的一方应当承担赔偿责任，双方当事人都有过错的，各自承担相应的责任。</w:t>
      </w:r>
      <w:bookmarkStart w:id="505" w:name="_Toc279701259"/>
      <w:bookmarkStart w:id="506" w:name="_Toc487900369"/>
      <w:bookmarkStart w:id="507" w:name="_Toc259093688"/>
    </w:p>
    <w:p w14:paraId="7F1A001F">
      <w:pPr>
        <w:pStyle w:val="4"/>
        <w:rPr>
          <w:color w:val="auto"/>
          <w:highlight w:val="none"/>
        </w:rPr>
      </w:pPr>
      <w:bookmarkStart w:id="508" w:name="_Toc10366"/>
      <w:bookmarkStart w:id="509" w:name="_Toc22955"/>
      <w:bookmarkStart w:id="510" w:name="_Toc15237"/>
      <w:r>
        <w:rPr>
          <w:rFonts w:hint="eastAsia"/>
          <w:color w:val="auto"/>
          <w:highlight w:val="none"/>
        </w:rPr>
        <w:t>2.10合同转让</w:t>
      </w:r>
      <w:bookmarkEnd w:id="505"/>
      <w:bookmarkEnd w:id="506"/>
      <w:bookmarkEnd w:id="507"/>
      <w:r>
        <w:rPr>
          <w:rFonts w:hint="eastAsia"/>
          <w:color w:val="auto"/>
          <w:highlight w:val="none"/>
        </w:rPr>
        <w:t>和分包</w:t>
      </w:r>
      <w:bookmarkEnd w:id="508"/>
      <w:bookmarkEnd w:id="509"/>
      <w:bookmarkEnd w:id="510"/>
    </w:p>
    <w:p w14:paraId="753AC0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CA4247C">
      <w:pPr>
        <w:pStyle w:val="4"/>
        <w:rPr>
          <w:rFonts w:hint="eastAsia" w:ascii="宋体" w:hAnsi="宋体" w:cs="宋体"/>
          <w:color w:val="auto"/>
          <w:szCs w:val="21"/>
          <w:highlight w:val="none"/>
        </w:rPr>
      </w:pPr>
      <w:r>
        <w:rPr>
          <w:rFonts w:hint="eastAsia" w:ascii="宋体" w:hAnsi="宋体" w:cs="宋体"/>
          <w:color w:val="auto"/>
          <w:szCs w:val="21"/>
          <w:highlight w:val="none"/>
        </w:rPr>
        <w:t>2.</w:t>
      </w:r>
      <w:bookmarkStart w:id="511" w:name="_Toc16508"/>
      <w:bookmarkStart w:id="512" w:name="_Toc13566"/>
      <w:bookmarkStart w:id="513" w:name="_Toc14066"/>
      <w:r>
        <w:rPr>
          <w:rFonts w:hint="eastAsia" w:ascii="宋体" w:hAnsi="宋体" w:cs="宋体"/>
          <w:color w:val="auto"/>
          <w:szCs w:val="21"/>
          <w:highlight w:val="none"/>
        </w:rPr>
        <w:t>11不可抗力</w:t>
      </w:r>
      <w:bookmarkEnd w:id="511"/>
      <w:bookmarkEnd w:id="512"/>
      <w:bookmarkEnd w:id="513"/>
    </w:p>
    <w:p w14:paraId="6291A6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2.11.1如果任何一方遭遇法律规定的不可抗力，致使合同履行受阻时，履行合同的期限应予延长，延长的期限应相当于不可抗力所影响的时间；</w:t>
      </w:r>
    </w:p>
    <w:p w14:paraId="5971F7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2.11.2因不可抗力致使不能实现合同目的的，当事人可以解除合同；</w:t>
      </w:r>
    </w:p>
    <w:p w14:paraId="29A31F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2.11.3因不可抗力致使合同有变更必要的，双方当事人应在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约定时间内以书面形式变更合同；</w:t>
      </w:r>
    </w:p>
    <w:p w14:paraId="4C31C9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2.11.4受不可抗力影响的一方在不可抗力发生后，应在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约定时间内以书面形式通知对方当事人，并在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约定时间内，将有关部门出具的证明文件送达对方当事人。</w:t>
      </w:r>
    </w:p>
    <w:p w14:paraId="23CAABD1">
      <w:pPr>
        <w:pStyle w:val="4"/>
        <w:rPr>
          <w:color w:val="auto"/>
          <w:highlight w:val="none"/>
        </w:rPr>
      </w:pPr>
      <w:bookmarkStart w:id="514" w:name="_Toc487900365"/>
      <w:bookmarkStart w:id="515" w:name="_Toc279701255"/>
      <w:bookmarkStart w:id="516" w:name="_Toc6969"/>
      <w:bookmarkStart w:id="517" w:name="_Toc30676"/>
      <w:bookmarkStart w:id="518" w:name="_Toc689"/>
      <w:bookmarkStart w:id="519" w:name="_Toc259093684"/>
      <w:r>
        <w:rPr>
          <w:rFonts w:hint="eastAsia"/>
          <w:color w:val="auto"/>
          <w:highlight w:val="none"/>
        </w:rPr>
        <w:t>2.12 税费</w:t>
      </w:r>
      <w:bookmarkEnd w:id="514"/>
      <w:bookmarkEnd w:id="515"/>
      <w:bookmarkEnd w:id="516"/>
      <w:bookmarkEnd w:id="517"/>
      <w:bookmarkEnd w:id="518"/>
      <w:bookmarkEnd w:id="519"/>
    </w:p>
    <w:p w14:paraId="0AEDD9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与合同有关的一切税费，均按照中华人民共和国法律的相关规定缴纳。</w:t>
      </w:r>
    </w:p>
    <w:p w14:paraId="343B86F7">
      <w:pPr>
        <w:pStyle w:val="4"/>
        <w:rPr>
          <w:color w:val="auto"/>
          <w:highlight w:val="none"/>
        </w:rPr>
      </w:pPr>
      <w:bookmarkStart w:id="520" w:name="_Toc487900368"/>
      <w:bookmarkStart w:id="521" w:name="_Toc8298"/>
      <w:bookmarkStart w:id="522" w:name="_Toc259093687"/>
      <w:bookmarkStart w:id="523" w:name="_Toc7102"/>
      <w:bookmarkStart w:id="524" w:name="_Toc279701258"/>
      <w:bookmarkStart w:id="525" w:name="_Toc16959"/>
      <w:r>
        <w:rPr>
          <w:rFonts w:hint="eastAsia"/>
          <w:color w:val="auto"/>
          <w:highlight w:val="none"/>
        </w:rPr>
        <w:t>2.13乙方破产</w:t>
      </w:r>
      <w:bookmarkEnd w:id="520"/>
      <w:bookmarkEnd w:id="521"/>
      <w:bookmarkEnd w:id="522"/>
      <w:bookmarkEnd w:id="523"/>
      <w:bookmarkEnd w:id="524"/>
      <w:bookmarkEnd w:id="525"/>
    </w:p>
    <w:p w14:paraId="259886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9810816">
      <w:pPr>
        <w:pStyle w:val="4"/>
        <w:rPr>
          <w:color w:val="auto"/>
          <w:highlight w:val="none"/>
        </w:rPr>
      </w:pPr>
      <w:bookmarkStart w:id="526" w:name="_Toc6134"/>
      <w:bookmarkStart w:id="527" w:name="_Toc29333"/>
      <w:bookmarkStart w:id="528" w:name="_Toc15387"/>
      <w:r>
        <w:rPr>
          <w:rFonts w:hint="eastAsia"/>
          <w:color w:val="auto"/>
          <w:highlight w:val="none"/>
        </w:rPr>
        <w:t>2.14合同中止、终止</w:t>
      </w:r>
      <w:bookmarkEnd w:id="526"/>
      <w:bookmarkEnd w:id="527"/>
      <w:bookmarkEnd w:id="528"/>
    </w:p>
    <w:p w14:paraId="3D9A4B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2.14.1双方当事人不得擅自中止或者终止合同；</w:t>
      </w:r>
    </w:p>
    <w:p w14:paraId="7CE22C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2.14.2合同继续履行将损害国家利益和社会公共利益的，双方当事人应当中止或者终止合同。有过错的一方应当承担赔偿责任，双方当事人都有过错的，各自承担相应的责任。</w:t>
      </w:r>
    </w:p>
    <w:p w14:paraId="73D62D6F">
      <w:pPr>
        <w:pStyle w:val="4"/>
        <w:rPr>
          <w:color w:val="auto"/>
          <w:highlight w:val="none"/>
        </w:rPr>
      </w:pPr>
      <w:bookmarkStart w:id="529" w:name="_Toc14563"/>
      <w:bookmarkStart w:id="530" w:name="_Toc6596"/>
      <w:bookmarkStart w:id="531" w:name="_Toc1125"/>
      <w:r>
        <w:rPr>
          <w:rFonts w:hint="eastAsia"/>
          <w:color w:val="auto"/>
          <w:highlight w:val="none"/>
        </w:rPr>
        <w:t>2.15检验和验收</w:t>
      </w:r>
      <w:bookmarkEnd w:id="529"/>
      <w:bookmarkEnd w:id="530"/>
      <w:bookmarkEnd w:id="531"/>
    </w:p>
    <w:p w14:paraId="7CC0E9C3">
      <w:pPr>
        <w:tabs>
          <w:tab w:val="left" w:pos="360"/>
          <w:tab w:val="left" w:pos="540"/>
          <w:tab w:val="left" w:pos="108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2.15.1乙方按照合同</w:t>
      </w:r>
      <w:r>
        <w:rPr>
          <w:rFonts w:hint="eastAsia" w:ascii="宋体" w:hAnsi="宋体" w:cs="宋体"/>
          <w:b/>
          <w:i/>
          <w:color w:val="auto"/>
          <w:szCs w:val="21"/>
          <w:highlight w:val="none"/>
          <w:u w:val="single"/>
        </w:rPr>
        <w:t>专用条款</w:t>
      </w:r>
      <w:r>
        <w:rPr>
          <w:rFonts w:hint="eastAsia" w:ascii="宋体" w:hAnsi="宋体" w:cs="宋体"/>
          <w:color w:val="auto"/>
          <w:szCs w:val="21"/>
          <w:highlight w:val="none"/>
        </w:rPr>
        <w:t>的约定，定期提交服务报告，甲方按照</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的约定进行定期验收；</w:t>
      </w:r>
    </w:p>
    <w:p w14:paraId="31690483">
      <w:pPr>
        <w:tabs>
          <w:tab w:val="left" w:pos="360"/>
          <w:tab w:val="left" w:pos="540"/>
          <w:tab w:val="left" w:pos="108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389C43B">
      <w:pPr>
        <w:tabs>
          <w:tab w:val="left" w:pos="360"/>
          <w:tab w:val="left" w:pos="540"/>
          <w:tab w:val="left" w:pos="108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2.15.3检验和验收标准、程序等具体内容以及前述验收书的效力详见</w:t>
      </w:r>
      <w:r>
        <w:rPr>
          <w:rFonts w:hint="eastAsia" w:ascii="宋体" w:hAnsi="宋体" w:cs="宋体"/>
          <w:b/>
          <w:i/>
          <w:color w:val="auto"/>
          <w:szCs w:val="21"/>
          <w:highlight w:val="none"/>
          <w:u w:val="single"/>
        </w:rPr>
        <w:t>合同专用条款</w:t>
      </w:r>
      <w:r>
        <w:rPr>
          <w:rFonts w:hint="eastAsia" w:ascii="宋体" w:hAnsi="宋体" w:cs="宋体"/>
          <w:i/>
          <w:color w:val="auto"/>
          <w:szCs w:val="21"/>
          <w:highlight w:val="none"/>
        </w:rPr>
        <w:t>。</w:t>
      </w:r>
    </w:p>
    <w:bookmarkEnd w:id="501"/>
    <w:bookmarkEnd w:id="502"/>
    <w:bookmarkEnd w:id="503"/>
    <w:bookmarkEnd w:id="504"/>
    <w:p w14:paraId="1B994EC3">
      <w:pPr>
        <w:pStyle w:val="4"/>
        <w:rPr>
          <w:color w:val="auto"/>
          <w:highlight w:val="none"/>
        </w:rPr>
      </w:pPr>
      <w:bookmarkStart w:id="532" w:name="_Toc279701261"/>
      <w:bookmarkStart w:id="533" w:name="_Toc259093690"/>
      <w:bookmarkStart w:id="534" w:name="_Toc487900371"/>
      <w:bookmarkStart w:id="535" w:name="_Toc19604"/>
      <w:bookmarkStart w:id="536" w:name="_Toc25182"/>
      <w:bookmarkStart w:id="537" w:name="_Toc11284"/>
      <w:r>
        <w:rPr>
          <w:rFonts w:hint="eastAsia"/>
          <w:color w:val="auto"/>
          <w:highlight w:val="none"/>
        </w:rPr>
        <w:t>2.16通知</w:t>
      </w:r>
      <w:bookmarkEnd w:id="532"/>
      <w:bookmarkEnd w:id="533"/>
      <w:bookmarkEnd w:id="534"/>
      <w:r>
        <w:rPr>
          <w:rFonts w:hint="eastAsia"/>
          <w:color w:val="auto"/>
          <w:highlight w:val="none"/>
        </w:rPr>
        <w:t>和送达</w:t>
      </w:r>
      <w:bookmarkEnd w:id="535"/>
      <w:bookmarkEnd w:id="536"/>
      <w:bookmarkEnd w:id="537"/>
    </w:p>
    <w:p w14:paraId="3FC5F537">
      <w:pPr>
        <w:spacing w:line="360" w:lineRule="auto"/>
        <w:ind w:firstLine="420" w:firstLineChars="200"/>
        <w:rPr>
          <w:rFonts w:hint="eastAsia" w:ascii="宋体" w:hAnsi="宋体" w:cs="宋体"/>
          <w:color w:val="auto"/>
          <w:szCs w:val="21"/>
          <w:highlight w:val="none"/>
        </w:rPr>
      </w:pPr>
      <w:bookmarkStart w:id="538" w:name="_Toc3135"/>
      <w:bookmarkStart w:id="539" w:name="_Toc6698"/>
      <w:bookmarkStart w:id="540" w:name="_Toc279701262"/>
      <w:bookmarkStart w:id="541" w:name="_Toc259093691"/>
      <w:bookmarkStart w:id="542" w:name="_Toc487900372"/>
      <w:r>
        <w:rPr>
          <w:rFonts w:hint="eastAsia" w:ascii="宋体" w:hAnsi="宋体" w:cs="宋体"/>
          <w:color w:val="auto"/>
          <w:szCs w:val="21"/>
          <w:highlight w:val="none"/>
        </w:rPr>
        <w:t xml:space="preserve">2.17.1任何一方因履行合同而以合同第一部分尾部所列明的传真或电子邮件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发出的所有通知、文件、材料，均视为已向对方当事人送达；任何一方变更上述送达方式或者地址的，应于</w:t>
      </w:r>
      <w:r>
        <w:rPr>
          <w:rFonts w:hint="eastAsia" w:ascii="宋体" w:hAnsi="宋体" w:cs="宋体"/>
          <w:color w:val="auto"/>
          <w:szCs w:val="21"/>
          <w:highlight w:val="none"/>
          <w:u w:val="single"/>
        </w:rPr>
        <w:t>3</w:t>
      </w:r>
      <w:r>
        <w:rPr>
          <w:rFonts w:hint="eastAsia" w:ascii="宋体" w:hAnsi="宋体" w:cs="宋体"/>
          <w:color w:val="auto"/>
          <w:szCs w:val="21"/>
          <w:highlight w:val="none"/>
        </w:rPr>
        <w:t>个工作日内书面通知对方当事人，在对方当事人收到有关变更通知之前，变更前的约定送达方式或者地址仍视为有效。</w:t>
      </w:r>
      <w:bookmarkEnd w:id="538"/>
      <w:bookmarkEnd w:id="539"/>
    </w:p>
    <w:p w14:paraId="14011A64">
      <w:pPr>
        <w:spacing w:line="360" w:lineRule="auto"/>
        <w:ind w:firstLine="420" w:firstLineChars="200"/>
        <w:rPr>
          <w:rFonts w:hint="eastAsia" w:ascii="宋体" w:hAnsi="宋体" w:cs="宋体"/>
          <w:color w:val="auto"/>
          <w:szCs w:val="21"/>
          <w:highlight w:val="none"/>
        </w:rPr>
      </w:pPr>
      <w:bookmarkStart w:id="543" w:name="_Toc23128"/>
      <w:bookmarkStart w:id="544" w:name="_Toc23294"/>
      <w:r>
        <w:rPr>
          <w:rFonts w:hint="eastAsia" w:ascii="宋体" w:hAnsi="宋体" w:cs="宋体"/>
          <w:color w:val="auto"/>
          <w:szCs w:val="21"/>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3"/>
      <w:bookmarkEnd w:id="544"/>
    </w:p>
    <w:p w14:paraId="616BB862">
      <w:pPr>
        <w:pStyle w:val="4"/>
        <w:rPr>
          <w:rFonts w:hint="eastAsia" w:ascii="宋体" w:hAnsi="宋体" w:cs="宋体"/>
          <w:color w:val="auto"/>
          <w:szCs w:val="21"/>
          <w:highlight w:val="none"/>
        </w:rPr>
      </w:pPr>
      <w:bookmarkStart w:id="545" w:name="_Toc4355"/>
      <w:bookmarkStart w:id="546" w:name="_Toc30599"/>
      <w:bookmarkStart w:id="547" w:name="_Toc18540"/>
      <w:r>
        <w:rPr>
          <w:rFonts w:hint="eastAsia" w:ascii="宋体" w:hAnsi="宋体" w:cs="宋体"/>
          <w:color w:val="auto"/>
          <w:szCs w:val="21"/>
          <w:highlight w:val="none"/>
        </w:rPr>
        <w:t>2.</w:t>
      </w:r>
      <w:bookmarkEnd w:id="540"/>
      <w:bookmarkEnd w:id="541"/>
      <w:bookmarkEnd w:id="542"/>
      <w:bookmarkEnd w:id="545"/>
      <w:bookmarkEnd w:id="546"/>
      <w:bookmarkEnd w:id="547"/>
      <w:r>
        <w:rPr>
          <w:rFonts w:hint="eastAsia" w:ascii="宋体" w:hAnsi="宋体" w:cs="宋体"/>
          <w:color w:val="auto"/>
          <w:szCs w:val="21"/>
          <w:highlight w:val="none"/>
        </w:rPr>
        <w:t>17合同使用</w:t>
      </w:r>
      <w:bookmarkStart w:id="548" w:name="_Toc279701263"/>
      <w:bookmarkStart w:id="549" w:name="_Toc259093692"/>
      <w:bookmarkStart w:id="550" w:name="_Toc487900373"/>
      <w:bookmarkStart w:id="551" w:name="_Toc12773"/>
      <w:bookmarkStart w:id="552" w:name="_Toc18567"/>
      <w:bookmarkStart w:id="553" w:name="_Toc10330"/>
      <w:r>
        <w:rPr>
          <w:rFonts w:hint="eastAsia" w:ascii="宋体" w:hAnsi="宋体" w:cs="宋体"/>
          <w:color w:val="auto"/>
          <w:szCs w:val="21"/>
          <w:highlight w:val="none"/>
        </w:rPr>
        <w:t>的文字和适用的法律</w:t>
      </w:r>
      <w:bookmarkEnd w:id="548"/>
      <w:bookmarkEnd w:id="549"/>
      <w:bookmarkEnd w:id="550"/>
      <w:bookmarkEnd w:id="551"/>
      <w:bookmarkEnd w:id="552"/>
      <w:bookmarkEnd w:id="553"/>
    </w:p>
    <w:p w14:paraId="2DEC49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2.17.1合同使用汉语书写、变更和解释；</w:t>
      </w:r>
    </w:p>
    <w:p w14:paraId="14A477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2.17.2合同适用中华人民共和国法律。</w:t>
      </w:r>
    </w:p>
    <w:p w14:paraId="76A05505">
      <w:pPr>
        <w:pStyle w:val="4"/>
        <w:rPr>
          <w:rFonts w:hint="eastAsia" w:ascii="宋体" w:hAnsi="宋体" w:cs="宋体"/>
          <w:color w:val="auto"/>
          <w:szCs w:val="21"/>
          <w:highlight w:val="none"/>
        </w:rPr>
      </w:pPr>
      <w:bookmarkStart w:id="554" w:name="_Toc1492"/>
      <w:bookmarkStart w:id="555" w:name="_Toc27403"/>
      <w:bookmarkStart w:id="556" w:name="_Toc27127"/>
      <w:bookmarkStart w:id="557" w:name="_Toc30096"/>
      <w:bookmarkStart w:id="558" w:name="_Toc22266"/>
      <w:bookmarkStart w:id="559" w:name="_Toc16673"/>
      <w:bookmarkStart w:id="560" w:name="_Toc12004"/>
      <w:bookmarkStart w:id="561" w:name="_Toc259093693"/>
      <w:bookmarkStart w:id="562" w:name="_Toc3148"/>
      <w:bookmarkStart w:id="563" w:name="_Toc487900374"/>
      <w:bookmarkStart w:id="564" w:name="_Toc279701264"/>
      <w:r>
        <w:rPr>
          <w:rFonts w:hint="eastAsia" w:ascii="宋体" w:hAnsi="宋体" w:cs="宋体"/>
          <w:color w:val="auto"/>
          <w:szCs w:val="21"/>
          <w:highlight w:val="none"/>
        </w:rPr>
        <w:t xml:space="preserve">2.18 </w:t>
      </w:r>
      <w:bookmarkEnd w:id="554"/>
      <w:bookmarkEnd w:id="555"/>
      <w:bookmarkEnd w:id="556"/>
      <w:bookmarkEnd w:id="557"/>
      <w:bookmarkEnd w:id="558"/>
      <w:r>
        <w:rPr>
          <w:rFonts w:hint="eastAsia" w:ascii="宋体" w:hAnsi="宋体" w:cs="宋体"/>
          <w:color w:val="auto"/>
          <w:szCs w:val="21"/>
          <w:highlight w:val="none"/>
        </w:rPr>
        <w:t>计量单位</w:t>
      </w:r>
    </w:p>
    <w:p w14:paraId="5C20F3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除技术规范中另有规定外</w:t>
      </w:r>
      <w:r>
        <w:rPr>
          <w:rFonts w:hint="eastAsia" w:ascii="宋体" w:hAnsi="宋体" w:cs="宋体"/>
          <w:color w:val="auto"/>
          <w:szCs w:val="21"/>
          <w:highlight w:val="none"/>
          <w:lang w:eastAsia="zh-CN"/>
        </w:rPr>
        <w:t>，</w:t>
      </w:r>
      <w:r>
        <w:rPr>
          <w:rFonts w:hint="eastAsia" w:ascii="宋体" w:hAnsi="宋体" w:cs="宋体"/>
          <w:color w:val="auto"/>
          <w:szCs w:val="21"/>
          <w:highlight w:val="none"/>
        </w:rPr>
        <w:t>合同的计量单位均使用国家法定计量单位。</w:t>
      </w:r>
    </w:p>
    <w:p w14:paraId="3738E961">
      <w:pPr>
        <w:pStyle w:val="4"/>
        <w:rPr>
          <w:rFonts w:hint="eastAsia" w:ascii="宋体" w:hAnsi="宋体" w:cs="宋体"/>
          <w:color w:val="auto"/>
          <w:szCs w:val="21"/>
          <w:highlight w:val="none"/>
        </w:rPr>
      </w:pPr>
      <w:r>
        <w:rPr>
          <w:rFonts w:hint="eastAsia" w:ascii="宋体" w:hAnsi="宋体" w:cs="宋体"/>
          <w:color w:val="auto"/>
          <w:szCs w:val="21"/>
          <w:highlight w:val="none"/>
        </w:rPr>
        <w:t>2.19合同份数</w:t>
      </w:r>
    </w:p>
    <w:p w14:paraId="48445B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合同份数按</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规定，每份均具有同等法律效力。</w:t>
      </w:r>
    </w:p>
    <w:bookmarkEnd w:id="559"/>
    <w:bookmarkEnd w:id="560"/>
    <w:bookmarkEnd w:id="561"/>
    <w:bookmarkEnd w:id="562"/>
    <w:bookmarkEnd w:id="563"/>
    <w:bookmarkEnd w:id="564"/>
    <w:p w14:paraId="04051122">
      <w:pPr>
        <w:spacing w:line="360" w:lineRule="auto"/>
        <w:ind w:firstLine="420" w:firstLineChars="200"/>
        <w:rPr>
          <w:rFonts w:hint="eastAsia" w:ascii="宋体" w:hAnsi="宋体" w:cs="宋体"/>
          <w:color w:val="auto"/>
          <w:szCs w:val="21"/>
          <w:highlight w:val="none"/>
        </w:rPr>
      </w:pPr>
    </w:p>
    <w:p w14:paraId="061698F6">
      <w:pPr>
        <w:pStyle w:val="968"/>
        <w:rPr>
          <w:color w:val="auto"/>
          <w:highlight w:val="none"/>
        </w:rPr>
      </w:pPr>
    </w:p>
    <w:p w14:paraId="2247C5B0">
      <w:pPr>
        <w:pStyle w:val="702"/>
        <w:spacing w:line="560" w:lineRule="exact"/>
        <w:ind w:left="0" w:leftChars="0" w:firstLine="0" w:firstLineChars="0"/>
        <w:jc w:val="center"/>
        <w:rPr>
          <w:rFonts w:hint="eastAsia" w:ascii="宋体" w:hAnsi="宋体" w:cs="宋体"/>
          <w:b/>
          <w:color w:val="auto"/>
          <w:szCs w:val="24"/>
          <w:highlight w:val="none"/>
        </w:rPr>
      </w:pPr>
      <w:r>
        <w:rPr>
          <w:rFonts w:hint="eastAsia" w:ascii="宋体" w:hAnsi="宋体" w:cs="宋体"/>
          <w:color w:val="auto"/>
          <w:kern w:val="0"/>
          <w:szCs w:val="24"/>
          <w:highlight w:val="none"/>
        </w:rPr>
        <w:br w:type="page"/>
      </w:r>
      <w:r>
        <w:rPr>
          <w:rFonts w:hint="eastAsia" w:ascii="宋体" w:hAnsi="宋体" w:cs="宋体"/>
          <w:b/>
          <w:color w:val="auto"/>
          <w:szCs w:val="24"/>
          <w:highlight w:val="none"/>
        </w:rPr>
        <w:t>第三部分 合同专用条款</w:t>
      </w:r>
    </w:p>
    <w:p w14:paraId="30F401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89"/>
        <w:gridCol w:w="8137"/>
      </w:tblGrid>
      <w:tr w14:paraId="5593A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989" w:type="dxa"/>
            <w:tcBorders>
              <w:tl2br w:val="nil"/>
              <w:tr2bl w:val="nil"/>
            </w:tcBorders>
            <w:vAlign w:val="center"/>
          </w:tcPr>
          <w:p w14:paraId="6ABA714A">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8137" w:type="dxa"/>
            <w:tcBorders>
              <w:tl2br w:val="nil"/>
              <w:tr2bl w:val="nil"/>
            </w:tcBorders>
            <w:vAlign w:val="center"/>
          </w:tcPr>
          <w:p w14:paraId="6707EAAA">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约定内容</w:t>
            </w:r>
          </w:p>
        </w:tc>
      </w:tr>
      <w:tr w14:paraId="7131F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6AE6693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1.5.1</w:t>
            </w:r>
          </w:p>
        </w:tc>
        <w:tc>
          <w:tcPr>
            <w:tcW w:w="8137" w:type="dxa"/>
            <w:tcBorders>
              <w:tl2br w:val="nil"/>
              <w:tr2bl w:val="nil"/>
            </w:tcBorders>
            <w:vAlign w:val="center"/>
          </w:tcPr>
          <w:p w14:paraId="557F8353">
            <w:pPr>
              <w:spacing w:line="360" w:lineRule="auto"/>
              <w:rPr>
                <w:color w:val="auto"/>
                <w:highlight w:val="none"/>
              </w:rPr>
            </w:pPr>
            <w:r>
              <w:rPr>
                <w:rFonts w:hint="eastAsia" w:ascii="宋体" w:hAnsi="宋体" w:cs="宋体"/>
                <w:b/>
                <w:color w:val="auto"/>
                <w:szCs w:val="21"/>
                <w:highlight w:val="none"/>
              </w:rPr>
              <w:t>预付款付款比例、支付方式、时间</w:t>
            </w:r>
            <w:r>
              <w:rPr>
                <w:rFonts w:hint="eastAsia" w:ascii="宋体" w:hAnsi="宋体" w:cs="宋体"/>
                <w:b/>
                <w:color w:val="auto"/>
                <w:szCs w:val="21"/>
                <w:highlight w:val="none"/>
                <w:lang w:eastAsia="zh-CN"/>
              </w:rPr>
              <w:t>：</w:t>
            </w:r>
            <w:r>
              <w:rPr>
                <w:rFonts w:hint="eastAsia"/>
                <w:color w:val="auto"/>
                <w:szCs w:val="21"/>
                <w:highlight w:val="none"/>
              </w:rPr>
              <w:t>合同生效并具备实施条件后5个工作日内，采购人向中标人支付项目合同总价的40%作为预付款，在签订合同时，中标人明确表示无需预付款或者主动要求降低预付款比例的，采购人可不适用前述规定。</w:t>
            </w:r>
          </w:p>
        </w:tc>
      </w:tr>
      <w:tr w14:paraId="7B31E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1B4606C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8137" w:type="dxa"/>
            <w:tcBorders>
              <w:tl2br w:val="nil"/>
              <w:tr2bl w:val="nil"/>
            </w:tcBorders>
            <w:vAlign w:val="center"/>
          </w:tcPr>
          <w:p w14:paraId="13EDA5F7">
            <w:pPr>
              <w:spacing w:line="360" w:lineRule="auto"/>
              <w:rPr>
                <w:color w:val="auto"/>
                <w:szCs w:val="21"/>
                <w:highlight w:val="none"/>
              </w:rPr>
            </w:pPr>
            <w:r>
              <w:rPr>
                <w:rFonts w:hint="eastAsia"/>
                <w:b/>
                <w:bCs/>
                <w:color w:val="auto"/>
                <w:szCs w:val="21"/>
                <w:highlight w:val="none"/>
              </w:rPr>
              <w:t>付款的扣回方式：</w:t>
            </w:r>
            <w:r>
              <w:rPr>
                <w:rFonts w:hint="eastAsia"/>
                <w:color w:val="auto"/>
                <w:szCs w:val="21"/>
                <w:highlight w:val="none"/>
              </w:rPr>
              <w:t>/</w:t>
            </w:r>
          </w:p>
        </w:tc>
      </w:tr>
      <w:tr w14:paraId="3AEB9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06D4845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1.5.3</w:t>
            </w:r>
          </w:p>
        </w:tc>
        <w:tc>
          <w:tcPr>
            <w:tcW w:w="8137" w:type="dxa"/>
            <w:tcBorders>
              <w:tl2br w:val="nil"/>
              <w:tr2bl w:val="nil"/>
            </w:tcBorders>
            <w:vAlign w:val="center"/>
          </w:tcPr>
          <w:p w14:paraId="4B099FA0">
            <w:pPr>
              <w:spacing w:line="360" w:lineRule="auto"/>
              <w:rPr>
                <w:color w:val="auto"/>
                <w:szCs w:val="21"/>
                <w:highlight w:val="none"/>
              </w:rPr>
            </w:pPr>
            <w:r>
              <w:rPr>
                <w:rFonts w:hint="eastAsia"/>
                <w:b/>
                <w:bCs/>
                <w:color w:val="auto"/>
                <w:szCs w:val="21"/>
                <w:highlight w:val="none"/>
              </w:rPr>
              <w:t>付款的担保措施：</w:t>
            </w:r>
            <w:r>
              <w:rPr>
                <w:rFonts w:hint="eastAsia"/>
                <w:color w:val="auto"/>
                <w:szCs w:val="21"/>
                <w:highlight w:val="none"/>
              </w:rPr>
              <w:t>/</w:t>
            </w:r>
          </w:p>
        </w:tc>
      </w:tr>
      <w:tr w14:paraId="5C589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38E448A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8137" w:type="dxa"/>
            <w:tcBorders>
              <w:tl2br w:val="nil"/>
              <w:tr2bl w:val="nil"/>
            </w:tcBorders>
            <w:vAlign w:val="center"/>
          </w:tcPr>
          <w:p w14:paraId="0BE14E32">
            <w:pPr>
              <w:spacing w:line="360" w:lineRule="auto"/>
              <w:rPr>
                <w:b/>
                <w:bCs/>
                <w:color w:val="auto"/>
                <w:szCs w:val="21"/>
                <w:highlight w:val="none"/>
              </w:rPr>
            </w:pPr>
            <w:r>
              <w:rPr>
                <w:rFonts w:hint="eastAsia"/>
                <w:b/>
                <w:bCs/>
                <w:color w:val="auto"/>
                <w:szCs w:val="21"/>
                <w:highlight w:val="none"/>
              </w:rPr>
              <w:t>资金支付的方式、时间和条件：</w:t>
            </w:r>
          </w:p>
          <w:p w14:paraId="30D608C7">
            <w:pPr>
              <w:spacing w:line="360" w:lineRule="auto"/>
              <w:rPr>
                <w:color w:val="auto"/>
                <w:szCs w:val="21"/>
                <w:highlight w:val="none"/>
              </w:rPr>
            </w:pPr>
            <w:r>
              <w:rPr>
                <w:rFonts w:hint="eastAsia"/>
                <w:b/>
                <w:bCs/>
                <w:color w:val="auto"/>
                <w:szCs w:val="21"/>
                <w:highlight w:val="none"/>
              </w:rPr>
              <w:t>第一次付款</w:t>
            </w:r>
            <w:r>
              <w:rPr>
                <w:rFonts w:hint="eastAsia"/>
                <w:b/>
                <w:bCs/>
                <w:color w:val="auto"/>
                <w:szCs w:val="21"/>
                <w:highlight w:val="none"/>
                <w:lang w:eastAsia="zh-CN"/>
              </w:rPr>
              <w:t>：</w:t>
            </w:r>
            <w:r>
              <w:rPr>
                <w:rFonts w:hint="eastAsia"/>
                <w:color w:val="auto"/>
                <w:szCs w:val="21"/>
                <w:highlight w:val="none"/>
              </w:rPr>
              <w:t>合同生效并具备实施条件后</w:t>
            </w:r>
            <w:r>
              <w:rPr>
                <w:rFonts w:hint="eastAsia"/>
                <w:color w:val="auto"/>
                <w:szCs w:val="21"/>
                <w:highlight w:val="none"/>
                <w:lang w:val="en-US" w:eastAsia="zh-CN"/>
              </w:rPr>
              <w:t>1</w:t>
            </w:r>
            <w:r>
              <w:rPr>
                <w:rFonts w:hint="eastAsia"/>
                <w:color w:val="auto"/>
                <w:szCs w:val="21"/>
                <w:highlight w:val="none"/>
              </w:rPr>
              <w:t>5个工作日内，采购人向中标人支付合同总价的40%作为预付款，在签订合同时，中标人明确表示无需预付款或者主动要求降低预付款比例的，采购人可不适用前述规定。</w:t>
            </w:r>
          </w:p>
          <w:p w14:paraId="647896F4">
            <w:pPr>
              <w:spacing w:line="360" w:lineRule="auto"/>
              <w:rPr>
                <w:color w:val="auto"/>
                <w:szCs w:val="21"/>
                <w:highlight w:val="none"/>
              </w:rPr>
            </w:pPr>
            <w:r>
              <w:rPr>
                <w:rFonts w:hint="eastAsia"/>
                <w:b/>
                <w:bCs/>
                <w:color w:val="auto"/>
                <w:szCs w:val="21"/>
                <w:highlight w:val="none"/>
              </w:rPr>
              <w:t>第二次付款</w:t>
            </w:r>
            <w:r>
              <w:rPr>
                <w:rFonts w:hint="eastAsia"/>
                <w:b/>
                <w:bCs/>
                <w:color w:val="auto"/>
                <w:szCs w:val="21"/>
                <w:highlight w:val="none"/>
                <w:lang w:eastAsia="zh-CN"/>
              </w:rPr>
              <w:t>：</w:t>
            </w:r>
            <w:r>
              <w:rPr>
                <w:rFonts w:hint="eastAsia"/>
                <w:color w:val="auto"/>
                <w:szCs w:val="21"/>
                <w:highlight w:val="none"/>
              </w:rPr>
              <w:t>服务满12个月且阶段性验收通过后，采购人委托相关单位对该服务期内产生的云资源等实际使用情况进行审计得出结算金额，采购人根据结算金额支付第二次款项（第二次款项=结算金额-预付款）</w:t>
            </w:r>
          </w:p>
          <w:p w14:paraId="1299E472">
            <w:pPr>
              <w:spacing w:line="360" w:lineRule="auto"/>
              <w:rPr>
                <w:color w:val="auto"/>
                <w:szCs w:val="21"/>
                <w:highlight w:val="none"/>
              </w:rPr>
            </w:pPr>
            <w:r>
              <w:rPr>
                <w:rFonts w:hint="eastAsia"/>
                <w:b/>
                <w:bCs/>
                <w:color w:val="auto"/>
                <w:szCs w:val="21"/>
                <w:highlight w:val="none"/>
              </w:rPr>
              <w:t>第三次付款</w:t>
            </w:r>
            <w:r>
              <w:rPr>
                <w:rFonts w:hint="eastAsia"/>
                <w:b/>
                <w:bCs/>
                <w:color w:val="auto"/>
                <w:szCs w:val="21"/>
                <w:highlight w:val="none"/>
                <w:lang w:eastAsia="zh-CN"/>
              </w:rPr>
              <w:t>：</w:t>
            </w:r>
            <w:r>
              <w:rPr>
                <w:rFonts w:hint="eastAsia"/>
                <w:color w:val="auto"/>
                <w:szCs w:val="21"/>
                <w:highlight w:val="none"/>
              </w:rPr>
              <w:t>服务到期且项目终验通过后，采购人委托相关单位对整个服务期内产生的云资源等实际使用情况进行审计得出最终结算金额，采购人根据结算金额支付剩余金额（剩余金额=最终结算金额-第二次款项-预付款-违约金）</w:t>
            </w:r>
          </w:p>
          <w:p w14:paraId="6DEA0F48">
            <w:pPr>
              <w:spacing w:line="360" w:lineRule="auto"/>
              <w:rPr>
                <w:color w:val="auto"/>
                <w:szCs w:val="21"/>
                <w:highlight w:val="none"/>
              </w:rPr>
            </w:pPr>
            <w:r>
              <w:rPr>
                <w:rFonts w:hint="eastAsia"/>
                <w:color w:val="auto"/>
                <w:szCs w:val="21"/>
                <w:highlight w:val="none"/>
              </w:rPr>
              <w:t>*注：若实际产生费用低于合同总价的，按照项目实际产生费用结算；若实际产生费用超出合同总价的，按合同总价结算。</w:t>
            </w:r>
          </w:p>
          <w:p w14:paraId="6AA49634">
            <w:pPr>
              <w:spacing w:line="360" w:lineRule="auto"/>
              <w:rPr>
                <w:color w:val="auto"/>
                <w:szCs w:val="21"/>
                <w:highlight w:val="none"/>
              </w:rPr>
            </w:pPr>
            <w:r>
              <w:rPr>
                <w:rFonts w:hint="eastAsia"/>
                <w:color w:val="auto"/>
                <w:szCs w:val="21"/>
                <w:highlight w:val="none"/>
              </w:rPr>
              <w:t>以上款项支付前，乙方应当出具等额正式发票。支付按照财政政策执行，因乙方提交的发票等请款材料不符合要求、存在违约行为或财政拨款等原因造成甲方不能及时支付项目经费款项的，甲方不承担责任，乙方不得以此为由怠于履行本合同义务。</w:t>
            </w:r>
          </w:p>
        </w:tc>
      </w:tr>
      <w:tr w14:paraId="2F353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67CE4CB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8137" w:type="dxa"/>
            <w:tcBorders>
              <w:tl2br w:val="nil"/>
              <w:tr2bl w:val="nil"/>
            </w:tcBorders>
            <w:vAlign w:val="center"/>
          </w:tcPr>
          <w:p w14:paraId="38985DA6">
            <w:pPr>
              <w:pStyle w:val="713"/>
              <w:numPr>
                <w:ilvl w:val="255"/>
                <w:numId w:val="0"/>
              </w:numPr>
              <w:rPr>
                <w:rFonts w:eastAsia="宋体"/>
                <w:b/>
                <w:bCs/>
                <w:color w:val="auto"/>
                <w:sz w:val="21"/>
                <w:highlight w:val="none"/>
              </w:rPr>
            </w:pPr>
            <w:r>
              <w:rPr>
                <w:rFonts w:hint="eastAsia" w:eastAsia="宋体"/>
                <w:b/>
                <w:bCs/>
                <w:color w:val="auto"/>
                <w:sz w:val="21"/>
                <w:highlight w:val="none"/>
              </w:rPr>
              <w:t>服务交付（实施）的时间（期限）：</w:t>
            </w:r>
            <w:r>
              <w:rPr>
                <w:rFonts w:hint="eastAsia" w:eastAsia="宋体"/>
                <w:color w:val="auto"/>
                <w:sz w:val="21"/>
                <w:highlight w:val="none"/>
              </w:rPr>
              <w:t>二年（具体以合同签订为准）。</w:t>
            </w:r>
          </w:p>
        </w:tc>
      </w:tr>
      <w:tr w14:paraId="6F27C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5E711C6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1.7.2</w:t>
            </w:r>
          </w:p>
        </w:tc>
        <w:tc>
          <w:tcPr>
            <w:tcW w:w="8137" w:type="dxa"/>
            <w:tcBorders>
              <w:tl2br w:val="nil"/>
              <w:tr2bl w:val="nil"/>
            </w:tcBorders>
            <w:vAlign w:val="center"/>
          </w:tcPr>
          <w:p w14:paraId="05C1DAC7">
            <w:pPr>
              <w:spacing w:line="360" w:lineRule="auto"/>
              <w:rPr>
                <w:color w:val="auto"/>
                <w:szCs w:val="21"/>
                <w:highlight w:val="none"/>
              </w:rPr>
            </w:pPr>
            <w:r>
              <w:rPr>
                <w:rFonts w:hint="eastAsia"/>
                <w:b/>
                <w:bCs/>
                <w:color w:val="auto"/>
                <w:szCs w:val="21"/>
                <w:highlight w:val="none"/>
              </w:rPr>
              <w:t>服务交付（实施）的地点（地域范围）：</w:t>
            </w:r>
            <w:r>
              <w:rPr>
                <w:rFonts w:hint="eastAsia"/>
                <w:color w:val="auto"/>
                <w:szCs w:val="21"/>
                <w:highlight w:val="none"/>
              </w:rPr>
              <w:t>杭州市余杭区数据资源管理局及其指定地点。</w:t>
            </w:r>
          </w:p>
        </w:tc>
      </w:tr>
      <w:tr w14:paraId="288F8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53D9E3D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1.7.3</w:t>
            </w:r>
          </w:p>
        </w:tc>
        <w:tc>
          <w:tcPr>
            <w:tcW w:w="8137" w:type="dxa"/>
            <w:tcBorders>
              <w:tl2br w:val="nil"/>
              <w:tr2bl w:val="nil"/>
            </w:tcBorders>
            <w:vAlign w:val="center"/>
          </w:tcPr>
          <w:p w14:paraId="4F157430">
            <w:pPr>
              <w:spacing w:line="360" w:lineRule="auto"/>
              <w:rPr>
                <w:color w:val="auto"/>
                <w:szCs w:val="21"/>
                <w:highlight w:val="none"/>
              </w:rPr>
            </w:pPr>
            <w:r>
              <w:rPr>
                <w:rFonts w:hint="eastAsia"/>
                <w:b/>
                <w:bCs/>
                <w:color w:val="auto"/>
                <w:szCs w:val="21"/>
                <w:highlight w:val="none"/>
              </w:rPr>
              <w:t>服务交付（实施）的方式：</w:t>
            </w:r>
            <w:r>
              <w:rPr>
                <w:rFonts w:hint="eastAsia"/>
                <w:color w:val="auto"/>
                <w:szCs w:val="21"/>
                <w:highlight w:val="none"/>
              </w:rPr>
              <w:t>按照招标文件及合同要求进行交付。</w:t>
            </w:r>
          </w:p>
        </w:tc>
      </w:tr>
      <w:tr w14:paraId="04820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3CCE5C3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1.7.4.1</w:t>
            </w:r>
          </w:p>
        </w:tc>
        <w:tc>
          <w:tcPr>
            <w:tcW w:w="8137" w:type="dxa"/>
            <w:tcBorders>
              <w:tl2br w:val="nil"/>
              <w:tr2bl w:val="nil"/>
            </w:tcBorders>
            <w:vAlign w:val="center"/>
          </w:tcPr>
          <w:p w14:paraId="689CA710">
            <w:pPr>
              <w:spacing w:line="360" w:lineRule="auto"/>
              <w:rPr>
                <w:color w:val="auto"/>
                <w:szCs w:val="21"/>
                <w:highlight w:val="none"/>
              </w:rPr>
            </w:pPr>
            <w:r>
              <w:rPr>
                <w:rFonts w:hint="eastAsia"/>
                <w:b/>
                <w:bCs/>
                <w:color w:val="auto"/>
                <w:szCs w:val="21"/>
                <w:highlight w:val="none"/>
              </w:rPr>
              <w:t>服务配套货物的交付期限：</w:t>
            </w:r>
            <w:r>
              <w:rPr>
                <w:rFonts w:hint="eastAsia"/>
                <w:color w:val="auto"/>
                <w:szCs w:val="21"/>
                <w:highlight w:val="none"/>
              </w:rPr>
              <w:t>/</w:t>
            </w:r>
          </w:p>
        </w:tc>
      </w:tr>
      <w:tr w14:paraId="22183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989" w:type="dxa"/>
            <w:tcBorders>
              <w:tl2br w:val="nil"/>
              <w:tr2bl w:val="nil"/>
            </w:tcBorders>
            <w:vAlign w:val="center"/>
          </w:tcPr>
          <w:p w14:paraId="1E30D51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1.7.4.2</w:t>
            </w:r>
          </w:p>
        </w:tc>
        <w:tc>
          <w:tcPr>
            <w:tcW w:w="8137" w:type="dxa"/>
            <w:tcBorders>
              <w:tl2br w:val="nil"/>
              <w:tr2bl w:val="nil"/>
            </w:tcBorders>
            <w:vAlign w:val="center"/>
          </w:tcPr>
          <w:p w14:paraId="786E8DBE">
            <w:pPr>
              <w:spacing w:line="360" w:lineRule="auto"/>
              <w:rPr>
                <w:color w:val="auto"/>
                <w:szCs w:val="21"/>
                <w:highlight w:val="none"/>
              </w:rPr>
            </w:pPr>
            <w:r>
              <w:rPr>
                <w:rFonts w:hint="eastAsia"/>
                <w:b/>
                <w:bCs/>
                <w:color w:val="auto"/>
                <w:szCs w:val="21"/>
                <w:highlight w:val="none"/>
              </w:rPr>
              <w:t>服务配套货物的交付地点</w:t>
            </w:r>
            <w:r>
              <w:rPr>
                <w:rFonts w:hint="eastAsia"/>
                <w:color w:val="auto"/>
                <w:szCs w:val="21"/>
                <w:highlight w:val="none"/>
              </w:rPr>
              <w:t>：/</w:t>
            </w:r>
          </w:p>
        </w:tc>
      </w:tr>
      <w:tr w14:paraId="36C32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6CE1C0D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1.7.4.3</w:t>
            </w:r>
          </w:p>
        </w:tc>
        <w:tc>
          <w:tcPr>
            <w:tcW w:w="8137" w:type="dxa"/>
            <w:tcBorders>
              <w:tl2br w:val="nil"/>
              <w:tr2bl w:val="nil"/>
            </w:tcBorders>
            <w:vAlign w:val="center"/>
          </w:tcPr>
          <w:p w14:paraId="0DC1DE02">
            <w:pPr>
              <w:spacing w:line="360" w:lineRule="auto"/>
              <w:rPr>
                <w:color w:val="auto"/>
                <w:szCs w:val="21"/>
                <w:highlight w:val="none"/>
              </w:rPr>
            </w:pPr>
            <w:r>
              <w:rPr>
                <w:rFonts w:hint="eastAsia"/>
                <w:b/>
                <w:bCs/>
                <w:color w:val="auto"/>
                <w:szCs w:val="21"/>
                <w:highlight w:val="none"/>
              </w:rPr>
              <w:t>服务配套货物的交付方式：</w:t>
            </w:r>
            <w:r>
              <w:rPr>
                <w:rFonts w:hint="eastAsia"/>
                <w:color w:val="auto"/>
                <w:szCs w:val="21"/>
                <w:highlight w:val="none"/>
              </w:rPr>
              <w:t>/</w:t>
            </w:r>
          </w:p>
        </w:tc>
      </w:tr>
      <w:tr w14:paraId="729C2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50B7950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1.8.7</w:t>
            </w:r>
          </w:p>
        </w:tc>
        <w:tc>
          <w:tcPr>
            <w:tcW w:w="8137" w:type="dxa"/>
            <w:tcBorders>
              <w:tl2br w:val="nil"/>
              <w:tr2bl w:val="nil"/>
            </w:tcBorders>
            <w:vAlign w:val="center"/>
          </w:tcPr>
          <w:p w14:paraId="745F1ED7">
            <w:pPr>
              <w:spacing w:line="360" w:lineRule="auto"/>
              <w:rPr>
                <w:b/>
                <w:bCs/>
                <w:color w:val="auto"/>
                <w:szCs w:val="21"/>
                <w:highlight w:val="none"/>
              </w:rPr>
            </w:pPr>
            <w:r>
              <w:rPr>
                <w:rFonts w:hint="eastAsia"/>
                <w:b/>
                <w:bCs/>
                <w:color w:val="auto"/>
                <w:szCs w:val="21"/>
                <w:highlight w:val="none"/>
              </w:rPr>
              <w:t>违约责任：</w:t>
            </w:r>
          </w:p>
          <w:p w14:paraId="4D8AD721">
            <w:pPr>
              <w:spacing w:line="360" w:lineRule="auto"/>
              <w:rPr>
                <w:color w:val="auto"/>
                <w:szCs w:val="21"/>
                <w:highlight w:val="none"/>
              </w:rPr>
            </w:pPr>
            <w:r>
              <w:rPr>
                <w:rFonts w:hint="eastAsia"/>
                <w:color w:val="auto"/>
                <w:szCs w:val="21"/>
                <w:highlight w:val="none"/>
                <w:lang w:eastAsia="zh-Hans"/>
              </w:rPr>
              <w:t>本合同项下所有乙方应支付的违约金</w:t>
            </w:r>
            <w:r>
              <w:rPr>
                <w:color w:val="auto"/>
                <w:szCs w:val="21"/>
                <w:highlight w:val="none"/>
                <w:lang w:eastAsia="zh-Hans"/>
              </w:rPr>
              <w:t>，</w:t>
            </w:r>
            <w:r>
              <w:rPr>
                <w:rFonts w:hint="eastAsia"/>
                <w:color w:val="auto"/>
                <w:szCs w:val="21"/>
                <w:highlight w:val="none"/>
                <w:lang w:eastAsia="zh-Hans"/>
              </w:rPr>
              <w:t>甲方有权直接从未支付的合同金额中予以扣除</w:t>
            </w:r>
            <w:r>
              <w:rPr>
                <w:color w:val="auto"/>
                <w:szCs w:val="21"/>
                <w:highlight w:val="none"/>
                <w:lang w:eastAsia="zh-Hans"/>
              </w:rPr>
              <w:t>，</w:t>
            </w:r>
            <w:r>
              <w:rPr>
                <w:rFonts w:hint="eastAsia"/>
                <w:color w:val="auto"/>
                <w:szCs w:val="21"/>
                <w:highlight w:val="none"/>
                <w:lang w:eastAsia="zh-Hans"/>
              </w:rPr>
              <w:t>若未支付的合同金额不足以支付违约金的</w:t>
            </w:r>
            <w:r>
              <w:rPr>
                <w:color w:val="auto"/>
                <w:szCs w:val="21"/>
                <w:highlight w:val="none"/>
                <w:lang w:eastAsia="zh-Hans"/>
              </w:rPr>
              <w:t>，</w:t>
            </w:r>
            <w:r>
              <w:rPr>
                <w:rFonts w:hint="eastAsia"/>
                <w:color w:val="auto"/>
                <w:szCs w:val="21"/>
                <w:highlight w:val="none"/>
                <w:lang w:eastAsia="zh-Hans"/>
              </w:rPr>
              <w:t>则由乙方另行补足</w:t>
            </w:r>
            <w:r>
              <w:rPr>
                <w:color w:val="auto"/>
                <w:szCs w:val="21"/>
                <w:highlight w:val="none"/>
                <w:lang w:eastAsia="zh-Hans"/>
              </w:rPr>
              <w:t>。</w:t>
            </w:r>
          </w:p>
        </w:tc>
      </w:tr>
      <w:tr w14:paraId="3C89C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2BDC0BF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8137" w:type="dxa"/>
            <w:tcBorders>
              <w:tl2br w:val="nil"/>
              <w:tr2bl w:val="nil"/>
            </w:tcBorders>
            <w:vAlign w:val="center"/>
          </w:tcPr>
          <w:p w14:paraId="4959DA1D">
            <w:pPr>
              <w:spacing w:line="360" w:lineRule="auto"/>
              <w:rPr>
                <w:color w:val="auto"/>
                <w:szCs w:val="21"/>
                <w:highlight w:val="none"/>
              </w:rPr>
            </w:pPr>
            <w:r>
              <w:rPr>
                <w:rFonts w:hint="eastAsia" w:ascii="宋体" w:hAnsi="宋体" w:cs="宋体"/>
                <w:bCs/>
                <w:color w:val="auto"/>
                <w:szCs w:val="21"/>
                <w:highlight w:val="none"/>
              </w:rPr>
              <w:t>/</w:t>
            </w:r>
          </w:p>
        </w:tc>
      </w:tr>
      <w:tr w14:paraId="4F1EFE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61DEE92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1.9.2</w:t>
            </w:r>
          </w:p>
        </w:tc>
        <w:tc>
          <w:tcPr>
            <w:tcW w:w="8137" w:type="dxa"/>
            <w:tcBorders>
              <w:tl2br w:val="nil"/>
              <w:tr2bl w:val="nil"/>
            </w:tcBorders>
            <w:vAlign w:val="center"/>
          </w:tcPr>
          <w:p w14:paraId="1C4D8F97">
            <w:pPr>
              <w:spacing w:line="360" w:lineRule="auto"/>
              <w:rPr>
                <w:color w:val="auto"/>
                <w:szCs w:val="21"/>
                <w:highlight w:val="none"/>
              </w:rPr>
            </w:pPr>
            <w:r>
              <w:rPr>
                <w:rFonts w:hint="eastAsia" w:ascii="宋体" w:hAnsi="宋体" w:cs="宋体"/>
                <w:b/>
                <w:color w:val="auto"/>
                <w:szCs w:val="21"/>
                <w:highlight w:val="none"/>
              </w:rPr>
              <w:t>合同争议</w:t>
            </w:r>
            <w:r>
              <w:rPr>
                <w:rFonts w:hint="eastAsia" w:ascii="宋体" w:hAnsi="宋体" w:cs="宋体"/>
                <w:b/>
                <w:color w:val="auto"/>
                <w:szCs w:val="21"/>
                <w:highlight w:val="none"/>
                <w:lang w:eastAsia="zh-CN"/>
              </w:rPr>
              <w:t>：</w:t>
            </w:r>
            <w:r>
              <w:rPr>
                <w:rFonts w:hint="eastAsia" w:ascii="宋体" w:hAnsi="宋体" w:cs="宋体"/>
                <w:bCs/>
                <w:color w:val="auto"/>
                <w:szCs w:val="21"/>
                <w:highlight w:val="none"/>
              </w:rPr>
              <w:t>向甲方住所地人民法院起诉。</w:t>
            </w:r>
          </w:p>
        </w:tc>
      </w:tr>
      <w:tr w14:paraId="46252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02015C5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2.3.2</w:t>
            </w:r>
          </w:p>
        </w:tc>
        <w:tc>
          <w:tcPr>
            <w:tcW w:w="8137" w:type="dxa"/>
            <w:tcBorders>
              <w:tl2br w:val="nil"/>
              <w:tr2bl w:val="nil"/>
            </w:tcBorders>
            <w:vAlign w:val="center"/>
          </w:tcPr>
          <w:p w14:paraId="326699AC">
            <w:pPr>
              <w:spacing w:line="360" w:lineRule="auto"/>
              <w:rPr>
                <w:color w:val="auto"/>
                <w:szCs w:val="21"/>
                <w:highlight w:val="none"/>
              </w:rPr>
            </w:pPr>
            <w:r>
              <w:rPr>
                <w:rFonts w:hint="eastAsia"/>
                <w:b/>
                <w:bCs/>
                <w:color w:val="auto"/>
                <w:szCs w:val="21"/>
                <w:highlight w:val="none"/>
              </w:rPr>
              <w:t>知识产权：</w:t>
            </w:r>
            <w:r>
              <w:rPr>
                <w:rFonts w:hint="eastAsia"/>
                <w:color w:val="auto"/>
                <w:szCs w:val="21"/>
                <w:highlight w:val="none"/>
              </w:rPr>
              <w:t>乙方应保证提供服务过程中不会侵犯任何第三方的知识产权，如发生侵权产生的相应法律责任（包括但不限于赔偿责任等）均由乙方承担。若因此给甲方造成损失的，应赔偿包括但不限于直接损失和维权产生的律师费、诉讼费等各项费用。</w:t>
            </w:r>
          </w:p>
        </w:tc>
      </w:tr>
      <w:tr w14:paraId="77584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989" w:type="dxa"/>
            <w:tcBorders>
              <w:tl2br w:val="nil"/>
              <w:tr2bl w:val="nil"/>
            </w:tcBorders>
            <w:vAlign w:val="center"/>
          </w:tcPr>
          <w:p w14:paraId="5729425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8137" w:type="dxa"/>
            <w:tcBorders>
              <w:tl2br w:val="nil"/>
              <w:tr2bl w:val="nil"/>
            </w:tcBorders>
            <w:vAlign w:val="center"/>
          </w:tcPr>
          <w:p w14:paraId="1E102FE6">
            <w:pPr>
              <w:spacing w:line="360" w:lineRule="auto"/>
              <w:rPr>
                <w:b/>
                <w:bCs/>
                <w:color w:val="auto"/>
                <w:szCs w:val="21"/>
                <w:highlight w:val="none"/>
              </w:rPr>
            </w:pPr>
            <w:r>
              <w:rPr>
                <w:rFonts w:hint="eastAsia"/>
                <w:b/>
                <w:bCs/>
                <w:color w:val="auto"/>
                <w:szCs w:val="21"/>
                <w:highlight w:val="none"/>
              </w:rPr>
              <w:t>结算方式和付款条件：</w:t>
            </w:r>
          </w:p>
          <w:p w14:paraId="3AADCA9A">
            <w:pPr>
              <w:spacing w:line="360" w:lineRule="auto"/>
              <w:rPr>
                <w:color w:val="auto"/>
                <w:szCs w:val="21"/>
                <w:highlight w:val="none"/>
              </w:rPr>
            </w:pPr>
            <w:r>
              <w:rPr>
                <w:rFonts w:hint="eastAsia"/>
                <w:color w:val="auto"/>
                <w:szCs w:val="21"/>
                <w:highlight w:val="none"/>
                <w:lang w:eastAsia="zh-Hans"/>
              </w:rPr>
              <w:t>见</w:t>
            </w:r>
            <w:r>
              <w:rPr>
                <w:rFonts w:hint="eastAsia"/>
                <w:color w:val="auto"/>
                <w:szCs w:val="21"/>
                <w:highlight w:val="none"/>
              </w:rPr>
              <w:t>合同专用条款</w:t>
            </w:r>
            <w:r>
              <w:rPr>
                <w:color w:val="auto"/>
                <w:szCs w:val="21"/>
                <w:highlight w:val="none"/>
                <w:lang w:eastAsia="zh-Hans"/>
              </w:rPr>
              <w:t>1</w:t>
            </w:r>
            <w:r>
              <w:rPr>
                <w:rFonts w:hint="eastAsia"/>
                <w:color w:val="auto"/>
                <w:szCs w:val="21"/>
                <w:highlight w:val="none"/>
                <w:lang w:eastAsia="zh-Hans"/>
              </w:rPr>
              <w:t>.</w:t>
            </w:r>
            <w:r>
              <w:rPr>
                <w:rFonts w:hint="eastAsia"/>
                <w:color w:val="auto"/>
                <w:szCs w:val="21"/>
                <w:highlight w:val="none"/>
              </w:rPr>
              <w:t>6.2</w:t>
            </w:r>
          </w:p>
        </w:tc>
      </w:tr>
      <w:tr w14:paraId="73438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7FC939E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w:t>
            </w:r>
            <w:r>
              <w:rPr>
                <w:rFonts w:ascii="宋体" w:hAnsi="宋体" w:cs="宋体"/>
                <w:color w:val="auto"/>
                <w:szCs w:val="21"/>
                <w:highlight w:val="none"/>
              </w:rPr>
              <w:t>3</w:t>
            </w:r>
          </w:p>
        </w:tc>
        <w:tc>
          <w:tcPr>
            <w:tcW w:w="8137" w:type="dxa"/>
            <w:tcBorders>
              <w:tl2br w:val="nil"/>
              <w:tr2bl w:val="nil"/>
            </w:tcBorders>
            <w:vAlign w:val="center"/>
          </w:tcPr>
          <w:p w14:paraId="1EA6077B">
            <w:pPr>
              <w:spacing w:line="360" w:lineRule="auto"/>
              <w:rPr>
                <w:color w:val="auto"/>
                <w:szCs w:val="21"/>
                <w:highlight w:val="none"/>
              </w:rPr>
            </w:pPr>
            <w:r>
              <w:rPr>
                <w:rFonts w:hint="eastAsia"/>
                <w:color w:val="auto"/>
                <w:szCs w:val="21"/>
                <w:highlight w:val="none"/>
              </w:rPr>
              <w:t>因不可抗力致使合同有变更必要的，双方当事人应在7个工作日内以书面形式变更合同；</w:t>
            </w:r>
          </w:p>
        </w:tc>
      </w:tr>
      <w:tr w14:paraId="38CD6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tcPr>
          <w:p w14:paraId="3C582F6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11.4</w:t>
            </w:r>
          </w:p>
        </w:tc>
        <w:tc>
          <w:tcPr>
            <w:tcW w:w="8137" w:type="dxa"/>
            <w:tcBorders>
              <w:tl2br w:val="nil"/>
              <w:tr2bl w:val="nil"/>
            </w:tcBorders>
          </w:tcPr>
          <w:p w14:paraId="1F8C8479">
            <w:pPr>
              <w:spacing w:line="360" w:lineRule="auto"/>
              <w:rPr>
                <w:color w:val="auto"/>
                <w:szCs w:val="21"/>
                <w:highlight w:val="none"/>
              </w:rPr>
            </w:pPr>
            <w:r>
              <w:rPr>
                <w:rFonts w:hint="eastAsia"/>
                <w:color w:val="auto"/>
                <w:szCs w:val="21"/>
                <w:highlight w:val="none"/>
              </w:rPr>
              <w:t>受不可抗力影响的一方在不可抗力发生后，应在3个工作日内以书面形式通知对方当事人，并在3个工作日内将有关部门出具的证明文件送达对方当事人。</w:t>
            </w:r>
          </w:p>
        </w:tc>
      </w:tr>
      <w:tr w14:paraId="2FB46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11B4727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15</w:t>
            </w:r>
            <w:r>
              <w:rPr>
                <w:rFonts w:hint="eastAsia" w:ascii="宋体" w:hAnsi="宋体" w:cs="宋体"/>
                <w:color w:val="auto"/>
                <w:szCs w:val="21"/>
                <w:highlight w:val="none"/>
              </w:rPr>
              <w:t>.</w:t>
            </w:r>
            <w:r>
              <w:rPr>
                <w:rFonts w:ascii="宋体" w:hAnsi="宋体" w:cs="宋体"/>
                <w:color w:val="auto"/>
                <w:szCs w:val="21"/>
                <w:highlight w:val="none"/>
              </w:rPr>
              <w:t>1</w:t>
            </w:r>
          </w:p>
        </w:tc>
        <w:tc>
          <w:tcPr>
            <w:tcW w:w="8137" w:type="dxa"/>
            <w:tcBorders>
              <w:tl2br w:val="nil"/>
              <w:tr2bl w:val="nil"/>
            </w:tcBorders>
            <w:vAlign w:val="center"/>
          </w:tcPr>
          <w:p w14:paraId="01764D93">
            <w:pPr>
              <w:spacing w:line="360" w:lineRule="auto"/>
              <w:rPr>
                <w:color w:val="auto"/>
                <w:szCs w:val="21"/>
                <w:highlight w:val="none"/>
              </w:rPr>
            </w:pPr>
            <w:r>
              <w:rPr>
                <w:rFonts w:hint="eastAsia"/>
                <w:b/>
                <w:bCs/>
                <w:color w:val="auto"/>
                <w:szCs w:val="21"/>
                <w:highlight w:val="none"/>
              </w:rPr>
              <w:t>检验和验收：</w:t>
            </w:r>
            <w:r>
              <w:rPr>
                <w:rFonts w:hint="eastAsia"/>
                <w:color w:val="auto"/>
                <w:szCs w:val="21"/>
                <w:highlight w:val="none"/>
              </w:rPr>
              <w:t>按照招标文件和合同进行验收。</w:t>
            </w:r>
          </w:p>
        </w:tc>
      </w:tr>
      <w:tr w14:paraId="79582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 w:hRule="atLeast"/>
        </w:trPr>
        <w:tc>
          <w:tcPr>
            <w:tcW w:w="989" w:type="dxa"/>
            <w:tcBorders>
              <w:tl2br w:val="nil"/>
              <w:tr2bl w:val="nil"/>
            </w:tcBorders>
            <w:vAlign w:val="center"/>
          </w:tcPr>
          <w:p w14:paraId="7A9B3F5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15</w:t>
            </w:r>
            <w:r>
              <w:rPr>
                <w:rFonts w:hint="eastAsia" w:ascii="宋体" w:hAnsi="宋体" w:cs="宋体"/>
                <w:color w:val="auto"/>
                <w:szCs w:val="21"/>
                <w:highlight w:val="none"/>
              </w:rPr>
              <w:t>.</w:t>
            </w:r>
            <w:r>
              <w:rPr>
                <w:rFonts w:ascii="宋体" w:hAnsi="宋体" w:cs="宋体"/>
                <w:color w:val="auto"/>
                <w:szCs w:val="21"/>
                <w:highlight w:val="none"/>
              </w:rPr>
              <w:t>3</w:t>
            </w:r>
          </w:p>
        </w:tc>
        <w:tc>
          <w:tcPr>
            <w:tcW w:w="8137" w:type="dxa"/>
            <w:tcBorders>
              <w:tl2br w:val="nil"/>
              <w:tr2bl w:val="nil"/>
            </w:tcBorders>
            <w:vAlign w:val="center"/>
          </w:tcPr>
          <w:p w14:paraId="2FA84748">
            <w:pPr>
              <w:spacing w:line="360" w:lineRule="auto"/>
              <w:rPr>
                <w:color w:val="auto"/>
                <w:szCs w:val="21"/>
                <w:highlight w:val="none"/>
              </w:rPr>
            </w:pPr>
            <w:r>
              <w:rPr>
                <w:rFonts w:hint="eastAsia"/>
                <w:b/>
                <w:bCs/>
                <w:color w:val="auto"/>
                <w:szCs w:val="21"/>
                <w:highlight w:val="none"/>
              </w:rPr>
              <w:t>检验和验收：</w:t>
            </w:r>
            <w:r>
              <w:rPr>
                <w:rFonts w:hint="eastAsia"/>
                <w:color w:val="auto"/>
                <w:szCs w:val="21"/>
                <w:highlight w:val="none"/>
              </w:rPr>
              <w:t>根据合同规定范围提供服务并通过甲方确认后，甲方凭乙方开具的正规发票和甲方认可的各项记录复印件，办理服务费用的支付手续。</w:t>
            </w:r>
          </w:p>
        </w:tc>
      </w:tr>
      <w:tr w14:paraId="29229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52" w:hRule="atLeast"/>
        </w:trPr>
        <w:tc>
          <w:tcPr>
            <w:tcW w:w="989" w:type="dxa"/>
            <w:tcBorders>
              <w:tl2br w:val="nil"/>
              <w:tr2bl w:val="nil"/>
            </w:tcBorders>
          </w:tcPr>
          <w:p w14:paraId="211A12D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2.19</w:t>
            </w:r>
          </w:p>
        </w:tc>
        <w:tc>
          <w:tcPr>
            <w:tcW w:w="8137" w:type="dxa"/>
            <w:tcBorders>
              <w:tl2br w:val="nil"/>
              <w:tr2bl w:val="nil"/>
            </w:tcBorders>
          </w:tcPr>
          <w:p w14:paraId="1612E143">
            <w:pPr>
              <w:spacing w:line="360" w:lineRule="auto"/>
              <w:rPr>
                <w:color w:val="auto"/>
                <w:szCs w:val="21"/>
                <w:highlight w:val="none"/>
              </w:rPr>
            </w:pPr>
            <w:r>
              <w:rPr>
                <w:rFonts w:hint="eastAsia" w:ascii="宋体" w:hAnsi="宋体" w:cs="宋体"/>
                <w:b/>
                <w:color w:val="auto"/>
                <w:szCs w:val="21"/>
                <w:highlight w:val="none"/>
              </w:rPr>
              <w:t>合同份数：</w:t>
            </w:r>
            <w:r>
              <w:rPr>
                <w:rFonts w:hint="eastAsia"/>
                <w:color w:val="auto"/>
                <w:szCs w:val="21"/>
                <w:highlight w:val="none"/>
              </w:rPr>
              <w:t>本合同一式肆份，甲方执贰份、乙方执贰份，每份均具有同等法律效力。</w:t>
            </w:r>
          </w:p>
        </w:tc>
      </w:tr>
    </w:tbl>
    <w:p w14:paraId="730AD3E6">
      <w:pPr>
        <w:rPr>
          <w:color w:val="auto"/>
          <w:highlight w:val="none"/>
        </w:rPr>
      </w:pPr>
    </w:p>
    <w:p w14:paraId="7BC3EF1C">
      <w:pPr>
        <w:rPr>
          <w:rFonts w:hint="eastAsia" w:ascii="宋体" w:hAnsi="宋体" w:cs="宋体"/>
          <w:bCs/>
          <w:color w:val="auto"/>
          <w:szCs w:val="21"/>
          <w:highlight w:val="none"/>
        </w:rPr>
      </w:pPr>
    </w:p>
    <w:p w14:paraId="24FCE1E7">
      <w:pPr>
        <w:rPr>
          <w:color w:val="auto"/>
          <w:highlight w:val="none"/>
        </w:rPr>
      </w:pPr>
      <w:bookmarkStart w:id="565" w:name="_Toc24439"/>
      <w:r>
        <w:rPr>
          <w:rFonts w:hint="eastAsia"/>
          <w:color w:val="auto"/>
          <w:highlight w:val="none"/>
        </w:rPr>
        <w:br w:type="page"/>
      </w:r>
    </w:p>
    <w:p w14:paraId="0AF73006">
      <w:pPr>
        <w:pStyle w:val="2"/>
        <w:rPr>
          <w:color w:val="auto"/>
          <w:highlight w:val="none"/>
        </w:rPr>
      </w:pPr>
      <w:r>
        <w:rPr>
          <w:rFonts w:hint="eastAsia"/>
          <w:color w:val="auto"/>
          <w:highlight w:val="none"/>
        </w:rPr>
        <w:t>第六部分</w:t>
      </w:r>
      <w:bookmarkEnd w:id="411"/>
      <w:r>
        <w:rPr>
          <w:rFonts w:hint="eastAsia"/>
          <w:color w:val="auto"/>
          <w:highlight w:val="none"/>
        </w:rPr>
        <w:t xml:space="preserve"> </w:t>
      </w:r>
      <w:bookmarkEnd w:id="412"/>
      <w:r>
        <w:rPr>
          <w:rFonts w:hint="eastAsia"/>
          <w:color w:val="auto"/>
          <w:highlight w:val="none"/>
        </w:rPr>
        <w:t>应提交的有关格式范例</w:t>
      </w:r>
      <w:bookmarkEnd w:id="565"/>
    </w:p>
    <w:p w14:paraId="2676D458">
      <w:pPr>
        <w:spacing w:line="360" w:lineRule="auto"/>
        <w:jc w:val="center"/>
        <w:rPr>
          <w:rFonts w:hint="eastAsia" w:ascii="宋体" w:hAnsi="宋体" w:cs="宋体"/>
          <w:b/>
          <w:color w:val="auto"/>
          <w:kern w:val="0"/>
          <w:szCs w:val="21"/>
          <w:highlight w:val="none"/>
        </w:rPr>
      </w:pPr>
    </w:p>
    <w:p w14:paraId="040937CD">
      <w:pPr>
        <w:pStyle w:val="3"/>
        <w:ind w:firstLine="0" w:firstLineChars="0"/>
        <w:jc w:val="center"/>
        <w:rPr>
          <w:rFonts w:hint="eastAsia"/>
          <w:color w:val="auto"/>
          <w:szCs w:val="21"/>
          <w:highlight w:val="none"/>
        </w:rPr>
      </w:pPr>
      <w:r>
        <w:rPr>
          <w:rFonts w:hint="eastAsia"/>
          <w:color w:val="auto"/>
          <w:szCs w:val="21"/>
          <w:highlight w:val="none"/>
        </w:rPr>
        <w:t>资格文件部分</w:t>
      </w:r>
    </w:p>
    <w:p w14:paraId="2C1F4301">
      <w:pPr>
        <w:spacing w:line="360" w:lineRule="auto"/>
        <w:jc w:val="center"/>
        <w:outlineLvl w:val="2"/>
        <w:rPr>
          <w:rFonts w:hint="eastAsia" w:ascii="宋体" w:hAnsi="宋体" w:cs="宋体"/>
          <w:b/>
          <w:color w:val="auto"/>
          <w:kern w:val="0"/>
          <w:szCs w:val="21"/>
          <w:highlight w:val="none"/>
        </w:rPr>
      </w:pPr>
      <w:r>
        <w:rPr>
          <w:rFonts w:hint="eastAsia" w:ascii="宋体" w:hAnsi="宋体" w:cs="宋体"/>
          <w:b/>
          <w:color w:val="auto"/>
          <w:kern w:val="0"/>
          <w:szCs w:val="21"/>
          <w:highlight w:val="none"/>
        </w:rPr>
        <w:t>目录</w:t>
      </w:r>
    </w:p>
    <w:p w14:paraId="5098B17D">
      <w:pPr>
        <w:spacing w:line="360" w:lineRule="auto"/>
        <w:jc w:val="center"/>
        <w:rPr>
          <w:rFonts w:hint="eastAsia" w:ascii="宋体" w:hAnsi="宋体" w:cs="宋体"/>
          <w:b/>
          <w:color w:val="auto"/>
          <w:kern w:val="0"/>
          <w:szCs w:val="21"/>
          <w:highlight w:val="none"/>
        </w:rPr>
      </w:pPr>
    </w:p>
    <w:p w14:paraId="7FD0F819">
      <w:pPr>
        <w:numPr>
          <w:ilvl w:val="0"/>
          <w:numId w:val="15"/>
        </w:num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符合参加政府采购活动应当具备的一般条件的承诺函……………（页码）</w:t>
      </w:r>
    </w:p>
    <w:p w14:paraId="442D147F">
      <w:pPr>
        <w:numPr>
          <w:ilvl w:val="0"/>
          <w:numId w:val="15"/>
        </w:num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联合体协议……………………………………………………………（页码）</w:t>
      </w:r>
    </w:p>
    <w:p w14:paraId="11B5DD52">
      <w:pPr>
        <w:numPr>
          <w:ilvl w:val="0"/>
          <w:numId w:val="15"/>
        </w:num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落实政府采购政策需满足的资格要求………………………………（页码）</w:t>
      </w:r>
    </w:p>
    <w:p w14:paraId="5F5A9E6D">
      <w:pPr>
        <w:numPr>
          <w:ilvl w:val="0"/>
          <w:numId w:val="15"/>
        </w:num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本项目的特定资格要求………………………………………………（页码）</w:t>
      </w:r>
    </w:p>
    <w:p w14:paraId="70B9A60B">
      <w:pPr>
        <w:snapToGrid w:val="0"/>
        <w:spacing w:line="360" w:lineRule="auto"/>
        <w:ind w:firstLine="420" w:firstLineChars="200"/>
        <w:rPr>
          <w:rFonts w:hint="eastAsia" w:ascii="宋体" w:hAnsi="宋体" w:cs="宋体"/>
          <w:color w:val="auto"/>
          <w:szCs w:val="21"/>
          <w:highlight w:val="none"/>
        </w:rPr>
      </w:pPr>
    </w:p>
    <w:p w14:paraId="37A0E8D0">
      <w:pPr>
        <w:spacing w:line="360" w:lineRule="auto"/>
        <w:ind w:firstLine="420" w:firstLineChars="200"/>
        <w:rPr>
          <w:rFonts w:hint="eastAsia" w:ascii="宋体" w:hAnsi="宋体" w:cs="宋体"/>
          <w:color w:val="auto"/>
          <w:szCs w:val="21"/>
          <w:highlight w:val="none"/>
        </w:rPr>
      </w:pPr>
    </w:p>
    <w:p w14:paraId="06C1FF48">
      <w:pPr>
        <w:pStyle w:val="4"/>
        <w:numPr>
          <w:ilvl w:val="0"/>
          <w:numId w:val="16"/>
        </w:numPr>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符合参加政府采购活动应当具备的一般条件的承诺函</w:t>
      </w:r>
    </w:p>
    <w:p w14:paraId="6D85EA52">
      <w:pPr>
        <w:pStyle w:val="15"/>
        <w:spacing w:line="360" w:lineRule="auto"/>
        <w:rPr>
          <w:color w:val="auto"/>
          <w:sz w:val="21"/>
          <w:szCs w:val="21"/>
          <w:highlight w:val="none"/>
        </w:rPr>
      </w:pPr>
    </w:p>
    <w:p w14:paraId="0A1979B3">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符合参加政府采购活动应当具备的一般条件的承诺函</w:t>
      </w:r>
    </w:p>
    <w:p w14:paraId="08834587">
      <w:pPr>
        <w:spacing w:line="360" w:lineRule="auto"/>
        <w:rPr>
          <w:color w:val="auto"/>
          <w:szCs w:val="21"/>
          <w:highlight w:val="none"/>
        </w:rPr>
      </w:pPr>
    </w:p>
    <w:p w14:paraId="156F689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杭州市余杭区数据资源管理局、浙江省成套招标代理有限公司：</w:t>
      </w:r>
    </w:p>
    <w:p w14:paraId="6F86050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我方参与余杭区政务云平台项目【招标编号：</w:t>
      </w:r>
      <w:r>
        <w:rPr>
          <w:rFonts w:hint="eastAsia" w:ascii="宋体" w:hAnsi="宋体" w:cs="宋体"/>
          <w:color w:val="auto"/>
          <w:szCs w:val="21"/>
          <w:highlight w:val="none"/>
          <w:lang w:eastAsia="zh-CN"/>
        </w:rPr>
        <w:t>CTZB-2024120045</w:t>
      </w:r>
      <w:r>
        <w:rPr>
          <w:rFonts w:hint="eastAsia" w:ascii="宋体" w:hAnsi="宋体" w:cs="宋体"/>
          <w:color w:val="auto"/>
          <w:szCs w:val="21"/>
          <w:highlight w:val="none"/>
        </w:rPr>
        <w:t>】政府采购活动，郑重承诺：</w:t>
      </w:r>
    </w:p>
    <w:p w14:paraId="6CB4CAD7">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14:paraId="0E0D591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32129E7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14:paraId="307A38D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24A5B63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3B9A0B1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4906D4D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6、具有法律、行政法规规定的其他条件。</w:t>
      </w:r>
    </w:p>
    <w:p w14:paraId="1A55C20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（二）未被信用中国（www.creditchina.gov.cn</w:t>
      </w:r>
      <w:r>
        <w:rPr>
          <w:rFonts w:hint="eastAsia" w:ascii="宋体" w:hAnsi="宋体" w:cs="宋体"/>
          <w:color w:val="auto"/>
          <w:szCs w:val="21"/>
          <w:highlight w:val="none"/>
          <w:lang w:eastAsia="zh-CN"/>
        </w:rPr>
        <w:t>）</w:t>
      </w:r>
      <w:r>
        <w:rPr>
          <w:rFonts w:hint="eastAsia" w:ascii="宋体" w:hAnsi="宋体" w:cs="宋体"/>
          <w:color w:val="auto"/>
          <w:szCs w:val="21"/>
          <w:highlight w:val="none"/>
        </w:rPr>
        <w:t>、中国政府采购网（www.ccgp.gov.cn）列入失信被执行人、重大税收违法案件当事人名单、政府采购严重违法失信行为记录名单。</w:t>
      </w:r>
    </w:p>
    <w:p w14:paraId="65A8E48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（三）不存在以下情况：</w:t>
      </w:r>
    </w:p>
    <w:p w14:paraId="718A17A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14:paraId="3DF32E5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14:paraId="460687E9">
      <w:pPr>
        <w:snapToGrid w:val="0"/>
        <w:spacing w:line="360" w:lineRule="auto"/>
        <w:ind w:firstLine="4830" w:firstLineChars="2300"/>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投标人名称（电子签名）：</w:t>
      </w:r>
    </w:p>
    <w:p w14:paraId="4DE4A873">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14C3AC3D">
      <w:pPr>
        <w:snapToGrid w:val="0"/>
        <w:spacing w:line="360" w:lineRule="auto"/>
        <w:ind w:firstLine="420" w:firstLineChars="200"/>
        <w:rPr>
          <w:rFonts w:hint="eastAsia" w:ascii="宋体" w:hAnsi="宋体" w:cs="宋体"/>
          <w:color w:val="auto"/>
          <w:szCs w:val="21"/>
          <w:highlight w:val="none"/>
        </w:rPr>
      </w:pPr>
    </w:p>
    <w:p w14:paraId="158017A2">
      <w:pPr>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注：金融、保险、通讯等特定行业的全国性企业所设立的区域性分支机构，以及个体工商户、个人独资企业、合伙企业，如果已经依法办理了工商、税务和社保登记手续，须提供总机构授权书或房产权证或其他有效财产证明材料，证明其具备实际承担责任的能力和法定的缔结合同能力，可以允许其独立参加政府采购活动。</w:t>
      </w:r>
      <w:r>
        <w:rPr>
          <w:rFonts w:hint="eastAsia" w:ascii="宋体" w:hAnsi="宋体" w:cs="宋体"/>
          <w:b/>
          <w:bCs/>
          <w:color w:val="auto"/>
          <w:szCs w:val="21"/>
          <w:highlight w:val="none"/>
        </w:rPr>
        <w:t>相关证明材料附后。</w:t>
      </w:r>
    </w:p>
    <w:p w14:paraId="6C0EADF0">
      <w:pPr>
        <w:snapToGrid w:val="0"/>
        <w:spacing w:line="360" w:lineRule="auto"/>
        <w:ind w:firstLine="420" w:firstLineChars="200"/>
        <w:rPr>
          <w:rFonts w:hint="eastAsia" w:ascii="宋体" w:hAnsi="宋体" w:cs="宋体"/>
          <w:color w:val="auto"/>
          <w:szCs w:val="21"/>
          <w:highlight w:val="none"/>
        </w:rPr>
      </w:pPr>
    </w:p>
    <w:p w14:paraId="7136F71B">
      <w:pPr>
        <w:snapToGrid w:val="0"/>
        <w:spacing w:line="360" w:lineRule="auto"/>
        <w:ind w:firstLine="420" w:firstLineChars="200"/>
        <w:rPr>
          <w:rFonts w:hint="eastAsia" w:ascii="宋体" w:hAnsi="宋体" w:cs="宋体"/>
          <w:color w:val="auto"/>
          <w:szCs w:val="21"/>
          <w:highlight w:val="none"/>
        </w:rPr>
      </w:pPr>
    </w:p>
    <w:p w14:paraId="76B0B795">
      <w:pPr>
        <w:pStyle w:val="4"/>
        <w:rPr>
          <w:color w:val="auto"/>
          <w:szCs w:val="21"/>
          <w:highlight w:val="none"/>
        </w:rPr>
      </w:pPr>
      <w:r>
        <w:rPr>
          <w:rFonts w:hint="eastAsia"/>
          <w:color w:val="auto"/>
          <w:szCs w:val="21"/>
          <w:highlight w:val="none"/>
        </w:rPr>
        <w:t>二、联合协议（如果有）</w:t>
      </w:r>
    </w:p>
    <w:p w14:paraId="48FB783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[以联合体形式投标的，提供联合协议（附件5）；本项目不接受联合体投标或者投标人不以联合体形式投标的，则不需要提供）]</w:t>
      </w:r>
    </w:p>
    <w:p w14:paraId="01B2CF05">
      <w:pPr>
        <w:snapToGrid w:val="0"/>
        <w:spacing w:line="360" w:lineRule="auto"/>
        <w:ind w:firstLine="420" w:firstLineChars="200"/>
        <w:rPr>
          <w:rFonts w:hint="eastAsia" w:ascii="宋体" w:hAnsi="宋体" w:cs="宋体"/>
          <w:color w:val="auto"/>
          <w:szCs w:val="21"/>
          <w:highlight w:val="none"/>
        </w:rPr>
      </w:pPr>
    </w:p>
    <w:p w14:paraId="39808929">
      <w:pPr>
        <w:snapToGrid w:val="0"/>
        <w:spacing w:line="360" w:lineRule="auto"/>
        <w:ind w:firstLine="420" w:firstLineChars="200"/>
        <w:rPr>
          <w:rFonts w:hint="eastAsia" w:ascii="宋体" w:hAnsi="宋体" w:cs="宋体"/>
          <w:color w:val="auto"/>
          <w:szCs w:val="21"/>
          <w:highlight w:val="none"/>
        </w:rPr>
      </w:pPr>
    </w:p>
    <w:p w14:paraId="7141FF62">
      <w:pPr>
        <w:pStyle w:val="4"/>
        <w:rPr>
          <w:color w:val="auto"/>
          <w:szCs w:val="21"/>
          <w:highlight w:val="none"/>
        </w:rPr>
      </w:pPr>
      <w:r>
        <w:rPr>
          <w:rFonts w:hint="eastAsia"/>
          <w:color w:val="auto"/>
          <w:szCs w:val="21"/>
          <w:highlight w:val="none"/>
        </w:rPr>
        <w:t>三、落实政府采购政策需满足的资格要求</w:t>
      </w:r>
    </w:p>
    <w:p w14:paraId="06E0468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（根据招标公告落实政府采购政策需满足的资格要求选择提供相应的材料；未要求的，无需提供）</w:t>
      </w:r>
    </w:p>
    <w:p w14:paraId="2B91F65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A.专门面向中小企业，服务全部由符合政策要求的中小企业（或小微企业）承接的，提供相应的中小企业声明函（附件7）。 </w:t>
      </w:r>
    </w:p>
    <w:p w14:paraId="460D94A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408ACE1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w:t>
      </w:r>
      <w:r>
        <w:rPr>
          <w:rFonts w:hint="eastAsia" w:ascii="宋体" w:hAnsi="宋体" w:cs="宋体"/>
          <w:color w:val="auto"/>
          <w:szCs w:val="21"/>
          <w:highlight w:val="none"/>
          <w:lang w:eastAsia="zh-CN"/>
        </w:rPr>
        <w:t>.</w:t>
      </w:r>
      <w:r>
        <w:rPr>
          <w:rFonts w:hint="eastAsia" w:ascii="宋体" w:hAnsi="宋体" w:cs="宋体"/>
          <w:color w:val="auto"/>
          <w:szCs w:val="21"/>
          <w:highlight w:val="none"/>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023B9E4A">
      <w:pPr>
        <w:snapToGrid w:val="0"/>
        <w:spacing w:line="360" w:lineRule="auto"/>
        <w:ind w:firstLine="420" w:firstLineChars="200"/>
        <w:rPr>
          <w:rFonts w:hint="eastAsia" w:ascii="宋体" w:hAnsi="宋体" w:cs="宋体"/>
          <w:color w:val="auto"/>
          <w:szCs w:val="21"/>
          <w:highlight w:val="none"/>
        </w:rPr>
      </w:pPr>
    </w:p>
    <w:p w14:paraId="398C68EA">
      <w:pPr>
        <w:pStyle w:val="4"/>
        <w:rPr>
          <w:color w:val="auto"/>
          <w:szCs w:val="21"/>
          <w:highlight w:val="none"/>
        </w:rPr>
      </w:pPr>
      <w:r>
        <w:rPr>
          <w:rFonts w:hint="eastAsia"/>
          <w:color w:val="auto"/>
          <w:szCs w:val="21"/>
          <w:highlight w:val="none"/>
        </w:rPr>
        <w:t>四、本项目的特定资格要求</w:t>
      </w:r>
    </w:p>
    <w:p w14:paraId="34D3973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14:paraId="0AB63921">
      <w:pPr>
        <w:snapToGrid w:val="0"/>
        <w:spacing w:line="360" w:lineRule="auto"/>
        <w:ind w:right="480"/>
        <w:jc w:val="center"/>
        <w:rPr>
          <w:rFonts w:hint="eastAsia" w:ascii="宋体" w:hAnsi="宋体" w:cs="宋体"/>
          <w:b/>
          <w:color w:val="auto"/>
          <w:kern w:val="0"/>
          <w:szCs w:val="21"/>
          <w:highlight w:val="none"/>
        </w:rPr>
      </w:pPr>
    </w:p>
    <w:p w14:paraId="638FE1E6">
      <w:pPr>
        <w:spacing w:line="360" w:lineRule="auto"/>
        <w:rPr>
          <w:rFonts w:hint="eastAsia" w:ascii="宋体" w:hAnsi="宋体" w:cs="宋体"/>
          <w:color w:val="auto"/>
          <w:szCs w:val="21"/>
          <w:highlight w:val="none"/>
        </w:rPr>
      </w:pPr>
    </w:p>
    <w:p w14:paraId="6C30331B">
      <w:pPr>
        <w:snapToGrid w:val="0"/>
        <w:spacing w:line="360" w:lineRule="auto"/>
        <w:ind w:right="480"/>
        <w:jc w:val="center"/>
        <w:rPr>
          <w:rFonts w:hint="eastAsia" w:ascii="宋体" w:hAnsi="宋体" w:cs="宋体"/>
          <w:b/>
          <w:color w:val="auto"/>
          <w:kern w:val="0"/>
          <w:szCs w:val="21"/>
          <w:highlight w:val="none"/>
        </w:rPr>
      </w:pPr>
    </w:p>
    <w:p w14:paraId="25CEF9B3">
      <w:pPr>
        <w:snapToGrid w:val="0"/>
        <w:spacing w:line="360" w:lineRule="auto"/>
        <w:ind w:right="480"/>
        <w:jc w:val="center"/>
        <w:rPr>
          <w:rFonts w:hint="eastAsia" w:ascii="宋体" w:hAnsi="宋体" w:cs="宋体"/>
          <w:b/>
          <w:color w:val="auto"/>
          <w:kern w:val="0"/>
          <w:szCs w:val="21"/>
          <w:highlight w:val="none"/>
        </w:rPr>
      </w:pPr>
    </w:p>
    <w:p w14:paraId="0127719C">
      <w:pPr>
        <w:snapToGrid w:val="0"/>
        <w:spacing w:line="360" w:lineRule="auto"/>
        <w:ind w:right="480"/>
        <w:jc w:val="center"/>
        <w:rPr>
          <w:rFonts w:hint="eastAsia" w:ascii="宋体" w:hAnsi="宋体" w:cs="宋体"/>
          <w:b/>
          <w:color w:val="auto"/>
          <w:kern w:val="0"/>
          <w:szCs w:val="21"/>
          <w:highlight w:val="none"/>
        </w:rPr>
      </w:pPr>
    </w:p>
    <w:p w14:paraId="1A9865B2">
      <w:pPr>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br w:type="page"/>
      </w:r>
    </w:p>
    <w:p w14:paraId="0262481C">
      <w:pPr>
        <w:spacing w:line="360" w:lineRule="auto"/>
        <w:rPr>
          <w:rFonts w:hint="eastAsia" w:ascii="宋体" w:hAnsi="宋体" w:cs="宋体"/>
          <w:b/>
          <w:color w:val="auto"/>
          <w:kern w:val="0"/>
          <w:szCs w:val="21"/>
          <w:highlight w:val="none"/>
        </w:rPr>
      </w:pPr>
    </w:p>
    <w:p w14:paraId="20224714">
      <w:pPr>
        <w:pStyle w:val="3"/>
        <w:jc w:val="center"/>
        <w:rPr>
          <w:rFonts w:hint="eastAsia"/>
          <w:color w:val="auto"/>
          <w:szCs w:val="21"/>
          <w:highlight w:val="none"/>
        </w:rPr>
      </w:pPr>
      <w:r>
        <w:rPr>
          <w:rFonts w:hint="eastAsia"/>
          <w:color w:val="auto"/>
          <w:szCs w:val="21"/>
          <w:highlight w:val="none"/>
        </w:rPr>
        <w:t>商务技术文件部分</w:t>
      </w:r>
    </w:p>
    <w:p w14:paraId="3784776E">
      <w:pPr>
        <w:spacing w:line="360" w:lineRule="auto"/>
        <w:jc w:val="center"/>
        <w:rPr>
          <w:rFonts w:hint="eastAsia" w:ascii="宋体" w:hAnsi="宋体" w:cs="宋体"/>
          <w:b/>
          <w:color w:val="auto"/>
          <w:kern w:val="0"/>
          <w:szCs w:val="21"/>
          <w:highlight w:val="none"/>
        </w:rPr>
      </w:pPr>
    </w:p>
    <w:p w14:paraId="0FC08668">
      <w:pPr>
        <w:spacing w:line="360" w:lineRule="auto"/>
        <w:jc w:val="center"/>
        <w:outlineLvl w:val="2"/>
        <w:rPr>
          <w:rFonts w:hint="eastAsia" w:ascii="宋体" w:hAnsi="宋体" w:cs="宋体"/>
          <w:b/>
          <w:color w:val="auto"/>
          <w:kern w:val="0"/>
          <w:szCs w:val="21"/>
          <w:highlight w:val="none"/>
        </w:rPr>
      </w:pPr>
      <w:r>
        <w:rPr>
          <w:rFonts w:hint="eastAsia" w:ascii="宋体" w:hAnsi="宋体" w:cs="宋体"/>
          <w:b/>
          <w:color w:val="auto"/>
          <w:kern w:val="0"/>
          <w:szCs w:val="21"/>
          <w:highlight w:val="none"/>
        </w:rPr>
        <w:t>目录</w:t>
      </w:r>
    </w:p>
    <w:p w14:paraId="3E33F4D7">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（1）投标函…………………………………………………………………………………（页码）（2）授权委托书或法定代表人（单位负责人、自然人本人）身份证明………………（页码）</w:t>
      </w:r>
    </w:p>
    <w:p w14:paraId="130CB62B">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（3）分包意向协议…………………………………………………………………………（页码）</w:t>
      </w:r>
    </w:p>
    <w:p w14:paraId="77A9D8D9">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（4）符合性审查资料………………………………………………………………………（页码）</w:t>
      </w:r>
    </w:p>
    <w:p w14:paraId="0347462D">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（5）评标标准相应的商务技术资料………………………………………………………（页码）</w:t>
      </w:r>
    </w:p>
    <w:p w14:paraId="647160A0">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（6）投标标的清单…………………………………………………………………………（页码）</w:t>
      </w:r>
    </w:p>
    <w:p w14:paraId="3B21C344">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rPr>
        <w:t>（7）商务技术偏离表………………………………………………………………………（页码）</w:t>
      </w:r>
    </w:p>
    <w:p w14:paraId="5C29C579">
      <w:pPr>
        <w:snapToGrid w:val="0"/>
        <w:spacing w:line="360" w:lineRule="auto"/>
        <w:ind w:left="479" w:leftChars="228"/>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r>
        <w:rPr>
          <w:rFonts w:hint="eastAsia" w:ascii="宋体" w:hAnsi="宋体" w:cs="宋体"/>
          <w:color w:val="auto"/>
          <w:szCs w:val="21"/>
          <w:highlight w:val="none"/>
        </w:rPr>
        <w:t>……………………………………………………（页码）</w:t>
      </w:r>
    </w:p>
    <w:p w14:paraId="4C95348E">
      <w:pPr>
        <w:spacing w:line="360" w:lineRule="auto"/>
        <w:rPr>
          <w:color w:val="auto"/>
          <w:szCs w:val="21"/>
          <w:highlight w:val="none"/>
        </w:rPr>
      </w:pPr>
      <w:r>
        <w:rPr>
          <w:rFonts w:hint="eastAsia"/>
          <w:color w:val="auto"/>
          <w:szCs w:val="21"/>
          <w:highlight w:val="none"/>
        </w:rPr>
        <w:br w:type="page"/>
      </w:r>
    </w:p>
    <w:p w14:paraId="1ACA4505">
      <w:pPr>
        <w:pStyle w:val="4"/>
        <w:numPr>
          <w:ilvl w:val="0"/>
          <w:numId w:val="17"/>
        </w:numPr>
        <w:rPr>
          <w:color w:val="auto"/>
          <w:szCs w:val="21"/>
          <w:highlight w:val="none"/>
        </w:rPr>
      </w:pPr>
      <w:r>
        <w:rPr>
          <w:rFonts w:hint="eastAsia"/>
          <w:color w:val="auto"/>
          <w:szCs w:val="21"/>
          <w:highlight w:val="none"/>
        </w:rPr>
        <w:t>投标函</w:t>
      </w:r>
    </w:p>
    <w:p w14:paraId="30E0651C">
      <w:pPr>
        <w:spacing w:line="360" w:lineRule="auto"/>
        <w:jc w:val="center"/>
        <w:rPr>
          <w:b/>
          <w:bCs/>
          <w:color w:val="auto"/>
          <w:szCs w:val="21"/>
          <w:highlight w:val="none"/>
        </w:rPr>
      </w:pPr>
      <w:r>
        <w:rPr>
          <w:rFonts w:hint="eastAsia"/>
          <w:b/>
          <w:bCs/>
          <w:color w:val="auto"/>
          <w:szCs w:val="21"/>
          <w:highlight w:val="none"/>
        </w:rPr>
        <w:t>投标函</w:t>
      </w:r>
    </w:p>
    <w:p w14:paraId="72831A73">
      <w:pPr>
        <w:snapToGrid w:val="0"/>
        <w:spacing w:line="360" w:lineRule="auto"/>
        <w:rPr>
          <w:rFonts w:hint="eastAsia" w:ascii="宋体" w:hAnsi="宋体" w:cs="宋体"/>
          <w:color w:val="auto"/>
          <w:szCs w:val="21"/>
          <w:highlight w:val="none"/>
        </w:rPr>
      </w:pPr>
    </w:p>
    <w:p w14:paraId="7CB1C24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杭州市余杭区数据资源管理局、浙江省成套招标代理有限公司：</w:t>
      </w:r>
    </w:p>
    <w:p w14:paraId="7650B0C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我方参加你方组织的余杭区政务云平台项目【招标编号：</w:t>
      </w:r>
      <w:r>
        <w:rPr>
          <w:rFonts w:hint="eastAsia" w:ascii="宋体" w:hAnsi="宋体" w:cs="宋体"/>
          <w:color w:val="auto"/>
          <w:szCs w:val="21"/>
          <w:highlight w:val="none"/>
          <w:lang w:eastAsia="zh-CN"/>
        </w:rPr>
        <w:t>CTZB-2024120045</w:t>
      </w:r>
      <w:r>
        <w:rPr>
          <w:rFonts w:hint="eastAsia" w:ascii="宋体" w:hAnsi="宋体" w:cs="宋体"/>
          <w:color w:val="auto"/>
          <w:szCs w:val="21"/>
          <w:highlight w:val="none"/>
        </w:rPr>
        <w:t>】招标的有关活动，并对此项目进行投标。为此：</w:t>
      </w:r>
    </w:p>
    <w:p w14:paraId="1414873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天（不少于90天），本投标文件在投标有效期满之前均具有约束力。</w:t>
      </w:r>
    </w:p>
    <w:p w14:paraId="71D5BA3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2、我方的投标文件包括以下内容：</w:t>
      </w:r>
    </w:p>
    <w:p w14:paraId="578A0BCF">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2.1资格文件：</w:t>
      </w:r>
    </w:p>
    <w:p w14:paraId="0A7C31A1">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2.1.1承诺函；</w:t>
      </w:r>
    </w:p>
    <w:p w14:paraId="0F003F22">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2.1.2联合协议</w:t>
      </w:r>
      <w:bookmarkStart w:id="566" w:name="_Hlk101257010"/>
      <w:r>
        <w:rPr>
          <w:rFonts w:hint="eastAsia" w:ascii="宋体" w:hAnsi="宋体" w:cs="宋体"/>
          <w:color w:val="auto"/>
          <w:szCs w:val="21"/>
          <w:highlight w:val="none"/>
        </w:rPr>
        <w:t>（如果有</w:t>
      </w:r>
      <w:r>
        <w:rPr>
          <w:rFonts w:hint="eastAsia" w:ascii="宋体" w:hAnsi="宋体" w:cs="宋体"/>
          <w:color w:val="auto"/>
          <w:szCs w:val="21"/>
          <w:highlight w:val="none"/>
          <w:lang w:eastAsia="zh-CN"/>
        </w:rPr>
        <w:t>）</w:t>
      </w:r>
      <w:bookmarkEnd w:id="566"/>
      <w:r>
        <w:rPr>
          <w:rFonts w:hint="eastAsia" w:ascii="宋体" w:hAnsi="宋体" w:cs="宋体"/>
          <w:color w:val="auto"/>
          <w:szCs w:val="21"/>
          <w:highlight w:val="none"/>
        </w:rPr>
        <w:t>；</w:t>
      </w:r>
    </w:p>
    <w:p w14:paraId="49D595CA">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2.1.3落实政府采购政策需满足的资格要求；</w:t>
      </w:r>
    </w:p>
    <w:p w14:paraId="134BB976">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2.1.4本项目的特定资格要求（如果有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7D8F5506">
      <w:pPr>
        <w:snapToGrid w:val="0"/>
        <w:spacing w:line="360" w:lineRule="auto"/>
        <w:ind w:left="420" w:leftChars="200"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14:paraId="5316EC73">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2.2.1投标函；</w:t>
      </w:r>
      <w:r>
        <w:rPr>
          <w:rFonts w:hint="eastAsia" w:ascii="宋体" w:hAnsi="宋体" w:cs="宋体"/>
          <w:color w:val="auto"/>
          <w:szCs w:val="21"/>
          <w:highlight w:val="none"/>
          <w:lang w:val="zh-CN"/>
        </w:rPr>
        <w:t xml:space="preserve"> </w:t>
      </w:r>
    </w:p>
    <w:p w14:paraId="36800D5A">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2.2.2授权委托书或法定代表人（单位负责人）身份证明；</w:t>
      </w:r>
    </w:p>
    <w:p w14:paraId="07821C97">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2.2.3分包意向协议（如果有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022D84BD">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2.2.4符合性审查资料；</w:t>
      </w:r>
    </w:p>
    <w:p w14:paraId="66206443">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2.2.5评标标准相应的商务技术资料；</w:t>
      </w:r>
    </w:p>
    <w:p w14:paraId="16012839">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2.2.6投标标的清单；</w:t>
      </w:r>
    </w:p>
    <w:p w14:paraId="5606149C">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2.2.7商务技术偏离表；</w:t>
      </w:r>
    </w:p>
    <w:p w14:paraId="269A7350">
      <w:pPr>
        <w:snapToGrid w:val="0"/>
        <w:spacing w:line="360" w:lineRule="auto"/>
        <w:ind w:left="420" w:leftChars="200"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14:paraId="79A7D56A">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14:paraId="60241344">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2.3.1开标一览表（报价表）；</w:t>
      </w:r>
    </w:p>
    <w:p w14:paraId="798A74B2">
      <w:p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2.3.2中小企业声明函（若有）；</w:t>
      </w:r>
    </w:p>
    <w:p w14:paraId="06035A23">
      <w:pPr>
        <w:numPr>
          <w:ilvl w:val="255"/>
          <w:numId w:val="0"/>
        </w:numPr>
        <w:snapToGrid w:val="0"/>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2.3.3报价情况说明（如供应商报价低于项目预算50%的，应当提交本文档，详细阐述不影响产品质量或者诚信履约的具体原因）。</w:t>
      </w:r>
    </w:p>
    <w:p w14:paraId="769A766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3、我方承诺除商务技术偏离表列出的偏离外，我方响应招标文件的全部要求。对投标文件中材料的真实性、合法性负责。</w:t>
      </w:r>
    </w:p>
    <w:p w14:paraId="56667F7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4、如我方中标，我方承诺：</w:t>
      </w:r>
    </w:p>
    <w:p w14:paraId="526F310C">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4.1在收到中标通知书后，在中标通知书规定的期限内与你方签订合同； </w:t>
      </w:r>
    </w:p>
    <w:p w14:paraId="3245944D">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4.2在签订合同时不向你方提出附加条件； </w:t>
      </w:r>
    </w:p>
    <w:p w14:paraId="57CF6A4E">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4.3按照招标文件要求提交履约保证金； </w:t>
      </w:r>
    </w:p>
    <w:p w14:paraId="53AD1BE1">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4.4在合同约定的期限内完成合同规定的全部义务。 </w:t>
      </w:r>
    </w:p>
    <w:p w14:paraId="6EE3A102">
      <w:pPr>
        <w:snapToGrid w:val="0"/>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5、其他补充说明</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465FBE">
      <w:pPr>
        <w:spacing w:line="360" w:lineRule="auto"/>
        <w:ind w:firstLine="420" w:firstLineChars="200"/>
        <w:rPr>
          <w:rFonts w:hint="eastAsia" w:ascii="宋体" w:hAnsi="宋体" w:cs="宋体"/>
          <w:b/>
          <w:color w:val="auto"/>
          <w:kern w:val="0"/>
          <w:szCs w:val="21"/>
          <w:highlight w:val="none"/>
          <w:lang w:val="zh-CN"/>
        </w:rPr>
      </w:pPr>
      <w:r>
        <w:rPr>
          <w:rFonts w:hint="eastAsia" w:ascii="宋体" w:hAnsi="宋体" w:cs="宋体"/>
          <w:color w:val="auto"/>
          <w:szCs w:val="21"/>
          <w:highlight w:val="none"/>
        </w:rPr>
        <w:t>投标人名称（电子签名）：                        日期：  年   月   日</w:t>
      </w:r>
      <w:r>
        <w:rPr>
          <w:rFonts w:hint="eastAsia" w:ascii="宋体" w:hAnsi="宋体" w:cs="宋体"/>
          <w:b/>
          <w:color w:val="auto"/>
          <w:kern w:val="0"/>
          <w:szCs w:val="21"/>
          <w:highlight w:val="none"/>
          <w:lang w:val="zh-CN"/>
        </w:rPr>
        <w:br w:type="page"/>
      </w:r>
    </w:p>
    <w:p w14:paraId="6975175B">
      <w:pPr>
        <w:pStyle w:val="4"/>
        <w:rPr>
          <w:color w:val="auto"/>
          <w:szCs w:val="21"/>
          <w:highlight w:val="none"/>
          <w:lang w:val="zh-CN"/>
        </w:rPr>
      </w:pPr>
      <w:r>
        <w:rPr>
          <w:rFonts w:hint="eastAsia"/>
          <w:color w:val="auto"/>
          <w:szCs w:val="21"/>
          <w:highlight w:val="none"/>
          <w:lang w:val="zh-CN"/>
        </w:rPr>
        <w:t>二、授权委托书或法定代表人（单位负责人、自然人本人）身份证明</w:t>
      </w:r>
    </w:p>
    <w:p w14:paraId="3A8BFE0E">
      <w:pPr>
        <w:snapToGrid w:val="0"/>
        <w:spacing w:line="360" w:lineRule="auto"/>
        <w:jc w:val="center"/>
        <w:rPr>
          <w:rFonts w:hint="eastAsia" w:ascii="宋体" w:hAnsi="宋体" w:cs="宋体"/>
          <w:b/>
          <w:color w:val="auto"/>
          <w:kern w:val="0"/>
          <w:szCs w:val="21"/>
          <w:highlight w:val="none"/>
          <w:lang w:val="zh-CN"/>
        </w:rPr>
      </w:pPr>
    </w:p>
    <w:p w14:paraId="61D40297">
      <w:pPr>
        <w:snapToGrid w:val="0"/>
        <w:spacing w:line="360" w:lineRule="auto"/>
        <w:jc w:val="center"/>
        <w:rPr>
          <w:rFonts w:hint="eastAsia" w:ascii="宋体" w:hAnsi="宋体" w:cs="宋体"/>
          <w:color w:val="auto"/>
          <w:szCs w:val="21"/>
          <w:highlight w:val="none"/>
        </w:rPr>
      </w:pPr>
      <w:r>
        <w:rPr>
          <w:rFonts w:hint="eastAsia" w:ascii="宋体" w:hAnsi="宋体" w:cs="宋体"/>
          <w:b/>
          <w:color w:val="auto"/>
          <w:kern w:val="0"/>
          <w:szCs w:val="21"/>
          <w:highlight w:val="none"/>
          <w:lang w:val="zh-CN"/>
        </w:rPr>
        <w:t>授权委托书（适用于非联合体投标）</w:t>
      </w:r>
    </w:p>
    <w:p w14:paraId="7E0440C9">
      <w:pPr>
        <w:snapToGrid w:val="0"/>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杭州市余杭区数据资源管理局、浙江省成套招标代理有限公司</w:t>
      </w:r>
      <w:r>
        <w:rPr>
          <w:rFonts w:hint="eastAsia" w:ascii="宋体" w:hAnsi="宋体" w:cs="宋体"/>
          <w:color w:val="auto"/>
          <w:kern w:val="0"/>
          <w:szCs w:val="21"/>
          <w:highlight w:val="none"/>
          <w:lang w:val="zh-CN"/>
        </w:rPr>
        <w:t>：</w:t>
      </w:r>
    </w:p>
    <w:p w14:paraId="2DCE8ED3">
      <w:pPr>
        <w:snapToGrid w:val="0"/>
        <w:spacing w:line="360" w:lineRule="auto"/>
        <w:ind w:firstLine="576"/>
        <w:rPr>
          <w:rFonts w:hint="eastAsia"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，所在单位：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rPr>
        <w:t>余杭区政务云平台项目【招标编号：</w:t>
      </w:r>
      <w:r>
        <w:rPr>
          <w:rFonts w:hint="eastAsia" w:ascii="宋体" w:hAnsi="宋体" w:cs="宋体"/>
          <w:color w:val="auto"/>
          <w:szCs w:val="21"/>
          <w:highlight w:val="none"/>
          <w:lang w:eastAsia="zh-CN"/>
        </w:rPr>
        <w:t>CTZB-2024120045</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政府采购投标的一切事项，其法律后果由我方承担。</w:t>
      </w:r>
    </w:p>
    <w:p w14:paraId="6D1C102F">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78E983BD">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4751D659">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 xml:space="preserve">                                                 投标人名称（电子签名）：</w:t>
      </w:r>
    </w:p>
    <w:p w14:paraId="11BE68D3">
      <w:pPr>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签发日期：  年  月   日</w:t>
      </w:r>
    </w:p>
    <w:p w14:paraId="5735B0CB">
      <w:pPr>
        <w:snapToGrid w:val="0"/>
        <w:spacing w:line="360" w:lineRule="auto"/>
        <w:rPr>
          <w:rFonts w:hint="eastAsia" w:ascii="宋体" w:hAnsi="宋体" w:cs="宋体"/>
          <w:color w:val="auto"/>
          <w:szCs w:val="21"/>
          <w:highlight w:val="none"/>
        </w:rPr>
      </w:pPr>
    </w:p>
    <w:p w14:paraId="7B544AB5">
      <w:pPr>
        <w:snapToGrid w:val="0"/>
        <w:spacing w:line="360" w:lineRule="auto"/>
        <w:rPr>
          <w:rFonts w:hint="eastAsia" w:ascii="宋体" w:hAnsi="宋体" w:cs="宋体"/>
          <w:color w:val="auto"/>
          <w:szCs w:val="21"/>
          <w:highlight w:val="none"/>
        </w:rPr>
      </w:pPr>
    </w:p>
    <w:p w14:paraId="0B2A4B6F">
      <w:pPr>
        <w:snapToGrid w:val="0"/>
        <w:spacing w:line="360" w:lineRule="auto"/>
        <w:jc w:val="center"/>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授权委托书（适用于联合体投标）</w:t>
      </w:r>
    </w:p>
    <w:p w14:paraId="297BBDAE">
      <w:pPr>
        <w:spacing w:line="360" w:lineRule="auto"/>
        <w:rPr>
          <w:color w:val="auto"/>
          <w:szCs w:val="21"/>
          <w:highlight w:val="none"/>
          <w:lang w:val="zh-CN"/>
        </w:rPr>
      </w:pPr>
    </w:p>
    <w:p w14:paraId="2C6058F9">
      <w:pPr>
        <w:snapToGrid w:val="0"/>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杭州市余杭区数据资源管理局、浙江省成套招标代理有限公司</w:t>
      </w:r>
      <w:r>
        <w:rPr>
          <w:rFonts w:hint="eastAsia" w:ascii="宋体" w:hAnsi="宋体" w:cs="宋体"/>
          <w:color w:val="auto"/>
          <w:kern w:val="0"/>
          <w:szCs w:val="21"/>
          <w:highlight w:val="none"/>
          <w:lang w:val="zh-CN"/>
        </w:rPr>
        <w:t>：</w:t>
      </w:r>
    </w:p>
    <w:p w14:paraId="6E955EB2">
      <w:pPr>
        <w:snapToGrid w:val="0"/>
        <w:spacing w:line="360" w:lineRule="auto"/>
        <w:ind w:firstLine="576"/>
        <w:rPr>
          <w:rFonts w:hint="eastAsia"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rPr>
        <w:t>余杭区政务云平台项目【招标编号：</w:t>
      </w:r>
      <w:r>
        <w:rPr>
          <w:rFonts w:hint="eastAsia" w:ascii="宋体" w:hAnsi="宋体" w:cs="宋体"/>
          <w:color w:val="auto"/>
          <w:szCs w:val="21"/>
          <w:highlight w:val="none"/>
          <w:lang w:eastAsia="zh-CN"/>
        </w:rPr>
        <w:t>CTZB-2024120045</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政府采购投标的一切事项，其法律后果由我方承担。</w:t>
      </w:r>
    </w:p>
    <w:p w14:paraId="7F43B26D">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38ECBB1B">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3FECB1E0">
      <w:pPr>
        <w:spacing w:line="360" w:lineRule="auto"/>
        <w:rPr>
          <w:rFonts w:hint="eastAsia" w:ascii="宋体" w:hAnsi="宋体" w:cs="宋体"/>
          <w:b/>
          <w:color w:val="auto"/>
          <w:kern w:val="0"/>
          <w:szCs w:val="21"/>
          <w:highlight w:val="none"/>
        </w:rPr>
      </w:pPr>
    </w:p>
    <w:p w14:paraId="08E1B9A5">
      <w:pPr>
        <w:spacing w:line="360" w:lineRule="auto"/>
        <w:rPr>
          <w:rFonts w:hint="eastAsia" w:ascii="宋体" w:hAnsi="宋体" w:cs="宋体"/>
          <w:color w:val="auto"/>
          <w:szCs w:val="21"/>
          <w:highlight w:val="none"/>
        </w:rPr>
      </w:pPr>
    </w:p>
    <w:p w14:paraId="68C7CEBF">
      <w:pPr>
        <w:snapToGrid w:val="0"/>
        <w:spacing w:line="360" w:lineRule="auto"/>
        <w:ind w:firstLine="4410" w:firstLine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25BB4685">
      <w:pPr>
        <w:snapToGrid w:val="0"/>
        <w:spacing w:line="360" w:lineRule="auto"/>
        <w:ind w:firstLine="4410" w:firstLine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7D11D237">
      <w:pPr>
        <w:snapToGrid w:val="0"/>
        <w:spacing w:line="360" w:lineRule="auto"/>
        <w:ind w:firstLine="5040" w:firstLineChars="2400"/>
        <w:rPr>
          <w:rFonts w:hint="eastAsia" w:ascii="宋体" w:hAnsi="宋体" w:cs="宋体"/>
          <w:color w:val="auto"/>
          <w:szCs w:val="21"/>
          <w:highlight w:val="none"/>
        </w:rPr>
      </w:pPr>
      <w:r>
        <w:rPr>
          <w:rFonts w:hint="eastAsia" w:ascii="宋体" w:hAnsi="宋体" w:cs="宋体"/>
          <w:color w:val="auto"/>
          <w:kern w:val="0"/>
          <w:szCs w:val="21"/>
          <w:highlight w:val="none"/>
          <w:lang w:val="zh-CN"/>
        </w:rPr>
        <w:t>……</w:t>
      </w:r>
    </w:p>
    <w:p w14:paraId="4026497F">
      <w:pPr>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149D4D79">
      <w:pPr>
        <w:spacing w:line="360" w:lineRule="auto"/>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br w:type="page"/>
      </w:r>
    </w:p>
    <w:p w14:paraId="07B3190A">
      <w:pPr>
        <w:snapToGrid w:val="0"/>
        <w:spacing w:line="360" w:lineRule="auto"/>
        <w:jc w:val="center"/>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法定代表人、单位负责人或自然人本人的身份证明（适用于法定代表人、单位负责人或者自然人本人代表投标人参加投标）</w:t>
      </w:r>
    </w:p>
    <w:p w14:paraId="40F74181">
      <w:pPr>
        <w:pStyle w:val="153"/>
        <w:spacing w:line="360" w:lineRule="auto"/>
        <w:rPr>
          <w:rFonts w:hint="eastAsia" w:hAnsi="宋体" w:cs="宋体"/>
          <w:bCs/>
          <w:color w:val="auto"/>
          <w:highlight w:val="none"/>
        </w:rPr>
      </w:pPr>
    </w:p>
    <w:p w14:paraId="34DE5B63">
      <w:pPr>
        <w:pStyle w:val="153"/>
        <w:spacing w:line="360" w:lineRule="auto"/>
        <w:rPr>
          <w:rFonts w:hint="eastAsia" w:hAnsi="宋体" w:cs="宋体"/>
          <w:bCs/>
          <w:color w:val="auto"/>
          <w:highlight w:val="none"/>
        </w:rPr>
      </w:pPr>
      <w:r>
        <w:rPr>
          <w:rFonts w:hint="eastAsia" w:hAnsi="宋体" w:cs="宋体"/>
          <w:bCs/>
          <w:color w:val="auto"/>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D3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164AA1">
            <w:pPr>
              <w:pStyle w:val="153"/>
              <w:adjustRightInd w:val="0"/>
              <w:spacing w:line="360" w:lineRule="auto"/>
              <w:rPr>
                <w:rFonts w:hint="eastAsia" w:hAnsi="宋体" w:cs="宋体"/>
                <w:bCs/>
                <w:color w:val="auto"/>
                <w:highlight w:val="none"/>
              </w:rPr>
            </w:pPr>
            <w:r>
              <w:rPr>
                <w:rFonts w:hint="eastAsia" w:hAnsi="宋体" w:cs="宋体"/>
                <w:bCs/>
                <w:color w:val="auto"/>
                <w:highlight w:val="none"/>
              </w:rPr>
              <w:t>正面：                                 反面：</w:t>
            </w:r>
          </w:p>
          <w:p w14:paraId="177D7696">
            <w:pPr>
              <w:pStyle w:val="153"/>
              <w:adjustRightInd w:val="0"/>
              <w:spacing w:line="360" w:lineRule="auto"/>
              <w:rPr>
                <w:rFonts w:hint="eastAsia" w:hAnsi="宋体" w:cs="宋体"/>
                <w:bCs/>
                <w:color w:val="auto"/>
                <w:highlight w:val="none"/>
              </w:rPr>
            </w:pPr>
          </w:p>
        </w:tc>
      </w:tr>
    </w:tbl>
    <w:p w14:paraId="4284EC6F">
      <w:pPr>
        <w:snapToGrid w:val="0"/>
        <w:spacing w:line="360" w:lineRule="auto"/>
        <w:ind w:firstLine="576"/>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p>
    <w:p w14:paraId="6D9993DA">
      <w:pPr>
        <w:snapToGrid w:val="0"/>
        <w:spacing w:line="360" w:lineRule="auto"/>
        <w:ind w:firstLine="576"/>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投标人名称（电子签名）：</w:t>
      </w:r>
    </w:p>
    <w:p w14:paraId="19C3C831">
      <w:pPr>
        <w:spacing w:line="360" w:lineRule="auto"/>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  年  月  日</w:t>
      </w:r>
    </w:p>
    <w:p w14:paraId="5320B63D">
      <w:pPr>
        <w:spacing w:line="360" w:lineRule="auto"/>
        <w:rPr>
          <w:rFonts w:hint="eastAsia" w:ascii="宋体" w:hAnsi="宋体" w:cs="宋体"/>
          <w:b/>
          <w:color w:val="auto"/>
          <w:kern w:val="0"/>
          <w:szCs w:val="21"/>
          <w:highlight w:val="none"/>
        </w:rPr>
      </w:pPr>
    </w:p>
    <w:p w14:paraId="2A72F12C">
      <w:pPr>
        <w:spacing w:line="360" w:lineRule="auto"/>
        <w:jc w:val="center"/>
        <w:rPr>
          <w:rFonts w:hint="eastAsia" w:ascii="宋体" w:hAnsi="宋体" w:cs="宋体"/>
          <w:b/>
          <w:color w:val="auto"/>
          <w:kern w:val="0"/>
          <w:szCs w:val="21"/>
          <w:highlight w:val="none"/>
        </w:rPr>
      </w:pPr>
    </w:p>
    <w:p w14:paraId="446E4A48">
      <w:pPr>
        <w:spacing w:line="360" w:lineRule="auto"/>
        <w:jc w:val="center"/>
        <w:rPr>
          <w:rFonts w:hint="eastAsia" w:ascii="宋体" w:hAnsi="宋体" w:cs="宋体"/>
          <w:b/>
          <w:color w:val="auto"/>
          <w:kern w:val="0"/>
          <w:szCs w:val="21"/>
          <w:highlight w:val="none"/>
        </w:rPr>
      </w:pPr>
    </w:p>
    <w:p w14:paraId="3C94D7AD">
      <w:pPr>
        <w:spacing w:line="360" w:lineRule="auto"/>
        <w:jc w:val="center"/>
        <w:rPr>
          <w:rFonts w:hint="eastAsia" w:ascii="宋体" w:hAnsi="宋体" w:cs="宋体"/>
          <w:b/>
          <w:color w:val="auto"/>
          <w:kern w:val="0"/>
          <w:szCs w:val="21"/>
          <w:highlight w:val="none"/>
        </w:rPr>
      </w:pPr>
    </w:p>
    <w:p w14:paraId="048D8849">
      <w:pPr>
        <w:pStyle w:val="61"/>
        <w:spacing w:line="360" w:lineRule="auto"/>
        <w:ind w:firstLine="422"/>
        <w:rPr>
          <w:rFonts w:hint="eastAsia" w:cs="宋体"/>
          <w:b/>
          <w:color w:val="auto"/>
          <w:kern w:val="0"/>
          <w:szCs w:val="21"/>
          <w:highlight w:val="none"/>
        </w:rPr>
      </w:pPr>
    </w:p>
    <w:p w14:paraId="628FC54B">
      <w:pPr>
        <w:pStyle w:val="61"/>
        <w:spacing w:line="360" w:lineRule="auto"/>
        <w:ind w:firstLine="422"/>
        <w:rPr>
          <w:rFonts w:hint="eastAsia" w:cs="宋体"/>
          <w:b/>
          <w:color w:val="auto"/>
          <w:kern w:val="0"/>
          <w:szCs w:val="21"/>
          <w:highlight w:val="none"/>
        </w:rPr>
      </w:pPr>
    </w:p>
    <w:p w14:paraId="3F4F5BB1">
      <w:pPr>
        <w:pStyle w:val="61"/>
        <w:spacing w:line="360" w:lineRule="auto"/>
        <w:ind w:firstLine="422"/>
        <w:rPr>
          <w:rFonts w:hint="eastAsia" w:cs="宋体"/>
          <w:b/>
          <w:color w:val="auto"/>
          <w:kern w:val="0"/>
          <w:szCs w:val="21"/>
          <w:highlight w:val="none"/>
        </w:rPr>
      </w:pPr>
    </w:p>
    <w:p w14:paraId="14351EBE">
      <w:pPr>
        <w:pStyle w:val="61"/>
        <w:spacing w:line="360" w:lineRule="auto"/>
        <w:ind w:firstLine="422"/>
        <w:rPr>
          <w:rFonts w:hint="eastAsia" w:cs="宋体"/>
          <w:b/>
          <w:color w:val="auto"/>
          <w:kern w:val="0"/>
          <w:szCs w:val="21"/>
          <w:highlight w:val="none"/>
        </w:rPr>
      </w:pPr>
    </w:p>
    <w:p w14:paraId="5E127A9D">
      <w:pPr>
        <w:pStyle w:val="61"/>
        <w:spacing w:line="360" w:lineRule="auto"/>
        <w:ind w:firstLine="422"/>
        <w:rPr>
          <w:rFonts w:hint="eastAsia" w:cs="宋体"/>
          <w:b/>
          <w:color w:val="auto"/>
          <w:kern w:val="0"/>
          <w:szCs w:val="21"/>
          <w:highlight w:val="none"/>
        </w:rPr>
      </w:pPr>
    </w:p>
    <w:p w14:paraId="2F02AB2D">
      <w:pPr>
        <w:pStyle w:val="61"/>
        <w:spacing w:line="360" w:lineRule="auto"/>
        <w:ind w:firstLine="422"/>
        <w:rPr>
          <w:rFonts w:hint="eastAsia" w:cs="宋体"/>
          <w:b/>
          <w:color w:val="auto"/>
          <w:kern w:val="0"/>
          <w:szCs w:val="21"/>
          <w:highlight w:val="none"/>
        </w:rPr>
      </w:pPr>
    </w:p>
    <w:p w14:paraId="12B3285B">
      <w:pPr>
        <w:pStyle w:val="61"/>
        <w:spacing w:line="360" w:lineRule="auto"/>
        <w:ind w:firstLine="422"/>
        <w:rPr>
          <w:rFonts w:hint="eastAsia" w:cs="宋体"/>
          <w:b/>
          <w:color w:val="auto"/>
          <w:kern w:val="0"/>
          <w:szCs w:val="21"/>
          <w:highlight w:val="none"/>
        </w:rPr>
      </w:pPr>
    </w:p>
    <w:p w14:paraId="4E41E757">
      <w:pPr>
        <w:spacing w:line="360" w:lineRule="auto"/>
        <w:jc w:val="center"/>
        <w:rPr>
          <w:rFonts w:hint="eastAsia" w:ascii="宋体" w:hAnsi="宋体" w:cs="宋体"/>
          <w:b/>
          <w:color w:val="auto"/>
          <w:kern w:val="0"/>
          <w:szCs w:val="21"/>
          <w:highlight w:val="none"/>
        </w:rPr>
      </w:pPr>
    </w:p>
    <w:p w14:paraId="0A5EAE79">
      <w:pPr>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br w:type="page"/>
      </w:r>
    </w:p>
    <w:p w14:paraId="49BF7CC0">
      <w:pPr>
        <w:pStyle w:val="4"/>
        <w:rPr>
          <w:color w:val="auto"/>
          <w:szCs w:val="21"/>
          <w:highlight w:val="none"/>
        </w:rPr>
      </w:pPr>
      <w:r>
        <w:rPr>
          <w:rFonts w:hint="eastAsia"/>
          <w:color w:val="auto"/>
          <w:szCs w:val="21"/>
          <w:highlight w:val="none"/>
        </w:rPr>
        <w:t>三、分包意向协议（如果有）</w:t>
      </w:r>
    </w:p>
    <w:p w14:paraId="02BF165B">
      <w:pPr>
        <w:widowControl/>
        <w:spacing w:line="360" w:lineRule="auto"/>
        <w:ind w:firstLine="105" w:firstLineChars="50"/>
        <w:jc w:val="left"/>
        <w:rPr>
          <w:rFonts w:hint="eastAsia" w:ascii="宋体" w:hAnsi="宋体" w:cs="宋体"/>
          <w:color w:val="auto"/>
          <w:szCs w:val="21"/>
          <w:highlight w:val="none"/>
        </w:rPr>
      </w:pPr>
      <w:r>
        <w:rPr>
          <w:rFonts w:hint="eastAsia" w:ascii="宋体" w:hAnsi="宋体" w:cs="宋体"/>
          <w:color w:val="auto"/>
          <w:szCs w:val="21"/>
          <w:highlight w:val="none"/>
        </w:rPr>
        <w:t>[中标后以分包方式履行合同的，提供分包意向协议</w:t>
      </w:r>
      <w:r>
        <w:rPr>
          <w:rFonts w:hint="eastAsia" w:ascii="宋体" w:hAnsi="宋体" w:cs="宋体"/>
          <w:color w:val="auto"/>
          <w:szCs w:val="21"/>
          <w:highlight w:val="none"/>
          <w:lang w:eastAsia="zh-CN"/>
        </w:rPr>
        <w:t>（</w:t>
      </w:r>
      <w:r>
        <w:rPr>
          <w:rFonts w:hint="eastAsia" w:ascii="宋体" w:hAnsi="宋体" w:cs="宋体"/>
          <w:color w:val="auto"/>
          <w:szCs w:val="21"/>
          <w:highlight w:val="none"/>
        </w:rPr>
        <w:t>附件6</w:t>
      </w:r>
      <w:r>
        <w:rPr>
          <w:rFonts w:hint="eastAsia" w:ascii="宋体" w:hAnsi="宋体" w:cs="宋体"/>
          <w:color w:val="auto"/>
          <w:szCs w:val="21"/>
          <w:highlight w:val="none"/>
          <w:lang w:eastAsia="zh-CN"/>
        </w:rPr>
        <w:t>）</w:t>
      </w:r>
      <w:r>
        <w:rPr>
          <w:rFonts w:hint="eastAsia" w:ascii="宋体" w:hAnsi="宋体" w:cs="宋体"/>
          <w:color w:val="auto"/>
          <w:szCs w:val="21"/>
          <w:highlight w:val="none"/>
        </w:rPr>
        <w:t>；采购人不同意分包或者投标人中标后不以分包方式履行合同的，则不需要提供</w:t>
      </w:r>
      <w:r>
        <w:rPr>
          <w:rFonts w:hint="eastAsia" w:ascii="宋体" w:hAnsi="宋体" w:cs="宋体"/>
          <w:color w:val="auto"/>
          <w:szCs w:val="21"/>
          <w:highlight w:val="none"/>
          <w:lang w:eastAsia="zh-CN"/>
        </w:rPr>
        <w:t>]</w:t>
      </w:r>
    </w:p>
    <w:p w14:paraId="7934FAF5">
      <w:pPr>
        <w:snapToGrid w:val="0"/>
        <w:spacing w:line="360" w:lineRule="auto"/>
        <w:ind w:firstLine="576"/>
        <w:rPr>
          <w:rFonts w:hint="eastAsia" w:ascii="宋体" w:hAnsi="宋体" w:cs="宋体"/>
          <w:color w:val="auto"/>
          <w:kern w:val="0"/>
          <w:szCs w:val="21"/>
          <w:highlight w:val="none"/>
          <w:lang w:val="zh-CN"/>
        </w:rPr>
      </w:pPr>
    </w:p>
    <w:p w14:paraId="4DE1AB33">
      <w:pPr>
        <w:pStyle w:val="4"/>
        <w:rPr>
          <w:color w:val="auto"/>
          <w:szCs w:val="21"/>
          <w:highlight w:val="none"/>
        </w:rPr>
      </w:pPr>
      <w:r>
        <w:rPr>
          <w:rFonts w:hint="eastAsia"/>
          <w:color w:val="auto"/>
          <w:szCs w:val="21"/>
          <w:highlight w:val="none"/>
        </w:rPr>
        <w:t>四、符合性审查资料</w:t>
      </w:r>
    </w:p>
    <w:p w14:paraId="4FA38C83">
      <w:pPr>
        <w:spacing w:line="360" w:lineRule="auto"/>
        <w:jc w:val="center"/>
        <w:rPr>
          <w:rFonts w:hint="eastAsia" w:ascii="宋体" w:hAnsi="宋体" w:cs="宋体"/>
          <w:b/>
          <w:color w:val="auto"/>
          <w:kern w:val="0"/>
          <w:szCs w:val="21"/>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614"/>
        <w:gridCol w:w="3383"/>
        <w:gridCol w:w="1963"/>
      </w:tblGrid>
      <w:tr w14:paraId="673D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A25E8E">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3614" w:type="dxa"/>
            <w:vAlign w:val="center"/>
          </w:tcPr>
          <w:p w14:paraId="7B681F2E">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实质性要求</w:t>
            </w:r>
          </w:p>
        </w:tc>
        <w:tc>
          <w:tcPr>
            <w:tcW w:w="3383" w:type="dxa"/>
            <w:vAlign w:val="center"/>
          </w:tcPr>
          <w:p w14:paraId="02E0B416">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需要提供的符合性审查资料</w:t>
            </w:r>
          </w:p>
        </w:tc>
        <w:tc>
          <w:tcPr>
            <w:tcW w:w="1963" w:type="dxa"/>
            <w:vAlign w:val="center"/>
          </w:tcPr>
          <w:p w14:paraId="1075F15F">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投标文件中的</w:t>
            </w:r>
          </w:p>
          <w:p w14:paraId="0440B55A">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页码位置</w:t>
            </w:r>
          </w:p>
        </w:tc>
      </w:tr>
      <w:tr w14:paraId="210D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466B5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614" w:type="dxa"/>
            <w:vAlign w:val="center"/>
          </w:tcPr>
          <w:p w14:paraId="4BE5814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3383" w:type="dxa"/>
            <w:vAlign w:val="center"/>
          </w:tcPr>
          <w:p w14:paraId="08FCF23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1963" w:type="dxa"/>
            <w:vAlign w:val="center"/>
          </w:tcPr>
          <w:p w14:paraId="45C0FC8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5450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E8AC8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614" w:type="dxa"/>
            <w:vAlign w:val="center"/>
          </w:tcPr>
          <w:p w14:paraId="67114AA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3383" w:type="dxa"/>
            <w:vAlign w:val="center"/>
          </w:tcPr>
          <w:p w14:paraId="15248EA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投标函</w:t>
            </w:r>
          </w:p>
        </w:tc>
        <w:tc>
          <w:tcPr>
            <w:tcW w:w="1963" w:type="dxa"/>
            <w:vAlign w:val="center"/>
          </w:tcPr>
          <w:p w14:paraId="34895D2F">
            <w:pPr>
              <w:pStyle w:val="3"/>
              <w:ind w:firstLine="0" w:firstLineChars="0"/>
              <w:jc w:val="both"/>
              <w:rPr>
                <w:rFonts w:hint="eastAsia" w:ascii="宋体" w:hAnsi="宋体" w:cs="宋体"/>
                <w:color w:val="auto"/>
                <w:szCs w:val="21"/>
                <w:highlight w:val="none"/>
                <w:lang w:val="en-US"/>
              </w:rPr>
            </w:pPr>
            <w:r>
              <w:rPr>
                <w:rFonts w:hint="eastAsia" w:ascii="宋体" w:hAnsi="宋体" w:cs="宋体"/>
                <w:b w:val="0"/>
                <w:bCs w:val="0"/>
                <w:color w:val="auto"/>
                <w:szCs w:val="21"/>
                <w:highlight w:val="none"/>
              </w:rPr>
              <w:t>见投标文件</w:t>
            </w:r>
            <w:r>
              <w:rPr>
                <w:rFonts w:hint="eastAsia" w:ascii="宋体" w:hAnsi="宋体" w:cs="宋体"/>
                <w:b w:val="0"/>
                <w:bCs w:val="0"/>
                <w:color w:val="auto"/>
                <w:szCs w:val="21"/>
                <w:highlight w:val="none"/>
                <w:lang w:val="en-US"/>
              </w:rPr>
              <w:t>第</w:t>
            </w:r>
            <w:r>
              <w:rPr>
                <w:rFonts w:hint="eastAsia" w:ascii="宋体" w:hAnsi="宋体" w:cs="宋体"/>
                <w:b w:val="0"/>
                <w:bCs w:val="0"/>
                <w:color w:val="auto"/>
                <w:szCs w:val="21"/>
                <w:highlight w:val="none"/>
                <w:u w:val="single"/>
                <w:lang w:val="en-US"/>
              </w:rPr>
              <w:t xml:space="preserve">  </w:t>
            </w:r>
            <w:r>
              <w:rPr>
                <w:rFonts w:hint="eastAsia" w:ascii="宋体" w:hAnsi="宋体" w:cs="宋体"/>
                <w:b w:val="0"/>
                <w:bCs w:val="0"/>
                <w:color w:val="auto"/>
                <w:szCs w:val="21"/>
                <w:highlight w:val="none"/>
                <w:lang w:val="en-US"/>
              </w:rPr>
              <w:t>页</w:t>
            </w:r>
          </w:p>
        </w:tc>
      </w:tr>
      <w:tr w14:paraId="41C7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A0381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3614" w:type="dxa"/>
            <w:vAlign w:val="center"/>
          </w:tcPr>
          <w:p w14:paraId="00D2244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投标文件满足招标文件的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实质性要求。</w:t>
            </w:r>
          </w:p>
        </w:tc>
        <w:tc>
          <w:tcPr>
            <w:tcW w:w="3383" w:type="dxa"/>
            <w:vAlign w:val="center"/>
          </w:tcPr>
          <w:p w14:paraId="0A01E92D">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招标文件</w:t>
            </w:r>
            <w:r>
              <w:rPr>
                <w:rFonts w:hint="eastAsia" w:ascii="宋体" w:hAnsi="宋体" w:cs="宋体"/>
                <w:color w:val="auto"/>
                <w:kern w:val="0"/>
                <w:szCs w:val="21"/>
                <w:highlight w:val="none"/>
                <w:lang w:eastAsia="zh-CN"/>
              </w:rPr>
              <w:t>其他</w:t>
            </w:r>
            <w:r>
              <w:rPr>
                <w:rFonts w:hint="eastAsia" w:ascii="宋体" w:hAnsi="宋体" w:cs="宋体"/>
                <w:color w:val="auto"/>
                <w:kern w:val="0"/>
                <w:szCs w:val="21"/>
                <w:highlight w:val="none"/>
              </w:rPr>
              <w:t>实质性要求相应的材料（“▲” 系指实质性要求条款，招标文件</w:t>
            </w:r>
            <w:r>
              <w:rPr>
                <w:rFonts w:hint="eastAsia" w:ascii="宋体" w:hAnsi="宋体" w:cs="宋体"/>
                <w:color w:val="auto"/>
                <w:kern w:val="0"/>
                <w:szCs w:val="21"/>
                <w:highlight w:val="none"/>
                <w:lang w:eastAsia="zh-CN"/>
              </w:rPr>
              <w:t>无其他</w:t>
            </w:r>
            <w:r>
              <w:rPr>
                <w:rFonts w:hint="eastAsia" w:ascii="宋体" w:hAnsi="宋体" w:cs="宋体"/>
                <w:color w:val="auto"/>
                <w:kern w:val="0"/>
                <w:szCs w:val="21"/>
                <w:highlight w:val="none"/>
              </w:rPr>
              <w:t>实质性要求的，无需提供）</w:t>
            </w:r>
          </w:p>
        </w:tc>
        <w:tc>
          <w:tcPr>
            <w:tcW w:w="1963" w:type="dxa"/>
            <w:vAlign w:val="center"/>
          </w:tcPr>
          <w:p w14:paraId="3BEE074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bl>
    <w:p w14:paraId="070F4DD7">
      <w:pPr>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1581F23A">
      <w:pPr>
        <w:spacing w:line="360" w:lineRule="auto"/>
        <w:jc w:val="center"/>
        <w:rPr>
          <w:rFonts w:hint="eastAsia" w:ascii="宋体" w:hAnsi="宋体" w:cs="宋体"/>
          <w:b/>
          <w:color w:val="auto"/>
          <w:kern w:val="0"/>
          <w:szCs w:val="21"/>
          <w:highlight w:val="none"/>
        </w:rPr>
      </w:pPr>
    </w:p>
    <w:p w14:paraId="151CB581">
      <w:pPr>
        <w:spacing w:line="360" w:lineRule="auto"/>
        <w:jc w:val="center"/>
        <w:rPr>
          <w:rFonts w:hint="eastAsia" w:ascii="宋体" w:hAnsi="宋体" w:cs="宋体"/>
          <w:b/>
          <w:color w:val="auto"/>
          <w:kern w:val="0"/>
          <w:szCs w:val="21"/>
          <w:highlight w:val="none"/>
        </w:rPr>
      </w:pPr>
    </w:p>
    <w:p w14:paraId="270A3818">
      <w:pPr>
        <w:spacing w:line="360" w:lineRule="auto"/>
        <w:jc w:val="center"/>
        <w:rPr>
          <w:rFonts w:hint="eastAsia" w:ascii="宋体" w:hAnsi="宋体" w:cs="宋体"/>
          <w:b/>
          <w:color w:val="auto"/>
          <w:kern w:val="0"/>
          <w:szCs w:val="21"/>
          <w:highlight w:val="none"/>
        </w:rPr>
      </w:pPr>
    </w:p>
    <w:p w14:paraId="3907F796">
      <w:pPr>
        <w:spacing w:line="360" w:lineRule="auto"/>
        <w:jc w:val="center"/>
        <w:rPr>
          <w:rFonts w:hint="eastAsia" w:ascii="宋体" w:hAnsi="宋体" w:cs="宋体"/>
          <w:b/>
          <w:color w:val="auto"/>
          <w:kern w:val="0"/>
          <w:szCs w:val="21"/>
          <w:highlight w:val="none"/>
        </w:rPr>
      </w:pPr>
    </w:p>
    <w:p w14:paraId="6ABB834D">
      <w:pPr>
        <w:spacing w:line="360" w:lineRule="auto"/>
        <w:jc w:val="center"/>
        <w:rPr>
          <w:rFonts w:hint="eastAsia" w:ascii="宋体" w:hAnsi="宋体" w:cs="宋体"/>
          <w:b/>
          <w:color w:val="auto"/>
          <w:kern w:val="0"/>
          <w:szCs w:val="21"/>
          <w:highlight w:val="none"/>
        </w:rPr>
      </w:pPr>
    </w:p>
    <w:p w14:paraId="683358B9">
      <w:pPr>
        <w:spacing w:line="360" w:lineRule="auto"/>
        <w:jc w:val="center"/>
        <w:rPr>
          <w:rFonts w:hint="eastAsia" w:ascii="宋体" w:hAnsi="宋体" w:cs="宋体"/>
          <w:b/>
          <w:color w:val="auto"/>
          <w:kern w:val="0"/>
          <w:szCs w:val="21"/>
          <w:highlight w:val="none"/>
        </w:rPr>
      </w:pPr>
    </w:p>
    <w:p w14:paraId="41CA5685">
      <w:pPr>
        <w:spacing w:line="360" w:lineRule="auto"/>
        <w:jc w:val="center"/>
        <w:rPr>
          <w:rFonts w:hint="eastAsia" w:ascii="宋体" w:hAnsi="宋体" w:cs="宋体"/>
          <w:b/>
          <w:color w:val="auto"/>
          <w:kern w:val="0"/>
          <w:szCs w:val="21"/>
          <w:highlight w:val="none"/>
        </w:rPr>
      </w:pPr>
    </w:p>
    <w:p w14:paraId="3E60305D">
      <w:pPr>
        <w:spacing w:line="360" w:lineRule="auto"/>
        <w:jc w:val="center"/>
        <w:rPr>
          <w:rFonts w:hint="eastAsia" w:ascii="宋体" w:hAnsi="宋体" w:cs="宋体"/>
          <w:b/>
          <w:color w:val="auto"/>
          <w:kern w:val="0"/>
          <w:szCs w:val="21"/>
          <w:highlight w:val="none"/>
        </w:rPr>
      </w:pPr>
    </w:p>
    <w:p w14:paraId="5A13267C">
      <w:pPr>
        <w:spacing w:line="360" w:lineRule="auto"/>
        <w:jc w:val="center"/>
        <w:rPr>
          <w:rFonts w:hint="eastAsia" w:ascii="宋体" w:hAnsi="宋体" w:cs="宋体"/>
          <w:b/>
          <w:color w:val="auto"/>
          <w:kern w:val="0"/>
          <w:szCs w:val="21"/>
          <w:highlight w:val="none"/>
        </w:rPr>
      </w:pPr>
    </w:p>
    <w:p w14:paraId="1EE0156D">
      <w:pPr>
        <w:spacing w:line="360" w:lineRule="auto"/>
        <w:jc w:val="center"/>
        <w:rPr>
          <w:rFonts w:hint="eastAsia" w:ascii="宋体" w:hAnsi="宋体" w:cs="宋体"/>
          <w:b/>
          <w:color w:val="auto"/>
          <w:kern w:val="0"/>
          <w:szCs w:val="21"/>
          <w:highlight w:val="none"/>
        </w:rPr>
      </w:pPr>
    </w:p>
    <w:p w14:paraId="6515A8A5">
      <w:pPr>
        <w:spacing w:line="360" w:lineRule="auto"/>
        <w:jc w:val="center"/>
        <w:rPr>
          <w:rFonts w:hint="eastAsia" w:ascii="宋体" w:hAnsi="宋体" w:cs="宋体"/>
          <w:b/>
          <w:color w:val="auto"/>
          <w:kern w:val="0"/>
          <w:szCs w:val="21"/>
          <w:highlight w:val="none"/>
        </w:rPr>
      </w:pPr>
    </w:p>
    <w:p w14:paraId="2AE64D27">
      <w:pPr>
        <w:spacing w:line="360" w:lineRule="auto"/>
        <w:jc w:val="center"/>
        <w:rPr>
          <w:rFonts w:hint="eastAsia" w:ascii="宋体" w:hAnsi="宋体" w:cs="宋体"/>
          <w:b/>
          <w:color w:val="auto"/>
          <w:kern w:val="0"/>
          <w:szCs w:val="21"/>
          <w:highlight w:val="none"/>
        </w:rPr>
      </w:pPr>
    </w:p>
    <w:p w14:paraId="47DCA328">
      <w:pPr>
        <w:spacing w:line="360" w:lineRule="auto"/>
        <w:jc w:val="center"/>
        <w:rPr>
          <w:rFonts w:hint="eastAsia" w:ascii="宋体" w:hAnsi="宋体" w:cs="宋体"/>
          <w:b/>
          <w:color w:val="auto"/>
          <w:kern w:val="0"/>
          <w:szCs w:val="21"/>
          <w:highlight w:val="none"/>
        </w:rPr>
      </w:pPr>
    </w:p>
    <w:p w14:paraId="50407FDA">
      <w:pPr>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br w:type="page"/>
      </w:r>
    </w:p>
    <w:p w14:paraId="297847F1">
      <w:pPr>
        <w:pStyle w:val="4"/>
        <w:rPr>
          <w:color w:val="auto"/>
          <w:szCs w:val="21"/>
          <w:highlight w:val="none"/>
        </w:rPr>
      </w:pPr>
      <w:r>
        <w:rPr>
          <w:rFonts w:hint="eastAsia"/>
          <w:color w:val="auto"/>
          <w:szCs w:val="21"/>
          <w:highlight w:val="none"/>
        </w:rPr>
        <w:t>五、评标标准相应的商务技术资料</w:t>
      </w:r>
    </w:p>
    <w:p w14:paraId="100A297B">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（按招标文件第四部分评标办法前附表中“投标文件中评标标准相应的商务技术资料目录”提供资料。）</w:t>
      </w:r>
    </w:p>
    <w:p w14:paraId="354DCA07">
      <w:pPr>
        <w:spacing w:line="360" w:lineRule="auto"/>
        <w:jc w:val="center"/>
        <w:rPr>
          <w:rFonts w:hint="eastAsia" w:ascii="仿宋_GB2312" w:hAnsi="仿宋" w:eastAsia="仿宋_GB2312" w:cs="仿宋_GB2312"/>
          <w:b/>
          <w:color w:val="auto"/>
          <w:kern w:val="0"/>
          <w:szCs w:val="21"/>
          <w:highlight w:val="none"/>
        </w:rPr>
      </w:pPr>
    </w:p>
    <w:p w14:paraId="28FF5D6B">
      <w:pPr>
        <w:spacing w:line="360" w:lineRule="auto"/>
        <w:jc w:val="center"/>
        <w:rPr>
          <w:rFonts w:hint="eastAsia" w:ascii="仿宋_GB2312" w:hAnsi="仿宋" w:eastAsia="仿宋_GB2312" w:cs="仿宋_GB2312"/>
          <w:b/>
          <w:color w:val="auto"/>
          <w:kern w:val="0"/>
          <w:szCs w:val="21"/>
          <w:highlight w:val="none"/>
        </w:rPr>
      </w:pPr>
    </w:p>
    <w:p w14:paraId="00838C85">
      <w:pPr>
        <w:pStyle w:val="4"/>
        <w:rPr>
          <w:color w:val="auto"/>
          <w:szCs w:val="21"/>
          <w:highlight w:val="none"/>
        </w:rPr>
      </w:pPr>
      <w:r>
        <w:rPr>
          <w:rFonts w:hint="eastAsia"/>
          <w:color w:val="auto"/>
          <w:szCs w:val="21"/>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EDF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A31C5C">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877C717">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641A1DEC">
            <w:pPr>
              <w:spacing w:line="360" w:lineRule="auto"/>
              <w:jc w:val="center"/>
              <w:rPr>
                <w:rFonts w:hint="eastAsia" w:ascii="宋体" w:hAnsi="宋体" w:cs="宋体"/>
                <w:b/>
                <w:color w:val="auto"/>
                <w:szCs w:val="21"/>
                <w:highlight w:val="none"/>
              </w:rPr>
            </w:pPr>
          </w:p>
          <w:p w14:paraId="07887A00">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97FF025">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F3A1B64">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C14C077">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D1CE638">
            <w:pPr>
              <w:spacing w:line="360" w:lineRule="auto"/>
              <w:jc w:val="center"/>
              <w:rPr>
                <w:rFonts w:hint="eastAsia" w:ascii="宋体" w:hAnsi="宋体" w:cs="宋体"/>
                <w:b/>
                <w:color w:val="auto"/>
                <w:szCs w:val="21"/>
                <w:highlight w:val="none"/>
              </w:rPr>
            </w:pPr>
          </w:p>
          <w:p w14:paraId="63DEAC15">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备注（如果有）</w:t>
            </w:r>
          </w:p>
          <w:p w14:paraId="5D18218E">
            <w:pPr>
              <w:spacing w:line="360" w:lineRule="auto"/>
              <w:jc w:val="center"/>
              <w:rPr>
                <w:rFonts w:hint="eastAsia" w:ascii="宋体" w:hAnsi="宋体" w:cs="宋体"/>
                <w:b/>
                <w:color w:val="auto"/>
                <w:szCs w:val="21"/>
                <w:highlight w:val="none"/>
              </w:rPr>
            </w:pPr>
          </w:p>
        </w:tc>
      </w:tr>
      <w:tr w14:paraId="55E8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EE86F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40F5D8">
            <w:pPr>
              <w:snapToGrid w:val="0"/>
              <w:spacing w:line="360" w:lineRule="auto"/>
              <w:jc w:val="center"/>
              <w:rPr>
                <w:rFonts w:hint="eastAsia"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D10CA49">
            <w:pPr>
              <w:snapToGrid w:val="0"/>
              <w:spacing w:line="360" w:lineRule="auto"/>
              <w:jc w:val="center"/>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A4D7BCB">
            <w:pPr>
              <w:snapToGrid w:val="0"/>
              <w:spacing w:line="360" w:lineRule="auto"/>
              <w:jc w:val="center"/>
              <w:rPr>
                <w:rFonts w:hint="eastAsia"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F09EC9C">
            <w:pPr>
              <w:spacing w:line="360" w:lineRule="auto"/>
              <w:jc w:val="center"/>
              <w:rPr>
                <w:rFonts w:hint="eastAsia" w:ascii="宋体" w:hAnsi="宋体" w:cs="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018C60C">
            <w:pPr>
              <w:spacing w:line="360" w:lineRule="auto"/>
              <w:jc w:val="center"/>
              <w:rPr>
                <w:rFonts w:hint="eastAsia"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E0AD2A9">
            <w:pPr>
              <w:spacing w:line="360" w:lineRule="auto"/>
              <w:jc w:val="center"/>
              <w:rPr>
                <w:rFonts w:hint="eastAsia" w:ascii="宋体" w:hAnsi="宋体" w:cs="宋体"/>
                <w:color w:val="auto"/>
                <w:szCs w:val="21"/>
                <w:highlight w:val="none"/>
              </w:rPr>
            </w:pPr>
          </w:p>
        </w:tc>
      </w:tr>
      <w:tr w14:paraId="505D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4BE79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8AB42D9">
            <w:pPr>
              <w:snapToGrid w:val="0"/>
              <w:spacing w:line="360" w:lineRule="auto"/>
              <w:jc w:val="center"/>
              <w:rPr>
                <w:rFonts w:hint="eastAsia"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2A7F3FF">
            <w:pPr>
              <w:snapToGrid w:val="0"/>
              <w:spacing w:line="360" w:lineRule="auto"/>
              <w:jc w:val="center"/>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46F96C2">
            <w:pPr>
              <w:snapToGrid w:val="0"/>
              <w:spacing w:line="360" w:lineRule="auto"/>
              <w:jc w:val="center"/>
              <w:rPr>
                <w:rFonts w:hint="eastAsia"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084D5F1">
            <w:pPr>
              <w:spacing w:line="360" w:lineRule="auto"/>
              <w:jc w:val="center"/>
              <w:rPr>
                <w:rFonts w:hint="eastAsia" w:ascii="宋体" w:hAnsi="宋体" w:cs="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159B066">
            <w:pPr>
              <w:spacing w:line="360" w:lineRule="auto"/>
              <w:jc w:val="center"/>
              <w:rPr>
                <w:rFonts w:hint="eastAsia"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6DA05DC">
            <w:pPr>
              <w:spacing w:line="360" w:lineRule="auto"/>
              <w:jc w:val="center"/>
              <w:rPr>
                <w:rFonts w:hint="eastAsia" w:ascii="宋体" w:hAnsi="宋体" w:cs="宋体"/>
                <w:color w:val="auto"/>
                <w:szCs w:val="21"/>
                <w:highlight w:val="none"/>
              </w:rPr>
            </w:pPr>
          </w:p>
        </w:tc>
      </w:tr>
      <w:tr w14:paraId="7D16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7FB4A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82A784F">
            <w:pPr>
              <w:snapToGrid w:val="0"/>
              <w:spacing w:line="360" w:lineRule="auto"/>
              <w:jc w:val="center"/>
              <w:rPr>
                <w:rFonts w:hint="eastAsia" w:ascii="宋体" w:hAnsi="宋体" w:cs="宋体"/>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F9704F6">
            <w:pPr>
              <w:snapToGrid w:val="0"/>
              <w:spacing w:line="360" w:lineRule="auto"/>
              <w:jc w:val="center"/>
              <w:rPr>
                <w:rFonts w:hint="eastAsia" w:ascii="宋体" w:hAnsi="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B1F1CDC">
            <w:pPr>
              <w:snapToGrid w:val="0"/>
              <w:spacing w:line="360" w:lineRule="auto"/>
              <w:jc w:val="center"/>
              <w:rPr>
                <w:rFonts w:hint="eastAsia" w:ascii="宋体" w:hAnsi="宋体" w:cs="宋体"/>
                <w:color w:val="auto"/>
                <w:szCs w:val="21"/>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3300F5">
            <w:pPr>
              <w:spacing w:line="360" w:lineRule="auto"/>
              <w:jc w:val="center"/>
              <w:rPr>
                <w:rFonts w:hint="eastAsia" w:ascii="宋体" w:hAnsi="宋体" w:cs="宋体"/>
                <w:color w:val="auto"/>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38298AC">
            <w:pPr>
              <w:spacing w:line="360" w:lineRule="auto"/>
              <w:jc w:val="center"/>
              <w:rPr>
                <w:rFonts w:hint="eastAsia" w:ascii="宋体" w:hAnsi="宋体" w:cs="宋体"/>
                <w:color w:val="auto"/>
                <w:szCs w:val="21"/>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B5BF806">
            <w:pPr>
              <w:spacing w:line="360" w:lineRule="auto"/>
              <w:jc w:val="center"/>
              <w:rPr>
                <w:rFonts w:hint="eastAsia" w:ascii="宋体" w:hAnsi="宋体" w:cs="宋体"/>
                <w:color w:val="auto"/>
                <w:szCs w:val="21"/>
                <w:highlight w:val="none"/>
              </w:rPr>
            </w:pPr>
          </w:p>
        </w:tc>
      </w:tr>
    </w:tbl>
    <w:p w14:paraId="16FD1682">
      <w:pPr>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3F852EDB">
      <w:pPr>
        <w:spacing w:line="360" w:lineRule="auto"/>
        <w:jc w:val="center"/>
        <w:rPr>
          <w:rFonts w:hint="eastAsia" w:ascii="宋体" w:hAnsi="宋体" w:cs="宋体"/>
          <w:b/>
          <w:color w:val="auto"/>
          <w:kern w:val="0"/>
          <w:szCs w:val="21"/>
          <w:highlight w:val="none"/>
        </w:rPr>
      </w:pPr>
    </w:p>
    <w:p w14:paraId="2B2854B5">
      <w:pPr>
        <w:pStyle w:val="4"/>
        <w:numPr>
          <w:ilvl w:val="0"/>
          <w:numId w:val="18"/>
        </w:numPr>
        <w:rPr>
          <w:color w:val="auto"/>
          <w:szCs w:val="21"/>
          <w:highlight w:val="none"/>
        </w:rPr>
      </w:pPr>
      <w:r>
        <w:rPr>
          <w:rFonts w:hint="eastAsia"/>
          <w:color w:val="auto"/>
          <w:szCs w:val="21"/>
          <w:highlight w:val="none"/>
        </w:rPr>
        <w:t>商务技术偏离表</w:t>
      </w:r>
    </w:p>
    <w:p w14:paraId="3A7920E4">
      <w:pPr>
        <w:spacing w:line="360" w:lineRule="auto"/>
        <w:rPr>
          <w:color w:val="auto"/>
          <w:szCs w:val="21"/>
          <w:highlight w:val="none"/>
        </w:rPr>
      </w:pPr>
    </w:p>
    <w:tbl>
      <w:tblPr>
        <w:tblStyle w:val="63"/>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689"/>
        <w:gridCol w:w="3551"/>
        <w:gridCol w:w="1278"/>
      </w:tblGrid>
      <w:tr w14:paraId="2207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0" w:type="dxa"/>
          </w:tcPr>
          <w:p w14:paraId="588C51BC">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3689" w:type="dxa"/>
          </w:tcPr>
          <w:p w14:paraId="6E1ABD0B">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招标文件章节及具体内容</w:t>
            </w:r>
          </w:p>
        </w:tc>
        <w:tc>
          <w:tcPr>
            <w:tcW w:w="3551" w:type="dxa"/>
          </w:tcPr>
          <w:p w14:paraId="729BEE78">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投标文件章节及具体内容</w:t>
            </w:r>
          </w:p>
        </w:tc>
        <w:tc>
          <w:tcPr>
            <w:tcW w:w="1278" w:type="dxa"/>
          </w:tcPr>
          <w:p w14:paraId="34BB7D12">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偏离说明</w:t>
            </w:r>
          </w:p>
        </w:tc>
      </w:tr>
      <w:tr w14:paraId="6994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0" w:type="dxa"/>
          </w:tcPr>
          <w:p w14:paraId="3EC6AACB">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689" w:type="dxa"/>
          </w:tcPr>
          <w:p w14:paraId="5B0C8671">
            <w:pPr>
              <w:spacing w:line="360" w:lineRule="auto"/>
              <w:jc w:val="center"/>
              <w:rPr>
                <w:rFonts w:hint="eastAsia" w:ascii="宋体" w:hAnsi="宋体" w:cs="宋体"/>
                <w:bCs/>
                <w:color w:val="auto"/>
                <w:kern w:val="0"/>
                <w:szCs w:val="21"/>
                <w:highlight w:val="none"/>
              </w:rPr>
            </w:pPr>
          </w:p>
        </w:tc>
        <w:tc>
          <w:tcPr>
            <w:tcW w:w="3551" w:type="dxa"/>
          </w:tcPr>
          <w:p w14:paraId="181C6768">
            <w:pPr>
              <w:spacing w:line="360" w:lineRule="auto"/>
              <w:jc w:val="center"/>
              <w:rPr>
                <w:rFonts w:hint="eastAsia" w:ascii="宋体" w:hAnsi="宋体" w:cs="宋体"/>
                <w:bCs/>
                <w:color w:val="auto"/>
                <w:kern w:val="0"/>
                <w:szCs w:val="21"/>
                <w:highlight w:val="none"/>
              </w:rPr>
            </w:pPr>
          </w:p>
        </w:tc>
        <w:tc>
          <w:tcPr>
            <w:tcW w:w="1278" w:type="dxa"/>
          </w:tcPr>
          <w:p w14:paraId="02602DF5">
            <w:pPr>
              <w:spacing w:line="360" w:lineRule="auto"/>
              <w:jc w:val="center"/>
              <w:rPr>
                <w:rFonts w:hint="eastAsia" w:ascii="宋体" w:hAnsi="宋体" w:cs="宋体"/>
                <w:b/>
                <w:color w:val="auto"/>
                <w:kern w:val="0"/>
                <w:szCs w:val="21"/>
                <w:highlight w:val="none"/>
              </w:rPr>
            </w:pPr>
          </w:p>
        </w:tc>
      </w:tr>
      <w:tr w14:paraId="5C4F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0" w:type="dxa"/>
          </w:tcPr>
          <w:p w14:paraId="3A37573C">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3689" w:type="dxa"/>
          </w:tcPr>
          <w:p w14:paraId="43BB0C99">
            <w:pPr>
              <w:spacing w:line="360" w:lineRule="auto"/>
              <w:jc w:val="center"/>
              <w:rPr>
                <w:rFonts w:hint="eastAsia" w:ascii="宋体" w:hAnsi="宋体" w:cs="宋体"/>
                <w:bCs/>
                <w:color w:val="auto"/>
                <w:kern w:val="0"/>
                <w:szCs w:val="21"/>
                <w:highlight w:val="none"/>
              </w:rPr>
            </w:pPr>
          </w:p>
        </w:tc>
        <w:tc>
          <w:tcPr>
            <w:tcW w:w="3551" w:type="dxa"/>
          </w:tcPr>
          <w:p w14:paraId="273843AF">
            <w:pPr>
              <w:spacing w:line="360" w:lineRule="auto"/>
              <w:jc w:val="center"/>
              <w:rPr>
                <w:rFonts w:hint="eastAsia" w:ascii="宋体" w:hAnsi="宋体" w:cs="宋体"/>
                <w:bCs/>
                <w:color w:val="auto"/>
                <w:kern w:val="0"/>
                <w:szCs w:val="21"/>
                <w:highlight w:val="none"/>
              </w:rPr>
            </w:pPr>
          </w:p>
        </w:tc>
        <w:tc>
          <w:tcPr>
            <w:tcW w:w="1278" w:type="dxa"/>
          </w:tcPr>
          <w:p w14:paraId="6D7E1996">
            <w:pPr>
              <w:spacing w:line="360" w:lineRule="auto"/>
              <w:jc w:val="center"/>
              <w:rPr>
                <w:rFonts w:hint="eastAsia" w:ascii="宋体" w:hAnsi="宋体" w:cs="宋体"/>
                <w:b/>
                <w:color w:val="auto"/>
                <w:kern w:val="0"/>
                <w:szCs w:val="21"/>
                <w:highlight w:val="none"/>
              </w:rPr>
            </w:pPr>
          </w:p>
        </w:tc>
      </w:tr>
      <w:tr w14:paraId="6CDB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60" w:type="dxa"/>
          </w:tcPr>
          <w:p w14:paraId="0361E80C">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3689" w:type="dxa"/>
          </w:tcPr>
          <w:p w14:paraId="5B5E553A">
            <w:pPr>
              <w:spacing w:line="360" w:lineRule="auto"/>
              <w:jc w:val="center"/>
              <w:rPr>
                <w:rFonts w:hint="eastAsia" w:ascii="宋体" w:hAnsi="宋体" w:cs="宋体"/>
                <w:b/>
                <w:color w:val="auto"/>
                <w:kern w:val="0"/>
                <w:szCs w:val="21"/>
                <w:highlight w:val="none"/>
              </w:rPr>
            </w:pPr>
          </w:p>
        </w:tc>
        <w:tc>
          <w:tcPr>
            <w:tcW w:w="3551" w:type="dxa"/>
          </w:tcPr>
          <w:p w14:paraId="6F022CFD">
            <w:pPr>
              <w:spacing w:line="360" w:lineRule="auto"/>
              <w:jc w:val="center"/>
              <w:rPr>
                <w:rFonts w:hint="eastAsia" w:ascii="宋体" w:hAnsi="宋体" w:cs="宋体"/>
                <w:b/>
                <w:color w:val="auto"/>
                <w:kern w:val="0"/>
                <w:szCs w:val="21"/>
                <w:highlight w:val="none"/>
              </w:rPr>
            </w:pPr>
          </w:p>
        </w:tc>
        <w:tc>
          <w:tcPr>
            <w:tcW w:w="1278" w:type="dxa"/>
          </w:tcPr>
          <w:p w14:paraId="1CD7689E">
            <w:pPr>
              <w:spacing w:line="360" w:lineRule="auto"/>
              <w:jc w:val="center"/>
              <w:rPr>
                <w:rFonts w:hint="eastAsia" w:ascii="宋体" w:hAnsi="宋体" w:cs="宋体"/>
                <w:b/>
                <w:color w:val="auto"/>
                <w:kern w:val="0"/>
                <w:szCs w:val="21"/>
                <w:highlight w:val="none"/>
              </w:rPr>
            </w:pPr>
          </w:p>
        </w:tc>
      </w:tr>
    </w:tbl>
    <w:p w14:paraId="3B94F945">
      <w:pPr>
        <w:spacing w:line="360" w:lineRule="auto"/>
        <w:jc w:val="left"/>
        <w:rPr>
          <w:rFonts w:hint="eastAsia" w:ascii="宋体" w:hAnsi="宋体" w:cs="宋体"/>
          <w:color w:val="auto"/>
          <w:kern w:val="0"/>
          <w:szCs w:val="21"/>
          <w:highlight w:val="none"/>
        </w:rPr>
      </w:pPr>
    </w:p>
    <w:p w14:paraId="44D6975B">
      <w:pPr>
        <w:spacing w:line="360" w:lineRule="auto"/>
        <w:jc w:val="left"/>
        <w:rPr>
          <w:rFonts w:hint="eastAsia" w:ascii="宋体" w:hAnsi="宋体" w:cs="宋体"/>
          <w:color w:val="auto"/>
          <w:kern w:val="0"/>
          <w:szCs w:val="21"/>
          <w:highlight w:val="none"/>
        </w:rPr>
      </w:pPr>
      <w:r>
        <w:rPr>
          <w:rFonts w:ascii="宋体" w:hAnsi="宋体" w:cs="宋体"/>
          <w:color w:val="auto"/>
          <w:kern w:val="0"/>
          <w:szCs w:val="21"/>
          <w:highlight w:val="none"/>
        </w:rPr>
        <w:t>投标人保证：除商务技术偏离表列出的偏离外，投标人响应招标文件的全部要求。</w:t>
      </w:r>
    </w:p>
    <w:p w14:paraId="6117E6E2">
      <w:pPr>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52045A4D">
      <w:pPr>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按本格式和要求提供。</w:t>
      </w:r>
    </w:p>
    <w:p w14:paraId="05725010">
      <w:pPr>
        <w:spacing w:line="360" w:lineRule="auto"/>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ascii="宋体" w:hAnsi="宋体" w:cs="宋体"/>
          <w:b/>
          <w:bCs/>
          <w:color w:val="auto"/>
          <w:kern w:val="0"/>
          <w:szCs w:val="21"/>
          <w:highlight w:val="none"/>
        </w:rPr>
        <w:t>本章中所有带▲的内容是采购人提出的实质性要求，投标文件响应内容若不满足实质性要求，该投标文件将被评标委员会认定为无效。本章中所有带★的内容的是采购人提出的关键条款，投标人需按招标文件要求提供相应佐证材料，若未提供视为负偏离。</w:t>
      </w:r>
    </w:p>
    <w:p w14:paraId="4A2DBDB1">
      <w:pPr>
        <w:spacing w:line="360" w:lineRule="auto"/>
        <w:rPr>
          <w:rFonts w:hint="eastAsia" w:ascii="宋体" w:hAnsi="宋体" w:cs="宋体"/>
          <w:b/>
          <w:color w:val="auto"/>
          <w:kern w:val="0"/>
          <w:szCs w:val="21"/>
          <w:highlight w:val="none"/>
        </w:rPr>
      </w:pPr>
    </w:p>
    <w:p w14:paraId="4C68C974">
      <w:pPr>
        <w:spacing w:line="360" w:lineRule="auto"/>
        <w:ind w:firstLine="2178" w:firstLineChars="1033"/>
        <w:rPr>
          <w:rFonts w:hint="eastAsia" w:ascii="宋体" w:hAnsi="宋体" w:cs="宋体"/>
          <w:b/>
          <w:color w:val="auto"/>
          <w:kern w:val="0"/>
          <w:szCs w:val="21"/>
          <w:highlight w:val="none"/>
        </w:rPr>
      </w:pPr>
    </w:p>
    <w:p w14:paraId="6D7D3C44">
      <w:pPr>
        <w:spacing w:line="360" w:lineRule="auto"/>
        <w:rPr>
          <w:color w:val="auto"/>
          <w:szCs w:val="21"/>
          <w:highlight w:val="none"/>
        </w:rPr>
      </w:pPr>
      <w:r>
        <w:rPr>
          <w:rFonts w:hint="eastAsia"/>
          <w:color w:val="auto"/>
          <w:szCs w:val="21"/>
          <w:highlight w:val="none"/>
        </w:rPr>
        <w:br w:type="page"/>
      </w:r>
    </w:p>
    <w:p w14:paraId="5AAA7F58">
      <w:pPr>
        <w:pStyle w:val="4"/>
        <w:rPr>
          <w:color w:val="auto"/>
          <w:szCs w:val="21"/>
          <w:highlight w:val="none"/>
        </w:rPr>
      </w:pPr>
      <w:r>
        <w:rPr>
          <w:rFonts w:hint="eastAsia"/>
          <w:color w:val="auto"/>
          <w:szCs w:val="21"/>
          <w:highlight w:val="none"/>
        </w:rPr>
        <w:t>八、</w:t>
      </w:r>
      <w:r>
        <w:rPr>
          <w:rFonts w:hint="eastAsia"/>
          <w:color w:val="auto"/>
          <w:szCs w:val="21"/>
          <w:highlight w:val="none"/>
          <w:lang w:val="zh-CN"/>
        </w:rPr>
        <w:t>政府采购供应商廉洁自律承诺书</w:t>
      </w:r>
    </w:p>
    <w:p w14:paraId="5580E829">
      <w:pPr>
        <w:snapToGrid w:val="0"/>
        <w:spacing w:line="360" w:lineRule="auto"/>
        <w:jc w:val="center"/>
        <w:rPr>
          <w:b/>
          <w:bCs/>
          <w:color w:val="auto"/>
          <w:szCs w:val="21"/>
          <w:highlight w:val="none"/>
          <w:lang w:val="zh-CN"/>
        </w:rPr>
      </w:pPr>
    </w:p>
    <w:p w14:paraId="53BFC823">
      <w:pPr>
        <w:snapToGrid w:val="0"/>
        <w:spacing w:line="360" w:lineRule="auto"/>
        <w:jc w:val="center"/>
        <w:rPr>
          <w:b/>
          <w:bCs/>
          <w:color w:val="auto"/>
          <w:szCs w:val="21"/>
          <w:highlight w:val="none"/>
          <w:lang w:val="zh-CN"/>
        </w:rPr>
      </w:pPr>
      <w:r>
        <w:rPr>
          <w:rFonts w:hint="eastAsia"/>
          <w:b/>
          <w:bCs/>
          <w:color w:val="auto"/>
          <w:szCs w:val="21"/>
          <w:highlight w:val="none"/>
          <w:lang w:val="zh-CN"/>
        </w:rPr>
        <w:t>政府采购供应商廉洁自律承诺书</w:t>
      </w:r>
    </w:p>
    <w:p w14:paraId="7D2AB22C">
      <w:pPr>
        <w:spacing w:line="360" w:lineRule="auto"/>
        <w:rPr>
          <w:color w:val="auto"/>
          <w:szCs w:val="21"/>
          <w:highlight w:val="none"/>
        </w:rPr>
      </w:pPr>
    </w:p>
    <w:p w14:paraId="36774F0A">
      <w:pPr>
        <w:snapToGrid w:val="0"/>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杭州市余杭区数据资源管理局、浙江省成套招标代理有限公司</w:t>
      </w:r>
      <w:r>
        <w:rPr>
          <w:rFonts w:hint="eastAsia" w:ascii="宋体" w:hAnsi="宋体" w:cs="宋体"/>
          <w:color w:val="auto"/>
          <w:kern w:val="0"/>
          <w:szCs w:val="21"/>
          <w:highlight w:val="none"/>
          <w:lang w:val="zh-CN"/>
        </w:rPr>
        <w:t>：</w:t>
      </w:r>
    </w:p>
    <w:p w14:paraId="32B97E69">
      <w:pPr>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我单位响应你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项目招标要求参加投标。在这次投标过程中和中标后，我们将严格遵守国家法律法规要求，并郑重承诺：</w:t>
      </w:r>
    </w:p>
    <w:p w14:paraId="31EBF585">
      <w:pPr>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一、不向项目有关人员及部门赠送礼金礼物、有价证券、回扣以及中介费、介绍费、咨询费等好处费； </w:t>
      </w:r>
    </w:p>
    <w:p w14:paraId="2008B862">
      <w:pPr>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二、不为项目有关人员及部门报销应由你方单位或个人支付的费用； </w:t>
      </w:r>
    </w:p>
    <w:p w14:paraId="4FC7F88D">
      <w:pPr>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三、不向项目有关人员及部门提供有可能影响公正的宴请和健身娱乐等活动； </w:t>
      </w:r>
    </w:p>
    <w:p w14:paraId="6151366A">
      <w:pPr>
        <w:autoSpaceDE w:val="0"/>
        <w:autoSpaceDN w:val="0"/>
        <w:spacing w:line="360" w:lineRule="auto"/>
        <w:ind w:left="2" w:leftChars="1"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四、不为项目有关人员及部门出国（境）、旅游等提供方便；</w:t>
      </w:r>
    </w:p>
    <w:p w14:paraId="3A6575FA">
      <w:pPr>
        <w:autoSpaceDE w:val="0"/>
        <w:autoSpaceDN w:val="0"/>
        <w:spacing w:line="360" w:lineRule="auto"/>
        <w:ind w:left="481" w:leftChars="229"/>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五、不为项目有关人员个人装修住房、婚丧嫁娶、配偶子女工作安排等提供</w:t>
      </w:r>
    </w:p>
    <w:p w14:paraId="54F29C8E">
      <w:pPr>
        <w:autoSpaceDE w:val="0"/>
        <w:autoSpaceDN w:val="0"/>
        <w:spacing w:line="360" w:lineRule="auto"/>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好处；</w:t>
      </w:r>
    </w:p>
    <w:p w14:paraId="448DB0F4">
      <w:pPr>
        <w:autoSpaceDE w:val="0"/>
        <w:autoSpaceDN w:val="0"/>
        <w:spacing w:line="360" w:lineRule="auto"/>
        <w:ind w:left="481" w:leftChars="229"/>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六、严格遵守《</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政府采购法》《</w:t>
      </w:r>
      <w:r>
        <w:rPr>
          <w:rFonts w:hint="eastAsia" w:ascii="宋体" w:hAnsi="宋体" w:cs="宋体"/>
          <w:color w:val="auto"/>
          <w:szCs w:val="21"/>
          <w:highlight w:val="none"/>
          <w:lang w:val="zh-CN"/>
        </w:rPr>
        <w:t>中华人民共和国</w:t>
      </w:r>
      <w:r>
        <w:rPr>
          <w:rFonts w:hint="eastAsia" w:ascii="宋体" w:hAnsi="宋体" w:cs="宋体"/>
          <w:color w:val="auto"/>
          <w:kern w:val="0"/>
          <w:szCs w:val="21"/>
          <w:highlight w:val="none"/>
          <w:lang w:val="zh-CN"/>
        </w:rPr>
        <w:t>招标投标法》</w:t>
      </w:r>
      <w:r>
        <w:rPr>
          <w:rFonts w:hint="eastAsia" w:ascii="宋体" w:hAnsi="宋体" w:cs="宋体"/>
          <w:color w:val="auto"/>
          <w:szCs w:val="21"/>
          <w:highlight w:val="none"/>
          <w:lang w:val="zh-CN"/>
        </w:rPr>
        <w:t>《中华人民共和国民法典》</w:t>
      </w:r>
      <w:r>
        <w:rPr>
          <w:rFonts w:hint="eastAsia" w:ascii="宋体" w:hAnsi="宋体" w:cs="宋体"/>
          <w:color w:val="auto"/>
          <w:kern w:val="0"/>
          <w:szCs w:val="21"/>
          <w:highlight w:val="none"/>
          <w:lang w:val="zh-CN"/>
        </w:rPr>
        <w:t xml:space="preserve">等法律法规，诚实守信，合法经营，坚决抵制各种违法违纪行为。 </w:t>
      </w:r>
    </w:p>
    <w:p w14:paraId="7F02AACB">
      <w:pPr>
        <w:autoSpaceDE w:val="0"/>
        <w:autoSpaceDN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如违反上述承诺，你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有权立即取消我单位投标、中标或在建项目的建设资格，有权拒绝我单位在一定时期内进入你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进行项目建设或其他经营活动，并通报</w:t>
      </w:r>
      <w:r>
        <w:rPr>
          <w:rFonts w:hint="eastAsia" w:ascii="宋体" w:hAnsi="宋体" w:cs="宋体"/>
          <w:color w:val="auto"/>
          <w:kern w:val="0"/>
          <w:szCs w:val="21"/>
          <w:highlight w:val="none"/>
        </w:rPr>
        <w:t>省财政厅</w:t>
      </w:r>
      <w:r>
        <w:rPr>
          <w:rFonts w:hint="eastAsia" w:ascii="宋体" w:hAnsi="宋体" w:cs="宋体"/>
          <w:color w:val="auto"/>
          <w:kern w:val="0"/>
          <w:szCs w:val="21"/>
          <w:highlight w:val="none"/>
          <w:lang w:val="zh-CN"/>
        </w:rPr>
        <w:t>。由此引起的相应损失均由我单位承担。</w:t>
      </w:r>
    </w:p>
    <w:p w14:paraId="52613756">
      <w:pPr>
        <w:autoSpaceDE w:val="0"/>
        <w:autoSpaceDN w:val="0"/>
        <w:spacing w:line="360" w:lineRule="auto"/>
        <w:ind w:left="2" w:leftChars="1" w:right="1120" w:firstLine="4620" w:firstLineChars="2200"/>
        <w:jc w:val="left"/>
        <w:rPr>
          <w:rFonts w:hint="eastAsia" w:ascii="宋体" w:hAnsi="宋体" w:cs="宋体"/>
          <w:color w:val="auto"/>
          <w:kern w:val="0"/>
          <w:szCs w:val="21"/>
          <w:highlight w:val="none"/>
          <w:lang w:val="zh-CN"/>
        </w:rPr>
      </w:pPr>
    </w:p>
    <w:p w14:paraId="251F5679">
      <w:pPr>
        <w:autoSpaceDE w:val="0"/>
        <w:autoSpaceDN w:val="0"/>
        <w:spacing w:line="360" w:lineRule="auto"/>
        <w:ind w:left="2" w:leftChars="1" w:right="1120" w:firstLine="4620" w:firstLineChars="2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w:t>
      </w:r>
      <w:r>
        <w:rPr>
          <w:rFonts w:hint="eastAsia" w:ascii="宋体" w:hAnsi="宋体" w:cs="宋体"/>
          <w:color w:val="auto"/>
          <w:szCs w:val="21"/>
          <w:highlight w:val="none"/>
        </w:rPr>
        <w:t>电子签名</w:t>
      </w:r>
      <w:r>
        <w:rPr>
          <w:rFonts w:hint="eastAsia" w:ascii="宋体" w:hAnsi="宋体" w:cs="宋体"/>
          <w:color w:val="auto"/>
          <w:kern w:val="0"/>
          <w:szCs w:val="21"/>
          <w:highlight w:val="none"/>
          <w:lang w:val="zh-CN"/>
        </w:rPr>
        <w:t xml:space="preserve">）：                   </w:t>
      </w:r>
    </w:p>
    <w:p w14:paraId="06EDEB1A">
      <w:pPr>
        <w:spacing w:line="360" w:lineRule="auto"/>
        <w:ind w:left="4620" w:leftChars="2200"/>
        <w:rPr>
          <w:rFonts w:hint="eastAsia" w:ascii="宋体" w:hAnsi="宋体" w:cs="宋体"/>
          <w:color w:val="auto"/>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14:paraId="51511BCE">
      <w:pPr>
        <w:spacing w:line="360" w:lineRule="auto"/>
        <w:jc w:val="center"/>
        <w:rPr>
          <w:rFonts w:hint="eastAsia" w:ascii="宋体" w:hAnsi="宋体" w:cs="宋体"/>
          <w:b/>
          <w:bCs/>
          <w:color w:val="auto"/>
          <w:szCs w:val="21"/>
          <w:highlight w:val="none"/>
        </w:rPr>
      </w:pPr>
    </w:p>
    <w:p w14:paraId="19F69CBB">
      <w:pPr>
        <w:spacing w:line="360" w:lineRule="auto"/>
        <w:jc w:val="center"/>
        <w:rPr>
          <w:rFonts w:hint="eastAsia" w:ascii="宋体" w:hAnsi="宋体" w:cs="宋体"/>
          <w:b/>
          <w:bCs/>
          <w:color w:val="auto"/>
          <w:szCs w:val="21"/>
          <w:highlight w:val="none"/>
        </w:rPr>
        <w:sectPr>
          <w:footerReference r:id="rId12" w:type="first"/>
          <w:footerReference r:id="rId11" w:type="default"/>
          <w:pgSz w:w="11906" w:h="16838"/>
          <w:pgMar w:top="680" w:right="1418" w:bottom="471" w:left="1418" w:header="851" w:footer="992" w:gutter="0"/>
          <w:cols w:space="720" w:num="1"/>
          <w:titlePg/>
          <w:docGrid w:linePitch="312" w:charSpace="0"/>
        </w:sectPr>
      </w:pPr>
    </w:p>
    <w:p w14:paraId="28BFBF97">
      <w:pPr>
        <w:pStyle w:val="3"/>
        <w:jc w:val="center"/>
        <w:rPr>
          <w:rFonts w:hint="eastAsia"/>
          <w:color w:val="auto"/>
          <w:szCs w:val="21"/>
          <w:highlight w:val="none"/>
        </w:rPr>
      </w:pPr>
      <w:r>
        <w:rPr>
          <w:rFonts w:hint="eastAsia"/>
          <w:color w:val="auto"/>
          <w:szCs w:val="21"/>
          <w:highlight w:val="none"/>
        </w:rPr>
        <w:t>报价文件部分</w:t>
      </w:r>
    </w:p>
    <w:p w14:paraId="26B42787">
      <w:pPr>
        <w:spacing w:line="360" w:lineRule="auto"/>
        <w:rPr>
          <w:color w:val="auto"/>
          <w:szCs w:val="21"/>
          <w:highlight w:val="none"/>
        </w:rPr>
      </w:pPr>
    </w:p>
    <w:p w14:paraId="200D0D78">
      <w:pPr>
        <w:spacing w:line="360" w:lineRule="auto"/>
        <w:jc w:val="center"/>
        <w:outlineLvl w:val="2"/>
        <w:rPr>
          <w:rFonts w:hint="eastAsia" w:ascii="宋体" w:hAnsi="宋体" w:cs="宋体"/>
          <w:b/>
          <w:color w:val="auto"/>
          <w:kern w:val="0"/>
          <w:szCs w:val="21"/>
          <w:highlight w:val="none"/>
        </w:rPr>
      </w:pPr>
      <w:r>
        <w:rPr>
          <w:rFonts w:hint="eastAsia" w:ascii="宋体" w:hAnsi="宋体" w:cs="宋体"/>
          <w:b/>
          <w:color w:val="auto"/>
          <w:kern w:val="0"/>
          <w:szCs w:val="21"/>
          <w:highlight w:val="none"/>
        </w:rPr>
        <w:t>目录</w:t>
      </w:r>
    </w:p>
    <w:p w14:paraId="3B4CB988">
      <w:pPr>
        <w:spacing w:line="360" w:lineRule="auto"/>
        <w:jc w:val="center"/>
        <w:rPr>
          <w:rFonts w:hint="eastAsia" w:ascii="宋体" w:hAnsi="宋体" w:cs="宋体"/>
          <w:b/>
          <w:color w:val="auto"/>
          <w:kern w:val="0"/>
          <w:szCs w:val="21"/>
          <w:highlight w:val="none"/>
        </w:rPr>
      </w:pPr>
    </w:p>
    <w:p w14:paraId="3354866A">
      <w:pPr>
        <w:numPr>
          <w:ilvl w:val="0"/>
          <w:numId w:val="19"/>
        </w:num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开标一览表（报价表）…………………………………………………………（页码）</w:t>
      </w:r>
    </w:p>
    <w:p w14:paraId="08BA9909">
      <w:pPr>
        <w:numPr>
          <w:ilvl w:val="0"/>
          <w:numId w:val="19"/>
        </w:num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报价情况说明（若有）………………………………………………………（页码）</w:t>
      </w:r>
    </w:p>
    <w:p w14:paraId="2A09969A">
      <w:pPr>
        <w:numPr>
          <w:ilvl w:val="255"/>
          <w:numId w:val="0"/>
        </w:numPr>
        <w:snapToGrid w:val="0"/>
        <w:spacing w:line="360" w:lineRule="auto"/>
        <w:rPr>
          <w:rFonts w:hint="eastAsia" w:ascii="宋体" w:hAnsi="宋体" w:cs="宋体"/>
          <w:color w:val="auto"/>
          <w:szCs w:val="21"/>
          <w:highlight w:val="none"/>
        </w:rPr>
      </w:pPr>
    </w:p>
    <w:p w14:paraId="7F78BBA9">
      <w:pPr>
        <w:spacing w:line="360" w:lineRule="auto"/>
        <w:rPr>
          <w:color w:val="auto"/>
          <w:szCs w:val="21"/>
          <w:highlight w:val="none"/>
        </w:rPr>
      </w:pPr>
    </w:p>
    <w:p w14:paraId="22E54909">
      <w:pPr>
        <w:snapToGrid w:val="0"/>
        <w:spacing w:line="360" w:lineRule="auto"/>
        <w:ind w:right="480"/>
        <w:jc w:val="center"/>
        <w:rPr>
          <w:rFonts w:hint="eastAsia" w:ascii="宋体" w:hAnsi="宋体" w:cs="宋体"/>
          <w:b/>
          <w:color w:val="auto"/>
          <w:kern w:val="0"/>
          <w:szCs w:val="21"/>
          <w:highlight w:val="none"/>
        </w:rPr>
      </w:pPr>
    </w:p>
    <w:p w14:paraId="2242A1FC">
      <w:pPr>
        <w:snapToGrid w:val="0"/>
        <w:spacing w:line="360" w:lineRule="auto"/>
        <w:ind w:right="480"/>
        <w:jc w:val="center"/>
        <w:rPr>
          <w:rFonts w:hint="eastAsia" w:ascii="宋体" w:hAnsi="宋体" w:cs="宋体"/>
          <w:b/>
          <w:color w:val="auto"/>
          <w:kern w:val="0"/>
          <w:szCs w:val="21"/>
          <w:highlight w:val="none"/>
        </w:rPr>
      </w:pPr>
    </w:p>
    <w:p w14:paraId="1CD8485B">
      <w:pPr>
        <w:snapToGrid w:val="0"/>
        <w:spacing w:line="360" w:lineRule="auto"/>
        <w:ind w:right="480"/>
        <w:jc w:val="center"/>
        <w:rPr>
          <w:rFonts w:hint="eastAsia" w:ascii="宋体" w:hAnsi="宋体" w:cs="宋体"/>
          <w:b/>
          <w:color w:val="auto"/>
          <w:kern w:val="0"/>
          <w:szCs w:val="21"/>
          <w:highlight w:val="none"/>
        </w:rPr>
      </w:pPr>
    </w:p>
    <w:p w14:paraId="1ED43880">
      <w:pPr>
        <w:snapToGrid w:val="0"/>
        <w:spacing w:line="360" w:lineRule="auto"/>
        <w:ind w:right="480"/>
        <w:jc w:val="center"/>
        <w:rPr>
          <w:rFonts w:hint="eastAsia" w:ascii="宋体" w:hAnsi="宋体" w:cs="宋体"/>
          <w:b/>
          <w:color w:val="auto"/>
          <w:kern w:val="0"/>
          <w:szCs w:val="21"/>
          <w:highlight w:val="none"/>
        </w:rPr>
      </w:pPr>
    </w:p>
    <w:p w14:paraId="67132E08">
      <w:pPr>
        <w:snapToGrid w:val="0"/>
        <w:spacing w:line="360" w:lineRule="auto"/>
        <w:ind w:right="480"/>
        <w:jc w:val="center"/>
        <w:rPr>
          <w:rFonts w:hint="eastAsia" w:ascii="宋体" w:hAnsi="宋体" w:cs="宋体"/>
          <w:b/>
          <w:color w:val="auto"/>
          <w:kern w:val="0"/>
          <w:szCs w:val="21"/>
          <w:highlight w:val="none"/>
        </w:rPr>
      </w:pPr>
    </w:p>
    <w:p w14:paraId="05E7DA40">
      <w:pPr>
        <w:snapToGrid w:val="0"/>
        <w:spacing w:line="360" w:lineRule="auto"/>
        <w:ind w:right="480"/>
        <w:jc w:val="center"/>
        <w:rPr>
          <w:rFonts w:hint="eastAsia" w:ascii="宋体" w:hAnsi="宋体" w:cs="宋体"/>
          <w:b/>
          <w:color w:val="auto"/>
          <w:kern w:val="0"/>
          <w:szCs w:val="21"/>
          <w:highlight w:val="none"/>
        </w:rPr>
      </w:pPr>
    </w:p>
    <w:p w14:paraId="19677BDD">
      <w:pPr>
        <w:snapToGrid w:val="0"/>
        <w:spacing w:line="360" w:lineRule="auto"/>
        <w:ind w:right="480"/>
        <w:jc w:val="center"/>
        <w:rPr>
          <w:rFonts w:hint="eastAsia" w:ascii="宋体" w:hAnsi="宋体" w:cs="宋体"/>
          <w:b/>
          <w:color w:val="auto"/>
          <w:kern w:val="0"/>
          <w:szCs w:val="21"/>
          <w:highlight w:val="none"/>
        </w:rPr>
      </w:pPr>
    </w:p>
    <w:p w14:paraId="27157A6F">
      <w:pPr>
        <w:snapToGrid w:val="0"/>
        <w:spacing w:line="360" w:lineRule="auto"/>
        <w:ind w:right="480"/>
        <w:jc w:val="center"/>
        <w:rPr>
          <w:rFonts w:hint="eastAsia" w:ascii="宋体" w:hAnsi="宋体" w:cs="宋体"/>
          <w:b/>
          <w:color w:val="auto"/>
          <w:kern w:val="0"/>
          <w:szCs w:val="21"/>
          <w:highlight w:val="none"/>
        </w:rPr>
      </w:pPr>
    </w:p>
    <w:p w14:paraId="5E0DADA4">
      <w:pPr>
        <w:snapToGrid w:val="0"/>
        <w:spacing w:line="360" w:lineRule="auto"/>
        <w:ind w:right="480"/>
        <w:jc w:val="center"/>
        <w:rPr>
          <w:rFonts w:hint="eastAsia" w:ascii="宋体" w:hAnsi="宋体" w:cs="宋体"/>
          <w:b/>
          <w:color w:val="auto"/>
          <w:kern w:val="0"/>
          <w:szCs w:val="21"/>
          <w:highlight w:val="none"/>
        </w:rPr>
      </w:pPr>
    </w:p>
    <w:p w14:paraId="1844AC92">
      <w:pPr>
        <w:snapToGrid w:val="0"/>
        <w:spacing w:line="360" w:lineRule="auto"/>
        <w:ind w:right="480"/>
        <w:jc w:val="center"/>
        <w:rPr>
          <w:rFonts w:hint="eastAsia" w:ascii="宋体" w:hAnsi="宋体" w:cs="宋体"/>
          <w:b/>
          <w:color w:val="auto"/>
          <w:kern w:val="0"/>
          <w:szCs w:val="21"/>
          <w:highlight w:val="none"/>
        </w:rPr>
      </w:pPr>
    </w:p>
    <w:p w14:paraId="33153E6C">
      <w:pPr>
        <w:snapToGrid w:val="0"/>
        <w:spacing w:line="360" w:lineRule="auto"/>
        <w:ind w:right="480"/>
        <w:jc w:val="center"/>
        <w:rPr>
          <w:rFonts w:hint="eastAsia" w:ascii="宋体" w:hAnsi="宋体" w:cs="宋体"/>
          <w:b/>
          <w:color w:val="auto"/>
          <w:kern w:val="0"/>
          <w:szCs w:val="21"/>
          <w:highlight w:val="none"/>
        </w:rPr>
      </w:pPr>
    </w:p>
    <w:p w14:paraId="17869503">
      <w:pPr>
        <w:snapToGrid w:val="0"/>
        <w:spacing w:line="360" w:lineRule="auto"/>
        <w:ind w:right="480"/>
        <w:jc w:val="center"/>
        <w:rPr>
          <w:rFonts w:hint="eastAsia" w:ascii="宋体" w:hAnsi="宋体" w:cs="宋体"/>
          <w:b/>
          <w:color w:val="auto"/>
          <w:kern w:val="0"/>
          <w:szCs w:val="21"/>
          <w:highlight w:val="none"/>
        </w:rPr>
      </w:pPr>
    </w:p>
    <w:p w14:paraId="3DB4CFE5">
      <w:pPr>
        <w:snapToGrid w:val="0"/>
        <w:spacing w:line="360" w:lineRule="auto"/>
        <w:ind w:right="480"/>
        <w:jc w:val="center"/>
        <w:rPr>
          <w:rFonts w:hint="eastAsia" w:ascii="宋体" w:hAnsi="宋体" w:cs="宋体"/>
          <w:b/>
          <w:color w:val="auto"/>
          <w:kern w:val="0"/>
          <w:szCs w:val="21"/>
          <w:highlight w:val="none"/>
        </w:rPr>
      </w:pPr>
    </w:p>
    <w:p w14:paraId="0F2014FC">
      <w:pPr>
        <w:snapToGrid w:val="0"/>
        <w:spacing w:line="360" w:lineRule="auto"/>
        <w:ind w:right="480"/>
        <w:jc w:val="center"/>
        <w:rPr>
          <w:rFonts w:hint="eastAsia" w:ascii="宋体" w:hAnsi="宋体" w:cs="宋体"/>
          <w:b/>
          <w:color w:val="auto"/>
          <w:kern w:val="0"/>
          <w:szCs w:val="21"/>
          <w:highlight w:val="none"/>
        </w:rPr>
      </w:pPr>
    </w:p>
    <w:p w14:paraId="1488987F">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21"/>
          <w:szCs w:val="21"/>
          <w:highlight w:val="none"/>
        </w:rPr>
        <w:sectPr>
          <w:footerReference r:id="rId15" w:type="first"/>
          <w:headerReference r:id="rId13" w:type="default"/>
          <w:footerReference r:id="rId14" w:type="default"/>
          <w:pgSz w:w="11906" w:h="16838"/>
          <w:pgMar w:top="1276" w:right="1418" w:bottom="1247" w:left="1418" w:header="851" w:footer="992" w:gutter="0"/>
          <w:cols w:space="720" w:num="1"/>
          <w:titlePg/>
          <w:docGrid w:linePitch="312" w:charSpace="0"/>
        </w:sectPr>
      </w:pPr>
    </w:p>
    <w:p w14:paraId="5DD00E8D">
      <w:pPr>
        <w:pStyle w:val="4"/>
        <w:rPr>
          <w:color w:val="auto"/>
          <w:szCs w:val="21"/>
          <w:highlight w:val="none"/>
        </w:rPr>
      </w:pPr>
      <w:r>
        <w:rPr>
          <w:rFonts w:hint="eastAsia"/>
          <w:color w:val="auto"/>
          <w:szCs w:val="21"/>
          <w:highlight w:val="none"/>
        </w:rPr>
        <w:t>一、开标一览表（报价表）</w:t>
      </w:r>
    </w:p>
    <w:p w14:paraId="5CE54243">
      <w:pPr>
        <w:snapToGrid w:val="0"/>
        <w:spacing w:line="360" w:lineRule="auto"/>
        <w:rPr>
          <w:rFonts w:hint="eastAsia" w:ascii="宋体" w:hAnsi="宋体" w:cs="宋体"/>
          <w:color w:val="auto"/>
          <w:kern w:val="0"/>
          <w:szCs w:val="21"/>
          <w:highlight w:val="none"/>
        </w:rPr>
      </w:pPr>
      <w:r>
        <w:rPr>
          <w:rFonts w:hint="eastAsia" w:ascii="宋体" w:hAnsi="宋体" w:cs="宋体"/>
          <w:color w:val="auto"/>
          <w:szCs w:val="21"/>
          <w:highlight w:val="none"/>
        </w:rPr>
        <w:t>杭州市余杭区数据资源管理局、浙江省成套招标代理有限公司</w:t>
      </w:r>
      <w:r>
        <w:rPr>
          <w:rFonts w:hint="eastAsia" w:ascii="宋体" w:hAnsi="宋体" w:cs="宋体"/>
          <w:color w:val="auto"/>
          <w:kern w:val="0"/>
          <w:szCs w:val="21"/>
          <w:highlight w:val="none"/>
          <w:lang w:val="zh-CN"/>
        </w:rPr>
        <w:t>：</w:t>
      </w:r>
    </w:p>
    <w:p w14:paraId="693B8A0D">
      <w:pPr>
        <w:snapToGrid w:val="0"/>
        <w:spacing w:line="360" w:lineRule="auto"/>
        <w:ind w:firstLine="482"/>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rPr>
        <w:t>余杭区政务云平台项目</w:t>
      </w:r>
      <w:r>
        <w:rPr>
          <w:rFonts w:hint="eastAsia" w:ascii="宋体" w:hAnsi="宋体" w:cs="宋体"/>
          <w:color w:val="auto"/>
          <w:kern w:val="0"/>
          <w:szCs w:val="21"/>
          <w:highlight w:val="none"/>
          <w:lang w:val="zh-CN"/>
        </w:rPr>
        <w:t>【招标编号：</w:t>
      </w:r>
      <w:r>
        <w:rPr>
          <w:rFonts w:hint="eastAsia" w:ascii="宋体" w:hAnsi="宋体" w:cs="宋体"/>
          <w:color w:val="auto"/>
          <w:szCs w:val="21"/>
          <w:highlight w:val="none"/>
          <w:lang w:eastAsia="zh-CN"/>
        </w:rPr>
        <w:t>CTZB-2024120045</w:t>
      </w:r>
      <w:r>
        <w:rPr>
          <w:rFonts w:hint="eastAsia" w:ascii="宋体" w:hAnsi="宋体" w:cs="宋体"/>
          <w:color w:val="auto"/>
          <w:szCs w:val="21"/>
          <w:highlight w:val="none"/>
        </w:rPr>
        <w:t>】的实施</w:t>
      </w:r>
      <w:r>
        <w:rPr>
          <w:rFonts w:hint="eastAsia" w:ascii="宋体" w:hAnsi="宋体" w:cs="宋体"/>
          <w:color w:val="auto"/>
          <w:kern w:val="0"/>
          <w:szCs w:val="21"/>
          <w:highlight w:val="none"/>
          <w:lang w:val="zh-CN"/>
        </w:rPr>
        <w:t>。</w:t>
      </w:r>
    </w:p>
    <w:p w14:paraId="6D64BE60">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lang w:val="zh-CN"/>
        </w:rPr>
        <w:t>开标一览表（报价表）（单位均为人民币元）</w:t>
      </w:r>
    </w:p>
    <w:tbl>
      <w:tblPr>
        <w:tblStyle w:val="62"/>
        <w:tblW w:w="14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784"/>
        <w:gridCol w:w="3704"/>
        <w:gridCol w:w="4809"/>
        <w:gridCol w:w="1687"/>
      </w:tblGrid>
      <w:tr w14:paraId="7976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1241" w:type="dxa"/>
            <w:vAlign w:val="center"/>
          </w:tcPr>
          <w:p w14:paraId="1CCC44A5">
            <w:pPr>
              <w:spacing w:line="360" w:lineRule="auto"/>
              <w:jc w:val="center"/>
              <w:rPr>
                <w:rFonts w:hint="eastAsia" w:ascii="宋体" w:hAnsi="宋体" w:cs="宋体"/>
                <w:b/>
                <w:bCs/>
                <w:color w:val="auto"/>
                <w:szCs w:val="21"/>
                <w:highlight w:val="none"/>
              </w:rPr>
            </w:pPr>
            <w:bookmarkStart w:id="567" w:name="_Toc6523"/>
            <w:r>
              <w:rPr>
                <w:rFonts w:hint="eastAsia" w:ascii="宋体" w:hAnsi="宋体" w:cs="宋体"/>
                <w:b/>
                <w:bCs/>
                <w:color w:val="auto"/>
                <w:szCs w:val="21"/>
                <w:highlight w:val="none"/>
              </w:rPr>
              <w:t>序号</w:t>
            </w:r>
            <w:bookmarkEnd w:id="567"/>
          </w:p>
        </w:tc>
        <w:tc>
          <w:tcPr>
            <w:tcW w:w="2784" w:type="dxa"/>
            <w:vAlign w:val="center"/>
          </w:tcPr>
          <w:p w14:paraId="7BB71FE6">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项目</w:t>
            </w:r>
            <w:r>
              <w:rPr>
                <w:rFonts w:hint="eastAsia" w:ascii="宋体" w:hAnsi="宋体" w:cs="宋体"/>
                <w:b/>
                <w:bCs/>
                <w:color w:val="auto"/>
                <w:szCs w:val="21"/>
                <w:highlight w:val="none"/>
              </w:rPr>
              <w:t>名称</w:t>
            </w:r>
          </w:p>
        </w:tc>
        <w:tc>
          <w:tcPr>
            <w:tcW w:w="3704" w:type="dxa"/>
            <w:vAlign w:val="center"/>
          </w:tcPr>
          <w:p w14:paraId="7495E7BD">
            <w:pPr>
              <w:spacing w:line="360" w:lineRule="auto"/>
              <w:jc w:val="center"/>
              <w:rPr>
                <w:rFonts w:hint="eastAsia" w:ascii="宋体" w:hAnsi="宋体" w:cs="宋体"/>
                <w:b/>
                <w:bCs/>
                <w:color w:val="auto"/>
                <w:szCs w:val="21"/>
                <w:highlight w:val="none"/>
              </w:rPr>
            </w:pPr>
            <w:bookmarkStart w:id="568" w:name="_Toc13614"/>
            <w:r>
              <w:rPr>
                <w:rFonts w:hint="eastAsia" w:ascii="宋体" w:hAnsi="宋体" w:cs="宋体"/>
                <w:b/>
                <w:bCs/>
                <w:color w:val="auto"/>
                <w:szCs w:val="21"/>
                <w:highlight w:val="none"/>
              </w:rPr>
              <w:t>投标</w:t>
            </w:r>
            <w:bookmarkEnd w:id="568"/>
            <w:r>
              <w:rPr>
                <w:rFonts w:hint="eastAsia" w:ascii="宋体" w:hAnsi="宋体" w:cs="宋体"/>
                <w:b/>
                <w:bCs/>
                <w:color w:val="auto"/>
                <w:szCs w:val="21"/>
                <w:highlight w:val="none"/>
              </w:rPr>
              <w:t>费率</w:t>
            </w:r>
          </w:p>
        </w:tc>
        <w:tc>
          <w:tcPr>
            <w:tcW w:w="4809" w:type="dxa"/>
            <w:vAlign w:val="center"/>
          </w:tcPr>
          <w:p w14:paraId="708FB681">
            <w:pPr>
              <w:spacing w:line="360" w:lineRule="auto"/>
              <w:jc w:val="center"/>
              <w:rPr>
                <w:rFonts w:hint="eastAsia" w:ascii="宋体" w:hAnsi="宋体" w:cs="宋体"/>
                <w:b/>
                <w:bCs/>
                <w:color w:val="auto"/>
                <w:szCs w:val="21"/>
                <w:highlight w:val="none"/>
              </w:rPr>
            </w:pPr>
            <w:bookmarkStart w:id="569" w:name="_Toc1225"/>
            <w:r>
              <w:rPr>
                <w:rFonts w:hint="eastAsia" w:ascii="宋体" w:hAnsi="宋体" w:cs="宋体"/>
                <w:b/>
                <w:bCs/>
                <w:color w:val="auto"/>
                <w:szCs w:val="21"/>
                <w:highlight w:val="none"/>
              </w:rPr>
              <w:t>投标总价</w:t>
            </w:r>
          </w:p>
        </w:tc>
        <w:tc>
          <w:tcPr>
            <w:tcW w:w="1687" w:type="dxa"/>
            <w:vAlign w:val="center"/>
          </w:tcPr>
          <w:p w14:paraId="3213C696">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备注</w:t>
            </w:r>
            <w:bookmarkEnd w:id="569"/>
          </w:p>
        </w:tc>
      </w:tr>
      <w:tr w14:paraId="4EBF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7" w:hRule="atLeast"/>
        </w:trPr>
        <w:tc>
          <w:tcPr>
            <w:tcW w:w="1241" w:type="dxa"/>
            <w:vAlign w:val="center"/>
          </w:tcPr>
          <w:p w14:paraId="4C84E60B">
            <w:pPr>
              <w:tabs>
                <w:tab w:val="left" w:pos="360"/>
                <w:tab w:val="left" w:pos="540"/>
                <w:tab w:val="left" w:pos="840"/>
                <w:tab w:val="left" w:pos="892"/>
              </w:tabs>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784" w:type="dxa"/>
            <w:vAlign w:val="center"/>
          </w:tcPr>
          <w:p w14:paraId="66BEED1C">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余杭区政务云平台</w:t>
            </w:r>
            <w:r>
              <w:rPr>
                <w:rFonts w:hint="eastAsia" w:ascii="宋体" w:hAnsi="宋体" w:cs="宋体"/>
                <w:color w:val="auto"/>
                <w:szCs w:val="21"/>
                <w:highlight w:val="none"/>
                <w:lang w:val="en-US" w:eastAsia="zh-CN"/>
              </w:rPr>
              <w:t>项目</w:t>
            </w:r>
          </w:p>
        </w:tc>
        <w:tc>
          <w:tcPr>
            <w:tcW w:w="3704" w:type="dxa"/>
            <w:vAlign w:val="center"/>
          </w:tcPr>
          <w:p w14:paraId="6450A563">
            <w:pPr>
              <w:spacing w:line="360" w:lineRule="auto"/>
              <w:jc w:val="center"/>
              <w:rPr>
                <w:rFonts w:hint="eastAsia" w:ascii="宋体" w:hAnsi="宋体" w:cs="宋体"/>
                <w:color w:val="auto"/>
                <w:szCs w:val="21"/>
                <w:highlight w:val="none"/>
              </w:rPr>
            </w:pPr>
            <w:bookmarkStart w:id="570" w:name="_Toc2245"/>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5F51448">
            <w:pPr>
              <w:spacing w:line="360" w:lineRule="auto"/>
              <w:ind w:firstLine="630" w:firstLineChars="300"/>
              <w:jc w:val="center"/>
              <w:rPr>
                <w:rFonts w:hint="eastAsia" w:ascii="宋体" w:hAnsi="宋体" w:cs="宋体"/>
                <w:color w:val="auto"/>
                <w:szCs w:val="21"/>
                <w:highlight w:val="none"/>
              </w:rPr>
            </w:pPr>
            <w:r>
              <w:rPr>
                <w:rFonts w:hint="eastAsia" w:ascii="宋体" w:hAnsi="宋体" w:cs="宋体"/>
                <w:color w:val="auto"/>
                <w:kern w:val="0"/>
                <w:szCs w:val="21"/>
                <w:highlight w:val="none"/>
              </w:rPr>
              <w:t>（最多保留两位小数）</w:t>
            </w:r>
            <w:bookmarkEnd w:id="570"/>
          </w:p>
        </w:tc>
        <w:tc>
          <w:tcPr>
            <w:tcW w:w="4809" w:type="dxa"/>
            <w:vAlign w:val="center"/>
          </w:tcPr>
          <w:p w14:paraId="2D3194D8">
            <w:pPr>
              <w:spacing w:line="360"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大写：</w:t>
            </w:r>
          </w:p>
          <w:p w14:paraId="70EF3E08">
            <w:pPr>
              <w:spacing w:line="360"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小写：</w:t>
            </w:r>
          </w:p>
        </w:tc>
        <w:tc>
          <w:tcPr>
            <w:tcW w:w="1687" w:type="dxa"/>
            <w:vAlign w:val="center"/>
          </w:tcPr>
          <w:p w14:paraId="63641300">
            <w:pPr>
              <w:tabs>
                <w:tab w:val="left" w:pos="360"/>
                <w:tab w:val="left" w:pos="540"/>
                <w:tab w:val="left" w:pos="840"/>
                <w:tab w:val="left" w:pos="892"/>
              </w:tabs>
              <w:spacing w:line="360" w:lineRule="auto"/>
              <w:jc w:val="center"/>
              <w:rPr>
                <w:rFonts w:hint="eastAsia" w:ascii="宋体" w:hAnsi="宋体" w:cs="宋体"/>
                <w:color w:val="auto"/>
                <w:szCs w:val="21"/>
                <w:highlight w:val="none"/>
              </w:rPr>
            </w:pPr>
          </w:p>
        </w:tc>
      </w:tr>
    </w:tbl>
    <w:p w14:paraId="0B38A3AF">
      <w:pPr>
        <w:spacing w:line="360" w:lineRule="auto"/>
        <w:ind w:firstLine="420" w:firstLineChars="200"/>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注：</w:t>
      </w:r>
    </w:p>
    <w:p w14:paraId="4AA540F9">
      <w:pPr>
        <w:spacing w:line="360" w:lineRule="auto"/>
        <w:ind w:firstLine="420" w:firstLineChars="200"/>
        <w:rPr>
          <w:rFonts w:hint="eastAsia" w:ascii="宋体" w:hAnsi="宋体" w:cs="宋体"/>
          <w:bCs/>
          <w:color w:val="auto"/>
          <w:kern w:val="0"/>
          <w:szCs w:val="21"/>
          <w:highlight w:val="none"/>
          <w:lang w:val="zh-CN"/>
        </w:rPr>
      </w:pPr>
      <w:r>
        <w:rPr>
          <w:rFonts w:ascii="宋体" w:hAnsi="宋体" w:cs="宋体"/>
          <w:bCs/>
          <w:color w:val="auto"/>
          <w:kern w:val="0"/>
          <w:szCs w:val="21"/>
          <w:highlight w:val="none"/>
          <w:lang w:val="zh-CN"/>
        </w:rPr>
        <w:t>1、投标人需按本表格式填写，</w:t>
      </w:r>
      <w:r>
        <w:rPr>
          <w:rFonts w:hint="eastAsia" w:ascii="宋体" w:hAnsi="宋体" w:cs="宋体"/>
          <w:bCs/>
          <w:color w:val="auto"/>
          <w:kern w:val="0"/>
          <w:szCs w:val="21"/>
          <w:highlight w:val="none"/>
        </w:rPr>
        <w:t>否则视为投标文件含有采购人不能接受的附加条件，投标无效。</w:t>
      </w:r>
    </w:p>
    <w:p w14:paraId="6E742D9F">
      <w:pPr>
        <w:spacing w:line="360" w:lineRule="auto"/>
        <w:ind w:firstLine="420" w:firstLineChars="200"/>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开标一览表（报价表）》名称栏中，投标人不能作出合理解释的，视为投标文件含有采购人不能接受的附加条件的，投标无效。</w:t>
      </w:r>
    </w:p>
    <w:p w14:paraId="64551C12">
      <w:pPr>
        <w:spacing w:line="360" w:lineRule="auto"/>
        <w:ind w:firstLine="420" w:firstLineChars="200"/>
        <w:rPr>
          <w:rFonts w:hint="eastAsia" w:ascii="宋体" w:hAnsi="宋体" w:cs="宋体"/>
          <w:bCs/>
          <w:color w:val="auto"/>
          <w:kern w:val="0"/>
          <w:szCs w:val="21"/>
          <w:highlight w:val="none"/>
          <w:lang w:val="zh-CN"/>
        </w:rPr>
      </w:pPr>
      <w:r>
        <w:rPr>
          <w:rFonts w:hint="eastAsia" w:ascii="宋体" w:hAnsi="宋体" w:cs="宋体"/>
          <w:bCs/>
          <w:color w:val="auto"/>
          <w:kern w:val="0"/>
          <w:szCs w:val="21"/>
          <w:highlight w:val="none"/>
          <w:lang w:val="zh-CN"/>
        </w:rPr>
        <w:t>3</w:t>
      </w:r>
      <w:r>
        <w:rPr>
          <w:rFonts w:ascii="宋体" w:hAnsi="宋体" w:cs="宋体"/>
          <w:bCs/>
          <w:color w:val="auto"/>
          <w:kern w:val="0"/>
          <w:szCs w:val="21"/>
          <w:highlight w:val="none"/>
          <w:lang w:val="zh-CN"/>
        </w:rPr>
        <w:t>、特别提示：</w:t>
      </w:r>
      <w:r>
        <w:rPr>
          <w:rFonts w:hint="eastAsia" w:ascii="宋体" w:hAnsi="宋体" w:cs="宋体"/>
          <w:bCs/>
          <w:color w:val="auto"/>
          <w:kern w:val="0"/>
          <w:szCs w:val="21"/>
          <w:highlight w:val="none"/>
          <w:lang w:val="zh-CN"/>
        </w:rPr>
        <w:t>采购代理机构</w:t>
      </w:r>
      <w:r>
        <w:rPr>
          <w:rFonts w:ascii="宋体" w:hAnsi="宋体" w:cs="宋体"/>
          <w:bCs/>
          <w:color w:val="auto"/>
          <w:kern w:val="0"/>
          <w:szCs w:val="21"/>
          <w:highlight w:val="none"/>
          <w:lang w:val="zh-CN"/>
        </w:rPr>
        <w:t>将对项目名称和项目编号，中标供应商名称、地址和中标金额，主要中标标的</w:t>
      </w:r>
      <w:r>
        <w:rPr>
          <w:rFonts w:hint="eastAsia" w:ascii="宋体" w:hAnsi="宋体" w:cs="宋体"/>
          <w:bCs/>
          <w:color w:val="auto"/>
          <w:kern w:val="0"/>
          <w:szCs w:val="21"/>
          <w:highlight w:val="none"/>
          <w:lang w:val="zh-CN"/>
        </w:rPr>
        <w:t>名称、服务范围、服务要求、服务时间、服务标准等予以公示。</w:t>
      </w:r>
    </w:p>
    <w:p w14:paraId="785D9D57">
      <w:pPr>
        <w:spacing w:line="360" w:lineRule="auto"/>
        <w:ind w:firstLine="420" w:firstLineChars="200"/>
        <w:rPr>
          <w:rFonts w:hint="eastAsia" w:ascii="宋体" w:hAnsi="宋体" w:cs="宋体"/>
          <w:bCs/>
          <w:color w:val="auto"/>
          <w:kern w:val="0"/>
          <w:szCs w:val="21"/>
          <w:highlight w:val="none"/>
          <w:lang w:val="zh-CN"/>
        </w:rPr>
      </w:pPr>
      <w:r>
        <w:rPr>
          <w:rFonts w:ascii="宋体" w:hAnsi="宋体" w:cs="宋体"/>
          <w:bCs/>
          <w:color w:val="auto"/>
          <w:kern w:val="0"/>
          <w:szCs w:val="21"/>
          <w:highlight w:val="none"/>
          <w:lang w:val="zh-CN"/>
        </w:rPr>
        <w:t>4、</w:t>
      </w:r>
      <w:r>
        <w:rPr>
          <w:rFonts w:hint="eastAsia" w:ascii="宋体" w:hAnsi="宋体" w:cs="宋体"/>
          <w:bCs/>
          <w:color w:val="auto"/>
          <w:kern w:val="0"/>
          <w:szCs w:val="21"/>
          <w:highlight w:val="none"/>
          <w:lang w:val="zh-CN"/>
        </w:rPr>
        <w:t>符合招标文件中列明的可享受中小企业扶持政策的投标人，请填写中小企业声明函。注：投标人</w:t>
      </w:r>
      <w:r>
        <w:rPr>
          <w:rFonts w:ascii="宋体" w:hAnsi="宋体" w:cs="宋体"/>
          <w:bCs/>
          <w:color w:val="auto"/>
          <w:kern w:val="0"/>
          <w:szCs w:val="21"/>
          <w:highlight w:val="none"/>
          <w:lang w:val="zh-CN"/>
        </w:rPr>
        <w:t>提供</w:t>
      </w:r>
      <w:r>
        <w:rPr>
          <w:rFonts w:hint="eastAsia" w:ascii="宋体" w:hAnsi="宋体" w:cs="宋体"/>
          <w:bCs/>
          <w:color w:val="auto"/>
          <w:kern w:val="0"/>
          <w:szCs w:val="21"/>
          <w:highlight w:val="none"/>
          <w:lang w:val="zh-CN"/>
        </w:rPr>
        <w:t>的中小企业</w:t>
      </w:r>
      <w:r>
        <w:rPr>
          <w:rFonts w:ascii="宋体" w:hAnsi="宋体" w:cs="宋体"/>
          <w:bCs/>
          <w:color w:val="auto"/>
          <w:kern w:val="0"/>
          <w:szCs w:val="21"/>
          <w:highlight w:val="none"/>
          <w:lang w:val="zh-CN"/>
        </w:rPr>
        <w:t>声明函内容不实的，属于提供虚假材料谋取中标、成交</w:t>
      </w:r>
      <w:r>
        <w:rPr>
          <w:rFonts w:hint="eastAsia" w:ascii="宋体" w:hAnsi="宋体" w:cs="宋体"/>
          <w:bCs/>
          <w:color w:val="auto"/>
          <w:kern w:val="0"/>
          <w:szCs w:val="21"/>
          <w:highlight w:val="none"/>
          <w:lang w:val="zh-CN"/>
        </w:rPr>
        <w:t>，将</w:t>
      </w:r>
      <w:r>
        <w:rPr>
          <w:rFonts w:ascii="宋体" w:hAnsi="宋体" w:cs="宋体"/>
          <w:bCs/>
          <w:color w:val="auto"/>
          <w:kern w:val="0"/>
          <w:szCs w:val="21"/>
          <w:highlight w:val="none"/>
          <w:lang w:val="zh-CN"/>
        </w:rPr>
        <w:t>依照《中华人民共和国政府采购法》等国家有关规定追究相应责任。</w:t>
      </w:r>
    </w:p>
    <w:p w14:paraId="42EFA134">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5、本项目按实际发生结算，最终结算金额不超过投标总价。采购人将根据公式：“单项最高限价×投标费率（最高限价的统一折扣）=支付金额”核算实际支付金额。如：某产品最高限价为100元，投标费率：</w:t>
      </w:r>
      <w:r>
        <w:rPr>
          <w:rFonts w:hint="eastAsia" w:ascii="宋体" w:hAnsi="宋体" w:cs="宋体"/>
          <w:b/>
          <w:color w:val="auto"/>
          <w:kern w:val="0"/>
          <w:szCs w:val="21"/>
          <w:highlight w:val="none"/>
        </w:rPr>
        <w:softHyphen/>
      </w:r>
      <w:r>
        <w:rPr>
          <w:rFonts w:hint="eastAsia" w:ascii="宋体" w:hAnsi="宋体" w:cs="宋体"/>
          <w:b/>
          <w:color w:val="auto"/>
          <w:kern w:val="0"/>
          <w:szCs w:val="21"/>
          <w:highlight w:val="none"/>
        </w:rPr>
        <w:softHyphen/>
      </w:r>
      <w:r>
        <w:rPr>
          <w:rFonts w:hint="eastAsia" w:ascii="宋体" w:hAnsi="宋体" w:cs="宋体"/>
          <w:b/>
          <w:color w:val="auto"/>
          <w:kern w:val="0"/>
          <w:szCs w:val="21"/>
          <w:highlight w:val="none"/>
        </w:rPr>
        <w:t>最高限价的统一折扣为80%，则在采购人在支付时实际支付金额为：单项最高限价×投标费率（最高限价的统一折扣）=100×80%=80（元）。</w:t>
      </w:r>
    </w:p>
    <w:p w14:paraId="1A1CAD48">
      <w:pPr>
        <w:spacing w:line="360" w:lineRule="auto"/>
        <w:ind w:firstLine="422" w:firstLineChars="200"/>
        <w:rPr>
          <w:rFonts w:hint="eastAsia" w:ascii="宋体" w:hAnsi="宋体" w:cs="宋体"/>
          <w:b/>
          <w:color w:val="auto"/>
          <w:kern w:val="0"/>
          <w:szCs w:val="21"/>
          <w:highlight w:val="none"/>
        </w:rPr>
      </w:pPr>
      <w:r>
        <w:rPr>
          <w:rFonts w:hint="eastAsia" w:ascii="宋体" w:hAnsi="宋体" w:cs="宋体"/>
          <w:b/>
          <w:color w:val="auto"/>
          <w:kern w:val="0"/>
          <w:szCs w:val="21"/>
          <w:highlight w:val="none"/>
        </w:rPr>
        <w:t>6、投标总价=该</w:t>
      </w:r>
      <w:r>
        <w:rPr>
          <w:rFonts w:hint="eastAsia" w:ascii="宋体" w:hAnsi="宋体" w:cs="宋体"/>
          <w:b/>
          <w:color w:val="auto"/>
          <w:kern w:val="0"/>
          <w:szCs w:val="21"/>
          <w:highlight w:val="none"/>
          <w:lang w:val="en-US" w:eastAsia="zh-CN"/>
        </w:rPr>
        <w:t>项目</w:t>
      </w:r>
      <w:r>
        <w:rPr>
          <w:rFonts w:hint="eastAsia" w:ascii="宋体" w:hAnsi="宋体" w:cs="宋体"/>
          <w:b/>
          <w:color w:val="auto"/>
          <w:kern w:val="0"/>
          <w:szCs w:val="21"/>
          <w:highlight w:val="none"/>
        </w:rPr>
        <w:t>预算金额（47820000元）*投标费率；若投标总价和按投标费率计算出的金额不一致的，以投标费率为准，修改投标总价。本项目以“投标总价”进行价格结算。</w:t>
      </w:r>
    </w:p>
    <w:p w14:paraId="3DF4E3D1">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21"/>
          <w:szCs w:val="21"/>
          <w:highlight w:val="none"/>
        </w:rPr>
        <w:sectPr>
          <w:pgSz w:w="16838" w:h="11906" w:orient="landscape"/>
          <w:pgMar w:top="1418" w:right="1247" w:bottom="1418" w:left="1276" w:header="851" w:footer="992" w:gutter="0"/>
          <w:cols w:space="720" w:num="1"/>
          <w:titlePg/>
          <w:docGrid w:linePitch="312" w:charSpace="0"/>
        </w:sectPr>
      </w:pPr>
    </w:p>
    <w:p w14:paraId="6179BE33">
      <w:pPr>
        <w:spacing w:line="360" w:lineRule="auto"/>
        <w:rPr>
          <w:b/>
          <w:bCs/>
          <w:color w:val="auto"/>
          <w:szCs w:val="21"/>
          <w:highlight w:val="none"/>
        </w:rPr>
      </w:pPr>
      <w:bookmarkStart w:id="571" w:name="_Toc465665161"/>
    </w:p>
    <w:bookmarkEnd w:id="571"/>
    <w:p w14:paraId="115BBEB9">
      <w:pPr>
        <w:pStyle w:val="4"/>
        <w:rPr>
          <w:rFonts w:hint="eastAsia" w:ascii="宋体" w:hAnsi="宋体" w:cs="宋体"/>
          <w:color w:val="auto"/>
          <w:szCs w:val="21"/>
          <w:highlight w:val="none"/>
        </w:rPr>
      </w:pPr>
      <w:r>
        <w:rPr>
          <w:rFonts w:hint="eastAsia" w:ascii="宋体" w:hAnsi="宋体" w:cs="宋体"/>
          <w:color w:val="auto"/>
          <w:szCs w:val="21"/>
          <w:highlight w:val="none"/>
        </w:rPr>
        <w:t>附件</w:t>
      </w:r>
    </w:p>
    <w:p w14:paraId="3805CF3D">
      <w:pPr>
        <w:pStyle w:val="4"/>
        <w:rPr>
          <w:rFonts w:hint="eastAsia" w:ascii="宋体" w:hAnsi="宋体" w:cs="宋体"/>
          <w:color w:val="auto"/>
          <w:szCs w:val="21"/>
          <w:highlight w:val="none"/>
        </w:rPr>
      </w:pPr>
      <w:r>
        <w:rPr>
          <w:rFonts w:hint="eastAsia" w:ascii="宋体" w:hAnsi="宋体" w:cs="宋体"/>
          <w:color w:val="auto"/>
          <w:szCs w:val="21"/>
          <w:highlight w:val="none"/>
        </w:rPr>
        <w:t>附件1：残疾人福利性单位声明函</w:t>
      </w:r>
    </w:p>
    <w:p w14:paraId="02DB7DFC">
      <w:pPr>
        <w:spacing w:line="360" w:lineRule="auto"/>
        <w:jc w:val="center"/>
        <w:rPr>
          <w:rFonts w:hint="eastAsia" w:ascii="宋体" w:hAnsi="宋体" w:cs="宋体"/>
          <w:b/>
          <w:color w:val="auto"/>
          <w:spacing w:val="6"/>
          <w:szCs w:val="21"/>
          <w:highlight w:val="none"/>
        </w:rPr>
      </w:pPr>
      <w:bookmarkStart w:id="572" w:name="OLE_LINK13"/>
      <w:bookmarkStart w:id="573" w:name="OLE_LINK14"/>
      <w:r>
        <w:rPr>
          <w:rFonts w:hint="eastAsia" w:ascii="宋体" w:hAnsi="宋体" w:cs="宋体"/>
          <w:b/>
          <w:color w:val="auto"/>
          <w:spacing w:val="6"/>
          <w:szCs w:val="21"/>
          <w:highlight w:val="none"/>
        </w:rPr>
        <w:t>残疾人福利性单位声明函</w:t>
      </w:r>
    </w:p>
    <w:bookmarkEnd w:id="572"/>
    <w:bookmarkEnd w:id="573"/>
    <w:p w14:paraId="46CCA821">
      <w:pPr>
        <w:spacing w:line="360" w:lineRule="auto"/>
        <w:rPr>
          <w:rFonts w:hint="eastAsia" w:ascii="宋体" w:hAnsi="宋体" w:cs="宋体"/>
          <w:b/>
          <w:color w:val="auto"/>
          <w:spacing w:val="6"/>
          <w:szCs w:val="21"/>
          <w:highlight w:val="none"/>
        </w:rPr>
      </w:pPr>
    </w:p>
    <w:p w14:paraId="6E33A2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Cs w:val="21"/>
          <w:highlight w:val="none"/>
          <w:u w:val="single"/>
        </w:rPr>
        <w:t>(采</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人)</w:t>
      </w:r>
      <w:r>
        <w:rPr>
          <w:rFonts w:hint="eastAsia" w:ascii="宋体" w:hAnsi="宋体" w:cs="宋体"/>
          <w:color w:val="auto"/>
          <w:szCs w:val="21"/>
          <w:highlight w:val="none"/>
        </w:rPr>
        <w:t>单位的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721096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70E9E743">
      <w:pPr>
        <w:spacing w:line="360" w:lineRule="auto"/>
        <w:ind w:firstLine="420" w:firstLineChars="200"/>
        <w:rPr>
          <w:rFonts w:hint="eastAsia" w:ascii="宋体" w:hAnsi="宋体" w:cs="宋体"/>
          <w:color w:val="auto"/>
          <w:szCs w:val="21"/>
          <w:highlight w:val="none"/>
        </w:rPr>
      </w:pPr>
    </w:p>
    <w:p w14:paraId="183F3EA8">
      <w:pPr>
        <w:spacing w:line="360" w:lineRule="auto"/>
        <w:ind w:firstLine="420" w:firstLineChars="200"/>
        <w:rPr>
          <w:rFonts w:hint="eastAsia" w:ascii="宋体" w:hAnsi="宋体" w:cs="宋体"/>
          <w:color w:val="auto"/>
          <w:szCs w:val="21"/>
          <w:highlight w:val="none"/>
        </w:rPr>
      </w:pPr>
    </w:p>
    <w:p w14:paraId="01F181A3">
      <w:pPr>
        <w:tabs>
          <w:tab w:val="left" w:pos="4860"/>
        </w:tabs>
        <w:spacing w:line="360" w:lineRule="auto"/>
        <w:ind w:right="1560"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zh-CN"/>
        </w:rPr>
        <w:t>投标人名称（电子签名）</w:t>
      </w:r>
      <w:r>
        <w:rPr>
          <w:rFonts w:hint="eastAsia" w:ascii="宋体" w:hAnsi="宋体" w:cs="宋体"/>
          <w:color w:val="auto"/>
          <w:szCs w:val="21"/>
          <w:highlight w:val="none"/>
        </w:rPr>
        <w:t>：</w:t>
      </w:r>
    </w:p>
    <w:p w14:paraId="36ADEC6B">
      <w:pPr>
        <w:tabs>
          <w:tab w:val="left" w:pos="4860"/>
        </w:tabs>
        <w:spacing w:line="360" w:lineRule="auto"/>
        <w:ind w:right="1560"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日  期：</w:t>
      </w:r>
    </w:p>
    <w:p w14:paraId="0BC42376">
      <w:pPr>
        <w:spacing w:line="360" w:lineRule="auto"/>
        <w:ind w:firstLine="420" w:firstLineChars="200"/>
        <w:rPr>
          <w:rFonts w:hint="eastAsia" w:ascii="宋体" w:hAnsi="宋体" w:cs="宋体"/>
          <w:color w:val="auto"/>
          <w:szCs w:val="21"/>
          <w:highlight w:val="none"/>
        </w:rPr>
      </w:pPr>
    </w:p>
    <w:p w14:paraId="3841DEE9">
      <w:pPr>
        <w:spacing w:line="360" w:lineRule="auto"/>
        <w:ind w:firstLine="420" w:firstLineChars="200"/>
        <w:rPr>
          <w:rFonts w:hint="eastAsia" w:ascii="宋体" w:hAnsi="宋体" w:cs="宋体"/>
          <w:color w:val="auto"/>
          <w:szCs w:val="21"/>
          <w:highlight w:val="none"/>
        </w:rPr>
      </w:pPr>
    </w:p>
    <w:p w14:paraId="6F104AAD">
      <w:pPr>
        <w:spacing w:line="360" w:lineRule="auto"/>
        <w:ind w:firstLine="420" w:firstLineChars="200"/>
        <w:rPr>
          <w:rFonts w:hint="eastAsia" w:ascii="宋体" w:hAnsi="宋体" w:cs="宋体"/>
          <w:color w:val="auto"/>
          <w:szCs w:val="21"/>
          <w:highlight w:val="none"/>
        </w:rPr>
      </w:pPr>
    </w:p>
    <w:p w14:paraId="41C7E6F4">
      <w:pPr>
        <w:spacing w:line="360" w:lineRule="auto"/>
        <w:ind w:firstLine="420" w:firstLineChars="200"/>
        <w:rPr>
          <w:rFonts w:hint="eastAsia" w:ascii="宋体" w:hAnsi="宋体" w:cs="宋体"/>
          <w:color w:val="auto"/>
          <w:szCs w:val="21"/>
          <w:highlight w:val="none"/>
        </w:rPr>
      </w:pPr>
    </w:p>
    <w:p w14:paraId="599AFF21">
      <w:pPr>
        <w:spacing w:line="360" w:lineRule="auto"/>
        <w:ind w:firstLine="420" w:firstLineChars="200"/>
        <w:rPr>
          <w:rFonts w:hint="eastAsia" w:ascii="宋体" w:hAnsi="宋体" w:cs="宋体"/>
          <w:color w:val="auto"/>
          <w:szCs w:val="21"/>
          <w:highlight w:val="none"/>
        </w:rPr>
      </w:pPr>
    </w:p>
    <w:p w14:paraId="6D61A3B1">
      <w:pPr>
        <w:spacing w:line="360" w:lineRule="auto"/>
        <w:rPr>
          <w:rFonts w:hint="eastAsia" w:ascii="宋体" w:hAnsi="宋体" w:cs="宋体"/>
          <w:b/>
          <w:color w:val="auto"/>
          <w:szCs w:val="21"/>
          <w:highlight w:val="none"/>
        </w:rPr>
      </w:pPr>
    </w:p>
    <w:p w14:paraId="4E18C387">
      <w:pPr>
        <w:spacing w:line="360" w:lineRule="auto"/>
        <w:rPr>
          <w:rFonts w:hint="eastAsia" w:ascii="宋体" w:hAnsi="宋体" w:cs="宋体"/>
          <w:b/>
          <w:color w:val="auto"/>
          <w:szCs w:val="21"/>
          <w:highlight w:val="none"/>
        </w:rPr>
      </w:pPr>
    </w:p>
    <w:p w14:paraId="139DDB69">
      <w:pPr>
        <w:spacing w:line="360" w:lineRule="auto"/>
        <w:rPr>
          <w:rFonts w:hint="eastAsia" w:ascii="宋体" w:hAnsi="宋体" w:cs="宋体"/>
          <w:b/>
          <w:color w:val="auto"/>
          <w:szCs w:val="21"/>
          <w:highlight w:val="none"/>
        </w:rPr>
      </w:pPr>
    </w:p>
    <w:p w14:paraId="32ACA72D">
      <w:pPr>
        <w:spacing w:line="360" w:lineRule="auto"/>
        <w:rPr>
          <w:rFonts w:hint="eastAsia" w:ascii="宋体" w:hAnsi="宋体" w:cs="宋体"/>
          <w:b/>
          <w:color w:val="auto"/>
          <w:szCs w:val="21"/>
          <w:highlight w:val="none"/>
        </w:rPr>
      </w:pPr>
    </w:p>
    <w:p w14:paraId="4E1BE591">
      <w:pPr>
        <w:spacing w:line="360" w:lineRule="auto"/>
        <w:rPr>
          <w:rFonts w:hint="eastAsia" w:ascii="宋体" w:hAnsi="宋体" w:cs="宋体"/>
          <w:b/>
          <w:color w:val="auto"/>
          <w:szCs w:val="21"/>
          <w:highlight w:val="none"/>
        </w:rPr>
      </w:pPr>
    </w:p>
    <w:p w14:paraId="68824CAC">
      <w:pPr>
        <w:spacing w:line="360" w:lineRule="auto"/>
        <w:rPr>
          <w:rFonts w:hint="eastAsia" w:ascii="宋体" w:hAnsi="宋体" w:cs="宋体"/>
          <w:b/>
          <w:color w:val="auto"/>
          <w:szCs w:val="21"/>
          <w:highlight w:val="none"/>
        </w:rPr>
      </w:pPr>
    </w:p>
    <w:p w14:paraId="53395F24">
      <w:pPr>
        <w:spacing w:line="360" w:lineRule="auto"/>
        <w:rPr>
          <w:rFonts w:hint="eastAsia" w:ascii="宋体" w:hAnsi="宋体" w:cs="宋体"/>
          <w:b/>
          <w:color w:val="auto"/>
          <w:szCs w:val="21"/>
          <w:highlight w:val="none"/>
        </w:rPr>
      </w:pPr>
    </w:p>
    <w:p w14:paraId="18AE92CD">
      <w:pPr>
        <w:spacing w:line="360" w:lineRule="auto"/>
        <w:rPr>
          <w:rFonts w:hint="eastAsia" w:ascii="宋体" w:hAnsi="宋体" w:cs="宋体"/>
          <w:b/>
          <w:color w:val="auto"/>
          <w:szCs w:val="21"/>
          <w:highlight w:val="none"/>
        </w:rPr>
      </w:pPr>
    </w:p>
    <w:p w14:paraId="04C7E285">
      <w:pPr>
        <w:spacing w:line="360" w:lineRule="auto"/>
        <w:rPr>
          <w:rFonts w:hint="eastAsia" w:ascii="宋体" w:hAnsi="宋体" w:cs="宋体"/>
          <w:b/>
          <w:color w:val="auto"/>
          <w:szCs w:val="21"/>
          <w:highlight w:val="none"/>
        </w:rPr>
      </w:pPr>
    </w:p>
    <w:p w14:paraId="52DB937C">
      <w:pPr>
        <w:spacing w:line="360" w:lineRule="auto"/>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br w:type="page"/>
      </w:r>
    </w:p>
    <w:p w14:paraId="1DD8DF6F">
      <w:pPr>
        <w:pStyle w:val="4"/>
        <w:rPr>
          <w:color w:val="auto"/>
          <w:szCs w:val="21"/>
          <w:highlight w:val="none"/>
        </w:rPr>
      </w:pPr>
      <w:r>
        <w:rPr>
          <w:rFonts w:hint="eastAsia"/>
          <w:color w:val="auto"/>
          <w:szCs w:val="21"/>
          <w:highlight w:val="none"/>
        </w:rPr>
        <w:t>附件2：质疑函范本及制作说明</w:t>
      </w:r>
    </w:p>
    <w:p w14:paraId="7BDF7B2E">
      <w:pPr>
        <w:spacing w:line="360" w:lineRule="auto"/>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质疑函范本</w:t>
      </w:r>
    </w:p>
    <w:p w14:paraId="7088FCB1">
      <w:pPr>
        <w:snapToGrid w:val="0"/>
        <w:spacing w:before="240" w:beforeLines="100"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一、质疑供应商基本信息</w:t>
      </w:r>
    </w:p>
    <w:p w14:paraId="6E2B37FA">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14:paraId="343A952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14:paraId="5BF0058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0EF8B314">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14:paraId="7ACAF0B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4EC12CD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14:paraId="18DEED2A">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二、质疑项目基本情况</w:t>
      </w:r>
    </w:p>
    <w:p w14:paraId="2B3098C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14:paraId="09EFE67C">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14:paraId="20D4114F">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14:paraId="592E173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14:paraId="758DA44B">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三、质疑事项具体内容</w:t>
      </w:r>
    </w:p>
    <w:p w14:paraId="2D772448">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14:paraId="493FDAE0">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14:paraId="5D9EF50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dotted"/>
        </w:rPr>
        <w:t xml:space="preserve">                                                       </w:t>
      </w:r>
    </w:p>
    <w:p w14:paraId="73693706">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14:paraId="1CDD6356">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02E3DBB2">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质疑事项2</w:t>
      </w:r>
    </w:p>
    <w:p w14:paraId="5AD82BF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p w14:paraId="694EB936">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14:paraId="138D3A9F">
      <w:pPr>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14:paraId="20E60EB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签字</w:t>
      </w:r>
      <w:r>
        <w:rPr>
          <w:rFonts w:hint="eastAsia" w:ascii="宋体" w:hAnsi="宋体" w:cs="宋体"/>
          <w:color w:val="auto"/>
          <w:szCs w:val="21"/>
          <w:highlight w:val="none"/>
          <w:lang w:eastAsia="zh-CN"/>
        </w:rPr>
        <w:t>（</w:t>
      </w:r>
      <w:r>
        <w:rPr>
          <w:rFonts w:hint="eastAsia" w:ascii="宋体" w:hAnsi="宋体" w:cs="宋体"/>
          <w:color w:val="auto"/>
          <w:szCs w:val="21"/>
          <w:highlight w:val="none"/>
        </w:rPr>
        <w:t>签章</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公章：                      </w:t>
      </w:r>
    </w:p>
    <w:p w14:paraId="0746DA5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14:paraId="2115FCA0">
      <w:pPr>
        <w:spacing w:line="360" w:lineRule="auto"/>
        <w:rPr>
          <w:rFonts w:hint="eastAsia" w:ascii="宋体" w:hAnsi="宋体" w:cs="宋体"/>
          <w:b/>
          <w:color w:val="auto"/>
          <w:szCs w:val="21"/>
          <w:highlight w:val="none"/>
        </w:rPr>
      </w:pPr>
    </w:p>
    <w:p w14:paraId="701CD55C">
      <w:pPr>
        <w:spacing w:line="360" w:lineRule="auto"/>
        <w:rPr>
          <w:rFonts w:hint="eastAsia" w:ascii="宋体" w:hAnsi="宋体" w:cs="宋体"/>
          <w:b/>
          <w:color w:val="auto"/>
          <w:szCs w:val="21"/>
          <w:highlight w:val="none"/>
        </w:rPr>
      </w:pPr>
    </w:p>
    <w:p w14:paraId="266FE82D">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质疑函制作说明：</w:t>
      </w:r>
    </w:p>
    <w:p w14:paraId="50D4C97E">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14:paraId="525AB7AE">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7F36EBEB">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14:paraId="4EA844F6">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14:paraId="3F754368">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14:paraId="2A2DBF15">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27DB6C94">
      <w:pPr>
        <w:widowControl/>
        <w:spacing w:line="360" w:lineRule="auto"/>
        <w:ind w:firstLine="420" w:firstLineChars="200"/>
        <w:jc w:val="left"/>
        <w:rPr>
          <w:rFonts w:hint="eastAsia" w:ascii="宋体" w:hAnsi="宋体" w:cs="宋体"/>
          <w:color w:val="auto"/>
          <w:szCs w:val="21"/>
          <w:highlight w:val="none"/>
        </w:rPr>
      </w:pPr>
    </w:p>
    <w:p w14:paraId="03E49594">
      <w:pPr>
        <w:spacing w:line="360" w:lineRule="auto"/>
        <w:jc w:val="left"/>
        <w:rPr>
          <w:rFonts w:hint="eastAsia" w:ascii="宋体" w:hAnsi="宋体" w:cs="宋体"/>
          <w:b/>
          <w:color w:val="auto"/>
          <w:spacing w:val="6"/>
          <w:szCs w:val="21"/>
          <w:highlight w:val="none"/>
        </w:rPr>
      </w:pPr>
    </w:p>
    <w:p w14:paraId="79CE11F2">
      <w:pPr>
        <w:pStyle w:val="4"/>
        <w:rPr>
          <w:color w:val="auto"/>
          <w:szCs w:val="21"/>
          <w:highlight w:val="none"/>
        </w:rPr>
      </w:pPr>
      <w:r>
        <w:rPr>
          <w:rFonts w:hint="eastAsia"/>
          <w:color w:val="auto"/>
          <w:szCs w:val="21"/>
          <w:highlight w:val="none"/>
        </w:rPr>
        <w:t>附件3：投诉书范本及制作说明</w:t>
      </w:r>
    </w:p>
    <w:p w14:paraId="17CF352A">
      <w:pPr>
        <w:spacing w:line="360" w:lineRule="auto"/>
        <w:jc w:val="center"/>
        <w:rPr>
          <w:rFonts w:hint="eastAsia" w:ascii="宋体" w:hAnsi="宋体" w:cs="宋体"/>
          <w:b/>
          <w:color w:val="auto"/>
          <w:szCs w:val="21"/>
          <w:highlight w:val="none"/>
        </w:rPr>
      </w:pPr>
    </w:p>
    <w:p w14:paraId="21EC7E6E">
      <w:pPr>
        <w:spacing w:line="360" w:lineRule="auto"/>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投诉书范本</w:t>
      </w:r>
    </w:p>
    <w:p w14:paraId="7D4FD1F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一、投诉相关主体基本情况</w:t>
      </w:r>
    </w:p>
    <w:p w14:paraId="6EE6C433">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投诉人：</w:t>
      </w:r>
      <w:r>
        <w:rPr>
          <w:rFonts w:hint="eastAsia" w:ascii="宋体" w:hAnsi="宋体" w:cs="宋体"/>
          <w:color w:val="auto"/>
          <w:szCs w:val="21"/>
          <w:highlight w:val="none"/>
          <w:u w:val="dotted"/>
        </w:rPr>
        <w:t xml:space="preserve">                                               </w:t>
      </w:r>
    </w:p>
    <w:p w14:paraId="73FC51FF">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9E456B6">
      <w:pPr>
        <w:tabs>
          <w:tab w:val="left" w:pos="651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法定代表人/主要负责人：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1EC49404">
      <w:pPr>
        <w:tabs>
          <w:tab w:val="left" w:pos="6510"/>
        </w:tabs>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2D534244">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38B78F0F">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dotted"/>
        </w:rPr>
        <w:t xml:space="preserve">                   </w:t>
      </w:r>
    </w:p>
    <w:p w14:paraId="4303C6E7">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被投诉人1：</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3346260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E7996DA">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6EED61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被投诉人2</w:t>
      </w:r>
    </w:p>
    <w:p w14:paraId="21755F7B">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w:t>
      </w:r>
    </w:p>
    <w:p w14:paraId="46D62D9C">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相关供应商：</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7142F37">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2EC0DBF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A549F6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二、投诉项目基本情况</w:t>
      </w:r>
    </w:p>
    <w:p w14:paraId="34E95E0B">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采购项目名称：</w:t>
      </w:r>
      <w:r>
        <w:rPr>
          <w:rFonts w:hint="eastAsia" w:ascii="宋体" w:hAnsi="宋体" w:cs="宋体"/>
          <w:color w:val="auto"/>
          <w:szCs w:val="21"/>
          <w:highlight w:val="none"/>
          <w:u w:val="dotted"/>
        </w:rPr>
        <w:t xml:space="preserve">                                        </w:t>
      </w:r>
    </w:p>
    <w:p w14:paraId="7DC43CF4">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14:paraId="5EE3F3B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14:paraId="7DADE5FA">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代理机构名称：</w:t>
      </w:r>
      <w:r>
        <w:rPr>
          <w:rFonts w:hint="eastAsia" w:ascii="宋体" w:hAnsi="宋体" w:cs="宋体"/>
          <w:color w:val="auto"/>
          <w:szCs w:val="21"/>
          <w:highlight w:val="none"/>
          <w:u w:val="dotted"/>
        </w:rPr>
        <w:t xml:space="preserve">                                         </w:t>
      </w:r>
    </w:p>
    <w:p w14:paraId="34E958B0">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采购文件公告</w:t>
      </w:r>
      <w:r>
        <w:rPr>
          <w:rFonts w:hint="eastAsia" w:ascii="宋体" w:hAnsi="宋体" w:cs="宋体"/>
          <w:color w:val="auto"/>
          <w:szCs w:val="21"/>
          <w:highlight w:val="none"/>
          <w:lang w:eastAsia="zh-CN"/>
        </w:rPr>
        <w:t>：</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14:paraId="462735C5">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lang w:eastAsia="zh-CN"/>
        </w:rPr>
        <w:t>：</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14:paraId="1236046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三、质疑基本情况</w:t>
      </w:r>
    </w:p>
    <w:p w14:paraId="063C2650">
      <w:pPr>
        <w:spacing w:line="360" w:lineRule="auto"/>
        <w:ind w:firstLine="420" w:firstLineChars="200"/>
        <w:rPr>
          <w:rFonts w:hint="eastAsia" w:ascii="宋体" w:hAnsi="宋体" w:cs="宋体"/>
          <w:color w:val="auto"/>
          <w:szCs w:val="21"/>
          <w:highlight w:val="none"/>
          <w:u w:val="dotted"/>
        </w:rPr>
      </w:pPr>
      <w:r>
        <w:rPr>
          <w:rFonts w:hint="eastAsia" w:ascii="宋体" w:hAnsi="宋体" w:cs="宋体"/>
          <w:color w:val="auto"/>
          <w:szCs w:val="21"/>
          <w:highlight w:val="none"/>
        </w:rPr>
        <w:t>投诉人于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日,向</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dotted"/>
          <w:lang w:eastAsia="zh-CN"/>
        </w:rPr>
        <w:t>质疑</w:t>
      </w:r>
      <w:r>
        <w:rPr>
          <w:rFonts w:hint="eastAsia" w:ascii="宋体" w:hAnsi="宋体" w:cs="宋体"/>
          <w:color w:val="auto"/>
          <w:szCs w:val="21"/>
          <w:highlight w:val="none"/>
        </w:rPr>
        <w:t>，质疑事项为：</w:t>
      </w:r>
      <w:r>
        <w:rPr>
          <w:rFonts w:hint="eastAsia" w:ascii="宋体" w:hAnsi="宋体" w:cs="宋体"/>
          <w:color w:val="auto"/>
          <w:szCs w:val="21"/>
          <w:highlight w:val="none"/>
          <w:u w:val="dotted"/>
        </w:rPr>
        <w:t xml:space="preserve">                                </w:t>
      </w:r>
    </w:p>
    <w:p w14:paraId="053439CE">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7E800696">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eastAsia="zh-CN"/>
        </w:rPr>
        <w:t>，</w:t>
      </w:r>
      <w:r>
        <w:rPr>
          <w:rFonts w:hint="eastAsia" w:ascii="宋体" w:hAnsi="宋体" w:cs="宋体"/>
          <w:color w:val="auto"/>
          <w:szCs w:val="21"/>
          <w:highlight w:val="none"/>
        </w:rPr>
        <w:t>就质疑事项作出了答复/没有在法定期限内作出答复。</w:t>
      </w:r>
    </w:p>
    <w:p w14:paraId="18BC2D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四、投诉事项具体内容</w:t>
      </w:r>
    </w:p>
    <w:p w14:paraId="24A6E7FD">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投诉事项 1：</w:t>
      </w:r>
      <w:r>
        <w:rPr>
          <w:rFonts w:hint="eastAsia" w:ascii="宋体" w:hAnsi="宋体" w:cs="宋体"/>
          <w:color w:val="auto"/>
          <w:szCs w:val="21"/>
          <w:highlight w:val="none"/>
          <w:u w:val="dotted"/>
        </w:rPr>
        <w:t xml:space="preserve">                                       </w:t>
      </w:r>
    </w:p>
    <w:p w14:paraId="6069E7D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14:paraId="6B46602C">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7BBAC416">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14:paraId="3CF342E2">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2B87AAE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投诉事项2</w:t>
      </w:r>
    </w:p>
    <w:p w14:paraId="7D54D4E3">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w:t>
      </w:r>
    </w:p>
    <w:p w14:paraId="6685075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五、与投诉事项相关的投诉请求</w:t>
      </w:r>
    </w:p>
    <w:p w14:paraId="52A3312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5B581EB8">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47784CB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签字</w:t>
      </w:r>
      <w:r>
        <w:rPr>
          <w:rFonts w:hint="eastAsia" w:ascii="宋体" w:hAnsi="宋体" w:cs="宋体"/>
          <w:color w:val="auto"/>
          <w:szCs w:val="21"/>
          <w:highlight w:val="none"/>
          <w:lang w:eastAsia="zh-CN"/>
        </w:rPr>
        <w:t>（</w:t>
      </w:r>
      <w:r>
        <w:rPr>
          <w:rFonts w:hint="eastAsia" w:ascii="宋体" w:hAnsi="宋体" w:cs="宋体"/>
          <w:color w:val="auto"/>
          <w:szCs w:val="21"/>
          <w:highlight w:val="none"/>
        </w:rPr>
        <w:t>签章</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公章：                      </w:t>
      </w:r>
    </w:p>
    <w:p w14:paraId="2774326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14:paraId="040E524F">
      <w:pPr>
        <w:spacing w:line="360" w:lineRule="auto"/>
        <w:rPr>
          <w:rFonts w:hint="eastAsia" w:ascii="宋体" w:hAnsi="宋体" w:cs="宋体"/>
          <w:b/>
          <w:color w:val="auto"/>
          <w:szCs w:val="21"/>
          <w:highlight w:val="none"/>
        </w:rPr>
      </w:pPr>
    </w:p>
    <w:p w14:paraId="58788C78">
      <w:pPr>
        <w:spacing w:line="360" w:lineRule="auto"/>
        <w:rPr>
          <w:rFonts w:hint="eastAsia" w:ascii="宋体" w:hAnsi="宋体" w:cs="宋体"/>
          <w:b/>
          <w:color w:val="auto"/>
          <w:szCs w:val="21"/>
          <w:highlight w:val="none"/>
        </w:rPr>
      </w:pPr>
    </w:p>
    <w:p w14:paraId="7CB25245">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投诉书制作说明：</w:t>
      </w:r>
    </w:p>
    <w:p w14:paraId="6D13E733">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14:paraId="3911338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14:paraId="224F4E36">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14:paraId="4748C6C7">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14:paraId="2761EED6">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14:paraId="0C456DC9">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14:paraId="2364D5CD">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14:paraId="59ABD140">
      <w:pPr>
        <w:spacing w:line="360" w:lineRule="auto"/>
        <w:rPr>
          <w:rFonts w:hint="eastAsia" w:ascii="宋体" w:hAnsi="宋体" w:cs="宋体"/>
          <w:b/>
          <w:color w:val="auto"/>
          <w:szCs w:val="21"/>
          <w:highlight w:val="none"/>
        </w:rPr>
      </w:pPr>
    </w:p>
    <w:p w14:paraId="72DD9C6B">
      <w:pPr>
        <w:autoSpaceDE w:val="0"/>
        <w:autoSpaceDN w:val="0"/>
        <w:spacing w:line="360" w:lineRule="auto"/>
        <w:jc w:val="center"/>
        <w:rPr>
          <w:rFonts w:hint="eastAsia" w:ascii="宋体" w:hAnsi="宋体" w:cs="宋体"/>
          <w:b/>
          <w:color w:val="auto"/>
          <w:spacing w:val="6"/>
          <w:szCs w:val="21"/>
          <w:highlight w:val="none"/>
        </w:rPr>
      </w:pPr>
    </w:p>
    <w:p w14:paraId="2CA96710">
      <w:pPr>
        <w:autoSpaceDE w:val="0"/>
        <w:autoSpaceDN w:val="0"/>
        <w:spacing w:line="360" w:lineRule="auto"/>
        <w:jc w:val="center"/>
        <w:rPr>
          <w:rFonts w:hint="eastAsia" w:ascii="宋体" w:hAnsi="宋体" w:cs="宋体"/>
          <w:b/>
          <w:color w:val="auto"/>
          <w:spacing w:val="6"/>
          <w:szCs w:val="21"/>
          <w:highlight w:val="none"/>
        </w:rPr>
      </w:pPr>
    </w:p>
    <w:p w14:paraId="521B291A">
      <w:pPr>
        <w:spacing w:line="360" w:lineRule="auto"/>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br w:type="page"/>
      </w:r>
    </w:p>
    <w:p w14:paraId="3510B582">
      <w:pPr>
        <w:pStyle w:val="4"/>
        <w:rPr>
          <w:color w:val="auto"/>
          <w:szCs w:val="21"/>
          <w:highlight w:val="none"/>
        </w:rPr>
      </w:pPr>
      <w:r>
        <w:rPr>
          <w:rFonts w:hint="eastAsia"/>
          <w:color w:val="auto"/>
          <w:szCs w:val="21"/>
          <w:highlight w:val="none"/>
        </w:rPr>
        <w:t>附件4：业务专用章使用说明函</w:t>
      </w:r>
    </w:p>
    <w:p w14:paraId="4C8D65C2">
      <w:pPr>
        <w:spacing w:line="360" w:lineRule="auto"/>
        <w:rPr>
          <w:rFonts w:hint="eastAsia" w:ascii="宋体" w:hAnsi="宋体" w:cs="宋体"/>
          <w:color w:val="auto"/>
          <w:szCs w:val="21"/>
          <w:highlight w:val="none"/>
          <w:u w:val="single"/>
        </w:rPr>
      </w:pPr>
    </w:p>
    <w:p w14:paraId="63F3F6D6">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（采购人）、（采购代理机构）：</w:t>
      </w:r>
    </w:p>
    <w:p w14:paraId="69A867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val="zh-CN"/>
        </w:rPr>
        <w:t>我方</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投标人全称</w:t>
      </w:r>
      <w:r>
        <w:rPr>
          <w:rFonts w:hint="eastAsia" w:ascii="宋体" w:hAnsi="宋体" w:cs="宋体"/>
          <w:color w:val="auto"/>
          <w:szCs w:val="21"/>
          <w:highlight w:val="none"/>
          <w:lang w:eastAsia="zh-CN"/>
        </w:rPr>
        <w:t>）</w:t>
      </w:r>
      <w:r>
        <w:rPr>
          <w:rFonts w:hint="eastAsia" w:ascii="宋体" w:hAnsi="宋体" w:cs="宋体"/>
          <w:color w:val="auto"/>
          <w:szCs w:val="21"/>
          <w:highlight w:val="none"/>
        </w:rPr>
        <w:t>是中华人民共和国依法登记注册的合法企业，</w:t>
      </w:r>
      <w:r>
        <w:rPr>
          <w:rFonts w:hint="eastAsia" w:ascii="宋体" w:hAnsi="宋体" w:cs="宋体"/>
          <w:bCs/>
          <w:color w:val="auto"/>
          <w:szCs w:val="21"/>
          <w:highlight w:val="none"/>
        </w:rPr>
        <w:t>在参加</w:t>
      </w:r>
      <w:r>
        <w:rPr>
          <w:rFonts w:hint="eastAsia" w:ascii="宋体" w:hAnsi="宋体" w:cs="宋体"/>
          <w:color w:val="auto"/>
          <w:szCs w:val="21"/>
          <w:highlight w:val="none"/>
        </w:rPr>
        <w:t>你方组织的（项目名称）【招标编号：（采购编号）】</w:t>
      </w:r>
      <w:r>
        <w:rPr>
          <w:rFonts w:hint="eastAsia" w:ascii="宋体" w:hAnsi="宋体" w:cs="宋体"/>
          <w:bCs/>
          <w:color w:val="auto"/>
          <w:szCs w:val="21"/>
          <w:highlight w:val="none"/>
        </w:rPr>
        <w:t>投标活动中作如下说明：</w:t>
      </w:r>
      <w:r>
        <w:rPr>
          <w:rFonts w:hint="eastAsia" w:ascii="宋体" w:hAnsi="宋体" w:cs="宋体"/>
          <w:color w:val="auto"/>
          <w:szCs w:val="21"/>
          <w:highlight w:val="none"/>
        </w:rPr>
        <w:t xml:space="preserve">我方所使用的“XX专用章”与法定名称章具有同等的法律效力，对使用“XX专用章”的行为予以完全承认，并愿意承担相应责任。   </w:t>
      </w:r>
    </w:p>
    <w:p w14:paraId="574047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特此说明。</w:t>
      </w:r>
    </w:p>
    <w:p w14:paraId="71CA3626">
      <w:pPr>
        <w:spacing w:line="360" w:lineRule="auto"/>
        <w:ind w:firstLine="494"/>
        <w:rPr>
          <w:rFonts w:hint="eastAsia" w:ascii="宋体" w:hAnsi="宋体" w:cs="宋体"/>
          <w:color w:val="auto"/>
          <w:szCs w:val="21"/>
          <w:highlight w:val="none"/>
        </w:rPr>
      </w:pPr>
    </w:p>
    <w:p w14:paraId="68B59C3C">
      <w:pPr>
        <w:spacing w:line="360" w:lineRule="auto"/>
        <w:ind w:firstLine="494"/>
        <w:rPr>
          <w:rFonts w:hint="eastAsia" w:ascii="宋体" w:hAnsi="宋体" w:cs="宋体"/>
          <w:color w:val="auto"/>
          <w:szCs w:val="21"/>
          <w:highlight w:val="none"/>
        </w:rPr>
      </w:pPr>
    </w:p>
    <w:p w14:paraId="72DE2D44">
      <w:pPr>
        <w:spacing w:line="360" w:lineRule="auto"/>
        <w:ind w:firstLine="494"/>
        <w:rPr>
          <w:rFonts w:hint="eastAsia" w:ascii="宋体" w:hAnsi="宋体" w:cs="宋体"/>
          <w:color w:val="auto"/>
          <w:szCs w:val="21"/>
          <w:highlight w:val="none"/>
        </w:rPr>
      </w:pPr>
    </w:p>
    <w:p w14:paraId="7734C34A">
      <w:pPr>
        <w:spacing w:line="360" w:lineRule="auto"/>
        <w:ind w:firstLine="494"/>
        <w:rPr>
          <w:rFonts w:hint="eastAsia" w:ascii="宋体" w:hAnsi="宋体" w:cs="宋体"/>
          <w:color w:val="auto"/>
          <w:szCs w:val="21"/>
          <w:highlight w:val="none"/>
        </w:rPr>
      </w:pPr>
    </w:p>
    <w:p w14:paraId="4A7D6C17">
      <w:pPr>
        <w:spacing w:line="360" w:lineRule="auto"/>
        <w:ind w:right="480"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投标单位（法定名称章）：</w:t>
      </w:r>
    </w:p>
    <w:p w14:paraId="68836850">
      <w:pPr>
        <w:spacing w:line="360" w:lineRule="auto"/>
        <w:ind w:right="1440" w:firstLine="494"/>
        <w:jc w:val="center"/>
        <w:rPr>
          <w:rFonts w:hint="eastAsia" w:ascii="宋体" w:hAnsi="宋体" w:cs="宋体"/>
          <w:color w:val="auto"/>
          <w:szCs w:val="21"/>
          <w:highlight w:val="none"/>
        </w:rPr>
      </w:pPr>
      <w:r>
        <w:rPr>
          <w:rFonts w:hint="eastAsia" w:ascii="宋体" w:hAnsi="宋体" w:cs="宋体"/>
          <w:color w:val="auto"/>
          <w:szCs w:val="21"/>
          <w:highlight w:val="none"/>
        </w:rPr>
        <w:t xml:space="preserve">                              日期：       年     月     日</w:t>
      </w:r>
    </w:p>
    <w:p w14:paraId="4D61C252">
      <w:pPr>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附：</w:t>
      </w:r>
    </w:p>
    <w:p w14:paraId="39AE72E0">
      <w:pPr>
        <w:spacing w:line="360" w:lineRule="auto"/>
        <w:rPr>
          <w:rFonts w:hint="eastAsia" w:ascii="宋体" w:hAnsi="宋体" w:cs="宋体"/>
          <w:bCs/>
          <w:color w:val="auto"/>
          <w:szCs w:val="21"/>
          <w:highlight w:val="none"/>
        </w:rPr>
      </w:pPr>
      <w:r>
        <w:rPr>
          <w:rFonts w:hint="eastAsia" w:ascii="宋体" w:hAnsi="宋体" w:cs="宋体"/>
          <w:b/>
          <w:bCs/>
          <w:color w:val="auto"/>
          <w:szCs w:val="21"/>
          <w:highlight w:val="none"/>
        </w:rPr>
        <mc:AlternateContent>
          <mc:Choice Requires="wps">
            <w:drawing>
              <wp:anchor distT="0" distB="0" distL="114300" distR="114300" simplePos="0" relativeHeight="251665408" behindDoc="1" locked="0" layoutInCell="1" allowOverlap="1">
                <wp:simplePos x="0" y="0"/>
                <wp:positionH relativeFrom="column">
                  <wp:posOffset>3034030</wp:posOffset>
                </wp:positionH>
                <wp:positionV relativeFrom="paragraph">
                  <wp:posOffset>356235</wp:posOffset>
                </wp:positionV>
                <wp:extent cx="2704465" cy="2253615"/>
                <wp:effectExtent l="5080" t="4445" r="5080"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107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Cs w:val="21"/>
          <w:highlight w:val="none"/>
        </w:rPr>
        <mc:AlternateContent>
          <mc:Choice Requires="wps">
            <w:drawing>
              <wp:anchor distT="0" distB="0" distL="114300" distR="114300" simplePos="0" relativeHeight="251666432" behindDoc="1" locked="0" layoutInCell="1" allowOverlap="1">
                <wp:simplePos x="0" y="0"/>
                <wp:positionH relativeFrom="column">
                  <wp:posOffset>-91440</wp:posOffset>
                </wp:positionH>
                <wp:positionV relativeFrom="paragraph">
                  <wp:posOffset>384810</wp:posOffset>
                </wp:positionV>
                <wp:extent cx="2647950" cy="2253615"/>
                <wp:effectExtent l="5080" t="4445" r="4445"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004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Cs w:val="21"/>
          <w:highlight w:val="none"/>
        </w:rPr>
        <w:t>投标单位法定名称章（印模）                       投标单位“XX专用章”（印模）</w:t>
      </w:r>
    </w:p>
    <w:p w14:paraId="2323EDEA">
      <w:pPr>
        <w:autoSpaceDE w:val="0"/>
        <w:autoSpaceDN w:val="0"/>
        <w:spacing w:line="360" w:lineRule="auto"/>
        <w:jc w:val="center"/>
        <w:rPr>
          <w:rFonts w:hint="eastAsia" w:ascii="宋体" w:hAnsi="宋体" w:cs="宋体"/>
          <w:b/>
          <w:color w:val="auto"/>
          <w:spacing w:val="6"/>
          <w:szCs w:val="21"/>
          <w:highlight w:val="none"/>
        </w:rPr>
      </w:pPr>
    </w:p>
    <w:p w14:paraId="3E8F9F6B">
      <w:pPr>
        <w:autoSpaceDE w:val="0"/>
        <w:autoSpaceDN w:val="0"/>
        <w:spacing w:line="360" w:lineRule="auto"/>
        <w:jc w:val="center"/>
        <w:rPr>
          <w:rFonts w:hint="eastAsia" w:ascii="宋体" w:hAnsi="宋体" w:cs="宋体"/>
          <w:b/>
          <w:color w:val="auto"/>
          <w:spacing w:val="6"/>
          <w:szCs w:val="21"/>
          <w:highlight w:val="none"/>
        </w:rPr>
      </w:pPr>
    </w:p>
    <w:p w14:paraId="5B6E94C4">
      <w:pPr>
        <w:autoSpaceDE w:val="0"/>
        <w:autoSpaceDN w:val="0"/>
        <w:spacing w:line="360" w:lineRule="auto"/>
        <w:jc w:val="center"/>
        <w:rPr>
          <w:rFonts w:hint="eastAsia" w:ascii="宋体" w:hAnsi="宋体" w:cs="宋体"/>
          <w:b/>
          <w:color w:val="auto"/>
          <w:spacing w:val="6"/>
          <w:szCs w:val="21"/>
          <w:highlight w:val="none"/>
        </w:rPr>
      </w:pPr>
    </w:p>
    <w:p w14:paraId="43AA260E">
      <w:pPr>
        <w:autoSpaceDE w:val="0"/>
        <w:autoSpaceDN w:val="0"/>
        <w:spacing w:line="360" w:lineRule="auto"/>
        <w:jc w:val="center"/>
        <w:rPr>
          <w:rFonts w:hint="eastAsia" w:ascii="宋体" w:hAnsi="宋体" w:cs="宋体"/>
          <w:b/>
          <w:color w:val="auto"/>
          <w:spacing w:val="6"/>
          <w:szCs w:val="21"/>
          <w:highlight w:val="none"/>
        </w:rPr>
      </w:pPr>
    </w:p>
    <w:p w14:paraId="6587B6F6">
      <w:pPr>
        <w:autoSpaceDE w:val="0"/>
        <w:autoSpaceDN w:val="0"/>
        <w:spacing w:line="360" w:lineRule="auto"/>
        <w:jc w:val="center"/>
        <w:rPr>
          <w:rFonts w:hint="eastAsia" w:ascii="宋体" w:hAnsi="宋体" w:cs="宋体"/>
          <w:b/>
          <w:color w:val="auto"/>
          <w:spacing w:val="6"/>
          <w:szCs w:val="21"/>
          <w:highlight w:val="none"/>
        </w:rPr>
      </w:pPr>
    </w:p>
    <w:p w14:paraId="59399B3A">
      <w:pPr>
        <w:autoSpaceDE w:val="0"/>
        <w:autoSpaceDN w:val="0"/>
        <w:spacing w:line="360" w:lineRule="auto"/>
        <w:jc w:val="center"/>
        <w:rPr>
          <w:rFonts w:hint="eastAsia" w:ascii="宋体" w:hAnsi="宋体" w:cs="宋体"/>
          <w:b/>
          <w:color w:val="auto"/>
          <w:spacing w:val="6"/>
          <w:szCs w:val="21"/>
          <w:highlight w:val="none"/>
        </w:rPr>
      </w:pPr>
    </w:p>
    <w:p w14:paraId="13CB8BC7">
      <w:pPr>
        <w:autoSpaceDE w:val="0"/>
        <w:autoSpaceDN w:val="0"/>
        <w:spacing w:line="360" w:lineRule="auto"/>
        <w:jc w:val="center"/>
        <w:rPr>
          <w:rFonts w:hint="eastAsia" w:ascii="宋体" w:hAnsi="宋体" w:cs="宋体"/>
          <w:b/>
          <w:color w:val="auto"/>
          <w:spacing w:val="6"/>
          <w:szCs w:val="21"/>
          <w:highlight w:val="none"/>
        </w:rPr>
      </w:pPr>
    </w:p>
    <w:p w14:paraId="0B338750">
      <w:pPr>
        <w:autoSpaceDE w:val="0"/>
        <w:autoSpaceDN w:val="0"/>
        <w:spacing w:line="360" w:lineRule="auto"/>
        <w:jc w:val="center"/>
        <w:rPr>
          <w:rFonts w:hint="eastAsia" w:ascii="宋体" w:hAnsi="宋体" w:cs="宋体"/>
          <w:b/>
          <w:color w:val="auto"/>
          <w:spacing w:val="6"/>
          <w:szCs w:val="21"/>
          <w:highlight w:val="none"/>
        </w:rPr>
      </w:pPr>
    </w:p>
    <w:p w14:paraId="7A8A57B9">
      <w:pPr>
        <w:autoSpaceDE w:val="0"/>
        <w:autoSpaceDN w:val="0"/>
        <w:spacing w:line="360" w:lineRule="auto"/>
        <w:jc w:val="center"/>
        <w:rPr>
          <w:rFonts w:hint="eastAsia" w:ascii="宋体" w:hAnsi="宋体" w:cs="宋体"/>
          <w:b/>
          <w:color w:val="auto"/>
          <w:spacing w:val="6"/>
          <w:szCs w:val="21"/>
          <w:highlight w:val="none"/>
        </w:rPr>
      </w:pPr>
    </w:p>
    <w:p w14:paraId="1F9391A3">
      <w:pPr>
        <w:autoSpaceDE w:val="0"/>
        <w:autoSpaceDN w:val="0"/>
        <w:spacing w:line="360" w:lineRule="auto"/>
        <w:jc w:val="center"/>
        <w:rPr>
          <w:rFonts w:hint="eastAsia" w:ascii="宋体" w:hAnsi="宋体" w:cs="宋体"/>
          <w:b/>
          <w:color w:val="auto"/>
          <w:spacing w:val="6"/>
          <w:szCs w:val="21"/>
          <w:highlight w:val="none"/>
        </w:rPr>
      </w:pPr>
    </w:p>
    <w:p w14:paraId="05B28A08">
      <w:pPr>
        <w:autoSpaceDE w:val="0"/>
        <w:autoSpaceDN w:val="0"/>
        <w:spacing w:line="360" w:lineRule="auto"/>
        <w:jc w:val="center"/>
        <w:rPr>
          <w:rFonts w:hint="eastAsia" w:ascii="宋体" w:hAnsi="宋体" w:cs="宋体"/>
          <w:b/>
          <w:color w:val="auto"/>
          <w:spacing w:val="6"/>
          <w:szCs w:val="21"/>
          <w:highlight w:val="none"/>
        </w:rPr>
      </w:pPr>
    </w:p>
    <w:p w14:paraId="2D540F34">
      <w:pPr>
        <w:autoSpaceDE w:val="0"/>
        <w:autoSpaceDN w:val="0"/>
        <w:spacing w:line="360" w:lineRule="auto"/>
        <w:jc w:val="center"/>
        <w:rPr>
          <w:rFonts w:hint="eastAsia" w:ascii="宋体" w:hAnsi="宋体" w:cs="宋体"/>
          <w:b/>
          <w:color w:val="auto"/>
          <w:spacing w:val="6"/>
          <w:szCs w:val="21"/>
          <w:highlight w:val="none"/>
        </w:rPr>
      </w:pPr>
    </w:p>
    <w:p w14:paraId="1B8466D4">
      <w:pPr>
        <w:autoSpaceDE w:val="0"/>
        <w:autoSpaceDN w:val="0"/>
        <w:spacing w:line="360" w:lineRule="auto"/>
        <w:jc w:val="center"/>
        <w:rPr>
          <w:rFonts w:hint="eastAsia" w:ascii="宋体" w:hAnsi="宋体" w:cs="宋体"/>
          <w:b/>
          <w:color w:val="auto"/>
          <w:spacing w:val="6"/>
          <w:szCs w:val="21"/>
          <w:highlight w:val="none"/>
        </w:rPr>
      </w:pPr>
    </w:p>
    <w:p w14:paraId="45A38914">
      <w:pPr>
        <w:autoSpaceDE w:val="0"/>
        <w:autoSpaceDN w:val="0"/>
        <w:spacing w:line="360" w:lineRule="auto"/>
        <w:jc w:val="center"/>
        <w:rPr>
          <w:rFonts w:hint="eastAsia" w:ascii="宋体" w:hAnsi="宋体" w:cs="宋体"/>
          <w:b/>
          <w:color w:val="auto"/>
          <w:spacing w:val="6"/>
          <w:szCs w:val="21"/>
          <w:highlight w:val="none"/>
        </w:rPr>
      </w:pPr>
    </w:p>
    <w:p w14:paraId="3C6FF1FF">
      <w:pPr>
        <w:autoSpaceDE w:val="0"/>
        <w:autoSpaceDN w:val="0"/>
        <w:spacing w:line="360" w:lineRule="auto"/>
        <w:jc w:val="center"/>
        <w:rPr>
          <w:rFonts w:hint="eastAsia" w:ascii="宋体" w:hAnsi="宋体" w:cs="宋体"/>
          <w:b/>
          <w:color w:val="auto"/>
          <w:spacing w:val="6"/>
          <w:szCs w:val="21"/>
          <w:highlight w:val="none"/>
        </w:rPr>
      </w:pPr>
    </w:p>
    <w:p w14:paraId="352B2FF3">
      <w:pPr>
        <w:autoSpaceDE w:val="0"/>
        <w:autoSpaceDN w:val="0"/>
        <w:spacing w:line="360" w:lineRule="auto"/>
        <w:jc w:val="center"/>
        <w:rPr>
          <w:rFonts w:hint="eastAsia" w:ascii="宋体" w:hAnsi="宋体" w:cs="宋体"/>
          <w:b/>
          <w:color w:val="auto"/>
          <w:spacing w:val="6"/>
          <w:szCs w:val="21"/>
          <w:highlight w:val="none"/>
        </w:rPr>
      </w:pPr>
    </w:p>
    <w:p w14:paraId="6F789371">
      <w:pPr>
        <w:autoSpaceDE w:val="0"/>
        <w:autoSpaceDN w:val="0"/>
        <w:spacing w:line="360" w:lineRule="auto"/>
        <w:jc w:val="center"/>
        <w:rPr>
          <w:rFonts w:hint="eastAsia" w:ascii="宋体" w:hAnsi="宋体" w:cs="宋体"/>
          <w:b/>
          <w:color w:val="auto"/>
          <w:spacing w:val="6"/>
          <w:szCs w:val="21"/>
          <w:highlight w:val="none"/>
        </w:rPr>
      </w:pPr>
    </w:p>
    <w:p w14:paraId="2F030928">
      <w:pPr>
        <w:spacing w:line="360" w:lineRule="auto"/>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br w:type="page"/>
      </w:r>
    </w:p>
    <w:p w14:paraId="79CCE346">
      <w:pPr>
        <w:pStyle w:val="4"/>
        <w:rPr>
          <w:color w:val="auto"/>
          <w:szCs w:val="21"/>
          <w:highlight w:val="none"/>
          <w:lang w:val="zh-CN"/>
        </w:rPr>
      </w:pPr>
      <w:r>
        <w:rPr>
          <w:rFonts w:hint="eastAsia"/>
          <w:color w:val="auto"/>
          <w:szCs w:val="21"/>
          <w:highlight w:val="none"/>
        </w:rPr>
        <w:t>附件5：</w:t>
      </w:r>
      <w:r>
        <w:rPr>
          <w:rFonts w:hint="eastAsia"/>
          <w:color w:val="auto"/>
          <w:szCs w:val="21"/>
          <w:highlight w:val="none"/>
          <w:lang w:val="zh-CN"/>
        </w:rPr>
        <w:t>联合协议</w:t>
      </w:r>
    </w:p>
    <w:p w14:paraId="41BBAA0D">
      <w:pPr>
        <w:widowControl/>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（以联合体形式投标的，提供联合协议；本项目不接受联合体投标或者投标人不以联合体形式投标的，则不需要提供）</w:t>
      </w:r>
    </w:p>
    <w:p w14:paraId="55D032A5">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（联合体所有成员名称）</w:t>
      </w:r>
      <w:r>
        <w:rPr>
          <w:rFonts w:hint="eastAsia" w:ascii="宋体" w:hAnsi="宋体" w:cs="宋体"/>
          <w:color w:val="auto"/>
          <w:kern w:val="0"/>
          <w:szCs w:val="21"/>
          <w:highlight w:val="none"/>
        </w:rPr>
        <w:t>自愿</w:t>
      </w:r>
      <w:r>
        <w:rPr>
          <w:rFonts w:hint="eastAsia" w:ascii="宋体" w:hAnsi="宋体" w:cs="宋体"/>
          <w:color w:val="auto"/>
          <w:kern w:val="0"/>
          <w:szCs w:val="21"/>
          <w:highlight w:val="none"/>
          <w:lang w:val="zh-CN"/>
        </w:rPr>
        <w:t>组成一个联合体，以一个投标人的身份</w:t>
      </w:r>
      <w:r>
        <w:rPr>
          <w:rFonts w:hint="eastAsia" w:ascii="宋体" w:hAnsi="宋体" w:cs="宋体"/>
          <w:color w:val="auto"/>
          <w:kern w:val="0"/>
          <w:szCs w:val="21"/>
          <w:highlight w:val="none"/>
        </w:rPr>
        <w:t>参加</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 xml:space="preserve">投标。 </w:t>
      </w:r>
    </w:p>
    <w:p w14:paraId="4BB49AFD">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一、各方一致决定，</w:t>
      </w:r>
      <w:r>
        <w:rPr>
          <w:rFonts w:hint="eastAsia" w:ascii="宋体" w:hAnsi="宋体" w:cs="宋体"/>
          <w:color w:val="auto"/>
          <w:kern w:val="0"/>
          <w:szCs w:val="21"/>
          <w:highlight w:val="none"/>
          <w:u w:val="single"/>
        </w:rPr>
        <w:t>（某联合体成员名称）</w:t>
      </w:r>
      <w:r>
        <w:rPr>
          <w:rFonts w:hint="eastAsia" w:ascii="宋体" w:hAnsi="宋体" w:cs="宋体"/>
          <w:color w:val="auto"/>
          <w:kern w:val="0"/>
          <w:szCs w:val="21"/>
          <w:highlight w:val="none"/>
        </w:rPr>
        <w:t>为联合体</w:t>
      </w:r>
      <w:r>
        <w:rPr>
          <w:rFonts w:hint="eastAsia" w:ascii="宋体" w:hAnsi="宋体" w:cs="宋体"/>
          <w:color w:val="auto"/>
          <w:kern w:val="0"/>
          <w:szCs w:val="21"/>
          <w:highlight w:val="none"/>
          <w:lang w:val="zh-CN"/>
        </w:rPr>
        <w:t>牵头人</w:t>
      </w:r>
      <w:r>
        <w:rPr>
          <w:rFonts w:hint="eastAsia" w:ascii="宋体" w:hAnsi="宋体" w:cs="宋体"/>
          <w:color w:val="auto"/>
          <w:szCs w:val="21"/>
          <w:highlight w:val="none"/>
        </w:rPr>
        <w:t>，代表所有联合体成员负责投标和合同实施阶段的主办、协调工作</w:t>
      </w:r>
      <w:r>
        <w:rPr>
          <w:rFonts w:hint="eastAsia" w:ascii="宋体" w:hAnsi="宋体" w:cs="宋体"/>
          <w:color w:val="auto"/>
          <w:kern w:val="0"/>
          <w:szCs w:val="21"/>
          <w:highlight w:val="none"/>
          <w:lang w:val="zh-CN"/>
        </w:rPr>
        <w:t>。</w:t>
      </w:r>
    </w:p>
    <w:p w14:paraId="77292A2E">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二、</w:t>
      </w:r>
      <w:r>
        <w:rPr>
          <w:rFonts w:hint="eastAsia" w:ascii="宋体" w:hAnsi="宋体" w:cs="宋体"/>
          <w:color w:val="auto"/>
          <w:szCs w:val="21"/>
          <w:highlight w:val="none"/>
        </w:rPr>
        <w:t>所有联合体成员各方签署授权书，授权书载明的</w:t>
      </w:r>
      <w:r>
        <w:rPr>
          <w:rFonts w:hint="eastAsia" w:ascii="宋体" w:hAnsi="宋体" w:cs="宋体"/>
          <w:color w:val="auto"/>
          <w:kern w:val="0"/>
          <w:szCs w:val="21"/>
          <w:highlight w:val="none"/>
          <w:lang w:val="zh-CN"/>
        </w:rPr>
        <w:t>授权代表根据招标文件规定及投标内容而对采购人、采购代理机构所作的任何合法承诺，包括书面澄清及相应等均对联合投标各方产生约束力。</w:t>
      </w:r>
    </w:p>
    <w:p w14:paraId="351FD386">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三、本次联合投标中，分工如下：</w:t>
      </w:r>
    </w:p>
    <w:p w14:paraId="2843FFB9">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（联合体成员1）</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14:paraId="5108C1B8">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u w:val="single"/>
        </w:rPr>
        <w:t>（联合体成员2）</w:t>
      </w:r>
      <w:r>
        <w:rPr>
          <w:rFonts w:hint="eastAsia" w:ascii="宋体" w:hAnsi="宋体" w:cs="宋体"/>
          <w:color w:val="auto"/>
          <w:kern w:val="0"/>
          <w:szCs w:val="21"/>
          <w:highlight w:val="none"/>
          <w:lang w:val="zh-CN"/>
        </w:rPr>
        <w:t>承担的工作和义务为：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lang w:val="zh-CN"/>
        </w:rPr>
        <w:t>；</w:t>
      </w:r>
    </w:p>
    <w:p w14:paraId="12F526AD">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四、联合体成员中小企业合同份额。</w:t>
      </w:r>
    </w:p>
    <w:p w14:paraId="2CA575D3">
      <w:pPr>
        <w:snapToGrid w:val="0"/>
        <w:spacing w:line="360" w:lineRule="auto"/>
        <w:ind w:firstLine="576"/>
        <w:rPr>
          <w:rFonts w:hint="eastAsia" w:ascii="宋体" w:hAnsi="宋体" w:cs="宋体"/>
          <w:b/>
          <w:color w:val="auto"/>
          <w:kern w:val="0"/>
          <w:szCs w:val="21"/>
          <w:highlight w:val="none"/>
          <w:lang w:val="zh-CN"/>
        </w:rPr>
      </w:pPr>
      <w:r>
        <w:rPr>
          <w:rFonts w:hint="eastAsia" w:ascii="宋体" w:hAnsi="宋体" w:cs="宋体"/>
          <w:color w:val="auto"/>
          <w:kern w:val="0"/>
          <w:szCs w:val="21"/>
          <w:highlight w:val="none"/>
          <w:lang w:val="zh-CN"/>
        </w:rPr>
        <w:t>1、</w:t>
      </w:r>
      <w:r>
        <w:rPr>
          <w:rFonts w:hint="eastAsia" w:ascii="宋体" w:hAnsi="宋体" w:cs="宋体"/>
          <w:color w:val="auto"/>
          <w:kern w:val="0"/>
          <w:szCs w:val="21"/>
          <w:highlight w:val="none"/>
          <w:u w:val="single"/>
        </w:rPr>
        <w:t>（</w:t>
      </w:r>
      <w:bookmarkStart w:id="574" w:name="_Hlk101131882"/>
      <w:r>
        <w:rPr>
          <w:rFonts w:hint="eastAsia" w:ascii="宋体" w:hAnsi="宋体" w:cs="宋体"/>
          <w:color w:val="auto"/>
          <w:kern w:val="0"/>
          <w:szCs w:val="21"/>
          <w:highlight w:val="none"/>
          <w:u w:val="single"/>
        </w:rPr>
        <w:t>联合体成员X,……</w:t>
      </w:r>
      <w:bookmarkEnd w:id="574"/>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提供的服务由小微企业承接，其合同份额占到合同总金额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0256595B">
      <w:pPr>
        <w:spacing w:line="360" w:lineRule="auto"/>
        <w:ind w:firstLine="420" w:firstLineChars="200"/>
        <w:rPr>
          <w:rFonts w:hint="eastAsia" w:ascii="宋体" w:hAnsi="宋体" w:cs="宋体"/>
          <w:b/>
          <w:bCs/>
          <w:color w:val="auto"/>
          <w:kern w:val="0"/>
          <w:szCs w:val="21"/>
          <w:highlight w:val="none"/>
          <w:lang w:val="zh-CN"/>
        </w:rPr>
      </w:pPr>
      <w:r>
        <w:rPr>
          <w:rFonts w:hint="eastAsia" w:ascii="宋体" w:hAnsi="宋体" w:cs="宋体"/>
          <w:color w:val="auto"/>
          <w:szCs w:val="21"/>
          <w:highlight w:val="none"/>
        </w:rPr>
        <w:t>2、</w:t>
      </w:r>
      <w:bookmarkStart w:id="575" w:name="_Hlk101133173"/>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Cs w:val="21"/>
          <w:highlight w:val="none"/>
          <w:lang w:val="zh-CN"/>
        </w:rPr>
        <w:t>）</w:t>
      </w:r>
      <w:bookmarkEnd w:id="575"/>
    </w:p>
    <w:p w14:paraId="03847391">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五、如果中标，</w:t>
      </w:r>
      <w:r>
        <w:rPr>
          <w:rFonts w:hint="eastAsia" w:ascii="宋体" w:hAnsi="宋体" w:cs="宋体"/>
          <w:color w:val="auto"/>
          <w:szCs w:val="21"/>
          <w:highlight w:val="none"/>
        </w:rPr>
        <w:t>联合体各成员方共同与采购人签订合同，并就采购合同约定的事项对采购人承担连带责任。</w:t>
      </w:r>
    </w:p>
    <w:p w14:paraId="72DBE36A">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六、有关本次联合投标的其他事宜：</w:t>
      </w:r>
    </w:p>
    <w:p w14:paraId="32AD7631">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1、联合体各方不再单独参加或者与其他供应商另外组成联合体参加同一合同项下的政府采购活动。</w:t>
      </w:r>
    </w:p>
    <w:p w14:paraId="24A50467">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2、联合体中有同类资质的各方按照联合体分工承担相同工作的，按照资质等级较低的供应商确定资质等级。</w:t>
      </w:r>
    </w:p>
    <w:p w14:paraId="7A1DFB98">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3、本协议提交采购人、采购代理机构后，联合体各方不得以任何形式对上述内容进行修改或撤销。</w:t>
      </w:r>
    </w:p>
    <w:p w14:paraId="5EF53148">
      <w:pPr>
        <w:snapToGrid w:val="0"/>
        <w:spacing w:line="360" w:lineRule="auto"/>
        <w:ind w:firstLine="4410" w:firstLine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18FC52ED">
      <w:pPr>
        <w:snapToGrid w:val="0"/>
        <w:spacing w:line="360" w:lineRule="auto"/>
        <w:ind w:firstLine="4410" w:firstLine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1F2A0BE0">
      <w:pPr>
        <w:snapToGrid w:val="0"/>
        <w:spacing w:line="360" w:lineRule="auto"/>
        <w:jc w:val="righ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日期：  年  月   日</w:t>
      </w:r>
    </w:p>
    <w:p w14:paraId="3567007E">
      <w:pPr>
        <w:spacing w:line="360" w:lineRule="auto"/>
        <w:rPr>
          <w:rFonts w:hint="eastAsia" w:ascii="宋体" w:hAnsi="宋体" w:cs="宋体"/>
          <w:b/>
          <w:color w:val="auto"/>
          <w:spacing w:val="6"/>
          <w:szCs w:val="21"/>
          <w:highlight w:val="none"/>
        </w:rPr>
      </w:pPr>
      <w:r>
        <w:rPr>
          <w:rFonts w:hint="eastAsia" w:ascii="宋体" w:hAnsi="宋体" w:cs="宋体"/>
          <w:color w:val="auto"/>
          <w:szCs w:val="21"/>
          <w:highlight w:val="none"/>
        </w:rPr>
        <w:t>注：按本格式和要求提供。</w:t>
      </w:r>
    </w:p>
    <w:p w14:paraId="7CD8733A">
      <w:pPr>
        <w:pStyle w:val="4"/>
        <w:rPr>
          <w:color w:val="auto"/>
          <w:szCs w:val="21"/>
          <w:highlight w:val="none"/>
        </w:rPr>
      </w:pPr>
      <w:r>
        <w:rPr>
          <w:rFonts w:hint="eastAsia"/>
          <w:color w:val="auto"/>
          <w:szCs w:val="21"/>
          <w:highlight w:val="none"/>
        </w:rPr>
        <w:t>附件6：分包意向协议</w:t>
      </w:r>
    </w:p>
    <w:p w14:paraId="0C6F090A">
      <w:pPr>
        <w:widowControl/>
        <w:spacing w:line="360" w:lineRule="auto"/>
        <w:ind w:firstLine="105" w:firstLineChars="5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中标后以分包方式履行合同的，提供分包意向协议；</w:t>
      </w:r>
      <w:r>
        <w:rPr>
          <w:rFonts w:hint="eastAsia" w:ascii="宋体" w:hAnsi="宋体" w:cs="宋体"/>
          <w:color w:val="auto"/>
          <w:szCs w:val="21"/>
          <w:highlight w:val="none"/>
        </w:rPr>
        <w:t>采购</w:t>
      </w:r>
      <w:r>
        <w:rPr>
          <w:rFonts w:hint="eastAsia" w:ascii="宋体" w:hAnsi="宋体" w:cs="宋体"/>
          <w:b/>
          <w:color w:val="auto"/>
          <w:szCs w:val="21"/>
          <w:highlight w:val="none"/>
        </w:rPr>
        <w:t>人不同意分包或者投标人中标后不以分包方式履行合同的，则不需要提供。</w:t>
      </w:r>
      <w:r>
        <w:rPr>
          <w:rFonts w:hint="eastAsia" w:ascii="宋体" w:hAnsi="宋体" w:cs="宋体"/>
          <w:color w:val="auto"/>
          <w:szCs w:val="21"/>
          <w:highlight w:val="none"/>
        </w:rPr>
        <w:t>）</w:t>
      </w:r>
    </w:p>
    <w:p w14:paraId="729F46FF">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w:t>
      </w:r>
      <w:r>
        <w:rPr>
          <w:rFonts w:hint="eastAsia" w:ascii="宋体" w:hAnsi="宋体" w:cs="宋体"/>
          <w:color w:val="auto"/>
          <w:szCs w:val="21"/>
          <w:highlight w:val="none"/>
        </w:rPr>
        <w:t>名称）</w:t>
      </w:r>
      <w:r>
        <w:rPr>
          <w:rFonts w:hint="eastAsia" w:ascii="宋体" w:hAnsi="宋体" w:cs="宋体"/>
          <w:color w:val="auto"/>
          <w:kern w:val="0"/>
          <w:szCs w:val="21"/>
          <w:highlight w:val="none"/>
          <w:lang w:val="zh-CN"/>
        </w:rPr>
        <w:t>若成为</w:t>
      </w:r>
      <w:r>
        <w:rPr>
          <w:rFonts w:hint="eastAsia" w:ascii="宋体" w:hAnsi="宋体" w:cs="宋体"/>
          <w:color w:val="auto"/>
          <w:szCs w:val="21"/>
          <w:highlight w:val="none"/>
        </w:rPr>
        <w:t>（项目名称）【招标编号：（采购编号）】</w:t>
      </w:r>
      <w:r>
        <w:rPr>
          <w:rFonts w:hint="eastAsia" w:ascii="宋体" w:hAnsi="宋体" w:cs="宋体"/>
          <w:color w:val="auto"/>
          <w:kern w:val="0"/>
          <w:szCs w:val="21"/>
          <w:highlight w:val="none"/>
          <w:lang w:val="zh-CN"/>
        </w:rPr>
        <w:t>的中标供应商，将依法采取分包方式履行合同。</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与</w:t>
      </w:r>
      <w:r>
        <w:rPr>
          <w:rFonts w:hint="eastAsia" w:ascii="宋体" w:hAnsi="宋体" w:cs="宋体"/>
          <w:color w:val="auto"/>
          <w:kern w:val="0"/>
          <w:szCs w:val="21"/>
          <w:highlight w:val="none"/>
          <w:u w:val="single"/>
        </w:rPr>
        <w:t>（所有分包供应商名称）</w:t>
      </w:r>
      <w:r>
        <w:rPr>
          <w:rFonts w:hint="eastAsia" w:ascii="宋体" w:hAnsi="宋体" w:cs="宋体"/>
          <w:color w:val="auto"/>
          <w:kern w:val="0"/>
          <w:szCs w:val="21"/>
          <w:highlight w:val="none"/>
        </w:rPr>
        <w:t>达成</w:t>
      </w:r>
      <w:r>
        <w:rPr>
          <w:rFonts w:hint="eastAsia" w:ascii="宋体" w:hAnsi="宋体" w:cs="宋体"/>
          <w:color w:val="auto"/>
          <w:szCs w:val="21"/>
          <w:highlight w:val="none"/>
        </w:rPr>
        <w:t>分包意向协议</w:t>
      </w:r>
      <w:r>
        <w:rPr>
          <w:rFonts w:hint="eastAsia" w:ascii="宋体" w:hAnsi="宋体" w:cs="宋体"/>
          <w:color w:val="auto"/>
          <w:kern w:val="0"/>
          <w:szCs w:val="21"/>
          <w:highlight w:val="none"/>
          <w:lang w:val="zh-CN"/>
        </w:rPr>
        <w:t xml:space="preserve">。 </w:t>
      </w:r>
    </w:p>
    <w:p w14:paraId="6CD3DF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val="zh-CN"/>
        </w:rPr>
        <w:t>一、分包标的及数量</w:t>
      </w:r>
    </w:p>
    <w:p w14:paraId="5F702D2E">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u w:val="single"/>
        </w:rPr>
        <w:t>（投标人</w:t>
      </w:r>
      <w:r>
        <w:rPr>
          <w:rFonts w:hint="eastAsia" w:ascii="宋体" w:hAnsi="宋体" w:cs="宋体"/>
          <w:color w:val="auto"/>
          <w:szCs w:val="21"/>
          <w:highlight w:val="none"/>
          <w:u w:val="single"/>
        </w:rPr>
        <w:t>名称）</w:t>
      </w:r>
      <w:r>
        <w:rPr>
          <w:rFonts w:hint="eastAsia" w:ascii="宋体" w:hAnsi="宋体" w:cs="宋体"/>
          <w:color w:val="auto"/>
          <w:kern w:val="0"/>
          <w:szCs w:val="21"/>
          <w:highlight w:val="none"/>
          <w:lang w:val="zh-CN"/>
        </w:rPr>
        <w:t>将</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 XX工作内容   </w:t>
      </w:r>
      <w:r>
        <w:rPr>
          <w:rFonts w:hint="eastAsia" w:ascii="宋体" w:hAnsi="宋体" w:cs="宋体"/>
          <w:color w:val="auto"/>
          <w:szCs w:val="21"/>
          <w:highlight w:val="none"/>
        </w:rPr>
        <w:t>分包给</w:t>
      </w:r>
      <w:r>
        <w:rPr>
          <w:rFonts w:hint="eastAsia" w:ascii="宋体" w:hAnsi="宋体" w:cs="宋体"/>
          <w:color w:val="auto"/>
          <w:kern w:val="0"/>
          <w:szCs w:val="21"/>
          <w:highlight w:val="none"/>
          <w:u w:val="single"/>
        </w:rPr>
        <w:t>（分包供应商1名称）</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u w:val="single"/>
        </w:rPr>
        <w:t>（分包供应商2名称），</w:t>
      </w:r>
      <w:r>
        <w:rPr>
          <w:rFonts w:hint="eastAsia" w:ascii="宋体" w:hAnsi="宋体" w:cs="宋体"/>
          <w:color w:val="auto"/>
          <w:kern w:val="0"/>
          <w:szCs w:val="21"/>
          <w:highlight w:val="none"/>
          <w:lang w:val="zh-CN"/>
        </w:rPr>
        <w:t>具备承</w:t>
      </w:r>
      <w:r>
        <w:rPr>
          <w:rFonts w:hint="eastAsia" w:ascii="宋体" w:hAnsi="宋体" w:cs="宋体"/>
          <w:color w:val="auto"/>
          <w:kern w:val="0"/>
          <w:szCs w:val="21"/>
          <w:highlight w:val="none"/>
        </w:rPr>
        <w:t>担</w:t>
      </w:r>
      <w:r>
        <w:rPr>
          <w:rFonts w:hint="eastAsia" w:ascii="宋体" w:hAnsi="宋体" w:cs="宋体"/>
          <w:color w:val="auto"/>
          <w:kern w:val="0"/>
          <w:szCs w:val="21"/>
          <w:highlight w:val="none"/>
          <w:u w:val="single"/>
          <w:lang w:val="zh-CN"/>
        </w:rPr>
        <w:t>XX工作内容</w:t>
      </w:r>
      <w:r>
        <w:rPr>
          <w:rFonts w:hint="eastAsia" w:ascii="宋体" w:hAnsi="宋体" w:cs="宋体"/>
          <w:color w:val="auto"/>
          <w:kern w:val="0"/>
          <w:szCs w:val="21"/>
          <w:highlight w:val="none"/>
          <w:lang w:val="zh-CN"/>
        </w:rPr>
        <w:t>相应资质条件且不得再次分包；</w:t>
      </w:r>
    </w:p>
    <w:p w14:paraId="292C12E2">
      <w:pPr>
        <w:spacing w:line="360" w:lineRule="auto"/>
        <w:rPr>
          <w:color w:val="auto"/>
          <w:szCs w:val="21"/>
          <w:highlight w:val="none"/>
        </w:rPr>
      </w:pPr>
      <w:r>
        <w:rPr>
          <w:rFonts w:hint="eastAsia"/>
          <w:color w:val="auto"/>
          <w:szCs w:val="21"/>
          <w:highlight w:val="none"/>
        </w:rPr>
        <w:t>……</w:t>
      </w:r>
    </w:p>
    <w:p w14:paraId="04875549">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二、分包供应商中小企业合同份额</w:t>
      </w:r>
    </w:p>
    <w:p w14:paraId="6E4001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（分包供应商X,……）提供的服务全部由小微</w:t>
      </w:r>
      <w:r>
        <w:rPr>
          <w:rFonts w:hint="eastAsia" w:ascii="宋体" w:hAnsi="宋体" w:cs="宋体"/>
          <w:color w:val="auto"/>
          <w:szCs w:val="21"/>
          <w:highlight w:val="none"/>
          <w:u w:val="single"/>
        </w:rPr>
        <w:t>企业</w:t>
      </w:r>
      <w:r>
        <w:rPr>
          <w:rFonts w:hint="eastAsia" w:ascii="宋体" w:hAnsi="宋体" w:cs="宋体"/>
          <w:color w:val="auto"/>
          <w:kern w:val="0"/>
          <w:szCs w:val="21"/>
          <w:highlight w:val="none"/>
          <w:u w:val="single"/>
        </w:rPr>
        <w:t>承接，</w:t>
      </w:r>
      <w:r>
        <w:rPr>
          <w:rFonts w:hint="eastAsia" w:ascii="宋体" w:hAnsi="宋体" w:cs="宋体"/>
          <w:color w:val="auto"/>
          <w:kern w:val="0"/>
          <w:szCs w:val="21"/>
          <w:highlight w:val="none"/>
        </w:rPr>
        <w:t>其合同份额占到合同总金额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%以上</w:t>
      </w:r>
      <w:r>
        <w:rPr>
          <w:rFonts w:hint="eastAsia" w:ascii="宋体" w:hAnsi="宋体" w:cs="宋体"/>
          <w:color w:val="auto"/>
          <w:szCs w:val="21"/>
          <w:highlight w:val="none"/>
        </w:rPr>
        <w:t>。</w:t>
      </w:r>
      <w:r>
        <w:rPr>
          <w:rFonts w:hint="eastAsia" w:ascii="宋体" w:hAnsi="宋体" w:cs="宋体"/>
          <w:b/>
          <w:color w:val="auto"/>
          <w:kern w:val="0"/>
          <w:szCs w:val="21"/>
          <w:highlight w:val="none"/>
          <w:lang w:val="zh-CN"/>
        </w:rPr>
        <w:t>（未预留份额专门面向中小企业采购的采购项目，以及预留份额中的非预留部分采购包，允许分包的，分包意向协议约定小微</w:t>
      </w:r>
      <w:r>
        <w:rPr>
          <w:rFonts w:hint="eastAsia" w:ascii="宋体" w:hAnsi="宋体" w:cs="宋体"/>
          <w:color w:val="auto"/>
          <w:szCs w:val="21"/>
          <w:highlight w:val="none"/>
          <w:u w:val="single"/>
        </w:rPr>
        <w:t>企业</w:t>
      </w:r>
      <w:r>
        <w:rPr>
          <w:rFonts w:hint="eastAsia" w:ascii="宋体" w:hAnsi="宋体" w:cs="宋体"/>
          <w:b/>
          <w:color w:val="auto"/>
          <w:kern w:val="0"/>
          <w:szCs w:val="21"/>
          <w:highlight w:val="none"/>
          <w:lang w:val="zh-CN"/>
        </w:rPr>
        <w:t>的合同份额占到合同总金额30%以上的，对大中型</w:t>
      </w:r>
      <w:r>
        <w:rPr>
          <w:rFonts w:hint="eastAsia" w:ascii="宋体" w:hAnsi="宋体" w:cs="宋体"/>
          <w:color w:val="auto"/>
          <w:szCs w:val="21"/>
          <w:highlight w:val="none"/>
          <w:u w:val="single"/>
        </w:rPr>
        <w:t>企业</w:t>
      </w:r>
      <w:r>
        <w:rPr>
          <w:rFonts w:hint="eastAsia" w:ascii="宋体" w:hAnsi="宋体" w:cs="宋体"/>
          <w:b/>
          <w:color w:val="auto"/>
          <w:kern w:val="0"/>
          <w:szCs w:val="21"/>
          <w:highlight w:val="none"/>
          <w:lang w:val="zh-CN"/>
        </w:rPr>
        <w:t>的报价按评标标准确定的比例给予扣除。供应商</w:t>
      </w:r>
      <w:r>
        <w:rPr>
          <w:rFonts w:hint="eastAsia" w:ascii="宋体" w:hAnsi="宋体" w:cs="宋体"/>
          <w:b/>
          <w:color w:val="auto"/>
          <w:szCs w:val="21"/>
          <w:highlight w:val="none"/>
        </w:rPr>
        <w:t>拟享受以上价格扣除政策的，填写有关内容。</w:t>
      </w:r>
      <w:r>
        <w:rPr>
          <w:rFonts w:hint="eastAsia" w:ascii="宋体" w:hAnsi="宋体" w:cs="宋体"/>
          <w:b/>
          <w:color w:val="auto"/>
          <w:kern w:val="0"/>
          <w:szCs w:val="21"/>
          <w:highlight w:val="none"/>
          <w:lang w:val="zh-CN"/>
        </w:rPr>
        <w:t>）</w:t>
      </w:r>
    </w:p>
    <w:p w14:paraId="621FAD1D">
      <w:pPr>
        <w:spacing w:line="360" w:lineRule="auto"/>
        <w:ind w:firstLine="420" w:firstLineChars="200"/>
        <w:rPr>
          <w:rFonts w:hint="eastAsia" w:ascii="宋体" w:hAnsi="宋体" w:cs="宋体"/>
          <w:b/>
          <w:bCs/>
          <w:color w:val="auto"/>
          <w:kern w:val="0"/>
          <w:szCs w:val="21"/>
          <w:highlight w:val="none"/>
          <w:lang w:val="zh-CN"/>
        </w:rPr>
      </w:pPr>
      <w:r>
        <w:rPr>
          <w:rFonts w:hint="eastAsia" w:ascii="宋体" w:hAnsi="宋体" w:cs="宋体"/>
          <w:color w:val="auto"/>
          <w:szCs w:val="21"/>
          <w:highlight w:val="none"/>
        </w:rPr>
        <w:t>2、中小企业合同金额达到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w:t>
      </w:r>
      <w:r>
        <w:rPr>
          <w:rFonts w:hint="eastAsia" w:ascii="宋体" w:hAnsi="宋体" w:cs="宋体"/>
          <w:b/>
          <w:bCs/>
          <w:color w:val="auto"/>
          <w:kern w:val="0"/>
          <w:szCs w:val="21"/>
          <w:highlight w:val="none"/>
          <w:lang w:val="zh-CN"/>
        </w:rPr>
        <w:t>（</w:t>
      </w:r>
      <w:r>
        <w:rPr>
          <w:rFonts w:hint="eastAsia" w:ascii="宋体" w:hAnsi="宋体" w:cs="宋体"/>
          <w:b/>
          <w:bCs/>
          <w:color w:val="auto"/>
          <w:szCs w:val="21"/>
          <w:highlight w:val="none"/>
        </w:rPr>
        <w:t>要求合同分包形式参加的项目或</w:t>
      </w:r>
      <w:r>
        <w:rPr>
          <w:rFonts w:hint="eastAsia" w:ascii="宋体" w:hAnsi="宋体" w:cs="宋体"/>
          <w:color w:val="auto"/>
          <w:szCs w:val="21"/>
          <w:highlight w:val="none"/>
          <w:u w:val="single"/>
        </w:rPr>
        <w:t>采购</w:t>
      </w:r>
      <w:r>
        <w:rPr>
          <w:rFonts w:hint="eastAsia" w:ascii="宋体" w:hAnsi="宋体" w:cs="宋体"/>
          <w:b/>
          <w:bCs/>
          <w:color w:val="auto"/>
          <w:szCs w:val="21"/>
          <w:highlight w:val="none"/>
        </w:rPr>
        <w:t>包，供应商按招标</w:t>
      </w:r>
      <w:r>
        <w:rPr>
          <w:rFonts w:hint="eastAsia" w:ascii="宋体" w:hAnsi="宋体" w:cs="宋体"/>
          <w:color w:val="auto"/>
          <w:szCs w:val="21"/>
          <w:highlight w:val="none"/>
          <w:u w:val="single"/>
        </w:rPr>
        <w:t>文件</w:t>
      </w:r>
      <w:r>
        <w:rPr>
          <w:rFonts w:hint="eastAsia" w:ascii="宋体" w:hAnsi="宋体" w:cs="宋体"/>
          <w:b/>
          <w:bCs/>
          <w:color w:val="auto"/>
          <w:szCs w:val="21"/>
          <w:highlight w:val="none"/>
        </w:rPr>
        <w:t>第一部分招标公告申请人的资格要求中规定的</w:t>
      </w:r>
      <w:r>
        <w:rPr>
          <w:rFonts w:hint="eastAsia" w:ascii="宋体" w:hAnsi="宋体" w:cs="宋体"/>
          <w:b/>
          <w:color w:val="auto"/>
          <w:kern w:val="0"/>
          <w:szCs w:val="21"/>
          <w:highlight w:val="none"/>
          <w:lang w:val="zh-CN"/>
        </w:rPr>
        <w:t>分包意向协议</w:t>
      </w:r>
      <w:r>
        <w:rPr>
          <w:rFonts w:hint="eastAsia" w:ascii="宋体" w:hAnsi="宋体" w:cs="宋体"/>
          <w:b/>
          <w:bCs/>
          <w:color w:val="auto"/>
          <w:szCs w:val="21"/>
          <w:highlight w:val="none"/>
        </w:rPr>
        <w:t>中中小企业、小微</w:t>
      </w:r>
      <w:r>
        <w:rPr>
          <w:rFonts w:hint="eastAsia" w:ascii="宋体" w:hAnsi="宋体" w:cs="宋体"/>
          <w:color w:val="auto"/>
          <w:szCs w:val="21"/>
          <w:highlight w:val="none"/>
          <w:u w:val="single"/>
        </w:rPr>
        <w:t>企业</w:t>
      </w:r>
      <w:r>
        <w:rPr>
          <w:rFonts w:hint="eastAsia" w:ascii="宋体" w:hAnsi="宋体" w:cs="宋体"/>
          <w:b/>
          <w:bCs/>
          <w:color w:val="auto"/>
          <w:szCs w:val="21"/>
          <w:highlight w:val="none"/>
        </w:rPr>
        <w:t>合同金额应当达到的比例要求填写。</w:t>
      </w:r>
      <w:r>
        <w:rPr>
          <w:rFonts w:hint="eastAsia" w:ascii="宋体" w:hAnsi="宋体" w:cs="宋体"/>
          <w:b/>
          <w:bCs/>
          <w:color w:val="auto"/>
          <w:kern w:val="0"/>
          <w:szCs w:val="21"/>
          <w:highlight w:val="none"/>
          <w:lang w:val="zh-CN"/>
        </w:rPr>
        <w:t>）</w:t>
      </w:r>
    </w:p>
    <w:p w14:paraId="4C3E4E13">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三、分包工作履行期限、地点、方式</w:t>
      </w:r>
    </w:p>
    <w:p w14:paraId="424A65B2">
      <w:pPr>
        <w:snapToGrid w:val="0"/>
        <w:spacing w:line="360" w:lineRule="auto"/>
        <w:ind w:firstLine="576"/>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335C93FE">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四、质量</w:t>
      </w:r>
    </w:p>
    <w:p w14:paraId="1E231F31">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6FA18696">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五、价款或者报酬</w:t>
      </w:r>
    </w:p>
    <w:p w14:paraId="66AC0FD1">
      <w:pPr>
        <w:snapToGrid w:val="0"/>
        <w:spacing w:line="360" w:lineRule="auto"/>
        <w:ind w:left="573" w:leftChars="273"/>
        <w:rPr>
          <w:rFonts w:hint="eastAsia"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57F86BB0">
      <w:pPr>
        <w:snapToGrid w:val="0"/>
        <w:spacing w:line="360" w:lineRule="auto"/>
        <w:ind w:left="573" w:leftChars="273"/>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六、违约责任</w:t>
      </w:r>
    </w:p>
    <w:p w14:paraId="7A563C50">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55BDFC11">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七、争议解决的办法</w:t>
      </w:r>
    </w:p>
    <w:p w14:paraId="53D11A19">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szCs w:val="21"/>
          <w:highlight w:val="none"/>
          <w:u w:val="single"/>
        </w:rPr>
        <w:t xml:space="preserve">                                                                                  </w:t>
      </w:r>
    </w:p>
    <w:p w14:paraId="27AD5340">
      <w:pPr>
        <w:snapToGrid w:val="0"/>
        <w:spacing w:line="360" w:lineRule="auto"/>
        <w:ind w:firstLine="576"/>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八、其他</w:t>
      </w:r>
    </w:p>
    <w:p w14:paraId="5266D626">
      <w:pPr>
        <w:snapToGrid w:val="0"/>
        <w:spacing w:line="360" w:lineRule="auto"/>
        <w:ind w:left="5128" w:leftChars="342" w:hanging="4410" w:hangingChars="2100"/>
        <w:jc w:val="left"/>
        <w:rPr>
          <w:rFonts w:hint="eastAsia" w:ascii="宋体" w:hAnsi="宋体" w:cs="宋体"/>
          <w:color w:val="auto"/>
          <w:kern w:val="0"/>
          <w:szCs w:val="21"/>
          <w:highlight w:val="none"/>
          <w:lang w:val="zh-CN"/>
        </w:rPr>
      </w:pPr>
      <w:r>
        <w:rPr>
          <w:rFonts w:hint="eastAsia" w:ascii="宋体" w:hAnsi="宋体" w:cs="宋体"/>
          <w:color w:val="auto"/>
          <w:szCs w:val="21"/>
          <w:highlight w:val="none"/>
        </w:rPr>
        <w:t>中小企业合同金额达到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%，小微企业合同金额达到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 xml:space="preserve">。                                  </w:t>
      </w:r>
    </w:p>
    <w:p w14:paraId="49D854AD">
      <w:pPr>
        <w:snapToGrid w:val="0"/>
        <w:spacing w:line="360" w:lineRule="auto"/>
        <w:ind w:left="5128" w:leftChars="342" w:hanging="4410" w:hangingChars="2100"/>
        <w:jc w:val="left"/>
        <w:rPr>
          <w:rFonts w:hint="eastAsia" w:ascii="宋体" w:hAnsi="宋体" w:cs="宋体"/>
          <w:color w:val="auto"/>
          <w:szCs w:val="21"/>
          <w:highlight w:val="none"/>
        </w:rPr>
      </w:pPr>
      <w:r>
        <w:rPr>
          <w:rFonts w:hint="eastAsia" w:ascii="宋体" w:hAnsi="宋体" w:cs="宋体"/>
          <w:color w:val="auto"/>
          <w:kern w:val="0"/>
          <w:szCs w:val="21"/>
          <w:highlight w:val="none"/>
          <w:lang w:val="zh-CN"/>
        </w:rPr>
        <w:t>投标人名称（电子签名）：</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分包供应商名称（电子签名/公章）：</w:t>
      </w:r>
    </w:p>
    <w:p w14:paraId="22A2FB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p>
    <w:p w14:paraId="735FBD59">
      <w:pPr>
        <w:snapToGrid w:val="0"/>
        <w:spacing w:line="36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6215D449">
      <w:pPr>
        <w:spacing w:line="360" w:lineRule="auto"/>
        <w:ind w:right="4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注：按本格式和要求提供。</w:t>
      </w:r>
    </w:p>
    <w:p w14:paraId="76A805DD">
      <w:pPr>
        <w:pStyle w:val="4"/>
        <w:rPr>
          <w:color w:val="auto"/>
          <w:szCs w:val="21"/>
          <w:highlight w:val="none"/>
        </w:rPr>
      </w:pPr>
      <w:r>
        <w:rPr>
          <w:rFonts w:hint="eastAsia"/>
          <w:color w:val="auto"/>
          <w:szCs w:val="21"/>
          <w:highlight w:val="none"/>
        </w:rPr>
        <w:t>附件7：中小企业声明函</w:t>
      </w:r>
    </w:p>
    <w:p w14:paraId="080D8EFD">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中小企业声明函（服务）</w:t>
      </w:r>
    </w:p>
    <w:p w14:paraId="18AAFCDB">
      <w:pPr>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 xml:space="preserve"> 杭州市余杭区数据资源管理局 </w:t>
      </w:r>
      <w:r>
        <w:rPr>
          <w:rFonts w:hint="eastAsia" w:ascii="宋体" w:hAnsi="宋体" w:cs="宋体"/>
          <w:color w:val="auto"/>
          <w:szCs w:val="21"/>
          <w:highlight w:val="none"/>
        </w:rPr>
        <w:t xml:space="preserve">的 </w:t>
      </w:r>
      <w:r>
        <w:rPr>
          <w:rFonts w:hint="eastAsia" w:ascii="宋体" w:hAnsi="宋体" w:cs="宋体"/>
          <w:color w:val="auto"/>
          <w:szCs w:val="21"/>
          <w:highlight w:val="none"/>
          <w:u w:val="single"/>
        </w:rPr>
        <w:t xml:space="preserve">余杭区政务云平台项目 </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14:paraId="0789B2D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 xml:space="preserve"> 余杭区政务云平台 </w:t>
      </w:r>
      <w:r>
        <w:rPr>
          <w:rFonts w:hint="eastAsia" w:ascii="宋体" w:hAnsi="宋体" w:cs="宋体"/>
          <w:color w:val="auto"/>
          <w:szCs w:val="21"/>
          <w:highlight w:val="none"/>
        </w:rPr>
        <w:t xml:space="preserve">，属于 </w:t>
      </w:r>
      <w:r>
        <w:rPr>
          <w:rFonts w:hint="eastAsia" w:ascii="宋体" w:hAnsi="宋体" w:cs="宋体"/>
          <w:color w:val="auto"/>
          <w:szCs w:val="21"/>
          <w:highlight w:val="none"/>
          <w:u w:val="single"/>
        </w:rPr>
        <w:t>软件和信息技术服务业</w:t>
      </w:r>
      <w:r>
        <w:rPr>
          <w:rFonts w:hint="eastAsia" w:ascii="宋体" w:hAnsi="宋体" w:cs="宋体"/>
          <w:color w:val="auto"/>
          <w:szCs w:val="21"/>
          <w:highlight w:val="none"/>
        </w:rPr>
        <w:t xml:space="preserve"> ；承建（承接）企业为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w:t>
      </w:r>
      <w:bookmarkStart w:id="576" w:name="_GoBack"/>
      <w:bookmarkEnd w:id="576"/>
      <w:r>
        <w:rPr>
          <w:rFonts w:hint="eastAsia" w:ascii="宋体" w:hAnsi="宋体" w:cs="宋体"/>
          <w:color w:val="auto"/>
          <w:szCs w:val="21"/>
          <w:highlight w:val="none"/>
        </w:rPr>
        <w:t>，营业收入为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中型企业、</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小型企业、</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微型企业</w:t>
      </w:r>
      <w:r>
        <w:rPr>
          <w:rFonts w:hint="eastAsia" w:ascii="宋体" w:hAnsi="宋体" w:cs="宋体"/>
          <w:color w:val="auto"/>
          <w:szCs w:val="21"/>
          <w:highlight w:val="none"/>
        </w:rPr>
        <w:t>；</w:t>
      </w:r>
    </w:p>
    <w:p w14:paraId="0DFBA38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0532CC8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3A9AE5DD">
      <w:pPr>
        <w:spacing w:line="360" w:lineRule="auto"/>
        <w:ind w:right="1760" w:firstLine="420" w:firstLineChars="200"/>
        <w:rPr>
          <w:rFonts w:hint="eastAsia" w:ascii="宋体" w:hAnsi="宋体" w:cs="宋体"/>
          <w:color w:val="auto"/>
          <w:szCs w:val="21"/>
          <w:highlight w:val="none"/>
        </w:rPr>
      </w:pPr>
    </w:p>
    <w:p w14:paraId="40B76209">
      <w:pPr>
        <w:spacing w:line="360" w:lineRule="auto"/>
        <w:ind w:right="176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投标人名称（电子签名）：</w:t>
      </w:r>
    </w:p>
    <w:p w14:paraId="189CB56E">
      <w:pPr>
        <w:spacing w:line="360" w:lineRule="auto"/>
        <w:ind w:right="11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 期：</w:t>
      </w:r>
    </w:p>
    <w:p w14:paraId="34B54FEE">
      <w:pPr>
        <w:spacing w:line="360" w:lineRule="auto"/>
        <w:ind w:firstLine="310" w:firstLineChars="147"/>
        <w:jc w:val="left"/>
        <w:rPr>
          <w:rFonts w:hint="eastAsia" w:ascii="宋体" w:hAnsi="宋体" w:cs="宋体"/>
          <w:b/>
          <w:color w:val="auto"/>
          <w:szCs w:val="21"/>
          <w:highlight w:val="none"/>
        </w:rPr>
      </w:pPr>
    </w:p>
    <w:p w14:paraId="085C7E46">
      <w:pPr>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5F149B3">
      <w:pPr>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 xml:space="preserve">   注：</w:t>
      </w:r>
    </w:p>
    <w:p w14:paraId="59A57738">
      <w:pPr>
        <w:numPr>
          <w:ilvl w:val="0"/>
          <w:numId w:val="20"/>
        </w:numPr>
        <w:spacing w:line="360" w:lineRule="auto"/>
        <w:ind w:right="4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填写要求：①“标的名称</w:t>
      </w:r>
      <w:r>
        <w:rPr>
          <w:rFonts w:hint="eastAsia" w:ascii="宋体" w:hAnsi="宋体" w:cs="宋体"/>
          <w:color w:val="auto"/>
          <w:szCs w:val="21"/>
          <w:highlight w:val="none"/>
          <w:lang w:eastAsia="zh-CN"/>
        </w:rPr>
        <w:t>”“</w:t>
      </w:r>
      <w:r>
        <w:rPr>
          <w:rFonts w:hint="eastAsia" w:ascii="宋体" w:hAnsi="宋体" w:cs="宋体"/>
          <w:color w:val="auto"/>
          <w:szCs w:val="21"/>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数据填写错误的，应按照评审小组要求进行澄清或者补正，无上一年度数据的新成立企业可不填报；</w:t>
      </w:r>
      <w:r>
        <w:rPr>
          <w:rFonts w:hint="eastAsia" w:ascii="Calibri" w:hAnsi="Calibri" w:cs="Calibri"/>
          <w:b/>
          <w:color w:val="auto"/>
          <w:szCs w:val="21"/>
          <w:highlight w:val="none"/>
        </w:rPr>
        <w:t>▲</w:t>
      </w:r>
      <w:r>
        <w:rPr>
          <w:rFonts w:hint="eastAsia" w:ascii="宋体" w:hAnsi="宋体" w:cs="宋体"/>
          <w:b/>
          <w:bCs/>
          <w:color w:val="auto"/>
          <w:szCs w:val="21"/>
          <w:highlight w:val="none"/>
          <w:u w:val="single"/>
        </w:rPr>
        <w:t>③中型企业、小型企业、微型企业3种企业类型，结合以上数据，依据《中小企业划型标准规定》（工信部联企业〔2011〕300号）确定进行勾选，若未勾选或勾选类型错误，投标无效；</w:t>
      </w:r>
      <w:r>
        <w:rPr>
          <w:rFonts w:hint="eastAsia" w:ascii="宋体" w:hAnsi="宋体" w:cs="宋体"/>
          <w:color w:val="auto"/>
          <w:szCs w:val="21"/>
          <w:highlight w:val="none"/>
        </w:rPr>
        <w:t>④投标人提供的《中小企业声明函》声明内容不实的，属于提供虚假材料谋取中标、成交的，依法承担法律责任。</w:t>
      </w:r>
    </w:p>
    <w:p w14:paraId="5920C3C3">
      <w:pPr>
        <w:spacing w:line="360" w:lineRule="auto"/>
        <w:ind w:right="4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w:t>
      </w:r>
      <w:r>
        <w:rPr>
          <w:rFonts w:hint="eastAsia" w:ascii="宋体" w:hAnsi="宋体" w:cs="宋体"/>
          <w:color w:val="auto"/>
          <w:szCs w:val="21"/>
          <w:highlight w:val="none"/>
          <w:lang w:eastAsia="zh-CN"/>
        </w:rPr>
        <w:t>〔2014〕68号</w:t>
      </w:r>
      <w:r>
        <w:rPr>
          <w:rFonts w:hint="eastAsia" w:ascii="宋体" w:hAnsi="宋体" w:cs="宋体"/>
          <w:color w:val="auto"/>
          <w:szCs w:val="21"/>
          <w:highlight w:val="none"/>
        </w:rPr>
        <w:t>）的规定，投标人提供由省级以上监狱管理局、戒毒管理局（含新疆生产建设兵团）出具的属于监狱企业证明文件的，视同为小型和微型企业。</w:t>
      </w:r>
    </w:p>
    <w:p w14:paraId="22A24052">
      <w:pPr>
        <w:spacing w:line="360" w:lineRule="auto"/>
        <w:ind w:right="4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软件和信息技术服务业中，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8163AE">
      <w:pPr>
        <w:spacing w:line="360" w:lineRule="auto"/>
        <w:ind w:right="420" w:firstLine="420" w:firstLineChars="200"/>
        <w:rPr>
          <w:rFonts w:hint="eastAsia" w:ascii="宋体" w:hAnsi="宋体" w:cs="宋体"/>
          <w:color w:val="auto"/>
          <w:szCs w:val="21"/>
          <w:highlight w:val="none"/>
        </w:rPr>
      </w:pPr>
      <w:r>
        <w:rPr>
          <w:rFonts w:hint="eastAsia" w:ascii="宋体" w:hAnsi="宋体" w:cs="宋体"/>
          <w:color w:val="auto"/>
          <w:szCs w:val="21"/>
          <w:highlight w:val="none"/>
        </w:rPr>
        <w:br w:type="page"/>
      </w:r>
    </w:p>
    <w:p w14:paraId="661FED3F">
      <w:pPr>
        <w:pStyle w:val="4"/>
        <w:ind w:firstLine="446"/>
        <w:rPr>
          <w:rFonts w:hint="eastAsia" w:ascii="宋体" w:hAnsi="宋体" w:cs="宋体"/>
          <w:color w:val="auto"/>
          <w:spacing w:val="6"/>
          <w:szCs w:val="21"/>
          <w:highlight w:val="none"/>
        </w:rPr>
      </w:pPr>
      <w:r>
        <w:rPr>
          <w:rFonts w:hint="eastAsia" w:ascii="宋体" w:hAnsi="宋体" w:cs="宋体"/>
          <w:color w:val="auto"/>
          <w:spacing w:val="6"/>
          <w:szCs w:val="21"/>
          <w:highlight w:val="none"/>
        </w:rPr>
        <w:t>附件8：政府采购活动现场确认声明书</w:t>
      </w:r>
    </w:p>
    <w:p w14:paraId="720E22ED">
      <w:pPr>
        <w:spacing w:line="360" w:lineRule="auto"/>
        <w:jc w:val="center"/>
        <w:rPr>
          <w:rFonts w:hint="eastAsia" w:ascii="宋体" w:hAnsi="宋体" w:cs="宋体"/>
          <w:b/>
          <w:bCs/>
          <w:color w:val="auto"/>
          <w:szCs w:val="21"/>
          <w:highlight w:val="none"/>
        </w:rPr>
      </w:pPr>
    </w:p>
    <w:p w14:paraId="257FEDE5">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政府采购活动现场确认声明书</w:t>
      </w:r>
    </w:p>
    <w:p w14:paraId="3A09A867">
      <w:pPr>
        <w:pStyle w:val="320"/>
        <w:snapToGrid w:val="0"/>
        <w:spacing w:line="360" w:lineRule="auto"/>
        <w:ind w:firstLine="420"/>
        <w:rPr>
          <w:rFonts w:hint="eastAsia" w:hAnsi="宋体" w:eastAsia="宋体" w:cs="宋体"/>
          <w:b/>
          <w:color w:val="auto"/>
          <w:sz w:val="21"/>
          <w:szCs w:val="21"/>
          <w:highlight w:val="none"/>
        </w:rPr>
      </w:pPr>
      <w:r>
        <w:rPr>
          <w:rFonts w:hint="eastAsia" w:hAnsi="宋体" w:eastAsia="宋体" w:cs="宋体"/>
          <w:color w:val="auto"/>
          <w:sz w:val="21"/>
          <w:szCs w:val="21"/>
          <w:highlight w:val="none"/>
        </w:rPr>
        <w:t>浙江省成套招标代理有限公司：</w:t>
      </w:r>
    </w:p>
    <w:p w14:paraId="46934473">
      <w:pPr>
        <w:pStyle w:val="320"/>
        <w:adjustRightInd w:val="0"/>
        <w:snapToGrid w:val="0"/>
        <w:spacing w:line="360" w:lineRule="auto"/>
        <w:ind w:firstLine="444"/>
        <w:rPr>
          <w:rFonts w:hint="eastAsia" w:hAnsi="宋体" w:eastAsia="宋体" w:cs="宋体"/>
          <w:color w:val="auto"/>
          <w:sz w:val="21"/>
          <w:szCs w:val="21"/>
          <w:highlight w:val="none"/>
          <w:u w:val="single"/>
        </w:rPr>
      </w:pPr>
      <w:r>
        <w:rPr>
          <w:rFonts w:hint="eastAsia" w:hAnsi="宋体" w:eastAsia="宋体" w:cs="宋体"/>
          <w:color w:val="auto"/>
          <w:spacing w:val="6"/>
          <w:sz w:val="21"/>
          <w:szCs w:val="21"/>
          <w:highlight w:val="none"/>
        </w:rPr>
        <w:t>本人经由单位法定代表人合法授权参加</w:t>
      </w:r>
      <w:r>
        <w:rPr>
          <w:rFonts w:hint="eastAsia" w:hAnsi="宋体" w:eastAsia="宋体" w:cs="宋体"/>
          <w:color w:val="auto"/>
          <w:sz w:val="21"/>
          <w:szCs w:val="21"/>
          <w:highlight w:val="none"/>
          <w:u w:val="single"/>
        </w:rPr>
        <w:t>杭州市余杭区数据资源管理局</w:t>
      </w:r>
      <w:r>
        <w:rPr>
          <w:rFonts w:hint="eastAsia" w:hAnsi="宋体" w:eastAsia="宋体" w:cs="宋体"/>
          <w:color w:val="auto"/>
          <w:sz w:val="21"/>
          <w:szCs w:val="21"/>
          <w:highlight w:val="none"/>
        </w:rPr>
        <w:t>（采购人）</w:t>
      </w:r>
      <w:r>
        <w:rPr>
          <w:rFonts w:hint="eastAsia" w:hAnsi="宋体" w:eastAsia="宋体" w:cs="宋体"/>
          <w:color w:val="auto"/>
          <w:sz w:val="21"/>
          <w:szCs w:val="21"/>
          <w:highlight w:val="none"/>
          <w:u w:val="single"/>
        </w:rPr>
        <w:t>余杭区政务云平台项目</w:t>
      </w:r>
      <w:r>
        <w:rPr>
          <w:rFonts w:hint="eastAsia" w:hAnsi="宋体" w:eastAsia="宋体" w:cs="宋体"/>
          <w:color w:val="auto"/>
          <w:sz w:val="21"/>
          <w:szCs w:val="21"/>
          <w:highlight w:val="none"/>
        </w:rPr>
        <w:t>（项目名称）</w:t>
      </w:r>
      <w:r>
        <w:rPr>
          <w:rFonts w:hint="eastAsia" w:hAnsi="宋体" w:eastAsia="宋体" w:cs="宋体"/>
          <w:color w:val="auto"/>
          <w:sz w:val="21"/>
          <w:szCs w:val="21"/>
          <w:highlight w:val="none"/>
          <w:u w:val="single"/>
          <w:lang w:eastAsia="zh-CN"/>
        </w:rPr>
        <w:t>CTZB-2024120045</w:t>
      </w:r>
      <w:r>
        <w:rPr>
          <w:rFonts w:hint="eastAsia" w:hAnsi="宋体" w:eastAsia="宋体" w:cs="宋体"/>
          <w:color w:val="auto"/>
          <w:sz w:val="21"/>
          <w:szCs w:val="21"/>
          <w:highlight w:val="none"/>
        </w:rPr>
        <w:t>（项目编号）</w:t>
      </w:r>
      <w:r>
        <w:rPr>
          <w:rFonts w:hint="eastAsia" w:hAnsi="宋体" w:eastAsia="宋体" w:cs="宋体"/>
          <w:color w:val="auto"/>
          <w:spacing w:val="6"/>
          <w:sz w:val="21"/>
          <w:szCs w:val="21"/>
          <w:highlight w:val="none"/>
        </w:rPr>
        <w:t>政府采购活动，经与本单位法人代表人联系确认，现就有关公平竞争事项郑重声明如下：</w:t>
      </w:r>
    </w:p>
    <w:p w14:paraId="7051AE55">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F5FFABA">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A.投资关系    B.行政隶属关系    C.业务指导关系</w:t>
      </w:r>
    </w:p>
    <w:p w14:paraId="3EF30546">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2E350EB6">
      <w:pPr>
        <w:pStyle w:val="321"/>
        <w:widowControl/>
        <w:snapToGrid w:val="0"/>
        <w:spacing w:line="360" w:lineRule="auto"/>
        <w:ind w:firstLine="444"/>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304DD55">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A.法定代表人或负责人或实际控制人是同一人</w:t>
      </w:r>
    </w:p>
    <w:p w14:paraId="62B5EA84">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B.法定代表人或负责人或实际控制人是夫妻关系</w:t>
      </w:r>
    </w:p>
    <w:p w14:paraId="5A7B23F2">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C.法定代表人或负责人或实际控制人是直系血亲关系</w:t>
      </w:r>
    </w:p>
    <w:p w14:paraId="7FDB2F2B">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D.法定代表人或负责人或实际控制人存在三代以内旁系血亲关系</w:t>
      </w:r>
    </w:p>
    <w:p w14:paraId="6290C2A7">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E.法定代表人或负责人或实际控制人存在近姻亲关系</w:t>
      </w:r>
    </w:p>
    <w:p w14:paraId="42ADD2A5">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F.法定代表人或负责人或实际控制人存在股份控制或实际控制关系</w:t>
      </w:r>
    </w:p>
    <w:p w14:paraId="758F8860">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G.存在共同直接或间接投资设立子公司、联营企业和合营企业情况</w:t>
      </w:r>
    </w:p>
    <w:p w14:paraId="309F19A0">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H.存在分级代理或代销关系、同一生产制造商关系、管理关系、重要业务（占主营业务收入50%以上）或重要财务往来关系（如融资）等其他实质性控制关系</w:t>
      </w:r>
    </w:p>
    <w:p w14:paraId="029EAF75">
      <w:pPr>
        <w:pStyle w:val="321"/>
        <w:widowControl/>
        <w:snapToGrid w:val="0"/>
        <w:spacing w:line="360" w:lineRule="auto"/>
        <w:ind w:firstLine="42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7A3A9BB">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0AA627B3">
      <w:pPr>
        <w:pStyle w:val="321"/>
        <w:widowControl/>
        <w:snapToGrid w:val="0"/>
        <w:spacing w:line="360" w:lineRule="auto"/>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4D9BDF1">
      <w:pPr>
        <w:pStyle w:val="321"/>
        <w:widowControl/>
        <w:snapToGrid w:val="0"/>
        <w:spacing w:line="360" w:lineRule="auto"/>
        <w:ind w:firstLine="420"/>
        <w:rPr>
          <w:rFonts w:hint="eastAsia" w:ascii="宋体" w:hAnsi="宋体" w:eastAsia="宋体" w:cs="宋体"/>
          <w:color w:val="auto"/>
          <w:sz w:val="21"/>
          <w:szCs w:val="21"/>
          <w:highlight w:val="none"/>
        </w:rPr>
      </w:pPr>
    </w:p>
    <w:p w14:paraId="64B803DA">
      <w:pPr>
        <w:spacing w:line="360" w:lineRule="auto"/>
        <w:ind w:firstLine="420" w:firstLineChars="200"/>
        <w:rPr>
          <w:rFonts w:hint="eastAsia" w:ascii="宋体" w:hAnsi="宋体" w:cs="宋体"/>
          <w:color w:val="auto"/>
          <w:spacing w:val="20"/>
          <w:szCs w:val="21"/>
          <w:highlight w:val="none"/>
          <w:u w:val="single"/>
        </w:rPr>
      </w:pPr>
      <w:r>
        <w:rPr>
          <w:rFonts w:hint="eastAsia" w:ascii="宋体" w:hAnsi="宋体" w:cs="宋体"/>
          <w:color w:val="auto"/>
          <w:szCs w:val="21"/>
          <w:highlight w:val="none"/>
        </w:rPr>
        <w:t>投标人全称：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14:paraId="0FCD34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3416E28F">
      <w:pPr>
        <w:pStyle w:val="320"/>
        <w:snapToGrid w:val="0"/>
        <w:spacing w:line="360" w:lineRule="auto"/>
        <w:ind w:firstLine="420"/>
        <w:jc w:val="right"/>
        <w:rPr>
          <w:rFonts w:hint="eastAsia" w:hAnsi="宋体" w:eastAsia="宋体" w:cs="宋体"/>
          <w:color w:val="auto"/>
          <w:sz w:val="21"/>
          <w:szCs w:val="21"/>
          <w:highlight w:val="none"/>
        </w:rPr>
      </w:pPr>
    </w:p>
    <w:p w14:paraId="58DA18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p w14:paraId="67673C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（1）投标人解密投标文件及获知其他投标人信息进行如实声明并盖章，以扫描件形式提交给采购代理机构，邮箱：linyy@zjsct.cn。</w:t>
      </w:r>
    </w:p>
    <w:p w14:paraId="5C0701E1">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（2）此声明函不用编入投标文件。</w:t>
      </w:r>
    </w:p>
    <w:p w14:paraId="122B4DC8">
      <w:pPr>
        <w:rPr>
          <w:color w:val="auto"/>
          <w:highlight w:val="none"/>
        </w:rPr>
      </w:pPr>
    </w:p>
    <w:sectPr>
      <w:footerReference r:id="rId19" w:type="first"/>
      <w:headerReference r:id="rId16" w:type="default"/>
      <w:footerReference r:id="rId17" w:type="default"/>
      <w:footerReference r:id="rId18"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1" w:usb3="00000000" w:csb0="400001BF" w:csb1="DFF70000"/>
  </w:font>
  <w:font w:name="??">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8F5A7">
    <w:pPr>
      <w:pStyle w:val="39"/>
      <w:framePr w:wrap="around" w:vAnchor="text" w:hAnchor="margin" w:xAlign="right" w:y="1"/>
      <w:rPr>
        <w:rStyle w:val="72"/>
      </w:rPr>
    </w:pPr>
    <w:r>
      <w:fldChar w:fldCharType="begin"/>
    </w:r>
    <w:r>
      <w:rPr>
        <w:rStyle w:val="72"/>
      </w:rPr>
      <w:instrText xml:space="preserve">PAGE  </w:instrText>
    </w:r>
    <w:r>
      <w:fldChar w:fldCharType="end"/>
    </w:r>
  </w:p>
  <w:p w14:paraId="628BFD1F">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F15AE">
    <w:pPr>
      <w:pStyle w:val="39"/>
      <w:framePr w:wrap="around" w:vAnchor="text" w:hAnchor="margin" w:xAlign="right" w:y="1"/>
      <w:rPr>
        <w:rStyle w:val="72"/>
      </w:rPr>
    </w:pPr>
    <w:r>
      <w:fldChar w:fldCharType="begin"/>
    </w:r>
    <w:r>
      <w:rPr>
        <w:rStyle w:val="72"/>
      </w:rPr>
      <w:instrText xml:space="preserve">PAGE  </w:instrText>
    </w:r>
    <w:r>
      <w:fldChar w:fldCharType="end"/>
    </w:r>
  </w:p>
  <w:p w14:paraId="0A42BCF4">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8E00">
    <w:pPr>
      <w:pStyle w:val="39"/>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48180">
                          <w:pPr>
                            <w:pStyle w:val="39"/>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A148180">
                    <w:pPr>
                      <w:pStyle w:val="39"/>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F2441">
    <w:pPr>
      <w:pStyle w:val="39"/>
      <w:rPr>
        <w:rFonts w:hint="eastAsia"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B4554">
                          <w:pPr>
                            <w:pStyle w:val="3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F6B4554">
                    <w:pPr>
                      <w:pStyle w:val="3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015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B287C">
    <w:pPr>
      <w:pStyle w:val="39"/>
      <w:rPr>
        <w:rFonts w:hint="eastAsia" w:ascii="宋体" w:hAnsi="宋体" w:cs="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98E18">
                          <w:pPr>
                            <w:pStyle w:val="3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A198E18">
                    <w:pPr>
                      <w:pStyle w:val="39"/>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4B60F">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CBD5E">
                          <w:pPr>
                            <w:pStyle w:val="39"/>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88CBD5E">
                    <w:pPr>
                      <w:pStyle w:val="39"/>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3EC41">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C5092">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3CC5092">
                    <w:pPr>
                      <w:pStyle w:val="39"/>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A8DB3">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34029">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2234029">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7541">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75901">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5F75901">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998F5">
    <w:pPr>
      <w:pStyle w:val="39"/>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posOffset>2392680</wp:posOffset>
              </wp:positionH>
              <wp:positionV relativeFrom="paragraph">
                <wp:posOffset>0</wp:posOffset>
              </wp:positionV>
              <wp:extent cx="124587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458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69CFE">
                          <w:pPr>
                            <w:pStyle w:val="39"/>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8.4pt;margin-top:0pt;height:144pt;width:98.1pt;mso-position-horizontal-relative:margin;z-index:251665408;mso-width-relative:page;mso-height-relative:page;" filled="f" stroked="f" coordsize="21600,21600" o:gfxdata="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68Z4l1wAAAAgBAAAPAAAAAAAAAAEAIAAAACIAAABkcnMvZG93bnJldi54&#10;bWxQSwECFAAUAAAACACHTuJA7DQO1jQCAABXBAAADgAAAAAAAAABACAAAAAmAQAAZHJzL2Uyb0Rv&#10;Yy54bWxQSwUGAAAAAAYABgBZAQAAzAUAAAAA&#10;">
              <v:fill on="f" focussize="0,0"/>
              <v:stroke on="f" weight="0.5pt"/>
              <v:imagedata o:title=""/>
              <o:lock v:ext="edit" aspectratio="f"/>
              <v:textbox inset="0mm,0mm,0mm,0mm" style="mso-fit-shape-to-text:t;">
                <w:txbxContent>
                  <w:p w14:paraId="26769CFE">
                    <w:pPr>
                      <w:pStyle w:val="39"/>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5A5A9">
    <w:pPr>
      <w:pStyle w:val="40"/>
      <w:pBdr>
        <w:bottom w:val="single" w:color="auto" w:sz="4" w:space="1"/>
      </w:pBdr>
    </w:pPr>
    <w:r>
      <w:rPr>
        <w:rFonts w:hint="eastAsia"/>
      </w:rPr>
      <w:t>余杭区政务云平台项目招标文件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58B41">
    <w:pPr>
      <w:pStyle w:val="40"/>
      <w:pBdr>
        <w:bottom w:val="single" w:color="auto" w:sz="4" w:space="1"/>
      </w:pBdr>
    </w:pPr>
    <w:r>
      <w:rPr>
        <w:lang w:val="zh-CN"/>
      </w:rPr>
      <w:t></w:t>
    </w:r>
    <w:r>
      <w:rPr>
        <w:rFonts w:hint="eastAsia"/>
        <w:lang w:val="zh-CN"/>
      </w:rPr>
      <w:t>余杭区政务云平台项目招标文件</w:t>
    </w:r>
  </w:p>
  <w:p w14:paraId="6465FBB8">
    <w:pPr>
      <w:pStyle w:val="40"/>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7FE03">
    <w:pPr>
      <w:pStyle w:val="40"/>
      <w:pBdr>
        <w:bottom w:val="single" w:color="auto" w:sz="4" w:space="1"/>
      </w:pBdr>
    </w:pPr>
    <w:r>
      <w:rPr>
        <w:rFonts w:hint="eastAsia"/>
      </w:rPr>
      <w:t>余杭区政务云平台项目招标文件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44CE4">
    <w:pPr>
      <w:pStyle w:val="40"/>
      <w:pBdr>
        <w:bottom w:val="single" w:color="auto" w:sz="4" w:space="1"/>
      </w:pBdr>
    </w:pPr>
    <w:r>
      <w:rPr>
        <w:rFonts w:hint="eastAsia"/>
      </w:rPr>
      <w:t>余杭区政务云平台项目招标文件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B6DC0">
    <w:pPr>
      <w:pStyle w:val="40"/>
      <w:rPr>
        <w:rFonts w:ascii="仿宋_GB2312" w:eastAsia="仿宋_GB2312"/>
        <w:b/>
        <w:i/>
        <w:u w:val="single"/>
      </w:rPr>
    </w:pPr>
    <w:r>
      <w:rPr>
        <w:rFonts w:hint="eastAsia"/>
      </w:rPr>
      <w:t>钱塘区政务云容灾备份租赁服务项目招标文件</w:t>
    </w:r>
  </w:p>
  <w:p w14:paraId="3297F54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29323">
    <w:pPr>
      <w:pStyle w:val="40"/>
      <w:rPr>
        <w:rFonts w:hint="eastAsia" w:ascii="宋体" w:hAnsi="宋体" w:cs="宋体"/>
        <w:bCs/>
        <w:iCs/>
      </w:rPr>
    </w:pPr>
    <w:r>
      <w:rPr>
        <w:rFonts w:hint="eastAsia" w:ascii="宋体" w:hAnsi="宋体" w:cs="宋体"/>
        <w:bCs/>
        <w:iCs/>
      </w:rPr>
      <w:t>余杭区政务云平台项目招标文件</w:t>
    </w:r>
  </w:p>
  <w:p w14:paraId="17A20A1A">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3074"/>
    <w:multiLevelType w:val="singleLevel"/>
    <w:tmpl w:val="AC673074"/>
    <w:lvl w:ilvl="0" w:tentative="0">
      <w:start w:val="1"/>
      <w:numFmt w:val="decimal"/>
      <w:suff w:val="nothing"/>
      <w:lvlText w:val="%1."/>
      <w:lvlJc w:val="left"/>
      <w:pPr>
        <w:ind w:left="845" w:hanging="425"/>
      </w:pPr>
      <w:rPr>
        <w:rFonts w:hint="default"/>
      </w:rPr>
    </w:lvl>
  </w:abstractNum>
  <w:abstractNum w:abstractNumId="1">
    <w:nsid w:val="C36B4AFD"/>
    <w:multiLevelType w:val="singleLevel"/>
    <w:tmpl w:val="C36B4AFD"/>
    <w:lvl w:ilvl="0" w:tentative="0">
      <w:start w:val="1"/>
      <w:numFmt w:val="chineseCounting"/>
      <w:suff w:val="space"/>
      <w:lvlText w:val="%1、"/>
      <w:lvlJc w:val="left"/>
      <w:rPr>
        <w:rFonts w:hint="eastAsia"/>
      </w:rPr>
    </w:lvl>
  </w:abstractNum>
  <w:abstractNum w:abstractNumId="2">
    <w:nsid w:val="C80004A1"/>
    <w:multiLevelType w:val="singleLevel"/>
    <w:tmpl w:val="C80004A1"/>
    <w:lvl w:ilvl="0" w:tentative="0">
      <w:start w:val="1"/>
      <w:numFmt w:val="decimal"/>
      <w:suff w:val="nothing"/>
      <w:lvlText w:val="（%1）"/>
      <w:lvlJc w:val="left"/>
    </w:lvl>
  </w:abstractNum>
  <w:abstractNum w:abstractNumId="3">
    <w:nsid w:val="C941A460"/>
    <w:multiLevelType w:val="singleLevel"/>
    <w:tmpl w:val="C941A460"/>
    <w:lvl w:ilvl="0" w:tentative="0">
      <w:start w:val="1"/>
      <w:numFmt w:val="decimal"/>
      <w:suff w:val="nothing"/>
      <w:lvlText w:val="（%1）"/>
      <w:lvlJc w:val="left"/>
    </w:lvl>
  </w:abstractNum>
  <w:abstractNum w:abstractNumId="4">
    <w:nsid w:val="CCADE5F2"/>
    <w:multiLevelType w:val="multilevel"/>
    <w:tmpl w:val="CCADE5F2"/>
    <w:lvl w:ilvl="0" w:tentative="0">
      <w:start w:val="1"/>
      <w:numFmt w:val="decimal"/>
      <w:suff w:val="nothing"/>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E00263C2"/>
    <w:multiLevelType w:val="singleLevel"/>
    <w:tmpl w:val="E00263C2"/>
    <w:lvl w:ilvl="0" w:tentative="0">
      <w:start w:val="1"/>
      <w:numFmt w:val="decimal"/>
      <w:lvlText w:val="%1."/>
      <w:lvlJc w:val="left"/>
      <w:pPr>
        <w:tabs>
          <w:tab w:val="left" w:pos="312"/>
        </w:tabs>
      </w:pPr>
    </w:lvl>
  </w:abstractNum>
  <w:abstractNum w:abstractNumId="6">
    <w:nsid w:val="E429A741"/>
    <w:multiLevelType w:val="multilevel"/>
    <w:tmpl w:val="E429A741"/>
    <w:lvl w:ilvl="0" w:tentative="0">
      <w:start w:val="1"/>
      <w:numFmt w:val="decimal"/>
      <w:suff w:val="nothing"/>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7">
    <w:nsid w:val="E9AEB471"/>
    <w:multiLevelType w:val="singleLevel"/>
    <w:tmpl w:val="E9AEB471"/>
    <w:lvl w:ilvl="0" w:tentative="0">
      <w:start w:val="1"/>
      <w:numFmt w:val="chineseCounting"/>
      <w:suff w:val="nothing"/>
      <w:lvlText w:val="%1、"/>
      <w:lvlJc w:val="left"/>
      <w:rPr>
        <w:rFonts w:hint="eastAsia"/>
      </w:rPr>
    </w:lvl>
  </w:abstractNum>
  <w:abstractNum w:abstractNumId="8">
    <w:nsid w:val="EBEAF757"/>
    <w:multiLevelType w:val="multilevel"/>
    <w:tmpl w:val="EBEAF757"/>
    <w:lvl w:ilvl="0" w:tentative="0">
      <w:start w:val="1"/>
      <w:numFmt w:val="decimal"/>
      <w:suff w:val="nothing"/>
      <w:lvlText w:val="（%1）"/>
      <w:lvlJc w:val="left"/>
      <w:pPr>
        <w:ind w:left="920" w:hanging="440"/>
      </w:pPr>
      <w:rPr>
        <w:rFonts w:hint="default"/>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9">
    <w:nsid w:val="0F60E741"/>
    <w:multiLevelType w:val="multilevel"/>
    <w:tmpl w:val="0F60E741"/>
    <w:lvl w:ilvl="0" w:tentative="0">
      <w:start w:val="1"/>
      <w:numFmt w:val="decimal"/>
      <w:suff w:val="nothing"/>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0">
    <w:nsid w:val="2197DD6A"/>
    <w:multiLevelType w:val="multilevel"/>
    <w:tmpl w:val="2197DD6A"/>
    <w:lvl w:ilvl="0" w:tentative="0">
      <w:start w:val="1"/>
      <w:numFmt w:val="decimal"/>
      <w:suff w:val="nothing"/>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1">
    <w:nsid w:val="27B03931"/>
    <w:multiLevelType w:val="multilevel"/>
    <w:tmpl w:val="27B03931"/>
    <w:lvl w:ilvl="0" w:tentative="0">
      <w:start w:val="1"/>
      <w:numFmt w:val="decimal"/>
      <w:suff w:val="nothing"/>
      <w:lvlText w:val="（%1）"/>
      <w:lvlJc w:val="left"/>
      <w:pPr>
        <w:ind w:left="920" w:hanging="440"/>
      </w:pPr>
      <w:rPr>
        <w:rFonts w:hint="default"/>
        <w:lang w:val="en-U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12">
    <w:nsid w:val="3253BC2D"/>
    <w:multiLevelType w:val="singleLevel"/>
    <w:tmpl w:val="3253BC2D"/>
    <w:lvl w:ilvl="0" w:tentative="0">
      <w:start w:val="1"/>
      <w:numFmt w:val="decimal"/>
      <w:lvlText w:val="%1."/>
      <w:lvlJc w:val="left"/>
      <w:pPr>
        <w:tabs>
          <w:tab w:val="left" w:pos="312"/>
        </w:tabs>
      </w:pPr>
    </w:lvl>
  </w:abstractNum>
  <w:abstractNum w:abstractNumId="13">
    <w:nsid w:val="41EFBE14"/>
    <w:multiLevelType w:val="singleLevel"/>
    <w:tmpl w:val="41EFBE14"/>
    <w:lvl w:ilvl="0" w:tentative="0">
      <w:start w:val="7"/>
      <w:numFmt w:val="chineseCounting"/>
      <w:suff w:val="nothing"/>
      <w:lvlText w:val="%1、"/>
      <w:lvlJc w:val="left"/>
      <w:rPr>
        <w:rFonts w:hint="eastAsia"/>
      </w:rPr>
    </w:lvl>
  </w:abstractNum>
  <w:abstractNum w:abstractNumId="14">
    <w:nsid w:val="46423E58"/>
    <w:multiLevelType w:val="singleLevel"/>
    <w:tmpl w:val="46423E58"/>
    <w:lvl w:ilvl="0" w:tentative="0">
      <w:start w:val="1"/>
      <w:numFmt w:val="decimal"/>
      <w:suff w:val="nothing"/>
      <w:lvlText w:val="%1、"/>
      <w:lvlJc w:val="left"/>
    </w:lvl>
  </w:abstractNum>
  <w:abstractNum w:abstractNumId="15">
    <w:nsid w:val="51765E93"/>
    <w:multiLevelType w:val="multilevel"/>
    <w:tmpl w:val="51765E93"/>
    <w:lvl w:ilvl="0" w:tentative="0">
      <w:start w:val="1"/>
      <w:numFmt w:val="decimal"/>
      <w:suff w:val="nothing"/>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6">
    <w:nsid w:val="6A4C35AC"/>
    <w:multiLevelType w:val="multilevel"/>
    <w:tmpl w:val="6A4C35AC"/>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7">
    <w:nsid w:val="6C868F49"/>
    <w:multiLevelType w:val="singleLevel"/>
    <w:tmpl w:val="6C868F49"/>
    <w:lvl w:ilvl="0" w:tentative="0">
      <w:start w:val="3"/>
      <w:numFmt w:val="chineseCounting"/>
      <w:suff w:val="space"/>
      <w:lvlText w:val="第%1部分"/>
      <w:lvlJc w:val="left"/>
      <w:rPr>
        <w:rFonts w:hint="eastAsia"/>
      </w:rPr>
    </w:lvl>
  </w:abstractNum>
  <w:abstractNum w:abstractNumId="18">
    <w:nsid w:val="6E4817B4"/>
    <w:multiLevelType w:val="multilevel"/>
    <w:tmpl w:val="6E4817B4"/>
    <w:lvl w:ilvl="0" w:tentative="0">
      <w:start w:val="1"/>
      <w:numFmt w:val="decimal"/>
      <w:lvlText w:val="%1）"/>
      <w:lvlJc w:val="left"/>
      <w:pPr>
        <w:ind w:left="360" w:hanging="360"/>
      </w:pPr>
      <w:rPr>
        <w:rFonts w:ascii="宋体" w:hAnsi="宋体" w:eastAsia="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6F18716B"/>
    <w:multiLevelType w:val="singleLevel"/>
    <w:tmpl w:val="6F18716B"/>
    <w:lvl w:ilvl="0" w:tentative="0">
      <w:start w:val="1"/>
      <w:numFmt w:val="decimal"/>
      <w:suff w:val="nothing"/>
      <w:lvlText w:val="（%1）"/>
      <w:lvlJc w:val="left"/>
    </w:lvl>
  </w:abstractNum>
  <w:num w:numId="1">
    <w:abstractNumId w:val="17"/>
  </w:num>
  <w:num w:numId="2">
    <w:abstractNumId w:val="16"/>
  </w:num>
  <w:num w:numId="3">
    <w:abstractNumId w:val="12"/>
  </w:num>
  <w:num w:numId="4">
    <w:abstractNumId w:val="5"/>
  </w:num>
  <w:num w:numId="5">
    <w:abstractNumId w:val="0"/>
  </w:num>
  <w:num w:numId="6">
    <w:abstractNumId w:val="11"/>
  </w:num>
  <w:num w:numId="7">
    <w:abstractNumId w:val="8"/>
  </w:num>
  <w:num w:numId="8">
    <w:abstractNumId w:val="15"/>
  </w:num>
  <w:num w:numId="9">
    <w:abstractNumId w:val="10"/>
  </w:num>
  <w:num w:numId="10">
    <w:abstractNumId w:val="4"/>
  </w:num>
  <w:num w:numId="11">
    <w:abstractNumId w:val="6"/>
  </w:num>
  <w:num w:numId="12">
    <w:abstractNumId w:val="9"/>
  </w:num>
  <w:num w:numId="13">
    <w:abstractNumId w:val="2"/>
  </w:num>
  <w:num w:numId="14">
    <w:abstractNumId w:val="18"/>
  </w:num>
  <w:num w:numId="15">
    <w:abstractNumId w:val="19"/>
  </w:num>
  <w:num w:numId="16">
    <w:abstractNumId w:val="1"/>
  </w:num>
  <w:num w:numId="17">
    <w:abstractNumId w:val="7"/>
  </w:num>
  <w:num w:numId="18">
    <w:abstractNumId w:val="13"/>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5YTE2ZDZhOGQ0ODkyZGE1ZjQ5MzM2MzIyMjJmN2YifQ=="/>
    <w:docVar w:name="KSO_WPS_MARK_KEY" w:val="5d54322d-d206-4534-8ae0-bcc91e32c9ef"/>
  </w:docVars>
  <w:rsids>
    <w:rsidRoot w:val="00172A27"/>
    <w:rsid w:val="00000451"/>
    <w:rsid w:val="0000108B"/>
    <w:rsid w:val="0000133D"/>
    <w:rsid w:val="00001509"/>
    <w:rsid w:val="000018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2DD"/>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4F7"/>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34E"/>
    <w:rsid w:val="00054CD1"/>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5BEB"/>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E6"/>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72E"/>
    <w:rsid w:val="00082AD4"/>
    <w:rsid w:val="00083E07"/>
    <w:rsid w:val="00084D27"/>
    <w:rsid w:val="00084ED6"/>
    <w:rsid w:val="00085180"/>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96D"/>
    <w:rsid w:val="000A1A52"/>
    <w:rsid w:val="000A1F98"/>
    <w:rsid w:val="000A3D58"/>
    <w:rsid w:val="000A3FE3"/>
    <w:rsid w:val="000A47B0"/>
    <w:rsid w:val="000A4851"/>
    <w:rsid w:val="000A48D3"/>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5F0"/>
    <w:rsid w:val="000C7BEB"/>
    <w:rsid w:val="000D0124"/>
    <w:rsid w:val="000D11E5"/>
    <w:rsid w:val="000D19E8"/>
    <w:rsid w:val="000D1FA1"/>
    <w:rsid w:val="000D2834"/>
    <w:rsid w:val="000D2B35"/>
    <w:rsid w:val="000D2CAC"/>
    <w:rsid w:val="000D34C8"/>
    <w:rsid w:val="000D34FD"/>
    <w:rsid w:val="000D3BE5"/>
    <w:rsid w:val="000D3C37"/>
    <w:rsid w:val="000D453A"/>
    <w:rsid w:val="000D4AFA"/>
    <w:rsid w:val="000D5075"/>
    <w:rsid w:val="000D5EA6"/>
    <w:rsid w:val="000D5F00"/>
    <w:rsid w:val="000D6C9F"/>
    <w:rsid w:val="000D6E3B"/>
    <w:rsid w:val="000D6F30"/>
    <w:rsid w:val="000D74E4"/>
    <w:rsid w:val="000D7C9D"/>
    <w:rsid w:val="000D7CE0"/>
    <w:rsid w:val="000E2785"/>
    <w:rsid w:val="000E27BB"/>
    <w:rsid w:val="000E3153"/>
    <w:rsid w:val="000E324C"/>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BD2"/>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2B"/>
    <w:rsid w:val="001015F8"/>
    <w:rsid w:val="00101967"/>
    <w:rsid w:val="00101ADD"/>
    <w:rsid w:val="00103251"/>
    <w:rsid w:val="00103509"/>
    <w:rsid w:val="0010352F"/>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6A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F7"/>
    <w:rsid w:val="00133E97"/>
    <w:rsid w:val="0013411F"/>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C44"/>
    <w:rsid w:val="00147032"/>
    <w:rsid w:val="00147EA7"/>
    <w:rsid w:val="001516D6"/>
    <w:rsid w:val="00151820"/>
    <w:rsid w:val="00151B2F"/>
    <w:rsid w:val="001524DC"/>
    <w:rsid w:val="001525E5"/>
    <w:rsid w:val="00153859"/>
    <w:rsid w:val="00153915"/>
    <w:rsid w:val="001539F0"/>
    <w:rsid w:val="00154BBA"/>
    <w:rsid w:val="00155B95"/>
    <w:rsid w:val="001563E9"/>
    <w:rsid w:val="00156853"/>
    <w:rsid w:val="001573C2"/>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C75"/>
    <w:rsid w:val="001827B7"/>
    <w:rsid w:val="001827EF"/>
    <w:rsid w:val="00182982"/>
    <w:rsid w:val="001829BC"/>
    <w:rsid w:val="00182D68"/>
    <w:rsid w:val="00183031"/>
    <w:rsid w:val="00183468"/>
    <w:rsid w:val="0018397E"/>
    <w:rsid w:val="00184466"/>
    <w:rsid w:val="001847FC"/>
    <w:rsid w:val="00184AE3"/>
    <w:rsid w:val="00184DBF"/>
    <w:rsid w:val="001852A8"/>
    <w:rsid w:val="0018620A"/>
    <w:rsid w:val="00186EB0"/>
    <w:rsid w:val="00187121"/>
    <w:rsid w:val="00187243"/>
    <w:rsid w:val="00187C29"/>
    <w:rsid w:val="00190131"/>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A56"/>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1D7C"/>
    <w:rsid w:val="001B219B"/>
    <w:rsid w:val="001B2703"/>
    <w:rsid w:val="001B3DCD"/>
    <w:rsid w:val="001B45B9"/>
    <w:rsid w:val="001B46B2"/>
    <w:rsid w:val="001B4725"/>
    <w:rsid w:val="001B48B2"/>
    <w:rsid w:val="001B49DA"/>
    <w:rsid w:val="001B4CA8"/>
    <w:rsid w:val="001B5275"/>
    <w:rsid w:val="001B572D"/>
    <w:rsid w:val="001B576E"/>
    <w:rsid w:val="001B5B10"/>
    <w:rsid w:val="001B6025"/>
    <w:rsid w:val="001B614C"/>
    <w:rsid w:val="001B6D58"/>
    <w:rsid w:val="001B6FA7"/>
    <w:rsid w:val="001B7A15"/>
    <w:rsid w:val="001B7B69"/>
    <w:rsid w:val="001B7DC1"/>
    <w:rsid w:val="001C08DB"/>
    <w:rsid w:val="001C10BD"/>
    <w:rsid w:val="001C1F01"/>
    <w:rsid w:val="001C2092"/>
    <w:rsid w:val="001C232F"/>
    <w:rsid w:val="001C2544"/>
    <w:rsid w:val="001C2A17"/>
    <w:rsid w:val="001C31F5"/>
    <w:rsid w:val="001C4132"/>
    <w:rsid w:val="001C6047"/>
    <w:rsid w:val="001C6698"/>
    <w:rsid w:val="001C67BA"/>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1D5"/>
    <w:rsid w:val="001E17E3"/>
    <w:rsid w:val="001E2052"/>
    <w:rsid w:val="001E2492"/>
    <w:rsid w:val="001E257C"/>
    <w:rsid w:val="001E286C"/>
    <w:rsid w:val="001E2F34"/>
    <w:rsid w:val="001E35EE"/>
    <w:rsid w:val="001E4967"/>
    <w:rsid w:val="001E4B2C"/>
    <w:rsid w:val="001E507F"/>
    <w:rsid w:val="001E56C2"/>
    <w:rsid w:val="001E59FB"/>
    <w:rsid w:val="001E7F81"/>
    <w:rsid w:val="001F0C0F"/>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EB"/>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C38"/>
    <w:rsid w:val="00216E7B"/>
    <w:rsid w:val="00217E1F"/>
    <w:rsid w:val="002204BC"/>
    <w:rsid w:val="00220F7B"/>
    <w:rsid w:val="002213CE"/>
    <w:rsid w:val="00221AF7"/>
    <w:rsid w:val="00221D79"/>
    <w:rsid w:val="00222494"/>
    <w:rsid w:val="00222775"/>
    <w:rsid w:val="00222A31"/>
    <w:rsid w:val="00222CF6"/>
    <w:rsid w:val="00224037"/>
    <w:rsid w:val="002244E4"/>
    <w:rsid w:val="00224D2A"/>
    <w:rsid w:val="00224D8D"/>
    <w:rsid w:val="00224F7A"/>
    <w:rsid w:val="0022555A"/>
    <w:rsid w:val="00227214"/>
    <w:rsid w:val="00227BED"/>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58F"/>
    <w:rsid w:val="00245565"/>
    <w:rsid w:val="002458C1"/>
    <w:rsid w:val="00245E62"/>
    <w:rsid w:val="002460D0"/>
    <w:rsid w:val="00246357"/>
    <w:rsid w:val="00247422"/>
    <w:rsid w:val="00247BA2"/>
    <w:rsid w:val="00250091"/>
    <w:rsid w:val="00250870"/>
    <w:rsid w:val="0025151C"/>
    <w:rsid w:val="0025184F"/>
    <w:rsid w:val="00251967"/>
    <w:rsid w:val="002527CC"/>
    <w:rsid w:val="00252F48"/>
    <w:rsid w:val="002530C0"/>
    <w:rsid w:val="00253586"/>
    <w:rsid w:val="002537FC"/>
    <w:rsid w:val="00253E3A"/>
    <w:rsid w:val="002542F8"/>
    <w:rsid w:val="002543EF"/>
    <w:rsid w:val="00254F2A"/>
    <w:rsid w:val="00255784"/>
    <w:rsid w:val="00255A29"/>
    <w:rsid w:val="0025631F"/>
    <w:rsid w:val="00256986"/>
    <w:rsid w:val="00256D61"/>
    <w:rsid w:val="00256E23"/>
    <w:rsid w:val="00257246"/>
    <w:rsid w:val="00257438"/>
    <w:rsid w:val="0026119C"/>
    <w:rsid w:val="00261AFE"/>
    <w:rsid w:val="00261CE4"/>
    <w:rsid w:val="0026212A"/>
    <w:rsid w:val="002621D7"/>
    <w:rsid w:val="00262996"/>
    <w:rsid w:val="00263044"/>
    <w:rsid w:val="00263759"/>
    <w:rsid w:val="002638BD"/>
    <w:rsid w:val="0026470B"/>
    <w:rsid w:val="0026486D"/>
    <w:rsid w:val="00264C4B"/>
    <w:rsid w:val="00264ED0"/>
    <w:rsid w:val="00265346"/>
    <w:rsid w:val="00266045"/>
    <w:rsid w:val="002660C3"/>
    <w:rsid w:val="00266248"/>
    <w:rsid w:val="002663F3"/>
    <w:rsid w:val="00266A71"/>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4AB3"/>
    <w:rsid w:val="002751CA"/>
    <w:rsid w:val="0027544D"/>
    <w:rsid w:val="00277196"/>
    <w:rsid w:val="002775ED"/>
    <w:rsid w:val="002778AB"/>
    <w:rsid w:val="002802A5"/>
    <w:rsid w:val="00280CFB"/>
    <w:rsid w:val="00280D24"/>
    <w:rsid w:val="002815C4"/>
    <w:rsid w:val="00281BCB"/>
    <w:rsid w:val="00281C76"/>
    <w:rsid w:val="0028316D"/>
    <w:rsid w:val="00283296"/>
    <w:rsid w:val="00283B79"/>
    <w:rsid w:val="0028583E"/>
    <w:rsid w:val="00285853"/>
    <w:rsid w:val="00285B1A"/>
    <w:rsid w:val="00285FF3"/>
    <w:rsid w:val="002866EC"/>
    <w:rsid w:val="0028744E"/>
    <w:rsid w:val="002876D2"/>
    <w:rsid w:val="00287936"/>
    <w:rsid w:val="00287BB7"/>
    <w:rsid w:val="002902E8"/>
    <w:rsid w:val="002903B9"/>
    <w:rsid w:val="002903C5"/>
    <w:rsid w:val="0029041B"/>
    <w:rsid w:val="00290A99"/>
    <w:rsid w:val="00290C93"/>
    <w:rsid w:val="00290EAF"/>
    <w:rsid w:val="0029159A"/>
    <w:rsid w:val="00291CF1"/>
    <w:rsid w:val="002929B9"/>
    <w:rsid w:val="00292AA1"/>
    <w:rsid w:val="002931A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2BC"/>
    <w:rsid w:val="002A4060"/>
    <w:rsid w:val="002A4868"/>
    <w:rsid w:val="002A4A05"/>
    <w:rsid w:val="002A4E4A"/>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446"/>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797"/>
    <w:rsid w:val="002D7DB2"/>
    <w:rsid w:val="002D7DBD"/>
    <w:rsid w:val="002D7EA8"/>
    <w:rsid w:val="002E00E1"/>
    <w:rsid w:val="002E0102"/>
    <w:rsid w:val="002E03AE"/>
    <w:rsid w:val="002E04B1"/>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926"/>
    <w:rsid w:val="002F2D81"/>
    <w:rsid w:val="002F2F66"/>
    <w:rsid w:val="002F39D4"/>
    <w:rsid w:val="002F4BA9"/>
    <w:rsid w:val="002F541B"/>
    <w:rsid w:val="002F5BFE"/>
    <w:rsid w:val="002F5DA5"/>
    <w:rsid w:val="002F5E17"/>
    <w:rsid w:val="002F647C"/>
    <w:rsid w:val="002F6C6B"/>
    <w:rsid w:val="002F6CB0"/>
    <w:rsid w:val="002F6EFF"/>
    <w:rsid w:val="002F78A1"/>
    <w:rsid w:val="002F7DF0"/>
    <w:rsid w:val="002F7FAF"/>
    <w:rsid w:val="00300573"/>
    <w:rsid w:val="003025FE"/>
    <w:rsid w:val="00302A27"/>
    <w:rsid w:val="00303AB6"/>
    <w:rsid w:val="00304640"/>
    <w:rsid w:val="00304AC1"/>
    <w:rsid w:val="00305090"/>
    <w:rsid w:val="00305454"/>
    <w:rsid w:val="00305B9F"/>
    <w:rsid w:val="00305E21"/>
    <w:rsid w:val="0030653C"/>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39E1"/>
    <w:rsid w:val="00324038"/>
    <w:rsid w:val="00324056"/>
    <w:rsid w:val="00324951"/>
    <w:rsid w:val="003249F6"/>
    <w:rsid w:val="00324B2F"/>
    <w:rsid w:val="00325FCC"/>
    <w:rsid w:val="00326106"/>
    <w:rsid w:val="00326805"/>
    <w:rsid w:val="003269B7"/>
    <w:rsid w:val="00326C0E"/>
    <w:rsid w:val="003270B3"/>
    <w:rsid w:val="003272A3"/>
    <w:rsid w:val="003272E4"/>
    <w:rsid w:val="00327B71"/>
    <w:rsid w:val="00330CDC"/>
    <w:rsid w:val="00331461"/>
    <w:rsid w:val="003315CC"/>
    <w:rsid w:val="00331694"/>
    <w:rsid w:val="003316A8"/>
    <w:rsid w:val="00331C80"/>
    <w:rsid w:val="00331CC9"/>
    <w:rsid w:val="003320D7"/>
    <w:rsid w:val="00332265"/>
    <w:rsid w:val="00332862"/>
    <w:rsid w:val="00332D52"/>
    <w:rsid w:val="00333337"/>
    <w:rsid w:val="00333803"/>
    <w:rsid w:val="00333A28"/>
    <w:rsid w:val="00333B6C"/>
    <w:rsid w:val="00334927"/>
    <w:rsid w:val="003355FF"/>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412"/>
    <w:rsid w:val="00344BBF"/>
    <w:rsid w:val="0034509B"/>
    <w:rsid w:val="00345644"/>
    <w:rsid w:val="00345D0E"/>
    <w:rsid w:val="00345D7A"/>
    <w:rsid w:val="0034607E"/>
    <w:rsid w:val="00346A96"/>
    <w:rsid w:val="00346B6D"/>
    <w:rsid w:val="00346BA3"/>
    <w:rsid w:val="00346C69"/>
    <w:rsid w:val="00346E39"/>
    <w:rsid w:val="00347356"/>
    <w:rsid w:val="0035005C"/>
    <w:rsid w:val="00350349"/>
    <w:rsid w:val="00350896"/>
    <w:rsid w:val="00350C31"/>
    <w:rsid w:val="00350C9F"/>
    <w:rsid w:val="00351391"/>
    <w:rsid w:val="003519CD"/>
    <w:rsid w:val="00351A3A"/>
    <w:rsid w:val="0035455F"/>
    <w:rsid w:val="00355D75"/>
    <w:rsid w:val="00355D8F"/>
    <w:rsid w:val="00355E30"/>
    <w:rsid w:val="00356A73"/>
    <w:rsid w:val="00356FF0"/>
    <w:rsid w:val="003577EF"/>
    <w:rsid w:val="00357A60"/>
    <w:rsid w:val="00360304"/>
    <w:rsid w:val="00360A78"/>
    <w:rsid w:val="00361750"/>
    <w:rsid w:val="003634A6"/>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6ACC"/>
    <w:rsid w:val="00377B26"/>
    <w:rsid w:val="00381014"/>
    <w:rsid w:val="00381604"/>
    <w:rsid w:val="00381C5B"/>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18F"/>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6F35"/>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4"/>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A16"/>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2F6"/>
    <w:rsid w:val="003F1AA2"/>
    <w:rsid w:val="003F1B1D"/>
    <w:rsid w:val="003F26DC"/>
    <w:rsid w:val="003F42FF"/>
    <w:rsid w:val="003F4B48"/>
    <w:rsid w:val="003F4DDC"/>
    <w:rsid w:val="003F4E6C"/>
    <w:rsid w:val="003F56B8"/>
    <w:rsid w:val="003F5F1A"/>
    <w:rsid w:val="003F6327"/>
    <w:rsid w:val="003F7425"/>
    <w:rsid w:val="003F765B"/>
    <w:rsid w:val="003F7CB8"/>
    <w:rsid w:val="00400CB4"/>
    <w:rsid w:val="00401386"/>
    <w:rsid w:val="004013E6"/>
    <w:rsid w:val="00401E31"/>
    <w:rsid w:val="00402BBA"/>
    <w:rsid w:val="004035D0"/>
    <w:rsid w:val="0040361D"/>
    <w:rsid w:val="004036DC"/>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30"/>
    <w:rsid w:val="004120DF"/>
    <w:rsid w:val="004126B5"/>
    <w:rsid w:val="00414909"/>
    <w:rsid w:val="00415034"/>
    <w:rsid w:val="00415B1A"/>
    <w:rsid w:val="00415DFD"/>
    <w:rsid w:val="00416175"/>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CA0"/>
    <w:rsid w:val="00431A2A"/>
    <w:rsid w:val="00432BC1"/>
    <w:rsid w:val="00432ECA"/>
    <w:rsid w:val="00433495"/>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53"/>
    <w:rsid w:val="004543AB"/>
    <w:rsid w:val="004545EC"/>
    <w:rsid w:val="00455967"/>
    <w:rsid w:val="00455F71"/>
    <w:rsid w:val="00456272"/>
    <w:rsid w:val="004567A1"/>
    <w:rsid w:val="004570EF"/>
    <w:rsid w:val="00457517"/>
    <w:rsid w:val="00457CF7"/>
    <w:rsid w:val="00457D37"/>
    <w:rsid w:val="0046028A"/>
    <w:rsid w:val="00460E3A"/>
    <w:rsid w:val="00460E68"/>
    <w:rsid w:val="00461021"/>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1E"/>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0603"/>
    <w:rsid w:val="004A1049"/>
    <w:rsid w:val="004A1AFA"/>
    <w:rsid w:val="004A1EA7"/>
    <w:rsid w:val="004A26F5"/>
    <w:rsid w:val="004A2EF8"/>
    <w:rsid w:val="004A3A21"/>
    <w:rsid w:val="004A407A"/>
    <w:rsid w:val="004A4E3B"/>
    <w:rsid w:val="004A50FC"/>
    <w:rsid w:val="004A6110"/>
    <w:rsid w:val="004A61B8"/>
    <w:rsid w:val="004A6415"/>
    <w:rsid w:val="004A64F9"/>
    <w:rsid w:val="004A65F4"/>
    <w:rsid w:val="004A6D2C"/>
    <w:rsid w:val="004B026C"/>
    <w:rsid w:val="004B0271"/>
    <w:rsid w:val="004B0BE8"/>
    <w:rsid w:val="004B0E4A"/>
    <w:rsid w:val="004B18F4"/>
    <w:rsid w:val="004B1A98"/>
    <w:rsid w:val="004B2041"/>
    <w:rsid w:val="004B2463"/>
    <w:rsid w:val="004B2E9D"/>
    <w:rsid w:val="004B305F"/>
    <w:rsid w:val="004B34C4"/>
    <w:rsid w:val="004B34E8"/>
    <w:rsid w:val="004B3981"/>
    <w:rsid w:val="004B3A03"/>
    <w:rsid w:val="004B419F"/>
    <w:rsid w:val="004B4EA9"/>
    <w:rsid w:val="004B59C1"/>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D3E"/>
    <w:rsid w:val="004C45C8"/>
    <w:rsid w:val="004C4F8F"/>
    <w:rsid w:val="004C5F4B"/>
    <w:rsid w:val="004C612E"/>
    <w:rsid w:val="004C61B8"/>
    <w:rsid w:val="004C69FE"/>
    <w:rsid w:val="004C6C0A"/>
    <w:rsid w:val="004C6C6D"/>
    <w:rsid w:val="004C73C2"/>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250"/>
    <w:rsid w:val="004F07F2"/>
    <w:rsid w:val="004F07F9"/>
    <w:rsid w:val="004F0A50"/>
    <w:rsid w:val="004F0D1F"/>
    <w:rsid w:val="004F0E82"/>
    <w:rsid w:val="004F1523"/>
    <w:rsid w:val="004F1847"/>
    <w:rsid w:val="004F1CE1"/>
    <w:rsid w:val="004F1F9E"/>
    <w:rsid w:val="004F2CB6"/>
    <w:rsid w:val="004F2E6E"/>
    <w:rsid w:val="004F3015"/>
    <w:rsid w:val="004F306B"/>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4F7B7E"/>
    <w:rsid w:val="0050079C"/>
    <w:rsid w:val="0050106A"/>
    <w:rsid w:val="005010BC"/>
    <w:rsid w:val="00501848"/>
    <w:rsid w:val="00502B31"/>
    <w:rsid w:val="0050434C"/>
    <w:rsid w:val="0050537D"/>
    <w:rsid w:val="0050591C"/>
    <w:rsid w:val="005059BD"/>
    <w:rsid w:val="00505FAA"/>
    <w:rsid w:val="005060AE"/>
    <w:rsid w:val="0050790B"/>
    <w:rsid w:val="00507FDF"/>
    <w:rsid w:val="0051037C"/>
    <w:rsid w:val="0051050F"/>
    <w:rsid w:val="0051058B"/>
    <w:rsid w:val="00510A60"/>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4A2"/>
    <w:rsid w:val="00521908"/>
    <w:rsid w:val="005224BC"/>
    <w:rsid w:val="00522928"/>
    <w:rsid w:val="00522FF1"/>
    <w:rsid w:val="00523946"/>
    <w:rsid w:val="0052397A"/>
    <w:rsid w:val="0052523F"/>
    <w:rsid w:val="005256D6"/>
    <w:rsid w:val="00525AD8"/>
    <w:rsid w:val="00526429"/>
    <w:rsid w:val="005266C1"/>
    <w:rsid w:val="005267F4"/>
    <w:rsid w:val="005269D3"/>
    <w:rsid w:val="00527317"/>
    <w:rsid w:val="00527ED6"/>
    <w:rsid w:val="0053024F"/>
    <w:rsid w:val="00530FE2"/>
    <w:rsid w:val="00531064"/>
    <w:rsid w:val="005311E5"/>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4FFC"/>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89F"/>
    <w:rsid w:val="00553F91"/>
    <w:rsid w:val="00554007"/>
    <w:rsid w:val="0055453D"/>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9C7"/>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A8C"/>
    <w:rsid w:val="005701C2"/>
    <w:rsid w:val="00570763"/>
    <w:rsid w:val="0057200B"/>
    <w:rsid w:val="00572297"/>
    <w:rsid w:val="0057345D"/>
    <w:rsid w:val="0057347D"/>
    <w:rsid w:val="00573560"/>
    <w:rsid w:val="0057469F"/>
    <w:rsid w:val="00574E7B"/>
    <w:rsid w:val="00574F36"/>
    <w:rsid w:val="00576B5C"/>
    <w:rsid w:val="005770CC"/>
    <w:rsid w:val="005802F9"/>
    <w:rsid w:val="005806D5"/>
    <w:rsid w:val="00580DFC"/>
    <w:rsid w:val="005812CB"/>
    <w:rsid w:val="0058134C"/>
    <w:rsid w:val="005815CD"/>
    <w:rsid w:val="005827A7"/>
    <w:rsid w:val="00583D43"/>
    <w:rsid w:val="005846C3"/>
    <w:rsid w:val="00584F04"/>
    <w:rsid w:val="0058544C"/>
    <w:rsid w:val="00585623"/>
    <w:rsid w:val="005857F7"/>
    <w:rsid w:val="005865E9"/>
    <w:rsid w:val="005868FD"/>
    <w:rsid w:val="00587D7B"/>
    <w:rsid w:val="00587F1C"/>
    <w:rsid w:val="005904DB"/>
    <w:rsid w:val="005905ED"/>
    <w:rsid w:val="00590D11"/>
    <w:rsid w:val="00591BA6"/>
    <w:rsid w:val="00592825"/>
    <w:rsid w:val="00594437"/>
    <w:rsid w:val="00594B70"/>
    <w:rsid w:val="005958D1"/>
    <w:rsid w:val="00596CFA"/>
    <w:rsid w:val="00596EC6"/>
    <w:rsid w:val="005975CE"/>
    <w:rsid w:val="005A0088"/>
    <w:rsid w:val="005A04F6"/>
    <w:rsid w:val="005A0C93"/>
    <w:rsid w:val="005A14F0"/>
    <w:rsid w:val="005A1861"/>
    <w:rsid w:val="005A1A31"/>
    <w:rsid w:val="005A361D"/>
    <w:rsid w:val="005A36C2"/>
    <w:rsid w:val="005A3719"/>
    <w:rsid w:val="005A37C0"/>
    <w:rsid w:val="005A3DD7"/>
    <w:rsid w:val="005A40FA"/>
    <w:rsid w:val="005A4C20"/>
    <w:rsid w:val="005A4F48"/>
    <w:rsid w:val="005A54F1"/>
    <w:rsid w:val="005A57B8"/>
    <w:rsid w:val="005A5DDE"/>
    <w:rsid w:val="005A64A8"/>
    <w:rsid w:val="005A65C5"/>
    <w:rsid w:val="005A6875"/>
    <w:rsid w:val="005A7016"/>
    <w:rsid w:val="005A7A32"/>
    <w:rsid w:val="005A7BB9"/>
    <w:rsid w:val="005A7F85"/>
    <w:rsid w:val="005B00DD"/>
    <w:rsid w:val="005B03B1"/>
    <w:rsid w:val="005B04F9"/>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C6A"/>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2DD"/>
    <w:rsid w:val="005D5399"/>
    <w:rsid w:val="005D5B82"/>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DA2"/>
    <w:rsid w:val="005E721E"/>
    <w:rsid w:val="005F0857"/>
    <w:rsid w:val="005F1470"/>
    <w:rsid w:val="005F15A9"/>
    <w:rsid w:val="005F2807"/>
    <w:rsid w:val="005F2CD5"/>
    <w:rsid w:val="005F3382"/>
    <w:rsid w:val="005F3720"/>
    <w:rsid w:val="005F4123"/>
    <w:rsid w:val="005F5506"/>
    <w:rsid w:val="005F5A0D"/>
    <w:rsid w:val="005F60DF"/>
    <w:rsid w:val="005F615B"/>
    <w:rsid w:val="005F61DF"/>
    <w:rsid w:val="005F680A"/>
    <w:rsid w:val="005F6880"/>
    <w:rsid w:val="005F6B3E"/>
    <w:rsid w:val="005F6ED2"/>
    <w:rsid w:val="005F745B"/>
    <w:rsid w:val="005F77F8"/>
    <w:rsid w:val="005F7CA8"/>
    <w:rsid w:val="005F7D0F"/>
    <w:rsid w:val="00600DE1"/>
    <w:rsid w:val="00601506"/>
    <w:rsid w:val="00601596"/>
    <w:rsid w:val="00601C92"/>
    <w:rsid w:val="00601F66"/>
    <w:rsid w:val="0060253B"/>
    <w:rsid w:val="00602764"/>
    <w:rsid w:val="00602B29"/>
    <w:rsid w:val="00602DAD"/>
    <w:rsid w:val="00603373"/>
    <w:rsid w:val="006036D0"/>
    <w:rsid w:val="00603B1C"/>
    <w:rsid w:val="006042CD"/>
    <w:rsid w:val="00605010"/>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36D"/>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009"/>
    <w:rsid w:val="00623571"/>
    <w:rsid w:val="00623A5E"/>
    <w:rsid w:val="00625008"/>
    <w:rsid w:val="0062548B"/>
    <w:rsid w:val="00625D27"/>
    <w:rsid w:val="00626710"/>
    <w:rsid w:val="00626930"/>
    <w:rsid w:val="00626AD3"/>
    <w:rsid w:val="00626BAC"/>
    <w:rsid w:val="006271C3"/>
    <w:rsid w:val="00627B14"/>
    <w:rsid w:val="0063001E"/>
    <w:rsid w:val="00630023"/>
    <w:rsid w:val="006300A6"/>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953"/>
    <w:rsid w:val="00636CC7"/>
    <w:rsid w:val="00637CE9"/>
    <w:rsid w:val="00637F27"/>
    <w:rsid w:val="006405EC"/>
    <w:rsid w:val="00640A4D"/>
    <w:rsid w:val="006418F2"/>
    <w:rsid w:val="00641A84"/>
    <w:rsid w:val="00641B05"/>
    <w:rsid w:val="00641C48"/>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C2B"/>
    <w:rsid w:val="00662D3D"/>
    <w:rsid w:val="00662F1F"/>
    <w:rsid w:val="00663D15"/>
    <w:rsid w:val="00665030"/>
    <w:rsid w:val="00665670"/>
    <w:rsid w:val="006659EA"/>
    <w:rsid w:val="006661E8"/>
    <w:rsid w:val="00666424"/>
    <w:rsid w:val="0066676C"/>
    <w:rsid w:val="006673B9"/>
    <w:rsid w:val="0066790C"/>
    <w:rsid w:val="00667FF0"/>
    <w:rsid w:val="0067026E"/>
    <w:rsid w:val="00670C7C"/>
    <w:rsid w:val="00671480"/>
    <w:rsid w:val="006717E7"/>
    <w:rsid w:val="00671947"/>
    <w:rsid w:val="00671FD5"/>
    <w:rsid w:val="006720BC"/>
    <w:rsid w:val="00672906"/>
    <w:rsid w:val="00672C73"/>
    <w:rsid w:val="00673B64"/>
    <w:rsid w:val="00673BA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991"/>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62E"/>
    <w:rsid w:val="00696C79"/>
    <w:rsid w:val="00697068"/>
    <w:rsid w:val="006977DE"/>
    <w:rsid w:val="00697D5F"/>
    <w:rsid w:val="006A0107"/>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309"/>
    <w:rsid w:val="006B1486"/>
    <w:rsid w:val="006B169F"/>
    <w:rsid w:val="006B1BEB"/>
    <w:rsid w:val="006B1D06"/>
    <w:rsid w:val="006B2823"/>
    <w:rsid w:val="006B2968"/>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27C"/>
    <w:rsid w:val="006E37C6"/>
    <w:rsid w:val="006E3CF3"/>
    <w:rsid w:val="006E41ED"/>
    <w:rsid w:val="006E4667"/>
    <w:rsid w:val="006E46B7"/>
    <w:rsid w:val="006E475A"/>
    <w:rsid w:val="006E486D"/>
    <w:rsid w:val="006E4880"/>
    <w:rsid w:val="006E48BB"/>
    <w:rsid w:val="006E623A"/>
    <w:rsid w:val="006E727B"/>
    <w:rsid w:val="006E76C8"/>
    <w:rsid w:val="006E7A92"/>
    <w:rsid w:val="006F01FF"/>
    <w:rsid w:val="006F0CB2"/>
    <w:rsid w:val="006F1DE9"/>
    <w:rsid w:val="006F2046"/>
    <w:rsid w:val="006F2F59"/>
    <w:rsid w:val="006F311E"/>
    <w:rsid w:val="006F32AE"/>
    <w:rsid w:val="006F3442"/>
    <w:rsid w:val="006F36A5"/>
    <w:rsid w:val="006F41F4"/>
    <w:rsid w:val="006F4576"/>
    <w:rsid w:val="006F5813"/>
    <w:rsid w:val="006F59A8"/>
    <w:rsid w:val="006F5A1D"/>
    <w:rsid w:val="006F5F41"/>
    <w:rsid w:val="006F6A0F"/>
    <w:rsid w:val="006F71A6"/>
    <w:rsid w:val="006F7974"/>
    <w:rsid w:val="006F7C2C"/>
    <w:rsid w:val="006F7FD5"/>
    <w:rsid w:val="00700405"/>
    <w:rsid w:val="00700D18"/>
    <w:rsid w:val="00700EF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429"/>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D01"/>
    <w:rsid w:val="00721FC3"/>
    <w:rsid w:val="00722512"/>
    <w:rsid w:val="00722A86"/>
    <w:rsid w:val="00722BC6"/>
    <w:rsid w:val="00722C69"/>
    <w:rsid w:val="0072311F"/>
    <w:rsid w:val="0072388C"/>
    <w:rsid w:val="00723C63"/>
    <w:rsid w:val="00723FA2"/>
    <w:rsid w:val="0072454E"/>
    <w:rsid w:val="007249D1"/>
    <w:rsid w:val="00724FE4"/>
    <w:rsid w:val="00725829"/>
    <w:rsid w:val="00725D6A"/>
    <w:rsid w:val="007263A2"/>
    <w:rsid w:val="007266B9"/>
    <w:rsid w:val="00727351"/>
    <w:rsid w:val="00727AC5"/>
    <w:rsid w:val="00727C65"/>
    <w:rsid w:val="007300F0"/>
    <w:rsid w:val="00730904"/>
    <w:rsid w:val="00730EE4"/>
    <w:rsid w:val="0073144D"/>
    <w:rsid w:val="00731EDE"/>
    <w:rsid w:val="0073245C"/>
    <w:rsid w:val="00732493"/>
    <w:rsid w:val="00732FE9"/>
    <w:rsid w:val="00733772"/>
    <w:rsid w:val="00733A43"/>
    <w:rsid w:val="00733AE4"/>
    <w:rsid w:val="00733D5F"/>
    <w:rsid w:val="00733FB4"/>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7B5"/>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5CC5"/>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F3F"/>
    <w:rsid w:val="007660EC"/>
    <w:rsid w:val="007662C7"/>
    <w:rsid w:val="00766862"/>
    <w:rsid w:val="007675DD"/>
    <w:rsid w:val="00767608"/>
    <w:rsid w:val="007702BF"/>
    <w:rsid w:val="007705F0"/>
    <w:rsid w:val="00771CAC"/>
    <w:rsid w:val="00771FC4"/>
    <w:rsid w:val="00772036"/>
    <w:rsid w:val="00773098"/>
    <w:rsid w:val="007739A3"/>
    <w:rsid w:val="00773BD9"/>
    <w:rsid w:val="00773CB0"/>
    <w:rsid w:val="00773D71"/>
    <w:rsid w:val="00775526"/>
    <w:rsid w:val="00775651"/>
    <w:rsid w:val="00775F3F"/>
    <w:rsid w:val="0077710B"/>
    <w:rsid w:val="0077765A"/>
    <w:rsid w:val="00777B1C"/>
    <w:rsid w:val="00780032"/>
    <w:rsid w:val="00780636"/>
    <w:rsid w:val="00780E86"/>
    <w:rsid w:val="0078108C"/>
    <w:rsid w:val="00781727"/>
    <w:rsid w:val="0078213A"/>
    <w:rsid w:val="007823E8"/>
    <w:rsid w:val="00782CF3"/>
    <w:rsid w:val="00783959"/>
    <w:rsid w:val="007839FF"/>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CA"/>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BC"/>
    <w:rsid w:val="007B54C7"/>
    <w:rsid w:val="007B5637"/>
    <w:rsid w:val="007B5DC5"/>
    <w:rsid w:val="007B5F32"/>
    <w:rsid w:val="007B63FC"/>
    <w:rsid w:val="007B6708"/>
    <w:rsid w:val="007B6C20"/>
    <w:rsid w:val="007B6E8D"/>
    <w:rsid w:val="007B7D13"/>
    <w:rsid w:val="007C029E"/>
    <w:rsid w:val="007C0636"/>
    <w:rsid w:val="007C0C40"/>
    <w:rsid w:val="007C10E4"/>
    <w:rsid w:val="007C17B4"/>
    <w:rsid w:val="007C20F8"/>
    <w:rsid w:val="007C21C5"/>
    <w:rsid w:val="007C2229"/>
    <w:rsid w:val="007C2313"/>
    <w:rsid w:val="007C29A3"/>
    <w:rsid w:val="007C3172"/>
    <w:rsid w:val="007C3590"/>
    <w:rsid w:val="007C387A"/>
    <w:rsid w:val="007C3A0D"/>
    <w:rsid w:val="007C3EB0"/>
    <w:rsid w:val="007C43D6"/>
    <w:rsid w:val="007C47FF"/>
    <w:rsid w:val="007C510A"/>
    <w:rsid w:val="007C5366"/>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6E0"/>
    <w:rsid w:val="007F78E8"/>
    <w:rsid w:val="007F7F8F"/>
    <w:rsid w:val="00800509"/>
    <w:rsid w:val="0080078E"/>
    <w:rsid w:val="00800B7F"/>
    <w:rsid w:val="008012B1"/>
    <w:rsid w:val="00801D63"/>
    <w:rsid w:val="0080348B"/>
    <w:rsid w:val="00803D82"/>
    <w:rsid w:val="00803D98"/>
    <w:rsid w:val="008052CE"/>
    <w:rsid w:val="008058D0"/>
    <w:rsid w:val="008062EA"/>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5F0"/>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A63"/>
    <w:rsid w:val="008465B4"/>
    <w:rsid w:val="00846D25"/>
    <w:rsid w:val="00850013"/>
    <w:rsid w:val="008500DD"/>
    <w:rsid w:val="00850A0A"/>
    <w:rsid w:val="00850A94"/>
    <w:rsid w:val="00851E96"/>
    <w:rsid w:val="00851F1C"/>
    <w:rsid w:val="00852FA5"/>
    <w:rsid w:val="008530E1"/>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1E8"/>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392"/>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1FCC"/>
    <w:rsid w:val="00882991"/>
    <w:rsid w:val="00882EC1"/>
    <w:rsid w:val="008831F2"/>
    <w:rsid w:val="0088324E"/>
    <w:rsid w:val="008833FF"/>
    <w:rsid w:val="0088434F"/>
    <w:rsid w:val="00884371"/>
    <w:rsid w:val="008848E2"/>
    <w:rsid w:val="00884B7A"/>
    <w:rsid w:val="00884D47"/>
    <w:rsid w:val="008856C5"/>
    <w:rsid w:val="00885B7B"/>
    <w:rsid w:val="00886112"/>
    <w:rsid w:val="008872B3"/>
    <w:rsid w:val="00887392"/>
    <w:rsid w:val="00890A64"/>
    <w:rsid w:val="00890C40"/>
    <w:rsid w:val="0089122E"/>
    <w:rsid w:val="008912A7"/>
    <w:rsid w:val="0089183A"/>
    <w:rsid w:val="008920B4"/>
    <w:rsid w:val="008925EB"/>
    <w:rsid w:val="0089275E"/>
    <w:rsid w:val="00892B43"/>
    <w:rsid w:val="00893432"/>
    <w:rsid w:val="00893651"/>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C26"/>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02"/>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1AD"/>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5BB"/>
    <w:rsid w:val="008D5806"/>
    <w:rsid w:val="008D5ED9"/>
    <w:rsid w:val="008D7247"/>
    <w:rsid w:val="008D735D"/>
    <w:rsid w:val="008D7567"/>
    <w:rsid w:val="008E0BF5"/>
    <w:rsid w:val="008E0EE4"/>
    <w:rsid w:val="008E12BE"/>
    <w:rsid w:val="008E13FD"/>
    <w:rsid w:val="008E1C24"/>
    <w:rsid w:val="008E2626"/>
    <w:rsid w:val="008E27A9"/>
    <w:rsid w:val="008E323C"/>
    <w:rsid w:val="008E32E0"/>
    <w:rsid w:val="008E35A3"/>
    <w:rsid w:val="008E35A6"/>
    <w:rsid w:val="008E36D9"/>
    <w:rsid w:val="008E3A5C"/>
    <w:rsid w:val="008E3A9A"/>
    <w:rsid w:val="008E429E"/>
    <w:rsid w:val="008E58A3"/>
    <w:rsid w:val="008E5938"/>
    <w:rsid w:val="008E6109"/>
    <w:rsid w:val="008E6A39"/>
    <w:rsid w:val="008E76BB"/>
    <w:rsid w:val="008F08F0"/>
    <w:rsid w:val="008F1764"/>
    <w:rsid w:val="008F1E3D"/>
    <w:rsid w:val="008F235C"/>
    <w:rsid w:val="008F290B"/>
    <w:rsid w:val="008F2F11"/>
    <w:rsid w:val="008F3369"/>
    <w:rsid w:val="008F33A6"/>
    <w:rsid w:val="008F35EC"/>
    <w:rsid w:val="008F4FE8"/>
    <w:rsid w:val="008F4FED"/>
    <w:rsid w:val="008F5D5A"/>
    <w:rsid w:val="008F6200"/>
    <w:rsid w:val="008F62F8"/>
    <w:rsid w:val="008F63B3"/>
    <w:rsid w:val="008F6893"/>
    <w:rsid w:val="008F7292"/>
    <w:rsid w:val="008F76C0"/>
    <w:rsid w:val="009000F2"/>
    <w:rsid w:val="0090079D"/>
    <w:rsid w:val="0090086A"/>
    <w:rsid w:val="00900D2C"/>
    <w:rsid w:val="00900FF4"/>
    <w:rsid w:val="00901807"/>
    <w:rsid w:val="00901F0E"/>
    <w:rsid w:val="00902A26"/>
    <w:rsid w:val="00902A57"/>
    <w:rsid w:val="00902B29"/>
    <w:rsid w:val="0090329F"/>
    <w:rsid w:val="00903C83"/>
    <w:rsid w:val="00903D37"/>
    <w:rsid w:val="00903D77"/>
    <w:rsid w:val="0090408F"/>
    <w:rsid w:val="0090446A"/>
    <w:rsid w:val="00904537"/>
    <w:rsid w:val="00904DC3"/>
    <w:rsid w:val="0090534A"/>
    <w:rsid w:val="00905469"/>
    <w:rsid w:val="00906078"/>
    <w:rsid w:val="0090629C"/>
    <w:rsid w:val="00906EA2"/>
    <w:rsid w:val="00907278"/>
    <w:rsid w:val="00910041"/>
    <w:rsid w:val="009109C4"/>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441"/>
    <w:rsid w:val="00923643"/>
    <w:rsid w:val="00923E1A"/>
    <w:rsid w:val="009245CC"/>
    <w:rsid w:val="0092490A"/>
    <w:rsid w:val="00925A3E"/>
    <w:rsid w:val="009261DB"/>
    <w:rsid w:val="00926939"/>
    <w:rsid w:val="00926F4C"/>
    <w:rsid w:val="00927330"/>
    <w:rsid w:val="00927460"/>
    <w:rsid w:val="00927710"/>
    <w:rsid w:val="009307CA"/>
    <w:rsid w:val="009312F9"/>
    <w:rsid w:val="00931445"/>
    <w:rsid w:val="00931AB8"/>
    <w:rsid w:val="00931C19"/>
    <w:rsid w:val="00931C63"/>
    <w:rsid w:val="00931D10"/>
    <w:rsid w:val="0093218A"/>
    <w:rsid w:val="009328EB"/>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5DCA"/>
    <w:rsid w:val="00946128"/>
    <w:rsid w:val="0094633F"/>
    <w:rsid w:val="00947BA5"/>
    <w:rsid w:val="00950805"/>
    <w:rsid w:val="009517E4"/>
    <w:rsid w:val="009518D4"/>
    <w:rsid w:val="009520BC"/>
    <w:rsid w:val="009521D2"/>
    <w:rsid w:val="00952403"/>
    <w:rsid w:val="00952589"/>
    <w:rsid w:val="00952BD8"/>
    <w:rsid w:val="00953573"/>
    <w:rsid w:val="009537C0"/>
    <w:rsid w:val="00954296"/>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7D"/>
    <w:rsid w:val="00963183"/>
    <w:rsid w:val="0096373F"/>
    <w:rsid w:val="009638A1"/>
    <w:rsid w:val="00964007"/>
    <w:rsid w:val="00964283"/>
    <w:rsid w:val="009642A4"/>
    <w:rsid w:val="009643F4"/>
    <w:rsid w:val="009645A6"/>
    <w:rsid w:val="00964F5A"/>
    <w:rsid w:val="0096527F"/>
    <w:rsid w:val="009653ED"/>
    <w:rsid w:val="00966A21"/>
    <w:rsid w:val="00966AD2"/>
    <w:rsid w:val="00971415"/>
    <w:rsid w:val="009716D8"/>
    <w:rsid w:val="009719B9"/>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BA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B95"/>
    <w:rsid w:val="00992C67"/>
    <w:rsid w:val="00992D5B"/>
    <w:rsid w:val="00993135"/>
    <w:rsid w:val="00993AC7"/>
    <w:rsid w:val="00993BAD"/>
    <w:rsid w:val="00993E49"/>
    <w:rsid w:val="00994011"/>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00D"/>
    <w:rsid w:val="009B152B"/>
    <w:rsid w:val="009B2731"/>
    <w:rsid w:val="009B2DCF"/>
    <w:rsid w:val="009B39D8"/>
    <w:rsid w:val="009B3D38"/>
    <w:rsid w:val="009B4368"/>
    <w:rsid w:val="009B4D4C"/>
    <w:rsid w:val="009B5216"/>
    <w:rsid w:val="009B66F5"/>
    <w:rsid w:val="009B7505"/>
    <w:rsid w:val="009C0020"/>
    <w:rsid w:val="009C03F7"/>
    <w:rsid w:val="009C10DA"/>
    <w:rsid w:val="009C19FC"/>
    <w:rsid w:val="009C27F7"/>
    <w:rsid w:val="009C31CF"/>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1E7D"/>
    <w:rsid w:val="009D2567"/>
    <w:rsid w:val="009D298F"/>
    <w:rsid w:val="009D2C9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4F1"/>
    <w:rsid w:val="009E19BB"/>
    <w:rsid w:val="009E1C47"/>
    <w:rsid w:val="009E2473"/>
    <w:rsid w:val="009E2DFE"/>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16"/>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5A6"/>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FAC"/>
    <w:rsid w:val="00A21838"/>
    <w:rsid w:val="00A22C3E"/>
    <w:rsid w:val="00A22C4D"/>
    <w:rsid w:val="00A2334E"/>
    <w:rsid w:val="00A23442"/>
    <w:rsid w:val="00A249D2"/>
    <w:rsid w:val="00A254AB"/>
    <w:rsid w:val="00A259F2"/>
    <w:rsid w:val="00A266CC"/>
    <w:rsid w:val="00A26DB4"/>
    <w:rsid w:val="00A27425"/>
    <w:rsid w:val="00A279A9"/>
    <w:rsid w:val="00A3023E"/>
    <w:rsid w:val="00A305C5"/>
    <w:rsid w:val="00A30919"/>
    <w:rsid w:val="00A31011"/>
    <w:rsid w:val="00A31342"/>
    <w:rsid w:val="00A31F05"/>
    <w:rsid w:val="00A31FD2"/>
    <w:rsid w:val="00A325FE"/>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354"/>
    <w:rsid w:val="00A526CE"/>
    <w:rsid w:val="00A54674"/>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4F66"/>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22E"/>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3E6"/>
    <w:rsid w:val="00AC7BA7"/>
    <w:rsid w:val="00AC7F64"/>
    <w:rsid w:val="00AD1065"/>
    <w:rsid w:val="00AD159E"/>
    <w:rsid w:val="00AD2AB1"/>
    <w:rsid w:val="00AD3132"/>
    <w:rsid w:val="00AD3DA6"/>
    <w:rsid w:val="00AD3F3C"/>
    <w:rsid w:val="00AD447E"/>
    <w:rsid w:val="00AD478E"/>
    <w:rsid w:val="00AD4B2F"/>
    <w:rsid w:val="00AD5E32"/>
    <w:rsid w:val="00AD5F0A"/>
    <w:rsid w:val="00AD6238"/>
    <w:rsid w:val="00AD6A5B"/>
    <w:rsid w:val="00AD6B4F"/>
    <w:rsid w:val="00AD6D19"/>
    <w:rsid w:val="00AD7812"/>
    <w:rsid w:val="00AD7C42"/>
    <w:rsid w:val="00AD7CFA"/>
    <w:rsid w:val="00AE06B0"/>
    <w:rsid w:val="00AE0BD6"/>
    <w:rsid w:val="00AE11C1"/>
    <w:rsid w:val="00AE163D"/>
    <w:rsid w:val="00AE1A42"/>
    <w:rsid w:val="00AE1C5C"/>
    <w:rsid w:val="00AE2CCA"/>
    <w:rsid w:val="00AE2CEE"/>
    <w:rsid w:val="00AE315E"/>
    <w:rsid w:val="00AE319F"/>
    <w:rsid w:val="00AE31D9"/>
    <w:rsid w:val="00AE3CF0"/>
    <w:rsid w:val="00AE4546"/>
    <w:rsid w:val="00AE6575"/>
    <w:rsid w:val="00AE71EE"/>
    <w:rsid w:val="00AE7C82"/>
    <w:rsid w:val="00AF03CF"/>
    <w:rsid w:val="00AF0A0A"/>
    <w:rsid w:val="00AF14FC"/>
    <w:rsid w:val="00AF1ED2"/>
    <w:rsid w:val="00AF1F4E"/>
    <w:rsid w:val="00AF2302"/>
    <w:rsid w:val="00AF262A"/>
    <w:rsid w:val="00AF3557"/>
    <w:rsid w:val="00AF3F86"/>
    <w:rsid w:val="00AF3FCB"/>
    <w:rsid w:val="00AF4CEE"/>
    <w:rsid w:val="00AF4F4A"/>
    <w:rsid w:val="00AF584C"/>
    <w:rsid w:val="00AF5D84"/>
    <w:rsid w:val="00AF6476"/>
    <w:rsid w:val="00AF669D"/>
    <w:rsid w:val="00AF672C"/>
    <w:rsid w:val="00AF673E"/>
    <w:rsid w:val="00AF6ABE"/>
    <w:rsid w:val="00AF7389"/>
    <w:rsid w:val="00AF79DF"/>
    <w:rsid w:val="00AF7C37"/>
    <w:rsid w:val="00B00378"/>
    <w:rsid w:val="00B009B3"/>
    <w:rsid w:val="00B00D91"/>
    <w:rsid w:val="00B00E84"/>
    <w:rsid w:val="00B01DD9"/>
    <w:rsid w:val="00B01F0E"/>
    <w:rsid w:val="00B038F1"/>
    <w:rsid w:val="00B03C1B"/>
    <w:rsid w:val="00B04678"/>
    <w:rsid w:val="00B047C9"/>
    <w:rsid w:val="00B04A04"/>
    <w:rsid w:val="00B04B78"/>
    <w:rsid w:val="00B04C37"/>
    <w:rsid w:val="00B04F00"/>
    <w:rsid w:val="00B05BA6"/>
    <w:rsid w:val="00B06516"/>
    <w:rsid w:val="00B066FE"/>
    <w:rsid w:val="00B06912"/>
    <w:rsid w:val="00B07316"/>
    <w:rsid w:val="00B07F74"/>
    <w:rsid w:val="00B10618"/>
    <w:rsid w:val="00B10B04"/>
    <w:rsid w:val="00B10CC6"/>
    <w:rsid w:val="00B11932"/>
    <w:rsid w:val="00B11A61"/>
    <w:rsid w:val="00B11D5B"/>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985"/>
    <w:rsid w:val="00B36D3E"/>
    <w:rsid w:val="00B3783C"/>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8E5"/>
    <w:rsid w:val="00B4691F"/>
    <w:rsid w:val="00B46953"/>
    <w:rsid w:val="00B47455"/>
    <w:rsid w:val="00B47979"/>
    <w:rsid w:val="00B47A59"/>
    <w:rsid w:val="00B47ECD"/>
    <w:rsid w:val="00B47FF3"/>
    <w:rsid w:val="00B503D6"/>
    <w:rsid w:val="00B51520"/>
    <w:rsid w:val="00B515C3"/>
    <w:rsid w:val="00B517C2"/>
    <w:rsid w:val="00B518CE"/>
    <w:rsid w:val="00B51F56"/>
    <w:rsid w:val="00B52234"/>
    <w:rsid w:val="00B53426"/>
    <w:rsid w:val="00B53623"/>
    <w:rsid w:val="00B53D1D"/>
    <w:rsid w:val="00B53E98"/>
    <w:rsid w:val="00B53F9B"/>
    <w:rsid w:val="00B5429F"/>
    <w:rsid w:val="00B54B19"/>
    <w:rsid w:val="00B559EE"/>
    <w:rsid w:val="00B55F64"/>
    <w:rsid w:val="00B56ECA"/>
    <w:rsid w:val="00B57093"/>
    <w:rsid w:val="00B57B5D"/>
    <w:rsid w:val="00B60613"/>
    <w:rsid w:val="00B61950"/>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05E"/>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827"/>
    <w:rsid w:val="00B869D3"/>
    <w:rsid w:val="00B86CF8"/>
    <w:rsid w:val="00B86E44"/>
    <w:rsid w:val="00B87359"/>
    <w:rsid w:val="00B87F1C"/>
    <w:rsid w:val="00B90D8D"/>
    <w:rsid w:val="00B91263"/>
    <w:rsid w:val="00B91B61"/>
    <w:rsid w:val="00B91E5B"/>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7A7"/>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86A"/>
    <w:rsid w:val="00BB2ACE"/>
    <w:rsid w:val="00BB2E4E"/>
    <w:rsid w:val="00BB2E62"/>
    <w:rsid w:val="00BB36C9"/>
    <w:rsid w:val="00BB3A66"/>
    <w:rsid w:val="00BB40D1"/>
    <w:rsid w:val="00BB6F63"/>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6C48"/>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5C5"/>
    <w:rsid w:val="00BD667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151"/>
    <w:rsid w:val="00BE4222"/>
    <w:rsid w:val="00BE472D"/>
    <w:rsid w:val="00BE4C03"/>
    <w:rsid w:val="00BE7F4D"/>
    <w:rsid w:val="00BF03C0"/>
    <w:rsid w:val="00BF0EBF"/>
    <w:rsid w:val="00BF1534"/>
    <w:rsid w:val="00BF17B3"/>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BF7F69"/>
    <w:rsid w:val="00C00B3B"/>
    <w:rsid w:val="00C00BF6"/>
    <w:rsid w:val="00C0234A"/>
    <w:rsid w:val="00C0247B"/>
    <w:rsid w:val="00C0378E"/>
    <w:rsid w:val="00C04314"/>
    <w:rsid w:val="00C04BD0"/>
    <w:rsid w:val="00C05730"/>
    <w:rsid w:val="00C05AF4"/>
    <w:rsid w:val="00C05AFD"/>
    <w:rsid w:val="00C0661C"/>
    <w:rsid w:val="00C0675F"/>
    <w:rsid w:val="00C06EB7"/>
    <w:rsid w:val="00C0702A"/>
    <w:rsid w:val="00C0724C"/>
    <w:rsid w:val="00C07C11"/>
    <w:rsid w:val="00C07E10"/>
    <w:rsid w:val="00C10015"/>
    <w:rsid w:val="00C1110A"/>
    <w:rsid w:val="00C11689"/>
    <w:rsid w:val="00C1212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5FF"/>
    <w:rsid w:val="00C35EED"/>
    <w:rsid w:val="00C36B2C"/>
    <w:rsid w:val="00C3701A"/>
    <w:rsid w:val="00C379EF"/>
    <w:rsid w:val="00C405C8"/>
    <w:rsid w:val="00C4068C"/>
    <w:rsid w:val="00C40C2F"/>
    <w:rsid w:val="00C415AC"/>
    <w:rsid w:val="00C4297A"/>
    <w:rsid w:val="00C4324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582"/>
    <w:rsid w:val="00C5570F"/>
    <w:rsid w:val="00C56C98"/>
    <w:rsid w:val="00C56DE1"/>
    <w:rsid w:val="00C56DEE"/>
    <w:rsid w:val="00C57120"/>
    <w:rsid w:val="00C571D5"/>
    <w:rsid w:val="00C575D4"/>
    <w:rsid w:val="00C60C01"/>
    <w:rsid w:val="00C61223"/>
    <w:rsid w:val="00C61246"/>
    <w:rsid w:val="00C618A8"/>
    <w:rsid w:val="00C61A78"/>
    <w:rsid w:val="00C629F3"/>
    <w:rsid w:val="00C62B88"/>
    <w:rsid w:val="00C62CD3"/>
    <w:rsid w:val="00C634F9"/>
    <w:rsid w:val="00C63B31"/>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B73"/>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8F6"/>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09D"/>
    <w:rsid w:val="00CA7C69"/>
    <w:rsid w:val="00CA7D3E"/>
    <w:rsid w:val="00CB01B1"/>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EBD"/>
    <w:rsid w:val="00CC1398"/>
    <w:rsid w:val="00CC1AF5"/>
    <w:rsid w:val="00CC1B74"/>
    <w:rsid w:val="00CC291E"/>
    <w:rsid w:val="00CC2D03"/>
    <w:rsid w:val="00CC2EB0"/>
    <w:rsid w:val="00CC4701"/>
    <w:rsid w:val="00CC56B4"/>
    <w:rsid w:val="00CC5F95"/>
    <w:rsid w:val="00CC642A"/>
    <w:rsid w:val="00CC6AC7"/>
    <w:rsid w:val="00CC6B64"/>
    <w:rsid w:val="00CC733D"/>
    <w:rsid w:val="00CC7617"/>
    <w:rsid w:val="00CC7E0D"/>
    <w:rsid w:val="00CC7E97"/>
    <w:rsid w:val="00CD00EB"/>
    <w:rsid w:val="00CD0477"/>
    <w:rsid w:val="00CD1255"/>
    <w:rsid w:val="00CD1484"/>
    <w:rsid w:val="00CD1807"/>
    <w:rsid w:val="00CD1892"/>
    <w:rsid w:val="00CD1C01"/>
    <w:rsid w:val="00CD1D00"/>
    <w:rsid w:val="00CD2009"/>
    <w:rsid w:val="00CD27AC"/>
    <w:rsid w:val="00CD2A82"/>
    <w:rsid w:val="00CD2ED4"/>
    <w:rsid w:val="00CD37AD"/>
    <w:rsid w:val="00CD3CAB"/>
    <w:rsid w:val="00CD43C2"/>
    <w:rsid w:val="00CD44FF"/>
    <w:rsid w:val="00CD46A7"/>
    <w:rsid w:val="00CD47BC"/>
    <w:rsid w:val="00CD4E50"/>
    <w:rsid w:val="00CD57CB"/>
    <w:rsid w:val="00CD64E1"/>
    <w:rsid w:val="00CD66BA"/>
    <w:rsid w:val="00CD699D"/>
    <w:rsid w:val="00CD6BA3"/>
    <w:rsid w:val="00CD6F4E"/>
    <w:rsid w:val="00CD70DB"/>
    <w:rsid w:val="00CD7544"/>
    <w:rsid w:val="00CD78D4"/>
    <w:rsid w:val="00CE0697"/>
    <w:rsid w:val="00CE0A24"/>
    <w:rsid w:val="00CE14CB"/>
    <w:rsid w:val="00CE2AB2"/>
    <w:rsid w:val="00CE2E2E"/>
    <w:rsid w:val="00CE307C"/>
    <w:rsid w:val="00CE3A51"/>
    <w:rsid w:val="00CE41F9"/>
    <w:rsid w:val="00CE59F6"/>
    <w:rsid w:val="00CE66CD"/>
    <w:rsid w:val="00CE6BA9"/>
    <w:rsid w:val="00CE71C3"/>
    <w:rsid w:val="00CE727A"/>
    <w:rsid w:val="00CF029C"/>
    <w:rsid w:val="00CF0AF0"/>
    <w:rsid w:val="00CF0B8C"/>
    <w:rsid w:val="00CF115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AE6"/>
    <w:rsid w:val="00D14E25"/>
    <w:rsid w:val="00D15470"/>
    <w:rsid w:val="00D15AE3"/>
    <w:rsid w:val="00D160C4"/>
    <w:rsid w:val="00D165D8"/>
    <w:rsid w:val="00D1724E"/>
    <w:rsid w:val="00D1743D"/>
    <w:rsid w:val="00D17C26"/>
    <w:rsid w:val="00D17E08"/>
    <w:rsid w:val="00D206F6"/>
    <w:rsid w:val="00D20FD1"/>
    <w:rsid w:val="00D214D4"/>
    <w:rsid w:val="00D21640"/>
    <w:rsid w:val="00D21AAA"/>
    <w:rsid w:val="00D21E6F"/>
    <w:rsid w:val="00D2218A"/>
    <w:rsid w:val="00D224D3"/>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3677"/>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26"/>
    <w:rsid w:val="00D517ED"/>
    <w:rsid w:val="00D5251C"/>
    <w:rsid w:val="00D52F56"/>
    <w:rsid w:val="00D539DA"/>
    <w:rsid w:val="00D54A50"/>
    <w:rsid w:val="00D54FFD"/>
    <w:rsid w:val="00D5552C"/>
    <w:rsid w:val="00D5556D"/>
    <w:rsid w:val="00D55C34"/>
    <w:rsid w:val="00D55C81"/>
    <w:rsid w:val="00D5657B"/>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6FA"/>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045"/>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F1A"/>
    <w:rsid w:val="00D859A1"/>
    <w:rsid w:val="00D85FDE"/>
    <w:rsid w:val="00D8665E"/>
    <w:rsid w:val="00D869C1"/>
    <w:rsid w:val="00D86C1A"/>
    <w:rsid w:val="00D86EC6"/>
    <w:rsid w:val="00D87418"/>
    <w:rsid w:val="00D87964"/>
    <w:rsid w:val="00D87A39"/>
    <w:rsid w:val="00D87FE6"/>
    <w:rsid w:val="00D90BC3"/>
    <w:rsid w:val="00D90C93"/>
    <w:rsid w:val="00D90DB9"/>
    <w:rsid w:val="00D91001"/>
    <w:rsid w:val="00D910FF"/>
    <w:rsid w:val="00D91337"/>
    <w:rsid w:val="00D915C9"/>
    <w:rsid w:val="00D918DA"/>
    <w:rsid w:val="00D9198F"/>
    <w:rsid w:val="00D92078"/>
    <w:rsid w:val="00D92392"/>
    <w:rsid w:val="00D926F0"/>
    <w:rsid w:val="00D92857"/>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B6"/>
    <w:rsid w:val="00DA3C5B"/>
    <w:rsid w:val="00DA3D23"/>
    <w:rsid w:val="00DA4A61"/>
    <w:rsid w:val="00DA5AFE"/>
    <w:rsid w:val="00DA61AB"/>
    <w:rsid w:val="00DA61CD"/>
    <w:rsid w:val="00DA6EE2"/>
    <w:rsid w:val="00DA718A"/>
    <w:rsid w:val="00DA78CF"/>
    <w:rsid w:val="00DA78D5"/>
    <w:rsid w:val="00DA7A89"/>
    <w:rsid w:val="00DA7BF4"/>
    <w:rsid w:val="00DA7DA5"/>
    <w:rsid w:val="00DB052F"/>
    <w:rsid w:val="00DB14D3"/>
    <w:rsid w:val="00DB154B"/>
    <w:rsid w:val="00DB1BDC"/>
    <w:rsid w:val="00DB31DB"/>
    <w:rsid w:val="00DB3490"/>
    <w:rsid w:val="00DB3593"/>
    <w:rsid w:val="00DB440B"/>
    <w:rsid w:val="00DB4426"/>
    <w:rsid w:val="00DB4522"/>
    <w:rsid w:val="00DB4B40"/>
    <w:rsid w:val="00DB4F12"/>
    <w:rsid w:val="00DB4F21"/>
    <w:rsid w:val="00DB4F42"/>
    <w:rsid w:val="00DB540C"/>
    <w:rsid w:val="00DB6F96"/>
    <w:rsid w:val="00DB71B9"/>
    <w:rsid w:val="00DB73D2"/>
    <w:rsid w:val="00DB7662"/>
    <w:rsid w:val="00DB7DE9"/>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4D8"/>
    <w:rsid w:val="00DD3CF4"/>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71"/>
    <w:rsid w:val="00DE04E0"/>
    <w:rsid w:val="00DE12F1"/>
    <w:rsid w:val="00DE1A9D"/>
    <w:rsid w:val="00DE1CB1"/>
    <w:rsid w:val="00DE2073"/>
    <w:rsid w:val="00DE30AC"/>
    <w:rsid w:val="00DE38D1"/>
    <w:rsid w:val="00DE4106"/>
    <w:rsid w:val="00DE466B"/>
    <w:rsid w:val="00DE48F4"/>
    <w:rsid w:val="00DE5563"/>
    <w:rsid w:val="00DE5851"/>
    <w:rsid w:val="00DE5C19"/>
    <w:rsid w:val="00DE5D48"/>
    <w:rsid w:val="00DE6E4D"/>
    <w:rsid w:val="00DE7498"/>
    <w:rsid w:val="00DE75EF"/>
    <w:rsid w:val="00DE7611"/>
    <w:rsid w:val="00DE7D19"/>
    <w:rsid w:val="00DF05A0"/>
    <w:rsid w:val="00DF1162"/>
    <w:rsid w:val="00DF1AED"/>
    <w:rsid w:val="00DF1BA8"/>
    <w:rsid w:val="00DF1F63"/>
    <w:rsid w:val="00DF28F2"/>
    <w:rsid w:val="00DF2BFF"/>
    <w:rsid w:val="00DF3798"/>
    <w:rsid w:val="00DF45C4"/>
    <w:rsid w:val="00DF4FF1"/>
    <w:rsid w:val="00DF56A3"/>
    <w:rsid w:val="00DF5B33"/>
    <w:rsid w:val="00DF6FD2"/>
    <w:rsid w:val="00DF72EF"/>
    <w:rsid w:val="00DF743D"/>
    <w:rsid w:val="00DF7724"/>
    <w:rsid w:val="00DF7BC0"/>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07E"/>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89E"/>
    <w:rsid w:val="00E2449B"/>
    <w:rsid w:val="00E24A62"/>
    <w:rsid w:val="00E24F52"/>
    <w:rsid w:val="00E255CC"/>
    <w:rsid w:val="00E25636"/>
    <w:rsid w:val="00E25755"/>
    <w:rsid w:val="00E25F90"/>
    <w:rsid w:val="00E266DD"/>
    <w:rsid w:val="00E26D2E"/>
    <w:rsid w:val="00E26E7D"/>
    <w:rsid w:val="00E279B2"/>
    <w:rsid w:val="00E30325"/>
    <w:rsid w:val="00E303C0"/>
    <w:rsid w:val="00E3055B"/>
    <w:rsid w:val="00E31687"/>
    <w:rsid w:val="00E31699"/>
    <w:rsid w:val="00E31761"/>
    <w:rsid w:val="00E31812"/>
    <w:rsid w:val="00E31889"/>
    <w:rsid w:val="00E31CE7"/>
    <w:rsid w:val="00E333D5"/>
    <w:rsid w:val="00E3394F"/>
    <w:rsid w:val="00E33A0B"/>
    <w:rsid w:val="00E34A2F"/>
    <w:rsid w:val="00E34E0A"/>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3A60"/>
    <w:rsid w:val="00E45A2C"/>
    <w:rsid w:val="00E46A6B"/>
    <w:rsid w:val="00E46A9C"/>
    <w:rsid w:val="00E46D08"/>
    <w:rsid w:val="00E47DB1"/>
    <w:rsid w:val="00E50BDD"/>
    <w:rsid w:val="00E510CF"/>
    <w:rsid w:val="00E513D7"/>
    <w:rsid w:val="00E5196D"/>
    <w:rsid w:val="00E519FE"/>
    <w:rsid w:val="00E5206C"/>
    <w:rsid w:val="00E52AAB"/>
    <w:rsid w:val="00E5448E"/>
    <w:rsid w:val="00E54E0D"/>
    <w:rsid w:val="00E55247"/>
    <w:rsid w:val="00E558E5"/>
    <w:rsid w:val="00E55B3C"/>
    <w:rsid w:val="00E5627C"/>
    <w:rsid w:val="00E56795"/>
    <w:rsid w:val="00E569FE"/>
    <w:rsid w:val="00E57932"/>
    <w:rsid w:val="00E606C4"/>
    <w:rsid w:val="00E60811"/>
    <w:rsid w:val="00E60AB8"/>
    <w:rsid w:val="00E6103E"/>
    <w:rsid w:val="00E6185F"/>
    <w:rsid w:val="00E61D32"/>
    <w:rsid w:val="00E62968"/>
    <w:rsid w:val="00E63C60"/>
    <w:rsid w:val="00E6403C"/>
    <w:rsid w:val="00E64050"/>
    <w:rsid w:val="00E64B7B"/>
    <w:rsid w:val="00E6514D"/>
    <w:rsid w:val="00E65161"/>
    <w:rsid w:val="00E652C9"/>
    <w:rsid w:val="00E6593B"/>
    <w:rsid w:val="00E65D74"/>
    <w:rsid w:val="00E66E11"/>
    <w:rsid w:val="00E672C6"/>
    <w:rsid w:val="00E70192"/>
    <w:rsid w:val="00E70C55"/>
    <w:rsid w:val="00E70E34"/>
    <w:rsid w:val="00E7128E"/>
    <w:rsid w:val="00E71809"/>
    <w:rsid w:val="00E71D1E"/>
    <w:rsid w:val="00E726F2"/>
    <w:rsid w:val="00E728E2"/>
    <w:rsid w:val="00E738FA"/>
    <w:rsid w:val="00E739B6"/>
    <w:rsid w:val="00E74A2B"/>
    <w:rsid w:val="00E7551A"/>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624"/>
    <w:rsid w:val="00E84C04"/>
    <w:rsid w:val="00E84F72"/>
    <w:rsid w:val="00E856A2"/>
    <w:rsid w:val="00E8572B"/>
    <w:rsid w:val="00E8575B"/>
    <w:rsid w:val="00E85929"/>
    <w:rsid w:val="00E85AD2"/>
    <w:rsid w:val="00E85F8C"/>
    <w:rsid w:val="00E867A2"/>
    <w:rsid w:val="00E87A37"/>
    <w:rsid w:val="00E87CF7"/>
    <w:rsid w:val="00E9036E"/>
    <w:rsid w:val="00E9078A"/>
    <w:rsid w:val="00E912FD"/>
    <w:rsid w:val="00E91B26"/>
    <w:rsid w:val="00E92C6E"/>
    <w:rsid w:val="00E92D0B"/>
    <w:rsid w:val="00E92FFF"/>
    <w:rsid w:val="00E93195"/>
    <w:rsid w:val="00E9391C"/>
    <w:rsid w:val="00E93D05"/>
    <w:rsid w:val="00E94506"/>
    <w:rsid w:val="00E951D8"/>
    <w:rsid w:val="00E956AA"/>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4A9"/>
    <w:rsid w:val="00EA613D"/>
    <w:rsid w:val="00EA6744"/>
    <w:rsid w:val="00EA7308"/>
    <w:rsid w:val="00EA7474"/>
    <w:rsid w:val="00EA75ED"/>
    <w:rsid w:val="00EB0831"/>
    <w:rsid w:val="00EB089C"/>
    <w:rsid w:val="00EB0AA8"/>
    <w:rsid w:val="00EB0B65"/>
    <w:rsid w:val="00EB0C65"/>
    <w:rsid w:val="00EB0EDD"/>
    <w:rsid w:val="00EB10D6"/>
    <w:rsid w:val="00EB1624"/>
    <w:rsid w:val="00EB169F"/>
    <w:rsid w:val="00EB2635"/>
    <w:rsid w:val="00EB27DE"/>
    <w:rsid w:val="00EB2961"/>
    <w:rsid w:val="00EB2E1A"/>
    <w:rsid w:val="00EB2F8A"/>
    <w:rsid w:val="00EB3268"/>
    <w:rsid w:val="00EB3298"/>
    <w:rsid w:val="00EB3939"/>
    <w:rsid w:val="00EB3CE6"/>
    <w:rsid w:val="00EB3E92"/>
    <w:rsid w:val="00EB4113"/>
    <w:rsid w:val="00EB54AB"/>
    <w:rsid w:val="00EB6257"/>
    <w:rsid w:val="00EB68E6"/>
    <w:rsid w:val="00EB6AE9"/>
    <w:rsid w:val="00EB6B2D"/>
    <w:rsid w:val="00EB71C9"/>
    <w:rsid w:val="00EB763E"/>
    <w:rsid w:val="00EB7B67"/>
    <w:rsid w:val="00EC0293"/>
    <w:rsid w:val="00EC07F1"/>
    <w:rsid w:val="00EC1494"/>
    <w:rsid w:val="00EC1E8A"/>
    <w:rsid w:val="00EC2EA3"/>
    <w:rsid w:val="00EC328C"/>
    <w:rsid w:val="00EC32F5"/>
    <w:rsid w:val="00EC3852"/>
    <w:rsid w:val="00EC4528"/>
    <w:rsid w:val="00EC5241"/>
    <w:rsid w:val="00EC5817"/>
    <w:rsid w:val="00EC594C"/>
    <w:rsid w:val="00EC5C7B"/>
    <w:rsid w:val="00EC66AA"/>
    <w:rsid w:val="00EC6B30"/>
    <w:rsid w:val="00EC6B8F"/>
    <w:rsid w:val="00EC6C9D"/>
    <w:rsid w:val="00EC7154"/>
    <w:rsid w:val="00EC7371"/>
    <w:rsid w:val="00EC73F5"/>
    <w:rsid w:val="00EC7894"/>
    <w:rsid w:val="00EC7A28"/>
    <w:rsid w:val="00EC7A41"/>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BC2"/>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558"/>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3F83"/>
    <w:rsid w:val="00F04D19"/>
    <w:rsid w:val="00F050A3"/>
    <w:rsid w:val="00F06337"/>
    <w:rsid w:val="00F06340"/>
    <w:rsid w:val="00F0665D"/>
    <w:rsid w:val="00F06D42"/>
    <w:rsid w:val="00F06EE0"/>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17D"/>
    <w:rsid w:val="00F22362"/>
    <w:rsid w:val="00F22796"/>
    <w:rsid w:val="00F2296A"/>
    <w:rsid w:val="00F22EAB"/>
    <w:rsid w:val="00F234A4"/>
    <w:rsid w:val="00F2363A"/>
    <w:rsid w:val="00F238F7"/>
    <w:rsid w:val="00F23BA0"/>
    <w:rsid w:val="00F2420C"/>
    <w:rsid w:val="00F24C28"/>
    <w:rsid w:val="00F254C4"/>
    <w:rsid w:val="00F25641"/>
    <w:rsid w:val="00F256D8"/>
    <w:rsid w:val="00F25824"/>
    <w:rsid w:val="00F2592F"/>
    <w:rsid w:val="00F25E8C"/>
    <w:rsid w:val="00F26065"/>
    <w:rsid w:val="00F266E3"/>
    <w:rsid w:val="00F2689C"/>
    <w:rsid w:val="00F27E44"/>
    <w:rsid w:val="00F30131"/>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00D"/>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47DC0"/>
    <w:rsid w:val="00F47E2A"/>
    <w:rsid w:val="00F5052D"/>
    <w:rsid w:val="00F51A82"/>
    <w:rsid w:val="00F51B78"/>
    <w:rsid w:val="00F51BDD"/>
    <w:rsid w:val="00F51E49"/>
    <w:rsid w:val="00F52065"/>
    <w:rsid w:val="00F521CE"/>
    <w:rsid w:val="00F5253E"/>
    <w:rsid w:val="00F5254B"/>
    <w:rsid w:val="00F52CB7"/>
    <w:rsid w:val="00F53A44"/>
    <w:rsid w:val="00F54510"/>
    <w:rsid w:val="00F54E5E"/>
    <w:rsid w:val="00F551DB"/>
    <w:rsid w:val="00F55810"/>
    <w:rsid w:val="00F559BE"/>
    <w:rsid w:val="00F56F7E"/>
    <w:rsid w:val="00F56FEF"/>
    <w:rsid w:val="00F572FE"/>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E75"/>
    <w:rsid w:val="00F67079"/>
    <w:rsid w:val="00F67B58"/>
    <w:rsid w:val="00F67E81"/>
    <w:rsid w:val="00F7044B"/>
    <w:rsid w:val="00F70FD4"/>
    <w:rsid w:val="00F70FEF"/>
    <w:rsid w:val="00F71342"/>
    <w:rsid w:val="00F71C68"/>
    <w:rsid w:val="00F724E2"/>
    <w:rsid w:val="00F74103"/>
    <w:rsid w:val="00F7410A"/>
    <w:rsid w:val="00F745A4"/>
    <w:rsid w:val="00F7486A"/>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6E3"/>
    <w:rsid w:val="00F83EC7"/>
    <w:rsid w:val="00F8421D"/>
    <w:rsid w:val="00F85329"/>
    <w:rsid w:val="00F85683"/>
    <w:rsid w:val="00F85841"/>
    <w:rsid w:val="00F86079"/>
    <w:rsid w:val="00F8610A"/>
    <w:rsid w:val="00F87282"/>
    <w:rsid w:val="00F878CD"/>
    <w:rsid w:val="00F87905"/>
    <w:rsid w:val="00F87A66"/>
    <w:rsid w:val="00F87A6C"/>
    <w:rsid w:val="00F87C61"/>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B8D"/>
    <w:rsid w:val="00FA775E"/>
    <w:rsid w:val="00FA7792"/>
    <w:rsid w:val="00FA7AA8"/>
    <w:rsid w:val="00FA7F1D"/>
    <w:rsid w:val="00FB011C"/>
    <w:rsid w:val="00FB0D60"/>
    <w:rsid w:val="00FB18FD"/>
    <w:rsid w:val="00FB219A"/>
    <w:rsid w:val="00FB2BF5"/>
    <w:rsid w:val="00FB2F8E"/>
    <w:rsid w:val="00FB30C3"/>
    <w:rsid w:val="00FB3903"/>
    <w:rsid w:val="00FB39B0"/>
    <w:rsid w:val="00FB5138"/>
    <w:rsid w:val="00FB547F"/>
    <w:rsid w:val="00FB5A71"/>
    <w:rsid w:val="00FB63F6"/>
    <w:rsid w:val="00FB6506"/>
    <w:rsid w:val="00FB7823"/>
    <w:rsid w:val="00FC05B2"/>
    <w:rsid w:val="00FC067F"/>
    <w:rsid w:val="00FC08B3"/>
    <w:rsid w:val="00FC09D7"/>
    <w:rsid w:val="00FC0ABE"/>
    <w:rsid w:val="00FC1269"/>
    <w:rsid w:val="00FC22D0"/>
    <w:rsid w:val="00FC3738"/>
    <w:rsid w:val="00FC38D4"/>
    <w:rsid w:val="00FC391E"/>
    <w:rsid w:val="00FC39B3"/>
    <w:rsid w:val="00FC3BB7"/>
    <w:rsid w:val="00FC4345"/>
    <w:rsid w:val="00FC444A"/>
    <w:rsid w:val="00FC453D"/>
    <w:rsid w:val="00FC4A89"/>
    <w:rsid w:val="00FC5292"/>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F74"/>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3B3"/>
    <w:rsid w:val="00FE1706"/>
    <w:rsid w:val="00FE1852"/>
    <w:rsid w:val="00FE1963"/>
    <w:rsid w:val="00FE1981"/>
    <w:rsid w:val="00FE1BF1"/>
    <w:rsid w:val="00FE29DE"/>
    <w:rsid w:val="00FE33DB"/>
    <w:rsid w:val="00FE33F5"/>
    <w:rsid w:val="00FE34F6"/>
    <w:rsid w:val="00FE352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E33"/>
    <w:rsid w:val="00FF0F58"/>
    <w:rsid w:val="00FF183C"/>
    <w:rsid w:val="00FF1A06"/>
    <w:rsid w:val="00FF1AD3"/>
    <w:rsid w:val="00FF1B46"/>
    <w:rsid w:val="00FF219D"/>
    <w:rsid w:val="00FF2A7B"/>
    <w:rsid w:val="00FF3D2B"/>
    <w:rsid w:val="00FF49B4"/>
    <w:rsid w:val="00FF49F4"/>
    <w:rsid w:val="00FF4FED"/>
    <w:rsid w:val="00FF5C5D"/>
    <w:rsid w:val="00FF5C6A"/>
    <w:rsid w:val="00FF651D"/>
    <w:rsid w:val="00FF6843"/>
    <w:rsid w:val="00FF6C25"/>
    <w:rsid w:val="00FF7555"/>
    <w:rsid w:val="010651D9"/>
    <w:rsid w:val="01077355"/>
    <w:rsid w:val="011F6449"/>
    <w:rsid w:val="01236AFB"/>
    <w:rsid w:val="013D7E38"/>
    <w:rsid w:val="01453BAE"/>
    <w:rsid w:val="01531A67"/>
    <w:rsid w:val="015922A9"/>
    <w:rsid w:val="019F7441"/>
    <w:rsid w:val="01AC53E9"/>
    <w:rsid w:val="01B37585"/>
    <w:rsid w:val="01D55165"/>
    <w:rsid w:val="01DC0F66"/>
    <w:rsid w:val="01DF6BF8"/>
    <w:rsid w:val="01E63A6A"/>
    <w:rsid w:val="01EC2C57"/>
    <w:rsid w:val="0235060F"/>
    <w:rsid w:val="024A7930"/>
    <w:rsid w:val="024D44B0"/>
    <w:rsid w:val="02521C05"/>
    <w:rsid w:val="025E7742"/>
    <w:rsid w:val="026A3B24"/>
    <w:rsid w:val="026B2E25"/>
    <w:rsid w:val="026E2AF7"/>
    <w:rsid w:val="02705380"/>
    <w:rsid w:val="02777AAC"/>
    <w:rsid w:val="027D6372"/>
    <w:rsid w:val="02824D4D"/>
    <w:rsid w:val="028A181D"/>
    <w:rsid w:val="02AC3E44"/>
    <w:rsid w:val="02C75BF1"/>
    <w:rsid w:val="02C76624"/>
    <w:rsid w:val="02DC4B10"/>
    <w:rsid w:val="02DD76CE"/>
    <w:rsid w:val="02F36323"/>
    <w:rsid w:val="02F5619C"/>
    <w:rsid w:val="02FE0C2D"/>
    <w:rsid w:val="030742CA"/>
    <w:rsid w:val="03074921"/>
    <w:rsid w:val="031C338B"/>
    <w:rsid w:val="0326446A"/>
    <w:rsid w:val="032A5FC6"/>
    <w:rsid w:val="032B1B1D"/>
    <w:rsid w:val="032D5555"/>
    <w:rsid w:val="0339406A"/>
    <w:rsid w:val="0346139F"/>
    <w:rsid w:val="03466239"/>
    <w:rsid w:val="036634D2"/>
    <w:rsid w:val="03664F47"/>
    <w:rsid w:val="037F7FE8"/>
    <w:rsid w:val="03BB6210"/>
    <w:rsid w:val="03BF6E60"/>
    <w:rsid w:val="03C64B76"/>
    <w:rsid w:val="03C85A54"/>
    <w:rsid w:val="03D744AF"/>
    <w:rsid w:val="03DD35E4"/>
    <w:rsid w:val="03EB5833"/>
    <w:rsid w:val="04076900"/>
    <w:rsid w:val="040914D8"/>
    <w:rsid w:val="04183E69"/>
    <w:rsid w:val="041A5A3B"/>
    <w:rsid w:val="042311BA"/>
    <w:rsid w:val="042A2A48"/>
    <w:rsid w:val="042A3031"/>
    <w:rsid w:val="042B157A"/>
    <w:rsid w:val="04315D35"/>
    <w:rsid w:val="044D7B64"/>
    <w:rsid w:val="046846AB"/>
    <w:rsid w:val="048F53E8"/>
    <w:rsid w:val="048F763B"/>
    <w:rsid w:val="049F330E"/>
    <w:rsid w:val="04AA775C"/>
    <w:rsid w:val="04AF1889"/>
    <w:rsid w:val="04B637AB"/>
    <w:rsid w:val="04D853AA"/>
    <w:rsid w:val="04D94AAA"/>
    <w:rsid w:val="04EB46D9"/>
    <w:rsid w:val="04EB6681"/>
    <w:rsid w:val="04ED6A28"/>
    <w:rsid w:val="04F66F48"/>
    <w:rsid w:val="051A66B8"/>
    <w:rsid w:val="05251E14"/>
    <w:rsid w:val="05315997"/>
    <w:rsid w:val="0532415D"/>
    <w:rsid w:val="053F4C56"/>
    <w:rsid w:val="055B706D"/>
    <w:rsid w:val="056E7E23"/>
    <w:rsid w:val="05722F7E"/>
    <w:rsid w:val="05A0790D"/>
    <w:rsid w:val="05A16594"/>
    <w:rsid w:val="05A3537B"/>
    <w:rsid w:val="05A6052B"/>
    <w:rsid w:val="05A7762D"/>
    <w:rsid w:val="05B54B84"/>
    <w:rsid w:val="05C52807"/>
    <w:rsid w:val="05C82767"/>
    <w:rsid w:val="060E5941"/>
    <w:rsid w:val="06110FAF"/>
    <w:rsid w:val="061816F7"/>
    <w:rsid w:val="061F2A86"/>
    <w:rsid w:val="06487E32"/>
    <w:rsid w:val="06493CA7"/>
    <w:rsid w:val="065A6178"/>
    <w:rsid w:val="066410BB"/>
    <w:rsid w:val="066466EB"/>
    <w:rsid w:val="06683583"/>
    <w:rsid w:val="066F1CF3"/>
    <w:rsid w:val="06812B17"/>
    <w:rsid w:val="06877D73"/>
    <w:rsid w:val="06930BB8"/>
    <w:rsid w:val="069D2831"/>
    <w:rsid w:val="06BD45FC"/>
    <w:rsid w:val="06DA45B9"/>
    <w:rsid w:val="06F352D1"/>
    <w:rsid w:val="06F6108B"/>
    <w:rsid w:val="07175FD1"/>
    <w:rsid w:val="071E7B6B"/>
    <w:rsid w:val="07245D42"/>
    <w:rsid w:val="07264C62"/>
    <w:rsid w:val="072D0052"/>
    <w:rsid w:val="074E0A0F"/>
    <w:rsid w:val="07754067"/>
    <w:rsid w:val="0779354C"/>
    <w:rsid w:val="077E75F0"/>
    <w:rsid w:val="078E0316"/>
    <w:rsid w:val="07991A20"/>
    <w:rsid w:val="079B55B6"/>
    <w:rsid w:val="08061376"/>
    <w:rsid w:val="080E37B4"/>
    <w:rsid w:val="081064AB"/>
    <w:rsid w:val="08172C49"/>
    <w:rsid w:val="081B727D"/>
    <w:rsid w:val="08244656"/>
    <w:rsid w:val="08323A52"/>
    <w:rsid w:val="08452D77"/>
    <w:rsid w:val="084B3759"/>
    <w:rsid w:val="085A435C"/>
    <w:rsid w:val="085D5AE7"/>
    <w:rsid w:val="08635072"/>
    <w:rsid w:val="08635E94"/>
    <w:rsid w:val="086401F8"/>
    <w:rsid w:val="08730E67"/>
    <w:rsid w:val="08751CAA"/>
    <w:rsid w:val="087E4C40"/>
    <w:rsid w:val="08835670"/>
    <w:rsid w:val="089465EE"/>
    <w:rsid w:val="089470F2"/>
    <w:rsid w:val="08A00A2D"/>
    <w:rsid w:val="08BE0005"/>
    <w:rsid w:val="08C55CC2"/>
    <w:rsid w:val="08C805FF"/>
    <w:rsid w:val="08D66AD6"/>
    <w:rsid w:val="08DA33A3"/>
    <w:rsid w:val="08DB30EC"/>
    <w:rsid w:val="08E80F13"/>
    <w:rsid w:val="08F057F5"/>
    <w:rsid w:val="08F506C0"/>
    <w:rsid w:val="08F8136C"/>
    <w:rsid w:val="08FF7FA1"/>
    <w:rsid w:val="09246605"/>
    <w:rsid w:val="092D1B2E"/>
    <w:rsid w:val="093078C9"/>
    <w:rsid w:val="093328E0"/>
    <w:rsid w:val="09335624"/>
    <w:rsid w:val="093E1582"/>
    <w:rsid w:val="0944690F"/>
    <w:rsid w:val="094565A6"/>
    <w:rsid w:val="0949113B"/>
    <w:rsid w:val="095015DF"/>
    <w:rsid w:val="09535675"/>
    <w:rsid w:val="095F057D"/>
    <w:rsid w:val="09636BCF"/>
    <w:rsid w:val="09642282"/>
    <w:rsid w:val="09733572"/>
    <w:rsid w:val="09772C16"/>
    <w:rsid w:val="098353B5"/>
    <w:rsid w:val="0983753A"/>
    <w:rsid w:val="098552F6"/>
    <w:rsid w:val="099519E5"/>
    <w:rsid w:val="09A92330"/>
    <w:rsid w:val="09AA2F1B"/>
    <w:rsid w:val="09B06B87"/>
    <w:rsid w:val="09C13146"/>
    <w:rsid w:val="09E04166"/>
    <w:rsid w:val="0A002BCE"/>
    <w:rsid w:val="0A0452D8"/>
    <w:rsid w:val="0A1246B0"/>
    <w:rsid w:val="0A1C0718"/>
    <w:rsid w:val="0A3E7710"/>
    <w:rsid w:val="0A534240"/>
    <w:rsid w:val="0A5B7E63"/>
    <w:rsid w:val="0A7B5C1C"/>
    <w:rsid w:val="0AA374A5"/>
    <w:rsid w:val="0AAB7649"/>
    <w:rsid w:val="0AAC36DF"/>
    <w:rsid w:val="0AB064D1"/>
    <w:rsid w:val="0ABC5606"/>
    <w:rsid w:val="0AC4296B"/>
    <w:rsid w:val="0AC51722"/>
    <w:rsid w:val="0AD24A0D"/>
    <w:rsid w:val="0ADD2F10"/>
    <w:rsid w:val="0B063393"/>
    <w:rsid w:val="0B0A131E"/>
    <w:rsid w:val="0B0C6DCA"/>
    <w:rsid w:val="0B171130"/>
    <w:rsid w:val="0B30404E"/>
    <w:rsid w:val="0B3E0022"/>
    <w:rsid w:val="0B404B94"/>
    <w:rsid w:val="0B4C6C14"/>
    <w:rsid w:val="0B4D7B50"/>
    <w:rsid w:val="0B566408"/>
    <w:rsid w:val="0B5C2A3C"/>
    <w:rsid w:val="0B631A88"/>
    <w:rsid w:val="0B68150D"/>
    <w:rsid w:val="0B683D45"/>
    <w:rsid w:val="0B6C34ED"/>
    <w:rsid w:val="0B791725"/>
    <w:rsid w:val="0B7F3F11"/>
    <w:rsid w:val="0B884417"/>
    <w:rsid w:val="0B9A4946"/>
    <w:rsid w:val="0BC20A20"/>
    <w:rsid w:val="0BD14B2E"/>
    <w:rsid w:val="0BF6188C"/>
    <w:rsid w:val="0BF73C91"/>
    <w:rsid w:val="0C027A0D"/>
    <w:rsid w:val="0C170175"/>
    <w:rsid w:val="0C272781"/>
    <w:rsid w:val="0C571A41"/>
    <w:rsid w:val="0C5C1171"/>
    <w:rsid w:val="0C5E1CBC"/>
    <w:rsid w:val="0C615B50"/>
    <w:rsid w:val="0C64141F"/>
    <w:rsid w:val="0C74620C"/>
    <w:rsid w:val="0C8445DA"/>
    <w:rsid w:val="0C845292"/>
    <w:rsid w:val="0C87121B"/>
    <w:rsid w:val="0C9E047D"/>
    <w:rsid w:val="0CC007F7"/>
    <w:rsid w:val="0CCF4ADA"/>
    <w:rsid w:val="0CCF6888"/>
    <w:rsid w:val="0CEF39C5"/>
    <w:rsid w:val="0CEF4331"/>
    <w:rsid w:val="0CF462EF"/>
    <w:rsid w:val="0CFC4C75"/>
    <w:rsid w:val="0CFE707A"/>
    <w:rsid w:val="0D063BDA"/>
    <w:rsid w:val="0D08375F"/>
    <w:rsid w:val="0D184CFB"/>
    <w:rsid w:val="0D190C10"/>
    <w:rsid w:val="0D20210D"/>
    <w:rsid w:val="0D3F1126"/>
    <w:rsid w:val="0D4A5F0F"/>
    <w:rsid w:val="0D4A7419"/>
    <w:rsid w:val="0D6E36EE"/>
    <w:rsid w:val="0D827401"/>
    <w:rsid w:val="0D84094E"/>
    <w:rsid w:val="0D8A00E9"/>
    <w:rsid w:val="0D8A1D87"/>
    <w:rsid w:val="0D8D589E"/>
    <w:rsid w:val="0DA01C73"/>
    <w:rsid w:val="0DC47E97"/>
    <w:rsid w:val="0DD63300"/>
    <w:rsid w:val="0DE16873"/>
    <w:rsid w:val="0DF50604"/>
    <w:rsid w:val="0DF702FE"/>
    <w:rsid w:val="0E060E51"/>
    <w:rsid w:val="0E0937A3"/>
    <w:rsid w:val="0E0C6571"/>
    <w:rsid w:val="0E27335E"/>
    <w:rsid w:val="0E3B6B0F"/>
    <w:rsid w:val="0E494A2D"/>
    <w:rsid w:val="0E5604B2"/>
    <w:rsid w:val="0E6269B6"/>
    <w:rsid w:val="0E6D5D79"/>
    <w:rsid w:val="0E9D0089"/>
    <w:rsid w:val="0EA21367"/>
    <w:rsid w:val="0EAB7F23"/>
    <w:rsid w:val="0EB03909"/>
    <w:rsid w:val="0EB803EE"/>
    <w:rsid w:val="0EB91B54"/>
    <w:rsid w:val="0EF94D4B"/>
    <w:rsid w:val="0F2046F0"/>
    <w:rsid w:val="0F4958DC"/>
    <w:rsid w:val="0F4F321B"/>
    <w:rsid w:val="0F515DF7"/>
    <w:rsid w:val="0F596BA8"/>
    <w:rsid w:val="0F6248D2"/>
    <w:rsid w:val="0F693536"/>
    <w:rsid w:val="0F785E3D"/>
    <w:rsid w:val="0F7B0511"/>
    <w:rsid w:val="0F7B76D9"/>
    <w:rsid w:val="0F7D03D5"/>
    <w:rsid w:val="0F816ACD"/>
    <w:rsid w:val="0F9832DB"/>
    <w:rsid w:val="0FBF3FD2"/>
    <w:rsid w:val="0FBF7FF3"/>
    <w:rsid w:val="0FCC390B"/>
    <w:rsid w:val="0FCD43D2"/>
    <w:rsid w:val="0FCE2779"/>
    <w:rsid w:val="0FD549FC"/>
    <w:rsid w:val="0FD6666B"/>
    <w:rsid w:val="0FD90005"/>
    <w:rsid w:val="0FF541D7"/>
    <w:rsid w:val="10001DB3"/>
    <w:rsid w:val="100B18AE"/>
    <w:rsid w:val="100B407B"/>
    <w:rsid w:val="101D240B"/>
    <w:rsid w:val="101D4AF3"/>
    <w:rsid w:val="102101A0"/>
    <w:rsid w:val="104C70B0"/>
    <w:rsid w:val="10646583"/>
    <w:rsid w:val="107A39E7"/>
    <w:rsid w:val="107D4B15"/>
    <w:rsid w:val="108165D4"/>
    <w:rsid w:val="108A3C80"/>
    <w:rsid w:val="109B1D4B"/>
    <w:rsid w:val="109C1517"/>
    <w:rsid w:val="10A26F9F"/>
    <w:rsid w:val="10A84371"/>
    <w:rsid w:val="10B55A6A"/>
    <w:rsid w:val="10C26171"/>
    <w:rsid w:val="10CD2A3A"/>
    <w:rsid w:val="10D375F0"/>
    <w:rsid w:val="10D87C8E"/>
    <w:rsid w:val="10F33360"/>
    <w:rsid w:val="10F924DB"/>
    <w:rsid w:val="10FC16EA"/>
    <w:rsid w:val="10FF0714"/>
    <w:rsid w:val="110435D3"/>
    <w:rsid w:val="110F1D40"/>
    <w:rsid w:val="111C731A"/>
    <w:rsid w:val="111D5165"/>
    <w:rsid w:val="11266F33"/>
    <w:rsid w:val="115F268B"/>
    <w:rsid w:val="117122E4"/>
    <w:rsid w:val="117532E4"/>
    <w:rsid w:val="11845E93"/>
    <w:rsid w:val="118963A1"/>
    <w:rsid w:val="119434EA"/>
    <w:rsid w:val="11C6522A"/>
    <w:rsid w:val="11DB48E7"/>
    <w:rsid w:val="11E104CC"/>
    <w:rsid w:val="11E20309"/>
    <w:rsid w:val="11EF581F"/>
    <w:rsid w:val="11EF62D5"/>
    <w:rsid w:val="11F04E67"/>
    <w:rsid w:val="11FA6155"/>
    <w:rsid w:val="121216B1"/>
    <w:rsid w:val="12255233"/>
    <w:rsid w:val="1246139A"/>
    <w:rsid w:val="12461EBC"/>
    <w:rsid w:val="124A3193"/>
    <w:rsid w:val="12530213"/>
    <w:rsid w:val="126D1E81"/>
    <w:rsid w:val="1274357A"/>
    <w:rsid w:val="127723A9"/>
    <w:rsid w:val="12862074"/>
    <w:rsid w:val="12883966"/>
    <w:rsid w:val="12911B2D"/>
    <w:rsid w:val="129E45B4"/>
    <w:rsid w:val="12AB56A1"/>
    <w:rsid w:val="12C04F06"/>
    <w:rsid w:val="12C214F9"/>
    <w:rsid w:val="12D237E3"/>
    <w:rsid w:val="12D364AD"/>
    <w:rsid w:val="12D57598"/>
    <w:rsid w:val="12D81596"/>
    <w:rsid w:val="12F85317"/>
    <w:rsid w:val="12FC2D17"/>
    <w:rsid w:val="13072A44"/>
    <w:rsid w:val="130C1DE1"/>
    <w:rsid w:val="1326532E"/>
    <w:rsid w:val="13491DC8"/>
    <w:rsid w:val="13497394"/>
    <w:rsid w:val="13596EAB"/>
    <w:rsid w:val="135F4BE2"/>
    <w:rsid w:val="136430A9"/>
    <w:rsid w:val="13644439"/>
    <w:rsid w:val="136C15D2"/>
    <w:rsid w:val="137249D0"/>
    <w:rsid w:val="1375561D"/>
    <w:rsid w:val="138C2404"/>
    <w:rsid w:val="13953EB8"/>
    <w:rsid w:val="13956320"/>
    <w:rsid w:val="139B1A0A"/>
    <w:rsid w:val="139D25C7"/>
    <w:rsid w:val="13AB5C86"/>
    <w:rsid w:val="13B128C5"/>
    <w:rsid w:val="13B53E30"/>
    <w:rsid w:val="13BF3CE4"/>
    <w:rsid w:val="13E14DB8"/>
    <w:rsid w:val="13E81B95"/>
    <w:rsid w:val="13F9E811"/>
    <w:rsid w:val="13FD017F"/>
    <w:rsid w:val="141008D8"/>
    <w:rsid w:val="14116A17"/>
    <w:rsid w:val="14125FE6"/>
    <w:rsid w:val="14145B41"/>
    <w:rsid w:val="141D4A74"/>
    <w:rsid w:val="141E11F3"/>
    <w:rsid w:val="14321BD6"/>
    <w:rsid w:val="144162BD"/>
    <w:rsid w:val="146D271E"/>
    <w:rsid w:val="14731DB8"/>
    <w:rsid w:val="147A5527"/>
    <w:rsid w:val="147F5D70"/>
    <w:rsid w:val="14982588"/>
    <w:rsid w:val="149A5AD9"/>
    <w:rsid w:val="14A7619D"/>
    <w:rsid w:val="14A9329E"/>
    <w:rsid w:val="14AF5803"/>
    <w:rsid w:val="14D80309"/>
    <w:rsid w:val="14DF0614"/>
    <w:rsid w:val="14E11C36"/>
    <w:rsid w:val="14F7743B"/>
    <w:rsid w:val="150536C3"/>
    <w:rsid w:val="15082937"/>
    <w:rsid w:val="150C1963"/>
    <w:rsid w:val="15140B6D"/>
    <w:rsid w:val="151447A0"/>
    <w:rsid w:val="15306CE7"/>
    <w:rsid w:val="154A6454"/>
    <w:rsid w:val="15761F97"/>
    <w:rsid w:val="15762120"/>
    <w:rsid w:val="157704CB"/>
    <w:rsid w:val="15AB4F5C"/>
    <w:rsid w:val="15B72002"/>
    <w:rsid w:val="15FD3544"/>
    <w:rsid w:val="160A40D0"/>
    <w:rsid w:val="160F0770"/>
    <w:rsid w:val="161377E5"/>
    <w:rsid w:val="16203CC6"/>
    <w:rsid w:val="162E461F"/>
    <w:rsid w:val="164F6FA2"/>
    <w:rsid w:val="16935AFB"/>
    <w:rsid w:val="1695754D"/>
    <w:rsid w:val="16A04D1D"/>
    <w:rsid w:val="16A8729C"/>
    <w:rsid w:val="16B33777"/>
    <w:rsid w:val="16BC70A7"/>
    <w:rsid w:val="16C070DE"/>
    <w:rsid w:val="16C44F84"/>
    <w:rsid w:val="16C6339E"/>
    <w:rsid w:val="16C8023C"/>
    <w:rsid w:val="16C83453"/>
    <w:rsid w:val="16E43ACF"/>
    <w:rsid w:val="1703534A"/>
    <w:rsid w:val="170550D4"/>
    <w:rsid w:val="172F2D79"/>
    <w:rsid w:val="173826FB"/>
    <w:rsid w:val="17431364"/>
    <w:rsid w:val="174D5E14"/>
    <w:rsid w:val="17516A3B"/>
    <w:rsid w:val="17557BEF"/>
    <w:rsid w:val="175F1B8D"/>
    <w:rsid w:val="1766769E"/>
    <w:rsid w:val="1767603B"/>
    <w:rsid w:val="17732C32"/>
    <w:rsid w:val="177C435A"/>
    <w:rsid w:val="17817F62"/>
    <w:rsid w:val="17824D0F"/>
    <w:rsid w:val="1788153B"/>
    <w:rsid w:val="179C0159"/>
    <w:rsid w:val="179F3E4F"/>
    <w:rsid w:val="17AC096F"/>
    <w:rsid w:val="17BB6211"/>
    <w:rsid w:val="17BB77F7"/>
    <w:rsid w:val="17D349C1"/>
    <w:rsid w:val="1830729E"/>
    <w:rsid w:val="1833416F"/>
    <w:rsid w:val="18537936"/>
    <w:rsid w:val="185B5242"/>
    <w:rsid w:val="185C618E"/>
    <w:rsid w:val="18641A25"/>
    <w:rsid w:val="186A6FF4"/>
    <w:rsid w:val="1870062C"/>
    <w:rsid w:val="18735596"/>
    <w:rsid w:val="18817102"/>
    <w:rsid w:val="18830A15"/>
    <w:rsid w:val="18852B28"/>
    <w:rsid w:val="188B5321"/>
    <w:rsid w:val="18972D9D"/>
    <w:rsid w:val="18B83479"/>
    <w:rsid w:val="190672CB"/>
    <w:rsid w:val="190873AA"/>
    <w:rsid w:val="194941B9"/>
    <w:rsid w:val="194A629B"/>
    <w:rsid w:val="19540089"/>
    <w:rsid w:val="195C71A1"/>
    <w:rsid w:val="196C1B1A"/>
    <w:rsid w:val="19930A9B"/>
    <w:rsid w:val="19932372"/>
    <w:rsid w:val="19933997"/>
    <w:rsid w:val="19A20DD5"/>
    <w:rsid w:val="19A215AC"/>
    <w:rsid w:val="19AE03F1"/>
    <w:rsid w:val="19C42578"/>
    <w:rsid w:val="19C71013"/>
    <w:rsid w:val="19C92FDD"/>
    <w:rsid w:val="19DE4DF4"/>
    <w:rsid w:val="19DF6338"/>
    <w:rsid w:val="19E226FA"/>
    <w:rsid w:val="19E76FD8"/>
    <w:rsid w:val="19F27194"/>
    <w:rsid w:val="19FE70FC"/>
    <w:rsid w:val="1A071A03"/>
    <w:rsid w:val="1A0E04B5"/>
    <w:rsid w:val="1A135CE4"/>
    <w:rsid w:val="1A1F16AE"/>
    <w:rsid w:val="1A2A15A2"/>
    <w:rsid w:val="1A3B5C77"/>
    <w:rsid w:val="1A4D7795"/>
    <w:rsid w:val="1A731446"/>
    <w:rsid w:val="1A984BAD"/>
    <w:rsid w:val="1AB8220E"/>
    <w:rsid w:val="1AC63AEF"/>
    <w:rsid w:val="1AE4166C"/>
    <w:rsid w:val="1AE667F7"/>
    <w:rsid w:val="1AEF6A73"/>
    <w:rsid w:val="1AF06CFB"/>
    <w:rsid w:val="1AF11B8D"/>
    <w:rsid w:val="1B11359C"/>
    <w:rsid w:val="1B222279"/>
    <w:rsid w:val="1B231539"/>
    <w:rsid w:val="1B2808CF"/>
    <w:rsid w:val="1B2A271F"/>
    <w:rsid w:val="1B530544"/>
    <w:rsid w:val="1B682141"/>
    <w:rsid w:val="1B713184"/>
    <w:rsid w:val="1B8F031E"/>
    <w:rsid w:val="1BA209CF"/>
    <w:rsid w:val="1BB4777D"/>
    <w:rsid w:val="1BC02D10"/>
    <w:rsid w:val="1BC15194"/>
    <w:rsid w:val="1BC872C4"/>
    <w:rsid w:val="1BD345CB"/>
    <w:rsid w:val="1BD75AB8"/>
    <w:rsid w:val="1BE35896"/>
    <w:rsid w:val="1BEF62D2"/>
    <w:rsid w:val="1BF37507"/>
    <w:rsid w:val="1C0459C2"/>
    <w:rsid w:val="1C116C14"/>
    <w:rsid w:val="1C1B3B4A"/>
    <w:rsid w:val="1C2250B2"/>
    <w:rsid w:val="1C2972B2"/>
    <w:rsid w:val="1C2B3CB7"/>
    <w:rsid w:val="1C425FB4"/>
    <w:rsid w:val="1C514F68"/>
    <w:rsid w:val="1C7D334A"/>
    <w:rsid w:val="1C864BDA"/>
    <w:rsid w:val="1C88086E"/>
    <w:rsid w:val="1C905DFD"/>
    <w:rsid w:val="1C947262"/>
    <w:rsid w:val="1C9A044A"/>
    <w:rsid w:val="1CA25A78"/>
    <w:rsid w:val="1CA51364"/>
    <w:rsid w:val="1CAC44F0"/>
    <w:rsid w:val="1CB15A9B"/>
    <w:rsid w:val="1CB35C45"/>
    <w:rsid w:val="1CB37084"/>
    <w:rsid w:val="1CDA1C51"/>
    <w:rsid w:val="1CE61290"/>
    <w:rsid w:val="1CEF66A3"/>
    <w:rsid w:val="1CF85987"/>
    <w:rsid w:val="1D02521F"/>
    <w:rsid w:val="1D0B5E54"/>
    <w:rsid w:val="1D1A56FB"/>
    <w:rsid w:val="1D266CE1"/>
    <w:rsid w:val="1D285FD7"/>
    <w:rsid w:val="1D2B3AA0"/>
    <w:rsid w:val="1D3963AF"/>
    <w:rsid w:val="1D486572"/>
    <w:rsid w:val="1D5C7CC4"/>
    <w:rsid w:val="1D6962DA"/>
    <w:rsid w:val="1D6A673C"/>
    <w:rsid w:val="1D85128A"/>
    <w:rsid w:val="1D9247AE"/>
    <w:rsid w:val="1DB41589"/>
    <w:rsid w:val="1DB44305"/>
    <w:rsid w:val="1DB567EC"/>
    <w:rsid w:val="1DB64F64"/>
    <w:rsid w:val="1DBA0F95"/>
    <w:rsid w:val="1DBC69B5"/>
    <w:rsid w:val="1DCB3C3C"/>
    <w:rsid w:val="1DCC3202"/>
    <w:rsid w:val="1DEE9672"/>
    <w:rsid w:val="1DF51A98"/>
    <w:rsid w:val="1E2A6829"/>
    <w:rsid w:val="1E3D060F"/>
    <w:rsid w:val="1E3E561C"/>
    <w:rsid w:val="1E3F7D2E"/>
    <w:rsid w:val="1E4134E4"/>
    <w:rsid w:val="1E433FA3"/>
    <w:rsid w:val="1E48553D"/>
    <w:rsid w:val="1E4C378C"/>
    <w:rsid w:val="1E5062B3"/>
    <w:rsid w:val="1E512E75"/>
    <w:rsid w:val="1E523514"/>
    <w:rsid w:val="1E562720"/>
    <w:rsid w:val="1E6A6411"/>
    <w:rsid w:val="1E714A66"/>
    <w:rsid w:val="1E763077"/>
    <w:rsid w:val="1E773D87"/>
    <w:rsid w:val="1E7C5B9B"/>
    <w:rsid w:val="1E802593"/>
    <w:rsid w:val="1E937715"/>
    <w:rsid w:val="1E9A76F1"/>
    <w:rsid w:val="1EA24FEE"/>
    <w:rsid w:val="1EA550CA"/>
    <w:rsid w:val="1EA703CC"/>
    <w:rsid w:val="1EB7330C"/>
    <w:rsid w:val="1EBA2EF4"/>
    <w:rsid w:val="1EBC5ACA"/>
    <w:rsid w:val="1EC76F3D"/>
    <w:rsid w:val="1EF021FC"/>
    <w:rsid w:val="1EF4720D"/>
    <w:rsid w:val="1EFF61A2"/>
    <w:rsid w:val="1F0A0FF3"/>
    <w:rsid w:val="1F196EDC"/>
    <w:rsid w:val="1F471963"/>
    <w:rsid w:val="1F5771FF"/>
    <w:rsid w:val="1FA13231"/>
    <w:rsid w:val="1FA70B19"/>
    <w:rsid w:val="1FB20B2E"/>
    <w:rsid w:val="1FCC17F1"/>
    <w:rsid w:val="1FCC2803"/>
    <w:rsid w:val="1FD104CD"/>
    <w:rsid w:val="1FDB274B"/>
    <w:rsid w:val="1FE868A9"/>
    <w:rsid w:val="1FF54201"/>
    <w:rsid w:val="1FF82AFE"/>
    <w:rsid w:val="20016901"/>
    <w:rsid w:val="20034907"/>
    <w:rsid w:val="2014753F"/>
    <w:rsid w:val="20173E4B"/>
    <w:rsid w:val="202A7DB8"/>
    <w:rsid w:val="20350B0C"/>
    <w:rsid w:val="20362554"/>
    <w:rsid w:val="203C1BC7"/>
    <w:rsid w:val="203D6BC1"/>
    <w:rsid w:val="204E48BC"/>
    <w:rsid w:val="204F7FAC"/>
    <w:rsid w:val="206C35F3"/>
    <w:rsid w:val="20752C51"/>
    <w:rsid w:val="208921B3"/>
    <w:rsid w:val="20945364"/>
    <w:rsid w:val="20947DAF"/>
    <w:rsid w:val="20973DEB"/>
    <w:rsid w:val="20992ABA"/>
    <w:rsid w:val="20A87AFC"/>
    <w:rsid w:val="20A906C5"/>
    <w:rsid w:val="20B26522"/>
    <w:rsid w:val="20B44310"/>
    <w:rsid w:val="20C3410E"/>
    <w:rsid w:val="20CB09D1"/>
    <w:rsid w:val="20D815FF"/>
    <w:rsid w:val="20DB1848"/>
    <w:rsid w:val="20E86B09"/>
    <w:rsid w:val="20EA582A"/>
    <w:rsid w:val="20FF0A7D"/>
    <w:rsid w:val="21030097"/>
    <w:rsid w:val="210437B9"/>
    <w:rsid w:val="210F606E"/>
    <w:rsid w:val="211116EB"/>
    <w:rsid w:val="2111414A"/>
    <w:rsid w:val="21196D50"/>
    <w:rsid w:val="211F52F7"/>
    <w:rsid w:val="215E30CF"/>
    <w:rsid w:val="216133FC"/>
    <w:rsid w:val="21647F51"/>
    <w:rsid w:val="217A696B"/>
    <w:rsid w:val="217F03BB"/>
    <w:rsid w:val="218274E0"/>
    <w:rsid w:val="219659A1"/>
    <w:rsid w:val="21B34C38"/>
    <w:rsid w:val="21B63416"/>
    <w:rsid w:val="21C265F4"/>
    <w:rsid w:val="21D56769"/>
    <w:rsid w:val="21E52EF3"/>
    <w:rsid w:val="21E750CB"/>
    <w:rsid w:val="21ED551B"/>
    <w:rsid w:val="21FB5D7B"/>
    <w:rsid w:val="21FC7CC7"/>
    <w:rsid w:val="220B1C3D"/>
    <w:rsid w:val="221D1D20"/>
    <w:rsid w:val="221E6AC9"/>
    <w:rsid w:val="221F26E7"/>
    <w:rsid w:val="22334A87"/>
    <w:rsid w:val="22343B44"/>
    <w:rsid w:val="22457D92"/>
    <w:rsid w:val="224669FA"/>
    <w:rsid w:val="22610784"/>
    <w:rsid w:val="2280626F"/>
    <w:rsid w:val="22BE6801"/>
    <w:rsid w:val="22CC64E9"/>
    <w:rsid w:val="22D36C7A"/>
    <w:rsid w:val="22DB1F7E"/>
    <w:rsid w:val="22E603D9"/>
    <w:rsid w:val="22EC3898"/>
    <w:rsid w:val="23014C05"/>
    <w:rsid w:val="230E5425"/>
    <w:rsid w:val="23157561"/>
    <w:rsid w:val="233500BF"/>
    <w:rsid w:val="23377FF7"/>
    <w:rsid w:val="234A05BF"/>
    <w:rsid w:val="234C64C0"/>
    <w:rsid w:val="23607DE2"/>
    <w:rsid w:val="236B425F"/>
    <w:rsid w:val="23836192"/>
    <w:rsid w:val="2386637A"/>
    <w:rsid w:val="23901F29"/>
    <w:rsid w:val="239C0061"/>
    <w:rsid w:val="23AD53D6"/>
    <w:rsid w:val="23B908A4"/>
    <w:rsid w:val="23C62FF2"/>
    <w:rsid w:val="23D012D9"/>
    <w:rsid w:val="23D8520B"/>
    <w:rsid w:val="23E95BEF"/>
    <w:rsid w:val="23FD0064"/>
    <w:rsid w:val="24064EF2"/>
    <w:rsid w:val="240841FA"/>
    <w:rsid w:val="24171B52"/>
    <w:rsid w:val="241D71F3"/>
    <w:rsid w:val="24254E4F"/>
    <w:rsid w:val="242F3AAF"/>
    <w:rsid w:val="245375B0"/>
    <w:rsid w:val="24572F93"/>
    <w:rsid w:val="245C67FB"/>
    <w:rsid w:val="24642C0A"/>
    <w:rsid w:val="248A4B09"/>
    <w:rsid w:val="248A5117"/>
    <w:rsid w:val="24904132"/>
    <w:rsid w:val="24B22173"/>
    <w:rsid w:val="24B95AD9"/>
    <w:rsid w:val="24BB274A"/>
    <w:rsid w:val="24BE24DA"/>
    <w:rsid w:val="24CF5825"/>
    <w:rsid w:val="24D044A2"/>
    <w:rsid w:val="24D663E6"/>
    <w:rsid w:val="24D77F2B"/>
    <w:rsid w:val="25052271"/>
    <w:rsid w:val="250A753E"/>
    <w:rsid w:val="25153019"/>
    <w:rsid w:val="2528169C"/>
    <w:rsid w:val="25344AF2"/>
    <w:rsid w:val="256373C9"/>
    <w:rsid w:val="25867519"/>
    <w:rsid w:val="258B00E2"/>
    <w:rsid w:val="25A03B85"/>
    <w:rsid w:val="25A917A6"/>
    <w:rsid w:val="25B82725"/>
    <w:rsid w:val="25BD415B"/>
    <w:rsid w:val="25BE27CC"/>
    <w:rsid w:val="25DF68A6"/>
    <w:rsid w:val="25F74A5C"/>
    <w:rsid w:val="25F82A7E"/>
    <w:rsid w:val="26041BE9"/>
    <w:rsid w:val="260F6996"/>
    <w:rsid w:val="26247A03"/>
    <w:rsid w:val="2628662C"/>
    <w:rsid w:val="262877D8"/>
    <w:rsid w:val="262D45DE"/>
    <w:rsid w:val="262F241A"/>
    <w:rsid w:val="263162FA"/>
    <w:rsid w:val="26317029"/>
    <w:rsid w:val="26363AE1"/>
    <w:rsid w:val="263712CE"/>
    <w:rsid w:val="26482561"/>
    <w:rsid w:val="264F0B68"/>
    <w:rsid w:val="26513854"/>
    <w:rsid w:val="2698749C"/>
    <w:rsid w:val="26A53EF9"/>
    <w:rsid w:val="26A94201"/>
    <w:rsid w:val="26AC274F"/>
    <w:rsid w:val="26C03063"/>
    <w:rsid w:val="26D727BC"/>
    <w:rsid w:val="26E335FE"/>
    <w:rsid w:val="26E9683D"/>
    <w:rsid w:val="26EC20B9"/>
    <w:rsid w:val="26F176CF"/>
    <w:rsid w:val="27044A29"/>
    <w:rsid w:val="27103A72"/>
    <w:rsid w:val="271D34C8"/>
    <w:rsid w:val="272F6449"/>
    <w:rsid w:val="27386E32"/>
    <w:rsid w:val="275E0E8F"/>
    <w:rsid w:val="276142BF"/>
    <w:rsid w:val="27783712"/>
    <w:rsid w:val="2786213D"/>
    <w:rsid w:val="27907362"/>
    <w:rsid w:val="27A77AA6"/>
    <w:rsid w:val="27B2383F"/>
    <w:rsid w:val="27D818B3"/>
    <w:rsid w:val="27DF7B36"/>
    <w:rsid w:val="27E15740"/>
    <w:rsid w:val="27E86E6F"/>
    <w:rsid w:val="27FD349C"/>
    <w:rsid w:val="28114408"/>
    <w:rsid w:val="28333E1D"/>
    <w:rsid w:val="28454BD6"/>
    <w:rsid w:val="28455253"/>
    <w:rsid w:val="28551971"/>
    <w:rsid w:val="285765A2"/>
    <w:rsid w:val="285B1C53"/>
    <w:rsid w:val="287C34F0"/>
    <w:rsid w:val="2898352A"/>
    <w:rsid w:val="289F7086"/>
    <w:rsid w:val="28A97B28"/>
    <w:rsid w:val="28B64627"/>
    <w:rsid w:val="28BE3992"/>
    <w:rsid w:val="28C32028"/>
    <w:rsid w:val="28CC490F"/>
    <w:rsid w:val="28D76470"/>
    <w:rsid w:val="28DE18DB"/>
    <w:rsid w:val="28DE40AA"/>
    <w:rsid w:val="28E84B02"/>
    <w:rsid w:val="2902118B"/>
    <w:rsid w:val="29163D58"/>
    <w:rsid w:val="29260DA8"/>
    <w:rsid w:val="29345E77"/>
    <w:rsid w:val="293B5FC4"/>
    <w:rsid w:val="294C65AD"/>
    <w:rsid w:val="2969059E"/>
    <w:rsid w:val="296C05D6"/>
    <w:rsid w:val="296C67B1"/>
    <w:rsid w:val="297222EB"/>
    <w:rsid w:val="29774DDE"/>
    <w:rsid w:val="297B7724"/>
    <w:rsid w:val="29806583"/>
    <w:rsid w:val="2987431B"/>
    <w:rsid w:val="298B3C4C"/>
    <w:rsid w:val="29B9773A"/>
    <w:rsid w:val="29D21B8B"/>
    <w:rsid w:val="29D8781D"/>
    <w:rsid w:val="29DD1052"/>
    <w:rsid w:val="29DD4087"/>
    <w:rsid w:val="29E57130"/>
    <w:rsid w:val="29E82B40"/>
    <w:rsid w:val="29F268C3"/>
    <w:rsid w:val="29F26D24"/>
    <w:rsid w:val="2A0F5E0A"/>
    <w:rsid w:val="2A15033F"/>
    <w:rsid w:val="2A1662C1"/>
    <w:rsid w:val="2A1C7367"/>
    <w:rsid w:val="2A2815FA"/>
    <w:rsid w:val="2A292FB7"/>
    <w:rsid w:val="2A327227"/>
    <w:rsid w:val="2A363870"/>
    <w:rsid w:val="2A585CB7"/>
    <w:rsid w:val="2A591FB4"/>
    <w:rsid w:val="2A5C57A7"/>
    <w:rsid w:val="2A5D1CE6"/>
    <w:rsid w:val="2A631596"/>
    <w:rsid w:val="2A6D6092"/>
    <w:rsid w:val="2A7D76B4"/>
    <w:rsid w:val="2AA94951"/>
    <w:rsid w:val="2AAB5668"/>
    <w:rsid w:val="2ADB4069"/>
    <w:rsid w:val="2AE13EFE"/>
    <w:rsid w:val="2AE169FE"/>
    <w:rsid w:val="2AF013AA"/>
    <w:rsid w:val="2AF75041"/>
    <w:rsid w:val="2AFA7AAF"/>
    <w:rsid w:val="2B1467DA"/>
    <w:rsid w:val="2B2C3635"/>
    <w:rsid w:val="2B437463"/>
    <w:rsid w:val="2B623F51"/>
    <w:rsid w:val="2B641EAB"/>
    <w:rsid w:val="2B656E9C"/>
    <w:rsid w:val="2B7807EE"/>
    <w:rsid w:val="2BAF599F"/>
    <w:rsid w:val="2BBF00EC"/>
    <w:rsid w:val="2BC37CFD"/>
    <w:rsid w:val="2BD411BC"/>
    <w:rsid w:val="2BD5034F"/>
    <w:rsid w:val="2BD5237F"/>
    <w:rsid w:val="2BDA5682"/>
    <w:rsid w:val="2BDC22FE"/>
    <w:rsid w:val="2BE536CE"/>
    <w:rsid w:val="2BE758D9"/>
    <w:rsid w:val="2BED27E9"/>
    <w:rsid w:val="2BF45B89"/>
    <w:rsid w:val="2C09049E"/>
    <w:rsid w:val="2C0A653C"/>
    <w:rsid w:val="2C0B56E1"/>
    <w:rsid w:val="2C191F85"/>
    <w:rsid w:val="2C2250B6"/>
    <w:rsid w:val="2C3B1043"/>
    <w:rsid w:val="2C526292"/>
    <w:rsid w:val="2C6203A4"/>
    <w:rsid w:val="2C78619D"/>
    <w:rsid w:val="2C7A598B"/>
    <w:rsid w:val="2C7D1A05"/>
    <w:rsid w:val="2C986F42"/>
    <w:rsid w:val="2CA21D29"/>
    <w:rsid w:val="2CA6148E"/>
    <w:rsid w:val="2CB300A7"/>
    <w:rsid w:val="2CB61D0E"/>
    <w:rsid w:val="2CD72228"/>
    <w:rsid w:val="2CE82D6F"/>
    <w:rsid w:val="2CEE74EC"/>
    <w:rsid w:val="2CF3769A"/>
    <w:rsid w:val="2CF76705"/>
    <w:rsid w:val="2D0B4894"/>
    <w:rsid w:val="2D161E06"/>
    <w:rsid w:val="2D1B6247"/>
    <w:rsid w:val="2D29287C"/>
    <w:rsid w:val="2D2C5535"/>
    <w:rsid w:val="2D343236"/>
    <w:rsid w:val="2D3F737E"/>
    <w:rsid w:val="2D574DFE"/>
    <w:rsid w:val="2D786D73"/>
    <w:rsid w:val="2D8734D9"/>
    <w:rsid w:val="2D9B00E0"/>
    <w:rsid w:val="2DC3248D"/>
    <w:rsid w:val="2DD15014"/>
    <w:rsid w:val="2DEC6E42"/>
    <w:rsid w:val="2DF010FC"/>
    <w:rsid w:val="2DF72DE4"/>
    <w:rsid w:val="2E0035B0"/>
    <w:rsid w:val="2E0220AF"/>
    <w:rsid w:val="2E080A74"/>
    <w:rsid w:val="2E2B7EEE"/>
    <w:rsid w:val="2E2D034A"/>
    <w:rsid w:val="2E337D36"/>
    <w:rsid w:val="2E3B2F47"/>
    <w:rsid w:val="2E4B082A"/>
    <w:rsid w:val="2E5550E9"/>
    <w:rsid w:val="2E5D4E86"/>
    <w:rsid w:val="2E5D790B"/>
    <w:rsid w:val="2E61338C"/>
    <w:rsid w:val="2E662925"/>
    <w:rsid w:val="2E6966E5"/>
    <w:rsid w:val="2E795AC8"/>
    <w:rsid w:val="2E876B6B"/>
    <w:rsid w:val="2E9A3C18"/>
    <w:rsid w:val="2EBB0FEE"/>
    <w:rsid w:val="2EC63002"/>
    <w:rsid w:val="2ECE0195"/>
    <w:rsid w:val="2ED71B04"/>
    <w:rsid w:val="2EE23DA1"/>
    <w:rsid w:val="2EEB054F"/>
    <w:rsid w:val="2F041F69"/>
    <w:rsid w:val="2F0A6B38"/>
    <w:rsid w:val="2F0D5BDD"/>
    <w:rsid w:val="2F250C95"/>
    <w:rsid w:val="2F2A1F78"/>
    <w:rsid w:val="2F462582"/>
    <w:rsid w:val="2F484A6E"/>
    <w:rsid w:val="2F4D512A"/>
    <w:rsid w:val="2F5FE917"/>
    <w:rsid w:val="2F892AC8"/>
    <w:rsid w:val="2F8B46F2"/>
    <w:rsid w:val="2F946CCB"/>
    <w:rsid w:val="2FA17B10"/>
    <w:rsid w:val="2FA554FB"/>
    <w:rsid w:val="2FA64CDA"/>
    <w:rsid w:val="2FB0787D"/>
    <w:rsid w:val="2FB93DA6"/>
    <w:rsid w:val="2FC21C48"/>
    <w:rsid w:val="2FCA605E"/>
    <w:rsid w:val="2FCC0CD9"/>
    <w:rsid w:val="2FD25781"/>
    <w:rsid w:val="2FD91DD4"/>
    <w:rsid w:val="2FDD2EE6"/>
    <w:rsid w:val="2FDD4699"/>
    <w:rsid w:val="2FEE50F3"/>
    <w:rsid w:val="2FFD7934"/>
    <w:rsid w:val="30080165"/>
    <w:rsid w:val="30177A02"/>
    <w:rsid w:val="30192896"/>
    <w:rsid w:val="3024089F"/>
    <w:rsid w:val="30285CC7"/>
    <w:rsid w:val="30296091"/>
    <w:rsid w:val="303009C3"/>
    <w:rsid w:val="30326131"/>
    <w:rsid w:val="303625F7"/>
    <w:rsid w:val="30375030"/>
    <w:rsid w:val="30632546"/>
    <w:rsid w:val="30703D5A"/>
    <w:rsid w:val="30733ACD"/>
    <w:rsid w:val="307A0735"/>
    <w:rsid w:val="308710A4"/>
    <w:rsid w:val="308C3862"/>
    <w:rsid w:val="308E2433"/>
    <w:rsid w:val="309379D8"/>
    <w:rsid w:val="30A270F7"/>
    <w:rsid w:val="30AF457B"/>
    <w:rsid w:val="30B05CC1"/>
    <w:rsid w:val="30B76DB5"/>
    <w:rsid w:val="30B86AD2"/>
    <w:rsid w:val="30BB7219"/>
    <w:rsid w:val="30C70618"/>
    <w:rsid w:val="30CD5E8E"/>
    <w:rsid w:val="30D2231F"/>
    <w:rsid w:val="30DF1478"/>
    <w:rsid w:val="30EC586F"/>
    <w:rsid w:val="30F37FE2"/>
    <w:rsid w:val="30F95A62"/>
    <w:rsid w:val="311566B0"/>
    <w:rsid w:val="311A40E8"/>
    <w:rsid w:val="311E2EDB"/>
    <w:rsid w:val="31211262"/>
    <w:rsid w:val="314D3E18"/>
    <w:rsid w:val="315917C9"/>
    <w:rsid w:val="31673819"/>
    <w:rsid w:val="318B7B3D"/>
    <w:rsid w:val="319C6071"/>
    <w:rsid w:val="31AB491E"/>
    <w:rsid w:val="31AC537E"/>
    <w:rsid w:val="31B22151"/>
    <w:rsid w:val="31B25211"/>
    <w:rsid w:val="31C8272C"/>
    <w:rsid w:val="31D401E3"/>
    <w:rsid w:val="31E07D04"/>
    <w:rsid w:val="31E22281"/>
    <w:rsid w:val="31E3679B"/>
    <w:rsid w:val="31E47795"/>
    <w:rsid w:val="31E732FD"/>
    <w:rsid w:val="320D2C31"/>
    <w:rsid w:val="320F6B69"/>
    <w:rsid w:val="322E355C"/>
    <w:rsid w:val="32301F7D"/>
    <w:rsid w:val="323668DE"/>
    <w:rsid w:val="3239641D"/>
    <w:rsid w:val="32402A3B"/>
    <w:rsid w:val="32410189"/>
    <w:rsid w:val="32517576"/>
    <w:rsid w:val="32545D2E"/>
    <w:rsid w:val="3262778D"/>
    <w:rsid w:val="32743C8D"/>
    <w:rsid w:val="32825ADE"/>
    <w:rsid w:val="329B41FD"/>
    <w:rsid w:val="32B15835"/>
    <w:rsid w:val="32BE5C2C"/>
    <w:rsid w:val="32C94E8E"/>
    <w:rsid w:val="32D22AAA"/>
    <w:rsid w:val="32DB1C5F"/>
    <w:rsid w:val="32DC5D7E"/>
    <w:rsid w:val="32FB6478"/>
    <w:rsid w:val="330C763F"/>
    <w:rsid w:val="33263B3F"/>
    <w:rsid w:val="336963EB"/>
    <w:rsid w:val="33816EEB"/>
    <w:rsid w:val="3398744C"/>
    <w:rsid w:val="33BB7011"/>
    <w:rsid w:val="33D44600"/>
    <w:rsid w:val="33D76D98"/>
    <w:rsid w:val="33EB55CD"/>
    <w:rsid w:val="33EC4C02"/>
    <w:rsid w:val="33F26C0D"/>
    <w:rsid w:val="34065EA4"/>
    <w:rsid w:val="340D2360"/>
    <w:rsid w:val="3410665D"/>
    <w:rsid w:val="34211214"/>
    <w:rsid w:val="3421725E"/>
    <w:rsid w:val="342866FA"/>
    <w:rsid w:val="342963C1"/>
    <w:rsid w:val="342E63AB"/>
    <w:rsid w:val="34492EB3"/>
    <w:rsid w:val="344A7407"/>
    <w:rsid w:val="344C7199"/>
    <w:rsid w:val="344D2753"/>
    <w:rsid w:val="345451ED"/>
    <w:rsid w:val="34677B64"/>
    <w:rsid w:val="34950E68"/>
    <w:rsid w:val="34986B17"/>
    <w:rsid w:val="34986E94"/>
    <w:rsid w:val="34A13407"/>
    <w:rsid w:val="34A94E14"/>
    <w:rsid w:val="34AF62C9"/>
    <w:rsid w:val="34B2479F"/>
    <w:rsid w:val="34B54148"/>
    <w:rsid w:val="34CB4388"/>
    <w:rsid w:val="34CD2C9E"/>
    <w:rsid w:val="34F869DB"/>
    <w:rsid w:val="34FA6E12"/>
    <w:rsid w:val="34FF69A3"/>
    <w:rsid w:val="35277408"/>
    <w:rsid w:val="353F22A5"/>
    <w:rsid w:val="3550003C"/>
    <w:rsid w:val="356213DC"/>
    <w:rsid w:val="358A0653"/>
    <w:rsid w:val="358D5588"/>
    <w:rsid w:val="35942E24"/>
    <w:rsid w:val="35A63D7A"/>
    <w:rsid w:val="35B6316F"/>
    <w:rsid w:val="35BC55E2"/>
    <w:rsid w:val="35BE6949"/>
    <w:rsid w:val="35D84D97"/>
    <w:rsid w:val="35E229D9"/>
    <w:rsid w:val="35F93A05"/>
    <w:rsid w:val="360B75C3"/>
    <w:rsid w:val="361218D5"/>
    <w:rsid w:val="363A3B40"/>
    <w:rsid w:val="36415851"/>
    <w:rsid w:val="364634BD"/>
    <w:rsid w:val="365302AE"/>
    <w:rsid w:val="36607A0A"/>
    <w:rsid w:val="366E227C"/>
    <w:rsid w:val="366F2E0D"/>
    <w:rsid w:val="367B6A5C"/>
    <w:rsid w:val="36963C12"/>
    <w:rsid w:val="36A74ADA"/>
    <w:rsid w:val="36AD60D5"/>
    <w:rsid w:val="36B030FD"/>
    <w:rsid w:val="36B2175C"/>
    <w:rsid w:val="36B224F9"/>
    <w:rsid w:val="36BD137C"/>
    <w:rsid w:val="36C9002A"/>
    <w:rsid w:val="36DA1A91"/>
    <w:rsid w:val="36EC0CC9"/>
    <w:rsid w:val="36ED50B2"/>
    <w:rsid w:val="370336C9"/>
    <w:rsid w:val="37071D0B"/>
    <w:rsid w:val="370E7E29"/>
    <w:rsid w:val="371D03D1"/>
    <w:rsid w:val="373975EE"/>
    <w:rsid w:val="373F410B"/>
    <w:rsid w:val="377910BF"/>
    <w:rsid w:val="37847C99"/>
    <w:rsid w:val="37865B9A"/>
    <w:rsid w:val="37A34A15"/>
    <w:rsid w:val="37B24C58"/>
    <w:rsid w:val="37BF45D0"/>
    <w:rsid w:val="37C3FBDF"/>
    <w:rsid w:val="37CB13C3"/>
    <w:rsid w:val="37EE7094"/>
    <w:rsid w:val="37F1277E"/>
    <w:rsid w:val="38023CE9"/>
    <w:rsid w:val="381C6A10"/>
    <w:rsid w:val="38207169"/>
    <w:rsid w:val="38296C89"/>
    <w:rsid w:val="383002EB"/>
    <w:rsid w:val="38586797"/>
    <w:rsid w:val="385A4E16"/>
    <w:rsid w:val="385F174D"/>
    <w:rsid w:val="38666521"/>
    <w:rsid w:val="386D5003"/>
    <w:rsid w:val="38801BDB"/>
    <w:rsid w:val="38A5656B"/>
    <w:rsid w:val="38AD019E"/>
    <w:rsid w:val="38BC0149"/>
    <w:rsid w:val="38BF79D0"/>
    <w:rsid w:val="38D87D1C"/>
    <w:rsid w:val="38E82369"/>
    <w:rsid w:val="38E928FC"/>
    <w:rsid w:val="390727AC"/>
    <w:rsid w:val="390E4110"/>
    <w:rsid w:val="392512B2"/>
    <w:rsid w:val="39484197"/>
    <w:rsid w:val="39579DDC"/>
    <w:rsid w:val="395A32FB"/>
    <w:rsid w:val="39636459"/>
    <w:rsid w:val="396B7F6C"/>
    <w:rsid w:val="397C415A"/>
    <w:rsid w:val="39833117"/>
    <w:rsid w:val="399030A9"/>
    <w:rsid w:val="399B0574"/>
    <w:rsid w:val="399F8891"/>
    <w:rsid w:val="39AC0E12"/>
    <w:rsid w:val="39AE48B3"/>
    <w:rsid w:val="39B417A9"/>
    <w:rsid w:val="39B63265"/>
    <w:rsid w:val="39BC4267"/>
    <w:rsid w:val="39D20DB4"/>
    <w:rsid w:val="39E11825"/>
    <w:rsid w:val="39FC5695"/>
    <w:rsid w:val="39FD48B8"/>
    <w:rsid w:val="3A006D8E"/>
    <w:rsid w:val="3A045513"/>
    <w:rsid w:val="3A1A0DEC"/>
    <w:rsid w:val="3A3651E5"/>
    <w:rsid w:val="3A403213"/>
    <w:rsid w:val="3A4A06EF"/>
    <w:rsid w:val="3A700CFA"/>
    <w:rsid w:val="3A701C24"/>
    <w:rsid w:val="3A744481"/>
    <w:rsid w:val="3A845319"/>
    <w:rsid w:val="3A852873"/>
    <w:rsid w:val="3A8C7BEF"/>
    <w:rsid w:val="3A906246"/>
    <w:rsid w:val="3AA215CD"/>
    <w:rsid w:val="3AA35FBF"/>
    <w:rsid w:val="3AAE63D8"/>
    <w:rsid w:val="3AB50022"/>
    <w:rsid w:val="3AB64A60"/>
    <w:rsid w:val="3AC676BC"/>
    <w:rsid w:val="3AC84020"/>
    <w:rsid w:val="3AD672E7"/>
    <w:rsid w:val="3B117EE8"/>
    <w:rsid w:val="3B2349B7"/>
    <w:rsid w:val="3B2415F9"/>
    <w:rsid w:val="3B2714BA"/>
    <w:rsid w:val="3B4A20A4"/>
    <w:rsid w:val="3B4D0D5C"/>
    <w:rsid w:val="3B5B5B5A"/>
    <w:rsid w:val="3B5B7273"/>
    <w:rsid w:val="3B616CFF"/>
    <w:rsid w:val="3B6259F6"/>
    <w:rsid w:val="3B737972"/>
    <w:rsid w:val="3B7C7A57"/>
    <w:rsid w:val="3B8C62A3"/>
    <w:rsid w:val="3B934DA1"/>
    <w:rsid w:val="3B976654"/>
    <w:rsid w:val="3B987DDD"/>
    <w:rsid w:val="3BB54D17"/>
    <w:rsid w:val="3BC01EFC"/>
    <w:rsid w:val="3BCA786A"/>
    <w:rsid w:val="3BD31E2F"/>
    <w:rsid w:val="3BF15831"/>
    <w:rsid w:val="3BF45B62"/>
    <w:rsid w:val="3BFA5FE0"/>
    <w:rsid w:val="3BFF2653"/>
    <w:rsid w:val="3C037E38"/>
    <w:rsid w:val="3C0F5972"/>
    <w:rsid w:val="3C105946"/>
    <w:rsid w:val="3C2C1DF0"/>
    <w:rsid w:val="3C357C06"/>
    <w:rsid w:val="3C471448"/>
    <w:rsid w:val="3C4F5748"/>
    <w:rsid w:val="3C5333BE"/>
    <w:rsid w:val="3C595011"/>
    <w:rsid w:val="3C5B2426"/>
    <w:rsid w:val="3C5F759A"/>
    <w:rsid w:val="3C6C525A"/>
    <w:rsid w:val="3C9D110D"/>
    <w:rsid w:val="3C9F0C20"/>
    <w:rsid w:val="3CA75091"/>
    <w:rsid w:val="3CAF79B9"/>
    <w:rsid w:val="3CCE23CB"/>
    <w:rsid w:val="3CD17D17"/>
    <w:rsid w:val="3CD411CD"/>
    <w:rsid w:val="3CDB69FF"/>
    <w:rsid w:val="3CE23C3D"/>
    <w:rsid w:val="3CFA48B6"/>
    <w:rsid w:val="3CFC4540"/>
    <w:rsid w:val="3D1B57E5"/>
    <w:rsid w:val="3D1D4FFD"/>
    <w:rsid w:val="3D2B7650"/>
    <w:rsid w:val="3D371EC9"/>
    <w:rsid w:val="3D3C7F39"/>
    <w:rsid w:val="3D440F09"/>
    <w:rsid w:val="3D4504A0"/>
    <w:rsid w:val="3D5213C9"/>
    <w:rsid w:val="3D532A3A"/>
    <w:rsid w:val="3D5A018C"/>
    <w:rsid w:val="3D8734BB"/>
    <w:rsid w:val="3D8D2B14"/>
    <w:rsid w:val="3D8D5599"/>
    <w:rsid w:val="3D9A11D4"/>
    <w:rsid w:val="3DA16D89"/>
    <w:rsid w:val="3DA364BE"/>
    <w:rsid w:val="3DAF2580"/>
    <w:rsid w:val="3DC270E1"/>
    <w:rsid w:val="3DCB238E"/>
    <w:rsid w:val="3DCD6749"/>
    <w:rsid w:val="3DD07988"/>
    <w:rsid w:val="3DE021C9"/>
    <w:rsid w:val="3DE041CB"/>
    <w:rsid w:val="3DE7347B"/>
    <w:rsid w:val="3E0C17F5"/>
    <w:rsid w:val="3E0D48F6"/>
    <w:rsid w:val="3E1868B4"/>
    <w:rsid w:val="3E1E7797"/>
    <w:rsid w:val="3E1F3308"/>
    <w:rsid w:val="3E23065E"/>
    <w:rsid w:val="3E29379B"/>
    <w:rsid w:val="3E377251"/>
    <w:rsid w:val="3E381421"/>
    <w:rsid w:val="3E42664B"/>
    <w:rsid w:val="3E4762CF"/>
    <w:rsid w:val="3E534BC2"/>
    <w:rsid w:val="3E5A7334"/>
    <w:rsid w:val="3E710AC0"/>
    <w:rsid w:val="3E772188"/>
    <w:rsid w:val="3E7927E8"/>
    <w:rsid w:val="3E7A3FBF"/>
    <w:rsid w:val="3E7B5D6B"/>
    <w:rsid w:val="3E843E66"/>
    <w:rsid w:val="3E8B6229"/>
    <w:rsid w:val="3E8F51FE"/>
    <w:rsid w:val="3E926F87"/>
    <w:rsid w:val="3E9A59DE"/>
    <w:rsid w:val="3E9D645B"/>
    <w:rsid w:val="3EAE2A76"/>
    <w:rsid w:val="3EAF4836"/>
    <w:rsid w:val="3EB01EF5"/>
    <w:rsid w:val="3EC33DFA"/>
    <w:rsid w:val="3EDB1D61"/>
    <w:rsid w:val="3EE651E8"/>
    <w:rsid w:val="3EFA31A7"/>
    <w:rsid w:val="3F0264C5"/>
    <w:rsid w:val="3F060E16"/>
    <w:rsid w:val="3F1D1096"/>
    <w:rsid w:val="3F260E6A"/>
    <w:rsid w:val="3F2F0234"/>
    <w:rsid w:val="3F4D34E2"/>
    <w:rsid w:val="3F524FF5"/>
    <w:rsid w:val="3F5605BF"/>
    <w:rsid w:val="3F6363FE"/>
    <w:rsid w:val="3F756B8F"/>
    <w:rsid w:val="3F7B2385"/>
    <w:rsid w:val="3F7D7D9F"/>
    <w:rsid w:val="3F95482B"/>
    <w:rsid w:val="3FA31757"/>
    <w:rsid w:val="3FA8005B"/>
    <w:rsid w:val="3FBE399E"/>
    <w:rsid w:val="3FC6643E"/>
    <w:rsid w:val="3FC90D91"/>
    <w:rsid w:val="3FDB73E7"/>
    <w:rsid w:val="3FDC320D"/>
    <w:rsid w:val="3FE71DF8"/>
    <w:rsid w:val="40003A47"/>
    <w:rsid w:val="40030DDA"/>
    <w:rsid w:val="4019356B"/>
    <w:rsid w:val="40213118"/>
    <w:rsid w:val="40592157"/>
    <w:rsid w:val="405B7548"/>
    <w:rsid w:val="405C2CE2"/>
    <w:rsid w:val="40661FDB"/>
    <w:rsid w:val="406E1CAE"/>
    <w:rsid w:val="40736F4F"/>
    <w:rsid w:val="408F77BC"/>
    <w:rsid w:val="40A0133A"/>
    <w:rsid w:val="40AA0586"/>
    <w:rsid w:val="40BC4C61"/>
    <w:rsid w:val="40C31A53"/>
    <w:rsid w:val="40CC396A"/>
    <w:rsid w:val="40D05B99"/>
    <w:rsid w:val="40D44AFB"/>
    <w:rsid w:val="40E61DCC"/>
    <w:rsid w:val="40FF085F"/>
    <w:rsid w:val="40FF545D"/>
    <w:rsid w:val="410067C8"/>
    <w:rsid w:val="410332AB"/>
    <w:rsid w:val="410463F9"/>
    <w:rsid w:val="4105404B"/>
    <w:rsid w:val="410719A2"/>
    <w:rsid w:val="411244E3"/>
    <w:rsid w:val="412C5A7C"/>
    <w:rsid w:val="41527804"/>
    <w:rsid w:val="416B0D87"/>
    <w:rsid w:val="41770ACF"/>
    <w:rsid w:val="41791DCF"/>
    <w:rsid w:val="417E5BAB"/>
    <w:rsid w:val="41851EA5"/>
    <w:rsid w:val="418D02DF"/>
    <w:rsid w:val="418F0D2A"/>
    <w:rsid w:val="4190530F"/>
    <w:rsid w:val="41A73354"/>
    <w:rsid w:val="41A80A45"/>
    <w:rsid w:val="41AE35B6"/>
    <w:rsid w:val="41D01505"/>
    <w:rsid w:val="41E71FCD"/>
    <w:rsid w:val="41F35CB0"/>
    <w:rsid w:val="422A6701"/>
    <w:rsid w:val="42474939"/>
    <w:rsid w:val="424C3C57"/>
    <w:rsid w:val="42570281"/>
    <w:rsid w:val="425920FC"/>
    <w:rsid w:val="42613FF3"/>
    <w:rsid w:val="42660D96"/>
    <w:rsid w:val="426A3EF2"/>
    <w:rsid w:val="428667D2"/>
    <w:rsid w:val="42933DB2"/>
    <w:rsid w:val="42A04F26"/>
    <w:rsid w:val="42C90147"/>
    <w:rsid w:val="42CD1CE0"/>
    <w:rsid w:val="42E1381E"/>
    <w:rsid w:val="42ED6459"/>
    <w:rsid w:val="42F0309E"/>
    <w:rsid w:val="42FE58DD"/>
    <w:rsid w:val="43174B3D"/>
    <w:rsid w:val="432110E9"/>
    <w:rsid w:val="4329199A"/>
    <w:rsid w:val="432A7D99"/>
    <w:rsid w:val="43345103"/>
    <w:rsid w:val="4343256A"/>
    <w:rsid w:val="434328BF"/>
    <w:rsid w:val="434B790E"/>
    <w:rsid w:val="43501275"/>
    <w:rsid w:val="4360274F"/>
    <w:rsid w:val="436C4C0C"/>
    <w:rsid w:val="43885B5E"/>
    <w:rsid w:val="43901B09"/>
    <w:rsid w:val="43977AB6"/>
    <w:rsid w:val="43A3342B"/>
    <w:rsid w:val="43C77C27"/>
    <w:rsid w:val="43CA2956"/>
    <w:rsid w:val="43D751C6"/>
    <w:rsid w:val="43DE09EE"/>
    <w:rsid w:val="43ED68CE"/>
    <w:rsid w:val="43EF2D90"/>
    <w:rsid w:val="43F6411F"/>
    <w:rsid w:val="44002FAD"/>
    <w:rsid w:val="44071C0D"/>
    <w:rsid w:val="4408554B"/>
    <w:rsid w:val="440F1694"/>
    <w:rsid w:val="441A2CF9"/>
    <w:rsid w:val="443747BD"/>
    <w:rsid w:val="444111FF"/>
    <w:rsid w:val="44497B27"/>
    <w:rsid w:val="445B0426"/>
    <w:rsid w:val="446B2796"/>
    <w:rsid w:val="44703EA3"/>
    <w:rsid w:val="44742156"/>
    <w:rsid w:val="449101DD"/>
    <w:rsid w:val="449D16AC"/>
    <w:rsid w:val="44A24C3C"/>
    <w:rsid w:val="44BC2812"/>
    <w:rsid w:val="44C11FCC"/>
    <w:rsid w:val="44D16CFE"/>
    <w:rsid w:val="44DE1391"/>
    <w:rsid w:val="44E421C9"/>
    <w:rsid w:val="450B7626"/>
    <w:rsid w:val="45115D2E"/>
    <w:rsid w:val="451B225C"/>
    <w:rsid w:val="452410C9"/>
    <w:rsid w:val="4528619B"/>
    <w:rsid w:val="452C2D54"/>
    <w:rsid w:val="45317DFB"/>
    <w:rsid w:val="45344EFF"/>
    <w:rsid w:val="45482AB7"/>
    <w:rsid w:val="454D03CD"/>
    <w:rsid w:val="456D3CE4"/>
    <w:rsid w:val="4577128F"/>
    <w:rsid w:val="4579042C"/>
    <w:rsid w:val="457F0571"/>
    <w:rsid w:val="45851176"/>
    <w:rsid w:val="45A1665C"/>
    <w:rsid w:val="45BB11DF"/>
    <w:rsid w:val="45C04D0F"/>
    <w:rsid w:val="45C63B94"/>
    <w:rsid w:val="45D941A3"/>
    <w:rsid w:val="45E43226"/>
    <w:rsid w:val="45EA380F"/>
    <w:rsid w:val="460E5133"/>
    <w:rsid w:val="460E7DA5"/>
    <w:rsid w:val="461247C1"/>
    <w:rsid w:val="46135CC2"/>
    <w:rsid w:val="46422483"/>
    <w:rsid w:val="464B7318"/>
    <w:rsid w:val="464C1FF9"/>
    <w:rsid w:val="4659254A"/>
    <w:rsid w:val="465B0637"/>
    <w:rsid w:val="465E3F0D"/>
    <w:rsid w:val="466A16E6"/>
    <w:rsid w:val="467D3A06"/>
    <w:rsid w:val="467F03FC"/>
    <w:rsid w:val="46893F2B"/>
    <w:rsid w:val="46A15FA0"/>
    <w:rsid w:val="46BC068F"/>
    <w:rsid w:val="46C4686E"/>
    <w:rsid w:val="46D03F0F"/>
    <w:rsid w:val="46E6701B"/>
    <w:rsid w:val="46EB16E7"/>
    <w:rsid w:val="46F1082D"/>
    <w:rsid w:val="46F1117A"/>
    <w:rsid w:val="470048FB"/>
    <w:rsid w:val="47214527"/>
    <w:rsid w:val="4751075C"/>
    <w:rsid w:val="477B778F"/>
    <w:rsid w:val="47816347"/>
    <w:rsid w:val="478203EC"/>
    <w:rsid w:val="47A04B5C"/>
    <w:rsid w:val="47AB6693"/>
    <w:rsid w:val="47B025FA"/>
    <w:rsid w:val="47EC7D13"/>
    <w:rsid w:val="4809698F"/>
    <w:rsid w:val="4811697D"/>
    <w:rsid w:val="483354AC"/>
    <w:rsid w:val="48460453"/>
    <w:rsid w:val="486378A9"/>
    <w:rsid w:val="48641684"/>
    <w:rsid w:val="48797BA2"/>
    <w:rsid w:val="487A3E25"/>
    <w:rsid w:val="488B5503"/>
    <w:rsid w:val="488F68F0"/>
    <w:rsid w:val="48937E21"/>
    <w:rsid w:val="489A0361"/>
    <w:rsid w:val="48B34C71"/>
    <w:rsid w:val="48B411FA"/>
    <w:rsid w:val="48B94FF3"/>
    <w:rsid w:val="48C3413F"/>
    <w:rsid w:val="48C5282A"/>
    <w:rsid w:val="48CF12D2"/>
    <w:rsid w:val="48E37AAB"/>
    <w:rsid w:val="48FD4B4C"/>
    <w:rsid w:val="49006C32"/>
    <w:rsid w:val="490A68E0"/>
    <w:rsid w:val="491054A6"/>
    <w:rsid w:val="491055FE"/>
    <w:rsid w:val="49132D46"/>
    <w:rsid w:val="49145ABB"/>
    <w:rsid w:val="49223C66"/>
    <w:rsid w:val="49454ECE"/>
    <w:rsid w:val="495B721B"/>
    <w:rsid w:val="495F5B3E"/>
    <w:rsid w:val="496F77D7"/>
    <w:rsid w:val="497654FD"/>
    <w:rsid w:val="4980383D"/>
    <w:rsid w:val="49AF5A7C"/>
    <w:rsid w:val="49B64211"/>
    <w:rsid w:val="49C030E6"/>
    <w:rsid w:val="49D27FD8"/>
    <w:rsid w:val="49DA2C8F"/>
    <w:rsid w:val="49E51FFF"/>
    <w:rsid w:val="49E8450A"/>
    <w:rsid w:val="49F015C0"/>
    <w:rsid w:val="49F6167F"/>
    <w:rsid w:val="49FF0E34"/>
    <w:rsid w:val="4A064FA0"/>
    <w:rsid w:val="4A0F7CE8"/>
    <w:rsid w:val="4A16615C"/>
    <w:rsid w:val="4A215C6D"/>
    <w:rsid w:val="4A2A7134"/>
    <w:rsid w:val="4A4424D7"/>
    <w:rsid w:val="4AB62F3F"/>
    <w:rsid w:val="4AB82D0F"/>
    <w:rsid w:val="4ACA29F1"/>
    <w:rsid w:val="4AEB7664"/>
    <w:rsid w:val="4AFD7C19"/>
    <w:rsid w:val="4B0567D1"/>
    <w:rsid w:val="4B0F715C"/>
    <w:rsid w:val="4B145500"/>
    <w:rsid w:val="4B236AAE"/>
    <w:rsid w:val="4B33727D"/>
    <w:rsid w:val="4B4340EE"/>
    <w:rsid w:val="4B5A0D09"/>
    <w:rsid w:val="4B5C2F86"/>
    <w:rsid w:val="4B5D267F"/>
    <w:rsid w:val="4B61136D"/>
    <w:rsid w:val="4B707271"/>
    <w:rsid w:val="4B712839"/>
    <w:rsid w:val="4B923F4B"/>
    <w:rsid w:val="4B9739F7"/>
    <w:rsid w:val="4BA34B8C"/>
    <w:rsid w:val="4BC66ACD"/>
    <w:rsid w:val="4BCD0FAB"/>
    <w:rsid w:val="4BD16766"/>
    <w:rsid w:val="4BD761B9"/>
    <w:rsid w:val="4BD86180"/>
    <w:rsid w:val="4BDD6071"/>
    <w:rsid w:val="4BEE2503"/>
    <w:rsid w:val="4BF94848"/>
    <w:rsid w:val="4C007696"/>
    <w:rsid w:val="4C0522FE"/>
    <w:rsid w:val="4C0B2AFD"/>
    <w:rsid w:val="4C245A30"/>
    <w:rsid w:val="4C293BA9"/>
    <w:rsid w:val="4C2E090E"/>
    <w:rsid w:val="4C3653C8"/>
    <w:rsid w:val="4C4028FC"/>
    <w:rsid w:val="4C4243A5"/>
    <w:rsid w:val="4C5B0A89"/>
    <w:rsid w:val="4C673968"/>
    <w:rsid w:val="4C6F6F70"/>
    <w:rsid w:val="4C7672F1"/>
    <w:rsid w:val="4C7C2F36"/>
    <w:rsid w:val="4C8524E4"/>
    <w:rsid w:val="4C8A6D6D"/>
    <w:rsid w:val="4CB6685F"/>
    <w:rsid w:val="4CC367FE"/>
    <w:rsid w:val="4CD64A83"/>
    <w:rsid w:val="4CD831FD"/>
    <w:rsid w:val="4CF93B9D"/>
    <w:rsid w:val="4D077F3C"/>
    <w:rsid w:val="4D123355"/>
    <w:rsid w:val="4D261F37"/>
    <w:rsid w:val="4D2A3B31"/>
    <w:rsid w:val="4D312C52"/>
    <w:rsid w:val="4D4B72A8"/>
    <w:rsid w:val="4D5476F5"/>
    <w:rsid w:val="4D5A0BB9"/>
    <w:rsid w:val="4D5D6FBD"/>
    <w:rsid w:val="4D905305"/>
    <w:rsid w:val="4D9477F9"/>
    <w:rsid w:val="4D964A72"/>
    <w:rsid w:val="4D9C1254"/>
    <w:rsid w:val="4DB5756A"/>
    <w:rsid w:val="4DBD4E69"/>
    <w:rsid w:val="4DD7474D"/>
    <w:rsid w:val="4DF8460D"/>
    <w:rsid w:val="4DFD25EA"/>
    <w:rsid w:val="4E0A4B81"/>
    <w:rsid w:val="4E3C1CFF"/>
    <w:rsid w:val="4E3D77BF"/>
    <w:rsid w:val="4E4111AF"/>
    <w:rsid w:val="4E582EF3"/>
    <w:rsid w:val="4E793892"/>
    <w:rsid w:val="4E7D6688"/>
    <w:rsid w:val="4E800872"/>
    <w:rsid w:val="4E972E46"/>
    <w:rsid w:val="4EA76741"/>
    <w:rsid w:val="4EC40E37"/>
    <w:rsid w:val="4EC569ED"/>
    <w:rsid w:val="4ED50EA1"/>
    <w:rsid w:val="4ED60856"/>
    <w:rsid w:val="4EE022D7"/>
    <w:rsid w:val="4EE51840"/>
    <w:rsid w:val="4EE8302A"/>
    <w:rsid w:val="4EEC050C"/>
    <w:rsid w:val="4EEC684A"/>
    <w:rsid w:val="4EF20192"/>
    <w:rsid w:val="4F063129"/>
    <w:rsid w:val="4F104EC3"/>
    <w:rsid w:val="4F126D19"/>
    <w:rsid w:val="4F1638C7"/>
    <w:rsid w:val="4F2953A8"/>
    <w:rsid w:val="4F2F67D9"/>
    <w:rsid w:val="4F334479"/>
    <w:rsid w:val="4F47354A"/>
    <w:rsid w:val="4F4804C9"/>
    <w:rsid w:val="4F534D39"/>
    <w:rsid w:val="4F911C54"/>
    <w:rsid w:val="4FB53E52"/>
    <w:rsid w:val="4FC757F7"/>
    <w:rsid w:val="4FCA1119"/>
    <w:rsid w:val="4FD12CBB"/>
    <w:rsid w:val="4FE625E0"/>
    <w:rsid w:val="4FEB6B02"/>
    <w:rsid w:val="4FEF7B15"/>
    <w:rsid w:val="4FF64A7F"/>
    <w:rsid w:val="4FF97471"/>
    <w:rsid w:val="5021480F"/>
    <w:rsid w:val="50413434"/>
    <w:rsid w:val="504728B1"/>
    <w:rsid w:val="50507C64"/>
    <w:rsid w:val="50637CD4"/>
    <w:rsid w:val="50646F2B"/>
    <w:rsid w:val="506C4F7A"/>
    <w:rsid w:val="50962ECB"/>
    <w:rsid w:val="509E35F0"/>
    <w:rsid w:val="50A42E38"/>
    <w:rsid w:val="50A4577F"/>
    <w:rsid w:val="50A71003"/>
    <w:rsid w:val="50B73D1F"/>
    <w:rsid w:val="50BD5BC9"/>
    <w:rsid w:val="50C11EEE"/>
    <w:rsid w:val="50E2599F"/>
    <w:rsid w:val="50E97CFC"/>
    <w:rsid w:val="50F842E1"/>
    <w:rsid w:val="50FA4028"/>
    <w:rsid w:val="50FD14C0"/>
    <w:rsid w:val="51064CB5"/>
    <w:rsid w:val="510D65B7"/>
    <w:rsid w:val="511157AB"/>
    <w:rsid w:val="511F48AD"/>
    <w:rsid w:val="512C45C0"/>
    <w:rsid w:val="513D2023"/>
    <w:rsid w:val="5142540C"/>
    <w:rsid w:val="514D7764"/>
    <w:rsid w:val="5150527F"/>
    <w:rsid w:val="51684093"/>
    <w:rsid w:val="518832C8"/>
    <w:rsid w:val="518C094E"/>
    <w:rsid w:val="51A0432A"/>
    <w:rsid w:val="51A86090"/>
    <w:rsid w:val="51B7396D"/>
    <w:rsid w:val="51BC0B9E"/>
    <w:rsid w:val="51BF3DA2"/>
    <w:rsid w:val="51D1625A"/>
    <w:rsid w:val="51DC2BA6"/>
    <w:rsid w:val="51ED24F8"/>
    <w:rsid w:val="51ED2B96"/>
    <w:rsid w:val="522A6228"/>
    <w:rsid w:val="522E4CC3"/>
    <w:rsid w:val="523472F4"/>
    <w:rsid w:val="52354064"/>
    <w:rsid w:val="523C0F3C"/>
    <w:rsid w:val="5244713B"/>
    <w:rsid w:val="524834F0"/>
    <w:rsid w:val="524D12E9"/>
    <w:rsid w:val="52532739"/>
    <w:rsid w:val="52577373"/>
    <w:rsid w:val="525E25A8"/>
    <w:rsid w:val="52615633"/>
    <w:rsid w:val="5266556A"/>
    <w:rsid w:val="526B217C"/>
    <w:rsid w:val="526B764F"/>
    <w:rsid w:val="528D52F3"/>
    <w:rsid w:val="529008EF"/>
    <w:rsid w:val="52946FDD"/>
    <w:rsid w:val="52977FD4"/>
    <w:rsid w:val="52A05F7F"/>
    <w:rsid w:val="52A25790"/>
    <w:rsid w:val="52A96B6F"/>
    <w:rsid w:val="52B45975"/>
    <w:rsid w:val="52B6146D"/>
    <w:rsid w:val="52C61EDE"/>
    <w:rsid w:val="52D21B4F"/>
    <w:rsid w:val="52D94AA4"/>
    <w:rsid w:val="52EA3A62"/>
    <w:rsid w:val="52F50BB8"/>
    <w:rsid w:val="53097272"/>
    <w:rsid w:val="531B7AA5"/>
    <w:rsid w:val="53271D10"/>
    <w:rsid w:val="53512DDD"/>
    <w:rsid w:val="53544462"/>
    <w:rsid w:val="53690469"/>
    <w:rsid w:val="53834329"/>
    <w:rsid w:val="5385406E"/>
    <w:rsid w:val="5397158E"/>
    <w:rsid w:val="539D4BDA"/>
    <w:rsid w:val="53DB5A15"/>
    <w:rsid w:val="53EC4BF7"/>
    <w:rsid w:val="53F94D5C"/>
    <w:rsid w:val="54013861"/>
    <w:rsid w:val="540616D0"/>
    <w:rsid w:val="540B76C9"/>
    <w:rsid w:val="541779E6"/>
    <w:rsid w:val="541A1253"/>
    <w:rsid w:val="54487265"/>
    <w:rsid w:val="544A0D24"/>
    <w:rsid w:val="544D6070"/>
    <w:rsid w:val="54605E1E"/>
    <w:rsid w:val="54685041"/>
    <w:rsid w:val="546B1FBF"/>
    <w:rsid w:val="54A23780"/>
    <w:rsid w:val="54B3506A"/>
    <w:rsid w:val="54BF1DF1"/>
    <w:rsid w:val="54C64996"/>
    <w:rsid w:val="54C662FF"/>
    <w:rsid w:val="54CA0D16"/>
    <w:rsid w:val="54DD4057"/>
    <w:rsid w:val="54E7490F"/>
    <w:rsid w:val="54E75560"/>
    <w:rsid w:val="550764A4"/>
    <w:rsid w:val="550B2BF6"/>
    <w:rsid w:val="551366CC"/>
    <w:rsid w:val="55214EB5"/>
    <w:rsid w:val="552810B5"/>
    <w:rsid w:val="55364EFD"/>
    <w:rsid w:val="553B6008"/>
    <w:rsid w:val="555D4828"/>
    <w:rsid w:val="555E7D76"/>
    <w:rsid w:val="555F0C24"/>
    <w:rsid w:val="557650C0"/>
    <w:rsid w:val="557A4C8B"/>
    <w:rsid w:val="557F583F"/>
    <w:rsid w:val="558931E1"/>
    <w:rsid w:val="55923347"/>
    <w:rsid w:val="55925180"/>
    <w:rsid w:val="55983B1B"/>
    <w:rsid w:val="559D4AB5"/>
    <w:rsid w:val="55A8376B"/>
    <w:rsid w:val="55B17223"/>
    <w:rsid w:val="55BF693D"/>
    <w:rsid w:val="55D342C0"/>
    <w:rsid w:val="55DC29B6"/>
    <w:rsid w:val="55DD4241"/>
    <w:rsid w:val="55EC5915"/>
    <w:rsid w:val="55EE10FA"/>
    <w:rsid w:val="55F04C44"/>
    <w:rsid w:val="55FF6F17"/>
    <w:rsid w:val="562772F0"/>
    <w:rsid w:val="562B51ED"/>
    <w:rsid w:val="562E5948"/>
    <w:rsid w:val="563C5CA8"/>
    <w:rsid w:val="56505911"/>
    <w:rsid w:val="5653279C"/>
    <w:rsid w:val="565418D3"/>
    <w:rsid w:val="566B6D1E"/>
    <w:rsid w:val="567D13ED"/>
    <w:rsid w:val="56842DF9"/>
    <w:rsid w:val="56903F5F"/>
    <w:rsid w:val="56945401"/>
    <w:rsid w:val="569B7333"/>
    <w:rsid w:val="56C65478"/>
    <w:rsid w:val="56DA6B73"/>
    <w:rsid w:val="56E36247"/>
    <w:rsid w:val="56FD56F3"/>
    <w:rsid w:val="57032A2C"/>
    <w:rsid w:val="570F5219"/>
    <w:rsid w:val="575925A3"/>
    <w:rsid w:val="575A156E"/>
    <w:rsid w:val="575D12B5"/>
    <w:rsid w:val="57610A87"/>
    <w:rsid w:val="577B1140"/>
    <w:rsid w:val="577B7F21"/>
    <w:rsid w:val="577F181B"/>
    <w:rsid w:val="57921984"/>
    <w:rsid w:val="579737F0"/>
    <w:rsid w:val="57AA386C"/>
    <w:rsid w:val="57AB7B30"/>
    <w:rsid w:val="57AF5251"/>
    <w:rsid w:val="57B26373"/>
    <w:rsid w:val="57B63F04"/>
    <w:rsid w:val="57C934C5"/>
    <w:rsid w:val="57CC4DA4"/>
    <w:rsid w:val="57CD20C2"/>
    <w:rsid w:val="57D157E2"/>
    <w:rsid w:val="57D46053"/>
    <w:rsid w:val="57D675AB"/>
    <w:rsid w:val="57D95FDD"/>
    <w:rsid w:val="57E133DD"/>
    <w:rsid w:val="57F81299"/>
    <w:rsid w:val="5814778D"/>
    <w:rsid w:val="58196889"/>
    <w:rsid w:val="581F48B1"/>
    <w:rsid w:val="583B7EFB"/>
    <w:rsid w:val="584140A6"/>
    <w:rsid w:val="584F5203"/>
    <w:rsid w:val="585B234B"/>
    <w:rsid w:val="5862482C"/>
    <w:rsid w:val="586D5FB7"/>
    <w:rsid w:val="58917D2F"/>
    <w:rsid w:val="5894085C"/>
    <w:rsid w:val="58AE4F0C"/>
    <w:rsid w:val="58B85899"/>
    <w:rsid w:val="58D701DF"/>
    <w:rsid w:val="58D955AA"/>
    <w:rsid w:val="58E363A9"/>
    <w:rsid w:val="58EF5611"/>
    <w:rsid w:val="58F162FD"/>
    <w:rsid w:val="59232DF8"/>
    <w:rsid w:val="59242179"/>
    <w:rsid w:val="593D6BAF"/>
    <w:rsid w:val="594F663F"/>
    <w:rsid w:val="595B1DF4"/>
    <w:rsid w:val="595E1678"/>
    <w:rsid w:val="596D5BD4"/>
    <w:rsid w:val="59740F36"/>
    <w:rsid w:val="597E3DD8"/>
    <w:rsid w:val="5982685A"/>
    <w:rsid w:val="59B45C01"/>
    <w:rsid w:val="59D04DE6"/>
    <w:rsid w:val="59EE16C8"/>
    <w:rsid w:val="59EF3692"/>
    <w:rsid w:val="59F80043"/>
    <w:rsid w:val="5A09252F"/>
    <w:rsid w:val="5A0B2778"/>
    <w:rsid w:val="5A1619EA"/>
    <w:rsid w:val="5A20149A"/>
    <w:rsid w:val="5A2A7C7B"/>
    <w:rsid w:val="5A2E6540"/>
    <w:rsid w:val="5A3E2560"/>
    <w:rsid w:val="5A3E4763"/>
    <w:rsid w:val="5A57255B"/>
    <w:rsid w:val="5A5D3B6E"/>
    <w:rsid w:val="5A637A76"/>
    <w:rsid w:val="5A6D33BA"/>
    <w:rsid w:val="5A792B1F"/>
    <w:rsid w:val="5A874767"/>
    <w:rsid w:val="5AA85135"/>
    <w:rsid w:val="5AAD6F28"/>
    <w:rsid w:val="5AD63A24"/>
    <w:rsid w:val="5AD85C60"/>
    <w:rsid w:val="5AE20B01"/>
    <w:rsid w:val="5AF64BA6"/>
    <w:rsid w:val="5B2B70DD"/>
    <w:rsid w:val="5B2E1A1D"/>
    <w:rsid w:val="5B336632"/>
    <w:rsid w:val="5B3D704E"/>
    <w:rsid w:val="5B410779"/>
    <w:rsid w:val="5B525C87"/>
    <w:rsid w:val="5B5F03A4"/>
    <w:rsid w:val="5B6D06E7"/>
    <w:rsid w:val="5B790768"/>
    <w:rsid w:val="5B843A1C"/>
    <w:rsid w:val="5B873E3F"/>
    <w:rsid w:val="5B8C73EB"/>
    <w:rsid w:val="5B956599"/>
    <w:rsid w:val="5BB26E60"/>
    <w:rsid w:val="5BB92F8E"/>
    <w:rsid w:val="5BC05397"/>
    <w:rsid w:val="5BD8078D"/>
    <w:rsid w:val="5BF563AB"/>
    <w:rsid w:val="5C02690E"/>
    <w:rsid w:val="5C0E333F"/>
    <w:rsid w:val="5C194E0F"/>
    <w:rsid w:val="5C196DA7"/>
    <w:rsid w:val="5C2A048C"/>
    <w:rsid w:val="5C2B610A"/>
    <w:rsid w:val="5C415839"/>
    <w:rsid w:val="5C4247E0"/>
    <w:rsid w:val="5C4E55C5"/>
    <w:rsid w:val="5C603B9E"/>
    <w:rsid w:val="5C6B43A5"/>
    <w:rsid w:val="5C80234E"/>
    <w:rsid w:val="5C8A680C"/>
    <w:rsid w:val="5C9F4678"/>
    <w:rsid w:val="5CA42512"/>
    <w:rsid w:val="5CB302F5"/>
    <w:rsid w:val="5CBA429A"/>
    <w:rsid w:val="5CC2057F"/>
    <w:rsid w:val="5CCD1101"/>
    <w:rsid w:val="5CF40E2A"/>
    <w:rsid w:val="5D047455"/>
    <w:rsid w:val="5D0C4701"/>
    <w:rsid w:val="5D0F0395"/>
    <w:rsid w:val="5D1433FB"/>
    <w:rsid w:val="5D221076"/>
    <w:rsid w:val="5D2418A5"/>
    <w:rsid w:val="5D397964"/>
    <w:rsid w:val="5D543F38"/>
    <w:rsid w:val="5D5A391C"/>
    <w:rsid w:val="5D5F10C0"/>
    <w:rsid w:val="5D891B7B"/>
    <w:rsid w:val="5DAD38EE"/>
    <w:rsid w:val="5DB52BC5"/>
    <w:rsid w:val="5DC36B4B"/>
    <w:rsid w:val="5E006862"/>
    <w:rsid w:val="5E0207B9"/>
    <w:rsid w:val="5E034B33"/>
    <w:rsid w:val="5E0633FD"/>
    <w:rsid w:val="5E0E0488"/>
    <w:rsid w:val="5E1834A1"/>
    <w:rsid w:val="5E1B68E7"/>
    <w:rsid w:val="5E261785"/>
    <w:rsid w:val="5E2E50AE"/>
    <w:rsid w:val="5E311139"/>
    <w:rsid w:val="5E434145"/>
    <w:rsid w:val="5E4A7017"/>
    <w:rsid w:val="5E552BBA"/>
    <w:rsid w:val="5E5D0BCB"/>
    <w:rsid w:val="5E611C10"/>
    <w:rsid w:val="5E6D10BD"/>
    <w:rsid w:val="5E6F6B50"/>
    <w:rsid w:val="5E912F6A"/>
    <w:rsid w:val="5E916AC6"/>
    <w:rsid w:val="5EB50202"/>
    <w:rsid w:val="5EBC378F"/>
    <w:rsid w:val="5EC21E78"/>
    <w:rsid w:val="5EC40C4A"/>
    <w:rsid w:val="5ECB647C"/>
    <w:rsid w:val="5ED476C0"/>
    <w:rsid w:val="5EDE00DE"/>
    <w:rsid w:val="5EED7F2B"/>
    <w:rsid w:val="5EFC383C"/>
    <w:rsid w:val="5EFC4888"/>
    <w:rsid w:val="5EFC7377"/>
    <w:rsid w:val="5EFEB119"/>
    <w:rsid w:val="5F06174D"/>
    <w:rsid w:val="5F184B97"/>
    <w:rsid w:val="5F1919AA"/>
    <w:rsid w:val="5F3A3602"/>
    <w:rsid w:val="5F4C2626"/>
    <w:rsid w:val="5F6277C6"/>
    <w:rsid w:val="5F6B56DF"/>
    <w:rsid w:val="5F6D0B1D"/>
    <w:rsid w:val="5F7E1D18"/>
    <w:rsid w:val="5F7F0A6C"/>
    <w:rsid w:val="5F8D0B82"/>
    <w:rsid w:val="5F927A76"/>
    <w:rsid w:val="5F9A3EA5"/>
    <w:rsid w:val="5F9E4429"/>
    <w:rsid w:val="5FA32F55"/>
    <w:rsid w:val="5FA911F0"/>
    <w:rsid w:val="5FAD7B5E"/>
    <w:rsid w:val="5FB92779"/>
    <w:rsid w:val="5FC85405"/>
    <w:rsid w:val="5FCC5339"/>
    <w:rsid w:val="5FDC54CF"/>
    <w:rsid w:val="5FE331AE"/>
    <w:rsid w:val="5FE34A5B"/>
    <w:rsid w:val="5FE3C1BD"/>
    <w:rsid w:val="5FE93917"/>
    <w:rsid w:val="5FFE1E36"/>
    <w:rsid w:val="60014280"/>
    <w:rsid w:val="60232584"/>
    <w:rsid w:val="606E7FA9"/>
    <w:rsid w:val="607330CE"/>
    <w:rsid w:val="607F1367"/>
    <w:rsid w:val="60825176"/>
    <w:rsid w:val="60843754"/>
    <w:rsid w:val="609F2AC4"/>
    <w:rsid w:val="60A5795F"/>
    <w:rsid w:val="60F772A0"/>
    <w:rsid w:val="60FA2EE8"/>
    <w:rsid w:val="61054A27"/>
    <w:rsid w:val="610A52BC"/>
    <w:rsid w:val="611D2366"/>
    <w:rsid w:val="613302DC"/>
    <w:rsid w:val="61357BDD"/>
    <w:rsid w:val="613B42FF"/>
    <w:rsid w:val="61421856"/>
    <w:rsid w:val="61434FAB"/>
    <w:rsid w:val="615227C4"/>
    <w:rsid w:val="615B059F"/>
    <w:rsid w:val="615D5386"/>
    <w:rsid w:val="616540C2"/>
    <w:rsid w:val="61654E3F"/>
    <w:rsid w:val="61671D60"/>
    <w:rsid w:val="617F6C0F"/>
    <w:rsid w:val="6182292A"/>
    <w:rsid w:val="618C1EFF"/>
    <w:rsid w:val="619042A5"/>
    <w:rsid w:val="619F7F92"/>
    <w:rsid w:val="61A261E8"/>
    <w:rsid w:val="61A472EA"/>
    <w:rsid w:val="61AA0B59"/>
    <w:rsid w:val="61B1405D"/>
    <w:rsid w:val="61C01DCB"/>
    <w:rsid w:val="61C2576E"/>
    <w:rsid w:val="61DC3121"/>
    <w:rsid w:val="61E57855"/>
    <w:rsid w:val="61F70404"/>
    <w:rsid w:val="61F94C26"/>
    <w:rsid w:val="62000E56"/>
    <w:rsid w:val="62035F2D"/>
    <w:rsid w:val="62347E94"/>
    <w:rsid w:val="623A1223"/>
    <w:rsid w:val="623B6C08"/>
    <w:rsid w:val="624D08A0"/>
    <w:rsid w:val="624F3E49"/>
    <w:rsid w:val="625C0EDE"/>
    <w:rsid w:val="625C71E2"/>
    <w:rsid w:val="62632286"/>
    <w:rsid w:val="626D784A"/>
    <w:rsid w:val="627937AD"/>
    <w:rsid w:val="62885958"/>
    <w:rsid w:val="62C361BE"/>
    <w:rsid w:val="62CC39A0"/>
    <w:rsid w:val="62D76DC7"/>
    <w:rsid w:val="62E31181"/>
    <w:rsid w:val="62EA65CE"/>
    <w:rsid w:val="62F40B65"/>
    <w:rsid w:val="62F6549D"/>
    <w:rsid w:val="62F93D83"/>
    <w:rsid w:val="62FC2CFE"/>
    <w:rsid w:val="63024505"/>
    <w:rsid w:val="63047252"/>
    <w:rsid w:val="6319163A"/>
    <w:rsid w:val="63414DCA"/>
    <w:rsid w:val="635B1DB5"/>
    <w:rsid w:val="63711FED"/>
    <w:rsid w:val="63852C0C"/>
    <w:rsid w:val="63880DDC"/>
    <w:rsid w:val="63897561"/>
    <w:rsid w:val="638D750D"/>
    <w:rsid w:val="638D78D8"/>
    <w:rsid w:val="63A1404D"/>
    <w:rsid w:val="63A914DA"/>
    <w:rsid w:val="63AC6CC0"/>
    <w:rsid w:val="63AF671E"/>
    <w:rsid w:val="63B07D87"/>
    <w:rsid w:val="63B75221"/>
    <w:rsid w:val="63CE5636"/>
    <w:rsid w:val="63D3192F"/>
    <w:rsid w:val="63D36808"/>
    <w:rsid w:val="63E50BFC"/>
    <w:rsid w:val="63FA2D29"/>
    <w:rsid w:val="63FE5966"/>
    <w:rsid w:val="64055776"/>
    <w:rsid w:val="640A712A"/>
    <w:rsid w:val="64157E2E"/>
    <w:rsid w:val="64201842"/>
    <w:rsid w:val="64240056"/>
    <w:rsid w:val="643E143A"/>
    <w:rsid w:val="644C59A4"/>
    <w:rsid w:val="644E0941"/>
    <w:rsid w:val="645842F7"/>
    <w:rsid w:val="645C0F0C"/>
    <w:rsid w:val="645E55CA"/>
    <w:rsid w:val="64741A78"/>
    <w:rsid w:val="64746CC0"/>
    <w:rsid w:val="648275DD"/>
    <w:rsid w:val="648B6EEF"/>
    <w:rsid w:val="64906414"/>
    <w:rsid w:val="649472E5"/>
    <w:rsid w:val="64BA2CDB"/>
    <w:rsid w:val="64C158BF"/>
    <w:rsid w:val="64CE2EAA"/>
    <w:rsid w:val="64E30A29"/>
    <w:rsid w:val="650C6EA7"/>
    <w:rsid w:val="651D10B4"/>
    <w:rsid w:val="65274800"/>
    <w:rsid w:val="653C3090"/>
    <w:rsid w:val="653C352F"/>
    <w:rsid w:val="65553C89"/>
    <w:rsid w:val="655E1932"/>
    <w:rsid w:val="65694EF8"/>
    <w:rsid w:val="65830CC8"/>
    <w:rsid w:val="65854376"/>
    <w:rsid w:val="658767BE"/>
    <w:rsid w:val="65892531"/>
    <w:rsid w:val="658B1B84"/>
    <w:rsid w:val="659B0CF6"/>
    <w:rsid w:val="65AF2D34"/>
    <w:rsid w:val="65BE054C"/>
    <w:rsid w:val="65F010D5"/>
    <w:rsid w:val="65FF4C5D"/>
    <w:rsid w:val="66017AE5"/>
    <w:rsid w:val="6618105D"/>
    <w:rsid w:val="66195831"/>
    <w:rsid w:val="66214688"/>
    <w:rsid w:val="66231A28"/>
    <w:rsid w:val="662E75B1"/>
    <w:rsid w:val="66342C2E"/>
    <w:rsid w:val="66383143"/>
    <w:rsid w:val="663E784C"/>
    <w:rsid w:val="666B40A1"/>
    <w:rsid w:val="668B6A45"/>
    <w:rsid w:val="66A10559"/>
    <w:rsid w:val="66A1736B"/>
    <w:rsid w:val="66C33CFD"/>
    <w:rsid w:val="66D85655"/>
    <w:rsid w:val="66F71800"/>
    <w:rsid w:val="66F81DD8"/>
    <w:rsid w:val="6700497E"/>
    <w:rsid w:val="67161B80"/>
    <w:rsid w:val="671C27C9"/>
    <w:rsid w:val="67222094"/>
    <w:rsid w:val="672F3F24"/>
    <w:rsid w:val="673E055F"/>
    <w:rsid w:val="673F17B5"/>
    <w:rsid w:val="6748263B"/>
    <w:rsid w:val="6751773B"/>
    <w:rsid w:val="67551CE3"/>
    <w:rsid w:val="676D68B5"/>
    <w:rsid w:val="676F6A10"/>
    <w:rsid w:val="677357A0"/>
    <w:rsid w:val="677D2492"/>
    <w:rsid w:val="677FC4B8"/>
    <w:rsid w:val="678B295A"/>
    <w:rsid w:val="67983F85"/>
    <w:rsid w:val="679B1F3D"/>
    <w:rsid w:val="67A105F8"/>
    <w:rsid w:val="67A22552"/>
    <w:rsid w:val="67B0620F"/>
    <w:rsid w:val="67B22DCC"/>
    <w:rsid w:val="67B315A2"/>
    <w:rsid w:val="67BE71AA"/>
    <w:rsid w:val="67BE72E7"/>
    <w:rsid w:val="67D90273"/>
    <w:rsid w:val="67DE5875"/>
    <w:rsid w:val="67E208DA"/>
    <w:rsid w:val="67E55852"/>
    <w:rsid w:val="67EB1AB4"/>
    <w:rsid w:val="67FA1285"/>
    <w:rsid w:val="67FC1AAF"/>
    <w:rsid w:val="680C60F7"/>
    <w:rsid w:val="6816354D"/>
    <w:rsid w:val="68290F13"/>
    <w:rsid w:val="68411B2A"/>
    <w:rsid w:val="68427745"/>
    <w:rsid w:val="68480D45"/>
    <w:rsid w:val="68482ACD"/>
    <w:rsid w:val="684D4257"/>
    <w:rsid w:val="68551F4F"/>
    <w:rsid w:val="6856665F"/>
    <w:rsid w:val="685D374F"/>
    <w:rsid w:val="685F4912"/>
    <w:rsid w:val="68602FC8"/>
    <w:rsid w:val="686508AD"/>
    <w:rsid w:val="686B7BE2"/>
    <w:rsid w:val="687A0973"/>
    <w:rsid w:val="687C10C9"/>
    <w:rsid w:val="68840C16"/>
    <w:rsid w:val="68876EFB"/>
    <w:rsid w:val="68884654"/>
    <w:rsid w:val="688D7765"/>
    <w:rsid w:val="68981C16"/>
    <w:rsid w:val="68987886"/>
    <w:rsid w:val="689F444F"/>
    <w:rsid w:val="68AD06CB"/>
    <w:rsid w:val="68B55C13"/>
    <w:rsid w:val="68B96DBB"/>
    <w:rsid w:val="68BE670A"/>
    <w:rsid w:val="68C77CCF"/>
    <w:rsid w:val="68C95009"/>
    <w:rsid w:val="68CA2805"/>
    <w:rsid w:val="68DE729A"/>
    <w:rsid w:val="68E937A3"/>
    <w:rsid w:val="68F71B4A"/>
    <w:rsid w:val="692469BA"/>
    <w:rsid w:val="6925142C"/>
    <w:rsid w:val="693040F1"/>
    <w:rsid w:val="693C0333"/>
    <w:rsid w:val="693D2B61"/>
    <w:rsid w:val="693E15D3"/>
    <w:rsid w:val="69627681"/>
    <w:rsid w:val="69702ECB"/>
    <w:rsid w:val="6977531D"/>
    <w:rsid w:val="69805664"/>
    <w:rsid w:val="69A80AFD"/>
    <w:rsid w:val="69B3676D"/>
    <w:rsid w:val="69B769D5"/>
    <w:rsid w:val="69B8273F"/>
    <w:rsid w:val="69B948A9"/>
    <w:rsid w:val="69BB34CE"/>
    <w:rsid w:val="69CC2BFF"/>
    <w:rsid w:val="69D0062A"/>
    <w:rsid w:val="69E2405E"/>
    <w:rsid w:val="69EB1780"/>
    <w:rsid w:val="69FD55B8"/>
    <w:rsid w:val="6A0B1C62"/>
    <w:rsid w:val="6A1C76FC"/>
    <w:rsid w:val="6A2406C8"/>
    <w:rsid w:val="6A3B0B8E"/>
    <w:rsid w:val="6A3C022E"/>
    <w:rsid w:val="6A4101AA"/>
    <w:rsid w:val="6A761984"/>
    <w:rsid w:val="6A7944DE"/>
    <w:rsid w:val="6A9E4786"/>
    <w:rsid w:val="6AA638F9"/>
    <w:rsid w:val="6AA87A3D"/>
    <w:rsid w:val="6AD6094F"/>
    <w:rsid w:val="6ADE0BD1"/>
    <w:rsid w:val="6AE846AF"/>
    <w:rsid w:val="6AE96859"/>
    <w:rsid w:val="6B007BED"/>
    <w:rsid w:val="6B0A62E9"/>
    <w:rsid w:val="6B0E1F43"/>
    <w:rsid w:val="6B122701"/>
    <w:rsid w:val="6B147746"/>
    <w:rsid w:val="6B24787C"/>
    <w:rsid w:val="6B3169AE"/>
    <w:rsid w:val="6B573233"/>
    <w:rsid w:val="6B57794A"/>
    <w:rsid w:val="6B5B6274"/>
    <w:rsid w:val="6B6A3EA8"/>
    <w:rsid w:val="6B6B606E"/>
    <w:rsid w:val="6B80703E"/>
    <w:rsid w:val="6B831CFF"/>
    <w:rsid w:val="6B841E8D"/>
    <w:rsid w:val="6B8E0F2B"/>
    <w:rsid w:val="6B935D53"/>
    <w:rsid w:val="6B9D5863"/>
    <w:rsid w:val="6BEF307E"/>
    <w:rsid w:val="6C196F71"/>
    <w:rsid w:val="6C213642"/>
    <w:rsid w:val="6C226FCB"/>
    <w:rsid w:val="6C292A34"/>
    <w:rsid w:val="6C31226F"/>
    <w:rsid w:val="6C431E34"/>
    <w:rsid w:val="6C552F0B"/>
    <w:rsid w:val="6C646D57"/>
    <w:rsid w:val="6C753116"/>
    <w:rsid w:val="6C770900"/>
    <w:rsid w:val="6C7F4402"/>
    <w:rsid w:val="6C8C67B7"/>
    <w:rsid w:val="6C8D2CA2"/>
    <w:rsid w:val="6C903ECD"/>
    <w:rsid w:val="6C9500C9"/>
    <w:rsid w:val="6C9779EC"/>
    <w:rsid w:val="6C9D744C"/>
    <w:rsid w:val="6CB1082D"/>
    <w:rsid w:val="6CB340FA"/>
    <w:rsid w:val="6CBC0F58"/>
    <w:rsid w:val="6CCB666E"/>
    <w:rsid w:val="6CD25AE5"/>
    <w:rsid w:val="6CE07597"/>
    <w:rsid w:val="6D01293E"/>
    <w:rsid w:val="6D09596E"/>
    <w:rsid w:val="6D167928"/>
    <w:rsid w:val="6D214CEE"/>
    <w:rsid w:val="6D26299B"/>
    <w:rsid w:val="6D29520A"/>
    <w:rsid w:val="6D4772EC"/>
    <w:rsid w:val="6D4F011E"/>
    <w:rsid w:val="6D513FF0"/>
    <w:rsid w:val="6D5D3808"/>
    <w:rsid w:val="6D611D5A"/>
    <w:rsid w:val="6D7FCBBB"/>
    <w:rsid w:val="6D817608"/>
    <w:rsid w:val="6D821096"/>
    <w:rsid w:val="6D9078AF"/>
    <w:rsid w:val="6DA00AD4"/>
    <w:rsid w:val="6DA11761"/>
    <w:rsid w:val="6DAA3FEF"/>
    <w:rsid w:val="6DC0172B"/>
    <w:rsid w:val="6DCB690C"/>
    <w:rsid w:val="6DD41A5B"/>
    <w:rsid w:val="6DDFF4A4"/>
    <w:rsid w:val="6DE304D5"/>
    <w:rsid w:val="6DEB13F9"/>
    <w:rsid w:val="6DF43C2E"/>
    <w:rsid w:val="6DF51CA3"/>
    <w:rsid w:val="6E03794A"/>
    <w:rsid w:val="6E347DFE"/>
    <w:rsid w:val="6E8335BD"/>
    <w:rsid w:val="6E8E12EF"/>
    <w:rsid w:val="6E972936"/>
    <w:rsid w:val="6EA91C0A"/>
    <w:rsid w:val="6EB15EB4"/>
    <w:rsid w:val="6EBA7EA4"/>
    <w:rsid w:val="6EC07194"/>
    <w:rsid w:val="6ED446C5"/>
    <w:rsid w:val="6EE13763"/>
    <w:rsid w:val="6EE42901"/>
    <w:rsid w:val="6EF72976"/>
    <w:rsid w:val="6EFFA6FA"/>
    <w:rsid w:val="6F046D6B"/>
    <w:rsid w:val="6F0641E7"/>
    <w:rsid w:val="6F265009"/>
    <w:rsid w:val="6F2A020B"/>
    <w:rsid w:val="6F2A7D94"/>
    <w:rsid w:val="6F3547A0"/>
    <w:rsid w:val="6F416D34"/>
    <w:rsid w:val="6F4D0566"/>
    <w:rsid w:val="6F653D83"/>
    <w:rsid w:val="6F654F0C"/>
    <w:rsid w:val="6F742218"/>
    <w:rsid w:val="6F82594E"/>
    <w:rsid w:val="6F8331F1"/>
    <w:rsid w:val="6F892271"/>
    <w:rsid w:val="6FA74989"/>
    <w:rsid w:val="6FAE1A09"/>
    <w:rsid w:val="6FAF3250"/>
    <w:rsid w:val="6FD02CDB"/>
    <w:rsid w:val="6FD75BF8"/>
    <w:rsid w:val="6FE165C0"/>
    <w:rsid w:val="6FE169D2"/>
    <w:rsid w:val="6FEF3738"/>
    <w:rsid w:val="7006548B"/>
    <w:rsid w:val="70187BB5"/>
    <w:rsid w:val="701A2DBF"/>
    <w:rsid w:val="70262765"/>
    <w:rsid w:val="70316AFC"/>
    <w:rsid w:val="70416651"/>
    <w:rsid w:val="70474316"/>
    <w:rsid w:val="704E4817"/>
    <w:rsid w:val="70553DF8"/>
    <w:rsid w:val="705767E7"/>
    <w:rsid w:val="707621C5"/>
    <w:rsid w:val="707723D0"/>
    <w:rsid w:val="708E730A"/>
    <w:rsid w:val="70982851"/>
    <w:rsid w:val="70986332"/>
    <w:rsid w:val="70AE175A"/>
    <w:rsid w:val="70B11E33"/>
    <w:rsid w:val="70C25CC9"/>
    <w:rsid w:val="70C355DB"/>
    <w:rsid w:val="70CE2A2E"/>
    <w:rsid w:val="70E84C6C"/>
    <w:rsid w:val="70F12FAE"/>
    <w:rsid w:val="70F5661B"/>
    <w:rsid w:val="70F853E2"/>
    <w:rsid w:val="71023D91"/>
    <w:rsid w:val="71360107"/>
    <w:rsid w:val="71374830"/>
    <w:rsid w:val="713B688E"/>
    <w:rsid w:val="713F4DAC"/>
    <w:rsid w:val="7151566D"/>
    <w:rsid w:val="715C7408"/>
    <w:rsid w:val="715F301C"/>
    <w:rsid w:val="71792033"/>
    <w:rsid w:val="719554A2"/>
    <w:rsid w:val="71BA525D"/>
    <w:rsid w:val="71BE506E"/>
    <w:rsid w:val="71C5587B"/>
    <w:rsid w:val="71D43752"/>
    <w:rsid w:val="71D630C6"/>
    <w:rsid w:val="71DE0417"/>
    <w:rsid w:val="71E404B9"/>
    <w:rsid w:val="71ED142D"/>
    <w:rsid w:val="71F1796A"/>
    <w:rsid w:val="71FF69B2"/>
    <w:rsid w:val="72130BA5"/>
    <w:rsid w:val="72154626"/>
    <w:rsid w:val="72165809"/>
    <w:rsid w:val="72262B5D"/>
    <w:rsid w:val="72283FF7"/>
    <w:rsid w:val="722E7212"/>
    <w:rsid w:val="72352D72"/>
    <w:rsid w:val="723A0474"/>
    <w:rsid w:val="724C122A"/>
    <w:rsid w:val="725320E2"/>
    <w:rsid w:val="7257211E"/>
    <w:rsid w:val="725923E4"/>
    <w:rsid w:val="725A1877"/>
    <w:rsid w:val="72864BF7"/>
    <w:rsid w:val="728743F3"/>
    <w:rsid w:val="729023FC"/>
    <w:rsid w:val="72A96299"/>
    <w:rsid w:val="72C47013"/>
    <w:rsid w:val="72D04E31"/>
    <w:rsid w:val="73151992"/>
    <w:rsid w:val="732B7092"/>
    <w:rsid w:val="73352235"/>
    <w:rsid w:val="73401EB8"/>
    <w:rsid w:val="734B5983"/>
    <w:rsid w:val="73526CD9"/>
    <w:rsid w:val="73610607"/>
    <w:rsid w:val="73813156"/>
    <w:rsid w:val="738B2556"/>
    <w:rsid w:val="738E4022"/>
    <w:rsid w:val="739C5231"/>
    <w:rsid w:val="73A220AE"/>
    <w:rsid w:val="73C0646E"/>
    <w:rsid w:val="73CF3445"/>
    <w:rsid w:val="73DC25EE"/>
    <w:rsid w:val="73E0166E"/>
    <w:rsid w:val="740A7C72"/>
    <w:rsid w:val="741A2067"/>
    <w:rsid w:val="742222F5"/>
    <w:rsid w:val="7433629F"/>
    <w:rsid w:val="7439776D"/>
    <w:rsid w:val="74476126"/>
    <w:rsid w:val="74706664"/>
    <w:rsid w:val="747F3682"/>
    <w:rsid w:val="749C4185"/>
    <w:rsid w:val="74C836FB"/>
    <w:rsid w:val="74CD2547"/>
    <w:rsid w:val="74CE23CA"/>
    <w:rsid w:val="74E1597B"/>
    <w:rsid w:val="74F3598D"/>
    <w:rsid w:val="74FE640D"/>
    <w:rsid w:val="75067759"/>
    <w:rsid w:val="750E27C7"/>
    <w:rsid w:val="750F1273"/>
    <w:rsid w:val="752E6DCD"/>
    <w:rsid w:val="7551380D"/>
    <w:rsid w:val="75556CB2"/>
    <w:rsid w:val="75600BE5"/>
    <w:rsid w:val="7564475C"/>
    <w:rsid w:val="756F07B9"/>
    <w:rsid w:val="75742F72"/>
    <w:rsid w:val="757F79BC"/>
    <w:rsid w:val="7583797F"/>
    <w:rsid w:val="758B5A35"/>
    <w:rsid w:val="758E1345"/>
    <w:rsid w:val="75917CED"/>
    <w:rsid w:val="75AB00CE"/>
    <w:rsid w:val="75AF7C49"/>
    <w:rsid w:val="75BD19C2"/>
    <w:rsid w:val="75D20F1D"/>
    <w:rsid w:val="75D50D18"/>
    <w:rsid w:val="75D699B9"/>
    <w:rsid w:val="75DA2C18"/>
    <w:rsid w:val="75F54412"/>
    <w:rsid w:val="7602540F"/>
    <w:rsid w:val="76047255"/>
    <w:rsid w:val="761D08E0"/>
    <w:rsid w:val="762E372E"/>
    <w:rsid w:val="763237C3"/>
    <w:rsid w:val="76402E54"/>
    <w:rsid w:val="765D29D6"/>
    <w:rsid w:val="765D347C"/>
    <w:rsid w:val="7661256E"/>
    <w:rsid w:val="76620885"/>
    <w:rsid w:val="76746FA2"/>
    <w:rsid w:val="76817959"/>
    <w:rsid w:val="76826699"/>
    <w:rsid w:val="76B277C7"/>
    <w:rsid w:val="76BB072D"/>
    <w:rsid w:val="76C87133"/>
    <w:rsid w:val="76CB02BC"/>
    <w:rsid w:val="76CD08D5"/>
    <w:rsid w:val="76DB4B92"/>
    <w:rsid w:val="76E0513C"/>
    <w:rsid w:val="76EE05AE"/>
    <w:rsid w:val="76F940B5"/>
    <w:rsid w:val="77052AA4"/>
    <w:rsid w:val="77136511"/>
    <w:rsid w:val="77334767"/>
    <w:rsid w:val="77340A39"/>
    <w:rsid w:val="77351FD0"/>
    <w:rsid w:val="773A81D5"/>
    <w:rsid w:val="773E7AF4"/>
    <w:rsid w:val="77472422"/>
    <w:rsid w:val="777B32BF"/>
    <w:rsid w:val="777F31F2"/>
    <w:rsid w:val="778D6084"/>
    <w:rsid w:val="77A15B74"/>
    <w:rsid w:val="77A23B52"/>
    <w:rsid w:val="77BA10A6"/>
    <w:rsid w:val="77D1700D"/>
    <w:rsid w:val="77D529E6"/>
    <w:rsid w:val="77DF4631"/>
    <w:rsid w:val="77EC04CC"/>
    <w:rsid w:val="77ED700C"/>
    <w:rsid w:val="77EE9D35"/>
    <w:rsid w:val="77FB56E4"/>
    <w:rsid w:val="78002763"/>
    <w:rsid w:val="78144439"/>
    <w:rsid w:val="78195184"/>
    <w:rsid w:val="781F0E64"/>
    <w:rsid w:val="782C2A17"/>
    <w:rsid w:val="782E6CA4"/>
    <w:rsid w:val="78395DAD"/>
    <w:rsid w:val="785E6684"/>
    <w:rsid w:val="78600B26"/>
    <w:rsid w:val="78656BB1"/>
    <w:rsid w:val="786C6182"/>
    <w:rsid w:val="78775729"/>
    <w:rsid w:val="78A42DB0"/>
    <w:rsid w:val="78A656AB"/>
    <w:rsid w:val="78B2245C"/>
    <w:rsid w:val="78B43685"/>
    <w:rsid w:val="78B944EA"/>
    <w:rsid w:val="78BD7DE7"/>
    <w:rsid w:val="78CF6711"/>
    <w:rsid w:val="78E172CC"/>
    <w:rsid w:val="78EA1D1F"/>
    <w:rsid w:val="79014D6A"/>
    <w:rsid w:val="7904172F"/>
    <w:rsid w:val="790F7E27"/>
    <w:rsid w:val="791660EE"/>
    <w:rsid w:val="792A231A"/>
    <w:rsid w:val="79316829"/>
    <w:rsid w:val="79557D8F"/>
    <w:rsid w:val="796432FD"/>
    <w:rsid w:val="796A0496"/>
    <w:rsid w:val="79733540"/>
    <w:rsid w:val="797E66A9"/>
    <w:rsid w:val="798F0C50"/>
    <w:rsid w:val="79916C08"/>
    <w:rsid w:val="799A6917"/>
    <w:rsid w:val="79A54571"/>
    <w:rsid w:val="79A97383"/>
    <w:rsid w:val="79B670DE"/>
    <w:rsid w:val="79D700C9"/>
    <w:rsid w:val="79DD5076"/>
    <w:rsid w:val="79E27E8B"/>
    <w:rsid w:val="79E55F23"/>
    <w:rsid w:val="79F50F6F"/>
    <w:rsid w:val="79F60E94"/>
    <w:rsid w:val="79F850CE"/>
    <w:rsid w:val="79F9CDD1"/>
    <w:rsid w:val="79FB00A9"/>
    <w:rsid w:val="79FD2E0A"/>
    <w:rsid w:val="79FD443C"/>
    <w:rsid w:val="7A031D70"/>
    <w:rsid w:val="7A1B5E7B"/>
    <w:rsid w:val="7A1D1975"/>
    <w:rsid w:val="7A226A18"/>
    <w:rsid w:val="7A30548F"/>
    <w:rsid w:val="7A3E5150"/>
    <w:rsid w:val="7A4670D6"/>
    <w:rsid w:val="7A4A3BC0"/>
    <w:rsid w:val="7A534B63"/>
    <w:rsid w:val="7A615382"/>
    <w:rsid w:val="7A657E85"/>
    <w:rsid w:val="7A67303B"/>
    <w:rsid w:val="7A9B6A58"/>
    <w:rsid w:val="7AA61D6E"/>
    <w:rsid w:val="7AAB1D04"/>
    <w:rsid w:val="7AAE29CF"/>
    <w:rsid w:val="7ABA4368"/>
    <w:rsid w:val="7ACA02E8"/>
    <w:rsid w:val="7AD05746"/>
    <w:rsid w:val="7ADD5383"/>
    <w:rsid w:val="7AEF5B98"/>
    <w:rsid w:val="7AF60108"/>
    <w:rsid w:val="7B060363"/>
    <w:rsid w:val="7B1842D8"/>
    <w:rsid w:val="7B257FFD"/>
    <w:rsid w:val="7B2A3ECA"/>
    <w:rsid w:val="7B2E3325"/>
    <w:rsid w:val="7B343476"/>
    <w:rsid w:val="7B3870A9"/>
    <w:rsid w:val="7B3A2568"/>
    <w:rsid w:val="7B3B08B4"/>
    <w:rsid w:val="7B3BAA8A"/>
    <w:rsid w:val="7B5A2978"/>
    <w:rsid w:val="7B5A7E4C"/>
    <w:rsid w:val="7B5B42B3"/>
    <w:rsid w:val="7B667AF9"/>
    <w:rsid w:val="7B6E62BE"/>
    <w:rsid w:val="7B7468F8"/>
    <w:rsid w:val="7B7C1C9C"/>
    <w:rsid w:val="7B7F5B22"/>
    <w:rsid w:val="7B9934BC"/>
    <w:rsid w:val="7BA06143"/>
    <w:rsid w:val="7BB816DF"/>
    <w:rsid w:val="7BBCBFF7"/>
    <w:rsid w:val="7BBF31A0"/>
    <w:rsid w:val="7BEE0103"/>
    <w:rsid w:val="7BF7BA00"/>
    <w:rsid w:val="7C0A0FE4"/>
    <w:rsid w:val="7C19147F"/>
    <w:rsid w:val="7C1E057E"/>
    <w:rsid w:val="7C254906"/>
    <w:rsid w:val="7C2A076A"/>
    <w:rsid w:val="7C582096"/>
    <w:rsid w:val="7C590818"/>
    <w:rsid w:val="7C7C10F6"/>
    <w:rsid w:val="7C853BEA"/>
    <w:rsid w:val="7C881368"/>
    <w:rsid w:val="7C9A6B9D"/>
    <w:rsid w:val="7C9B7832"/>
    <w:rsid w:val="7CB6106F"/>
    <w:rsid w:val="7CC16A2C"/>
    <w:rsid w:val="7CCC4E2E"/>
    <w:rsid w:val="7CDB38D7"/>
    <w:rsid w:val="7CE27788"/>
    <w:rsid w:val="7CE56807"/>
    <w:rsid w:val="7CF433EE"/>
    <w:rsid w:val="7D0C32F1"/>
    <w:rsid w:val="7D0F408D"/>
    <w:rsid w:val="7D491C6C"/>
    <w:rsid w:val="7D4B5E15"/>
    <w:rsid w:val="7D4E2F8F"/>
    <w:rsid w:val="7D511DEB"/>
    <w:rsid w:val="7D5429C0"/>
    <w:rsid w:val="7D6E6D43"/>
    <w:rsid w:val="7D777879"/>
    <w:rsid w:val="7DB57A34"/>
    <w:rsid w:val="7DBD0B2D"/>
    <w:rsid w:val="7DC16401"/>
    <w:rsid w:val="7DD745C1"/>
    <w:rsid w:val="7DE60973"/>
    <w:rsid w:val="7DEA2D0D"/>
    <w:rsid w:val="7DEF0916"/>
    <w:rsid w:val="7DFC3B04"/>
    <w:rsid w:val="7E066C08"/>
    <w:rsid w:val="7E0C4EA0"/>
    <w:rsid w:val="7E1E5218"/>
    <w:rsid w:val="7E5F0CEE"/>
    <w:rsid w:val="7E815768"/>
    <w:rsid w:val="7E847E0F"/>
    <w:rsid w:val="7E9A4E1F"/>
    <w:rsid w:val="7EA7723A"/>
    <w:rsid w:val="7EAB5022"/>
    <w:rsid w:val="7EB3006D"/>
    <w:rsid w:val="7ED56104"/>
    <w:rsid w:val="7EE739BB"/>
    <w:rsid w:val="7EF56FBB"/>
    <w:rsid w:val="7EFE2E81"/>
    <w:rsid w:val="7F01339C"/>
    <w:rsid w:val="7F0768EB"/>
    <w:rsid w:val="7F143BEC"/>
    <w:rsid w:val="7F2C7006"/>
    <w:rsid w:val="7F472479"/>
    <w:rsid w:val="7F47362C"/>
    <w:rsid w:val="7F4C0ABC"/>
    <w:rsid w:val="7F715AF2"/>
    <w:rsid w:val="7F856010"/>
    <w:rsid w:val="7F886E69"/>
    <w:rsid w:val="7F904A1D"/>
    <w:rsid w:val="7F9C3A63"/>
    <w:rsid w:val="7F9E0BEB"/>
    <w:rsid w:val="7F9F4761"/>
    <w:rsid w:val="7FA04967"/>
    <w:rsid w:val="7FAA22BA"/>
    <w:rsid w:val="7FAFDE5E"/>
    <w:rsid w:val="7FB01EA8"/>
    <w:rsid w:val="7FBE1B41"/>
    <w:rsid w:val="7FC12304"/>
    <w:rsid w:val="7FC45A1A"/>
    <w:rsid w:val="7FC94EFB"/>
    <w:rsid w:val="7FDD39BD"/>
    <w:rsid w:val="7FE57814"/>
    <w:rsid w:val="8E8E3F9E"/>
    <w:rsid w:val="9B379D21"/>
    <w:rsid w:val="9CD7AF0D"/>
    <w:rsid w:val="9FAC2ABA"/>
    <w:rsid w:val="9FF70969"/>
    <w:rsid w:val="ACEF748E"/>
    <w:rsid w:val="AFFF6D0B"/>
    <w:rsid w:val="B37B784C"/>
    <w:rsid w:val="BB7FA927"/>
    <w:rsid w:val="BD7F1C15"/>
    <w:rsid w:val="BDF3E488"/>
    <w:rsid w:val="CEF48C36"/>
    <w:rsid w:val="CFFC56BB"/>
    <w:rsid w:val="D7F0A3C4"/>
    <w:rsid w:val="DFF647FB"/>
    <w:rsid w:val="E13F7FAA"/>
    <w:rsid w:val="EB5660B0"/>
    <w:rsid w:val="F37D11C3"/>
    <w:rsid w:val="F58F1A04"/>
    <w:rsid w:val="F5FFD31F"/>
    <w:rsid w:val="F7FF7593"/>
    <w:rsid w:val="FDFB95D2"/>
    <w:rsid w:val="FEDF3713"/>
    <w:rsid w:val="FEFCFF6E"/>
    <w:rsid w:val="FF7F285C"/>
    <w:rsid w:val="FF7F8693"/>
    <w:rsid w:val="FFBD61BA"/>
    <w:rsid w:val="FFDDCB97"/>
    <w:rsid w:val="FFFDA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7"/>
    <w:qFormat/>
    <w:uiPriority w:val="9"/>
    <w:pPr>
      <w:keepNext/>
      <w:keepLines/>
      <w:tabs>
        <w:tab w:val="left" w:pos="432"/>
      </w:tabs>
      <w:spacing w:line="360" w:lineRule="auto"/>
      <w:jc w:val="center"/>
      <w:outlineLvl w:val="0"/>
    </w:pPr>
    <w:rPr>
      <w:b/>
      <w:bCs/>
      <w:kern w:val="44"/>
      <w:sz w:val="32"/>
      <w:szCs w:val="44"/>
    </w:rPr>
  </w:style>
  <w:style w:type="paragraph" w:styleId="3">
    <w:name w:val="heading 2"/>
    <w:basedOn w:val="1"/>
    <w:next w:val="1"/>
    <w:link w:val="962"/>
    <w:qFormat/>
    <w:uiPriority w:val="0"/>
    <w:pPr>
      <w:keepNext/>
      <w:keepLines/>
      <w:tabs>
        <w:tab w:val="left" w:pos="432"/>
      </w:tabs>
      <w:adjustRightInd/>
      <w:spacing w:before="160" w:after="160" w:line="360" w:lineRule="auto"/>
      <w:ind w:firstLine="422" w:firstLineChars="200"/>
      <w:jc w:val="left"/>
      <w:outlineLvl w:val="1"/>
    </w:pPr>
    <w:rPr>
      <w:rFonts w:ascii="仿宋_GB2312" w:hAnsi="仿宋_GB2312"/>
      <w:b/>
      <w:bCs/>
      <w:szCs w:val="32"/>
      <w:lang w:val="zh-CN"/>
    </w:rPr>
  </w:style>
  <w:style w:type="paragraph" w:styleId="4">
    <w:name w:val="heading 3"/>
    <w:basedOn w:val="1"/>
    <w:next w:val="1"/>
    <w:link w:val="963"/>
    <w:qFormat/>
    <w:uiPriority w:val="0"/>
    <w:pPr>
      <w:keepNext/>
      <w:keepLines/>
      <w:tabs>
        <w:tab w:val="left" w:pos="900"/>
      </w:tabs>
      <w:spacing w:before="100" w:after="100" w:line="360" w:lineRule="auto"/>
      <w:ind w:firstLine="422" w:firstLineChars="200"/>
      <w:outlineLvl w:val="2"/>
    </w:pPr>
    <w:rPr>
      <w:rFonts w:ascii="Arial" w:hAnsi="Arial"/>
      <w:b/>
      <w:bCs/>
      <w:szCs w:val="32"/>
    </w:rPr>
  </w:style>
  <w:style w:type="paragraph" w:styleId="5">
    <w:name w:val="heading 4"/>
    <w:basedOn w:val="1"/>
    <w:next w:val="1"/>
    <w:link w:val="328"/>
    <w:qFormat/>
    <w:uiPriority w:val="0"/>
    <w:pPr>
      <w:keepNext/>
      <w:keepLines/>
      <w:tabs>
        <w:tab w:val="left" w:pos="864"/>
      </w:tabs>
      <w:spacing w:line="360" w:lineRule="auto"/>
      <w:ind w:firstLine="422" w:firstLineChars="200"/>
      <w:outlineLvl w:val="3"/>
    </w:pPr>
    <w:rPr>
      <w:rFonts w:ascii="Arial" w:hAnsi="Arial"/>
      <w:b/>
      <w:bCs/>
      <w:szCs w:val="28"/>
      <w:lang w:val="zh-CN"/>
    </w:rPr>
  </w:style>
  <w:style w:type="paragraph" w:styleId="6">
    <w:name w:val="heading 5"/>
    <w:basedOn w:val="1"/>
    <w:next w:val="1"/>
    <w:link w:val="8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5"/>
    <w:link w:val="13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5"/>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92"/>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next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2"/>
    <w:qFormat/>
    <w:uiPriority w:val="0"/>
    <w:rPr>
      <w:b/>
      <w:bCs/>
    </w:rPr>
  </w:style>
  <w:style w:type="paragraph" w:styleId="60">
    <w:name w:val="Body Text First Indent"/>
    <w:basedOn w:val="23"/>
    <w:next w:val="1"/>
    <w:link w:val="322"/>
    <w:qFormat/>
    <w:uiPriority w:val="0"/>
    <w:pPr>
      <w:ind w:firstLine="420"/>
    </w:pPr>
    <w:rPr>
      <w:rFonts w:hAnsi="Calibri" w:cs="Times New Roman"/>
      <w:snapToGrid/>
      <w:szCs w:val="20"/>
    </w:rPr>
  </w:style>
  <w:style w:type="paragraph" w:styleId="61">
    <w:name w:val="Body Text First Indent 2"/>
    <w:basedOn w:val="24"/>
    <w:next w:val="1"/>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4 字符"/>
    <w:qFormat/>
    <w:uiPriority w:val="9"/>
    <w:rPr>
      <w:rFonts w:ascii="等线 Light" w:hAnsi="等线 Light" w:eastAsia="等线 Light" w:cs="Times New Roman"/>
      <w:b/>
      <w:bCs/>
      <w:snapToGrid w:val="0"/>
      <w:kern w:val="0"/>
      <w:sz w:val="28"/>
      <w:szCs w:val="28"/>
    </w:rPr>
  </w:style>
  <w:style w:type="character" w:customStyle="1" w:styleId="80">
    <w:name w:val="标题 5 字符"/>
    <w:link w:val="6"/>
    <w:qFormat/>
    <w:uiPriority w:val="9"/>
    <w:rPr>
      <w:b/>
      <w:bCs/>
      <w:kern w:val="2"/>
      <w:sz w:val="28"/>
      <w:szCs w:val="28"/>
    </w:rPr>
  </w:style>
  <w:style w:type="character" w:customStyle="1" w:styleId="81">
    <w:name w:val="标题 6 字符"/>
    <w:link w:val="7"/>
    <w:qFormat/>
    <w:uiPriority w:val="0"/>
    <w:rPr>
      <w:rFonts w:ascii="Arial" w:hAnsi="Arial" w:eastAsia="黑体"/>
      <w:b/>
      <w:bCs/>
      <w:kern w:val="2"/>
      <w:sz w:val="24"/>
      <w:szCs w:val="24"/>
    </w:rPr>
  </w:style>
  <w:style w:type="paragraph" w:customStyle="1" w:styleId="82">
    <w:name w:val="Default"/>
    <w:next w:val="83"/>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4">
    <w:name w:val="标题 2 Char"/>
    <w:qFormat/>
    <w:uiPriority w:val="0"/>
    <w:rPr>
      <w:rFonts w:ascii="Arial" w:hAnsi="Arial" w:eastAsia="黑体"/>
      <w:b/>
      <w:kern w:val="2"/>
      <w:sz w:val="32"/>
      <w:lang w:val="en-US" w:eastAsia="zh-CN"/>
    </w:rPr>
  </w:style>
  <w:style w:type="character" w:customStyle="1" w:styleId="85">
    <w:name w:val="标题 4 Char"/>
    <w:qFormat/>
    <w:uiPriority w:val="0"/>
    <w:rPr>
      <w:rFonts w:ascii="Arial" w:hAnsi="Arial" w:eastAsia="黑体"/>
      <w:b/>
      <w:kern w:val="2"/>
      <w:sz w:val="28"/>
    </w:rPr>
  </w:style>
  <w:style w:type="paragraph" w:customStyle="1" w:styleId="86">
    <w:name w:val="首行缩进"/>
    <w:basedOn w:val="1"/>
    <w:qFormat/>
    <w:uiPriority w:val="0"/>
    <w:pPr>
      <w:spacing w:line="360" w:lineRule="auto"/>
      <w:ind w:firstLine="480" w:firstLineChars="200"/>
    </w:pPr>
    <w:rPr>
      <w:rFonts w:ascii="宋体"/>
      <w:sz w:val="24"/>
      <w:szCs w:val="20"/>
    </w:rPr>
  </w:style>
  <w:style w:type="character" w:customStyle="1" w:styleId="87">
    <w:name w:val="标题 1 字符1"/>
    <w:link w:val="2"/>
    <w:qFormat/>
    <w:uiPriority w:val="9"/>
    <w:rPr>
      <w:rFonts w:ascii="Times New Roman" w:hAnsi="Times New Roman" w:eastAsia="宋体"/>
      <w:b/>
      <w:bCs/>
      <w:kern w:val="44"/>
      <w:sz w:val="32"/>
      <w:szCs w:val="44"/>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59"/>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6"/>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firstLine="0"/>
      <w:jc w:val="center"/>
    </w:pPr>
    <w:rPr>
      <w:rFonts w:ascii="Calibri" w:hAnsi="Calibri"/>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5"/>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8"/>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ind w:left="851" w:right="407" w:rightChars="194" w:hanging="851"/>
      <w:jc w:val="left"/>
    </w:pPr>
    <w:rPr>
      <w:rFonts w:ascii="宋体"/>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3"/>
    <w:qFormat/>
    <w:uiPriority w:val="0"/>
    <w:rPr>
      <w:rFonts w:ascii="仿宋_GB2312" w:hAnsi="仿宋" w:eastAsia="仿宋_GB2312" w:cs="仿宋_GB2312"/>
      <w:sz w:val="32"/>
      <w:szCs w:val="30"/>
      <w:lang w:val="zh-CN"/>
    </w:rPr>
  </w:style>
  <w:style w:type="character" w:customStyle="1" w:styleId="222">
    <w:name w:val="HTML 地址 字符"/>
    <w:link w:val="29"/>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5"/>
    <w:link w:val="225"/>
    <w:qFormat/>
    <w:uiPriority w:val="0"/>
    <w:pPr>
      <w:tabs>
        <w:tab w:val="left" w:pos="851"/>
        <w:tab w:val="clear" w:pos="864"/>
      </w:tabs>
      <w:adjustRightInd/>
      <w:spacing w:line="376" w:lineRule="atLeast"/>
      <w:ind w:left="851" w:hanging="851"/>
    </w:pPr>
    <w:rPr>
      <w:rFonts w:ascii="Cambria" w:hAnsi="Cambria"/>
      <w:color w:val="000000"/>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8"/>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ind w:left="1984" w:leftChars="75" w:hanging="708"/>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321"/>
    <w:link w:val="319"/>
    <w:qFormat/>
    <w:uiPriority w:val="0"/>
    <w:pPr>
      <w:tabs>
        <w:tab w:val="right" w:leader="dot" w:pos="8268"/>
      </w:tabs>
      <w:adjustRightInd/>
    </w:pPr>
    <w:rPr>
      <w:rFonts w:ascii="宋体"/>
      <w:kern w:val="0"/>
      <w:sz w:val="20"/>
      <w:szCs w:val="20"/>
    </w:rPr>
  </w:style>
  <w:style w:type="paragraph" w:customStyle="1" w:styleId="321">
    <w:name w:val="正文1"/>
    <w:basedOn w:val="31"/>
    <w:qFormat/>
    <w:uiPriority w:val="0"/>
    <w:pPr>
      <w:ind w:left="0" w:leftChars="0" w:firstLine="480" w:firstLineChars="200"/>
    </w:pPr>
    <w:rPr>
      <w:rFonts w:ascii="仿宋_GB2312" w:hAnsi="Courier New" w:eastAsia="仿宋_GB2312"/>
      <w:kern w:val="28"/>
      <w:sz w:val="24"/>
    </w:rPr>
  </w:style>
  <w:style w:type="character" w:customStyle="1" w:styleId="322">
    <w:name w:val="正文文本首行缩进 字符"/>
    <w:link w:val="60"/>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宋体"/>
      <w:b/>
      <w:bCs/>
      <w:kern w:val="2"/>
      <w:sz w:val="21"/>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99"/>
    <w:rPr>
      <w:kern w:val="2"/>
      <w:sz w:val="21"/>
      <w:szCs w:val="24"/>
    </w:rPr>
  </w:style>
  <w:style w:type="character" w:customStyle="1" w:styleId="346">
    <w:name w:val="签名 字符"/>
    <w:link w:val="41"/>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pPr>
    <w:rPr>
      <w:rFonts w:ascii="Verdana" w:eastAsia="Verdana"/>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line="276" w:lineRule="auto"/>
      <w:jc w:val="left"/>
      <w:outlineLvl w:val="9"/>
    </w:pPr>
    <w:rPr>
      <w:rFonts w:ascii="Cambria" w:hAnsi="Cambria"/>
      <w:color w:val="365F91"/>
      <w:kern w:val="0"/>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firstLine="200"/>
      <w:jc w:val="both"/>
    </w:pPr>
    <w:rPr>
      <w:rFonts w:ascii="宋体" w:hAnsi="Cambria"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2"/>
    <w:next w:val="82"/>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2"/>
    <w:next w:val="82"/>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firstLine="0"/>
      <w:jc w:val="both"/>
    </w:pPr>
    <w:rPr>
      <w:rFonts w:ascii="宋体" w:hAnsi="Arial"/>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line="240" w:lineRule="auto"/>
      <w:jc w:val="left"/>
    </w:pPr>
    <w:rPr>
      <w:rFonts w:cs="宋体"/>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qFormat/>
    <w:uiPriority w:val="0"/>
    <w:pPr>
      <w:tabs>
        <w:tab w:val="left" w:pos="0"/>
        <w:tab w:val="clear" w:pos="864"/>
      </w:tabs>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2"/>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8"/>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9"/>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2"/>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6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line="720" w:lineRule="exact"/>
      <w:ind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标题 2 字符1"/>
    <w:link w:val="3"/>
    <w:qFormat/>
    <w:uiPriority w:val="0"/>
    <w:rPr>
      <w:rFonts w:ascii="仿宋_GB2312" w:hAnsi="仿宋_GB2312" w:eastAsia="宋体"/>
      <w:b/>
      <w:bCs/>
      <w:sz w:val="21"/>
      <w:szCs w:val="32"/>
      <w:lang w:val="zh-CN"/>
    </w:rPr>
  </w:style>
  <w:style w:type="character" w:customStyle="1" w:styleId="963">
    <w:name w:val="标题 3 字符1"/>
    <w:link w:val="4"/>
    <w:qFormat/>
    <w:uiPriority w:val="0"/>
    <w:rPr>
      <w:rFonts w:ascii="Arial" w:hAnsi="Arial" w:eastAsia="宋体" w:cs="Times New Roman"/>
      <w:b/>
      <w:bCs/>
      <w:sz w:val="21"/>
      <w:szCs w:val="32"/>
    </w:rPr>
  </w:style>
  <w:style w:type="paragraph" w:customStyle="1" w:styleId="964">
    <w:name w:val="No Spacing1"/>
    <w:qFormat/>
    <w:uiPriority w:val="0"/>
    <w:rPr>
      <w:rFonts w:ascii="Calibri" w:hAnsi="Calibri" w:eastAsia="??" w:cs="宋体"/>
      <w:sz w:val="22"/>
      <w:szCs w:val="22"/>
      <w:lang w:val="en-US" w:eastAsia="en-US" w:bidi="ar-SA"/>
    </w:rPr>
  </w:style>
  <w:style w:type="paragraph" w:customStyle="1" w:styleId="965">
    <w:name w:val="石墨文档正文"/>
    <w:qFormat/>
    <w:uiPriority w:val="0"/>
    <w:rPr>
      <w:rFonts w:ascii="微软雅黑" w:hAnsi="微软雅黑" w:eastAsia="微软雅黑" w:cs="微软雅黑"/>
      <w:sz w:val="22"/>
      <w:szCs w:val="22"/>
      <w:lang w:val="en-US" w:eastAsia="zh-CN" w:bidi="ar-SA"/>
    </w:rPr>
  </w:style>
  <w:style w:type="paragraph" w:customStyle="1" w:styleId="966">
    <w:name w:val="自定义样式 正文"/>
    <w:basedOn w:val="1"/>
    <w:qFormat/>
    <w:uiPriority w:val="0"/>
    <w:pPr>
      <w:spacing w:line="360" w:lineRule="auto"/>
      <w:ind w:firstLine="480" w:firstLineChars="200"/>
    </w:pPr>
    <w:rPr>
      <w:rFonts w:ascii="宋体" w:hAnsi="宋体"/>
      <w:bCs/>
      <w:kern w:val="0"/>
      <w:sz w:val="24"/>
    </w:rPr>
  </w:style>
  <w:style w:type="paragraph" w:customStyle="1" w:styleId="967">
    <w:name w:val="WPSOffice手动目录 1"/>
    <w:qFormat/>
    <w:uiPriority w:val="0"/>
    <w:rPr>
      <w:rFonts w:ascii="Times New Roman" w:hAnsi="Times New Roman" w:eastAsia="宋体" w:cs="Times New Roman"/>
      <w:lang w:val="en-US" w:eastAsia="zh-CN" w:bidi="ar-SA"/>
    </w:rPr>
  </w:style>
  <w:style w:type="paragraph" w:customStyle="1" w:styleId="968">
    <w:name w:val="Normal Indent1"/>
    <w:basedOn w:val="1"/>
    <w:qFormat/>
    <w:uiPriority w:val="0"/>
    <w:pPr>
      <w:ind w:firstLine="420" w:firstLineChars="200"/>
    </w:p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71">
    <w:name w:val="BodyText"/>
    <w:basedOn w:val="1"/>
    <w:next w:val="972"/>
    <w:qFormat/>
    <w:uiPriority w:val="0"/>
    <w:rPr>
      <w:sz w:val="20"/>
    </w:rPr>
  </w:style>
  <w:style w:type="paragraph" w:customStyle="1" w:styleId="972">
    <w:name w:val="BodyText1I"/>
    <w:basedOn w:val="971"/>
    <w:qFormat/>
    <w:uiPriority w:val="0"/>
    <w:pPr>
      <w:spacing w:after="120"/>
      <w:ind w:firstLine="420" w:firstLineChars="100"/>
    </w:pPr>
  </w:style>
  <w:style w:type="paragraph" w:customStyle="1" w:styleId="973">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character" w:customStyle="1" w:styleId="974">
    <w:name w:val="ne-text"/>
    <w:basedOn w:val="69"/>
    <w:qFormat/>
    <w:uiPriority w:val="0"/>
  </w:style>
  <w:style w:type="paragraph" w:customStyle="1" w:styleId="975">
    <w:name w:val="首行缩进 2"/>
    <w:qFormat/>
    <w:uiPriority w:val="0"/>
    <w:pPr>
      <w:spacing w:line="360" w:lineRule="auto"/>
      <w:ind w:firstLine="480" w:firstLineChars="200"/>
    </w:pPr>
    <w:rPr>
      <w:rFonts w:ascii="宋体" w:hAnsi="宋体" w:eastAsia="宋体" w:cs="Times New Roman"/>
      <w:kern w:val="2"/>
      <w:sz w:val="24"/>
      <w:szCs w:val="24"/>
      <w:lang w:val="en-US" w:eastAsia="zh-CN" w:bidi="ar-SA"/>
    </w:rPr>
  </w:style>
  <w:style w:type="paragraph" w:customStyle="1" w:styleId="976">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7">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978">
    <w:name w:val="正文空2字"/>
    <w:basedOn w:val="97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9">
    <w:name w:val="左对齐正文"/>
    <w:qFormat/>
    <w:uiPriority w:val="99"/>
    <w:rPr>
      <w:rFonts w:ascii="Calibri" w:hAnsi="Calibri" w:eastAsia="仿宋_GB2312" w:cs="Calibri"/>
      <w:kern w:val="2"/>
      <w:sz w:val="32"/>
      <w:szCs w:val="32"/>
      <w:lang w:val="en-US" w:eastAsia="zh-CN" w:bidi="ar-SA"/>
    </w:rPr>
  </w:style>
  <w:style w:type="paragraph" w:customStyle="1" w:styleId="980">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981">
    <w:name w:val="！正文"/>
    <w:basedOn w:val="1"/>
    <w:qFormat/>
    <w:uiPriority w:val="0"/>
    <w:pPr>
      <w:widowControl/>
      <w:autoSpaceDE w:val="0"/>
      <w:autoSpaceDN w:val="0"/>
      <w:spacing w:line="360" w:lineRule="auto"/>
      <w:ind w:firstLine="461" w:firstLineChars="192"/>
    </w:pPr>
    <w:rPr>
      <w:kern w:val="0"/>
      <w:sz w:val="24"/>
      <w:szCs w:val="28"/>
    </w:rPr>
  </w:style>
  <w:style w:type="paragraph" w:customStyle="1" w:styleId="982">
    <w:name w:val="￥正文"/>
    <w:basedOn w:val="1"/>
    <w:qFormat/>
    <w:uiPriority w:val="0"/>
    <w:pPr>
      <w:adjustRightInd/>
      <w:spacing w:line="360" w:lineRule="auto"/>
      <w:ind w:firstLine="480" w:firstLineChars="200"/>
    </w:pPr>
    <w:rPr>
      <w:rFonts w:ascii="宋体" w:hAnsi="Calibri"/>
      <w:sz w:val="24"/>
      <w:szCs w:val="22"/>
    </w:rPr>
  </w:style>
  <w:style w:type="paragraph" w:customStyle="1" w:styleId="983">
    <w:name w:val="标题三"/>
    <w:basedOn w:val="5"/>
    <w:qFormat/>
    <w:uiPriority w:val="0"/>
    <w:pPr>
      <w:tabs>
        <w:tab w:val="left" w:pos="420"/>
        <w:tab w:val="clear" w:pos="864"/>
      </w:tabs>
      <w:adjustRightInd/>
      <w:ind w:left="425" w:hanging="425"/>
    </w:pPr>
    <w:rPr>
      <w:rFonts w:ascii="宋体" w:hAnsi="宋体" w:cs="宋体"/>
      <w:b w:val="0"/>
      <w:bCs w:val="0"/>
      <w:sz w:val="24"/>
      <w:lang w:val="en-US"/>
    </w:rPr>
  </w:style>
  <w:style w:type="paragraph" w:customStyle="1" w:styleId="984">
    <w:name w:val="正文首行缩进 21"/>
    <w:basedOn w:val="24"/>
    <w:next w:val="985"/>
    <w:qFormat/>
    <w:uiPriority w:val="0"/>
    <w:pPr>
      <w:spacing w:after="120"/>
      <w:ind w:left="420" w:leftChars="200" w:firstLine="420"/>
    </w:pPr>
    <w:rPr>
      <w:rFonts w:cs="宋体"/>
      <w:sz w:val="21"/>
      <w:szCs w:val="21"/>
    </w:rPr>
  </w:style>
  <w:style w:type="paragraph" w:customStyle="1" w:styleId="985">
    <w:name w:val="xl53"/>
    <w:basedOn w:val="1"/>
    <w:next w:val="1"/>
    <w:qFormat/>
    <w:uiPriority w:val="0"/>
    <w:pPr>
      <w:spacing w:before="280" w:after="280" w:line="100" w:lineRule="exact"/>
      <w:jc w:val="center"/>
    </w:pPr>
    <w:rPr>
      <w:b/>
      <w:sz w:val="20"/>
    </w:rPr>
  </w:style>
  <w:style w:type="paragraph" w:customStyle="1" w:styleId="98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87">
    <w:name w:val="Unresolved Mention"/>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109</Pages>
  <Words>72245</Words>
  <Characters>79294</Characters>
  <DocSecurity>0</DocSecurity>
  <Lines>678</Lines>
  <Paragraphs>191</Paragraphs>
  <ScaleCrop>false</ScaleCrop>
  <LinksUpToDate>false</LinksUpToDate>
  <CharactersWithSpaces>84211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2024-12-03T06:50:00Z</cp:lastPrinted>
  <dcterms:created xsi:type="dcterms:W3CDTF">2024-12-02T16:14:00Z</dcterms:created>
  <dcterms:modified xsi:type="dcterms:W3CDTF">2024-12-03T15:07:07Z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573DFCCE29154C33881D3A0CAC1C2368_13</vt:lpwstr>
  </property>
</Properties>
</file>